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0"/>
        <w:gridCol w:w="4111"/>
        <w:gridCol w:w="3084"/>
      </w:tblGrid>
      <w:tr w:rsidR="00915E53"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Հայ</w:t>
            </w:r>
            <w:r>
              <w:rPr>
                <w:rFonts w:ascii="GHEA Grapalat" w:hAnsi="GHEA Grapalat"/>
                <w:b/>
                <w:bCs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lang w:val="hy-AM"/>
              </w:rPr>
              <w:t>ամերիկյան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երկկողմ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օրակարգ</w:t>
            </w:r>
          </w:p>
        </w:tc>
      </w:tr>
      <w:tr w:rsidR="00915E53"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Քաղաքական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հարաբերություններ</w:t>
            </w:r>
          </w:p>
          <w:p w:rsidR="00915E53" w:rsidRDefault="004606D3">
            <w:pPr>
              <w:pStyle w:val="TableContents"/>
              <w:numPr>
                <w:ilvl w:val="0"/>
                <w:numId w:val="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Ռազմաքաղաքական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համագործակցություն</w:t>
            </w:r>
          </w:p>
          <w:p w:rsidR="00915E53" w:rsidRDefault="004606D3">
            <w:pPr>
              <w:pStyle w:val="TableContents"/>
              <w:numPr>
                <w:ilvl w:val="0"/>
                <w:numId w:val="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Առևտրատնտեսական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հարաբերություններ</w:t>
            </w:r>
          </w:p>
          <w:p w:rsidR="00915E53" w:rsidRDefault="004606D3">
            <w:pPr>
              <w:pStyle w:val="TableContents"/>
              <w:numPr>
                <w:ilvl w:val="0"/>
                <w:numId w:val="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արտաքին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օգնություն</w:t>
            </w:r>
          </w:p>
          <w:p w:rsidR="00915E53" w:rsidRDefault="004606D3">
            <w:pPr>
              <w:pStyle w:val="TableContents"/>
              <w:numPr>
                <w:ilvl w:val="0"/>
                <w:numId w:val="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Միջխորհրդարանական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կապեր</w:t>
            </w:r>
          </w:p>
          <w:p w:rsidR="00915E53" w:rsidRDefault="004606D3">
            <w:pPr>
              <w:pStyle w:val="TableContents"/>
              <w:numPr>
                <w:ilvl w:val="0"/>
                <w:numId w:val="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Ապակենտրոնացված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համագործակցություն</w:t>
            </w:r>
          </w:p>
          <w:p w:rsidR="00915E53" w:rsidRDefault="004606D3">
            <w:pPr>
              <w:pStyle w:val="TableContents"/>
              <w:numPr>
                <w:ilvl w:val="0"/>
                <w:numId w:val="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Մշակութային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</w:t>
            </w:r>
          </w:p>
          <w:p w:rsidR="00915E53" w:rsidRDefault="004606D3">
            <w:pPr>
              <w:pStyle w:val="TableContents"/>
              <w:numPr>
                <w:ilvl w:val="0"/>
                <w:numId w:val="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Զբոսաշրջություն</w:t>
            </w:r>
          </w:p>
        </w:tc>
      </w:tr>
      <w:tr w:rsidR="00915E53"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Երկկողմ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համագործակցության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մեխանիզմներ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Քաղաքական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numPr>
                <w:ilvl w:val="0"/>
                <w:numId w:val="2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Հայաստան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ռազմավարական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երկխոսության</w:t>
            </w:r>
            <w:r>
              <w:rPr>
                <w:rFonts w:ascii="GHEA Grapalat" w:hAnsi="GHEA Grapalat"/>
                <w:lang w:val="hy-AM"/>
              </w:rPr>
              <w:t xml:space="preserve"> (</w:t>
            </w:r>
            <w:r>
              <w:rPr>
                <w:rFonts w:ascii="GHEA Grapalat" w:hAnsi="GHEA Grapalat"/>
              </w:rPr>
              <w:t>U.S.-Armenia</w:t>
            </w:r>
            <w:r>
              <w:rPr>
                <w:rFonts w:ascii="GHEA Grapalat" w:hAnsi="GHEA Grapalat"/>
                <w:lang w:val="hy-AM"/>
              </w:rPr>
              <w:t xml:space="preserve"> Strategic Dialogue, USASD)` 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ից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Ռազմաքաղաքական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3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Երկկողմ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պաշտպանական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խորհրդակցություններ</w:t>
            </w:r>
            <w:r>
              <w:rPr>
                <w:rFonts w:ascii="GHEA Grapalat" w:hAnsi="GHEA Grapalat"/>
                <w:lang w:val="hy-AM"/>
              </w:rPr>
              <w:t xml:space="preserve"> (2002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ից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Առևտրատնտեսական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Առևտրի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ներդրումների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շրջանակային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համաձայնագրի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խորհուրդ</w:t>
            </w:r>
            <w:r>
              <w:rPr>
                <w:rFonts w:ascii="GHEA Grapalat" w:hAnsi="GHEA Grapalat"/>
                <w:lang w:val="hy-AM"/>
              </w:rPr>
              <w:t xml:space="preserve"> (Trade and Investment Framework Agreement, TIFA)` 2015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ից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Միջխորհրդարանական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5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Ժողովրդավարական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գործընկերության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նախաձեռնություն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(House Democracy Partnership, HDP)` 2018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ից</w:t>
            </w:r>
          </w:p>
        </w:tc>
      </w:tr>
      <w:tr w:rsidR="005C0E58" w:rsidRPr="005C0E58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C0E58" w:rsidRDefault="005C0E58">
            <w:pPr>
              <w:pStyle w:val="TableContents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Արդարադատության ոլորտ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C0E58" w:rsidRDefault="005C0E58" w:rsidP="005C0E58">
            <w:pPr>
              <w:pStyle w:val="TableContents"/>
              <w:numPr>
                <w:ilvl w:val="0"/>
                <w:numId w:val="5"/>
              </w:num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Ինստիտուցիոնալ բարեփոխումներ/կոռուպցիայի դեմ պայքար </w:t>
            </w:r>
            <w:r w:rsidRPr="005C0E58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ՀՀ Արդարադատության նախարարություն, ԱՄՆ դեսպանության թմրամիջոցների դեմ պայքարի ու</w:t>
            </w:r>
            <w:r w:rsidRPr="005C0E5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իրավապահ ոլորտի գրասենյակ </w:t>
            </w:r>
            <w:r w:rsidRPr="005C0E58">
              <w:rPr>
                <w:rFonts w:ascii="GHEA Grapalat" w:hAnsi="GHEA Grapalat"/>
                <w:lang w:val="hy-AM"/>
              </w:rPr>
              <w:t>(Office</w:t>
            </w:r>
            <w:r w:rsidRPr="005C0E58">
              <w:rPr>
                <w:rFonts w:ascii="GHEA Grapalat" w:hAnsi="GHEA Grapalat" w:hint="eastAsia"/>
                <w:lang w:val="hy-AM"/>
              </w:rPr>
              <w:t xml:space="preserve"> of International Narcotics and Law Enforcement Affairs</w:t>
            </w:r>
            <w:r w:rsidRPr="005C0E58">
              <w:rPr>
                <w:rFonts w:ascii="GHEA Grapalat" w:hAnsi="GHEA Grapalat"/>
                <w:lang w:val="hy-AM"/>
              </w:rPr>
              <w:t xml:space="preserve">, INL) </w:t>
            </w:r>
            <w:r>
              <w:rPr>
                <w:rFonts w:ascii="GHEA Grapalat" w:hAnsi="GHEA Grapalat"/>
                <w:lang w:val="hy-AM"/>
              </w:rPr>
              <w:t>և ԱՄՆ Միջազգային զարգացման գրասենյակ</w:t>
            </w:r>
            <w:r w:rsidRPr="005C0E58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5C0E58" w:rsidRPr="005C0E58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C0E58" w:rsidRPr="005C0E58" w:rsidRDefault="005C0E58">
            <w:pPr>
              <w:pStyle w:val="TableContents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Էներգետիկայի ոլորտ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5C0E58" w:rsidRDefault="00D87C13" w:rsidP="003F055D">
            <w:pPr>
              <w:pStyle w:val="TableContents"/>
              <w:numPr>
                <w:ilvl w:val="0"/>
                <w:numId w:val="5"/>
              </w:num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Էներգետիկ անվտանգություն</w:t>
            </w:r>
            <w:r w:rsidR="003F055D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3F055D">
              <w:rPr>
                <w:rFonts w:ascii="GHEA Grapalat" w:hAnsi="GHEA Grapalat"/>
                <w:lang w:val="hy-AM"/>
              </w:rPr>
              <w:t xml:space="preserve">Մեծամորի ատոմակայանի ապագայի հարց </w:t>
            </w:r>
            <w:r w:rsidR="003F055D" w:rsidRPr="003F055D">
              <w:rPr>
                <w:rFonts w:ascii="GHEA Grapalat" w:hAnsi="GHEA Grapalat"/>
                <w:lang w:val="hy-AM"/>
              </w:rPr>
              <w:t>(</w:t>
            </w:r>
            <w:r w:rsidR="003F055D">
              <w:rPr>
                <w:rFonts w:ascii="GHEA Grapalat" w:hAnsi="GHEA Grapalat"/>
                <w:lang w:val="hy-AM"/>
              </w:rPr>
              <w:t>ՀՀ տարածքային կառավարման ու ենթակառուցվածքների նախարարություն, ԱՄՆ էներգետիկայի քարտուղարություն, Պետքարտուղարություն, ԱՄՆ միջազգային զարգացման գրասենյակ</w:t>
            </w:r>
            <w:r w:rsidR="003F055D" w:rsidRPr="003F055D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915E53"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Քաղաքական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հարաբերություններ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մայիսի</w:t>
            </w:r>
            <w:r>
              <w:rPr>
                <w:rFonts w:ascii="GHEA Grapalat" w:hAnsi="GHEA Grapalat"/>
                <w:lang w:val="hy-AM"/>
              </w:rPr>
              <w:t xml:space="preserve"> 7` </w:t>
            </w:r>
            <w:r>
              <w:rPr>
                <w:rFonts w:ascii="GHEA Grapalat" w:hAnsi="GHEA Grapalat"/>
                <w:lang w:val="hy-AM"/>
              </w:rPr>
              <w:t>Հայաստան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Ռազմավարական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երկխոսության</w:t>
            </w:r>
            <w:r>
              <w:rPr>
                <w:rFonts w:ascii="GHEA Grapalat" w:hAnsi="GHEA Grapalat"/>
                <w:lang w:val="hy-AM"/>
              </w:rPr>
              <w:t xml:space="preserve"> (</w:t>
            </w:r>
            <w:r>
              <w:rPr>
                <w:rFonts w:ascii="GHEA Grapalat" w:hAnsi="GHEA Grapalat"/>
              </w:rPr>
              <w:t>U.S.-</w:t>
            </w:r>
            <w:r>
              <w:rPr>
                <w:rFonts w:ascii="GHEA Grapalat" w:hAnsi="GHEA Grapalat"/>
              </w:rPr>
              <w:lastRenderedPageBreak/>
              <w:t>Armenia</w:t>
            </w:r>
            <w:r>
              <w:rPr>
                <w:rFonts w:ascii="GHEA Grapalat" w:hAnsi="GHEA Grapalat"/>
                <w:lang w:val="hy-AM"/>
              </w:rPr>
              <w:t xml:space="preserve"> Strategic Dialogue, </w:t>
            </w:r>
            <w:r>
              <w:rPr>
                <w:rFonts w:ascii="GHEA Grapalat" w:hAnsi="GHEA Grapalat"/>
              </w:rPr>
              <w:t>USASD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  <w:r>
              <w:rPr>
                <w:rFonts w:ascii="GHEA Grapalat" w:hAnsi="GHEA Grapalat"/>
                <w:lang w:val="hy-AM"/>
              </w:rPr>
              <w:t>անդրանիկ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նիստ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որը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փոխարինել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երկկողմ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քաղաքական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խորհրդակցությունների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նախկին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ձևաչափին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Հայ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ամերիկյան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միջկառավարական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հանձնաժողովին</w:t>
            </w:r>
            <w:r>
              <w:rPr>
                <w:rFonts w:ascii="GHEA Grapalat" w:hAnsi="GHEA Grapalat"/>
                <w:lang w:val="hy-AM"/>
              </w:rPr>
              <w:t xml:space="preserve"> (U.S.–Armenian Joint Taskfor</w:t>
            </w:r>
            <w:r>
              <w:rPr>
                <w:rFonts w:ascii="GHEA Grapalat" w:hAnsi="GHEA Grapalat"/>
                <w:lang w:val="hy-AM"/>
              </w:rPr>
              <w:t>ce, USATF)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i/>
                <w:iCs/>
                <w:lang w:val="hy-AM"/>
              </w:rPr>
              <w:lastRenderedPageBreak/>
              <w:t>Օրակարգ</w:t>
            </w:r>
          </w:p>
          <w:p w:rsidR="00915E53" w:rsidRDefault="00915E53">
            <w:pPr>
              <w:rPr>
                <w:rFonts w:ascii="GHEA Grapalat" w:hAnsi="GHEA Grapalat" w:hint="eastAsia"/>
                <w:i/>
                <w:iCs/>
                <w:lang w:val="hy-AM"/>
              </w:rPr>
            </w:pPr>
          </w:p>
          <w:p w:rsidR="00915E53" w:rsidRPr="005C0E58" w:rsidRDefault="004606D3">
            <w:pPr>
              <w:numPr>
                <w:ilvl w:val="0"/>
                <w:numId w:val="6"/>
              </w:numPr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Աջակցություն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ժողովրդավարական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գործընթացներին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դատաիրավական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բարեփոխումներին</w:t>
            </w:r>
          </w:p>
          <w:p w:rsidR="00915E53" w:rsidRPr="005C0E58" w:rsidRDefault="004606D3">
            <w:pPr>
              <w:numPr>
                <w:ilvl w:val="0"/>
                <w:numId w:val="6"/>
              </w:numPr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Թմրամիջոցների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ապօրինի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շրջանառության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պայքար</w:t>
            </w:r>
          </w:p>
          <w:p w:rsidR="00915E53" w:rsidRDefault="004606D3">
            <w:pPr>
              <w:numPr>
                <w:ilvl w:val="0"/>
                <w:numId w:val="6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Գլոբալ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տարածաշրջանային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մարտահրավերներ</w:t>
            </w:r>
          </w:p>
          <w:p w:rsidR="00915E53" w:rsidRDefault="004606D3">
            <w:pPr>
              <w:numPr>
                <w:ilvl w:val="0"/>
                <w:numId w:val="6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Կիբեռանվտանգություն</w:t>
            </w:r>
          </w:p>
          <w:p w:rsidR="00915E53" w:rsidRDefault="004606D3">
            <w:pPr>
              <w:numPr>
                <w:ilvl w:val="0"/>
                <w:numId w:val="6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Իրանի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պատժամիջոցներ</w:t>
            </w:r>
          </w:p>
          <w:p w:rsidR="00915E53" w:rsidRDefault="004606D3">
            <w:pPr>
              <w:numPr>
                <w:ilvl w:val="0"/>
                <w:numId w:val="6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Սիրիայում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մարդասիրական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առաքելություն</w:t>
            </w:r>
          </w:p>
          <w:p w:rsidR="00915E53" w:rsidRDefault="004606D3">
            <w:pPr>
              <w:numPr>
                <w:ilvl w:val="0"/>
                <w:numId w:val="6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Ղարաբաղյան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հիմնախնդրի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կարգավորում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Մինսկի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խմբի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շրջանակներում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915E53"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</w:p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Ռազմաքաղաքական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համագործակցություն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Երկկողմ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պաշտպանական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խորհրդակցություններ</w:t>
            </w:r>
            <w:r>
              <w:rPr>
                <w:rFonts w:ascii="GHEA Grapalat" w:hAnsi="GHEA Grapalat"/>
                <w:lang w:val="hy-AM"/>
              </w:rPr>
              <w:t>` 2002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ից</w:t>
            </w:r>
            <w:r>
              <w:rPr>
                <w:rFonts w:ascii="GHEA Grapalat" w:hAnsi="GHEA Grapalat"/>
                <w:lang w:val="hy-AM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վերջինը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կայացել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2011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i/>
                <w:iCs/>
                <w:lang w:val="hy-AM"/>
              </w:rPr>
              <w:t>Ծրագրեր</w:t>
            </w:r>
          </w:p>
          <w:p w:rsidR="00915E53" w:rsidRDefault="00915E53">
            <w:pPr>
              <w:pStyle w:val="TableContents"/>
              <w:rPr>
                <w:rFonts w:ascii="GHEA Grapalat" w:hAnsi="GHEA Grapalat" w:hint="eastAsia"/>
                <w:i/>
                <w:iCs/>
                <w:lang w:val="hy-AM"/>
              </w:rPr>
            </w:pPr>
          </w:p>
          <w:p w:rsidR="00915E53" w:rsidRPr="005C0E58" w:rsidRDefault="004606D3">
            <w:pPr>
              <w:pStyle w:val="TableContents"/>
              <w:numPr>
                <w:ilvl w:val="0"/>
                <w:numId w:val="7"/>
              </w:numPr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Կանզասի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ազգային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գվարդիայի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նահանգային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գործընկերություն</w:t>
            </w:r>
            <w:r>
              <w:rPr>
                <w:rFonts w:ascii="GHEA Grapalat" w:hAnsi="GHEA Grapalat"/>
                <w:lang w:val="hy-AM"/>
              </w:rPr>
              <w:t xml:space="preserve"> (2003.-</w:t>
            </w:r>
            <w:r>
              <w:rPr>
                <w:rFonts w:ascii="GHEA Grapalat" w:hAnsi="GHEA Grapalat"/>
                <w:lang w:val="hy-AM"/>
              </w:rPr>
              <w:t>ից</w:t>
            </w:r>
            <w:r>
              <w:rPr>
                <w:rFonts w:ascii="GHEA Grapalat" w:hAnsi="GHEA Grapalat"/>
                <w:lang w:val="hy-AM"/>
              </w:rPr>
              <w:t>)</w:t>
            </w:r>
          </w:p>
          <w:p w:rsidR="00915E53" w:rsidRDefault="004606D3">
            <w:pPr>
              <w:pStyle w:val="TableContents"/>
              <w:numPr>
                <w:ilvl w:val="0"/>
                <w:numId w:val="7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Արտաքին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ռազմական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ֆինանսավորում</w:t>
            </w:r>
            <w:r>
              <w:rPr>
                <w:rFonts w:ascii="GHEA Grapalat" w:hAnsi="GHEA Grapalat"/>
                <w:lang w:val="hy-AM"/>
              </w:rPr>
              <w:t xml:space="preserve"> (Foreign Military Financing, FMF)</w:t>
            </w:r>
          </w:p>
          <w:p w:rsidR="00915E53" w:rsidRDefault="004606D3">
            <w:pPr>
              <w:pStyle w:val="TableContents"/>
              <w:numPr>
                <w:ilvl w:val="0"/>
                <w:numId w:val="7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Միջազգային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ռազմական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կրթություն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վարժանք</w:t>
            </w:r>
            <w:r>
              <w:rPr>
                <w:rFonts w:ascii="GHEA Grapalat" w:hAnsi="GHEA Grapalat"/>
                <w:lang w:val="hy-AM"/>
              </w:rPr>
              <w:t xml:space="preserve"> (International Military Education and Training, IMET)</w:t>
            </w:r>
          </w:p>
          <w:p w:rsidR="00915E53" w:rsidRDefault="004606D3">
            <w:pPr>
              <w:pStyle w:val="TableContents"/>
              <w:numPr>
                <w:ilvl w:val="0"/>
                <w:numId w:val="7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Համաշխարհային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խաղաղապահ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գործողությունների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նախաձեռնություն</w:t>
            </w:r>
            <w:r>
              <w:rPr>
                <w:rFonts w:ascii="GHEA Grapalat" w:hAnsi="GHEA Grapalat"/>
                <w:lang w:val="hy-AM"/>
              </w:rPr>
              <w:t xml:space="preserve"> (Global Peace Operations Initiative) 2013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915E53"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Ռազմական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պաշտպանության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անվտանգության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ոլորտներում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տրամադրած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աջակցությունը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ըստ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տարիների</w:t>
            </w:r>
            <w:r>
              <w:rPr>
                <w:rFonts w:ascii="GHEA Grapalat" w:hAnsi="GHEA Grapalat"/>
                <w:lang w:val="hy-AM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դոլար</w:t>
            </w:r>
            <w:r>
              <w:rPr>
                <w:rFonts w:ascii="GHEA Grapalat" w:hAnsi="GHEA Grapalat"/>
                <w:lang w:val="hy-AM"/>
              </w:rPr>
              <w:t>)</w:t>
            </w:r>
          </w:p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Տե՛ս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Հավելված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1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Pr="005C0E58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տրամադրած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աջակցությունը</w:t>
            </w:r>
            <w:r>
              <w:rPr>
                <w:rFonts w:ascii="GHEA Grapalat" w:hAnsi="GHEA Grapalat"/>
                <w:lang w:val="hy-AM"/>
              </w:rPr>
              <w:t xml:space="preserve"> 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.` 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2.8 </w:t>
            </w:r>
            <w:r>
              <w:rPr>
                <w:rFonts w:ascii="GHEA Grapalat" w:hAnsi="GHEA Grapalat"/>
                <w:b/>
                <w:bCs/>
                <w:lang w:val="hy-AM"/>
              </w:rPr>
              <w:t>միլիոն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ԱՄՆ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դոլար</w:t>
            </w:r>
          </w:p>
          <w:p w:rsidR="00915E53" w:rsidRPr="005C0E58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 w:rsidRPr="005C0E58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կասեցված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մարտական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կարողությունների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  <w:lang w:val="hy-AM"/>
              </w:rPr>
              <w:t xml:space="preserve">(war fighting) </w:t>
            </w:r>
            <w:r>
              <w:rPr>
                <w:rFonts w:ascii="GHEA Grapalat" w:hAnsi="GHEA Grapalat"/>
                <w:lang w:val="hy-AM"/>
              </w:rPr>
              <w:t>ծրագրերը</w:t>
            </w:r>
            <w:r w:rsidRPr="005C0E58">
              <w:rPr>
                <w:rFonts w:ascii="GHEA Grapalat" w:hAnsi="GHEA Grapalat"/>
                <w:lang w:val="hy-AM"/>
              </w:rPr>
              <w:t>)</w:t>
            </w:r>
          </w:p>
          <w:p w:rsidR="00915E53" w:rsidRPr="005C0E58" w:rsidRDefault="00915E5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</w:p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Աղբյուր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` 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lastRenderedPageBreak/>
              <w:t>Պաշտպանության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նախարարություն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i/>
                <w:iCs/>
                <w:lang w:val="hy-AM"/>
              </w:rPr>
              <w:lastRenderedPageBreak/>
              <w:t>Փոխգործակցելիության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lang w:val="hy-AM"/>
              </w:rPr>
              <w:t>մակարդակի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lang w:val="hy-AM"/>
              </w:rPr>
              <w:t>բարձրացմանն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lang w:val="hy-AM"/>
              </w:rPr>
              <w:t>ուղղված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lang w:val="hy-AM"/>
              </w:rPr>
              <w:t>ծրագրեր</w:t>
            </w:r>
          </w:p>
          <w:p w:rsidR="00915E53" w:rsidRDefault="00915E5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</w:p>
          <w:p w:rsidR="00915E53" w:rsidRDefault="00915E53">
            <w:pPr>
              <w:pStyle w:val="TableContents"/>
              <w:ind w:left="720"/>
              <w:rPr>
                <w:rFonts w:ascii="GHEA Grapalat" w:hAnsi="GHEA Grapalat" w:hint="eastAsia"/>
                <w:lang w:val="hy-AM"/>
              </w:rPr>
            </w:pPr>
          </w:p>
          <w:p w:rsidR="00915E53" w:rsidRDefault="004606D3">
            <w:pPr>
              <w:pStyle w:val="TableContents"/>
              <w:numPr>
                <w:ilvl w:val="0"/>
                <w:numId w:val="8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Խաղաղապահ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կարողությունների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զարգացում</w:t>
            </w:r>
          </w:p>
          <w:p w:rsidR="00915E53" w:rsidRDefault="004606D3">
            <w:pPr>
              <w:pStyle w:val="TableContents"/>
              <w:numPr>
                <w:ilvl w:val="0"/>
                <w:numId w:val="8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Խաղաղապահ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ուսումնական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կարողությունների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զարգացում</w:t>
            </w:r>
          </w:p>
          <w:p w:rsidR="00915E53" w:rsidRDefault="004606D3">
            <w:pPr>
              <w:pStyle w:val="TableContents"/>
              <w:numPr>
                <w:ilvl w:val="0"/>
                <w:numId w:val="8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Համատեղ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զորավարժություններ</w:t>
            </w:r>
          </w:p>
          <w:p w:rsidR="00915E53" w:rsidRDefault="004606D3">
            <w:pPr>
              <w:pStyle w:val="TableContents"/>
              <w:numPr>
                <w:ilvl w:val="0"/>
                <w:numId w:val="8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2-</w:t>
            </w:r>
            <w:r>
              <w:rPr>
                <w:rFonts w:ascii="GHEA Grapalat" w:hAnsi="GHEA Grapalat"/>
                <w:lang w:val="hy-AM"/>
              </w:rPr>
              <w:t>րդ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մակարդակի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դաշտային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հոսպիտալ</w:t>
            </w:r>
            <w:r>
              <w:rPr>
                <w:rFonts w:ascii="GHEA Grapalat" w:hAnsi="GHEA Grapalat"/>
                <w:lang w:val="hy-AM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ԻՄԵԴՍ</w:t>
            </w:r>
            <w:r>
              <w:rPr>
                <w:rFonts w:ascii="GHEA Grapalat" w:hAnsi="GHEA Grapalat"/>
                <w:lang w:val="hy-AM"/>
              </w:rPr>
              <w:t>)</w:t>
            </w:r>
          </w:p>
          <w:p w:rsidR="00915E53" w:rsidRDefault="004606D3">
            <w:pPr>
              <w:pStyle w:val="TableContents"/>
              <w:numPr>
                <w:ilvl w:val="0"/>
                <w:numId w:val="8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Հումանիտար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ականազերծում</w:t>
            </w:r>
            <w:r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ինժեներական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կարողո</w:t>
            </w:r>
            <w:r>
              <w:rPr>
                <w:rFonts w:ascii="GHEA Grapalat" w:hAnsi="GHEA Grapalat"/>
                <w:lang w:val="hy-AM"/>
              </w:rPr>
              <w:t>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զարգացում</w:t>
            </w:r>
          </w:p>
          <w:p w:rsidR="00915E53" w:rsidRDefault="004606D3">
            <w:pPr>
              <w:pStyle w:val="TableContents"/>
              <w:numPr>
                <w:ilvl w:val="0"/>
                <w:numId w:val="8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Տեխնիկական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աջակցություն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i/>
                <w:iCs/>
                <w:lang w:val="hy-AM"/>
              </w:rPr>
              <w:lastRenderedPageBreak/>
              <w:t>Պաշտպանական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lang w:val="hy-AM"/>
              </w:rPr>
              <w:t>բարեփոխումների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lang w:val="hy-AM"/>
              </w:rPr>
              <w:t>իրականացմանն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lang w:val="hy-AM"/>
              </w:rPr>
              <w:t>ուղղված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lang w:val="hy-AM"/>
              </w:rPr>
              <w:t>ծրագրեր</w:t>
            </w:r>
          </w:p>
          <w:p w:rsidR="00915E53" w:rsidRDefault="00915E53">
            <w:pPr>
              <w:rPr>
                <w:rFonts w:ascii="GHEA Grapalat" w:hAnsi="GHEA Grapalat" w:hint="eastAsia"/>
                <w:i/>
                <w:iCs/>
                <w:lang w:val="hy-AM"/>
              </w:rPr>
            </w:pPr>
          </w:p>
          <w:p w:rsidR="00915E53" w:rsidRDefault="004606D3">
            <w:pPr>
              <w:numPr>
                <w:ilvl w:val="0"/>
                <w:numId w:val="9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Պաշտպանության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ռազմավարական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վերանայում</w:t>
            </w:r>
          </w:p>
          <w:p w:rsidR="00915E53" w:rsidRDefault="004606D3">
            <w:pPr>
              <w:numPr>
                <w:ilvl w:val="0"/>
                <w:numId w:val="9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Ռազմական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կրթություն</w:t>
            </w:r>
          </w:p>
          <w:p w:rsidR="00915E53" w:rsidRDefault="004606D3">
            <w:pPr>
              <w:numPr>
                <w:ilvl w:val="0"/>
                <w:numId w:val="9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Արհեստավարժ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սերժանտական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կազմի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պատրաստում</w:t>
            </w:r>
          </w:p>
          <w:p w:rsidR="00915E53" w:rsidRDefault="004606D3">
            <w:pPr>
              <w:numPr>
                <w:ilvl w:val="0"/>
                <w:numId w:val="9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Փյունիկ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դասակի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ստեղծում</w:t>
            </w:r>
          </w:p>
          <w:p w:rsidR="00915E53" w:rsidRDefault="004606D3">
            <w:pPr>
              <w:numPr>
                <w:ilvl w:val="0"/>
                <w:numId w:val="9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ռազմաբժշկական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ուսումնական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կենտրոնի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ստեղծում</w:t>
            </w:r>
          </w:p>
          <w:p w:rsidR="00915E53" w:rsidRDefault="004606D3">
            <w:pPr>
              <w:numPr>
                <w:ilvl w:val="0"/>
                <w:numId w:val="9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Անգլերեն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լեզվի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ուսուցում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Կանզասի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Ազգային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գվարդիայի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նահանգային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գործընկերություն</w:t>
            </w:r>
            <w:r>
              <w:rPr>
                <w:rFonts w:ascii="GHEA Grapalat" w:hAnsi="GHEA Grapalat"/>
                <w:lang w:val="hy-AM"/>
              </w:rPr>
              <w:t xml:space="preserve"> (2003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ից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10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Թիկունքային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ապահովում</w:t>
            </w:r>
          </w:p>
          <w:p w:rsidR="00915E53" w:rsidRDefault="004606D3">
            <w:pPr>
              <w:pStyle w:val="TableContents"/>
              <w:numPr>
                <w:ilvl w:val="0"/>
                <w:numId w:val="10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Անձնակազմի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0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ՆԱՏՕ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խորացում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0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Սերժանտական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կազմի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պատրաստում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0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Խաղաղապահ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բրիգադի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կարողությունների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ընդլայնում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0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Ռազմական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բժշկության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վերապատրաստում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0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իրավիճակների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կառավարում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Խաղաղապահ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կարողությունների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1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զինված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ուժերի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խաղաղապահ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բրիգադի</w:t>
            </w:r>
            <w:r>
              <w:rPr>
                <w:rFonts w:ascii="GHEA Grapalat" w:hAnsi="GHEA Grapalat"/>
                <w:lang w:val="hy-AM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հիմնադրվել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2001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.) </w:t>
            </w:r>
            <w:r>
              <w:rPr>
                <w:rFonts w:ascii="GHEA Grapalat" w:hAnsi="GHEA Grapalat"/>
                <w:lang w:val="hy-AM"/>
              </w:rPr>
              <w:t>անձնակազմի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վերապատրաստում</w:t>
            </w:r>
          </w:p>
          <w:p w:rsidR="00915E53" w:rsidRDefault="004606D3">
            <w:pPr>
              <w:pStyle w:val="TableContents"/>
              <w:numPr>
                <w:ilvl w:val="0"/>
                <w:numId w:val="1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Սպառազինության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հանդերձանքի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միջոցներով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ապահովում</w:t>
            </w:r>
          </w:p>
          <w:p w:rsidR="00915E53" w:rsidRDefault="004606D3">
            <w:pPr>
              <w:pStyle w:val="TableContents"/>
              <w:numPr>
                <w:ilvl w:val="0"/>
                <w:numId w:val="11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Մասնակցություն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կազմակերպված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զորավարժություններին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մասնակցությունը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միջազգային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խաղաղապահ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գործողություններին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12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խաղաղապահ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բրիգադի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առաքելություն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Կոսովոյում</w:t>
            </w:r>
            <w:r>
              <w:rPr>
                <w:rFonts w:ascii="GHEA Grapalat" w:hAnsi="GHEA Grapalat"/>
                <w:lang w:val="hy-AM"/>
              </w:rPr>
              <w:t xml:space="preserve"> 2012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ից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ամերիկյան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հրամանատարության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</w:t>
            </w:r>
            <w:r>
              <w:rPr>
                <w:rFonts w:ascii="GHEA Grapalat" w:hAnsi="GHEA Grapalat"/>
                <w:lang w:val="hy-AM"/>
              </w:rPr>
              <w:t>րքո</w:t>
            </w:r>
          </w:p>
          <w:p w:rsidR="00915E53" w:rsidRDefault="004606D3">
            <w:pPr>
              <w:pStyle w:val="TableContents"/>
              <w:numPr>
                <w:ilvl w:val="0"/>
                <w:numId w:val="12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ՆԱՏՕ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«</w:t>
            </w:r>
            <w:r>
              <w:rPr>
                <w:rFonts w:ascii="GHEA Grapalat" w:hAnsi="GHEA Grapalat"/>
                <w:lang w:val="hy-AM"/>
              </w:rPr>
              <w:t>Վճռական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աջակցություն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առաքելություն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Աֆղանստանում</w:t>
            </w:r>
          </w:p>
          <w:p w:rsidR="00915E53" w:rsidRDefault="004606D3">
            <w:pPr>
              <w:pStyle w:val="TableContents"/>
              <w:numPr>
                <w:ilvl w:val="0"/>
                <w:numId w:val="12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ՄԱԿ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ՅՈՒՆԻՖԻԼ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առաքելություն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Լիբանանում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իտալական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հրամանատարության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ներքո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80EC6" w:rsidRDefault="004606D3">
            <w:pPr>
              <w:pStyle w:val="TableContents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Սահմանային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կառավարում</w:t>
            </w:r>
            <w:r w:rsidR="00080EC6">
              <w:rPr>
                <w:rFonts w:ascii="GHEA Grapalat" w:hAnsi="GHEA Grapalat"/>
                <w:lang w:val="hy-AM"/>
              </w:rPr>
              <w:t>/</w:t>
            </w:r>
            <w:bookmarkStart w:id="0" w:name="_GoBack"/>
            <w:bookmarkEnd w:id="0"/>
          </w:p>
          <w:p w:rsidR="00915E53" w:rsidRDefault="00080EC6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կենսաանվտանգության ոլորտ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13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DTRA-</w:t>
            </w:r>
            <w:r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(Defense Threat Reduction Agency)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իրականացվող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ծրագիր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ուղղված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պաշտպանական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վտանգների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նվազեցմանը</w:t>
            </w:r>
          </w:p>
          <w:p w:rsidR="00915E53" w:rsidRDefault="004606D3">
            <w:pPr>
              <w:pStyle w:val="TableContents"/>
              <w:numPr>
                <w:ilvl w:val="0"/>
                <w:numId w:val="13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Էներգետիկայի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քարտուղարության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միջոցով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իրականացվող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ծրագիր</w:t>
            </w:r>
          </w:p>
          <w:p w:rsidR="00915E53" w:rsidRDefault="004606D3">
            <w:pPr>
              <w:pStyle w:val="TableContents"/>
              <w:numPr>
                <w:ilvl w:val="0"/>
                <w:numId w:val="13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Արտահանումների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վերահսկմանն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ուղղված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ծրագիր</w:t>
            </w:r>
          </w:p>
        </w:tc>
      </w:tr>
      <w:tr w:rsidR="00915E53"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Առևտրատնտեսական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հարաբերություններ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Առևտրի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ներդրումների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շրջանակային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համաձայնագրի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խորհուրդ</w:t>
            </w:r>
            <w:r>
              <w:rPr>
                <w:rFonts w:ascii="GHEA Grapalat" w:hAnsi="GHEA Grapalat"/>
                <w:lang w:val="hy-AM"/>
              </w:rPr>
              <w:t xml:space="preserve"> (Trade and Investment Framework Agreement, TIFA)` </w:t>
            </w:r>
            <w:r>
              <w:rPr>
                <w:rFonts w:ascii="GHEA Grapalat" w:hAnsi="GHEA Grapalat"/>
                <w:lang w:val="hy-AM"/>
              </w:rPr>
              <w:t>2015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ից</w:t>
            </w:r>
          </w:p>
          <w:p w:rsidR="00915E53" w:rsidRDefault="00915E53">
            <w:pPr>
              <w:pStyle w:val="TableContents"/>
              <w:rPr>
                <w:rFonts w:ascii="GHEA Grapalat" w:hAnsi="GHEA Grapalat" w:hint="eastAsia"/>
                <w:i/>
                <w:iCs/>
                <w:lang w:val="hy-AM"/>
              </w:rPr>
            </w:pPr>
          </w:p>
          <w:p w:rsidR="00915E53" w:rsidRDefault="00915E53">
            <w:pPr>
              <w:pStyle w:val="TableContents"/>
              <w:rPr>
                <w:rFonts w:ascii="GHEA Grapalat" w:hAnsi="GHEA Grapalat" w:hint="eastAsia"/>
                <w:i/>
                <w:iCs/>
                <w:lang w:val="hy-AM"/>
              </w:rPr>
            </w:pPr>
          </w:p>
          <w:p w:rsidR="00915E53" w:rsidRDefault="00915E53">
            <w:pPr>
              <w:pStyle w:val="TableContents"/>
              <w:rPr>
                <w:rFonts w:ascii="GHEA Grapalat" w:hAnsi="GHEA Grapalat" w:hint="eastAsia"/>
                <w:i/>
                <w:iCs/>
                <w:lang w:val="hy-AM"/>
              </w:rPr>
            </w:pPr>
          </w:p>
          <w:p w:rsidR="00915E53" w:rsidRPr="005C0E58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i/>
                <w:iCs/>
                <w:lang w:val="hy-AM"/>
              </w:rPr>
              <w:t>Առաջին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lang w:val="hy-AM"/>
              </w:rPr>
              <w:t>նիստ</w:t>
            </w:r>
            <w:r>
              <w:rPr>
                <w:rFonts w:ascii="GHEA Grapalat" w:hAnsi="GHEA Grapalat"/>
                <w:i/>
                <w:iCs/>
                <w:lang w:val="hy-AM"/>
              </w:rPr>
              <w:t>` 2018</w:t>
            </w:r>
            <w:r>
              <w:rPr>
                <w:rFonts w:ascii="GHEA Grapalat" w:hAnsi="GHEA Grapalat"/>
                <w:i/>
                <w:iCs/>
                <w:lang w:val="hy-AM"/>
              </w:rPr>
              <w:t>թ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. </w:t>
            </w:r>
            <w:r>
              <w:rPr>
                <w:rFonts w:ascii="GHEA Grapalat" w:hAnsi="GHEA Grapalat"/>
                <w:i/>
                <w:iCs/>
                <w:lang w:val="hy-AM"/>
              </w:rPr>
              <w:t>մարտ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, </w:t>
            </w:r>
            <w:r>
              <w:rPr>
                <w:rFonts w:ascii="GHEA Grapalat" w:hAnsi="GHEA Grapalat"/>
                <w:i/>
                <w:iCs/>
                <w:lang w:val="hy-AM"/>
              </w:rPr>
              <w:t>Վաշինգտոն</w:t>
            </w:r>
          </w:p>
          <w:p w:rsidR="00915E53" w:rsidRPr="005C0E58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i/>
                <w:iCs/>
                <w:lang w:val="hy-AM"/>
              </w:rPr>
              <w:t>Հաջորդ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lang w:val="hy-AM"/>
              </w:rPr>
              <w:t>նիստ</w:t>
            </w:r>
            <w:r>
              <w:rPr>
                <w:rFonts w:ascii="GHEA Grapalat" w:hAnsi="GHEA Grapalat"/>
                <w:i/>
                <w:iCs/>
                <w:lang w:val="hy-AM"/>
              </w:rPr>
              <w:t>` 2020</w:t>
            </w:r>
            <w:r>
              <w:rPr>
                <w:rFonts w:ascii="GHEA Grapalat" w:hAnsi="GHEA Grapalat"/>
                <w:i/>
                <w:iCs/>
                <w:lang w:val="hy-AM"/>
              </w:rPr>
              <w:t>թ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. </w:t>
            </w:r>
            <w:r>
              <w:rPr>
                <w:rFonts w:ascii="GHEA Grapalat" w:hAnsi="GHEA Grapalat"/>
                <w:i/>
                <w:iCs/>
                <w:lang w:val="hy-AM"/>
              </w:rPr>
              <w:t>հունվար</w:t>
            </w:r>
            <w:r>
              <w:rPr>
                <w:rFonts w:ascii="GHEA Grapalat" w:hAnsi="GHEA Grapalat"/>
                <w:i/>
                <w:iCs/>
                <w:lang w:val="hy-AM"/>
              </w:rPr>
              <w:t xml:space="preserve">, </w:t>
            </w:r>
            <w:r>
              <w:rPr>
                <w:rFonts w:ascii="GHEA Grapalat" w:hAnsi="GHEA Grapalat"/>
                <w:i/>
                <w:iCs/>
                <w:lang w:val="hy-AM"/>
              </w:rPr>
              <w:t>Երևան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1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Առևտրի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տեխնիկական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խոչընդոտներ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Մաքսային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Սանիտարական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ֆիտոսանիտարական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նորմեր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Մտավոր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սեփականություն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աշխատանքային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իրավունք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Առցանց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առևտրի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հարթակների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Արտոնությունների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ընդհանրացված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համակարգ</w:t>
            </w:r>
            <w:r>
              <w:rPr>
                <w:rFonts w:ascii="GHEA Grapalat" w:hAnsi="GHEA Grapalat"/>
                <w:lang w:val="hy-AM"/>
              </w:rPr>
              <w:t xml:space="preserve"> (GSP) </w:t>
            </w:r>
          </w:p>
          <w:p w:rsidR="00915E53" w:rsidRDefault="004606D3">
            <w:pPr>
              <w:pStyle w:val="TableContents"/>
              <w:numPr>
                <w:ilvl w:val="0"/>
                <w:numId w:val="1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Ներդրումային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միջավայրի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բարելավում</w:t>
            </w:r>
            <w:r>
              <w:rPr>
                <w:rFonts w:ascii="GHEA Grapalat" w:hAnsi="GHEA Grapalat"/>
                <w:lang w:val="hy-AM"/>
              </w:rPr>
              <w:t xml:space="preserve"> (Contour Global-</w:t>
            </w:r>
            <w:r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«</w:t>
            </w:r>
            <w:r>
              <w:rPr>
                <w:rFonts w:ascii="GHEA Grapalat" w:hAnsi="GHEA Grapalat"/>
                <w:lang w:val="hy-AM"/>
              </w:rPr>
              <w:t>Որոտան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Կասկադ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Lidian International-</w:t>
            </w:r>
            <w:r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«</w:t>
            </w:r>
            <w:r>
              <w:rPr>
                <w:rFonts w:ascii="GHEA Grapalat" w:hAnsi="GHEA Grapalat"/>
                <w:lang w:val="hy-AM"/>
              </w:rPr>
              <w:t>Ամուլսար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ծրագրեր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ՏՏ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Արևային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էներգետ</w:t>
            </w:r>
            <w:r>
              <w:rPr>
                <w:rFonts w:ascii="GHEA Grapalat" w:hAnsi="GHEA Grapalat"/>
                <w:lang w:val="hy-AM"/>
              </w:rPr>
              <w:t>իկայի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Արարատյան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դաշտի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ջրային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պաշարների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տնօրինում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4"/>
              </w:numPr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t>Համագործակցություն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բնապահպանության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ոլորտում</w:t>
            </w:r>
          </w:p>
        </w:tc>
      </w:tr>
      <w:tr w:rsidR="00915E53"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Հայաստան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ապրանքաշրջանառությունը</w:t>
            </w:r>
            <w:r>
              <w:rPr>
                <w:rFonts w:ascii="GHEA Grapalat" w:hAnsi="GHEA Grapalat"/>
                <w:lang w:val="hy-AM"/>
              </w:rPr>
              <w:t xml:space="preserve"> 2011-2018</w:t>
            </w:r>
            <w:r>
              <w:rPr>
                <w:rFonts w:ascii="GHEA Grapalat" w:hAnsi="GHEA Grapalat"/>
                <w:lang w:val="hy-AM"/>
              </w:rPr>
              <w:t>թթ</w:t>
            </w:r>
            <w:r>
              <w:rPr>
                <w:rFonts w:ascii="GHEA Grapalat" w:hAnsi="GHEA Grapalat"/>
                <w:lang w:val="hy-AM"/>
              </w:rPr>
              <w:t>.</w:t>
            </w: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Տե՛ս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Հավելված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2</w:t>
            </w:r>
          </w:p>
        </w:tc>
      </w:tr>
      <w:tr w:rsidR="00915E53"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Հայաստան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ապրանքաշրջանառությունը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(2018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առաջին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կիսամյակ</w:t>
            </w:r>
            <w:r>
              <w:rPr>
                <w:rFonts w:ascii="GHEA Grapalat" w:hAnsi="GHEA Grapalat"/>
                <w:lang w:val="hy-AM"/>
              </w:rPr>
              <w:t>, 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առաջին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կիսամյակ</w:t>
            </w:r>
            <w:r>
              <w:rPr>
                <w:rFonts w:ascii="GHEA Grapalat" w:hAnsi="GHEA Grapalat"/>
                <w:lang w:val="hy-AM"/>
              </w:rPr>
              <w:t>)</w:t>
            </w: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Տե՛ս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Հավելված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3</w:t>
            </w:r>
          </w:p>
        </w:tc>
      </w:tr>
      <w:tr w:rsidR="00915E53"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Առևտրային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բանկերի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միջոցով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ֆիզիկական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անձանց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անունով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դեպի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իրականացված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փոխանցումների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գումարը</w:t>
            </w: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Տե՛ս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Հավելված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4</w:t>
            </w:r>
          </w:p>
        </w:tc>
      </w:tr>
      <w:tr w:rsidR="00915E53">
        <w:tc>
          <w:tcPr>
            <w:tcW w:w="33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ԱՄՆ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արտաքին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օգնությունը</w:t>
            </w:r>
          </w:p>
        </w:tc>
        <w:tc>
          <w:tcPr>
            <w:tcW w:w="6648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 xml:space="preserve">60 </w:t>
            </w:r>
            <w:r>
              <w:rPr>
                <w:rFonts w:ascii="GHEA Grapalat" w:hAnsi="GHEA Grapalat"/>
                <w:b/>
                <w:bCs/>
                <w:lang w:val="hy-AM"/>
              </w:rPr>
              <w:t>միլիոն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ԱՄՆ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դոլար</w:t>
            </w:r>
            <w:r>
              <w:rPr>
                <w:rFonts w:ascii="GHEA Grapalat" w:hAnsi="GHEA Grapalat"/>
                <w:lang w:val="hy-AM"/>
              </w:rPr>
              <w:t xml:space="preserve"> 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համար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ամենազգալի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աջակցությունը</w:t>
            </w:r>
            <w:r>
              <w:rPr>
                <w:rFonts w:ascii="GHEA Grapalat" w:hAnsi="GHEA Grapalat"/>
                <w:lang w:val="hy-AM"/>
              </w:rPr>
              <w:t xml:space="preserve"> 2000-</w:t>
            </w:r>
            <w:r>
              <w:rPr>
                <w:rFonts w:ascii="GHEA Grapalat" w:hAnsi="GHEA Grapalat"/>
                <w:lang w:val="hy-AM"/>
              </w:rPr>
              <w:t>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թթ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40% </w:t>
            </w:r>
            <w:r>
              <w:rPr>
                <w:rFonts w:ascii="GHEA Grapalat" w:hAnsi="GHEA Grapalat"/>
                <w:lang w:val="hy-AM"/>
              </w:rPr>
              <w:t>աճ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նախորդ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տարվա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համեմատ</w:t>
            </w:r>
          </w:p>
        </w:tc>
      </w:tr>
      <w:tr w:rsidR="00915E53">
        <w:tc>
          <w:tcPr>
            <w:tcW w:w="33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ԱՄՆ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Միջազգային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զարգացման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գործակալության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</w:rPr>
              <w:t xml:space="preserve">(United States Agency for International Development, USAID) </w:t>
            </w:r>
            <w:r>
              <w:rPr>
                <w:rFonts w:ascii="GHEA Grapalat" w:hAnsi="GHEA Grapalat"/>
                <w:b/>
                <w:bCs/>
                <w:lang w:val="hy-AM"/>
              </w:rPr>
              <w:t>ծրագրեր</w:t>
            </w:r>
          </w:p>
          <w:p w:rsidR="00915E53" w:rsidRPr="005C0E58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 w:rsidRPr="005C0E58">
              <w:rPr>
                <w:rFonts w:ascii="GHEA Grapalat" w:hAnsi="GHEA Grapalat"/>
                <w:b/>
                <w:bCs/>
                <w:lang w:val="hy-AM"/>
              </w:rPr>
              <w:t>(2019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>թ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 xml:space="preserve">. 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>նախատեսված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 xml:space="preserve"> 60 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>մլն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 xml:space="preserve">. 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>ԱՄՆ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>դոլարի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 xml:space="preserve"> 60%-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>ը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>)</w:t>
            </w:r>
          </w:p>
        </w:tc>
        <w:tc>
          <w:tcPr>
            <w:tcW w:w="6648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Pr="005C0E58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Իմ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Հայաստան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մշակութային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ծրագիր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Սմիթսոնիան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հաստատության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(7.8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Pr="005C0E58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Գյուղական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համայնքների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զարգացում</w:t>
            </w:r>
            <w:r>
              <w:rPr>
                <w:rFonts w:ascii="GHEA Grapalat" w:hAnsi="GHEA Grapalat"/>
                <w:lang w:val="hy-AM"/>
              </w:rPr>
              <w:t xml:space="preserve"> (3.9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Pr="005C0E58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Գյուղատնտեսական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ձեռնարկատիրության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ծրագիր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Վիրջինիայի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տեխնիկական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համալսարանի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(3.9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Pr="005C0E58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Արարատյան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դաշտավայրում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ջրային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ռեսուրսների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արդյունավետ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օգտագործում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ձկնաբուծություն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վերականգնվող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էներգետիկայի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զարգացում</w:t>
            </w:r>
            <w:r>
              <w:rPr>
                <w:rFonts w:ascii="GHEA Grapalat" w:hAnsi="GHEA Grapalat"/>
                <w:lang w:val="hy-AM"/>
              </w:rPr>
              <w:t xml:space="preserve"> (4.9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Pr="005C0E58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Շուկայի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ազատականացում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Վրաստանի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էլեկտրաէներգիայի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վաճառքի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շուրջ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համագործակցություն</w:t>
            </w:r>
            <w:r>
              <w:rPr>
                <w:rFonts w:ascii="GHEA Grapalat" w:hAnsi="GHEA Grapalat"/>
                <w:lang w:val="hy-AM"/>
              </w:rPr>
              <w:t xml:space="preserve"> (7.9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Pr="005C0E58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Աջակցություն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կառավարությանը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բարեփոխումների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իրականացման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ոլորտում</w:t>
            </w:r>
            <w:r>
              <w:rPr>
                <w:rFonts w:ascii="GHEA Grapalat" w:hAnsi="GHEA Grapalat"/>
                <w:lang w:val="hy-AM"/>
              </w:rPr>
              <w:t xml:space="preserve"> (2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Ընտրական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բարեփոխումներ</w:t>
            </w:r>
            <w:r>
              <w:rPr>
                <w:rFonts w:ascii="GHEA Grapalat" w:hAnsi="GHEA Grapalat"/>
                <w:lang w:val="hy-AM"/>
              </w:rPr>
              <w:t xml:space="preserve"> (12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Զանգվածային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լրատվամիջոցներին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աջակցություն</w:t>
            </w:r>
            <w:r>
              <w:rPr>
                <w:rFonts w:ascii="GHEA Grapalat" w:hAnsi="GHEA Grapalat"/>
                <w:lang w:val="hy-AM"/>
              </w:rPr>
              <w:t xml:space="preserve"> (5.1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Տեղական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ինքնակառավարման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մարմինների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բարեփոխումներ</w:t>
            </w:r>
            <w:r>
              <w:rPr>
                <w:rFonts w:ascii="GHEA Grapalat" w:hAnsi="GHEA Grapalat"/>
                <w:lang w:val="hy-AM"/>
              </w:rPr>
              <w:t xml:space="preserve"> (4.3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Կոռուպցիայի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պայքար</w:t>
            </w:r>
            <w:r>
              <w:rPr>
                <w:rFonts w:ascii="GHEA Grapalat" w:hAnsi="GHEA Grapalat"/>
                <w:lang w:val="hy-AM"/>
              </w:rPr>
              <w:t xml:space="preserve"> (4.2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ՀԿ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զարգացմանն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ուղղված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ծրագրեր</w:t>
            </w:r>
            <w:r>
              <w:rPr>
                <w:rFonts w:ascii="GHEA Grapalat" w:hAnsi="GHEA Grapalat"/>
                <w:lang w:val="hy-AM"/>
              </w:rPr>
              <w:t xml:space="preserve"> (1.9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Մարդու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իրավունքների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խախտումների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պայքար</w:t>
            </w:r>
            <w:r>
              <w:rPr>
                <w:rFonts w:ascii="GHEA Grapalat" w:hAnsi="GHEA Grapalat"/>
                <w:lang w:val="hy-AM"/>
              </w:rPr>
              <w:t xml:space="preserve"> (1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>)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Իմ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Հայաստան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մշակութային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ծրագիր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Սմիթսոնիան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հաստատության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(7.8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Գյուղական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համայնքների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զարգացում</w:t>
            </w:r>
            <w:r>
              <w:rPr>
                <w:rFonts w:ascii="GHEA Grapalat" w:hAnsi="GHEA Grapalat"/>
                <w:lang w:val="hy-AM"/>
              </w:rPr>
              <w:t xml:space="preserve"> (3.9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Գյուղատնտեսական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ձեռնարկատիրության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ծրագիր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Վիրջինիայի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տեխնիկական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համալսարանի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(3.9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Արարատյան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դաշտավայրում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ջրային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ռեսուրսների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արդյունավետ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օգտագործում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ձկնաբուծություն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վերականգնվող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էներգետիկայի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զարգացում</w:t>
            </w:r>
            <w:r>
              <w:rPr>
                <w:rFonts w:ascii="GHEA Grapalat" w:hAnsi="GHEA Grapalat"/>
                <w:lang w:val="hy-AM"/>
              </w:rPr>
              <w:t xml:space="preserve"> (4.9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Շուկայի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ազատականացում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Վրաստանի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էլեկտրաէներգիայի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վաճառքի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շուրջ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համագործակցություն</w:t>
            </w:r>
            <w:r>
              <w:rPr>
                <w:rFonts w:ascii="GHEA Grapalat" w:hAnsi="GHEA Grapalat"/>
                <w:lang w:val="hy-AM"/>
              </w:rPr>
              <w:t xml:space="preserve"> (7.9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Աջակցություն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</w:t>
            </w:r>
            <w:r>
              <w:rPr>
                <w:rFonts w:ascii="GHEA Grapalat" w:hAnsi="GHEA Grapalat"/>
                <w:lang w:val="hy-AM"/>
              </w:rPr>
              <w:t>ավարությանը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տնտեսական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բարեփոխումների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իրականացման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ոլորտում</w:t>
            </w:r>
            <w:r>
              <w:rPr>
                <w:rFonts w:ascii="GHEA Grapalat" w:hAnsi="GHEA Grapalat"/>
                <w:lang w:val="hy-AM"/>
              </w:rPr>
              <w:t xml:space="preserve"> (2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Ընտրական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բարեփոխումներ</w:t>
            </w:r>
            <w:r>
              <w:rPr>
                <w:rFonts w:ascii="GHEA Grapalat" w:hAnsi="GHEA Grapalat"/>
                <w:lang w:val="hy-AM"/>
              </w:rPr>
              <w:t xml:space="preserve"> (12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Զանգվածային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լրատվամիջոցներին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աջակցություն</w:t>
            </w:r>
            <w:r>
              <w:rPr>
                <w:rFonts w:ascii="GHEA Grapalat" w:hAnsi="GHEA Grapalat"/>
                <w:lang w:val="hy-AM"/>
              </w:rPr>
              <w:t xml:space="preserve"> (5.1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Տեղական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ինքնակառավարման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մարմինների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բարեփոխումներ</w:t>
            </w:r>
            <w:r>
              <w:rPr>
                <w:rFonts w:ascii="GHEA Grapalat" w:hAnsi="GHEA Grapalat"/>
                <w:lang w:val="hy-AM"/>
              </w:rPr>
              <w:t xml:space="preserve"> (4.3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Կոռուպցիայի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պայքար</w:t>
            </w:r>
            <w:r>
              <w:rPr>
                <w:rFonts w:ascii="GHEA Grapalat" w:hAnsi="GHEA Grapalat"/>
                <w:lang w:val="hy-AM"/>
              </w:rPr>
              <w:t xml:space="preserve"> (4.2 </w:t>
            </w:r>
            <w:r>
              <w:rPr>
                <w:rFonts w:ascii="GHEA Grapalat" w:hAnsi="GHEA Grapalat"/>
                <w:lang w:val="hy-AM"/>
              </w:rPr>
              <w:t>միլ</w:t>
            </w:r>
            <w:r>
              <w:rPr>
                <w:rFonts w:ascii="GHEA Grapalat" w:hAnsi="GHEA Grapalat"/>
                <w:lang w:val="hy-AM"/>
              </w:rPr>
              <w:t>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ՀԿ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զարգացմանն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ուղղված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ծրագրեր</w:t>
            </w:r>
            <w:r>
              <w:rPr>
                <w:rFonts w:ascii="GHEA Grapalat" w:hAnsi="GHEA Grapalat"/>
                <w:lang w:val="hy-AM"/>
              </w:rPr>
              <w:t xml:space="preserve"> (1.9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Մարդու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իրավունքների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խախտումների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պայքար</w:t>
            </w:r>
            <w:r>
              <w:rPr>
                <w:rFonts w:ascii="GHEA Grapalat" w:hAnsi="GHEA Grapalat"/>
                <w:lang w:val="hy-AM"/>
              </w:rPr>
              <w:t xml:space="preserve"> (1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</w:tc>
      </w:tr>
      <w:tr w:rsidR="00915E53">
        <w:tc>
          <w:tcPr>
            <w:tcW w:w="997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lastRenderedPageBreak/>
              <w:t>Միջխորհրդարանական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կապեր</w:t>
            </w:r>
          </w:p>
        </w:tc>
      </w:tr>
      <w:tr w:rsidR="00915E53"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Աշխատանքներ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Ներկայացուցիչների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պալատի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Սենատի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</w:p>
          <w:p w:rsidR="00915E53" w:rsidRDefault="004606D3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Աշխատանքներ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Ներկայացուցիչների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պալատի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հարցերի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հանձնախմբի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</w:p>
        </w:tc>
        <w:tc>
          <w:tcPr>
            <w:tcW w:w="66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Կոնգրեսի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հարցերի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հանձնախմբում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նոր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կոնգրեսականների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ներգրավում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դեմոկրատ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հանրապետական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կոնգրեսականների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թվի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հավասարակշռում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աշխատանք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նորընտիր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կոնգրեսականների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Կոնգրեսի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Սենատի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ղեկավար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կազմի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հանդիպումներ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Փոխայցելությունների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կազմա</w:t>
            </w:r>
            <w:r>
              <w:rPr>
                <w:rFonts w:ascii="GHEA Grapalat" w:hAnsi="GHEA Grapalat"/>
                <w:lang w:val="hy-AM"/>
              </w:rPr>
              <w:t>կերպում</w:t>
            </w:r>
            <w:r>
              <w:rPr>
                <w:rFonts w:ascii="GHEA Grapalat" w:hAnsi="GHEA Grapalat"/>
                <w:lang w:val="hy-AM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կոնգրեսականների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այցերը</w:t>
            </w:r>
            <w:r>
              <w:rPr>
                <w:rFonts w:ascii="GHEA Grapalat" w:hAnsi="GHEA Grapalat"/>
                <w:lang w:val="hy-AM"/>
              </w:rPr>
              <w:t xml:space="preserve"> 2017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.-</w:t>
            </w:r>
            <w:r>
              <w:rPr>
                <w:rFonts w:ascii="GHEA Grapalat" w:hAnsi="GHEA Grapalat"/>
                <w:lang w:val="hy-AM"/>
              </w:rPr>
              <w:t>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իրականացվում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են</w:t>
            </w:r>
            <w:r>
              <w:rPr>
                <w:rFonts w:ascii="GHEA Grapalat" w:hAnsi="GHEA Grapalat"/>
                <w:lang w:val="hy-AM"/>
              </w:rPr>
              <w:t xml:space="preserve"> Mutual Education and Cultural Exchange Act (MECEA) </w:t>
            </w:r>
            <w:r>
              <w:rPr>
                <w:rFonts w:ascii="GHEA Grapalat" w:hAnsi="GHEA Grapalat"/>
                <w:lang w:val="hy-AM"/>
              </w:rPr>
              <w:t>ծրագրի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շրջանակներում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Հայաստանին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լրացուցիչ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ֆինանսական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աջակցություն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տրամադրելու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վերաբերյալ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բանաձևեր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Արցախին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տրամադրվող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մարդասիրական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աջակցությա</w:t>
            </w:r>
            <w:r>
              <w:rPr>
                <w:rFonts w:ascii="GHEA Grapalat" w:hAnsi="GHEA Grapalat"/>
                <w:lang w:val="hy-AM"/>
              </w:rPr>
              <w:t>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շարունակականություն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Կոնգրեսականների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այցելությունը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Արցախ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Հայոց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ցեղասպանության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ճանաչման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վերաբերյալ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բանաձևեր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16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Թուրքական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ադրբեջանական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լոբբինգին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հակազդելուն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ուղղված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ջանքեր</w:t>
            </w:r>
          </w:p>
        </w:tc>
      </w:tr>
      <w:tr w:rsidR="00915E53" w:rsidRPr="005C0E58">
        <w:tc>
          <w:tcPr>
            <w:tcW w:w="33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lastRenderedPageBreak/>
              <w:t>2019</w:t>
            </w:r>
            <w:r>
              <w:rPr>
                <w:rFonts w:ascii="GHEA Grapalat" w:hAnsi="GHEA Grapalat"/>
                <w:b/>
                <w:bCs/>
                <w:lang w:val="hy-AM"/>
              </w:rPr>
              <w:t>թ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lang w:val="hy-AM"/>
              </w:rPr>
              <w:t>ԱՄՆ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Կոնգրեսի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Ներկայացուցիչների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պալատի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կողմից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ընդունված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բանաձևեր</w:t>
            </w:r>
          </w:p>
        </w:tc>
        <w:tc>
          <w:tcPr>
            <w:tcW w:w="6648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Pr="005C0E58" w:rsidRDefault="004606D3">
            <w:pPr>
              <w:pStyle w:val="TableContents"/>
              <w:numPr>
                <w:ilvl w:val="0"/>
                <w:numId w:val="17"/>
              </w:numPr>
              <w:rPr>
                <w:rFonts w:hint="eastAsia"/>
                <w:lang w:val="hy-AM"/>
              </w:rPr>
            </w:pPr>
            <w:r w:rsidRPr="005C0E58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020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արտաքին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օգնության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վերաբերյալ</w:t>
            </w:r>
            <w:r>
              <w:rPr>
                <w:rFonts w:ascii="GHEA Grapalat" w:hAnsi="GHEA Grapalat"/>
                <w:lang w:val="hy-AM"/>
              </w:rPr>
              <w:t xml:space="preserve"> H.R.2740 </w:t>
            </w:r>
            <w:r>
              <w:rPr>
                <w:rFonts w:ascii="GHEA Grapalat" w:hAnsi="GHEA Grapalat"/>
                <w:lang w:val="hy-AM"/>
              </w:rPr>
              <w:t>բանաձևի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փոփոխություն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որով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Հայաստանի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ժողովրդավարական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զարգացմանն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ուղղվելու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լրացուցիչ</w:t>
            </w:r>
            <w:r>
              <w:rPr>
                <w:rFonts w:ascii="GHEA Grapalat" w:hAnsi="GHEA Grapalat"/>
                <w:lang w:val="hy-AM"/>
              </w:rPr>
              <w:t xml:space="preserve"> 40 </w:t>
            </w:r>
            <w:r>
              <w:rPr>
                <w:rFonts w:ascii="GHEA Grapalat" w:hAnsi="GHEA Grapalat"/>
                <w:lang w:val="hy-AM"/>
              </w:rPr>
              <w:t>միլիոն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դոլարի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օգնություն</w:t>
            </w:r>
            <w:r>
              <w:rPr>
                <w:rFonts w:ascii="GHEA Grapalat" w:hAnsi="GHEA Grapalat"/>
                <w:lang w:val="hy-AM"/>
              </w:rPr>
              <w:t xml:space="preserve">: </w:t>
            </w:r>
            <w:r>
              <w:rPr>
                <w:rFonts w:ascii="GHEA Grapalat" w:hAnsi="GHEA Grapalat"/>
                <w:lang w:val="hy-AM"/>
              </w:rPr>
              <w:t>Առաջ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քաշվել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հանձնախմբի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համանախագահ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Ջեքի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Սփիրի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: </w:t>
            </w:r>
            <w:r>
              <w:rPr>
                <w:rFonts w:ascii="GHEA Grapalat" w:hAnsi="GHEA Grapalat"/>
                <w:lang w:val="hy-AM"/>
              </w:rPr>
              <w:t>Ընդունվել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հունիսի</w:t>
            </w:r>
            <w:r>
              <w:rPr>
                <w:rFonts w:ascii="GHEA Grapalat" w:hAnsi="GHEA Grapalat"/>
                <w:lang w:val="hy-AM"/>
              </w:rPr>
              <w:t xml:space="preserve"> 18-</w:t>
            </w:r>
            <w:r>
              <w:rPr>
                <w:rFonts w:ascii="GHEA Grapalat" w:hAnsi="GHEA Grapalat"/>
                <w:lang w:val="hy-AM"/>
              </w:rPr>
              <w:t>ին</w:t>
            </w:r>
            <w:r>
              <w:rPr>
                <w:rFonts w:ascii="GHEA Grapalat" w:hAnsi="GHEA Grapalat"/>
                <w:lang w:val="hy-AM"/>
              </w:rPr>
              <w:t xml:space="preserve"> 268 </w:t>
            </w:r>
            <w:r>
              <w:rPr>
                <w:rFonts w:ascii="GHEA Grapalat" w:hAnsi="GHEA Grapalat"/>
                <w:lang w:val="hy-AM"/>
              </w:rPr>
              <w:t>կողմ</w:t>
            </w:r>
            <w:r>
              <w:rPr>
                <w:rFonts w:ascii="GHEA Grapalat" w:hAnsi="GHEA Grapalat"/>
                <w:lang w:val="hy-AM"/>
              </w:rPr>
              <w:t xml:space="preserve">/152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ձայների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հարաբերակցությամբ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:rsidR="00915E53" w:rsidRPr="005C0E58" w:rsidRDefault="004606D3">
            <w:pPr>
              <w:pStyle w:val="TableContents"/>
              <w:numPr>
                <w:ilvl w:val="0"/>
                <w:numId w:val="18"/>
              </w:numPr>
              <w:rPr>
                <w:rFonts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2020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Ազգային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պաշտպանական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արտոնությունների</w:t>
            </w:r>
            <w:r>
              <w:rPr>
                <w:rFonts w:ascii="GHEA Grapalat" w:hAnsi="GHEA Grapalat"/>
                <w:lang w:val="hy-AM"/>
              </w:rPr>
              <w:t xml:space="preserve"> H.R.2500 </w:t>
            </w:r>
            <w:r>
              <w:rPr>
                <w:rFonts w:ascii="GHEA Grapalat" w:hAnsi="GHEA Grapalat"/>
                <w:lang w:val="hy-AM"/>
              </w:rPr>
              <w:t>ակտում</w:t>
            </w:r>
            <w:r>
              <w:rPr>
                <w:rFonts w:ascii="GHEA Grapalat" w:hAnsi="GHEA Grapalat"/>
                <w:lang w:val="hy-AM"/>
              </w:rPr>
              <w:t xml:space="preserve"> (National Defense Authorization Act) </w:t>
            </w:r>
            <w:r>
              <w:rPr>
                <w:rFonts w:ascii="GHEA Grapalat" w:hAnsi="GHEA Grapalat"/>
                <w:lang w:val="hy-AM"/>
              </w:rPr>
              <w:t>կոնգրեսական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Շերմանի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առաջարկած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փոփոխություն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Ադրբեջանի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քաղաքացիական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օդանավերը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խոցելու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սպառնալիքին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</w:t>
            </w:r>
            <w:r>
              <w:rPr>
                <w:rFonts w:ascii="GHEA Grapalat" w:hAnsi="GHEA Grapalat"/>
                <w:lang w:val="hy-AM"/>
              </w:rPr>
              <w:t>կազդելու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վերաբերյալ</w:t>
            </w:r>
            <w:r>
              <w:rPr>
                <w:rFonts w:ascii="GHEA Grapalat" w:hAnsi="GHEA Grapalat"/>
                <w:lang w:val="hy-AM"/>
              </w:rPr>
              <w:t xml:space="preserve">: </w:t>
            </w:r>
            <w:r>
              <w:rPr>
                <w:rFonts w:ascii="GHEA Grapalat" w:hAnsi="GHEA Grapalat"/>
                <w:lang w:val="hy-AM"/>
              </w:rPr>
              <w:t>Ընդունվել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Ներկայացուցիչների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պալատի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 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հուլիսի</w:t>
            </w:r>
            <w:r>
              <w:rPr>
                <w:rFonts w:ascii="GHEA Grapalat" w:hAnsi="GHEA Grapalat"/>
                <w:lang w:val="hy-AM"/>
              </w:rPr>
              <w:t xml:space="preserve"> 11-</w:t>
            </w:r>
            <w:r>
              <w:rPr>
                <w:rFonts w:ascii="GHEA Grapalat" w:hAnsi="GHEA Grapalat"/>
                <w:lang w:val="hy-AM"/>
              </w:rPr>
              <w:t>ին</w:t>
            </w:r>
            <w:r>
              <w:rPr>
                <w:rFonts w:ascii="GHEA Grapalat" w:hAnsi="GHEA Grapalat"/>
                <w:lang w:val="hy-AM"/>
              </w:rPr>
              <w:t xml:space="preserve"> 234 </w:t>
            </w:r>
            <w:r>
              <w:rPr>
                <w:rFonts w:ascii="GHEA Grapalat" w:hAnsi="GHEA Grapalat"/>
                <w:lang w:val="hy-AM"/>
              </w:rPr>
              <w:t>կողմ</w:t>
            </w:r>
            <w:r>
              <w:rPr>
                <w:rFonts w:ascii="GHEA Grapalat" w:hAnsi="GHEA Grapalat"/>
                <w:lang w:val="hy-AM"/>
              </w:rPr>
              <w:t xml:space="preserve">/195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հարաբերակցությամբ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:rsidR="00915E53" w:rsidRPr="005C0E58" w:rsidRDefault="004606D3">
            <w:pPr>
              <w:pStyle w:val="TableContents"/>
              <w:numPr>
                <w:ilvl w:val="0"/>
                <w:numId w:val="19"/>
              </w:numPr>
              <w:rPr>
                <w:rFonts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H.Res.296 </w:t>
            </w:r>
            <w:r>
              <w:rPr>
                <w:rFonts w:ascii="GHEA Grapalat" w:hAnsi="GHEA Grapalat"/>
                <w:lang w:val="hy-AM"/>
              </w:rPr>
              <w:t>բանաձև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Ներկայացուցիչների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պալատի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Հայոց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ցեղասպանության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ճանաչման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վերաբերյալ</w:t>
            </w:r>
            <w:r>
              <w:rPr>
                <w:rFonts w:ascii="GHEA Grapalat" w:hAnsi="GHEA Grapalat"/>
                <w:lang w:val="hy-AM"/>
              </w:rPr>
              <w:t xml:space="preserve"> (2019-2020</w:t>
            </w:r>
            <w:r>
              <w:rPr>
                <w:rFonts w:ascii="GHEA Grapalat" w:hAnsi="GHEA Grapalat"/>
                <w:lang w:val="hy-AM"/>
              </w:rPr>
              <w:t>թթ</w:t>
            </w:r>
            <w:r>
              <w:rPr>
                <w:rFonts w:ascii="GHEA Grapalat" w:hAnsi="GHEA Grapalat"/>
                <w:lang w:val="hy-AM"/>
              </w:rPr>
              <w:t xml:space="preserve">.): </w:t>
            </w:r>
            <w:r>
              <w:rPr>
                <w:rFonts w:ascii="GHEA Grapalat" w:hAnsi="GHEA Grapalat"/>
                <w:lang w:val="hy-AM"/>
              </w:rPr>
              <w:t>Ընդունվել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հոկտեմբեր</w:t>
            </w:r>
            <w:r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30-</w:t>
            </w:r>
            <w:r>
              <w:rPr>
                <w:rFonts w:ascii="GHEA Grapalat" w:hAnsi="GHEA Grapalat"/>
                <w:lang w:val="hy-AM"/>
              </w:rPr>
              <w:t>ին</w:t>
            </w:r>
            <w:r>
              <w:rPr>
                <w:rFonts w:ascii="GHEA Grapalat" w:hAnsi="GHEA Grapalat"/>
                <w:lang w:val="hy-AM"/>
              </w:rPr>
              <w:t xml:space="preserve"> 405 </w:t>
            </w:r>
            <w:r>
              <w:rPr>
                <w:rFonts w:ascii="GHEA Grapalat" w:hAnsi="GHEA Grapalat"/>
                <w:lang w:val="hy-AM"/>
              </w:rPr>
              <w:t>կողմ</w:t>
            </w:r>
            <w:r>
              <w:rPr>
                <w:rFonts w:ascii="GHEA Grapalat" w:hAnsi="GHEA Grapalat"/>
                <w:lang w:val="hy-AM"/>
              </w:rPr>
              <w:t xml:space="preserve">/11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ձայների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հարաբերակցությամբ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</w:tr>
      <w:tr w:rsidR="00915E53" w:rsidRPr="005C0E58">
        <w:tc>
          <w:tcPr>
            <w:tcW w:w="33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Հայոց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ցեղասպանության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վերաբերյալ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2019</w:t>
            </w:r>
            <w:r>
              <w:rPr>
                <w:rFonts w:ascii="GHEA Grapalat" w:hAnsi="GHEA Grapalat"/>
                <w:b/>
                <w:bCs/>
                <w:lang w:val="hy-AM"/>
              </w:rPr>
              <w:t>թ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lang w:val="hy-AM"/>
              </w:rPr>
              <w:t>ԱՄՆ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Սենատ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ներկայացված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բանաձև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</w:p>
        </w:tc>
        <w:tc>
          <w:tcPr>
            <w:tcW w:w="6648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S.Res.150 </w:t>
            </w:r>
            <w:r>
              <w:rPr>
                <w:rFonts w:ascii="GHEA Grapalat" w:hAnsi="GHEA Grapalat"/>
                <w:lang w:val="hy-AM"/>
              </w:rPr>
              <w:t>բանաձևը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Հայոց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ցեղասպանության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ճանաչման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վերաբերյալ</w:t>
            </w:r>
            <w:r>
              <w:rPr>
                <w:rFonts w:ascii="GHEA Grapalat" w:hAnsi="GHEA Grapalat"/>
                <w:lang w:val="hy-AM"/>
              </w:rPr>
              <w:t xml:space="preserve"> (2019-2020</w:t>
            </w:r>
            <w:r>
              <w:rPr>
                <w:rFonts w:ascii="GHEA Grapalat" w:hAnsi="GHEA Grapalat"/>
                <w:lang w:val="hy-AM"/>
              </w:rPr>
              <w:t>թթ</w:t>
            </w:r>
            <w:r>
              <w:rPr>
                <w:rFonts w:ascii="GHEA Grapalat" w:hAnsi="GHEA Grapalat"/>
                <w:lang w:val="hy-AM"/>
              </w:rPr>
              <w:t xml:space="preserve">.) </w:t>
            </w:r>
            <w:r>
              <w:rPr>
                <w:rFonts w:ascii="GHEA Grapalat" w:hAnsi="GHEA Grapalat"/>
                <w:lang w:val="hy-AM"/>
              </w:rPr>
              <w:t>ներկայացվել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սենատոր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</w:t>
            </w:r>
            <w:r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>Մենենդեսի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 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ապրիլի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9-</w:t>
            </w:r>
            <w:r>
              <w:rPr>
                <w:rFonts w:ascii="GHEA Grapalat" w:hAnsi="GHEA Grapalat"/>
                <w:lang w:val="hy-AM"/>
              </w:rPr>
              <w:t>ին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:rsidR="00915E53" w:rsidRDefault="00915E5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Այն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արդեն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համահեղինակել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23 </w:t>
            </w:r>
            <w:r>
              <w:rPr>
                <w:rFonts w:ascii="GHEA Grapalat" w:hAnsi="GHEA Grapalat"/>
                <w:lang w:val="hy-AM"/>
              </w:rPr>
              <w:t>սենատոր</w:t>
            </w:r>
            <w:r>
              <w:rPr>
                <w:rFonts w:ascii="GHEA Grapalat" w:hAnsi="GHEA Grapalat"/>
                <w:lang w:val="hy-AM"/>
              </w:rPr>
              <w:t xml:space="preserve"> (17 </w:t>
            </w:r>
            <w:r>
              <w:rPr>
                <w:rFonts w:ascii="GHEA Grapalat" w:hAnsi="GHEA Grapalat"/>
                <w:lang w:val="hy-AM"/>
              </w:rPr>
              <w:t>դեմոկրատ</w:t>
            </w:r>
            <w:r>
              <w:rPr>
                <w:rFonts w:ascii="GHEA Grapalat" w:hAnsi="GHEA Grapalat"/>
                <w:lang w:val="hy-AM"/>
              </w:rPr>
              <w:t xml:space="preserve">, 5 </w:t>
            </w:r>
            <w:r>
              <w:rPr>
                <w:rFonts w:ascii="GHEA Grapalat" w:hAnsi="GHEA Grapalat"/>
                <w:lang w:val="hy-AM"/>
              </w:rPr>
              <w:lastRenderedPageBreak/>
              <w:t>հանրապետական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1 </w:t>
            </w:r>
            <w:r>
              <w:rPr>
                <w:rFonts w:ascii="GHEA Grapalat" w:hAnsi="GHEA Grapalat"/>
                <w:lang w:val="hy-AM"/>
              </w:rPr>
              <w:t>անկախ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սենատոր</w:t>
            </w:r>
            <w:r>
              <w:rPr>
                <w:rFonts w:ascii="GHEA Grapalat" w:hAnsi="GHEA Grapalat"/>
                <w:lang w:val="hy-AM"/>
              </w:rPr>
              <w:t xml:space="preserve">): </w:t>
            </w:r>
          </w:p>
          <w:p w:rsidR="00915E53" w:rsidRDefault="00915E5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Բանաձևը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կընդունվի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պարզ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մեծամասնությամբ</w:t>
            </w:r>
            <w:r>
              <w:rPr>
                <w:rFonts w:ascii="GHEA Grapalat" w:hAnsi="GHEA Grapalat"/>
                <w:lang w:val="hy-AM"/>
              </w:rPr>
              <w:t xml:space="preserve"> (51 </w:t>
            </w:r>
            <w:r>
              <w:rPr>
                <w:rFonts w:ascii="GHEA Grapalat" w:hAnsi="GHEA Grapalat"/>
                <w:lang w:val="hy-AM"/>
              </w:rPr>
              <w:t>կողմ</w:t>
            </w:r>
            <w:r>
              <w:rPr>
                <w:rFonts w:ascii="GHEA Grapalat" w:hAnsi="GHEA Grapalat"/>
                <w:lang w:val="hy-AM"/>
              </w:rPr>
              <w:t xml:space="preserve">), </w:t>
            </w:r>
            <w:r>
              <w:rPr>
                <w:rFonts w:ascii="GHEA Grapalat" w:hAnsi="GHEA Grapalat"/>
                <w:lang w:val="hy-AM"/>
              </w:rPr>
              <w:t>սակայն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սենատորներից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յուրաքանչյուրը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արգելափակել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բանաձևը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քննարկման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դնելը</w:t>
            </w:r>
            <w:r>
              <w:rPr>
                <w:rFonts w:ascii="GHEA Grapalat" w:hAnsi="GHEA Grapalat"/>
                <w:lang w:val="hy-AM"/>
              </w:rPr>
              <w:t xml:space="preserve">: </w:t>
            </w:r>
          </w:p>
        </w:tc>
      </w:tr>
      <w:tr w:rsidR="00915E53">
        <w:tc>
          <w:tcPr>
            <w:tcW w:w="33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lastRenderedPageBreak/>
              <w:t>ԱՄՆ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Կոնգրեսի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House Democracy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Partnership </w:t>
            </w:r>
            <w:r>
              <w:rPr>
                <w:rFonts w:ascii="GHEA Grapalat" w:hAnsi="GHEA Grapalat"/>
                <w:b/>
                <w:bCs/>
                <w:lang w:val="hy-AM"/>
              </w:rPr>
              <w:t>երկկուսակցական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հանձնաժողովի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և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Ազգային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ժողովի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միջև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համագործակցության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հաստատում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(</w:t>
            </w:r>
            <w:r>
              <w:rPr>
                <w:rFonts w:ascii="GHEA Grapalat" w:hAnsi="GHEA Grapalat"/>
                <w:b/>
                <w:bCs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lang w:val="hy-AM"/>
              </w:rPr>
              <w:t>ը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անդամակցության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գործընթացն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ընթացքի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մեջ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է</w:t>
            </w:r>
            <w:r w:rsidRPr="005C0E58">
              <w:rPr>
                <w:rFonts w:ascii="GHEA Grapalat" w:hAnsi="GHEA Grapalat"/>
                <w:b/>
                <w:bCs/>
                <w:lang w:val="hy-AM"/>
              </w:rPr>
              <w:t>)</w:t>
            </w:r>
          </w:p>
        </w:tc>
        <w:tc>
          <w:tcPr>
            <w:tcW w:w="6648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20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Փոխայցելություններ</w:t>
            </w:r>
          </w:p>
          <w:p w:rsidR="00915E53" w:rsidRDefault="004606D3">
            <w:pPr>
              <w:pStyle w:val="TableContents"/>
              <w:numPr>
                <w:ilvl w:val="0"/>
                <w:numId w:val="20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Մասնակցություն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հանձնաժողովի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կազմակերպվող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միջոցառումներին</w:t>
            </w:r>
          </w:p>
          <w:p w:rsidR="00915E53" w:rsidRDefault="004606D3">
            <w:pPr>
              <w:pStyle w:val="TableContents"/>
              <w:numPr>
                <w:ilvl w:val="0"/>
                <w:numId w:val="20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Մասնագիտական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վերապատրաստում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խորհ</w:t>
            </w:r>
            <w:r>
              <w:rPr>
                <w:rFonts w:ascii="GHEA Grapalat" w:hAnsi="GHEA Grapalat"/>
                <w:lang w:val="hy-AM"/>
              </w:rPr>
              <w:t>րդարանականների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Ազգային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ժողովի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աշխատակազմի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անդամների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համար</w:t>
            </w:r>
          </w:p>
          <w:p w:rsidR="00915E53" w:rsidRDefault="004606D3">
            <w:pPr>
              <w:pStyle w:val="TableContents"/>
              <w:numPr>
                <w:ilvl w:val="0"/>
                <w:numId w:val="20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Տեխնիկական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աջակցություն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ուղղված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օրենսդիր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մարմնի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արդյունավետության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բարձրացմանը</w:t>
            </w:r>
          </w:p>
        </w:tc>
      </w:tr>
      <w:tr w:rsidR="00915E53">
        <w:tc>
          <w:tcPr>
            <w:tcW w:w="997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Ապակենտրոնացված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համագործակցություն</w:t>
            </w:r>
          </w:p>
        </w:tc>
      </w:tr>
      <w:tr w:rsidR="00915E53">
        <w:tc>
          <w:tcPr>
            <w:tcW w:w="33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Քույր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քաղաք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համաձայնագրեր</w:t>
            </w:r>
          </w:p>
        </w:tc>
        <w:tc>
          <w:tcPr>
            <w:tcW w:w="6648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21"/>
              </w:numPr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Լոս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Անջելես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(</w:t>
            </w:r>
            <w:r>
              <w:rPr>
                <w:rFonts w:ascii="GHEA Grapalat" w:hAnsi="GHEA Grapalat"/>
                <w:lang w:val="hy-AM"/>
              </w:rPr>
              <w:t>Կալիֆորնիա</w:t>
            </w:r>
            <w:r>
              <w:rPr>
                <w:rFonts w:ascii="GHEA Grapalat" w:hAnsi="GHEA Grapalat"/>
                <w:lang w:val="ru-RU"/>
              </w:rPr>
              <w:t>)</w:t>
            </w:r>
          </w:p>
          <w:p w:rsidR="00915E53" w:rsidRDefault="004606D3">
            <w:pPr>
              <w:pStyle w:val="TableContents"/>
              <w:numPr>
                <w:ilvl w:val="0"/>
                <w:numId w:val="21"/>
              </w:numPr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Քեմրիջ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(</w:t>
            </w:r>
            <w:r>
              <w:rPr>
                <w:rFonts w:ascii="GHEA Grapalat" w:hAnsi="GHEA Grapalat"/>
                <w:lang w:val="hy-AM"/>
              </w:rPr>
              <w:t>Մասաչուսեթս</w:t>
            </w:r>
            <w:r>
              <w:rPr>
                <w:rFonts w:ascii="GHEA Grapalat" w:hAnsi="GHEA Grapalat"/>
                <w:lang w:val="ru-RU"/>
              </w:rPr>
              <w:t>)</w:t>
            </w:r>
          </w:p>
          <w:p w:rsidR="00915E53" w:rsidRDefault="004606D3">
            <w:pPr>
              <w:pStyle w:val="TableContents"/>
              <w:numPr>
                <w:ilvl w:val="0"/>
                <w:numId w:val="21"/>
              </w:numPr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Վանաձոր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Պասադենա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(</w:t>
            </w:r>
            <w:r>
              <w:rPr>
                <w:rFonts w:ascii="GHEA Grapalat" w:hAnsi="GHEA Grapalat"/>
                <w:lang w:val="hy-AM"/>
              </w:rPr>
              <w:t>Կալիֆորնիա</w:t>
            </w:r>
            <w:r>
              <w:rPr>
                <w:rFonts w:ascii="GHEA Grapalat" w:hAnsi="GHEA Grapalat"/>
                <w:lang w:val="ru-RU"/>
              </w:rPr>
              <w:t>)</w:t>
            </w:r>
          </w:p>
          <w:p w:rsidR="00915E53" w:rsidRDefault="004606D3">
            <w:pPr>
              <w:pStyle w:val="TableContents"/>
              <w:numPr>
                <w:ilvl w:val="0"/>
                <w:numId w:val="21"/>
              </w:numPr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Գյումրի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Ալեքսանդրիա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(</w:t>
            </w:r>
            <w:r>
              <w:rPr>
                <w:rFonts w:ascii="GHEA Grapalat" w:hAnsi="GHEA Grapalat"/>
                <w:lang w:val="hy-AM"/>
              </w:rPr>
              <w:t>Վիրջինիա</w:t>
            </w:r>
            <w:r>
              <w:rPr>
                <w:rFonts w:ascii="GHEA Grapalat" w:hAnsi="GHEA Grapalat"/>
                <w:lang w:val="ru-RU"/>
              </w:rPr>
              <w:t>)</w:t>
            </w:r>
          </w:p>
        </w:tc>
      </w:tr>
      <w:tr w:rsidR="00915E53">
        <w:tc>
          <w:tcPr>
            <w:tcW w:w="33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Հայաստան</w:t>
            </w:r>
            <w:r>
              <w:rPr>
                <w:rFonts w:ascii="GHEA Grapalat" w:hAnsi="GHEA Grapalat"/>
                <w:b/>
                <w:bCs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lang w:val="hy-AM"/>
              </w:rPr>
              <w:t>Կալիֆորնիա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շրջանակային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համաձայնագիր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(</w:t>
            </w:r>
            <w:r>
              <w:rPr>
                <w:rFonts w:ascii="GHEA Grapalat" w:hAnsi="GHEA Grapalat"/>
                <w:b/>
                <w:bCs/>
                <w:lang w:val="hy-AM"/>
              </w:rPr>
              <w:t>ստորագրվել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է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2019</w:t>
            </w:r>
            <w:r>
              <w:rPr>
                <w:rFonts w:ascii="GHEA Grapalat" w:hAnsi="GHEA Grapalat"/>
                <w:b/>
                <w:bCs/>
                <w:lang w:val="hy-AM"/>
              </w:rPr>
              <w:t>թ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lang w:val="hy-AM"/>
              </w:rPr>
              <w:t>սեպտեմբերին</w:t>
            </w:r>
            <w:r>
              <w:rPr>
                <w:rFonts w:ascii="GHEA Grapalat" w:hAnsi="GHEA Grapalat"/>
                <w:b/>
                <w:bCs/>
                <w:lang w:val="hy-AM"/>
              </w:rPr>
              <w:t>)</w:t>
            </w:r>
          </w:p>
          <w:p w:rsidR="00915E53" w:rsidRDefault="00915E5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Նախատեսվում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է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Հայաստանում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Կալիֆորնիայի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առևտրի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ու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ծառայությունների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գրասենյակի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հիմնում</w:t>
            </w:r>
          </w:p>
        </w:tc>
        <w:tc>
          <w:tcPr>
            <w:tcW w:w="6648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Առևտուր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ներդր</w:t>
            </w:r>
            <w:r>
              <w:rPr>
                <w:rFonts w:ascii="GHEA Grapalat" w:hAnsi="GHEA Grapalat"/>
                <w:lang w:val="hy-AM"/>
              </w:rPr>
              <w:t>ումներ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Կրթություն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գիտություն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համատեղ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ուսումնասիրություններ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Ձեռնարկատիրական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կապեր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Այլընտրանքային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էներգետիկա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Ջրային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ռեսուրսների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պահպանում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Առողջապահություն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բիոտեխնոլոգիա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Տեղեկատվական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տեխնոլոգիաներ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Արվեստ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մշակույթ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իրավիճակների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Զբոսաշրջություն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Գյուղատնտեսություն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2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Քույր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քաղաք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հարաբերությունների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ամրապնդում</w:t>
            </w:r>
          </w:p>
        </w:tc>
      </w:tr>
      <w:tr w:rsidR="00915E53">
        <w:tc>
          <w:tcPr>
            <w:tcW w:w="997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915E53">
            <w:pPr>
              <w:pStyle w:val="TableContents"/>
              <w:jc w:val="center"/>
              <w:rPr>
                <w:rFonts w:ascii="GHEA Grapalat" w:hAnsi="GHEA Grapalat" w:hint="eastAsia"/>
                <w:b/>
                <w:bCs/>
                <w:lang w:val="hy-AM"/>
              </w:rPr>
            </w:pPr>
          </w:p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Մշակութային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</w:tr>
      <w:tr w:rsidR="00915E53">
        <w:tc>
          <w:tcPr>
            <w:tcW w:w="997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numPr>
                <w:ilvl w:val="0"/>
                <w:numId w:val="23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 xml:space="preserve">Smithsonian </w:t>
            </w:r>
            <w:r>
              <w:rPr>
                <w:rFonts w:ascii="GHEA Grapalat" w:hAnsi="GHEA Grapalat"/>
                <w:lang w:val="hy-AM"/>
              </w:rPr>
              <w:t>հաստատության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երկարատև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համագործակցություն</w:t>
            </w:r>
            <w:r>
              <w:rPr>
                <w:rFonts w:ascii="GHEA Grapalat" w:hAnsi="GHEA Grapalat"/>
                <w:lang w:val="hy-AM"/>
              </w:rPr>
              <w:t>, «</w:t>
            </w:r>
            <w:r>
              <w:rPr>
                <w:rFonts w:ascii="GHEA Grapalat" w:hAnsi="GHEA Grapalat"/>
                <w:lang w:val="hy-AM"/>
              </w:rPr>
              <w:t>Իմ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Հայաստան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մշակութային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ծրագիր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915E53" w:rsidRDefault="004606D3">
            <w:pPr>
              <w:pStyle w:val="TableContents"/>
              <w:numPr>
                <w:ilvl w:val="0"/>
                <w:numId w:val="24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Հայկական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երաժշտության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ֆիլմերի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փառատոն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Վաշինգտոնում</w:t>
            </w:r>
            <w:r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Վաշինգտոնի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ազգային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տաճարի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Վաշինգտոնի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ազգային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պատկերասրահի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PostClassical </w:t>
            </w:r>
            <w:r>
              <w:rPr>
                <w:rFonts w:ascii="GHEA Grapalat" w:hAnsi="GHEA Grapalat"/>
                <w:lang w:val="hy-AM"/>
              </w:rPr>
              <w:t>նվագախմբի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համագործակցությամբ</w:t>
            </w:r>
            <w:r>
              <w:rPr>
                <w:rFonts w:ascii="GHEA Grapalat" w:hAnsi="GHEA Grapalat"/>
                <w:lang w:val="hy-AM"/>
              </w:rPr>
              <w:t xml:space="preserve"> (2020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գարուն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  <w:p w:rsidR="00915E53" w:rsidRDefault="004606D3">
            <w:pPr>
              <w:pStyle w:val="TableContents"/>
              <w:numPr>
                <w:ilvl w:val="0"/>
                <w:numId w:val="25"/>
              </w:numPr>
              <w:rPr>
                <w:rFonts w:hint="eastAsia"/>
              </w:rPr>
            </w:pPr>
            <w:r>
              <w:rPr>
                <w:rFonts w:ascii="GHEA Grapalat" w:hAnsi="GHEA Grapalat"/>
                <w:lang w:val="hy-AM"/>
              </w:rPr>
              <w:t>Հայկական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Աստվածաշունչերի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քրիստոնեական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արվեստի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նմուշների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ցուցադրություն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</w:t>
            </w:r>
            <w:r>
              <w:rPr>
                <w:rFonts w:ascii="GHEA Grapalat" w:hAnsi="GHEA Grapalat"/>
                <w:lang w:val="hy-AM"/>
              </w:rPr>
              <w:t>աշինգտոնի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Աստվածաշնչի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թանգարանում</w:t>
            </w:r>
            <w:r>
              <w:rPr>
                <w:rFonts w:ascii="GHEA Grapalat" w:hAnsi="GHEA Grapalat"/>
                <w:lang w:val="hy-AM"/>
              </w:rPr>
              <w:t xml:space="preserve"> (2021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գարուն</w:t>
            </w:r>
            <w:r>
              <w:rPr>
                <w:rFonts w:ascii="GHEA Grapalat" w:hAnsi="GHEA Grapalat"/>
                <w:lang w:val="hy-AM"/>
              </w:rPr>
              <w:t xml:space="preserve">) </w:t>
            </w:r>
          </w:p>
        </w:tc>
      </w:tr>
      <w:tr w:rsidR="00915E53">
        <w:tc>
          <w:tcPr>
            <w:tcW w:w="997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lastRenderedPageBreak/>
              <w:t>Զբոսաշրջություն</w:t>
            </w:r>
          </w:p>
        </w:tc>
      </w:tr>
      <w:tr w:rsidR="00915E53">
        <w:tc>
          <w:tcPr>
            <w:tcW w:w="997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ԱՄՆ</w:t>
            </w:r>
            <w:r>
              <w:rPr>
                <w:rFonts w:ascii="GHEA Grapalat" w:hAnsi="GHEA Grapalat"/>
                <w:b/>
                <w:bCs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lang w:val="hy-AM"/>
              </w:rPr>
              <w:t>ից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Հայաստան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այցելած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զբոսաշրջիկների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թիվը</w:t>
            </w:r>
          </w:p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Տե՛ս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Հավելված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5</w:t>
            </w: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99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Հայ</w:t>
            </w:r>
            <w:r>
              <w:rPr>
                <w:rFonts w:ascii="GHEA Grapalat" w:hAnsi="GHEA Grapalat"/>
                <w:b/>
                <w:bCs/>
              </w:rPr>
              <w:t>-</w:t>
            </w:r>
            <w:r>
              <w:rPr>
                <w:rFonts w:ascii="GHEA Grapalat" w:hAnsi="GHEA Grapalat"/>
                <w:b/>
                <w:bCs/>
                <w:lang w:val="hy-AM"/>
              </w:rPr>
              <w:t>ամերիկյան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օրակարգի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«</w:t>
            </w:r>
            <w:r>
              <w:rPr>
                <w:rFonts w:ascii="GHEA Grapalat" w:hAnsi="GHEA Grapalat"/>
                <w:b/>
                <w:bCs/>
                <w:lang w:val="hy-AM"/>
              </w:rPr>
              <w:t>հաշվեկշիռը</w:t>
            </w:r>
            <w:r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Ակտիվներ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»/</w:t>
            </w:r>
            <w:r>
              <w:rPr>
                <w:rFonts w:ascii="GHEA Grapalat" w:hAnsi="GHEA Grapalat"/>
                <w:b/>
                <w:bCs/>
                <w:i/>
                <w:iCs/>
              </w:rPr>
              <w:t>Assets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Պարտավորություններ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»/</w:t>
            </w:r>
            <w:r>
              <w:rPr>
                <w:rFonts w:ascii="GHEA Grapalat" w:hAnsi="GHEA Grapalat"/>
                <w:b/>
                <w:bCs/>
                <w:i/>
                <w:iCs/>
              </w:rPr>
              <w:t>Liabilities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Հեռանկարային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ուղղություններ</w:t>
            </w:r>
          </w:p>
        </w:tc>
      </w:tr>
      <w:tr w:rsidR="00915E53" w:rsidRPr="005C0E5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Խաղաղապահ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համագործակցություն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Լիդիան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Ինթերնեշնլ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ընկերության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շուրջ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ստեղծված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իրավիճակ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Կրկնակի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հարկումը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բացառող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համաձայնագրի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ստորագրում</w:t>
            </w:r>
          </w:p>
        </w:tc>
      </w:tr>
      <w:tr w:rsidR="00915E53" w:rsidRPr="005C0E5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Առևտրի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ներդրումների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շրջանակային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համաձայնագիր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  <w:lang w:val="hy-AM"/>
              </w:rPr>
              <w:t>(TIFA)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պատժամիջոցների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ազդեցությունը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վրա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Բալիստիկ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հրթիռների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վերացո</w:t>
            </w:r>
            <w:r>
              <w:rPr>
                <w:rFonts w:ascii="GHEA Grapalat" w:hAnsi="GHEA Grapalat"/>
                <w:lang w:val="hy-AM"/>
              </w:rPr>
              <w:t>ւմ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ահաբեկչության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պայքար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Հայաստան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Վրաստան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սահմանի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համատեղ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վերահսկման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ծրագիր</w:t>
            </w: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Pr="005C0E58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 w:rsidRPr="005C0E58">
              <w:rPr>
                <w:rFonts w:ascii="GHEA Grapalat" w:hAnsi="GHEA Grapalat"/>
                <w:lang w:val="hy-AM"/>
              </w:rPr>
              <w:t xml:space="preserve">GSP </w:t>
            </w:r>
            <w:r>
              <w:rPr>
                <w:rFonts w:ascii="GHEA Grapalat" w:hAnsi="GHEA Grapalat"/>
                <w:lang w:val="hy-AM"/>
              </w:rPr>
              <w:t>մաքսային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արտոնությունների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կիրառում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800 </w:t>
            </w:r>
            <w:r>
              <w:rPr>
                <w:rFonts w:ascii="GHEA Grapalat" w:hAnsi="GHEA Grapalat"/>
                <w:lang w:val="hy-AM"/>
              </w:rPr>
              <w:t>անվանում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ապրանքների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վրա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երկարաձգվել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մինչև</w:t>
            </w:r>
            <w:r>
              <w:rPr>
                <w:rFonts w:ascii="GHEA Grapalat" w:hAnsi="GHEA Grapalat"/>
                <w:lang w:val="hy-AM"/>
              </w:rPr>
              <w:t xml:space="preserve"> 2020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>.</w:t>
            </w:r>
            <w:r w:rsidRPr="005C0E58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Մարտական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կարողությունների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զարգացման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  <w:lang w:val="hy-AM"/>
              </w:rPr>
              <w:t xml:space="preserve">(war fighting) </w:t>
            </w:r>
            <w:r>
              <w:rPr>
                <w:rFonts w:ascii="GHEA Grapalat" w:hAnsi="GHEA Grapalat"/>
                <w:lang w:val="hy-AM"/>
              </w:rPr>
              <w:t>ծրագրերի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կասեցում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Հազարամյակի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մարտահրավեր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ծրագրի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վերականգնում</w:t>
            </w: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Մասնակցություն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կազմակերպած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զորավարժություններին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Մելլաթ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բանկի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գործունեությունը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Հայաստանում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Մերձավոր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Արևելքի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քրիստոնյաների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պաշտպանություն</w:t>
            </w:r>
          </w:p>
        </w:tc>
      </w:tr>
      <w:tr w:rsidR="00915E53" w:rsidRPr="005C0E5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Կանզասի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ազգային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գվարդիայի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նահանգային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գործընկերություն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Կիբեռանվտանգություն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  <w:lang w:val="hy-AM"/>
              </w:rPr>
              <w:t xml:space="preserve">(HUAWEI </w:t>
            </w:r>
            <w:r>
              <w:rPr>
                <w:rFonts w:ascii="GHEA Grapalat" w:hAnsi="GHEA Grapalat"/>
                <w:lang w:val="hy-AM"/>
              </w:rPr>
              <w:t>չինական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ընկերության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  <w:lang w:val="hy-AM"/>
              </w:rPr>
              <w:t xml:space="preserve">5G </w:t>
            </w:r>
            <w:r>
              <w:rPr>
                <w:rFonts w:ascii="GHEA Grapalat" w:hAnsi="GHEA Grapalat"/>
                <w:lang w:val="hy-AM"/>
              </w:rPr>
              <w:t>համակարգ</w:t>
            </w:r>
            <w:r w:rsidRPr="005C0E58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Pr="005C0E58" w:rsidRDefault="00915E5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</w:p>
        </w:tc>
      </w:tr>
      <w:tr w:rsidR="00915E53" w:rsidRPr="005C0E5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Ղարաբաղյան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հիմնախնդրի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կարգավորում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Մինսկի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խմբի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շրջանակներում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ԱՄՆ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վտարման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ենթական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քաղաքացիների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խնդիր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Pr="005C0E58" w:rsidRDefault="00915E5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rPr>
          <w:trHeight w:val="489"/>
        </w:trPr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Pr="005C0E58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 w:rsidRPr="005C0E58">
              <w:rPr>
                <w:rFonts w:ascii="GHEA Grapalat" w:hAnsi="GHEA Grapalat"/>
                <w:lang w:val="hy-AM"/>
              </w:rPr>
              <w:lastRenderedPageBreak/>
              <w:t>DTRA-</w:t>
            </w:r>
            <w:r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կողմից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իրականացվող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պաշտպանական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վտանգների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նվազեցման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ծրագրեր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Սիրիայում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մարդասիրակ</w:t>
            </w:r>
            <w:r>
              <w:rPr>
                <w:rFonts w:ascii="GHEA Grapalat" w:hAnsi="GHEA Grapalat"/>
                <w:lang w:val="hy-AM"/>
              </w:rPr>
              <w:t>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առաքելություն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Կոնգրեսի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Հայկական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հանձնախմբի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համագործակցություն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փոխայցելություններ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Անվտանգության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բարեփոխումներ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հայ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սպաների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վերապատրաստում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Արցախին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մարդասիրական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օգնության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տրամադրում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տրամադրվող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արտաքին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օգնության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ավելացում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40%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ով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խաղաղապահ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կորպուսի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գործունեություն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1992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սեպտեմբերից</w:t>
            </w:r>
            <w:r w:rsidRPr="005C0E58">
              <w:rPr>
                <w:rFonts w:ascii="GHEA Grapalat" w:hAnsi="GHEA Grapalat"/>
              </w:rPr>
              <w:t>)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ՀԱՀ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ը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Կալիֆորնիայի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համալսարանի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մասնաճյուղ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(1991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սեպտեմբերից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Մուտքի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արտոնագրերի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ռեժիմի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դյուրացում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 xml:space="preserve">(visa facilitation) </w:t>
            </w:r>
            <w:r>
              <w:rPr>
                <w:rFonts w:ascii="GHEA Grapalat" w:hAnsi="GHEA Grapalat"/>
                <w:lang w:val="hy-AM"/>
              </w:rPr>
              <w:t>Հայաստանի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քաղաքացիների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2015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հունվարի</w:t>
            </w:r>
            <w:r>
              <w:rPr>
                <w:rFonts w:ascii="GHEA Grapalat" w:hAnsi="GHEA Grapalat"/>
                <w:lang w:val="hy-AM"/>
              </w:rPr>
              <w:t xml:space="preserve"> 1-</w:t>
            </w:r>
            <w:r>
              <w:rPr>
                <w:rFonts w:ascii="GHEA Grapalat" w:hAnsi="GHEA Grapalat"/>
                <w:lang w:val="hy-AM"/>
              </w:rPr>
              <w:t>ից</w:t>
            </w:r>
            <w:r w:rsidRPr="005C0E58">
              <w:rPr>
                <w:rFonts w:ascii="GHEA Grapalat" w:hAnsi="GHEA Grapalat"/>
              </w:rPr>
              <w:t>)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Բաց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երկնքի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ռեժիմ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2008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Հոկտեմբերի</w:t>
            </w:r>
            <w:r>
              <w:rPr>
                <w:rFonts w:ascii="GHEA Grapalat" w:hAnsi="GHEA Grapalat"/>
                <w:lang w:val="hy-AM"/>
              </w:rPr>
              <w:t xml:space="preserve"> 6-</w:t>
            </w:r>
            <w:r>
              <w:rPr>
                <w:rFonts w:ascii="GHEA Grapalat" w:hAnsi="GHEA Grapalat"/>
                <w:lang w:val="hy-AM"/>
              </w:rPr>
              <w:lastRenderedPageBreak/>
              <w:t>ից</w:t>
            </w:r>
            <w:r w:rsidRPr="005C0E58">
              <w:rPr>
                <w:rFonts w:ascii="GHEA Grapalat" w:hAnsi="GHEA Grapalat"/>
              </w:rPr>
              <w:t>)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Բաց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կառավարման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գործընկերություն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(Open Government Partnership) 2011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սեպտեմբերից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Կալիֆորնիայի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շրջանակային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համաձայնագիր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C0E58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2019</w:t>
            </w:r>
            <w:r>
              <w:rPr>
                <w:rFonts w:ascii="GHEA Grapalat" w:hAnsi="GHEA Grapalat"/>
                <w:lang w:val="hy-AM"/>
              </w:rPr>
              <w:t>թ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սեպտեմբեր</w:t>
            </w:r>
            <w:r w:rsidRPr="005C0E58">
              <w:rPr>
                <w:rFonts w:ascii="GHEA Grapalat" w:hAnsi="GHEA Grapalat"/>
              </w:rPr>
              <w:t>)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Համագործակցություն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ոլորտում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Զբոսաշրջիկների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թվի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ավելացում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մշակութային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համագործակցության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ընդլայնում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  <w:tr w:rsidR="00915E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4" w:type="dxa"/>
          </w:tblCellMar>
        </w:tblPrEx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Թմրամիջոցների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ապօրինի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շրջանառության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դեմ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պայքար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915E53">
            <w:pPr>
              <w:pStyle w:val="TableContents"/>
              <w:rPr>
                <w:rFonts w:ascii="GHEA Grapalat" w:hAnsi="GHEA Grapalat" w:hint="eastAsia"/>
              </w:rPr>
            </w:pPr>
          </w:p>
        </w:tc>
      </w:tr>
    </w:tbl>
    <w:p w:rsidR="00915E53" w:rsidRDefault="004606D3">
      <w:pPr>
        <w:pStyle w:val="PreformattedText"/>
        <w:rPr>
          <w:rFonts w:ascii="GHEA Grapalat" w:hAnsi="GHEA Grapalat"/>
          <w:sz w:val="24"/>
          <w:szCs w:val="24"/>
          <w:lang w:val="hy-AM"/>
        </w:rPr>
      </w:pPr>
      <w:r>
        <w:br w:type="page"/>
      </w:r>
    </w:p>
    <w:p w:rsidR="00915E53" w:rsidRPr="005C0E58" w:rsidRDefault="004606D3">
      <w:pPr>
        <w:pStyle w:val="PreformattedTex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Հավելված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1</w:t>
      </w:r>
    </w:p>
    <w:p w:rsidR="00915E53" w:rsidRDefault="00915E5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15E53" w:rsidRPr="005C0E58" w:rsidRDefault="004606D3">
      <w:pPr>
        <w:pStyle w:val="PreformattedTex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Ռազմական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պաշտպանության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անվտանգության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ոլորտներում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ԱՄՆ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կողմից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ՀՀ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տրամադրած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աջակցությունը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`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ըստ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տարիների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b/>
          <w:bCs/>
          <w:sz w:val="24"/>
          <w:szCs w:val="24"/>
          <w:lang w:val="hy-AM"/>
        </w:rPr>
        <w:t>միլիոն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ԱՄՆ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դոլար</w:t>
      </w:r>
      <w:r>
        <w:rPr>
          <w:rFonts w:ascii="GHEA Grapalat" w:hAnsi="GHEA Grapalat"/>
          <w:b/>
          <w:bCs/>
          <w:sz w:val="24"/>
          <w:szCs w:val="24"/>
          <w:lang w:val="hy-AM"/>
        </w:rPr>
        <w:t>):</w:t>
      </w:r>
    </w:p>
    <w:p w:rsidR="00915E53" w:rsidRDefault="00915E5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15E53" w:rsidRPr="005C0E58" w:rsidRDefault="004606D3">
      <w:pPr>
        <w:pStyle w:val="PreformattedTex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Աղբյուրը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` </w:t>
      </w:r>
      <w:r w:rsidRPr="005C0E5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securityassistance.org</w:t>
      </w:r>
    </w:p>
    <w:p w:rsidR="00915E53" w:rsidRPr="005C0E58" w:rsidRDefault="00915E53">
      <w:pPr>
        <w:pStyle w:val="PreformattedTex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:rsidR="00915E53" w:rsidRPr="005C0E58" w:rsidRDefault="00915E53">
      <w:pPr>
        <w:pStyle w:val="PreformattedText"/>
        <w:rPr>
          <w:rFonts w:ascii="GHEA Grapalat" w:hAnsi="GHEA Grapalat"/>
          <w:lang w:val="hy-AM"/>
        </w:rPr>
      </w:pPr>
    </w:p>
    <w:p w:rsidR="00915E53" w:rsidRPr="005C0E58" w:rsidRDefault="00915E53">
      <w:pPr>
        <w:pStyle w:val="PreformattedText"/>
        <w:rPr>
          <w:rFonts w:ascii="GHEA Grapalat" w:hAnsi="GHEA Grapalat"/>
          <w:lang w:val="hy-AM"/>
        </w:rPr>
      </w:pPr>
    </w:p>
    <w:p w:rsidR="00915E53" w:rsidRPr="005C0E58" w:rsidRDefault="004606D3">
      <w:pPr>
        <w:pStyle w:val="PreformattedText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eastAsia="en-U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59550" cy="368363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0E58">
        <w:rPr>
          <w:lang w:val="hy-AM"/>
        </w:rPr>
        <w:br w:type="page"/>
      </w:r>
    </w:p>
    <w:p w:rsidR="00915E53" w:rsidRPr="005C0E58" w:rsidRDefault="004606D3">
      <w:pPr>
        <w:pStyle w:val="PreformattedTex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Հավելված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</w:p>
    <w:p w:rsidR="00915E53" w:rsidRDefault="00915E53">
      <w:pPr>
        <w:pStyle w:val="PreformattedText"/>
        <w:rPr>
          <w:b/>
          <w:bCs/>
          <w:sz w:val="24"/>
          <w:szCs w:val="24"/>
          <w:lang w:val="hy-AM"/>
        </w:rPr>
      </w:pPr>
    </w:p>
    <w:p w:rsidR="00915E53" w:rsidRPr="005C0E58" w:rsidRDefault="004606D3">
      <w:pPr>
        <w:pStyle w:val="PreformattedTex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-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ԱՄՆ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ապրանքաշրջանառություն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C0E58">
        <w:rPr>
          <w:rFonts w:ascii="GHEA Grapalat" w:hAnsi="GHEA Grapalat"/>
          <w:b/>
          <w:bCs/>
          <w:sz w:val="24"/>
          <w:szCs w:val="24"/>
          <w:lang w:val="hy-AM"/>
        </w:rPr>
        <w:t>(</w:t>
      </w:r>
      <w:r>
        <w:rPr>
          <w:rFonts w:ascii="GHEA Grapalat" w:hAnsi="GHEA Grapalat"/>
          <w:b/>
          <w:bCs/>
          <w:sz w:val="24"/>
          <w:szCs w:val="24"/>
          <w:lang w:val="hy-AM"/>
        </w:rPr>
        <w:t>2011-2018</w:t>
      </w:r>
      <w:r>
        <w:rPr>
          <w:rFonts w:ascii="GHEA Grapalat" w:hAnsi="GHEA Grapalat"/>
          <w:b/>
          <w:bCs/>
          <w:sz w:val="24"/>
          <w:szCs w:val="24"/>
          <w:lang w:val="hy-AM"/>
        </w:rPr>
        <w:t>թթ</w:t>
      </w:r>
      <w:r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5C0E58">
        <w:rPr>
          <w:rFonts w:ascii="GHEA Grapalat" w:hAnsi="GHEA Grapalat"/>
          <w:b/>
          <w:bCs/>
          <w:sz w:val="24"/>
          <w:szCs w:val="24"/>
          <w:lang w:val="hy-AM"/>
        </w:rPr>
        <w:t>)</w:t>
      </w:r>
    </w:p>
    <w:p w:rsidR="00915E53" w:rsidRPr="005C0E58" w:rsidRDefault="00915E53">
      <w:pPr>
        <w:pStyle w:val="PreformattedText"/>
        <w:rPr>
          <w:b/>
          <w:bCs/>
          <w:sz w:val="24"/>
          <w:szCs w:val="24"/>
          <w:lang w:val="hy-AM"/>
        </w:rPr>
      </w:pPr>
    </w:p>
    <w:p w:rsidR="00915E53" w:rsidRDefault="004606D3">
      <w:pPr>
        <w:pStyle w:val="PreformattedTex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Աղբյուրը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`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ՀՀ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կոմիտե</w:t>
      </w:r>
    </w:p>
    <w:p w:rsidR="00915E53" w:rsidRPr="005C0E58" w:rsidRDefault="00915E53">
      <w:pPr>
        <w:pStyle w:val="PreformattedText"/>
        <w:rPr>
          <w:b/>
          <w:bCs/>
          <w:sz w:val="24"/>
          <w:szCs w:val="24"/>
          <w:lang w:val="hy-AM"/>
        </w:rPr>
      </w:pPr>
    </w:p>
    <w:p w:rsidR="00915E53" w:rsidRPr="005C0E58" w:rsidRDefault="00915E53">
      <w:pPr>
        <w:pStyle w:val="PreformattedText"/>
        <w:rPr>
          <w:b/>
          <w:bCs/>
          <w:sz w:val="24"/>
          <w:szCs w:val="24"/>
          <w:lang w:val="hy-AM"/>
        </w:rPr>
      </w:pPr>
    </w:p>
    <w:p w:rsidR="00915E53" w:rsidRPr="005C0E58" w:rsidRDefault="004606D3">
      <w:pPr>
        <w:pStyle w:val="PreformattedText"/>
        <w:rPr>
          <w:b/>
          <w:bCs/>
          <w:sz w:val="24"/>
          <w:szCs w:val="24"/>
          <w:lang w:val="hy-AM"/>
        </w:rPr>
      </w:pPr>
      <w:r>
        <w:rPr>
          <w:rFonts w:ascii="GHEA Grapalat" w:hAnsi="GHEA Grapalat"/>
          <w:noProof/>
          <w:lang w:eastAsia="en-US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16370" cy="400939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400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E53" w:rsidRPr="005C0E58" w:rsidRDefault="00915E53">
      <w:pPr>
        <w:pStyle w:val="PreformattedText"/>
        <w:rPr>
          <w:b/>
          <w:bCs/>
          <w:sz w:val="24"/>
          <w:szCs w:val="24"/>
          <w:lang w:val="hy-AM"/>
        </w:rPr>
      </w:pPr>
    </w:p>
    <w:p w:rsidR="00915E53" w:rsidRPr="005C0E58" w:rsidRDefault="004606D3">
      <w:pPr>
        <w:pStyle w:val="PreformattedText"/>
        <w:rPr>
          <w:b/>
          <w:bCs/>
          <w:sz w:val="24"/>
          <w:szCs w:val="24"/>
          <w:lang w:val="hy-AM"/>
        </w:rPr>
      </w:pPr>
      <w:r w:rsidRPr="005C0E58">
        <w:rPr>
          <w:lang w:val="hy-AM"/>
        </w:rPr>
        <w:br w:type="page"/>
      </w:r>
    </w:p>
    <w:p w:rsidR="00915E53" w:rsidRDefault="004606D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Հավելված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3</w:t>
      </w:r>
    </w:p>
    <w:p w:rsidR="00915E53" w:rsidRDefault="00915E5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15E53" w:rsidRDefault="004606D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-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ԱՄՆ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ապրանքաշրջանառությունը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C0E58">
        <w:rPr>
          <w:rFonts w:ascii="GHEA Grapalat" w:hAnsi="GHEA Grapalat"/>
          <w:b/>
          <w:bCs/>
          <w:sz w:val="24"/>
          <w:szCs w:val="24"/>
          <w:lang w:val="hy-AM"/>
        </w:rPr>
        <w:t>(</w:t>
      </w:r>
      <w:r>
        <w:rPr>
          <w:rFonts w:ascii="GHEA Grapalat" w:hAnsi="GHEA Grapalat"/>
          <w:b/>
          <w:bCs/>
          <w:sz w:val="24"/>
          <w:szCs w:val="24"/>
          <w:lang w:val="hy-AM"/>
        </w:rPr>
        <w:t>2018</w:t>
      </w:r>
      <w:r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առաջին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կիսամյակ</w:t>
      </w:r>
      <w:r>
        <w:rPr>
          <w:rFonts w:ascii="GHEA Grapalat" w:hAnsi="GHEA Grapalat"/>
          <w:b/>
          <w:bCs/>
          <w:sz w:val="24"/>
          <w:szCs w:val="24"/>
          <w:lang w:val="hy-AM"/>
        </w:rPr>
        <w:t>, 2019</w:t>
      </w:r>
      <w:r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առաջին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կիսամյակ</w:t>
      </w:r>
      <w:r w:rsidRPr="005C0E58">
        <w:rPr>
          <w:rFonts w:ascii="GHEA Grapalat" w:hAnsi="GHEA Grapalat"/>
          <w:b/>
          <w:bCs/>
          <w:sz w:val="24"/>
          <w:szCs w:val="24"/>
          <w:lang w:val="hy-AM"/>
        </w:rPr>
        <w:t>)</w:t>
      </w:r>
    </w:p>
    <w:p w:rsidR="00915E53" w:rsidRPr="005C0E58" w:rsidRDefault="00915E53">
      <w:pPr>
        <w:pStyle w:val="PreformattedText"/>
        <w:rPr>
          <w:lang w:val="hy-AM"/>
        </w:rPr>
      </w:pPr>
    </w:p>
    <w:p w:rsidR="00915E53" w:rsidRDefault="004606D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Աղբյուրը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`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ՀՀ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կոմիտե</w:t>
      </w:r>
    </w:p>
    <w:p w:rsidR="00915E53" w:rsidRDefault="00915E5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15E53" w:rsidRDefault="004606D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noProof/>
          <w:sz w:val="24"/>
          <w:szCs w:val="24"/>
          <w:lang w:eastAsia="en-US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3471545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E53" w:rsidRDefault="004606D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  <w:r w:rsidRPr="005C0E58">
        <w:rPr>
          <w:lang w:val="hy-AM"/>
        </w:rPr>
        <w:br w:type="page"/>
      </w:r>
    </w:p>
    <w:p w:rsidR="00915E53" w:rsidRDefault="004606D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Հավելված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4</w:t>
      </w:r>
    </w:p>
    <w:p w:rsidR="00915E53" w:rsidRDefault="00915E53">
      <w:pPr>
        <w:pStyle w:val="PreformattedTex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Առևտրային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բանկերի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միջոցով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ֆիզիկական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անձանց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անունով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ԱՄՆ</w:t>
      </w:r>
      <w:r>
        <w:rPr>
          <w:rFonts w:ascii="GHEA Grapalat" w:hAnsi="GHEA Grapalat"/>
          <w:b/>
          <w:bCs/>
          <w:lang w:val="hy-AM"/>
        </w:rPr>
        <w:t>-</w:t>
      </w:r>
      <w:r>
        <w:rPr>
          <w:rFonts w:ascii="GHEA Grapalat" w:hAnsi="GHEA Grapalat"/>
          <w:b/>
          <w:bCs/>
          <w:lang w:val="hy-AM"/>
        </w:rPr>
        <w:t>ից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դեպի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իրականացված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փոխանցումների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գումարը</w:t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Աղբյուրը</w:t>
      </w:r>
      <w:r>
        <w:rPr>
          <w:rFonts w:ascii="GHEA Grapalat" w:hAnsi="GHEA Grapalat"/>
          <w:b/>
          <w:bCs/>
          <w:lang w:val="hy-AM"/>
        </w:rPr>
        <w:t xml:space="preserve">` </w:t>
      </w:r>
      <w:r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Կենտրոնական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բանկ</w:t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noProof/>
          <w:lang w:eastAsia="en-US"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3634105"/>
            <wp:effectExtent l="0" t="0" r="0" b="0"/>
            <wp:wrapSquare wrapText="largest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2019</w:t>
      </w:r>
      <w:r>
        <w:rPr>
          <w:rFonts w:ascii="GHEA Grapalat" w:hAnsi="GHEA Grapalat"/>
          <w:b/>
          <w:bCs/>
          <w:lang w:val="hy-AM"/>
        </w:rPr>
        <w:t>թ</w:t>
      </w:r>
      <w:r>
        <w:rPr>
          <w:rFonts w:ascii="GHEA Grapalat" w:hAnsi="GHEA Grapalat"/>
          <w:b/>
          <w:bCs/>
          <w:lang w:val="hy-AM"/>
        </w:rPr>
        <w:t xml:space="preserve">. </w:t>
      </w:r>
      <w:r>
        <w:rPr>
          <w:rFonts w:ascii="GHEA Grapalat" w:hAnsi="GHEA Grapalat"/>
          <w:b/>
          <w:bCs/>
          <w:lang w:val="hy-AM"/>
        </w:rPr>
        <w:t>առաջին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կիսամյակի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տվյալներ</w:t>
      </w:r>
      <w:r>
        <w:rPr>
          <w:rFonts w:ascii="GHEA Grapalat" w:hAnsi="GHEA Grapalat"/>
          <w:b/>
          <w:bCs/>
          <w:lang w:val="hy-AM"/>
        </w:rPr>
        <w:t xml:space="preserve">` 127.786 </w:t>
      </w:r>
      <w:r>
        <w:rPr>
          <w:rFonts w:ascii="GHEA Grapalat" w:hAnsi="GHEA Grapalat"/>
          <w:b/>
          <w:bCs/>
          <w:lang w:val="hy-AM"/>
        </w:rPr>
        <w:t>հազար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ԱՄՆ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դոլար</w:t>
      </w:r>
      <w:r w:rsidRPr="005C0E58">
        <w:rPr>
          <w:lang w:val="hy-AM"/>
        </w:rPr>
        <w:br w:type="page"/>
      </w: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lastRenderedPageBreak/>
        <w:t>Հավելված</w:t>
      </w:r>
      <w:r>
        <w:rPr>
          <w:rFonts w:ascii="GHEA Grapalat" w:hAnsi="GHEA Grapalat"/>
          <w:b/>
          <w:bCs/>
          <w:lang w:val="hy-AM"/>
        </w:rPr>
        <w:t xml:space="preserve"> 5</w:t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ԱՄՆ</w:t>
      </w:r>
      <w:r>
        <w:rPr>
          <w:rFonts w:ascii="GHEA Grapalat" w:hAnsi="GHEA Grapalat"/>
          <w:b/>
          <w:bCs/>
          <w:lang w:val="hy-AM"/>
        </w:rPr>
        <w:t>-</w:t>
      </w:r>
      <w:r>
        <w:rPr>
          <w:rFonts w:ascii="GHEA Grapalat" w:hAnsi="GHEA Grapalat"/>
          <w:b/>
          <w:bCs/>
          <w:lang w:val="hy-AM"/>
        </w:rPr>
        <w:t>ից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Հայաստան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այցելած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զբոսաշրջիկների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թիվը</w:t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Աղբյուրը</w:t>
      </w:r>
      <w:r>
        <w:rPr>
          <w:rFonts w:ascii="GHEA Grapalat" w:hAnsi="GHEA Grapalat"/>
          <w:b/>
          <w:bCs/>
          <w:lang w:val="hy-AM"/>
        </w:rPr>
        <w:t xml:space="preserve">` </w:t>
      </w:r>
      <w:r>
        <w:rPr>
          <w:rFonts w:ascii="GHEA Grapalat" w:hAnsi="GHEA Grapalat"/>
          <w:b/>
          <w:bCs/>
          <w:lang w:val="hy-AM"/>
        </w:rPr>
        <w:t>Տուրիզմի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պետական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կոմիտե</w:t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noProof/>
          <w:lang w:eastAsia="en-US"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45720</wp:posOffset>
            </wp:positionV>
            <wp:extent cx="4653280" cy="2952750"/>
            <wp:effectExtent l="0" t="0" r="0" b="0"/>
            <wp:wrapSquare wrapText="largest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28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noProof/>
          <w:lang w:eastAsia="en-US" w:bidi="ar-SA"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156845</wp:posOffset>
            </wp:positionV>
            <wp:extent cx="4481830" cy="2558415"/>
            <wp:effectExtent l="0" t="0" r="0" b="0"/>
            <wp:wrapSquare wrapText="largest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tbl>
      <w:tblPr>
        <w:tblW w:w="997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0"/>
        <w:gridCol w:w="1425"/>
      </w:tblGrid>
      <w:tr w:rsidR="00915E53">
        <w:tc>
          <w:tcPr>
            <w:tcW w:w="8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Աճը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Տոկոս</w:t>
            </w:r>
          </w:p>
        </w:tc>
      </w:tr>
      <w:tr w:rsidR="00915E53">
        <w:tc>
          <w:tcPr>
            <w:tcW w:w="8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</w:rPr>
              <w:t>2017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</w:rPr>
              <w:t>. 2016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</w:rPr>
              <w:t>.-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համեմատ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39.5%</w:t>
            </w:r>
          </w:p>
        </w:tc>
      </w:tr>
      <w:tr w:rsidR="00915E53">
        <w:tc>
          <w:tcPr>
            <w:tcW w:w="8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</w:rPr>
              <w:t>2018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</w:rPr>
              <w:t>. 2017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</w:rPr>
              <w:t>.-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համեմատ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</w:rPr>
              <w:t>20.5%</w:t>
            </w:r>
          </w:p>
        </w:tc>
      </w:tr>
      <w:tr w:rsidR="00915E53">
        <w:tc>
          <w:tcPr>
            <w:tcW w:w="8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</w:rPr>
              <w:t>2019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</w:rPr>
              <w:t xml:space="preserve">. </w:t>
            </w:r>
            <w:r>
              <w:rPr>
                <w:rFonts w:ascii="GHEA Grapalat" w:hAnsi="GHEA Grapalat"/>
              </w:rPr>
              <w:t>առաջին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կիսամյակ</w:t>
            </w:r>
            <w:r>
              <w:rPr>
                <w:rFonts w:ascii="GHEA Grapalat" w:hAnsi="GHEA Grapalat"/>
              </w:rPr>
              <w:t xml:space="preserve"> 2018</w:t>
            </w:r>
            <w:r>
              <w:rPr>
                <w:rFonts w:ascii="GHEA Grapalat" w:hAnsi="GHEA Grapalat"/>
              </w:rPr>
              <w:t>թ</w:t>
            </w:r>
            <w:r>
              <w:rPr>
                <w:rFonts w:ascii="GHEA Grapalat" w:hAnsi="GHEA Grapalat"/>
              </w:rPr>
              <w:t xml:space="preserve">. </w:t>
            </w:r>
            <w:r>
              <w:rPr>
                <w:rFonts w:ascii="GHEA Grapalat" w:hAnsi="GHEA Grapalat"/>
              </w:rPr>
              <w:t>առաջին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կիսամյակի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համեմատ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</w:rPr>
            </w:pPr>
            <w:r>
              <w:rPr>
                <w:rFonts w:ascii="GHEA Grapalat" w:hAnsi="GHEA Grapalat"/>
              </w:rPr>
              <w:t>15.1%</w:t>
            </w:r>
          </w:p>
        </w:tc>
      </w:tr>
    </w:tbl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br w:type="page"/>
      </w: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lastRenderedPageBreak/>
        <w:t>Հավելված</w:t>
      </w:r>
      <w:r>
        <w:rPr>
          <w:rFonts w:ascii="GHEA Grapalat" w:hAnsi="GHEA Grapalat"/>
          <w:b/>
          <w:bCs/>
          <w:lang w:val="hy-AM"/>
        </w:rPr>
        <w:t xml:space="preserve"> 6</w:t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ԱՄՆ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քաղաքացիների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սահմանահատումների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վերաբերյալ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տեղեկատվություն</w:t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Աղբյուրը</w:t>
      </w:r>
      <w:r>
        <w:rPr>
          <w:rFonts w:ascii="GHEA Grapalat" w:hAnsi="GHEA Grapalat"/>
          <w:b/>
          <w:bCs/>
          <w:lang w:val="hy-AM"/>
        </w:rPr>
        <w:t xml:space="preserve">` </w:t>
      </w:r>
      <w:r>
        <w:rPr>
          <w:rFonts w:ascii="GHEA Grapalat" w:hAnsi="GHEA Grapalat"/>
          <w:b/>
          <w:bCs/>
          <w:lang w:val="hy-AM"/>
        </w:rPr>
        <w:t>ՀՀ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ազգային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անվտանգության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ծառայությունն</w:t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p w:rsidR="00915E53" w:rsidRDefault="004606D3">
      <w:pPr>
        <w:pStyle w:val="TableContents"/>
        <w:rPr>
          <w:rFonts w:ascii="GHEA Grapalat" w:hAnsi="GHEA Grapalat" w:hint="eastAsia"/>
          <w:b/>
          <w:bCs/>
          <w:lang w:val="hy-AM"/>
        </w:rPr>
      </w:pPr>
      <w:r>
        <w:rPr>
          <w:rFonts w:ascii="GHEA Grapalat" w:hAnsi="GHEA Grapalat"/>
          <w:b/>
          <w:bCs/>
          <w:noProof/>
          <w:lang w:eastAsia="en-US" w:bidi="ar-SA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4074160"/>
            <wp:effectExtent l="0" t="0" r="0" b="0"/>
            <wp:wrapSquare wrapText="largest"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tbl>
      <w:tblPr>
        <w:tblW w:w="997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915E53">
        <w:tc>
          <w:tcPr>
            <w:tcW w:w="9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jc w:val="center"/>
              <w:rPr>
                <w:rFonts w:ascii="GHEA Grapalat" w:hAnsi="GHEA Grapalat" w:hint="eastAsia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2019</w:t>
            </w:r>
            <w:r>
              <w:rPr>
                <w:rFonts w:ascii="GHEA Grapalat" w:hAnsi="GHEA Grapalat"/>
                <w:b/>
                <w:bCs/>
                <w:lang w:val="hy-AM"/>
              </w:rPr>
              <w:t>թ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lang w:val="hy-AM"/>
              </w:rPr>
              <w:t>առաջին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/>
              </w:rPr>
              <w:t>կիսամյակ</w:t>
            </w:r>
          </w:p>
        </w:tc>
      </w:tr>
      <w:tr w:rsidR="00915E53"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Մուտք</w:t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Ելք</w:t>
            </w:r>
          </w:p>
        </w:tc>
      </w:tr>
      <w:tr w:rsidR="00915E53"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25.346</w:t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5E53" w:rsidRDefault="004606D3">
            <w:pPr>
              <w:pStyle w:val="TableContents"/>
              <w:rPr>
                <w:rFonts w:ascii="GHEA Grapalat" w:hAnsi="GHEA Grapalat" w:hint="eastAsi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18.377</w:t>
            </w:r>
          </w:p>
        </w:tc>
      </w:tr>
    </w:tbl>
    <w:p w:rsidR="00915E53" w:rsidRDefault="00915E53">
      <w:pPr>
        <w:pStyle w:val="TableContents"/>
        <w:rPr>
          <w:rFonts w:ascii="GHEA Grapalat" w:hAnsi="GHEA Grapalat" w:hint="eastAsia"/>
          <w:b/>
          <w:bCs/>
          <w:lang w:val="hy-AM"/>
        </w:rPr>
      </w:pPr>
    </w:p>
    <w:sectPr w:rsidR="00915E53">
      <w:footerReference w:type="default" r:id="rId14"/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D3" w:rsidRDefault="004606D3" w:rsidP="00D87C13">
      <w:pPr>
        <w:rPr>
          <w:rFonts w:hint="eastAsia"/>
        </w:rPr>
      </w:pPr>
      <w:r>
        <w:separator/>
      </w:r>
    </w:p>
  </w:endnote>
  <w:endnote w:type="continuationSeparator" w:id="0">
    <w:p w:rsidR="004606D3" w:rsidRDefault="004606D3" w:rsidP="00D87C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406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7C13" w:rsidRDefault="00D87C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EC6">
          <w:rPr>
            <w:rFonts w:hint="eastAsia"/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87C13" w:rsidRDefault="00D87C13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D3" w:rsidRDefault="004606D3" w:rsidP="00D87C13">
      <w:pPr>
        <w:rPr>
          <w:rFonts w:hint="eastAsia"/>
        </w:rPr>
      </w:pPr>
      <w:r>
        <w:separator/>
      </w:r>
    </w:p>
  </w:footnote>
  <w:footnote w:type="continuationSeparator" w:id="0">
    <w:p w:rsidR="004606D3" w:rsidRDefault="004606D3" w:rsidP="00D87C1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B66"/>
    <w:multiLevelType w:val="multilevel"/>
    <w:tmpl w:val="A39061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D451E"/>
    <w:multiLevelType w:val="multilevel"/>
    <w:tmpl w:val="AD4CE1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77C2F"/>
    <w:multiLevelType w:val="multilevel"/>
    <w:tmpl w:val="E04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96438B"/>
    <w:multiLevelType w:val="multilevel"/>
    <w:tmpl w:val="CC74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5B20EA"/>
    <w:multiLevelType w:val="multilevel"/>
    <w:tmpl w:val="D7DC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D421FFB"/>
    <w:multiLevelType w:val="multilevel"/>
    <w:tmpl w:val="11BC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D823E3F"/>
    <w:multiLevelType w:val="multilevel"/>
    <w:tmpl w:val="7C9876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863DA2"/>
    <w:multiLevelType w:val="multilevel"/>
    <w:tmpl w:val="73D2DE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7F2257"/>
    <w:multiLevelType w:val="multilevel"/>
    <w:tmpl w:val="32069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C545CA"/>
    <w:multiLevelType w:val="multilevel"/>
    <w:tmpl w:val="1DE2E4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A3152C"/>
    <w:multiLevelType w:val="multilevel"/>
    <w:tmpl w:val="B93E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2540462"/>
    <w:multiLevelType w:val="multilevel"/>
    <w:tmpl w:val="8E7EEB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443A63"/>
    <w:multiLevelType w:val="multilevel"/>
    <w:tmpl w:val="3F2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C9F6B40"/>
    <w:multiLevelType w:val="multilevel"/>
    <w:tmpl w:val="85765F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E02391"/>
    <w:multiLevelType w:val="multilevel"/>
    <w:tmpl w:val="328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0692B14"/>
    <w:multiLevelType w:val="multilevel"/>
    <w:tmpl w:val="9D5C48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853053"/>
    <w:multiLevelType w:val="multilevel"/>
    <w:tmpl w:val="2DDA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5592E49"/>
    <w:multiLevelType w:val="multilevel"/>
    <w:tmpl w:val="D8860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5E76A74"/>
    <w:multiLevelType w:val="multilevel"/>
    <w:tmpl w:val="4986F9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32410A"/>
    <w:multiLevelType w:val="multilevel"/>
    <w:tmpl w:val="9C2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8B14022"/>
    <w:multiLevelType w:val="multilevel"/>
    <w:tmpl w:val="4F24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5A0B2BD6"/>
    <w:multiLevelType w:val="multilevel"/>
    <w:tmpl w:val="D8B8AA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DB2F14"/>
    <w:multiLevelType w:val="multilevel"/>
    <w:tmpl w:val="9BF0E9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2E53754"/>
    <w:multiLevelType w:val="multilevel"/>
    <w:tmpl w:val="B2BE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C723058"/>
    <w:multiLevelType w:val="multilevel"/>
    <w:tmpl w:val="BD24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7C650C69"/>
    <w:multiLevelType w:val="multilevel"/>
    <w:tmpl w:val="7E0AE6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8"/>
  </w:num>
  <w:num w:numId="5">
    <w:abstractNumId w:val="11"/>
  </w:num>
  <w:num w:numId="6">
    <w:abstractNumId w:val="16"/>
  </w:num>
  <w:num w:numId="7">
    <w:abstractNumId w:val="23"/>
  </w:num>
  <w:num w:numId="8">
    <w:abstractNumId w:val="14"/>
  </w:num>
  <w:num w:numId="9">
    <w:abstractNumId w:val="10"/>
  </w:num>
  <w:num w:numId="10">
    <w:abstractNumId w:val="12"/>
  </w:num>
  <w:num w:numId="11">
    <w:abstractNumId w:val="20"/>
  </w:num>
  <w:num w:numId="12">
    <w:abstractNumId w:val="18"/>
  </w:num>
  <w:num w:numId="13">
    <w:abstractNumId w:val="24"/>
  </w:num>
  <w:num w:numId="14">
    <w:abstractNumId w:val="5"/>
  </w:num>
  <w:num w:numId="15">
    <w:abstractNumId w:val="19"/>
  </w:num>
  <w:num w:numId="16">
    <w:abstractNumId w:val="9"/>
  </w:num>
  <w:num w:numId="17">
    <w:abstractNumId w:val="0"/>
  </w:num>
  <w:num w:numId="18">
    <w:abstractNumId w:val="1"/>
  </w:num>
  <w:num w:numId="19">
    <w:abstractNumId w:val="6"/>
  </w:num>
  <w:num w:numId="20">
    <w:abstractNumId w:val="4"/>
  </w:num>
  <w:num w:numId="21">
    <w:abstractNumId w:val="25"/>
  </w:num>
  <w:num w:numId="22">
    <w:abstractNumId w:val="2"/>
  </w:num>
  <w:num w:numId="23">
    <w:abstractNumId w:val="22"/>
  </w:num>
  <w:num w:numId="24">
    <w:abstractNumId w:val="13"/>
  </w:num>
  <w:num w:numId="25">
    <w:abstractNumId w:val="2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5E53"/>
    <w:rsid w:val="00080EC6"/>
    <w:rsid w:val="003F055D"/>
    <w:rsid w:val="004606D3"/>
    <w:rsid w:val="005C0E58"/>
    <w:rsid w:val="00915E53"/>
    <w:rsid w:val="00D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0D67"/>
  <w15:docId w15:val="{F9651E36-62D5-42C9-B3CB-CE8E229C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GHEA Grapalat" w:hAnsi="GHEA Grapalat" w:cs="Wingdings"/>
      <w:sz w:val="24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GHEA Grapalat" w:hAnsi="GHEA Grapalat" w:cs="Wingdings"/>
      <w:sz w:val="24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GHEA Grapalat" w:hAnsi="GHEA Grapalat" w:cs="Wingdings"/>
      <w:sz w:val="24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GHEA Grapalat" w:hAnsi="GHEA Grapalat" w:cs="Wingdings"/>
      <w:sz w:val="24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OpenSymbol"/>
      <w:sz w:val="24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sz w:val="24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GHEA Grapalat" w:hAnsi="GHEA Grapalat" w:cs="OpenSymbol"/>
      <w:sz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GHEA Grapalat" w:hAnsi="GHEA Grapalat"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GHEA Grapalat" w:hAnsi="GHEA Grapalat" w:cs="Wingdings"/>
      <w:sz w:val="24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GHEA Grapalat" w:hAnsi="GHEA Grapalat" w:cs="Wingdings"/>
      <w:sz w:val="24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ascii="GHEA Grapalat" w:hAnsi="GHEA Grapalat" w:cs="Wingdings"/>
      <w:sz w:val="24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ascii="GHEA Grapalat" w:hAnsi="GHEA Grapalat" w:cs="Wingdings"/>
      <w:sz w:val="24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OpenSymbol"/>
      <w:sz w:val="24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  <w:sz w:val="24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ascii="GHEA Grapalat" w:hAnsi="GHEA Grapalat" w:cs="OpenSymbol"/>
      <w:sz w:val="24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ascii="GHEA Grapalat" w:hAnsi="GHEA Grapalat"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ascii="GHEA Grapalat" w:hAnsi="GHEA Grapalat" w:cs="Wingdings"/>
      <w:sz w:val="24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ascii="GHEA Grapalat" w:hAnsi="GHEA Grapalat" w:cs="Wingdings"/>
      <w:sz w:val="24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ascii="GHEA Grapalat" w:hAnsi="GHEA Grapalat" w:cs="Wingdings"/>
      <w:sz w:val="24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ascii="GHEA Grapalat" w:hAnsi="GHEA Grapalat" w:cs="Wingdings"/>
      <w:sz w:val="24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OpenSymbol"/>
      <w:sz w:val="24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  <w:sz w:val="24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ascii="GHEA Grapalat" w:hAnsi="GHEA Grapalat" w:cs="OpenSymbol"/>
      <w:sz w:val="24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ascii="GHEA Grapalat" w:hAnsi="GHEA Grapalat"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TableContents">
    <w:name w:val="Table Contents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87C13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C13"/>
    <w:rPr>
      <w:rFonts w:cs="Mangal"/>
      <w:color w:val="00000A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D87C13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C13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AMERICA</cp:lastModifiedBy>
  <cp:revision>15</cp:revision>
  <dcterms:created xsi:type="dcterms:W3CDTF">2019-11-12T08:19:00Z</dcterms:created>
  <dcterms:modified xsi:type="dcterms:W3CDTF">2019-11-12T08:35:00Z</dcterms:modified>
  <dc:language>en-US</dc:language>
</cp:coreProperties>
</file>