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E1C86" w14:textId="3DAE2BEB" w:rsidR="001203A9" w:rsidRPr="00150BD1" w:rsidRDefault="00267098" w:rsidP="00150BD1">
      <w:pPr>
        <w:widowControl w:val="0"/>
        <w:spacing w:after="0" w:line="240" w:lineRule="auto"/>
        <w:jc w:val="center"/>
        <w:rPr>
          <w:rFonts w:ascii="Times New Roman" w:hAnsi="Times New Roman" w:cs="Times New Roman"/>
          <w:sz w:val="44"/>
          <w:szCs w:val="24"/>
        </w:rPr>
      </w:pPr>
      <w:r>
        <w:rPr>
          <w:rFonts w:ascii="Times New Roman" w:hAnsi="Times New Roman" w:cs="Times New Roman"/>
          <w:sz w:val="44"/>
          <w:szCs w:val="24"/>
        </w:rPr>
        <w:t xml:space="preserve">Final </w:t>
      </w:r>
      <w:r w:rsidR="003C68DF">
        <w:rPr>
          <w:rFonts w:ascii="Times New Roman" w:hAnsi="Times New Roman" w:cs="Times New Roman"/>
          <w:sz w:val="44"/>
          <w:szCs w:val="24"/>
        </w:rPr>
        <w:t>DRAFT f</w:t>
      </w:r>
      <w:r w:rsidR="00150BD1" w:rsidRPr="00150BD1">
        <w:rPr>
          <w:rFonts w:ascii="Times New Roman" w:hAnsi="Times New Roman" w:cs="Times New Roman"/>
          <w:sz w:val="44"/>
          <w:szCs w:val="24"/>
        </w:rPr>
        <w:t>or REVIEW</w:t>
      </w:r>
    </w:p>
    <w:p w14:paraId="00791B92" w14:textId="77777777" w:rsidR="0071773E" w:rsidRPr="00150BD1" w:rsidRDefault="0071773E" w:rsidP="00835F94">
      <w:pPr>
        <w:widowControl w:val="0"/>
        <w:spacing w:after="0" w:line="240" w:lineRule="auto"/>
        <w:rPr>
          <w:rFonts w:ascii="Times New Roman" w:hAnsi="Times New Roman" w:cs="Times New Roman"/>
          <w:sz w:val="44"/>
          <w:szCs w:val="24"/>
        </w:rPr>
      </w:pPr>
    </w:p>
    <w:p w14:paraId="4123702E" w14:textId="77777777" w:rsidR="00EC2EF1" w:rsidRPr="00150BD1" w:rsidRDefault="00EC2EF1" w:rsidP="00835F94">
      <w:pPr>
        <w:widowControl w:val="0"/>
        <w:spacing w:after="0" w:line="240" w:lineRule="auto"/>
        <w:rPr>
          <w:rFonts w:ascii="Times New Roman" w:hAnsi="Times New Roman" w:cs="Times New Roman"/>
          <w:sz w:val="44"/>
          <w:szCs w:val="24"/>
        </w:rPr>
      </w:pPr>
    </w:p>
    <w:p w14:paraId="07935AC6" w14:textId="77777777" w:rsidR="00EC2EF1" w:rsidRPr="00150BD1" w:rsidRDefault="00EC2EF1" w:rsidP="00835F94">
      <w:pPr>
        <w:widowControl w:val="0"/>
        <w:spacing w:after="0" w:line="240" w:lineRule="auto"/>
        <w:rPr>
          <w:rFonts w:ascii="Times New Roman" w:hAnsi="Times New Roman" w:cs="Times New Roman"/>
          <w:sz w:val="44"/>
          <w:szCs w:val="24"/>
        </w:rPr>
      </w:pPr>
    </w:p>
    <w:p w14:paraId="3B0E1680" w14:textId="77777777" w:rsidR="00EC2EF1" w:rsidRPr="00EE7E38" w:rsidRDefault="00EC2EF1" w:rsidP="00835F94">
      <w:pPr>
        <w:widowControl w:val="0"/>
        <w:spacing w:after="0" w:line="240" w:lineRule="auto"/>
        <w:rPr>
          <w:rFonts w:ascii="Times New Roman" w:hAnsi="Times New Roman" w:cs="Times New Roman"/>
          <w:sz w:val="24"/>
          <w:szCs w:val="24"/>
        </w:rPr>
      </w:pPr>
    </w:p>
    <w:p w14:paraId="26820BA9" w14:textId="77777777" w:rsidR="00EC2EF1" w:rsidRPr="00EE7E38" w:rsidRDefault="00EC2EF1" w:rsidP="00835F94">
      <w:pPr>
        <w:widowControl w:val="0"/>
        <w:spacing w:after="0" w:line="240" w:lineRule="auto"/>
        <w:rPr>
          <w:rFonts w:ascii="Times New Roman" w:hAnsi="Times New Roman" w:cs="Times New Roman"/>
          <w:sz w:val="24"/>
          <w:szCs w:val="24"/>
        </w:rPr>
      </w:pPr>
    </w:p>
    <w:p w14:paraId="66062018" w14:textId="77777777" w:rsidR="00EC2EF1" w:rsidRPr="00EE7E38" w:rsidRDefault="00EC2EF1" w:rsidP="00835F94">
      <w:pPr>
        <w:widowControl w:val="0"/>
        <w:spacing w:after="0" w:line="240" w:lineRule="auto"/>
        <w:rPr>
          <w:rFonts w:ascii="Times New Roman" w:hAnsi="Times New Roman" w:cs="Times New Roman"/>
          <w:sz w:val="24"/>
          <w:szCs w:val="24"/>
        </w:rPr>
      </w:pPr>
    </w:p>
    <w:p w14:paraId="140A206C" w14:textId="77777777" w:rsidR="00EC2EF1" w:rsidRPr="00EE7E38" w:rsidRDefault="00EC2EF1" w:rsidP="00835F94">
      <w:pPr>
        <w:widowControl w:val="0"/>
        <w:spacing w:after="0" w:line="240" w:lineRule="auto"/>
        <w:rPr>
          <w:rFonts w:ascii="Times New Roman" w:hAnsi="Times New Roman" w:cs="Times New Roman"/>
          <w:sz w:val="24"/>
          <w:szCs w:val="24"/>
        </w:rPr>
      </w:pPr>
    </w:p>
    <w:p w14:paraId="638A91B2" w14:textId="77777777" w:rsidR="00EC2EF1" w:rsidRPr="00EE7E38" w:rsidRDefault="00EC2EF1" w:rsidP="00835F94">
      <w:pPr>
        <w:widowControl w:val="0"/>
        <w:spacing w:after="0" w:line="240" w:lineRule="auto"/>
        <w:rPr>
          <w:rFonts w:ascii="Times New Roman" w:hAnsi="Times New Roman" w:cs="Times New Roman"/>
          <w:sz w:val="24"/>
          <w:szCs w:val="24"/>
        </w:rPr>
      </w:pPr>
    </w:p>
    <w:p w14:paraId="560437EC" w14:textId="77777777" w:rsidR="0059277E" w:rsidRPr="00EE7E38" w:rsidRDefault="0059277E" w:rsidP="00835F94">
      <w:pPr>
        <w:widowControl w:val="0"/>
        <w:spacing w:after="0" w:line="240" w:lineRule="auto"/>
        <w:jc w:val="center"/>
        <w:rPr>
          <w:rFonts w:ascii="Times New Roman" w:hAnsi="Times New Roman" w:cs="Times New Roman"/>
          <w:b/>
          <w:sz w:val="48"/>
          <w:szCs w:val="48"/>
        </w:rPr>
      </w:pPr>
    </w:p>
    <w:p w14:paraId="7AE245E7" w14:textId="77777777" w:rsidR="00EC2EF1" w:rsidRPr="00EE7E38" w:rsidRDefault="0059277E" w:rsidP="00835F94">
      <w:pPr>
        <w:widowControl w:val="0"/>
        <w:spacing w:after="0" w:line="240" w:lineRule="auto"/>
        <w:jc w:val="center"/>
        <w:rPr>
          <w:rFonts w:ascii="Times New Roman" w:hAnsi="Times New Roman" w:cs="Times New Roman"/>
          <w:b/>
          <w:sz w:val="48"/>
          <w:szCs w:val="48"/>
        </w:rPr>
      </w:pPr>
      <w:r w:rsidRPr="00EE7E38">
        <w:rPr>
          <w:rFonts w:ascii="Times New Roman" w:hAnsi="Times New Roman" w:cs="Times New Roman"/>
          <w:b/>
          <w:sz w:val="48"/>
          <w:szCs w:val="48"/>
        </w:rPr>
        <w:t>National Strategy</w:t>
      </w:r>
      <w:r w:rsidR="0071773E" w:rsidRPr="00EE7E38">
        <w:rPr>
          <w:rFonts w:ascii="Times New Roman" w:hAnsi="Times New Roman" w:cs="Times New Roman"/>
          <w:b/>
          <w:sz w:val="48"/>
          <w:szCs w:val="48"/>
        </w:rPr>
        <w:t xml:space="preserve"> </w:t>
      </w:r>
    </w:p>
    <w:p w14:paraId="55A0A1B5" w14:textId="77777777" w:rsidR="00EC2EF1" w:rsidRPr="00EE7E38" w:rsidRDefault="0071773E" w:rsidP="00835F94">
      <w:pPr>
        <w:widowControl w:val="0"/>
        <w:spacing w:after="0" w:line="240" w:lineRule="auto"/>
        <w:jc w:val="center"/>
        <w:rPr>
          <w:rFonts w:ascii="Times New Roman" w:hAnsi="Times New Roman" w:cs="Times New Roman"/>
          <w:b/>
          <w:sz w:val="48"/>
          <w:szCs w:val="48"/>
        </w:rPr>
      </w:pPr>
      <w:proofErr w:type="gramStart"/>
      <w:r w:rsidRPr="00EE7E38">
        <w:rPr>
          <w:rFonts w:ascii="Times New Roman" w:hAnsi="Times New Roman" w:cs="Times New Roman"/>
          <w:b/>
          <w:sz w:val="48"/>
          <w:szCs w:val="48"/>
        </w:rPr>
        <w:t>for</w:t>
      </w:r>
      <w:proofErr w:type="gramEnd"/>
      <w:r w:rsidRPr="00EE7E38">
        <w:rPr>
          <w:rFonts w:ascii="Times New Roman" w:hAnsi="Times New Roman" w:cs="Times New Roman"/>
          <w:b/>
          <w:sz w:val="48"/>
          <w:szCs w:val="48"/>
        </w:rPr>
        <w:t xml:space="preserve"> Tuberculosis Control </w:t>
      </w:r>
    </w:p>
    <w:p w14:paraId="0E688116" w14:textId="77777777" w:rsidR="00EC2EF1" w:rsidRPr="00EE7E38" w:rsidRDefault="0071773E" w:rsidP="00835F94">
      <w:pPr>
        <w:widowControl w:val="0"/>
        <w:spacing w:after="0" w:line="240" w:lineRule="auto"/>
        <w:jc w:val="center"/>
        <w:rPr>
          <w:rFonts w:ascii="Times New Roman" w:hAnsi="Times New Roman" w:cs="Times New Roman"/>
          <w:b/>
          <w:sz w:val="48"/>
          <w:szCs w:val="48"/>
        </w:rPr>
      </w:pPr>
      <w:proofErr w:type="gramStart"/>
      <w:r w:rsidRPr="00EE7E38">
        <w:rPr>
          <w:rFonts w:ascii="Times New Roman" w:hAnsi="Times New Roman" w:cs="Times New Roman"/>
          <w:b/>
          <w:sz w:val="48"/>
          <w:szCs w:val="48"/>
        </w:rPr>
        <w:t>in</w:t>
      </w:r>
      <w:proofErr w:type="gramEnd"/>
      <w:r w:rsidRPr="00EE7E38">
        <w:rPr>
          <w:rFonts w:ascii="Times New Roman" w:hAnsi="Times New Roman" w:cs="Times New Roman"/>
          <w:b/>
          <w:sz w:val="48"/>
          <w:szCs w:val="48"/>
        </w:rPr>
        <w:t xml:space="preserve"> Georgia </w:t>
      </w:r>
    </w:p>
    <w:p w14:paraId="5A2CE4C9" w14:textId="77777777" w:rsidR="0071773E" w:rsidRPr="00EE7E38" w:rsidRDefault="0059277E" w:rsidP="00835F94">
      <w:pPr>
        <w:widowControl w:val="0"/>
        <w:spacing w:after="0" w:line="240" w:lineRule="auto"/>
        <w:jc w:val="center"/>
        <w:rPr>
          <w:rFonts w:ascii="Times New Roman" w:hAnsi="Times New Roman" w:cs="Times New Roman"/>
          <w:b/>
          <w:sz w:val="48"/>
          <w:szCs w:val="48"/>
        </w:rPr>
      </w:pPr>
      <w:r w:rsidRPr="00EE7E38">
        <w:rPr>
          <w:rFonts w:ascii="Times New Roman" w:hAnsi="Times New Roman" w:cs="Times New Roman"/>
          <w:b/>
          <w:sz w:val="48"/>
          <w:szCs w:val="48"/>
        </w:rPr>
        <w:t>2019-2022</w:t>
      </w:r>
    </w:p>
    <w:p w14:paraId="0751CAEA" w14:textId="77777777" w:rsidR="00CB7F67" w:rsidRPr="00EE7E38" w:rsidRDefault="00CB7F67" w:rsidP="00835F94">
      <w:pPr>
        <w:widowControl w:val="0"/>
        <w:spacing w:after="0" w:line="240" w:lineRule="auto"/>
        <w:jc w:val="center"/>
        <w:rPr>
          <w:rFonts w:ascii="Times New Roman" w:hAnsi="Times New Roman" w:cs="Times New Roman"/>
          <w:b/>
          <w:sz w:val="28"/>
          <w:szCs w:val="28"/>
        </w:rPr>
      </w:pPr>
    </w:p>
    <w:p w14:paraId="67E228F4"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6A4A1073"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3665F6A0"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00B332B8"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75AD611B"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177345B8"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3C465B11"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72206FFE"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617554CA"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6D42AA6A"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319086F7"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10967F49" w14:textId="77777777" w:rsidR="00EC2EF1" w:rsidRPr="00EE7E38" w:rsidRDefault="00EC2EF1" w:rsidP="00835F94">
      <w:pPr>
        <w:widowControl w:val="0"/>
        <w:spacing w:after="0" w:line="240" w:lineRule="auto"/>
        <w:jc w:val="center"/>
        <w:rPr>
          <w:rFonts w:ascii="Times New Roman" w:hAnsi="Times New Roman" w:cs="Times New Roman"/>
          <w:b/>
          <w:sz w:val="28"/>
          <w:szCs w:val="28"/>
        </w:rPr>
      </w:pPr>
    </w:p>
    <w:p w14:paraId="789DC6EB" w14:textId="77777777" w:rsidR="00857E5B" w:rsidRPr="00EE7E38" w:rsidRDefault="00857E5B" w:rsidP="00835F94">
      <w:pPr>
        <w:widowControl w:val="0"/>
        <w:pBdr>
          <w:bottom w:val="single" w:sz="4" w:space="1" w:color="auto"/>
        </w:pBdr>
        <w:rPr>
          <w:rFonts w:ascii="Times New Roman" w:hAnsi="Times New Roman" w:cs="Times New Roman"/>
          <w:b/>
          <w:color w:val="365F91" w:themeColor="accent1" w:themeShade="BF"/>
          <w:sz w:val="28"/>
          <w:szCs w:val="28"/>
        </w:rPr>
      </w:pPr>
    </w:p>
    <w:p w14:paraId="57E51670" w14:textId="77777777" w:rsidR="00EC2EF1" w:rsidRPr="00EE7E38" w:rsidRDefault="00EC2EF1" w:rsidP="00835F94">
      <w:pPr>
        <w:widowControl w:val="0"/>
        <w:pBdr>
          <w:bottom w:val="single" w:sz="4" w:space="1" w:color="auto"/>
        </w:pBdr>
        <w:rPr>
          <w:rFonts w:ascii="Times New Roman" w:hAnsi="Times New Roman" w:cs="Times New Roman"/>
          <w:b/>
          <w:color w:val="365F91" w:themeColor="accent1" w:themeShade="BF"/>
          <w:sz w:val="28"/>
          <w:szCs w:val="28"/>
        </w:rPr>
      </w:pPr>
    </w:p>
    <w:p w14:paraId="0A9AA447" w14:textId="77777777" w:rsidR="00EC2EF1" w:rsidRPr="00EE7E38" w:rsidRDefault="00EC2EF1" w:rsidP="00835F94">
      <w:pPr>
        <w:widowControl w:val="0"/>
        <w:pBdr>
          <w:bottom w:val="single" w:sz="4" w:space="1" w:color="auto"/>
        </w:pBdr>
        <w:rPr>
          <w:rFonts w:ascii="Times New Roman" w:hAnsi="Times New Roman" w:cs="Times New Roman"/>
          <w:b/>
          <w:color w:val="365F91" w:themeColor="accent1" w:themeShade="BF"/>
          <w:sz w:val="28"/>
          <w:szCs w:val="28"/>
        </w:rPr>
      </w:pPr>
    </w:p>
    <w:p w14:paraId="699CE63F" w14:textId="77777777" w:rsidR="00CB7F67" w:rsidRPr="00EE7E38" w:rsidRDefault="00CB7F67" w:rsidP="00835F94">
      <w:pPr>
        <w:widowControl w:val="0"/>
        <w:rPr>
          <w:rFonts w:ascii="Times New Roman" w:hAnsi="Times New Roman" w:cs="Times New Roman"/>
          <w:b/>
          <w:color w:val="365F91" w:themeColor="accent1" w:themeShade="BF"/>
          <w:sz w:val="28"/>
          <w:szCs w:val="28"/>
        </w:rPr>
      </w:pPr>
    </w:p>
    <w:p w14:paraId="4339F067" w14:textId="77777777" w:rsidR="00EC2EF1" w:rsidRPr="00EE7E38" w:rsidRDefault="00EC2EF1" w:rsidP="00835F94">
      <w:pPr>
        <w:widowControl w:val="0"/>
        <w:rPr>
          <w:rFonts w:ascii="Times New Roman" w:hAnsi="Times New Roman" w:cs="Times New Roman"/>
          <w:b/>
          <w:color w:val="365F91" w:themeColor="accent1" w:themeShade="BF"/>
          <w:sz w:val="28"/>
          <w:szCs w:val="28"/>
        </w:rPr>
      </w:pPr>
      <w:r w:rsidRPr="00EE7E38">
        <w:rPr>
          <w:rFonts w:ascii="Times New Roman" w:hAnsi="Times New Roman" w:cs="Times New Roman"/>
          <w:b/>
          <w:color w:val="365F91" w:themeColor="accent1" w:themeShade="BF"/>
          <w:sz w:val="28"/>
          <w:szCs w:val="28"/>
        </w:rPr>
        <w:br w:type="page"/>
      </w:r>
    </w:p>
    <w:p w14:paraId="20C88061" w14:textId="77777777" w:rsidR="00EC2EF1" w:rsidRPr="00EE7E38" w:rsidRDefault="00EC2EF1" w:rsidP="00835F94">
      <w:pPr>
        <w:widowControl w:val="0"/>
        <w:rPr>
          <w:rFonts w:ascii="Times New Roman" w:hAnsi="Times New Roman" w:cs="Times New Roman"/>
          <w:b/>
          <w:color w:val="365F91" w:themeColor="accent1" w:themeShade="BF"/>
          <w:sz w:val="28"/>
          <w:szCs w:val="28"/>
        </w:rPr>
      </w:pPr>
    </w:p>
    <w:p w14:paraId="46F1BE5D" w14:textId="77777777" w:rsidR="00EC2EF1" w:rsidRPr="00EE7E38" w:rsidRDefault="00EC2EF1" w:rsidP="00835F94">
      <w:pPr>
        <w:widowControl w:val="0"/>
        <w:rPr>
          <w:rFonts w:ascii="Times New Roman" w:hAnsi="Times New Roman" w:cs="Times New Roman"/>
          <w:b/>
          <w:color w:val="365F91" w:themeColor="accent1" w:themeShade="BF"/>
          <w:sz w:val="28"/>
          <w:szCs w:val="28"/>
        </w:rPr>
      </w:pPr>
    </w:p>
    <w:p w14:paraId="4320C74F" w14:textId="77777777" w:rsidR="00857E5B" w:rsidRPr="00EE7E38" w:rsidRDefault="00857E5B" w:rsidP="00835F94">
      <w:pPr>
        <w:widowControl w:val="0"/>
        <w:rPr>
          <w:rFonts w:ascii="Times New Roman" w:hAnsi="Times New Roman" w:cs="Times New Roman"/>
          <w:b/>
          <w:color w:val="365F91" w:themeColor="accent1" w:themeShade="BF"/>
          <w:sz w:val="28"/>
          <w:szCs w:val="28"/>
        </w:rPr>
      </w:pPr>
      <w:r w:rsidRPr="00EE7E38">
        <w:rPr>
          <w:rFonts w:ascii="Times New Roman" w:hAnsi="Times New Roman" w:cs="Times New Roman"/>
          <w:b/>
          <w:color w:val="365F91" w:themeColor="accent1" w:themeShade="BF"/>
          <w:sz w:val="28"/>
          <w:szCs w:val="28"/>
        </w:rPr>
        <w:t>Contents</w:t>
      </w:r>
    </w:p>
    <w:sdt>
      <w:sdtPr>
        <w:rPr>
          <w:rFonts w:ascii="Times New Roman" w:eastAsiaTheme="minorHAnsi" w:hAnsi="Times New Roman" w:cs="Times New Roman"/>
          <w:b w:val="0"/>
          <w:bCs w:val="0"/>
          <w:color w:val="auto"/>
          <w:sz w:val="22"/>
          <w:szCs w:val="22"/>
          <w:lang w:eastAsia="en-US"/>
        </w:rPr>
        <w:id w:val="1466757735"/>
        <w:docPartObj>
          <w:docPartGallery w:val="Table of Contents"/>
          <w:docPartUnique/>
        </w:docPartObj>
      </w:sdtPr>
      <w:sdtEndPr>
        <w:rPr>
          <w:rFonts w:eastAsiaTheme="minorEastAsia"/>
        </w:rPr>
      </w:sdtEndPr>
      <w:sdtContent>
        <w:p w14:paraId="5B8AED27" w14:textId="77777777" w:rsidR="00FB4436" w:rsidRPr="00EE7E38" w:rsidRDefault="00FB4436">
          <w:pPr>
            <w:pStyle w:val="TOCHeading"/>
            <w:rPr>
              <w:rFonts w:ascii="Times New Roman" w:hAnsi="Times New Roman" w:cs="Times New Roman"/>
            </w:rPr>
          </w:pPr>
        </w:p>
        <w:p w14:paraId="43FDCD32" w14:textId="77777777" w:rsidR="00267098" w:rsidRPr="00267098" w:rsidRDefault="00FB4436">
          <w:pPr>
            <w:pStyle w:val="TOC1"/>
            <w:tabs>
              <w:tab w:val="right" w:leader="dot" w:pos="9629"/>
            </w:tabs>
            <w:rPr>
              <w:rFonts w:ascii="Times New Roman" w:hAnsi="Times New Roman" w:cs="Times New Roman"/>
              <w:b w:val="0"/>
              <w:bCs w:val="0"/>
              <w:iCs w:val="0"/>
              <w:noProof/>
              <w:szCs w:val="22"/>
            </w:rPr>
          </w:pPr>
          <w:r w:rsidRPr="00267098">
            <w:rPr>
              <w:rFonts w:ascii="Times New Roman" w:hAnsi="Times New Roman" w:cs="Times New Roman"/>
            </w:rPr>
            <w:fldChar w:fldCharType="begin"/>
          </w:r>
          <w:r w:rsidRPr="00267098">
            <w:rPr>
              <w:rFonts w:ascii="Times New Roman" w:hAnsi="Times New Roman" w:cs="Times New Roman"/>
            </w:rPr>
            <w:instrText xml:space="preserve"> TOC \o "1-3" \h \z \u </w:instrText>
          </w:r>
          <w:r w:rsidRPr="00267098">
            <w:rPr>
              <w:rFonts w:ascii="Times New Roman" w:hAnsi="Times New Roman" w:cs="Times New Roman"/>
            </w:rPr>
            <w:fldChar w:fldCharType="separate"/>
          </w:r>
          <w:hyperlink w:anchor="_Toc517633157" w:history="1">
            <w:r w:rsidR="00267098" w:rsidRPr="00267098">
              <w:rPr>
                <w:rStyle w:val="Hyperlink"/>
                <w:rFonts w:ascii="Times New Roman" w:hAnsi="Times New Roman" w:cs="Times New Roman"/>
                <w:noProof/>
              </w:rPr>
              <w:t>Acronyms</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_Toc517633157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3</w:t>
            </w:r>
            <w:r w:rsidR="00267098" w:rsidRPr="00267098">
              <w:rPr>
                <w:rFonts w:ascii="Times New Roman" w:hAnsi="Times New Roman" w:cs="Times New Roman"/>
                <w:noProof/>
                <w:webHidden/>
              </w:rPr>
              <w:fldChar w:fldCharType="end"/>
            </w:r>
          </w:hyperlink>
        </w:p>
        <w:p w14:paraId="7AB5CF47" w14:textId="77777777" w:rsidR="00267098" w:rsidRPr="00267098" w:rsidRDefault="00FE34D5">
          <w:pPr>
            <w:pStyle w:val="TOC1"/>
            <w:tabs>
              <w:tab w:val="right" w:leader="dot" w:pos="9629"/>
            </w:tabs>
            <w:rPr>
              <w:rFonts w:ascii="Times New Roman" w:hAnsi="Times New Roman" w:cs="Times New Roman"/>
              <w:b w:val="0"/>
              <w:bCs w:val="0"/>
              <w:iCs w:val="0"/>
              <w:noProof/>
              <w:szCs w:val="22"/>
            </w:rPr>
          </w:pPr>
          <w:hyperlink w:anchor="_Toc517633158" w:history="1">
            <w:r w:rsidR="00267098" w:rsidRPr="00267098">
              <w:rPr>
                <w:rStyle w:val="Hyperlink"/>
                <w:rFonts w:ascii="Times New Roman" w:hAnsi="Times New Roman" w:cs="Times New Roman"/>
                <w:noProof/>
              </w:rPr>
              <w:t>Introduction</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_Toc517633158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w:t>
            </w:r>
            <w:r w:rsidR="00267098" w:rsidRPr="00267098">
              <w:rPr>
                <w:rFonts w:ascii="Times New Roman" w:hAnsi="Times New Roman" w:cs="Times New Roman"/>
                <w:noProof/>
                <w:webHidden/>
              </w:rPr>
              <w:fldChar w:fldCharType="end"/>
            </w:r>
          </w:hyperlink>
        </w:p>
        <w:p w14:paraId="2BDDC803"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59" w:history="1">
            <w:r w:rsidR="00267098" w:rsidRPr="00267098">
              <w:rPr>
                <w:rStyle w:val="Hyperlink"/>
                <w:rFonts w:ascii="Times New Roman" w:hAnsi="Times New Roman" w:cs="Times New Roman"/>
                <w:noProof/>
              </w:rPr>
              <w:t>1.</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Situational Analysis</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_Toc517633159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w:t>
            </w:r>
            <w:r w:rsidR="00267098" w:rsidRPr="00267098">
              <w:rPr>
                <w:rFonts w:ascii="Times New Roman" w:hAnsi="Times New Roman" w:cs="Times New Roman"/>
                <w:noProof/>
                <w:webHidden/>
              </w:rPr>
              <w:fldChar w:fldCharType="end"/>
            </w:r>
          </w:hyperlink>
        </w:p>
        <w:p w14:paraId="764EE03F" w14:textId="77777777" w:rsidR="00267098" w:rsidRPr="00267098" w:rsidRDefault="00FE34D5">
          <w:pPr>
            <w:pStyle w:val="TOC2"/>
            <w:rPr>
              <w:rFonts w:ascii="Times New Roman" w:hAnsi="Times New Roman" w:cs="Times New Roman"/>
              <w:bCs w:val="0"/>
              <w:noProof/>
              <w:sz w:val="22"/>
            </w:rPr>
          </w:pPr>
          <w:hyperlink w:anchor="_Toc517633160" w:history="1">
            <w:r w:rsidR="00267098" w:rsidRPr="00267098">
              <w:rPr>
                <w:rStyle w:val="Hyperlink"/>
                <w:rFonts w:ascii="Times New Roman" w:eastAsiaTheme="minorHAnsi" w:hAnsi="Times New Roman" w:cs="Times New Roman"/>
                <w:noProof/>
              </w:rPr>
              <w:t>1.1 Analysis of the legislative framework</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_Toc517633160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w:t>
            </w:r>
            <w:r w:rsidR="00267098" w:rsidRPr="00267098">
              <w:rPr>
                <w:rFonts w:ascii="Times New Roman" w:hAnsi="Times New Roman" w:cs="Times New Roman"/>
                <w:noProof/>
                <w:webHidden/>
              </w:rPr>
              <w:fldChar w:fldCharType="end"/>
            </w:r>
          </w:hyperlink>
        </w:p>
        <w:p w14:paraId="4AFDC3D4" w14:textId="77777777" w:rsidR="00267098" w:rsidRPr="00267098" w:rsidRDefault="00FE34D5">
          <w:pPr>
            <w:pStyle w:val="TOC2"/>
            <w:rPr>
              <w:rFonts w:ascii="Times New Roman" w:hAnsi="Times New Roman" w:cs="Times New Roman"/>
              <w:bCs w:val="0"/>
              <w:noProof/>
              <w:sz w:val="22"/>
            </w:rPr>
          </w:pPr>
          <w:hyperlink w:anchor="_Toc517633161" w:history="1">
            <w:r w:rsidR="00267098" w:rsidRPr="00267098">
              <w:rPr>
                <w:rStyle w:val="Hyperlink"/>
                <w:rFonts w:ascii="Times New Roman" w:eastAsiaTheme="minorHAnsi" w:hAnsi="Times New Roman" w:cs="Times New Roman"/>
                <w:noProof/>
              </w:rPr>
              <w:t>1.2</w:t>
            </w:r>
            <w:r w:rsidR="00267098" w:rsidRPr="00267098">
              <w:rPr>
                <w:rFonts w:ascii="Times New Roman" w:hAnsi="Times New Roman" w:cs="Times New Roman"/>
                <w:bCs w:val="0"/>
                <w:noProof/>
                <w:sz w:val="22"/>
              </w:rPr>
              <w:tab/>
            </w:r>
            <w:r w:rsidR="00267098" w:rsidRPr="00267098">
              <w:rPr>
                <w:rStyle w:val="Hyperlink"/>
                <w:rFonts w:ascii="Times New Roman" w:eastAsiaTheme="minorHAnsi" w:hAnsi="Times New Roman" w:cs="Times New Roman"/>
                <w:noProof/>
              </w:rPr>
              <w:t>Alignment with the United Nations Sustainable Development Goals</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_Toc517633161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6</w:t>
            </w:r>
            <w:r w:rsidR="00267098" w:rsidRPr="00267098">
              <w:rPr>
                <w:rFonts w:ascii="Times New Roman" w:hAnsi="Times New Roman" w:cs="Times New Roman"/>
                <w:noProof/>
                <w:webHidden/>
              </w:rPr>
              <w:fldChar w:fldCharType="end"/>
            </w:r>
          </w:hyperlink>
        </w:p>
        <w:p w14:paraId="044E67EC" w14:textId="77777777" w:rsidR="00267098" w:rsidRPr="00267098" w:rsidRDefault="00FE34D5">
          <w:pPr>
            <w:pStyle w:val="TOC2"/>
            <w:rPr>
              <w:rFonts w:ascii="Times New Roman" w:hAnsi="Times New Roman" w:cs="Times New Roman"/>
              <w:bCs w:val="0"/>
              <w:noProof/>
              <w:sz w:val="22"/>
            </w:rPr>
          </w:pPr>
          <w:hyperlink w:anchor="_Toc517633162" w:history="1">
            <w:r w:rsidR="00267098" w:rsidRPr="00267098">
              <w:rPr>
                <w:rStyle w:val="Hyperlink"/>
                <w:rFonts w:ascii="Times New Roman" w:hAnsi="Times New Roman" w:cs="Times New Roman"/>
                <w:noProof/>
              </w:rPr>
              <w:t>1.3 The burden of TB in Georgia</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_Toc517633162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6</w:t>
            </w:r>
            <w:r w:rsidR="00267098" w:rsidRPr="00267098">
              <w:rPr>
                <w:rFonts w:ascii="Times New Roman" w:hAnsi="Times New Roman" w:cs="Times New Roman"/>
                <w:noProof/>
                <w:webHidden/>
              </w:rPr>
              <w:fldChar w:fldCharType="end"/>
            </w:r>
          </w:hyperlink>
        </w:p>
        <w:p w14:paraId="4EF57C49" w14:textId="77777777" w:rsidR="00267098" w:rsidRPr="00267098" w:rsidRDefault="00FE34D5">
          <w:pPr>
            <w:pStyle w:val="TOC2"/>
            <w:rPr>
              <w:rFonts w:ascii="Times New Roman" w:hAnsi="Times New Roman" w:cs="Times New Roman"/>
              <w:bCs w:val="0"/>
              <w:noProof/>
              <w:sz w:val="22"/>
            </w:rPr>
          </w:pPr>
          <w:hyperlink w:anchor="_Toc517633163" w:history="1">
            <w:r w:rsidR="00267098" w:rsidRPr="00267098">
              <w:rPr>
                <w:rStyle w:val="Hyperlink"/>
                <w:rFonts w:ascii="Times New Roman" w:hAnsi="Times New Roman" w:cs="Times New Roman"/>
                <w:noProof/>
              </w:rPr>
              <w:t>1.4 Organization of National TB Program</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_Toc517633163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8</w:t>
            </w:r>
            <w:r w:rsidR="00267098" w:rsidRPr="00267098">
              <w:rPr>
                <w:rFonts w:ascii="Times New Roman" w:hAnsi="Times New Roman" w:cs="Times New Roman"/>
                <w:noProof/>
                <w:webHidden/>
              </w:rPr>
              <w:fldChar w:fldCharType="end"/>
            </w:r>
          </w:hyperlink>
        </w:p>
        <w:p w14:paraId="3AADD529" w14:textId="77777777" w:rsidR="00267098" w:rsidRPr="00267098" w:rsidRDefault="00FE34D5">
          <w:pPr>
            <w:pStyle w:val="TOC2"/>
            <w:rPr>
              <w:rFonts w:ascii="Times New Roman" w:hAnsi="Times New Roman" w:cs="Times New Roman"/>
              <w:bCs w:val="0"/>
              <w:noProof/>
              <w:sz w:val="22"/>
            </w:rPr>
          </w:pPr>
          <w:hyperlink w:anchor="_Toc517633164" w:history="1">
            <w:r w:rsidR="00267098" w:rsidRPr="00267098">
              <w:rPr>
                <w:rStyle w:val="Hyperlink"/>
                <w:rFonts w:ascii="Times New Roman" w:hAnsi="Times New Roman" w:cs="Times New Roman"/>
                <w:noProof/>
              </w:rPr>
              <w:t>1.5 Main achievements of the National TB Program</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_Toc517633164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10</w:t>
            </w:r>
            <w:r w:rsidR="00267098" w:rsidRPr="00267098">
              <w:rPr>
                <w:rFonts w:ascii="Times New Roman" w:hAnsi="Times New Roman" w:cs="Times New Roman"/>
                <w:noProof/>
                <w:webHidden/>
              </w:rPr>
              <w:fldChar w:fldCharType="end"/>
            </w:r>
          </w:hyperlink>
        </w:p>
        <w:p w14:paraId="39D75B2A" w14:textId="77777777" w:rsidR="00267098" w:rsidRPr="00267098" w:rsidRDefault="00FE34D5">
          <w:pPr>
            <w:pStyle w:val="TOC2"/>
            <w:rPr>
              <w:rFonts w:ascii="Times New Roman" w:hAnsi="Times New Roman" w:cs="Times New Roman"/>
              <w:bCs w:val="0"/>
              <w:noProof/>
              <w:sz w:val="22"/>
            </w:rPr>
          </w:pPr>
          <w:hyperlink w:anchor="_Toc517633165" w:history="1">
            <w:r w:rsidR="00267098" w:rsidRPr="00267098">
              <w:rPr>
                <w:rStyle w:val="Hyperlink"/>
                <w:rFonts w:ascii="Times New Roman" w:hAnsi="Times New Roman" w:cs="Times New Roman"/>
                <w:noProof/>
              </w:rPr>
              <w:t>1.6 Key challenges for TB control</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_Toc517633165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11</w:t>
            </w:r>
            <w:r w:rsidR="00267098" w:rsidRPr="00267098">
              <w:rPr>
                <w:rFonts w:ascii="Times New Roman" w:hAnsi="Times New Roman" w:cs="Times New Roman"/>
                <w:noProof/>
                <w:webHidden/>
              </w:rPr>
              <w:fldChar w:fldCharType="end"/>
            </w:r>
          </w:hyperlink>
        </w:p>
        <w:p w14:paraId="15D128DC"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66" w:history="1">
            <w:r w:rsidR="00267098" w:rsidRPr="00267098">
              <w:rPr>
                <w:rStyle w:val="Hyperlink"/>
                <w:rFonts w:ascii="Times New Roman" w:hAnsi="Times New Roman" w:cs="Times New Roman"/>
                <w:noProof/>
              </w:rPr>
              <w:t>2.</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Goal, Targets, Principles and Objectives</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_Toc517633166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12</w:t>
            </w:r>
            <w:r w:rsidR="00267098" w:rsidRPr="00267098">
              <w:rPr>
                <w:rFonts w:ascii="Times New Roman" w:hAnsi="Times New Roman" w:cs="Times New Roman"/>
                <w:noProof/>
                <w:webHidden/>
              </w:rPr>
              <w:fldChar w:fldCharType="end"/>
            </w:r>
          </w:hyperlink>
        </w:p>
        <w:p w14:paraId="14194828"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67" w:history="1">
            <w:r w:rsidR="00267098" w:rsidRPr="00267098">
              <w:rPr>
                <w:rStyle w:val="Hyperlink"/>
                <w:rFonts w:ascii="Times New Roman" w:hAnsi="Times New Roman" w:cs="Times New Roman"/>
                <w:noProof/>
              </w:rPr>
              <w:t>3.</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Components of the National Strategic Plan</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_Toc517633167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13</w:t>
            </w:r>
            <w:r w:rsidR="00267098" w:rsidRPr="00267098">
              <w:rPr>
                <w:rFonts w:ascii="Times New Roman" w:hAnsi="Times New Roman" w:cs="Times New Roman"/>
                <w:noProof/>
                <w:webHidden/>
              </w:rPr>
              <w:fldChar w:fldCharType="end"/>
            </w:r>
          </w:hyperlink>
        </w:p>
        <w:p w14:paraId="28F1DDE8" w14:textId="77777777" w:rsidR="00267098" w:rsidRPr="00267098" w:rsidRDefault="00FE34D5">
          <w:pPr>
            <w:pStyle w:val="TOC2"/>
            <w:rPr>
              <w:rFonts w:ascii="Times New Roman" w:hAnsi="Times New Roman" w:cs="Times New Roman"/>
              <w:bCs w:val="0"/>
              <w:noProof/>
              <w:sz w:val="22"/>
            </w:rPr>
          </w:pPr>
          <w:hyperlink w:anchor="_Toc517633168" w:history="1">
            <w:r w:rsidR="00267098" w:rsidRPr="00267098">
              <w:rPr>
                <w:rStyle w:val="Hyperlink"/>
                <w:rFonts w:ascii="Times New Roman" w:hAnsi="Times New Roman" w:cs="Times New Roman"/>
                <w:noProof/>
              </w:rPr>
              <w:t xml:space="preserve">Objective 1. </w:t>
            </w:r>
            <w:r w:rsidR="00267098" w:rsidRPr="00267098">
              <w:rPr>
                <w:rFonts w:ascii="Times New Roman" w:hAnsi="Times New Roman" w:cs="Times New Roman"/>
                <w:bCs w:val="0"/>
                <w:noProof/>
                <w:sz w:val="22"/>
              </w:rPr>
              <w:tab/>
            </w:r>
            <w:r w:rsidR="00267098" w:rsidRPr="00267098">
              <w:rPr>
                <w:rStyle w:val="Hyperlink"/>
                <w:rFonts w:ascii="Times New Roman" w:hAnsi="Times New Roman" w:cs="Times New Roman"/>
                <w:noProof/>
              </w:rPr>
              <w:t>To provide universal access to early and quality diagnosis of all forms of TB including M/XDR-TB</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_Toc517633168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13</w:t>
            </w:r>
            <w:r w:rsidR="00267098" w:rsidRPr="00267098">
              <w:rPr>
                <w:rFonts w:ascii="Times New Roman" w:hAnsi="Times New Roman" w:cs="Times New Roman"/>
                <w:noProof/>
                <w:webHidden/>
              </w:rPr>
              <w:fldChar w:fldCharType="end"/>
            </w:r>
          </w:hyperlink>
        </w:p>
        <w:p w14:paraId="61DAC9AC" w14:textId="77777777" w:rsidR="00267098" w:rsidRPr="00267098" w:rsidRDefault="00FE34D5">
          <w:pPr>
            <w:pStyle w:val="TOC2"/>
            <w:rPr>
              <w:rFonts w:ascii="Times New Roman" w:hAnsi="Times New Roman" w:cs="Times New Roman"/>
              <w:bCs w:val="0"/>
              <w:noProof/>
              <w:sz w:val="22"/>
            </w:rPr>
          </w:pPr>
          <w:hyperlink w:anchor="_Toc517633169" w:history="1">
            <w:r w:rsidR="00267098" w:rsidRPr="00267098">
              <w:rPr>
                <w:rStyle w:val="Hyperlink"/>
                <w:rFonts w:ascii="Times New Roman" w:hAnsi="Times New Roman" w:cs="Times New Roman"/>
                <w:noProof/>
              </w:rPr>
              <w:t>Objective 2.</w:t>
            </w:r>
            <w:r w:rsidR="00267098" w:rsidRPr="00267098">
              <w:rPr>
                <w:rFonts w:ascii="Times New Roman" w:hAnsi="Times New Roman" w:cs="Times New Roman"/>
                <w:bCs w:val="0"/>
                <w:noProof/>
                <w:sz w:val="22"/>
              </w:rPr>
              <w:tab/>
            </w:r>
            <w:r w:rsidR="00267098" w:rsidRPr="00267098">
              <w:rPr>
                <w:rStyle w:val="Hyperlink"/>
                <w:rFonts w:ascii="Times New Roman" w:hAnsi="Times New Roman" w:cs="Times New Roman"/>
                <w:noProof/>
              </w:rPr>
              <w:t>To provide universal access to quality treatment of all forms of TB including M/XDR-TB with appropriate patient support</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_Toc517633169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22</w:t>
            </w:r>
            <w:r w:rsidR="00267098" w:rsidRPr="00267098">
              <w:rPr>
                <w:rFonts w:ascii="Times New Roman" w:hAnsi="Times New Roman" w:cs="Times New Roman"/>
                <w:noProof/>
                <w:webHidden/>
              </w:rPr>
              <w:fldChar w:fldCharType="end"/>
            </w:r>
          </w:hyperlink>
        </w:p>
        <w:p w14:paraId="2177B4C3" w14:textId="77777777" w:rsidR="00267098" w:rsidRPr="00267098" w:rsidRDefault="00FE34D5">
          <w:pPr>
            <w:pStyle w:val="TOC2"/>
            <w:rPr>
              <w:rFonts w:ascii="Times New Roman" w:hAnsi="Times New Roman" w:cs="Times New Roman"/>
              <w:bCs w:val="0"/>
              <w:noProof/>
              <w:sz w:val="22"/>
            </w:rPr>
          </w:pPr>
          <w:hyperlink w:anchor="_Toc517633170" w:history="1">
            <w:r w:rsidR="00267098" w:rsidRPr="00267098">
              <w:rPr>
                <w:rStyle w:val="Hyperlink"/>
                <w:rFonts w:ascii="Times New Roman" w:hAnsi="Times New Roman" w:cs="Times New Roman"/>
                <w:noProof/>
              </w:rPr>
              <w:t xml:space="preserve">Objective 3. </w:t>
            </w:r>
            <w:r w:rsidR="00267098" w:rsidRPr="00267098">
              <w:rPr>
                <w:rFonts w:ascii="Times New Roman" w:hAnsi="Times New Roman" w:cs="Times New Roman"/>
                <w:bCs w:val="0"/>
                <w:noProof/>
                <w:sz w:val="22"/>
              </w:rPr>
              <w:tab/>
            </w:r>
            <w:r w:rsidR="00267098" w:rsidRPr="00267098">
              <w:rPr>
                <w:rStyle w:val="Hyperlink"/>
                <w:rFonts w:ascii="Times New Roman" w:hAnsi="Times New Roman" w:cs="Times New Roman"/>
                <w:noProof/>
              </w:rPr>
              <w:t>To enable supportive environments and systems for effective TB control</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_Toc517633170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34</w:t>
            </w:r>
            <w:r w:rsidR="00267098" w:rsidRPr="00267098">
              <w:rPr>
                <w:rFonts w:ascii="Times New Roman" w:hAnsi="Times New Roman" w:cs="Times New Roman"/>
                <w:noProof/>
                <w:webHidden/>
              </w:rPr>
              <w:fldChar w:fldCharType="end"/>
            </w:r>
          </w:hyperlink>
        </w:p>
        <w:p w14:paraId="085E5830"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71" w:history="1">
            <w:r w:rsidR="00267098" w:rsidRPr="00267098">
              <w:rPr>
                <w:rStyle w:val="Hyperlink"/>
                <w:rFonts w:ascii="Times New Roman" w:hAnsi="Times New Roman" w:cs="Times New Roman"/>
                <w:noProof/>
              </w:rPr>
              <w:t>4.</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Implementation Responsibilities</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_Toc517633171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45</w:t>
            </w:r>
            <w:r w:rsidR="00267098" w:rsidRPr="00267098">
              <w:rPr>
                <w:rFonts w:ascii="Times New Roman" w:hAnsi="Times New Roman" w:cs="Times New Roman"/>
                <w:noProof/>
                <w:webHidden/>
              </w:rPr>
              <w:fldChar w:fldCharType="end"/>
            </w:r>
          </w:hyperlink>
        </w:p>
        <w:p w14:paraId="2669D785"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72" w:history="1">
            <w:r w:rsidR="00267098" w:rsidRPr="00267098">
              <w:rPr>
                <w:rStyle w:val="Hyperlink"/>
                <w:rFonts w:ascii="Times New Roman" w:hAnsi="Times New Roman" w:cs="Times New Roman"/>
                <w:noProof/>
              </w:rPr>
              <w:t>5.</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Financing of TB Control Interventions</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_Toc517633172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48</w:t>
            </w:r>
            <w:r w:rsidR="00267098" w:rsidRPr="00267098">
              <w:rPr>
                <w:rFonts w:ascii="Times New Roman" w:hAnsi="Times New Roman" w:cs="Times New Roman"/>
                <w:noProof/>
                <w:webHidden/>
              </w:rPr>
              <w:fldChar w:fldCharType="end"/>
            </w:r>
          </w:hyperlink>
        </w:p>
        <w:p w14:paraId="457DD7FE"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73" w:history="1">
            <w:r w:rsidR="00267098" w:rsidRPr="00267098">
              <w:rPr>
                <w:rStyle w:val="Hyperlink"/>
                <w:rFonts w:ascii="Times New Roman" w:hAnsi="Times New Roman" w:cs="Times New Roman"/>
                <w:noProof/>
              </w:rPr>
              <w:t>6.</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Potential risks associated with the Strategy implementation</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_Toc517633173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53</w:t>
            </w:r>
            <w:r w:rsidR="00267098" w:rsidRPr="00267098">
              <w:rPr>
                <w:rFonts w:ascii="Times New Roman" w:hAnsi="Times New Roman" w:cs="Times New Roman"/>
                <w:noProof/>
                <w:webHidden/>
              </w:rPr>
              <w:fldChar w:fldCharType="end"/>
            </w:r>
          </w:hyperlink>
        </w:p>
        <w:p w14:paraId="07D3FA7A" w14:textId="77777777" w:rsidR="00267098" w:rsidRPr="00267098" w:rsidRDefault="00FE34D5">
          <w:pPr>
            <w:pStyle w:val="TOC1"/>
            <w:tabs>
              <w:tab w:val="left" w:pos="1418"/>
              <w:tab w:val="right" w:leader="dot" w:pos="9629"/>
            </w:tabs>
            <w:rPr>
              <w:rFonts w:ascii="Times New Roman" w:hAnsi="Times New Roman" w:cs="Times New Roman"/>
              <w:b w:val="0"/>
              <w:bCs w:val="0"/>
              <w:iCs w:val="0"/>
              <w:noProof/>
              <w:szCs w:val="22"/>
            </w:rPr>
          </w:pPr>
          <w:hyperlink w:anchor="_Toc517633174" w:history="1">
            <w:r w:rsidR="00267098" w:rsidRPr="00267098">
              <w:rPr>
                <w:rStyle w:val="Hyperlink"/>
                <w:rFonts w:ascii="Times New Roman" w:hAnsi="Times New Roman" w:cs="Times New Roman"/>
                <w:noProof/>
              </w:rPr>
              <w:t>7.</w:t>
            </w:r>
            <w:r w:rsidR="00267098" w:rsidRPr="00267098">
              <w:rPr>
                <w:rFonts w:ascii="Times New Roman" w:hAnsi="Times New Roman" w:cs="Times New Roman"/>
                <w:b w:val="0"/>
                <w:bCs w:val="0"/>
                <w:iCs w:val="0"/>
                <w:noProof/>
                <w:szCs w:val="22"/>
              </w:rPr>
              <w:tab/>
            </w:r>
            <w:r w:rsidR="00267098" w:rsidRPr="00267098">
              <w:rPr>
                <w:rStyle w:val="Hyperlink"/>
                <w:rFonts w:ascii="Times New Roman" w:hAnsi="Times New Roman" w:cs="Times New Roman"/>
                <w:noProof/>
              </w:rPr>
              <w:t>Indicators for monitoring implementation</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_Toc517633174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53</w:t>
            </w:r>
            <w:r w:rsidR="00267098" w:rsidRPr="00267098">
              <w:rPr>
                <w:rFonts w:ascii="Times New Roman" w:hAnsi="Times New Roman" w:cs="Times New Roman"/>
                <w:noProof/>
                <w:webHidden/>
              </w:rPr>
              <w:fldChar w:fldCharType="end"/>
            </w:r>
          </w:hyperlink>
        </w:p>
        <w:p w14:paraId="6A3CCD92" w14:textId="77777777" w:rsidR="00267098" w:rsidRPr="00267098" w:rsidRDefault="00FE34D5">
          <w:pPr>
            <w:pStyle w:val="TOC1"/>
            <w:tabs>
              <w:tab w:val="right" w:leader="dot" w:pos="9629"/>
            </w:tabs>
            <w:rPr>
              <w:rFonts w:ascii="Times New Roman" w:hAnsi="Times New Roman" w:cs="Times New Roman"/>
              <w:b w:val="0"/>
              <w:bCs w:val="0"/>
              <w:iCs w:val="0"/>
              <w:noProof/>
              <w:szCs w:val="22"/>
            </w:rPr>
          </w:pPr>
          <w:hyperlink w:anchor="_Toc517633175" w:history="1">
            <w:r w:rsidR="00267098" w:rsidRPr="00267098">
              <w:rPr>
                <w:rStyle w:val="Hyperlink"/>
                <w:rFonts w:ascii="Times New Roman" w:eastAsia="Times New Roman" w:hAnsi="Times New Roman" w:cs="Times New Roman"/>
                <w:noProof/>
              </w:rPr>
              <w:t>Annex 1. Monitoring and Evaluation Framework</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_Toc517633175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53</w:t>
            </w:r>
            <w:r w:rsidR="00267098" w:rsidRPr="00267098">
              <w:rPr>
                <w:rFonts w:ascii="Times New Roman" w:hAnsi="Times New Roman" w:cs="Times New Roman"/>
                <w:noProof/>
                <w:webHidden/>
              </w:rPr>
              <w:fldChar w:fldCharType="end"/>
            </w:r>
          </w:hyperlink>
        </w:p>
        <w:p w14:paraId="39A73D2B" w14:textId="77777777" w:rsidR="00267098" w:rsidRPr="00267098" w:rsidRDefault="00FE34D5">
          <w:pPr>
            <w:pStyle w:val="TOC1"/>
            <w:tabs>
              <w:tab w:val="right" w:leader="dot" w:pos="9629"/>
            </w:tabs>
            <w:rPr>
              <w:rFonts w:ascii="Times New Roman" w:hAnsi="Times New Roman" w:cs="Times New Roman"/>
              <w:b w:val="0"/>
              <w:bCs w:val="0"/>
              <w:iCs w:val="0"/>
              <w:noProof/>
              <w:szCs w:val="22"/>
            </w:rPr>
          </w:pPr>
          <w:hyperlink w:anchor="_Toc517633176" w:history="1">
            <w:r w:rsidR="00267098" w:rsidRPr="00267098">
              <w:rPr>
                <w:rStyle w:val="Hyperlink"/>
                <w:rFonts w:ascii="Times New Roman" w:hAnsi="Times New Roman" w:cs="Times New Roman"/>
                <w:noProof/>
              </w:rPr>
              <w:t>Annex 2. Georgia TB NSP 2019-2022 Implementation Plan</w:t>
            </w:r>
            <w:r w:rsidR="00267098" w:rsidRPr="00267098">
              <w:rPr>
                <w:rFonts w:ascii="Times New Roman" w:hAnsi="Times New Roman" w:cs="Times New Roman"/>
                <w:noProof/>
                <w:webHidden/>
              </w:rPr>
              <w:tab/>
            </w:r>
            <w:r w:rsidR="00267098" w:rsidRPr="00267098">
              <w:rPr>
                <w:rFonts w:ascii="Times New Roman" w:hAnsi="Times New Roman" w:cs="Times New Roman"/>
                <w:noProof/>
                <w:webHidden/>
              </w:rPr>
              <w:fldChar w:fldCharType="begin"/>
            </w:r>
            <w:r w:rsidR="00267098" w:rsidRPr="00267098">
              <w:rPr>
                <w:rFonts w:ascii="Times New Roman" w:hAnsi="Times New Roman" w:cs="Times New Roman"/>
                <w:noProof/>
                <w:webHidden/>
              </w:rPr>
              <w:instrText xml:space="preserve"> PAGEREF _Toc517633176 \h </w:instrText>
            </w:r>
            <w:r w:rsidR="00267098" w:rsidRPr="00267098">
              <w:rPr>
                <w:rFonts w:ascii="Times New Roman" w:hAnsi="Times New Roman" w:cs="Times New Roman"/>
                <w:noProof/>
                <w:webHidden/>
              </w:rPr>
            </w:r>
            <w:r w:rsidR="00267098" w:rsidRPr="00267098">
              <w:rPr>
                <w:rFonts w:ascii="Times New Roman" w:hAnsi="Times New Roman" w:cs="Times New Roman"/>
                <w:noProof/>
                <w:webHidden/>
              </w:rPr>
              <w:fldChar w:fldCharType="separate"/>
            </w:r>
            <w:r w:rsidR="00267098" w:rsidRPr="00267098">
              <w:rPr>
                <w:rFonts w:ascii="Times New Roman" w:hAnsi="Times New Roman" w:cs="Times New Roman"/>
                <w:noProof/>
                <w:webHidden/>
              </w:rPr>
              <w:t>56</w:t>
            </w:r>
            <w:r w:rsidR="00267098" w:rsidRPr="00267098">
              <w:rPr>
                <w:rFonts w:ascii="Times New Roman" w:hAnsi="Times New Roman" w:cs="Times New Roman"/>
                <w:noProof/>
                <w:webHidden/>
              </w:rPr>
              <w:fldChar w:fldCharType="end"/>
            </w:r>
          </w:hyperlink>
        </w:p>
        <w:p w14:paraId="129B918F" w14:textId="77777777" w:rsidR="00FB4436" w:rsidRPr="00EE7E38" w:rsidRDefault="00FB4436">
          <w:pPr>
            <w:rPr>
              <w:rFonts w:ascii="Times New Roman" w:hAnsi="Times New Roman" w:cs="Times New Roman"/>
            </w:rPr>
          </w:pPr>
          <w:r w:rsidRPr="00267098">
            <w:rPr>
              <w:rFonts w:ascii="Times New Roman" w:hAnsi="Times New Roman" w:cs="Times New Roman"/>
            </w:rPr>
            <w:fldChar w:fldCharType="end"/>
          </w:r>
        </w:p>
      </w:sdtContent>
    </w:sdt>
    <w:p w14:paraId="752BE07B" w14:textId="77777777" w:rsidR="00EC2EF1" w:rsidRPr="00EE7E38" w:rsidRDefault="00EC2EF1" w:rsidP="00835F94">
      <w:pPr>
        <w:widowControl w:val="0"/>
        <w:rPr>
          <w:rFonts w:ascii="Times New Roman" w:hAnsi="Times New Roman" w:cs="Times New Roman"/>
          <w:b/>
          <w:color w:val="365F91" w:themeColor="accent1" w:themeShade="BF"/>
          <w:sz w:val="28"/>
          <w:szCs w:val="28"/>
        </w:rPr>
      </w:pPr>
    </w:p>
    <w:p w14:paraId="2F4FCC79" w14:textId="77777777" w:rsidR="0071773E" w:rsidRPr="00EE7E38" w:rsidRDefault="0071773E" w:rsidP="00C97EB7">
      <w:pPr>
        <w:widowControl w:val="0"/>
        <w:tabs>
          <w:tab w:val="right" w:leader="dot" w:pos="9498"/>
        </w:tabs>
        <w:spacing w:before="360" w:after="360" w:line="240" w:lineRule="auto"/>
        <w:ind w:right="567"/>
        <w:rPr>
          <w:rFonts w:ascii="Times New Roman" w:hAnsi="Times New Roman" w:cs="Times New Roman"/>
          <w:sz w:val="24"/>
          <w:szCs w:val="24"/>
        </w:rPr>
      </w:pPr>
    </w:p>
    <w:p w14:paraId="2363F854" w14:textId="77777777" w:rsidR="0071773E" w:rsidRPr="00EE7E38" w:rsidRDefault="0071773E" w:rsidP="00835F94">
      <w:pPr>
        <w:widowControl w:val="0"/>
        <w:spacing w:after="0" w:line="240" w:lineRule="auto"/>
        <w:rPr>
          <w:rFonts w:ascii="Times New Roman" w:hAnsi="Times New Roman" w:cs="Times New Roman"/>
          <w:sz w:val="24"/>
          <w:szCs w:val="24"/>
        </w:rPr>
      </w:pPr>
    </w:p>
    <w:p w14:paraId="4D3A7519" w14:textId="77777777" w:rsidR="00153735" w:rsidRPr="00EE7E38" w:rsidRDefault="00C97EB7" w:rsidP="00835F94">
      <w:pPr>
        <w:pStyle w:val="Heading1"/>
        <w:keepNext w:val="0"/>
        <w:keepLines w:val="0"/>
        <w:widowControl w:val="0"/>
        <w:ind w:left="360"/>
        <w:rPr>
          <w:rFonts w:ascii="Times New Roman" w:hAnsi="Times New Roman" w:cs="Times New Roman"/>
        </w:rPr>
      </w:pPr>
      <w:bookmarkStart w:id="0" w:name="_Toc517633157"/>
      <w:bookmarkStart w:id="1" w:name="_Toc411586412"/>
      <w:r w:rsidRPr="00EE7E38">
        <w:rPr>
          <w:rFonts w:ascii="Times New Roman" w:hAnsi="Times New Roman" w:cs="Times New Roman"/>
        </w:rPr>
        <w:lastRenderedPageBreak/>
        <w:t>A</w:t>
      </w:r>
      <w:r w:rsidR="00153735" w:rsidRPr="00EE7E38">
        <w:rPr>
          <w:rFonts w:ascii="Times New Roman" w:hAnsi="Times New Roman" w:cs="Times New Roman"/>
        </w:rPr>
        <w:t>cronyms</w:t>
      </w:r>
      <w:bookmarkEnd w:id="0"/>
      <w:r w:rsidR="00546A28" w:rsidRPr="00EE7E38">
        <w:rPr>
          <w:rFonts w:ascii="Times New Roman" w:hAnsi="Times New Roman" w:cs="Times New Roman"/>
        </w:rPr>
        <w:br/>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1"/>
      </w:tblGrid>
      <w:tr w:rsidR="00835F94" w:rsidRPr="00EE7E38" w14:paraId="6A3D7944" w14:textId="77777777" w:rsidTr="00CB730B">
        <w:tc>
          <w:tcPr>
            <w:tcW w:w="1560" w:type="dxa"/>
          </w:tcPr>
          <w:p w14:paraId="56AB1DF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ACF</w:t>
            </w:r>
          </w:p>
        </w:tc>
        <w:tc>
          <w:tcPr>
            <w:tcW w:w="5811" w:type="dxa"/>
          </w:tcPr>
          <w:p w14:paraId="7DA97D6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Active case finding</w:t>
            </w:r>
          </w:p>
        </w:tc>
      </w:tr>
      <w:tr w:rsidR="00835F94" w:rsidRPr="00EE7E38" w14:paraId="7F0CCB53" w14:textId="77777777" w:rsidTr="00CB730B">
        <w:tc>
          <w:tcPr>
            <w:tcW w:w="1560" w:type="dxa"/>
          </w:tcPr>
          <w:p w14:paraId="5362083C"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ACSM</w:t>
            </w:r>
          </w:p>
        </w:tc>
        <w:tc>
          <w:tcPr>
            <w:tcW w:w="5811" w:type="dxa"/>
          </w:tcPr>
          <w:p w14:paraId="72E2BA2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Advocacy, communication and social mobilization</w:t>
            </w:r>
          </w:p>
        </w:tc>
      </w:tr>
      <w:tr w:rsidR="00835F94" w:rsidRPr="00EE7E38" w14:paraId="3ED93799" w14:textId="77777777" w:rsidTr="00CB730B">
        <w:tc>
          <w:tcPr>
            <w:tcW w:w="1560" w:type="dxa"/>
          </w:tcPr>
          <w:p w14:paraId="28E128E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ADRs</w:t>
            </w:r>
          </w:p>
        </w:tc>
        <w:tc>
          <w:tcPr>
            <w:tcW w:w="5811" w:type="dxa"/>
          </w:tcPr>
          <w:p w14:paraId="60EB52E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Adverse drug reactions</w:t>
            </w:r>
          </w:p>
        </w:tc>
      </w:tr>
      <w:tr w:rsidR="00835F94" w:rsidRPr="00EE7E38" w14:paraId="13BBFDAB" w14:textId="77777777" w:rsidTr="00CB730B">
        <w:tc>
          <w:tcPr>
            <w:tcW w:w="1560" w:type="dxa"/>
          </w:tcPr>
          <w:p w14:paraId="2E36B8D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AIDS</w:t>
            </w:r>
          </w:p>
        </w:tc>
        <w:tc>
          <w:tcPr>
            <w:tcW w:w="5811" w:type="dxa"/>
          </w:tcPr>
          <w:p w14:paraId="045D8B7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Acquired immune deficiency syndrome</w:t>
            </w:r>
          </w:p>
        </w:tc>
      </w:tr>
      <w:tr w:rsidR="00835F94" w:rsidRPr="00EE7E38" w14:paraId="3B1BCEF7" w14:textId="77777777" w:rsidTr="00CB730B">
        <w:tc>
          <w:tcPr>
            <w:tcW w:w="1560" w:type="dxa"/>
          </w:tcPr>
          <w:p w14:paraId="2DFF4DC2"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ART</w:t>
            </w:r>
          </w:p>
        </w:tc>
        <w:tc>
          <w:tcPr>
            <w:tcW w:w="5811" w:type="dxa"/>
          </w:tcPr>
          <w:p w14:paraId="3656CDA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Anti-retroviral therapy</w:t>
            </w:r>
          </w:p>
        </w:tc>
      </w:tr>
      <w:tr w:rsidR="00835F94" w:rsidRPr="00EE7E38" w14:paraId="2F9F443A" w14:textId="77777777" w:rsidTr="00CB730B">
        <w:tc>
          <w:tcPr>
            <w:tcW w:w="1560" w:type="dxa"/>
          </w:tcPr>
          <w:p w14:paraId="34DFB10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BCG</w:t>
            </w:r>
          </w:p>
        </w:tc>
        <w:tc>
          <w:tcPr>
            <w:tcW w:w="5811" w:type="dxa"/>
          </w:tcPr>
          <w:p w14:paraId="0496FE1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 xml:space="preserve">Bacillus </w:t>
            </w:r>
            <w:proofErr w:type="spellStart"/>
            <w:r w:rsidRPr="00EE7E38">
              <w:rPr>
                <w:rFonts w:ascii="Times New Roman" w:hAnsi="Times New Roman" w:cs="Times New Roman"/>
                <w:sz w:val="18"/>
                <w:szCs w:val="18"/>
              </w:rPr>
              <w:t>Calmette-Guérin</w:t>
            </w:r>
            <w:proofErr w:type="spellEnd"/>
            <w:r w:rsidRPr="00EE7E38">
              <w:rPr>
                <w:rFonts w:ascii="Times New Roman" w:hAnsi="Times New Roman" w:cs="Times New Roman"/>
                <w:sz w:val="18"/>
                <w:szCs w:val="18"/>
              </w:rPr>
              <w:t xml:space="preserve"> (vaccine)</w:t>
            </w:r>
          </w:p>
        </w:tc>
      </w:tr>
      <w:tr w:rsidR="00835F94" w:rsidRPr="00EE7E38" w14:paraId="19FB885A" w14:textId="77777777" w:rsidTr="00CB730B">
        <w:tc>
          <w:tcPr>
            <w:tcW w:w="1560" w:type="dxa"/>
          </w:tcPr>
          <w:p w14:paraId="0C09269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CCM</w:t>
            </w:r>
          </w:p>
        </w:tc>
        <w:tc>
          <w:tcPr>
            <w:tcW w:w="5811" w:type="dxa"/>
          </w:tcPr>
          <w:p w14:paraId="56190C5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Country Coordination Mechanism</w:t>
            </w:r>
          </w:p>
        </w:tc>
      </w:tr>
      <w:tr w:rsidR="00835F94" w:rsidRPr="00EE7E38" w14:paraId="4DA95E1E" w14:textId="77777777" w:rsidTr="00CB730B">
        <w:tc>
          <w:tcPr>
            <w:tcW w:w="1560" w:type="dxa"/>
          </w:tcPr>
          <w:p w14:paraId="61AAAC4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CPT</w:t>
            </w:r>
          </w:p>
        </w:tc>
        <w:tc>
          <w:tcPr>
            <w:tcW w:w="5811" w:type="dxa"/>
          </w:tcPr>
          <w:p w14:paraId="6B9EFEF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Cotrimoxazole-preventive therapy</w:t>
            </w:r>
          </w:p>
        </w:tc>
      </w:tr>
      <w:tr w:rsidR="00835F94" w:rsidRPr="00EE7E38" w14:paraId="63479A8E" w14:textId="77777777" w:rsidTr="00CB730B">
        <w:tc>
          <w:tcPr>
            <w:tcW w:w="1560" w:type="dxa"/>
          </w:tcPr>
          <w:p w14:paraId="758C8AD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DCT</w:t>
            </w:r>
          </w:p>
        </w:tc>
        <w:tc>
          <w:tcPr>
            <w:tcW w:w="5811" w:type="dxa"/>
          </w:tcPr>
          <w:p w14:paraId="2BB89562"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Diagnostic counseling and testing</w:t>
            </w:r>
          </w:p>
        </w:tc>
      </w:tr>
      <w:tr w:rsidR="00835F94" w:rsidRPr="00EE7E38" w14:paraId="4FAC6CD2" w14:textId="77777777" w:rsidTr="00CB730B">
        <w:tc>
          <w:tcPr>
            <w:tcW w:w="1560" w:type="dxa"/>
          </w:tcPr>
          <w:p w14:paraId="4D011E2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DOT</w:t>
            </w:r>
          </w:p>
        </w:tc>
        <w:tc>
          <w:tcPr>
            <w:tcW w:w="5811" w:type="dxa"/>
          </w:tcPr>
          <w:p w14:paraId="3EEE1BC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Direct observation of treatment</w:t>
            </w:r>
          </w:p>
        </w:tc>
      </w:tr>
      <w:tr w:rsidR="00835F94" w:rsidRPr="00EE7E38" w14:paraId="43D45C89" w14:textId="77777777" w:rsidTr="00CB730B">
        <w:tc>
          <w:tcPr>
            <w:tcW w:w="1560" w:type="dxa"/>
          </w:tcPr>
          <w:p w14:paraId="24D791B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DOTS</w:t>
            </w:r>
          </w:p>
        </w:tc>
        <w:tc>
          <w:tcPr>
            <w:tcW w:w="5811" w:type="dxa"/>
          </w:tcPr>
          <w:p w14:paraId="7CFE5373"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Directly observed treatment, short-course</w:t>
            </w:r>
          </w:p>
        </w:tc>
      </w:tr>
      <w:tr w:rsidR="00835F94" w:rsidRPr="00EE7E38" w14:paraId="422BBAF5" w14:textId="77777777" w:rsidTr="00CB730B">
        <w:tc>
          <w:tcPr>
            <w:tcW w:w="1560" w:type="dxa"/>
          </w:tcPr>
          <w:p w14:paraId="44EED40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DRS</w:t>
            </w:r>
          </w:p>
        </w:tc>
        <w:tc>
          <w:tcPr>
            <w:tcW w:w="5811" w:type="dxa"/>
          </w:tcPr>
          <w:p w14:paraId="1949E03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Drug resistance survey</w:t>
            </w:r>
          </w:p>
        </w:tc>
      </w:tr>
      <w:tr w:rsidR="00835F94" w:rsidRPr="00EE7E38" w14:paraId="3BD15862" w14:textId="77777777" w:rsidTr="00CB730B">
        <w:tc>
          <w:tcPr>
            <w:tcW w:w="1560" w:type="dxa"/>
          </w:tcPr>
          <w:p w14:paraId="22B0111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DR-TB</w:t>
            </w:r>
          </w:p>
        </w:tc>
        <w:tc>
          <w:tcPr>
            <w:tcW w:w="5811" w:type="dxa"/>
          </w:tcPr>
          <w:p w14:paraId="578C48C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Drug-resistant tuberculosis</w:t>
            </w:r>
          </w:p>
        </w:tc>
      </w:tr>
      <w:tr w:rsidR="00835F94" w:rsidRPr="00EE7E38" w14:paraId="5426E625" w14:textId="77777777" w:rsidTr="00CB730B">
        <w:tc>
          <w:tcPr>
            <w:tcW w:w="1560" w:type="dxa"/>
          </w:tcPr>
          <w:p w14:paraId="693869C3"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DSM</w:t>
            </w:r>
          </w:p>
        </w:tc>
        <w:tc>
          <w:tcPr>
            <w:tcW w:w="5811" w:type="dxa"/>
          </w:tcPr>
          <w:p w14:paraId="343E469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Direct smear microscopy</w:t>
            </w:r>
          </w:p>
        </w:tc>
      </w:tr>
      <w:tr w:rsidR="00835F94" w:rsidRPr="00EE7E38" w14:paraId="134E3043" w14:textId="77777777" w:rsidTr="00CB730B">
        <w:tc>
          <w:tcPr>
            <w:tcW w:w="1560" w:type="dxa"/>
          </w:tcPr>
          <w:p w14:paraId="73580AB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DST</w:t>
            </w:r>
          </w:p>
        </w:tc>
        <w:tc>
          <w:tcPr>
            <w:tcW w:w="5811" w:type="dxa"/>
          </w:tcPr>
          <w:p w14:paraId="13A09A5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Drug susceptibility testing</w:t>
            </w:r>
          </w:p>
        </w:tc>
      </w:tr>
      <w:tr w:rsidR="00835F94" w:rsidRPr="00EE7E38" w14:paraId="2ECB0A27" w14:textId="77777777" w:rsidTr="00CB730B">
        <w:tc>
          <w:tcPr>
            <w:tcW w:w="1560" w:type="dxa"/>
          </w:tcPr>
          <w:p w14:paraId="399E2B58" w14:textId="77777777" w:rsidR="00835F94"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EQA</w:t>
            </w:r>
          </w:p>
          <w:p w14:paraId="03F1A0DF" w14:textId="77777777" w:rsidR="00054E4B" w:rsidRPr="00EE7E38" w:rsidRDefault="00054E4B" w:rsidP="00CB730B">
            <w:pPr>
              <w:widowControl w:val="0"/>
              <w:spacing w:before="60" w:after="60"/>
              <w:rPr>
                <w:rFonts w:ascii="Times New Roman" w:hAnsi="Times New Roman" w:cs="Times New Roman"/>
                <w:sz w:val="18"/>
                <w:szCs w:val="18"/>
              </w:rPr>
            </w:pPr>
            <w:r>
              <w:rPr>
                <w:rFonts w:ascii="Times New Roman" w:hAnsi="Times New Roman" w:cs="Times New Roman"/>
                <w:sz w:val="18"/>
                <w:szCs w:val="18"/>
              </w:rPr>
              <w:t>EU</w:t>
            </w:r>
          </w:p>
        </w:tc>
        <w:tc>
          <w:tcPr>
            <w:tcW w:w="5811" w:type="dxa"/>
          </w:tcPr>
          <w:p w14:paraId="67B52C94" w14:textId="77777777" w:rsidR="00835F94"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External quality assurance</w:t>
            </w:r>
          </w:p>
          <w:p w14:paraId="2C7C11FE" w14:textId="77777777" w:rsidR="00054E4B" w:rsidRPr="00EE7E38" w:rsidRDefault="00054E4B" w:rsidP="00CB730B">
            <w:pPr>
              <w:widowControl w:val="0"/>
              <w:spacing w:before="60" w:after="60"/>
              <w:rPr>
                <w:rFonts w:ascii="Times New Roman" w:hAnsi="Times New Roman" w:cs="Times New Roman"/>
                <w:sz w:val="18"/>
                <w:szCs w:val="18"/>
              </w:rPr>
            </w:pPr>
            <w:r>
              <w:rPr>
                <w:rFonts w:ascii="Times New Roman" w:hAnsi="Times New Roman" w:cs="Times New Roman"/>
                <w:sz w:val="18"/>
                <w:szCs w:val="18"/>
              </w:rPr>
              <w:t>European Union</w:t>
            </w:r>
          </w:p>
        </w:tc>
      </w:tr>
      <w:tr w:rsidR="00835F94" w:rsidRPr="00EE7E38" w14:paraId="18882417" w14:textId="77777777" w:rsidTr="00CB730B">
        <w:tc>
          <w:tcPr>
            <w:tcW w:w="1560" w:type="dxa"/>
          </w:tcPr>
          <w:p w14:paraId="3E513B9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FIND</w:t>
            </w:r>
          </w:p>
        </w:tc>
        <w:tc>
          <w:tcPr>
            <w:tcW w:w="5811" w:type="dxa"/>
          </w:tcPr>
          <w:p w14:paraId="4D678C8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Foundation for Innovative Diagnostics</w:t>
            </w:r>
          </w:p>
        </w:tc>
      </w:tr>
      <w:tr w:rsidR="00835F94" w:rsidRPr="00EE7E38" w14:paraId="317AFF5C" w14:textId="77777777" w:rsidTr="00CB730B">
        <w:tc>
          <w:tcPr>
            <w:tcW w:w="1560" w:type="dxa"/>
          </w:tcPr>
          <w:p w14:paraId="39DD4D8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FLDs</w:t>
            </w:r>
          </w:p>
        </w:tc>
        <w:tc>
          <w:tcPr>
            <w:tcW w:w="5811" w:type="dxa"/>
          </w:tcPr>
          <w:p w14:paraId="79F4700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First-line anti-TB drugs</w:t>
            </w:r>
          </w:p>
        </w:tc>
      </w:tr>
      <w:tr w:rsidR="00835F94" w:rsidRPr="00EE7E38" w14:paraId="2A77A797" w14:textId="77777777" w:rsidTr="00CB730B">
        <w:tc>
          <w:tcPr>
            <w:tcW w:w="1560" w:type="dxa"/>
          </w:tcPr>
          <w:p w14:paraId="56A32A1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GEL</w:t>
            </w:r>
          </w:p>
        </w:tc>
        <w:tc>
          <w:tcPr>
            <w:tcW w:w="5811" w:type="dxa"/>
          </w:tcPr>
          <w:p w14:paraId="4C927AA3" w14:textId="77777777" w:rsidR="00835F94" w:rsidRPr="00EE7E38" w:rsidRDefault="00B057DD"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 xml:space="preserve">Georgian </w:t>
            </w:r>
            <w:proofErr w:type="spellStart"/>
            <w:r w:rsidRPr="00EE7E38">
              <w:rPr>
                <w:rFonts w:ascii="Times New Roman" w:hAnsi="Times New Roman" w:cs="Times New Roman"/>
                <w:sz w:val="18"/>
                <w:szCs w:val="18"/>
              </w:rPr>
              <w:t>L</w:t>
            </w:r>
            <w:r w:rsidR="00835F94" w:rsidRPr="00EE7E38">
              <w:rPr>
                <w:rFonts w:ascii="Times New Roman" w:hAnsi="Times New Roman" w:cs="Times New Roman"/>
                <w:sz w:val="18"/>
                <w:szCs w:val="18"/>
              </w:rPr>
              <w:t>ari</w:t>
            </w:r>
            <w:proofErr w:type="spellEnd"/>
          </w:p>
        </w:tc>
      </w:tr>
      <w:tr w:rsidR="00835F94" w:rsidRPr="00EE7E38" w14:paraId="6874F035" w14:textId="77777777" w:rsidTr="00CB730B">
        <w:tc>
          <w:tcPr>
            <w:tcW w:w="1560" w:type="dxa"/>
          </w:tcPr>
          <w:p w14:paraId="4B6526A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GLC</w:t>
            </w:r>
          </w:p>
        </w:tc>
        <w:tc>
          <w:tcPr>
            <w:tcW w:w="5811" w:type="dxa"/>
          </w:tcPr>
          <w:p w14:paraId="02894DA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Green Light Committee</w:t>
            </w:r>
          </w:p>
        </w:tc>
      </w:tr>
      <w:tr w:rsidR="00835F94" w:rsidRPr="00EE7E38" w14:paraId="5F33E912" w14:textId="77777777" w:rsidTr="00CB730B">
        <w:tc>
          <w:tcPr>
            <w:tcW w:w="1560" w:type="dxa"/>
          </w:tcPr>
          <w:p w14:paraId="69301AB6" w14:textId="77777777" w:rsidR="00835F94"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GNI</w:t>
            </w:r>
          </w:p>
          <w:p w14:paraId="757DB9D1" w14:textId="77777777" w:rsidR="00054E4B" w:rsidRPr="00EE7E38" w:rsidRDefault="00054E4B" w:rsidP="00CB730B">
            <w:pPr>
              <w:widowControl w:val="0"/>
              <w:spacing w:before="60" w:after="60"/>
              <w:rPr>
                <w:rFonts w:ascii="Times New Roman" w:hAnsi="Times New Roman" w:cs="Times New Roman"/>
                <w:sz w:val="18"/>
                <w:szCs w:val="18"/>
              </w:rPr>
            </w:pPr>
            <w:proofErr w:type="spellStart"/>
            <w:r>
              <w:rPr>
                <w:rFonts w:ascii="Times New Roman" w:hAnsi="Times New Roman" w:cs="Times New Roman"/>
                <w:sz w:val="18"/>
                <w:szCs w:val="18"/>
              </w:rPr>
              <w:t>GoG</w:t>
            </w:r>
            <w:proofErr w:type="spellEnd"/>
          </w:p>
        </w:tc>
        <w:tc>
          <w:tcPr>
            <w:tcW w:w="5811" w:type="dxa"/>
          </w:tcPr>
          <w:p w14:paraId="734E70DF" w14:textId="77777777" w:rsidR="00835F94"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Gross National Income</w:t>
            </w:r>
          </w:p>
          <w:p w14:paraId="234D1539" w14:textId="77777777" w:rsidR="00054E4B" w:rsidRPr="00EE7E38" w:rsidRDefault="00054E4B" w:rsidP="00CB730B">
            <w:pPr>
              <w:widowControl w:val="0"/>
              <w:spacing w:before="60" w:after="60"/>
              <w:rPr>
                <w:rFonts w:ascii="Times New Roman" w:hAnsi="Times New Roman" w:cs="Times New Roman"/>
                <w:sz w:val="18"/>
                <w:szCs w:val="18"/>
              </w:rPr>
            </w:pPr>
            <w:r>
              <w:rPr>
                <w:rFonts w:ascii="Times New Roman" w:hAnsi="Times New Roman" w:cs="Times New Roman"/>
                <w:sz w:val="18"/>
                <w:szCs w:val="18"/>
              </w:rPr>
              <w:t>Government of Georgia</w:t>
            </w:r>
          </w:p>
        </w:tc>
      </w:tr>
      <w:tr w:rsidR="00835F94" w:rsidRPr="00EE7E38" w14:paraId="13A3AA49" w14:textId="77777777" w:rsidTr="00CB730B">
        <w:tc>
          <w:tcPr>
            <w:tcW w:w="1560" w:type="dxa"/>
          </w:tcPr>
          <w:p w14:paraId="65814EAC"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GTSF</w:t>
            </w:r>
          </w:p>
        </w:tc>
        <w:tc>
          <w:tcPr>
            <w:tcW w:w="5811" w:type="dxa"/>
          </w:tcPr>
          <w:p w14:paraId="2CB4155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Global Tuberculosis Strategy and Framework</w:t>
            </w:r>
          </w:p>
        </w:tc>
      </w:tr>
      <w:tr w:rsidR="00835F94" w:rsidRPr="00EE7E38" w14:paraId="7B581838" w14:textId="77777777" w:rsidTr="00CB730B">
        <w:tc>
          <w:tcPr>
            <w:tcW w:w="1560" w:type="dxa"/>
          </w:tcPr>
          <w:p w14:paraId="08C879C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HIV</w:t>
            </w:r>
          </w:p>
        </w:tc>
        <w:tc>
          <w:tcPr>
            <w:tcW w:w="5811" w:type="dxa"/>
          </w:tcPr>
          <w:p w14:paraId="0DF4972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Human immune deficiency virus</w:t>
            </w:r>
          </w:p>
        </w:tc>
      </w:tr>
      <w:tr w:rsidR="00835F94" w:rsidRPr="00EE7E38" w14:paraId="6590A574" w14:textId="77777777" w:rsidTr="00CB730B">
        <w:tc>
          <w:tcPr>
            <w:tcW w:w="1560" w:type="dxa"/>
          </w:tcPr>
          <w:p w14:paraId="7DA6271C"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ICRC</w:t>
            </w:r>
          </w:p>
        </w:tc>
        <w:tc>
          <w:tcPr>
            <w:tcW w:w="5811" w:type="dxa"/>
          </w:tcPr>
          <w:p w14:paraId="6A37464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International Committee of the Red Cross</w:t>
            </w:r>
          </w:p>
        </w:tc>
      </w:tr>
      <w:tr w:rsidR="00835F94" w:rsidRPr="00EE7E38" w14:paraId="03E25CB4" w14:textId="77777777" w:rsidTr="00CB730B">
        <w:tc>
          <w:tcPr>
            <w:tcW w:w="1560" w:type="dxa"/>
          </w:tcPr>
          <w:p w14:paraId="792836C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IDACIRC</w:t>
            </w:r>
          </w:p>
        </w:tc>
        <w:tc>
          <w:tcPr>
            <w:tcW w:w="5811" w:type="dxa"/>
          </w:tcPr>
          <w:p w14:paraId="16CAF9E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Infectious Diseases, AIDS and Clinical Immunology Research Center</w:t>
            </w:r>
          </w:p>
        </w:tc>
      </w:tr>
      <w:tr w:rsidR="00835F94" w:rsidRPr="00EE7E38" w14:paraId="65D07A52" w14:textId="77777777" w:rsidTr="00CB730B">
        <w:tc>
          <w:tcPr>
            <w:tcW w:w="1560" w:type="dxa"/>
          </w:tcPr>
          <w:p w14:paraId="1E0B1EF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IGRA</w:t>
            </w:r>
          </w:p>
        </w:tc>
        <w:tc>
          <w:tcPr>
            <w:tcW w:w="5811" w:type="dxa"/>
          </w:tcPr>
          <w:p w14:paraId="2BAEA3D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Interferon-gamma release assays</w:t>
            </w:r>
          </w:p>
        </w:tc>
      </w:tr>
      <w:tr w:rsidR="00835F94" w:rsidRPr="00EE7E38" w14:paraId="01242DF4" w14:textId="77777777" w:rsidTr="00CB730B">
        <w:tc>
          <w:tcPr>
            <w:tcW w:w="1560" w:type="dxa"/>
          </w:tcPr>
          <w:p w14:paraId="09F1885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ISO</w:t>
            </w:r>
          </w:p>
        </w:tc>
        <w:tc>
          <w:tcPr>
            <w:tcW w:w="5811" w:type="dxa"/>
          </w:tcPr>
          <w:p w14:paraId="120912D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International Organization for Standardization</w:t>
            </w:r>
          </w:p>
        </w:tc>
      </w:tr>
      <w:tr w:rsidR="00835F94" w:rsidRPr="00EE7E38" w14:paraId="6C937921" w14:textId="77777777" w:rsidTr="00CB730B">
        <w:tc>
          <w:tcPr>
            <w:tcW w:w="1560" w:type="dxa"/>
          </w:tcPr>
          <w:p w14:paraId="6403A26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KAP</w:t>
            </w:r>
          </w:p>
        </w:tc>
        <w:tc>
          <w:tcPr>
            <w:tcW w:w="5811" w:type="dxa"/>
          </w:tcPr>
          <w:p w14:paraId="7A7B7063"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Knowledge, attitude and practices</w:t>
            </w:r>
          </w:p>
        </w:tc>
      </w:tr>
      <w:tr w:rsidR="00835F94" w:rsidRPr="00EE7E38" w14:paraId="7FBC38FE" w14:textId="77777777" w:rsidTr="00CB730B">
        <w:tc>
          <w:tcPr>
            <w:tcW w:w="1560" w:type="dxa"/>
          </w:tcPr>
          <w:p w14:paraId="709AC7DE" w14:textId="77777777" w:rsidR="00835F94" w:rsidRPr="00EE7E38" w:rsidRDefault="00835F94" w:rsidP="00CB730B">
            <w:pPr>
              <w:widowControl w:val="0"/>
              <w:spacing w:before="60" w:after="60"/>
              <w:rPr>
                <w:rFonts w:ascii="Times New Roman" w:hAnsi="Times New Roman" w:cs="Times New Roman"/>
                <w:sz w:val="18"/>
                <w:szCs w:val="18"/>
              </w:rPr>
            </w:pPr>
            <w:proofErr w:type="spellStart"/>
            <w:r w:rsidRPr="00EE7E38">
              <w:rPr>
                <w:rFonts w:ascii="Times New Roman" w:hAnsi="Times New Roman" w:cs="Times New Roman"/>
                <w:sz w:val="18"/>
                <w:szCs w:val="18"/>
              </w:rPr>
              <w:t>KfW</w:t>
            </w:r>
            <w:proofErr w:type="spellEnd"/>
          </w:p>
        </w:tc>
        <w:tc>
          <w:tcPr>
            <w:tcW w:w="5811" w:type="dxa"/>
          </w:tcPr>
          <w:p w14:paraId="7CF28A9A" w14:textId="77777777" w:rsidR="00835F94" w:rsidRPr="00EE7E38" w:rsidRDefault="00835F94" w:rsidP="00CB730B">
            <w:pPr>
              <w:widowControl w:val="0"/>
              <w:spacing w:before="60" w:after="60"/>
              <w:rPr>
                <w:rFonts w:ascii="Times New Roman" w:hAnsi="Times New Roman" w:cs="Times New Roman"/>
                <w:sz w:val="18"/>
                <w:szCs w:val="18"/>
              </w:rPr>
            </w:pPr>
            <w:proofErr w:type="spellStart"/>
            <w:r w:rsidRPr="00EE7E38">
              <w:rPr>
                <w:rFonts w:ascii="Times New Roman" w:hAnsi="Times New Roman" w:cs="Times New Roman"/>
                <w:sz w:val="18"/>
                <w:szCs w:val="18"/>
              </w:rPr>
              <w:t>Kreditanstalt</w:t>
            </w:r>
            <w:proofErr w:type="spellEnd"/>
            <w:r w:rsidRPr="00EE7E38">
              <w:rPr>
                <w:rFonts w:ascii="Times New Roman" w:hAnsi="Times New Roman" w:cs="Times New Roman"/>
                <w:sz w:val="18"/>
                <w:szCs w:val="18"/>
              </w:rPr>
              <w:t xml:space="preserve"> </w:t>
            </w:r>
            <w:proofErr w:type="spellStart"/>
            <w:r w:rsidRPr="00EE7E38">
              <w:rPr>
                <w:rFonts w:ascii="Times New Roman" w:hAnsi="Times New Roman" w:cs="Times New Roman"/>
                <w:sz w:val="18"/>
                <w:szCs w:val="18"/>
              </w:rPr>
              <w:t>für</w:t>
            </w:r>
            <w:proofErr w:type="spellEnd"/>
            <w:r w:rsidRPr="00EE7E38">
              <w:rPr>
                <w:rFonts w:ascii="Times New Roman" w:hAnsi="Times New Roman" w:cs="Times New Roman"/>
                <w:sz w:val="18"/>
                <w:szCs w:val="18"/>
              </w:rPr>
              <w:t xml:space="preserve"> </w:t>
            </w:r>
            <w:proofErr w:type="spellStart"/>
            <w:r w:rsidRPr="00EE7E38">
              <w:rPr>
                <w:rFonts w:ascii="Times New Roman" w:hAnsi="Times New Roman" w:cs="Times New Roman"/>
                <w:sz w:val="18"/>
                <w:szCs w:val="18"/>
              </w:rPr>
              <w:t>Wiederaufbau</w:t>
            </w:r>
            <w:proofErr w:type="spellEnd"/>
            <w:r w:rsidRPr="00EE7E38">
              <w:rPr>
                <w:rFonts w:ascii="Times New Roman" w:hAnsi="Times New Roman" w:cs="Times New Roman"/>
                <w:sz w:val="18"/>
                <w:szCs w:val="18"/>
              </w:rPr>
              <w:t xml:space="preserve"> (the German Development Bank)</w:t>
            </w:r>
          </w:p>
        </w:tc>
      </w:tr>
      <w:tr w:rsidR="00835F94" w:rsidRPr="00EE7E38" w14:paraId="34172BE3" w14:textId="77777777" w:rsidTr="00CB730B">
        <w:tc>
          <w:tcPr>
            <w:tcW w:w="1560" w:type="dxa"/>
          </w:tcPr>
          <w:p w14:paraId="72E35CA2"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LED</w:t>
            </w:r>
          </w:p>
        </w:tc>
        <w:tc>
          <w:tcPr>
            <w:tcW w:w="5811" w:type="dxa"/>
          </w:tcPr>
          <w:p w14:paraId="1765B681"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Light-emitting diode</w:t>
            </w:r>
          </w:p>
        </w:tc>
      </w:tr>
      <w:tr w:rsidR="00835F94" w:rsidRPr="00EE7E38" w14:paraId="12592262" w14:textId="77777777" w:rsidTr="00CB730B">
        <w:tc>
          <w:tcPr>
            <w:tcW w:w="1560" w:type="dxa"/>
          </w:tcPr>
          <w:p w14:paraId="77FB5FB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LPA</w:t>
            </w:r>
          </w:p>
        </w:tc>
        <w:tc>
          <w:tcPr>
            <w:tcW w:w="5811" w:type="dxa"/>
          </w:tcPr>
          <w:p w14:paraId="01937E1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Line probe assays</w:t>
            </w:r>
          </w:p>
        </w:tc>
      </w:tr>
      <w:tr w:rsidR="00835F94" w:rsidRPr="00EE7E38" w14:paraId="69748E86" w14:textId="77777777" w:rsidTr="00CB730B">
        <w:tc>
          <w:tcPr>
            <w:tcW w:w="1560" w:type="dxa"/>
          </w:tcPr>
          <w:p w14:paraId="0088BDE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LSS</w:t>
            </w:r>
          </w:p>
        </w:tc>
        <w:tc>
          <w:tcPr>
            <w:tcW w:w="5811" w:type="dxa"/>
          </w:tcPr>
          <w:p w14:paraId="18EA240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Laboratory Surveillance Station</w:t>
            </w:r>
          </w:p>
        </w:tc>
      </w:tr>
      <w:tr w:rsidR="00835F94" w:rsidRPr="00EE7E38" w14:paraId="137431DA" w14:textId="77777777" w:rsidTr="00CB730B">
        <w:tc>
          <w:tcPr>
            <w:tcW w:w="1560" w:type="dxa"/>
          </w:tcPr>
          <w:p w14:paraId="378C88F1"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LTBI</w:t>
            </w:r>
          </w:p>
        </w:tc>
        <w:tc>
          <w:tcPr>
            <w:tcW w:w="5811" w:type="dxa"/>
          </w:tcPr>
          <w:p w14:paraId="256E4C5C"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Latent tuberculosis infection</w:t>
            </w:r>
          </w:p>
        </w:tc>
      </w:tr>
      <w:tr w:rsidR="00835F94" w:rsidRPr="00EE7E38" w14:paraId="02BBBBC4" w14:textId="77777777" w:rsidTr="00CB730B">
        <w:tc>
          <w:tcPr>
            <w:tcW w:w="1560" w:type="dxa"/>
          </w:tcPr>
          <w:p w14:paraId="6BA9362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 Tb</w:t>
            </w:r>
          </w:p>
        </w:tc>
        <w:tc>
          <w:tcPr>
            <w:tcW w:w="5811" w:type="dxa"/>
          </w:tcPr>
          <w:p w14:paraId="558FA50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Mycobacterium tuberculosis</w:t>
            </w:r>
          </w:p>
        </w:tc>
      </w:tr>
      <w:tr w:rsidR="00835F94" w:rsidRPr="00EE7E38" w14:paraId="3E79018D" w14:textId="77777777" w:rsidTr="00CB730B">
        <w:tc>
          <w:tcPr>
            <w:tcW w:w="1560" w:type="dxa"/>
          </w:tcPr>
          <w:p w14:paraId="771F121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MDR-TB</w:t>
            </w:r>
          </w:p>
        </w:tc>
        <w:tc>
          <w:tcPr>
            <w:tcW w:w="5811" w:type="dxa"/>
          </w:tcPr>
          <w:p w14:paraId="7E05C58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Multidrug-resistant TB</w:t>
            </w:r>
          </w:p>
        </w:tc>
      </w:tr>
      <w:tr w:rsidR="00835F94" w:rsidRPr="00EE7E38" w14:paraId="0ED61FBF" w14:textId="77777777" w:rsidTr="00CB730B">
        <w:tc>
          <w:tcPr>
            <w:tcW w:w="1560" w:type="dxa"/>
          </w:tcPr>
          <w:p w14:paraId="433D48C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MGIT</w:t>
            </w:r>
          </w:p>
        </w:tc>
        <w:tc>
          <w:tcPr>
            <w:tcW w:w="5811" w:type="dxa"/>
          </w:tcPr>
          <w:p w14:paraId="211DC9DE"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Mycobacterium growth indication tube</w:t>
            </w:r>
          </w:p>
        </w:tc>
      </w:tr>
      <w:tr w:rsidR="0055024A" w:rsidRPr="00EE7E38" w14:paraId="6334EAE7" w14:textId="77777777" w:rsidTr="00BD6A5B">
        <w:tc>
          <w:tcPr>
            <w:tcW w:w="1560" w:type="dxa"/>
          </w:tcPr>
          <w:p w14:paraId="478C8A8C" w14:textId="77777777" w:rsidR="0055024A" w:rsidRPr="00EE7E38" w:rsidRDefault="0055024A" w:rsidP="00BD6A5B">
            <w:pPr>
              <w:widowControl w:val="0"/>
              <w:spacing w:before="60" w:after="60"/>
              <w:rPr>
                <w:rFonts w:ascii="Times New Roman" w:hAnsi="Times New Roman" w:cs="Times New Roman"/>
                <w:sz w:val="18"/>
                <w:szCs w:val="18"/>
              </w:rPr>
            </w:pPr>
            <w:proofErr w:type="spellStart"/>
            <w:r w:rsidRPr="00EE7E38">
              <w:rPr>
                <w:rFonts w:ascii="Times New Roman" w:hAnsi="Times New Roman" w:cs="Times New Roman"/>
                <w:sz w:val="18"/>
                <w:szCs w:val="18"/>
              </w:rPr>
              <w:t>MoC</w:t>
            </w:r>
            <w:proofErr w:type="spellEnd"/>
          </w:p>
        </w:tc>
        <w:tc>
          <w:tcPr>
            <w:tcW w:w="5811" w:type="dxa"/>
          </w:tcPr>
          <w:p w14:paraId="75AC047B" w14:textId="77777777" w:rsidR="0055024A" w:rsidRPr="00EE7E38" w:rsidRDefault="0055024A" w:rsidP="00BD6A5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Ministry of Corrections</w:t>
            </w:r>
          </w:p>
        </w:tc>
      </w:tr>
      <w:tr w:rsidR="00835F94" w:rsidRPr="00EE7E38" w14:paraId="7A025B82" w14:textId="77777777" w:rsidTr="00CB730B">
        <w:tc>
          <w:tcPr>
            <w:tcW w:w="1560" w:type="dxa"/>
          </w:tcPr>
          <w:p w14:paraId="00248274" w14:textId="77777777" w:rsidR="00835F94" w:rsidRPr="00EE7E38" w:rsidRDefault="00835F94" w:rsidP="00CB730B">
            <w:pPr>
              <w:widowControl w:val="0"/>
              <w:spacing w:before="60" w:after="60"/>
              <w:rPr>
                <w:rFonts w:ascii="Times New Roman" w:hAnsi="Times New Roman" w:cs="Times New Roman"/>
                <w:sz w:val="18"/>
                <w:szCs w:val="18"/>
              </w:rPr>
            </w:pPr>
            <w:proofErr w:type="spellStart"/>
            <w:r w:rsidRPr="00EE7E38">
              <w:rPr>
                <w:rFonts w:ascii="Times New Roman" w:hAnsi="Times New Roman" w:cs="Times New Roman"/>
                <w:sz w:val="18"/>
                <w:szCs w:val="18"/>
              </w:rPr>
              <w:t>MoLHSA</w:t>
            </w:r>
            <w:proofErr w:type="spellEnd"/>
          </w:p>
        </w:tc>
        <w:tc>
          <w:tcPr>
            <w:tcW w:w="5811" w:type="dxa"/>
          </w:tcPr>
          <w:p w14:paraId="13AD4A2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Ministry of Labor, Health and Social Affairs</w:t>
            </w:r>
          </w:p>
        </w:tc>
      </w:tr>
      <w:tr w:rsidR="00835F94" w:rsidRPr="00EE7E38" w14:paraId="33FEDF21" w14:textId="77777777" w:rsidTr="00CB730B">
        <w:tc>
          <w:tcPr>
            <w:tcW w:w="1560" w:type="dxa"/>
          </w:tcPr>
          <w:p w14:paraId="477D924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MSF</w:t>
            </w:r>
          </w:p>
        </w:tc>
        <w:tc>
          <w:tcPr>
            <w:tcW w:w="5811" w:type="dxa"/>
          </w:tcPr>
          <w:p w14:paraId="37618A2E" w14:textId="77777777" w:rsidR="00835F94" w:rsidRPr="00EE7E38" w:rsidRDefault="00835F94" w:rsidP="00CB730B">
            <w:pPr>
              <w:widowControl w:val="0"/>
              <w:spacing w:before="60" w:after="60"/>
              <w:rPr>
                <w:rFonts w:ascii="Times New Roman" w:hAnsi="Times New Roman" w:cs="Times New Roman"/>
                <w:sz w:val="18"/>
                <w:szCs w:val="18"/>
              </w:rPr>
            </w:pPr>
            <w:proofErr w:type="spellStart"/>
            <w:r w:rsidRPr="00EE7E38">
              <w:rPr>
                <w:rFonts w:ascii="Times New Roman" w:hAnsi="Times New Roman" w:cs="Times New Roman"/>
                <w:sz w:val="18"/>
                <w:szCs w:val="18"/>
              </w:rPr>
              <w:t>Médecins</w:t>
            </w:r>
            <w:proofErr w:type="spellEnd"/>
            <w:r w:rsidRPr="00EE7E38">
              <w:rPr>
                <w:rFonts w:ascii="Times New Roman" w:hAnsi="Times New Roman" w:cs="Times New Roman"/>
                <w:sz w:val="18"/>
                <w:szCs w:val="18"/>
              </w:rPr>
              <w:t xml:space="preserve"> Sans </w:t>
            </w:r>
            <w:proofErr w:type="spellStart"/>
            <w:r w:rsidRPr="00EE7E38">
              <w:rPr>
                <w:rFonts w:ascii="Times New Roman" w:hAnsi="Times New Roman" w:cs="Times New Roman"/>
                <w:sz w:val="18"/>
                <w:szCs w:val="18"/>
              </w:rPr>
              <w:t>Frontières</w:t>
            </w:r>
            <w:proofErr w:type="spellEnd"/>
          </w:p>
        </w:tc>
      </w:tr>
      <w:tr w:rsidR="00835F94" w:rsidRPr="00EE7E38" w14:paraId="6B22D280" w14:textId="77777777" w:rsidTr="00CB730B">
        <w:tc>
          <w:tcPr>
            <w:tcW w:w="1560" w:type="dxa"/>
          </w:tcPr>
          <w:p w14:paraId="53C2B55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lastRenderedPageBreak/>
              <w:t>MSM</w:t>
            </w:r>
          </w:p>
        </w:tc>
        <w:tc>
          <w:tcPr>
            <w:tcW w:w="5811" w:type="dxa"/>
          </w:tcPr>
          <w:p w14:paraId="6FB418A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Men having sex with men</w:t>
            </w:r>
          </w:p>
        </w:tc>
      </w:tr>
      <w:tr w:rsidR="00835F94" w:rsidRPr="00EE7E38" w14:paraId="27298CD8" w14:textId="77777777" w:rsidTr="00CB730B">
        <w:tc>
          <w:tcPr>
            <w:tcW w:w="1560" w:type="dxa"/>
          </w:tcPr>
          <w:p w14:paraId="31F260E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NAP</w:t>
            </w:r>
          </w:p>
        </w:tc>
        <w:tc>
          <w:tcPr>
            <w:tcW w:w="5811" w:type="dxa"/>
          </w:tcPr>
          <w:p w14:paraId="3A7B4C4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AIDS Program</w:t>
            </w:r>
          </w:p>
        </w:tc>
      </w:tr>
      <w:tr w:rsidR="00835F94" w:rsidRPr="00EE7E38" w14:paraId="016B9EC6" w14:textId="77777777" w:rsidTr="00CB730B">
        <w:tc>
          <w:tcPr>
            <w:tcW w:w="1560" w:type="dxa"/>
          </w:tcPr>
          <w:p w14:paraId="000D008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NCDCPH</w:t>
            </w:r>
          </w:p>
        </w:tc>
        <w:tc>
          <w:tcPr>
            <w:tcW w:w="5811" w:type="dxa"/>
          </w:tcPr>
          <w:p w14:paraId="0DDA0E8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Center for Disease Control and Public Health</w:t>
            </w:r>
          </w:p>
        </w:tc>
      </w:tr>
      <w:tr w:rsidR="00835F94" w:rsidRPr="00EE7E38" w14:paraId="393FB4EB" w14:textId="77777777" w:rsidTr="00CB730B">
        <w:tc>
          <w:tcPr>
            <w:tcW w:w="1560" w:type="dxa"/>
          </w:tcPr>
          <w:p w14:paraId="18B6B14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NCTLD</w:t>
            </w:r>
          </w:p>
        </w:tc>
        <w:tc>
          <w:tcPr>
            <w:tcW w:w="5811" w:type="dxa"/>
          </w:tcPr>
          <w:p w14:paraId="33BB733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Center for Tuberculosis and Lung Diseases</w:t>
            </w:r>
          </w:p>
        </w:tc>
      </w:tr>
      <w:tr w:rsidR="00835F94" w:rsidRPr="00EE7E38" w14:paraId="20B20AC8" w14:textId="77777777" w:rsidTr="00CB730B">
        <w:tc>
          <w:tcPr>
            <w:tcW w:w="1560" w:type="dxa"/>
          </w:tcPr>
          <w:p w14:paraId="5C0C604E"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NGO</w:t>
            </w:r>
          </w:p>
        </w:tc>
        <w:tc>
          <w:tcPr>
            <w:tcW w:w="5811" w:type="dxa"/>
          </w:tcPr>
          <w:p w14:paraId="61D76E5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Non-governmental organization</w:t>
            </w:r>
          </w:p>
        </w:tc>
      </w:tr>
      <w:tr w:rsidR="00835F94" w:rsidRPr="00EE7E38" w14:paraId="3439351A" w14:textId="77777777" w:rsidTr="00CB730B">
        <w:tc>
          <w:tcPr>
            <w:tcW w:w="1560" w:type="dxa"/>
          </w:tcPr>
          <w:p w14:paraId="69544D1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NHA</w:t>
            </w:r>
          </w:p>
        </w:tc>
        <w:tc>
          <w:tcPr>
            <w:tcW w:w="5811" w:type="dxa"/>
          </w:tcPr>
          <w:p w14:paraId="621E01D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Health Accounts</w:t>
            </w:r>
          </w:p>
        </w:tc>
      </w:tr>
      <w:tr w:rsidR="00835F94" w:rsidRPr="00EE7E38" w14:paraId="114D99CB" w14:textId="77777777" w:rsidTr="00CB730B">
        <w:tc>
          <w:tcPr>
            <w:tcW w:w="1560" w:type="dxa"/>
          </w:tcPr>
          <w:p w14:paraId="11B6EF6E"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NRL</w:t>
            </w:r>
          </w:p>
        </w:tc>
        <w:tc>
          <w:tcPr>
            <w:tcW w:w="5811" w:type="dxa"/>
          </w:tcPr>
          <w:p w14:paraId="320BFF4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Reference Laboratory</w:t>
            </w:r>
          </w:p>
        </w:tc>
      </w:tr>
      <w:tr w:rsidR="00835F94" w:rsidRPr="00EE7E38" w14:paraId="40BA06A3" w14:textId="77777777" w:rsidTr="00CB730B">
        <w:tc>
          <w:tcPr>
            <w:tcW w:w="1560" w:type="dxa"/>
          </w:tcPr>
          <w:p w14:paraId="6911C767"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NSP</w:t>
            </w:r>
          </w:p>
        </w:tc>
        <w:tc>
          <w:tcPr>
            <w:tcW w:w="5811" w:type="dxa"/>
          </w:tcPr>
          <w:p w14:paraId="6A1B9F4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Strategic Plan</w:t>
            </w:r>
          </w:p>
        </w:tc>
      </w:tr>
      <w:tr w:rsidR="00835F94" w:rsidRPr="00EE7E38" w14:paraId="011A91D4" w14:textId="77777777" w:rsidTr="00CB730B">
        <w:tc>
          <w:tcPr>
            <w:tcW w:w="1560" w:type="dxa"/>
          </w:tcPr>
          <w:p w14:paraId="3B9D7C9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NTC</w:t>
            </w:r>
          </w:p>
        </w:tc>
        <w:tc>
          <w:tcPr>
            <w:tcW w:w="5811" w:type="dxa"/>
          </w:tcPr>
          <w:p w14:paraId="23C2BEB3"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Tuberculosis Council</w:t>
            </w:r>
          </w:p>
        </w:tc>
      </w:tr>
      <w:tr w:rsidR="00835F94" w:rsidRPr="00EE7E38" w14:paraId="5DF40C0E" w14:textId="77777777" w:rsidTr="00CB730B">
        <w:tc>
          <w:tcPr>
            <w:tcW w:w="1560" w:type="dxa"/>
          </w:tcPr>
          <w:p w14:paraId="7359195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NTP</w:t>
            </w:r>
          </w:p>
        </w:tc>
        <w:tc>
          <w:tcPr>
            <w:tcW w:w="5811" w:type="dxa"/>
          </w:tcPr>
          <w:p w14:paraId="3C2E796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National Tuberculosis Program</w:t>
            </w:r>
          </w:p>
        </w:tc>
      </w:tr>
      <w:tr w:rsidR="00835F94" w:rsidRPr="00EE7E38" w14:paraId="43421B1C" w14:textId="77777777" w:rsidTr="00CB730B">
        <w:tc>
          <w:tcPr>
            <w:tcW w:w="1560" w:type="dxa"/>
          </w:tcPr>
          <w:p w14:paraId="767F524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PAL</w:t>
            </w:r>
          </w:p>
        </w:tc>
        <w:tc>
          <w:tcPr>
            <w:tcW w:w="5811" w:type="dxa"/>
          </w:tcPr>
          <w:p w14:paraId="0D8505F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Practical Approach to Lung Health</w:t>
            </w:r>
          </w:p>
        </w:tc>
      </w:tr>
      <w:tr w:rsidR="00835F94" w:rsidRPr="00EE7E38" w14:paraId="1E8A2569" w14:textId="77777777" w:rsidTr="00CB730B">
        <w:tc>
          <w:tcPr>
            <w:tcW w:w="1560" w:type="dxa"/>
          </w:tcPr>
          <w:p w14:paraId="5A16E739"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PDR-TB</w:t>
            </w:r>
          </w:p>
        </w:tc>
        <w:tc>
          <w:tcPr>
            <w:tcW w:w="5811" w:type="dxa"/>
          </w:tcPr>
          <w:p w14:paraId="3BB15EA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Polydrug-resistant TB</w:t>
            </w:r>
          </w:p>
        </w:tc>
      </w:tr>
      <w:tr w:rsidR="00835F94" w:rsidRPr="00EE7E38" w14:paraId="45818488" w14:textId="77777777" w:rsidTr="00CB730B">
        <w:tc>
          <w:tcPr>
            <w:tcW w:w="1560" w:type="dxa"/>
          </w:tcPr>
          <w:p w14:paraId="34C9EBB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PHC</w:t>
            </w:r>
          </w:p>
        </w:tc>
        <w:tc>
          <w:tcPr>
            <w:tcW w:w="5811" w:type="dxa"/>
          </w:tcPr>
          <w:p w14:paraId="4164724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Primary health care</w:t>
            </w:r>
          </w:p>
        </w:tc>
      </w:tr>
      <w:tr w:rsidR="00835F94" w:rsidRPr="00EE7E38" w14:paraId="63665A5B" w14:textId="77777777" w:rsidTr="00CB730B">
        <w:tc>
          <w:tcPr>
            <w:tcW w:w="1560" w:type="dxa"/>
          </w:tcPr>
          <w:p w14:paraId="14C634B8"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PLHIV</w:t>
            </w:r>
          </w:p>
        </w:tc>
        <w:tc>
          <w:tcPr>
            <w:tcW w:w="5811" w:type="dxa"/>
          </w:tcPr>
          <w:p w14:paraId="12E12C1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People living with HIV</w:t>
            </w:r>
          </w:p>
        </w:tc>
      </w:tr>
      <w:tr w:rsidR="00835F94" w:rsidRPr="00EE7E38" w14:paraId="64830A7F" w14:textId="77777777" w:rsidTr="00CB730B">
        <w:tc>
          <w:tcPr>
            <w:tcW w:w="1560" w:type="dxa"/>
          </w:tcPr>
          <w:p w14:paraId="68A53EA1"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PWID</w:t>
            </w:r>
          </w:p>
        </w:tc>
        <w:tc>
          <w:tcPr>
            <w:tcW w:w="5811" w:type="dxa"/>
          </w:tcPr>
          <w:p w14:paraId="2660A412"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People who inject drugs</w:t>
            </w:r>
          </w:p>
        </w:tc>
      </w:tr>
      <w:tr w:rsidR="00835F94" w:rsidRPr="00EE7E38" w14:paraId="36F02A4A" w14:textId="77777777" w:rsidTr="00CB730B">
        <w:tc>
          <w:tcPr>
            <w:tcW w:w="1560" w:type="dxa"/>
          </w:tcPr>
          <w:p w14:paraId="1236A0A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QMS</w:t>
            </w:r>
          </w:p>
        </w:tc>
        <w:tc>
          <w:tcPr>
            <w:tcW w:w="5811" w:type="dxa"/>
          </w:tcPr>
          <w:p w14:paraId="54BECDF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Quality Management System</w:t>
            </w:r>
          </w:p>
        </w:tc>
      </w:tr>
      <w:tr w:rsidR="00835F94" w:rsidRPr="00EE7E38" w14:paraId="41A9D49E" w14:textId="77777777" w:rsidTr="00CB730B">
        <w:tc>
          <w:tcPr>
            <w:tcW w:w="1560" w:type="dxa"/>
          </w:tcPr>
          <w:p w14:paraId="36931D2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SARMA</w:t>
            </w:r>
          </w:p>
        </w:tc>
        <w:tc>
          <w:tcPr>
            <w:tcW w:w="5811" w:type="dxa"/>
          </w:tcPr>
          <w:p w14:paraId="44D1DA2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State Agency for Regulation of Medical Activities</w:t>
            </w:r>
          </w:p>
        </w:tc>
      </w:tr>
      <w:tr w:rsidR="00835F94" w:rsidRPr="00EE7E38" w14:paraId="7C948137" w14:textId="77777777" w:rsidTr="00CB730B">
        <w:tc>
          <w:tcPr>
            <w:tcW w:w="1560" w:type="dxa"/>
          </w:tcPr>
          <w:p w14:paraId="2B4E86D1"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SLDs</w:t>
            </w:r>
          </w:p>
        </w:tc>
        <w:tc>
          <w:tcPr>
            <w:tcW w:w="5811" w:type="dxa"/>
          </w:tcPr>
          <w:p w14:paraId="7E96DC75"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Second-line anti-TB drugs</w:t>
            </w:r>
          </w:p>
        </w:tc>
      </w:tr>
      <w:tr w:rsidR="00835F94" w:rsidRPr="00EE7E38" w14:paraId="70C7F0A6" w14:textId="77777777" w:rsidTr="00CB730B">
        <w:tc>
          <w:tcPr>
            <w:tcW w:w="1560" w:type="dxa"/>
          </w:tcPr>
          <w:p w14:paraId="682E1FFA"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SRL</w:t>
            </w:r>
          </w:p>
        </w:tc>
        <w:tc>
          <w:tcPr>
            <w:tcW w:w="5811" w:type="dxa"/>
          </w:tcPr>
          <w:p w14:paraId="4C8DA38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Supranational Reference Laboratory</w:t>
            </w:r>
          </w:p>
        </w:tc>
      </w:tr>
      <w:tr w:rsidR="00835F94" w:rsidRPr="00EE7E38" w14:paraId="352814C5" w14:textId="77777777" w:rsidTr="00CB730B">
        <w:tc>
          <w:tcPr>
            <w:tcW w:w="1560" w:type="dxa"/>
          </w:tcPr>
          <w:p w14:paraId="4167F263"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SSA</w:t>
            </w:r>
          </w:p>
        </w:tc>
        <w:tc>
          <w:tcPr>
            <w:tcW w:w="5811" w:type="dxa"/>
          </w:tcPr>
          <w:p w14:paraId="4BCA90F6"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Social Service Agency</w:t>
            </w:r>
          </w:p>
        </w:tc>
      </w:tr>
      <w:tr w:rsidR="00835F94" w:rsidRPr="00EE7E38" w14:paraId="673A7C55" w14:textId="77777777" w:rsidTr="00CB730B">
        <w:tc>
          <w:tcPr>
            <w:tcW w:w="1560" w:type="dxa"/>
          </w:tcPr>
          <w:p w14:paraId="5DB1968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SWs</w:t>
            </w:r>
          </w:p>
        </w:tc>
        <w:tc>
          <w:tcPr>
            <w:tcW w:w="5811" w:type="dxa"/>
          </w:tcPr>
          <w:p w14:paraId="00E834B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Sex workers</w:t>
            </w:r>
          </w:p>
        </w:tc>
      </w:tr>
      <w:tr w:rsidR="00835F94" w:rsidRPr="00EE7E38" w14:paraId="64837497" w14:textId="77777777" w:rsidTr="00CB730B">
        <w:tc>
          <w:tcPr>
            <w:tcW w:w="1560" w:type="dxa"/>
          </w:tcPr>
          <w:p w14:paraId="49C0C9C2"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TB</w:t>
            </w:r>
          </w:p>
        </w:tc>
        <w:tc>
          <w:tcPr>
            <w:tcW w:w="5811" w:type="dxa"/>
          </w:tcPr>
          <w:p w14:paraId="0408E69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Tuberculosis</w:t>
            </w:r>
          </w:p>
        </w:tc>
      </w:tr>
      <w:tr w:rsidR="00835F94" w:rsidRPr="00EE7E38" w14:paraId="3B809B10" w14:textId="77777777" w:rsidTr="00CB730B">
        <w:tc>
          <w:tcPr>
            <w:tcW w:w="1560" w:type="dxa"/>
          </w:tcPr>
          <w:p w14:paraId="221CAC1C"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TGF</w:t>
            </w:r>
          </w:p>
        </w:tc>
        <w:tc>
          <w:tcPr>
            <w:tcW w:w="5811" w:type="dxa"/>
          </w:tcPr>
          <w:p w14:paraId="41036D3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The Global Fund to Fight AIDS, Tuberculosis and Malaria</w:t>
            </w:r>
          </w:p>
        </w:tc>
      </w:tr>
      <w:tr w:rsidR="00835F94" w:rsidRPr="00EE7E38" w14:paraId="24E2600C" w14:textId="77777777" w:rsidTr="00CB730B">
        <w:tc>
          <w:tcPr>
            <w:tcW w:w="1560" w:type="dxa"/>
          </w:tcPr>
          <w:p w14:paraId="4FC9795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TPP</w:t>
            </w:r>
          </w:p>
        </w:tc>
        <w:tc>
          <w:tcPr>
            <w:tcW w:w="5811" w:type="dxa"/>
          </w:tcPr>
          <w:p w14:paraId="7F421311"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Tuberculosis Prevention Project</w:t>
            </w:r>
          </w:p>
        </w:tc>
      </w:tr>
      <w:tr w:rsidR="00835F94" w:rsidRPr="00EE7E38" w14:paraId="390DDA13" w14:textId="77777777" w:rsidTr="00CB730B">
        <w:tc>
          <w:tcPr>
            <w:tcW w:w="1560" w:type="dxa"/>
          </w:tcPr>
          <w:p w14:paraId="1B8B835B"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TST</w:t>
            </w:r>
          </w:p>
        </w:tc>
        <w:tc>
          <w:tcPr>
            <w:tcW w:w="5811" w:type="dxa"/>
          </w:tcPr>
          <w:p w14:paraId="523AE91D"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Tuberculin skin test</w:t>
            </w:r>
          </w:p>
        </w:tc>
      </w:tr>
      <w:tr w:rsidR="00835F94" w:rsidRPr="00EE7E38" w14:paraId="3E90B7C6" w14:textId="77777777" w:rsidTr="00CB730B">
        <w:tc>
          <w:tcPr>
            <w:tcW w:w="1560" w:type="dxa"/>
          </w:tcPr>
          <w:p w14:paraId="6373CAE4"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TWG</w:t>
            </w:r>
          </w:p>
        </w:tc>
        <w:tc>
          <w:tcPr>
            <w:tcW w:w="5811" w:type="dxa"/>
          </w:tcPr>
          <w:p w14:paraId="6C3B6B4F"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Technical Working Group</w:t>
            </w:r>
          </w:p>
        </w:tc>
      </w:tr>
      <w:tr w:rsidR="00835F94" w:rsidRPr="00EE7E38" w14:paraId="30F6162F" w14:textId="77777777" w:rsidTr="00CB730B">
        <w:tc>
          <w:tcPr>
            <w:tcW w:w="1560" w:type="dxa"/>
          </w:tcPr>
          <w:p w14:paraId="268217CC" w14:textId="77777777" w:rsidR="00835F94"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UHC</w:t>
            </w:r>
          </w:p>
          <w:p w14:paraId="50E70D5B" w14:textId="67D7A90D" w:rsidR="00C7073D" w:rsidRPr="00EE7E38" w:rsidRDefault="00C7073D" w:rsidP="00CB730B">
            <w:pPr>
              <w:widowControl w:val="0"/>
              <w:spacing w:before="60" w:after="60"/>
              <w:rPr>
                <w:rFonts w:ascii="Times New Roman" w:hAnsi="Times New Roman" w:cs="Times New Roman"/>
                <w:sz w:val="18"/>
                <w:szCs w:val="18"/>
              </w:rPr>
            </w:pPr>
            <w:r>
              <w:rPr>
                <w:rFonts w:ascii="Times New Roman" w:hAnsi="Times New Roman" w:cs="Times New Roman"/>
                <w:sz w:val="18"/>
                <w:szCs w:val="18"/>
              </w:rPr>
              <w:t>UN</w:t>
            </w:r>
          </w:p>
        </w:tc>
        <w:tc>
          <w:tcPr>
            <w:tcW w:w="5811" w:type="dxa"/>
          </w:tcPr>
          <w:p w14:paraId="25B9344B" w14:textId="77777777" w:rsidR="00835F94"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Universal Health Coverage</w:t>
            </w:r>
          </w:p>
          <w:p w14:paraId="4AF84183" w14:textId="4D17D639" w:rsidR="00C7073D" w:rsidRPr="00EE7E38" w:rsidRDefault="00C7073D" w:rsidP="00CB730B">
            <w:pPr>
              <w:widowControl w:val="0"/>
              <w:spacing w:before="60" w:after="60"/>
              <w:rPr>
                <w:rFonts w:ascii="Times New Roman" w:hAnsi="Times New Roman" w:cs="Times New Roman"/>
                <w:sz w:val="18"/>
                <w:szCs w:val="18"/>
              </w:rPr>
            </w:pPr>
            <w:r>
              <w:rPr>
                <w:rFonts w:ascii="Times New Roman" w:hAnsi="Times New Roman" w:cs="Times New Roman"/>
                <w:sz w:val="18"/>
                <w:szCs w:val="18"/>
              </w:rPr>
              <w:t>United Nations</w:t>
            </w:r>
          </w:p>
        </w:tc>
      </w:tr>
      <w:tr w:rsidR="00835F94" w:rsidRPr="00EE7E38" w14:paraId="75CA3FBD" w14:textId="77777777" w:rsidTr="00CB730B">
        <w:tc>
          <w:tcPr>
            <w:tcW w:w="1560" w:type="dxa"/>
          </w:tcPr>
          <w:p w14:paraId="6BBDC983"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UNAIDS</w:t>
            </w:r>
          </w:p>
        </w:tc>
        <w:tc>
          <w:tcPr>
            <w:tcW w:w="5811" w:type="dxa"/>
          </w:tcPr>
          <w:p w14:paraId="6AE88885" w14:textId="77777777" w:rsidR="00835F94"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Joint United Nations Program on HIV/AIDS</w:t>
            </w:r>
          </w:p>
        </w:tc>
      </w:tr>
      <w:tr w:rsidR="00835F94" w:rsidRPr="00EE7E38" w14:paraId="4601E065" w14:textId="77777777" w:rsidTr="00CB730B">
        <w:tc>
          <w:tcPr>
            <w:tcW w:w="1560" w:type="dxa"/>
          </w:tcPr>
          <w:p w14:paraId="6AFC2560" w14:textId="77777777" w:rsidR="00835F94" w:rsidRPr="00EE7E38" w:rsidRDefault="00835F94"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UNICEF</w:t>
            </w:r>
          </w:p>
        </w:tc>
        <w:tc>
          <w:tcPr>
            <w:tcW w:w="5811" w:type="dxa"/>
          </w:tcPr>
          <w:p w14:paraId="6632CD7B" w14:textId="77777777" w:rsidR="00835F94"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United Nations Children’s Fund</w:t>
            </w:r>
          </w:p>
        </w:tc>
      </w:tr>
      <w:tr w:rsidR="00CB730B" w:rsidRPr="00EE7E38" w14:paraId="2BA9C6C2" w14:textId="77777777" w:rsidTr="00CB730B">
        <w:tc>
          <w:tcPr>
            <w:tcW w:w="1560" w:type="dxa"/>
          </w:tcPr>
          <w:p w14:paraId="510A4E12"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URC</w:t>
            </w:r>
          </w:p>
        </w:tc>
        <w:tc>
          <w:tcPr>
            <w:tcW w:w="5811" w:type="dxa"/>
          </w:tcPr>
          <w:p w14:paraId="1361D80B" w14:textId="4506D58F" w:rsidR="00CB730B" w:rsidRPr="00EE7E38" w:rsidRDefault="00334D12" w:rsidP="003A2DE1">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 xml:space="preserve">University Research </w:t>
            </w:r>
            <w:r w:rsidR="003A2DE1" w:rsidRPr="00EE7E38">
              <w:rPr>
                <w:rFonts w:ascii="Times New Roman" w:hAnsi="Times New Roman" w:cs="Times New Roman"/>
                <w:sz w:val="18"/>
                <w:szCs w:val="18"/>
              </w:rPr>
              <w:t>Co</w:t>
            </w:r>
            <w:r w:rsidR="003A2DE1">
              <w:rPr>
                <w:rFonts w:ascii="Times New Roman" w:hAnsi="Times New Roman" w:cs="Times New Roman"/>
                <w:sz w:val="18"/>
                <w:szCs w:val="18"/>
              </w:rPr>
              <w:t>mpany</w:t>
            </w:r>
          </w:p>
        </w:tc>
      </w:tr>
      <w:tr w:rsidR="00CB730B" w:rsidRPr="00EE7E38" w14:paraId="573F0DF7" w14:textId="77777777" w:rsidTr="00CB730B">
        <w:tc>
          <w:tcPr>
            <w:tcW w:w="1560" w:type="dxa"/>
          </w:tcPr>
          <w:p w14:paraId="2B3AD320"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USAID</w:t>
            </w:r>
          </w:p>
        </w:tc>
        <w:tc>
          <w:tcPr>
            <w:tcW w:w="5811" w:type="dxa"/>
          </w:tcPr>
          <w:p w14:paraId="0AC23384" w14:textId="323BA02C"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United States Agency for International Development</w:t>
            </w:r>
          </w:p>
        </w:tc>
      </w:tr>
      <w:tr w:rsidR="00CB730B" w:rsidRPr="00EE7E38" w14:paraId="68E076F9" w14:textId="77777777" w:rsidTr="00CB730B">
        <w:tc>
          <w:tcPr>
            <w:tcW w:w="1560" w:type="dxa"/>
          </w:tcPr>
          <w:p w14:paraId="2907B3B8"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USD</w:t>
            </w:r>
          </w:p>
        </w:tc>
        <w:tc>
          <w:tcPr>
            <w:tcW w:w="5811" w:type="dxa"/>
          </w:tcPr>
          <w:p w14:paraId="27865E68" w14:textId="347C8DEE"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United States dollar</w:t>
            </w:r>
          </w:p>
        </w:tc>
      </w:tr>
      <w:tr w:rsidR="00CB730B" w:rsidRPr="00EE7E38" w14:paraId="58953CC6" w14:textId="77777777" w:rsidTr="00CB730B">
        <w:tc>
          <w:tcPr>
            <w:tcW w:w="1560" w:type="dxa"/>
          </w:tcPr>
          <w:p w14:paraId="06411B55"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WHO</w:t>
            </w:r>
          </w:p>
        </w:tc>
        <w:tc>
          <w:tcPr>
            <w:tcW w:w="5811" w:type="dxa"/>
          </w:tcPr>
          <w:p w14:paraId="0AC23C70"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World Health Organization</w:t>
            </w:r>
          </w:p>
        </w:tc>
      </w:tr>
      <w:tr w:rsidR="00CB730B" w:rsidRPr="00EE7E38" w14:paraId="2EC6D5AD" w14:textId="77777777" w:rsidTr="00CB730B">
        <w:tc>
          <w:tcPr>
            <w:tcW w:w="1560" w:type="dxa"/>
          </w:tcPr>
          <w:p w14:paraId="70495896"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XDR-TB</w:t>
            </w:r>
          </w:p>
        </w:tc>
        <w:tc>
          <w:tcPr>
            <w:tcW w:w="5811" w:type="dxa"/>
          </w:tcPr>
          <w:p w14:paraId="48D85878"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Extensively drug-resistant tuberculosis</w:t>
            </w:r>
          </w:p>
        </w:tc>
      </w:tr>
      <w:tr w:rsidR="00CB730B" w:rsidRPr="00EE7E38" w14:paraId="01D56D14" w14:textId="77777777" w:rsidTr="00CB730B">
        <w:tc>
          <w:tcPr>
            <w:tcW w:w="1560" w:type="dxa"/>
          </w:tcPr>
          <w:p w14:paraId="1D001EC6"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ZDL</w:t>
            </w:r>
          </w:p>
        </w:tc>
        <w:tc>
          <w:tcPr>
            <w:tcW w:w="5811" w:type="dxa"/>
          </w:tcPr>
          <w:p w14:paraId="28A94C00" w14:textId="77777777" w:rsidR="00CB730B" w:rsidRPr="00EE7E38" w:rsidRDefault="00CB730B" w:rsidP="00CB730B">
            <w:pPr>
              <w:widowControl w:val="0"/>
              <w:spacing w:before="60" w:after="60"/>
              <w:rPr>
                <w:rFonts w:ascii="Times New Roman" w:hAnsi="Times New Roman" w:cs="Times New Roman"/>
                <w:sz w:val="18"/>
                <w:szCs w:val="18"/>
              </w:rPr>
            </w:pPr>
            <w:r w:rsidRPr="00EE7E38">
              <w:rPr>
                <w:rFonts w:ascii="Times New Roman" w:hAnsi="Times New Roman" w:cs="Times New Roman"/>
                <w:sz w:val="18"/>
                <w:szCs w:val="18"/>
              </w:rPr>
              <w:t>Zonal Diagnostic Laboratory</w:t>
            </w:r>
          </w:p>
        </w:tc>
      </w:tr>
    </w:tbl>
    <w:p w14:paraId="73C639E8" w14:textId="77777777" w:rsidR="00153735" w:rsidRPr="00EE7E38" w:rsidRDefault="00153735" w:rsidP="00835F94">
      <w:pPr>
        <w:widowControl w:val="0"/>
        <w:rPr>
          <w:rFonts w:ascii="Times New Roman" w:hAnsi="Times New Roman" w:cs="Times New Roman"/>
        </w:rPr>
      </w:pPr>
    </w:p>
    <w:p w14:paraId="16A8687B" w14:textId="77777777" w:rsidR="00153735" w:rsidRPr="00EE7E38" w:rsidRDefault="00153735" w:rsidP="00835F94">
      <w:pPr>
        <w:widowControl w:val="0"/>
        <w:rPr>
          <w:rFonts w:ascii="Times New Roman" w:hAnsi="Times New Roman" w:cs="Times New Roman"/>
        </w:rPr>
      </w:pPr>
    </w:p>
    <w:p w14:paraId="55BCF027" w14:textId="77777777" w:rsidR="00153735" w:rsidRPr="00EE7E38" w:rsidRDefault="00153735" w:rsidP="00835F94">
      <w:pPr>
        <w:widowControl w:val="0"/>
        <w:rPr>
          <w:rFonts w:ascii="Times New Roman" w:eastAsiaTheme="majorEastAsia" w:hAnsi="Times New Roman" w:cs="Times New Roman"/>
          <w:b/>
          <w:bCs/>
          <w:color w:val="365F91" w:themeColor="accent1" w:themeShade="BF"/>
          <w:sz w:val="28"/>
          <w:szCs w:val="28"/>
        </w:rPr>
      </w:pPr>
      <w:r w:rsidRPr="00EE7E38">
        <w:rPr>
          <w:rFonts w:ascii="Times New Roman" w:hAnsi="Times New Roman" w:cs="Times New Roman"/>
        </w:rPr>
        <w:br w:type="page"/>
      </w:r>
    </w:p>
    <w:p w14:paraId="4C55EE38" w14:textId="77777777" w:rsidR="0071773E" w:rsidRPr="00EE7E38" w:rsidRDefault="0071773E" w:rsidP="00987EAA">
      <w:pPr>
        <w:pStyle w:val="Heading1"/>
        <w:keepNext w:val="0"/>
        <w:keepLines w:val="0"/>
        <w:widowControl w:val="0"/>
        <w:ind w:left="720"/>
        <w:rPr>
          <w:rFonts w:ascii="Times New Roman" w:hAnsi="Times New Roman" w:cs="Times New Roman"/>
        </w:rPr>
      </w:pPr>
      <w:bookmarkStart w:id="2" w:name="_Toc517633158"/>
      <w:r w:rsidRPr="00EE7E38">
        <w:rPr>
          <w:rFonts w:ascii="Times New Roman" w:hAnsi="Times New Roman" w:cs="Times New Roman"/>
        </w:rPr>
        <w:lastRenderedPageBreak/>
        <w:t>Introduction</w:t>
      </w:r>
      <w:bookmarkEnd w:id="1"/>
      <w:bookmarkEnd w:id="2"/>
    </w:p>
    <w:p w14:paraId="17A0C352" w14:textId="77777777" w:rsidR="00420495" w:rsidRPr="00EE7E38" w:rsidRDefault="00420495"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Tuberculosis (TB) remains an important public health problem in Georgia. Despite significant progress in the implementation of TB control interventions during the last decade, the country faces a number of important challenges that require further intensified and streamlined efforts to effectively control the epidemic by securing universal access to prevention, diagnosis and treatment of all forms of the disease, and ensuring effective integration and management of TB control interventions within the overall health system framework.</w:t>
      </w:r>
    </w:p>
    <w:p w14:paraId="0D71E6A0" w14:textId="6B6A5235" w:rsidR="00320580" w:rsidRPr="00EE7E38" w:rsidRDefault="00420495" w:rsidP="00320580">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Government of Georgia is committed to increasingly allocate financial and other resources for effective TB control.</w:t>
      </w:r>
      <w:r w:rsidR="00E90C82" w:rsidRPr="00EE7E38">
        <w:rPr>
          <w:rFonts w:ascii="Times New Roman" w:hAnsi="Times New Roman" w:cs="Times New Roman"/>
        </w:rPr>
        <w:t xml:space="preserve"> National TB Control interventions are currently guided by the National TB Strategy for 2016-2020. Based on a mid-term review of 2016 data, the revised strategy defined targets and priorities for the National TB Response for the 2019-2022 </w:t>
      </w:r>
      <w:proofErr w:type="gramStart"/>
      <w:r w:rsidR="00E90C82" w:rsidRPr="00EE7E38">
        <w:rPr>
          <w:rFonts w:ascii="Times New Roman" w:hAnsi="Times New Roman" w:cs="Times New Roman"/>
        </w:rPr>
        <w:t>period</w:t>
      </w:r>
      <w:proofErr w:type="gramEnd"/>
      <w:r w:rsidR="00E90C82" w:rsidRPr="00EE7E38">
        <w:rPr>
          <w:rFonts w:ascii="Times New Roman" w:hAnsi="Times New Roman" w:cs="Times New Roman"/>
        </w:rPr>
        <w:t>. The costed action plan was developed for th</w:t>
      </w:r>
      <w:r w:rsidR="003A2DE1">
        <w:rPr>
          <w:rFonts w:ascii="Times New Roman" w:hAnsi="Times New Roman" w:cs="Times New Roman"/>
        </w:rPr>
        <w:t>is</w:t>
      </w:r>
      <w:r w:rsidR="00E90C82" w:rsidRPr="00EE7E38">
        <w:rPr>
          <w:rFonts w:ascii="Times New Roman" w:hAnsi="Times New Roman" w:cs="Times New Roman"/>
        </w:rPr>
        <w:t xml:space="preserve"> four-year implementation period</w:t>
      </w:r>
      <w:r w:rsidR="00E90C82" w:rsidRPr="00EE7E38">
        <w:rPr>
          <w:rFonts w:ascii="Times New Roman" w:hAnsi="Times New Roman" w:cs="Times New Roman"/>
          <w:i/>
        </w:rPr>
        <w:t>.</w:t>
      </w:r>
    </w:p>
    <w:p w14:paraId="65A946B0" w14:textId="513CAEB9" w:rsidR="009C5073" w:rsidRPr="00EE7E38" w:rsidRDefault="00E90C82" w:rsidP="009C507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w:t>
      </w:r>
      <w:r w:rsidR="006A230C" w:rsidRPr="00EE7E38">
        <w:rPr>
          <w:rFonts w:ascii="Times New Roman" w:hAnsi="Times New Roman" w:cs="Times New Roman"/>
        </w:rPr>
        <w:t>Strategy</w:t>
      </w:r>
      <w:r w:rsidRPr="00EE7E38">
        <w:rPr>
          <w:rFonts w:ascii="Times New Roman" w:hAnsi="Times New Roman" w:cs="Times New Roman"/>
        </w:rPr>
        <w:t xml:space="preserve"> development</w:t>
      </w:r>
      <w:r w:rsidR="006A230C" w:rsidRPr="00EE7E38">
        <w:rPr>
          <w:rFonts w:ascii="Times New Roman" w:hAnsi="Times New Roman" w:cs="Times New Roman"/>
        </w:rPr>
        <w:t xml:space="preserve"> was </w:t>
      </w:r>
      <w:r w:rsidRPr="00EE7E38">
        <w:rPr>
          <w:rFonts w:ascii="Times New Roman" w:hAnsi="Times New Roman" w:cs="Times New Roman"/>
        </w:rPr>
        <w:t xml:space="preserve">coordinated </w:t>
      </w:r>
      <w:r w:rsidR="006A230C" w:rsidRPr="00EE7E38">
        <w:rPr>
          <w:rFonts w:ascii="Times New Roman" w:hAnsi="Times New Roman" w:cs="Times New Roman"/>
        </w:rPr>
        <w:t xml:space="preserve">by </w:t>
      </w:r>
      <w:r w:rsidRPr="00EE7E38">
        <w:rPr>
          <w:rFonts w:ascii="Times New Roman" w:hAnsi="Times New Roman" w:cs="Times New Roman"/>
        </w:rPr>
        <w:t>t</w:t>
      </w:r>
      <w:r w:rsidR="006A230C" w:rsidRPr="00EE7E38">
        <w:rPr>
          <w:rFonts w:ascii="Times New Roman" w:hAnsi="Times New Roman" w:cs="Times New Roman"/>
        </w:rPr>
        <w:t>he Georgia Country Coordinating Mechanism (CCM)</w:t>
      </w:r>
      <w:r w:rsidR="00362086" w:rsidRPr="00EE7E38">
        <w:rPr>
          <w:rStyle w:val="FootnoteReference"/>
          <w:rFonts w:ascii="Times New Roman" w:hAnsi="Times New Roman" w:cs="Times New Roman"/>
        </w:rPr>
        <w:footnoteReference w:id="1"/>
      </w:r>
      <w:r w:rsidR="006A230C" w:rsidRPr="00EE7E38">
        <w:rPr>
          <w:rFonts w:ascii="Times New Roman" w:hAnsi="Times New Roman" w:cs="Times New Roman"/>
        </w:rPr>
        <w:t xml:space="preserve"> for TB, HIV/AIDS and Malaria</w:t>
      </w:r>
      <w:r w:rsidR="008D6A6D" w:rsidRPr="00EE7E38">
        <w:rPr>
          <w:rFonts w:ascii="Times New Roman" w:hAnsi="Times New Roman" w:cs="Times New Roman"/>
        </w:rPr>
        <w:t xml:space="preserve">. </w:t>
      </w:r>
      <w:r w:rsidRPr="00EE7E38">
        <w:rPr>
          <w:rFonts w:ascii="Times New Roman" w:hAnsi="Times New Roman" w:cs="Times New Roman"/>
        </w:rPr>
        <w:t xml:space="preserve">Stakeholders involved included </w:t>
      </w:r>
      <w:r w:rsidR="003A2DE1">
        <w:rPr>
          <w:rFonts w:ascii="Times New Roman" w:hAnsi="Times New Roman" w:cs="Times New Roman"/>
        </w:rPr>
        <w:t xml:space="preserve">the </w:t>
      </w:r>
      <w:r w:rsidRPr="00EE7E38">
        <w:rPr>
          <w:rFonts w:ascii="Times New Roman" w:hAnsi="Times New Roman" w:cs="Times New Roman"/>
        </w:rPr>
        <w:t xml:space="preserve">Parliamentary </w:t>
      </w:r>
      <w:r w:rsidR="003A2DE1">
        <w:rPr>
          <w:rFonts w:ascii="Times New Roman" w:hAnsi="Times New Roman" w:cs="Times New Roman"/>
        </w:rPr>
        <w:t>C</w:t>
      </w:r>
      <w:r w:rsidRPr="00EE7E38">
        <w:rPr>
          <w:rFonts w:ascii="Times New Roman" w:hAnsi="Times New Roman" w:cs="Times New Roman"/>
        </w:rPr>
        <w:t xml:space="preserve">ommittee for Health and Social Issues, </w:t>
      </w:r>
      <w:r w:rsidR="00954511" w:rsidRPr="00EE7E38">
        <w:rPr>
          <w:rFonts w:ascii="Times New Roman" w:hAnsi="Times New Roman" w:cs="Times New Roman"/>
        </w:rPr>
        <w:t xml:space="preserve">Ministry of Labor, Health and Social Affairs, Ministry of Corrections, </w:t>
      </w:r>
      <w:r w:rsidR="008D6A6D" w:rsidRPr="00EE7E38">
        <w:rPr>
          <w:rFonts w:ascii="Times New Roman" w:hAnsi="Times New Roman" w:cs="Times New Roman"/>
        </w:rPr>
        <w:t>National Center for Disease Control and Public Health (NCDC</w:t>
      </w:r>
      <w:r w:rsidR="00B21C2F" w:rsidRPr="00EE7E38">
        <w:rPr>
          <w:rFonts w:ascii="Times New Roman" w:hAnsi="Times New Roman" w:cs="Times New Roman"/>
        </w:rPr>
        <w:t>&amp;</w:t>
      </w:r>
      <w:r w:rsidR="008D6A6D" w:rsidRPr="00EE7E38">
        <w:rPr>
          <w:rFonts w:ascii="Times New Roman" w:hAnsi="Times New Roman" w:cs="Times New Roman"/>
        </w:rPr>
        <w:t>PH),</w:t>
      </w:r>
      <w:r w:rsidR="00B21C2F" w:rsidRPr="00EE7E38">
        <w:rPr>
          <w:rFonts w:ascii="Times New Roman" w:hAnsi="Times New Roman" w:cs="Times New Roman"/>
        </w:rPr>
        <w:t xml:space="preserve"> Research Practice Center for Infectious Diseases, </w:t>
      </w:r>
      <w:r w:rsidR="00954511" w:rsidRPr="00EE7E38">
        <w:rPr>
          <w:rFonts w:ascii="Times New Roman" w:hAnsi="Times New Roman" w:cs="Times New Roman"/>
        </w:rPr>
        <w:t>AIDS and Clinical Immunology, National Center</w:t>
      </w:r>
      <w:r w:rsidR="00B21C2F" w:rsidRPr="00EE7E38">
        <w:rPr>
          <w:rFonts w:ascii="Times New Roman" w:hAnsi="Times New Roman" w:cs="Times New Roman"/>
        </w:rPr>
        <w:t xml:space="preserve"> for Tuberculosis and Lung Diseases</w:t>
      </w:r>
      <w:r w:rsidR="00FE26DF" w:rsidRPr="00EE7E38">
        <w:rPr>
          <w:rFonts w:ascii="Times New Roman" w:hAnsi="Times New Roman" w:cs="Times New Roman"/>
        </w:rPr>
        <w:t>, Representatives from U</w:t>
      </w:r>
      <w:r w:rsidR="003A2DE1">
        <w:rPr>
          <w:rFonts w:ascii="Times New Roman" w:hAnsi="Times New Roman" w:cs="Times New Roman"/>
        </w:rPr>
        <w:t xml:space="preserve">nited </w:t>
      </w:r>
      <w:r w:rsidR="00FE26DF" w:rsidRPr="00EE7E38">
        <w:rPr>
          <w:rFonts w:ascii="Times New Roman" w:hAnsi="Times New Roman" w:cs="Times New Roman"/>
        </w:rPr>
        <w:t>S</w:t>
      </w:r>
      <w:r w:rsidR="003A2DE1">
        <w:rPr>
          <w:rFonts w:ascii="Times New Roman" w:hAnsi="Times New Roman" w:cs="Times New Roman"/>
        </w:rPr>
        <w:t>tates</w:t>
      </w:r>
      <w:r w:rsidR="00FE26DF" w:rsidRPr="00EE7E38">
        <w:rPr>
          <w:rFonts w:ascii="Times New Roman" w:hAnsi="Times New Roman" w:cs="Times New Roman"/>
        </w:rPr>
        <w:t xml:space="preserve"> Agency for International </w:t>
      </w:r>
      <w:r w:rsidRPr="00EE7E38">
        <w:rPr>
          <w:rFonts w:ascii="Times New Roman" w:hAnsi="Times New Roman" w:cs="Times New Roman"/>
        </w:rPr>
        <w:t>Development</w:t>
      </w:r>
      <w:r w:rsidR="003A2DE1">
        <w:rPr>
          <w:rFonts w:ascii="Times New Roman" w:hAnsi="Times New Roman" w:cs="Times New Roman"/>
        </w:rPr>
        <w:t xml:space="preserve"> (USAID)</w:t>
      </w:r>
      <w:r w:rsidR="00FE26DF" w:rsidRPr="00EE7E38">
        <w:rPr>
          <w:rFonts w:ascii="Times New Roman" w:hAnsi="Times New Roman" w:cs="Times New Roman"/>
        </w:rPr>
        <w:t>, U</w:t>
      </w:r>
      <w:r w:rsidR="003A2DE1">
        <w:rPr>
          <w:rFonts w:ascii="Times New Roman" w:hAnsi="Times New Roman" w:cs="Times New Roman"/>
        </w:rPr>
        <w:t xml:space="preserve">nited </w:t>
      </w:r>
      <w:r w:rsidR="00FE26DF" w:rsidRPr="00EE7E38">
        <w:rPr>
          <w:rFonts w:ascii="Times New Roman" w:hAnsi="Times New Roman" w:cs="Times New Roman"/>
        </w:rPr>
        <w:t>N</w:t>
      </w:r>
      <w:r w:rsidR="003A2DE1">
        <w:rPr>
          <w:rFonts w:ascii="Times New Roman" w:hAnsi="Times New Roman" w:cs="Times New Roman"/>
        </w:rPr>
        <w:t>ations (UN)</w:t>
      </w:r>
      <w:r w:rsidR="00FE26DF" w:rsidRPr="00EE7E38">
        <w:rPr>
          <w:rFonts w:ascii="Times New Roman" w:hAnsi="Times New Roman" w:cs="Times New Roman"/>
        </w:rPr>
        <w:t xml:space="preserve"> Population</w:t>
      </w:r>
      <w:r w:rsidRPr="00EE7E38">
        <w:rPr>
          <w:rFonts w:ascii="Times New Roman" w:hAnsi="Times New Roman" w:cs="Times New Roman"/>
        </w:rPr>
        <w:t>s</w:t>
      </w:r>
      <w:r w:rsidR="00FE26DF" w:rsidRPr="00EE7E38">
        <w:rPr>
          <w:rFonts w:ascii="Times New Roman" w:hAnsi="Times New Roman" w:cs="Times New Roman"/>
        </w:rPr>
        <w:t xml:space="preserve"> Fund, non-governmental organizations </w:t>
      </w:r>
      <w:r w:rsidR="0041159C">
        <w:rPr>
          <w:rFonts w:ascii="Times New Roman" w:hAnsi="Times New Roman" w:cs="Times New Roman"/>
        </w:rPr>
        <w:t xml:space="preserve">(NGOs) </w:t>
      </w:r>
      <w:r w:rsidR="00FE26DF" w:rsidRPr="00EE7E38">
        <w:rPr>
          <w:rFonts w:ascii="Times New Roman" w:hAnsi="Times New Roman" w:cs="Times New Roman"/>
        </w:rPr>
        <w:t xml:space="preserve">working in </w:t>
      </w:r>
      <w:r w:rsidRPr="00EE7E38">
        <w:rPr>
          <w:rFonts w:ascii="Times New Roman" w:hAnsi="Times New Roman" w:cs="Times New Roman"/>
        </w:rPr>
        <w:t xml:space="preserve">the </w:t>
      </w:r>
      <w:r w:rsidR="00FE26DF" w:rsidRPr="00EE7E38">
        <w:rPr>
          <w:rFonts w:ascii="Times New Roman" w:hAnsi="Times New Roman" w:cs="Times New Roman"/>
        </w:rPr>
        <w:t>TB</w:t>
      </w:r>
      <w:r w:rsidR="00590C63" w:rsidRPr="00EE7E38">
        <w:rPr>
          <w:rFonts w:ascii="Times New Roman" w:hAnsi="Times New Roman" w:cs="Times New Roman"/>
        </w:rPr>
        <w:t xml:space="preserve"> field</w:t>
      </w:r>
      <w:r w:rsidR="00FE26DF" w:rsidRPr="00EE7E38">
        <w:rPr>
          <w:rFonts w:ascii="Times New Roman" w:hAnsi="Times New Roman" w:cs="Times New Roman"/>
        </w:rPr>
        <w:t>,</w:t>
      </w:r>
      <w:r w:rsidR="00590C63" w:rsidRPr="00EE7E38">
        <w:rPr>
          <w:rFonts w:ascii="Times New Roman" w:hAnsi="Times New Roman" w:cs="Times New Roman"/>
        </w:rPr>
        <w:t xml:space="preserve"> </w:t>
      </w:r>
      <w:r w:rsidR="003A2DE1">
        <w:rPr>
          <w:rFonts w:ascii="Times New Roman" w:hAnsi="Times New Roman" w:cs="Times New Roman"/>
        </w:rPr>
        <w:t xml:space="preserve">representatives from the </w:t>
      </w:r>
      <w:r w:rsidRPr="00EE7E38">
        <w:rPr>
          <w:rFonts w:ascii="Times New Roman" w:hAnsi="Times New Roman" w:cs="Times New Roman"/>
        </w:rPr>
        <w:t>most affected communities</w:t>
      </w:r>
      <w:r w:rsidR="003A2DE1">
        <w:rPr>
          <w:rFonts w:ascii="Times New Roman" w:hAnsi="Times New Roman" w:cs="Times New Roman"/>
        </w:rPr>
        <w:t>,</w:t>
      </w:r>
      <w:r w:rsidR="00590C63" w:rsidRPr="00EE7E38">
        <w:rPr>
          <w:rFonts w:ascii="Times New Roman" w:hAnsi="Times New Roman" w:cs="Times New Roman"/>
        </w:rPr>
        <w:t xml:space="preserve"> and TB patients</w:t>
      </w:r>
      <w:r w:rsidRPr="00EE7E38">
        <w:rPr>
          <w:rFonts w:ascii="Times New Roman" w:hAnsi="Times New Roman" w:cs="Times New Roman"/>
        </w:rPr>
        <w:t xml:space="preserve">. </w:t>
      </w:r>
      <w:r w:rsidR="00FE26DF" w:rsidRPr="00EE7E38">
        <w:rPr>
          <w:rFonts w:ascii="Times New Roman" w:hAnsi="Times New Roman" w:cs="Times New Roman"/>
        </w:rPr>
        <w:t xml:space="preserve"> </w:t>
      </w:r>
      <w:r w:rsidR="00590C63" w:rsidRPr="00EE7E38">
        <w:rPr>
          <w:rFonts w:ascii="Times New Roman" w:hAnsi="Times New Roman" w:cs="Times New Roman"/>
        </w:rPr>
        <w:t xml:space="preserve">The Policy and Advocacy </w:t>
      </w:r>
      <w:r w:rsidRPr="00EE7E38">
        <w:rPr>
          <w:rFonts w:ascii="Times New Roman" w:hAnsi="Times New Roman" w:cs="Times New Roman"/>
        </w:rPr>
        <w:t xml:space="preserve">Advisory </w:t>
      </w:r>
      <w:r w:rsidR="00590C63" w:rsidRPr="00EE7E38">
        <w:rPr>
          <w:rFonts w:ascii="Times New Roman" w:hAnsi="Times New Roman" w:cs="Times New Roman"/>
        </w:rPr>
        <w:t>Committee</w:t>
      </w:r>
      <w:r w:rsidR="00517F21" w:rsidRPr="00EE7E38">
        <w:rPr>
          <w:rFonts w:ascii="Times New Roman" w:hAnsi="Times New Roman" w:cs="Times New Roman"/>
        </w:rPr>
        <w:t xml:space="preserve"> (PAAC)</w:t>
      </w:r>
      <w:r w:rsidR="00590C63" w:rsidRPr="00EE7E38">
        <w:rPr>
          <w:rFonts w:ascii="Times New Roman" w:hAnsi="Times New Roman" w:cs="Times New Roman"/>
        </w:rPr>
        <w:t xml:space="preserve"> established </w:t>
      </w:r>
      <w:r w:rsidRPr="00EE7E38">
        <w:rPr>
          <w:rFonts w:ascii="Times New Roman" w:hAnsi="Times New Roman" w:cs="Times New Roman"/>
        </w:rPr>
        <w:t>under the auspices of CCM</w:t>
      </w:r>
      <w:r w:rsidR="00590C63" w:rsidRPr="00EE7E38">
        <w:rPr>
          <w:rFonts w:ascii="Times New Roman" w:hAnsi="Times New Roman" w:cs="Times New Roman"/>
        </w:rPr>
        <w:t xml:space="preserve">, which unites representatives of all the above mentioned </w:t>
      </w:r>
      <w:r w:rsidRPr="00EE7E38">
        <w:rPr>
          <w:rFonts w:ascii="Times New Roman" w:hAnsi="Times New Roman" w:cs="Times New Roman"/>
        </w:rPr>
        <w:t>partners</w:t>
      </w:r>
      <w:r w:rsidR="00590C63" w:rsidRPr="00EE7E38">
        <w:rPr>
          <w:rFonts w:ascii="Times New Roman" w:hAnsi="Times New Roman" w:cs="Times New Roman"/>
        </w:rPr>
        <w:t xml:space="preserve">, was used as a platform for national dialogue and </w:t>
      </w:r>
      <w:r w:rsidRPr="00EE7E38">
        <w:rPr>
          <w:rFonts w:ascii="Times New Roman" w:hAnsi="Times New Roman" w:cs="Times New Roman"/>
        </w:rPr>
        <w:t xml:space="preserve">ongoing </w:t>
      </w:r>
      <w:r w:rsidR="00590C63" w:rsidRPr="00EE7E38">
        <w:rPr>
          <w:rFonts w:ascii="Times New Roman" w:hAnsi="Times New Roman" w:cs="Times New Roman"/>
        </w:rPr>
        <w:t>consultation</w:t>
      </w:r>
      <w:r w:rsidRPr="00EE7E38">
        <w:rPr>
          <w:rFonts w:ascii="Times New Roman" w:hAnsi="Times New Roman" w:cs="Times New Roman"/>
        </w:rPr>
        <w:t>s</w:t>
      </w:r>
      <w:r w:rsidR="00590C63" w:rsidRPr="00EE7E38">
        <w:rPr>
          <w:rFonts w:ascii="Times New Roman" w:hAnsi="Times New Roman" w:cs="Times New Roman"/>
        </w:rPr>
        <w:t xml:space="preserve">. Thus, the present Plan represents the outcome of the cooperation of all </w:t>
      </w:r>
      <w:r w:rsidR="00CA1686" w:rsidRPr="00EE7E38">
        <w:rPr>
          <w:rFonts w:ascii="Times New Roman" w:hAnsi="Times New Roman" w:cs="Times New Roman"/>
        </w:rPr>
        <w:t xml:space="preserve">country </w:t>
      </w:r>
      <w:r w:rsidR="00590C63" w:rsidRPr="00EE7E38">
        <w:rPr>
          <w:rFonts w:ascii="Times New Roman" w:hAnsi="Times New Roman" w:cs="Times New Roman"/>
        </w:rPr>
        <w:t xml:space="preserve">stakeholders and international experts participating in TB control who have provided technical assistance to the country to ensure compliance of proposed interventions with international standards and </w:t>
      </w:r>
      <w:r w:rsidR="00987EAA" w:rsidRPr="00EE7E38">
        <w:rPr>
          <w:rFonts w:ascii="Times New Roman" w:hAnsi="Times New Roman" w:cs="Times New Roman"/>
        </w:rPr>
        <w:t>best practice</w:t>
      </w:r>
      <w:r w:rsidR="00CA1686" w:rsidRPr="00EE7E38">
        <w:rPr>
          <w:rFonts w:ascii="Times New Roman" w:hAnsi="Times New Roman" w:cs="Times New Roman"/>
        </w:rPr>
        <w:t xml:space="preserve">s. </w:t>
      </w:r>
      <w:r w:rsidR="009C5073" w:rsidRPr="00EE7E38">
        <w:rPr>
          <w:rFonts w:ascii="Times New Roman" w:hAnsi="Times New Roman" w:cs="Times New Roman"/>
        </w:rPr>
        <w:t xml:space="preserve">The Government is grateful to the </w:t>
      </w:r>
      <w:r w:rsidR="00517F21" w:rsidRPr="00EE7E38">
        <w:rPr>
          <w:rFonts w:ascii="Times New Roman" w:hAnsi="Times New Roman" w:cs="Times New Roman"/>
        </w:rPr>
        <w:t xml:space="preserve">Global Fund to Fight Aids, Tuberculosis and Malaria and </w:t>
      </w:r>
      <w:proofErr w:type="gramStart"/>
      <w:r w:rsidR="003A2DE1">
        <w:rPr>
          <w:rFonts w:ascii="Times New Roman" w:hAnsi="Times New Roman" w:cs="Times New Roman"/>
        </w:rPr>
        <w:t xml:space="preserve">USAID </w:t>
      </w:r>
      <w:r w:rsidR="009C5073" w:rsidRPr="00EE7E38">
        <w:rPr>
          <w:rFonts w:ascii="Times New Roman" w:hAnsi="Times New Roman" w:cs="Times New Roman"/>
        </w:rPr>
        <w:t xml:space="preserve"> for</w:t>
      </w:r>
      <w:proofErr w:type="gramEnd"/>
      <w:r w:rsidR="009C5073" w:rsidRPr="00EE7E38">
        <w:rPr>
          <w:rFonts w:ascii="Times New Roman" w:hAnsi="Times New Roman" w:cs="Times New Roman"/>
        </w:rPr>
        <w:t xml:space="preserve"> provision of technical assistance in the development of this Plan.</w:t>
      </w:r>
    </w:p>
    <w:p w14:paraId="2A09C17B" w14:textId="77777777" w:rsidR="00540B31" w:rsidRPr="00EE7E38" w:rsidRDefault="00987EAA">
      <w:pPr>
        <w:pStyle w:val="Heading1"/>
        <w:keepNext w:val="0"/>
        <w:keepLines w:val="0"/>
        <w:widowControl w:val="0"/>
        <w:numPr>
          <w:ilvl w:val="0"/>
          <w:numId w:val="1"/>
        </w:numPr>
        <w:rPr>
          <w:rFonts w:ascii="Times New Roman" w:hAnsi="Times New Roman" w:cs="Times New Roman"/>
        </w:rPr>
      </w:pPr>
      <w:bookmarkStart w:id="3" w:name="_Toc517633159"/>
      <w:bookmarkStart w:id="4" w:name="_Toc411586413"/>
      <w:r w:rsidRPr="00EE7E38">
        <w:rPr>
          <w:rFonts w:ascii="Times New Roman" w:hAnsi="Times New Roman" w:cs="Times New Roman"/>
        </w:rPr>
        <w:t>Situational Analysis</w:t>
      </w:r>
      <w:bookmarkEnd w:id="3"/>
    </w:p>
    <w:p w14:paraId="5350429B" w14:textId="77777777" w:rsidR="006E50D1" w:rsidRPr="00EE7E38" w:rsidRDefault="006E50D1" w:rsidP="006E50D1">
      <w:pPr>
        <w:pStyle w:val="Heading2"/>
        <w:rPr>
          <w:rFonts w:ascii="Times New Roman" w:hAnsi="Times New Roman" w:cs="Times New Roman"/>
          <w:color w:val="365F91" w:themeColor="accent1" w:themeShade="BF"/>
          <w:sz w:val="28"/>
          <w:szCs w:val="28"/>
        </w:rPr>
      </w:pPr>
      <w:bookmarkStart w:id="5" w:name="_Toc517633160"/>
      <w:r w:rsidRPr="00EE7E38">
        <w:rPr>
          <w:rFonts w:ascii="Times New Roman" w:eastAsiaTheme="minorHAnsi" w:hAnsi="Times New Roman" w:cs="Times New Roman"/>
        </w:rPr>
        <w:t>1.1 Analysis of the legislative framework</w:t>
      </w:r>
      <w:bookmarkEnd w:id="5"/>
    </w:p>
    <w:p w14:paraId="3BB57009" w14:textId="6892C22E" w:rsidR="007D6058" w:rsidRPr="00EE7E38" w:rsidRDefault="003C7975" w:rsidP="002A4055">
      <w:pPr>
        <w:rPr>
          <w:rFonts w:ascii="Times New Roman" w:hAnsi="Times New Roman" w:cs="Times New Roman"/>
        </w:rPr>
      </w:pPr>
      <w:r>
        <w:rPr>
          <w:rFonts w:ascii="Times New Roman" w:hAnsi="Times New Roman" w:cs="Times New Roman"/>
        </w:rPr>
        <w:t>The</w:t>
      </w:r>
      <w:r w:rsidRPr="00EE7E38">
        <w:rPr>
          <w:rFonts w:ascii="Times New Roman" w:hAnsi="Times New Roman" w:cs="Times New Roman"/>
        </w:rPr>
        <w:t xml:space="preserve"> </w:t>
      </w:r>
      <w:r w:rsidR="007D6058" w:rsidRPr="00EE7E38">
        <w:rPr>
          <w:rFonts w:ascii="Times New Roman" w:hAnsi="Times New Roman" w:cs="Times New Roman"/>
        </w:rPr>
        <w:t xml:space="preserve">legal framework for TB control in Georgia is composed of a set of laws and regulations which stipulate the right of Georgian citizens to receive quality medical services in </w:t>
      </w:r>
      <w:r>
        <w:rPr>
          <w:rFonts w:ascii="Times New Roman" w:hAnsi="Times New Roman" w:cs="Times New Roman"/>
        </w:rPr>
        <w:t xml:space="preserve">a </w:t>
      </w:r>
      <w:r w:rsidR="007D6058" w:rsidRPr="00EE7E38">
        <w:rPr>
          <w:rFonts w:ascii="Times New Roman" w:hAnsi="Times New Roman" w:cs="Times New Roman"/>
        </w:rPr>
        <w:t xml:space="preserve">non-discriminatory environment where all basic human rights, freedoms and guarantees are protected. The Constitution of Georgia and the following laws guide </w:t>
      </w:r>
      <w:r>
        <w:rPr>
          <w:rFonts w:ascii="Times New Roman" w:hAnsi="Times New Roman" w:cs="Times New Roman"/>
        </w:rPr>
        <w:t xml:space="preserve">the </w:t>
      </w:r>
      <w:r w:rsidR="007D6058" w:rsidRPr="00EE7E38">
        <w:rPr>
          <w:rFonts w:ascii="Times New Roman" w:hAnsi="Times New Roman" w:cs="Times New Roman"/>
        </w:rPr>
        <w:t xml:space="preserve">National TB Response and clearly define the government’s commitment in </w:t>
      </w:r>
      <w:r>
        <w:rPr>
          <w:rFonts w:ascii="Times New Roman" w:hAnsi="Times New Roman" w:cs="Times New Roman"/>
        </w:rPr>
        <w:t xml:space="preserve">the </w:t>
      </w:r>
      <w:r w:rsidR="007D6058" w:rsidRPr="00EE7E38">
        <w:rPr>
          <w:rFonts w:ascii="Times New Roman" w:hAnsi="Times New Roman" w:cs="Times New Roman"/>
        </w:rPr>
        <w:t>fight against TB</w:t>
      </w:r>
      <w:r>
        <w:rPr>
          <w:rFonts w:ascii="Times New Roman" w:hAnsi="Times New Roman" w:cs="Times New Roman"/>
        </w:rPr>
        <w:t>:</w:t>
      </w:r>
      <w:r w:rsidR="007D6058" w:rsidRPr="00EE7E38">
        <w:rPr>
          <w:rFonts w:ascii="Times New Roman" w:hAnsi="Times New Roman" w:cs="Times New Roman"/>
        </w:rPr>
        <w:t xml:space="preserve"> </w:t>
      </w:r>
    </w:p>
    <w:p w14:paraId="3A97E8BB" w14:textId="7A59118D" w:rsidR="007D6058" w:rsidRPr="00267098" w:rsidRDefault="007D6058" w:rsidP="002A4055">
      <w:pPr>
        <w:pStyle w:val="ListParagraph"/>
        <w:numPr>
          <w:ilvl w:val="0"/>
          <w:numId w:val="26"/>
        </w:numPr>
        <w:rPr>
          <w:rFonts w:ascii="Times New Roman" w:hAnsi="Times New Roman" w:cs="Times New Roman"/>
          <w:bCs/>
        </w:rPr>
      </w:pPr>
      <w:r w:rsidRPr="00267098">
        <w:rPr>
          <w:rFonts w:ascii="Times New Roman" w:hAnsi="Times New Roman" w:cs="Times New Roman"/>
          <w:bCs/>
        </w:rPr>
        <w:t>Georgia</w:t>
      </w:r>
      <w:r w:rsidR="00267098" w:rsidRPr="00267098">
        <w:rPr>
          <w:rFonts w:ascii="Times New Roman" w:hAnsi="Times New Roman" w:cs="Times New Roman"/>
          <w:bCs/>
        </w:rPr>
        <w:t>n Law on Public Health</w:t>
      </w:r>
    </w:p>
    <w:p w14:paraId="70C81124" w14:textId="77777777" w:rsidR="00540B31" w:rsidRPr="00267098" w:rsidRDefault="006E50D1" w:rsidP="002A4055">
      <w:pPr>
        <w:pStyle w:val="ListParagraph"/>
        <w:numPr>
          <w:ilvl w:val="0"/>
          <w:numId w:val="26"/>
        </w:numPr>
        <w:rPr>
          <w:rFonts w:ascii="Times New Roman" w:hAnsi="Times New Roman" w:cs="Times New Roman"/>
          <w:b/>
          <w:bCs/>
        </w:rPr>
      </w:pPr>
      <w:r w:rsidRPr="00267098">
        <w:rPr>
          <w:rFonts w:ascii="Times New Roman" w:hAnsi="Times New Roman" w:cs="Times New Roman"/>
        </w:rPr>
        <w:t>Law of Georgia on Health Care</w:t>
      </w:r>
    </w:p>
    <w:p w14:paraId="46468FA8" w14:textId="77777777" w:rsidR="00540B31" w:rsidRPr="00267098" w:rsidRDefault="006E50D1" w:rsidP="002A4055">
      <w:pPr>
        <w:pStyle w:val="ListParagraph"/>
        <w:numPr>
          <w:ilvl w:val="0"/>
          <w:numId w:val="26"/>
        </w:numPr>
        <w:rPr>
          <w:rFonts w:ascii="Times New Roman" w:hAnsi="Times New Roman" w:cs="Times New Roman"/>
          <w:b/>
          <w:bCs/>
        </w:rPr>
      </w:pPr>
      <w:r w:rsidRPr="00267098">
        <w:rPr>
          <w:rFonts w:ascii="Times New Roman" w:hAnsi="Times New Roman" w:cs="Times New Roman"/>
        </w:rPr>
        <w:t>Law of Georgia on Medical Activities</w:t>
      </w:r>
    </w:p>
    <w:p w14:paraId="1C020A5B" w14:textId="77777777" w:rsidR="00540B31" w:rsidRPr="00267098" w:rsidRDefault="006E50D1" w:rsidP="002A4055">
      <w:pPr>
        <w:pStyle w:val="ListParagraph"/>
        <w:numPr>
          <w:ilvl w:val="0"/>
          <w:numId w:val="26"/>
        </w:numPr>
        <w:rPr>
          <w:rFonts w:ascii="Times New Roman" w:hAnsi="Times New Roman" w:cs="Times New Roman"/>
          <w:b/>
          <w:bCs/>
        </w:rPr>
      </w:pPr>
      <w:r w:rsidRPr="00267098">
        <w:rPr>
          <w:rFonts w:ascii="Times New Roman" w:hAnsi="Times New Roman" w:cs="Times New Roman"/>
        </w:rPr>
        <w:t xml:space="preserve">Law </w:t>
      </w:r>
      <w:r w:rsidR="002B5E55" w:rsidRPr="00267098">
        <w:rPr>
          <w:rFonts w:ascii="Times New Roman" w:hAnsi="Times New Roman" w:cs="Times New Roman"/>
        </w:rPr>
        <w:t xml:space="preserve">of Georgia on Patient’s Rights </w:t>
      </w:r>
    </w:p>
    <w:p w14:paraId="1554153C" w14:textId="77777777" w:rsidR="00540B31" w:rsidRPr="00267098" w:rsidRDefault="007D6058" w:rsidP="002A4055">
      <w:pPr>
        <w:pStyle w:val="ListParagraph"/>
        <w:numPr>
          <w:ilvl w:val="0"/>
          <w:numId w:val="26"/>
        </w:numPr>
        <w:rPr>
          <w:rFonts w:ascii="Times New Roman" w:hAnsi="Times New Roman" w:cs="Times New Roman"/>
          <w:b/>
          <w:bCs/>
        </w:rPr>
      </w:pPr>
      <w:r w:rsidRPr="00267098">
        <w:rPr>
          <w:rFonts w:ascii="Times New Roman" w:hAnsi="Times New Roman" w:cs="Times New Roman"/>
        </w:rPr>
        <w:t>Law of Georgia</w:t>
      </w:r>
      <w:r w:rsidR="006E50D1" w:rsidRPr="00267098">
        <w:rPr>
          <w:rFonts w:ascii="Times New Roman" w:hAnsi="Times New Roman" w:cs="Times New Roman"/>
        </w:rPr>
        <w:t xml:space="preserve"> on </w:t>
      </w:r>
      <w:r w:rsidR="002B5E55" w:rsidRPr="00267098">
        <w:rPr>
          <w:rFonts w:ascii="Times New Roman" w:hAnsi="Times New Roman" w:cs="Times New Roman"/>
        </w:rPr>
        <w:t>T</w:t>
      </w:r>
      <w:r w:rsidR="006E50D1" w:rsidRPr="00267098">
        <w:rPr>
          <w:rFonts w:ascii="Times New Roman" w:hAnsi="Times New Roman" w:cs="Times New Roman"/>
        </w:rPr>
        <w:t>uberculosis</w:t>
      </w:r>
      <w:r w:rsidR="002B5E55" w:rsidRPr="00267098">
        <w:rPr>
          <w:rFonts w:ascii="Times New Roman" w:hAnsi="Times New Roman" w:cs="Times New Roman"/>
        </w:rPr>
        <w:t xml:space="preserve"> Control</w:t>
      </w:r>
    </w:p>
    <w:p w14:paraId="55BF5FE9" w14:textId="16011C57" w:rsidR="006E50D1" w:rsidRPr="00EE7E38" w:rsidRDefault="006E50D1" w:rsidP="002A4055">
      <w:pPr>
        <w:rPr>
          <w:rFonts w:ascii="Times New Roman" w:hAnsi="Times New Roman" w:cs="Times New Roman"/>
          <w:b/>
          <w:bCs/>
        </w:rPr>
      </w:pPr>
      <w:r w:rsidRPr="00267098">
        <w:rPr>
          <w:rFonts w:ascii="Times New Roman" w:hAnsi="Times New Roman" w:cs="Times New Roman"/>
        </w:rPr>
        <w:t>The Georgia</w:t>
      </w:r>
      <w:r w:rsidR="00517F21" w:rsidRPr="00267098">
        <w:rPr>
          <w:rFonts w:ascii="Times New Roman" w:hAnsi="Times New Roman" w:cs="Times New Roman"/>
        </w:rPr>
        <w:t>n Law</w:t>
      </w:r>
      <w:r w:rsidRPr="00267098">
        <w:rPr>
          <w:rFonts w:ascii="Times New Roman" w:hAnsi="Times New Roman" w:cs="Times New Roman"/>
        </w:rPr>
        <w:t xml:space="preserve"> on Public Health </w:t>
      </w:r>
      <w:r w:rsidR="00133D9B" w:rsidRPr="00267098">
        <w:rPr>
          <w:rFonts w:ascii="Times New Roman" w:hAnsi="Times New Roman" w:cs="Times New Roman"/>
        </w:rPr>
        <w:t>defines the responsibility</w:t>
      </w:r>
      <w:r w:rsidRPr="00267098">
        <w:rPr>
          <w:rFonts w:ascii="Times New Roman" w:hAnsi="Times New Roman" w:cs="Times New Roman"/>
        </w:rPr>
        <w:t xml:space="preserve"> of the Ministry of Labor, Health and Social Affairs to </w:t>
      </w:r>
      <w:r w:rsidR="00133D9B" w:rsidRPr="00267098">
        <w:rPr>
          <w:rFonts w:ascii="Times New Roman" w:hAnsi="Times New Roman" w:cs="Times New Roman"/>
        </w:rPr>
        <w:t xml:space="preserve">guide development and </w:t>
      </w:r>
      <w:r w:rsidRPr="00267098">
        <w:rPr>
          <w:rFonts w:ascii="Times New Roman" w:hAnsi="Times New Roman" w:cs="Times New Roman"/>
        </w:rPr>
        <w:t>implementation of the</w:t>
      </w:r>
      <w:r w:rsidRPr="00EE7E38">
        <w:rPr>
          <w:rFonts w:ascii="Times New Roman" w:hAnsi="Times New Roman" w:cs="Times New Roman"/>
        </w:rPr>
        <w:t xml:space="preserve"> </w:t>
      </w:r>
      <w:r w:rsidR="00133D9B" w:rsidRPr="00EE7E38">
        <w:rPr>
          <w:rFonts w:ascii="Times New Roman" w:hAnsi="Times New Roman" w:cs="Times New Roman"/>
        </w:rPr>
        <w:t xml:space="preserve">National </w:t>
      </w:r>
      <w:r w:rsidRPr="00EE7E38">
        <w:rPr>
          <w:rFonts w:ascii="Times New Roman" w:hAnsi="Times New Roman" w:cs="Times New Roman"/>
        </w:rPr>
        <w:t>Strategy for Tuberculosis Prevention and Control.</w:t>
      </w:r>
    </w:p>
    <w:p w14:paraId="29CF4191" w14:textId="43D4475A" w:rsidR="007D6058" w:rsidRPr="00EE7E38" w:rsidRDefault="006E50D1" w:rsidP="002A4055">
      <w:pPr>
        <w:rPr>
          <w:rFonts w:ascii="Times New Roman" w:hAnsi="Times New Roman" w:cs="Times New Roman"/>
        </w:rPr>
      </w:pPr>
      <w:r w:rsidRPr="00EE7E38">
        <w:rPr>
          <w:rFonts w:ascii="Times New Roman" w:hAnsi="Times New Roman" w:cs="Times New Roman"/>
        </w:rPr>
        <w:t>In December of 2015, the Law of Georgia on Tuberculosis Control was enacted. The law defines basic principles of TB control</w:t>
      </w:r>
      <w:r w:rsidR="003C7975">
        <w:rPr>
          <w:rFonts w:ascii="Times New Roman" w:hAnsi="Times New Roman" w:cs="Times New Roman"/>
        </w:rPr>
        <w:t xml:space="preserve"> and</w:t>
      </w:r>
      <w:r w:rsidRPr="00EE7E38">
        <w:rPr>
          <w:rFonts w:ascii="Times New Roman" w:hAnsi="Times New Roman" w:cs="Times New Roman"/>
        </w:rPr>
        <w:t xml:space="preserve"> state obligations </w:t>
      </w:r>
      <w:r w:rsidR="00BE2A27" w:rsidRPr="00EE7E38">
        <w:rPr>
          <w:rFonts w:ascii="Times New Roman" w:hAnsi="Times New Roman" w:cs="Times New Roman"/>
        </w:rPr>
        <w:t>to provide</w:t>
      </w:r>
      <w:r w:rsidRPr="00EE7E38">
        <w:rPr>
          <w:rFonts w:ascii="Times New Roman" w:hAnsi="Times New Roman" w:cs="Times New Roman"/>
        </w:rPr>
        <w:t xml:space="preserve"> continuous access to </w:t>
      </w:r>
      <w:r w:rsidR="00BE2A27" w:rsidRPr="00EE7E38">
        <w:rPr>
          <w:rFonts w:ascii="Times New Roman" w:hAnsi="Times New Roman" w:cs="Times New Roman"/>
        </w:rPr>
        <w:t xml:space="preserve">diagnosis and </w:t>
      </w:r>
      <w:r w:rsidRPr="00EE7E38">
        <w:rPr>
          <w:rFonts w:ascii="Times New Roman" w:hAnsi="Times New Roman" w:cs="Times New Roman"/>
        </w:rPr>
        <w:t xml:space="preserve">treatment. </w:t>
      </w:r>
      <w:r w:rsidR="007D6058" w:rsidRPr="00EE7E38">
        <w:rPr>
          <w:rFonts w:ascii="Times New Roman" w:hAnsi="Times New Roman" w:cs="Times New Roman"/>
        </w:rPr>
        <w:lastRenderedPageBreak/>
        <w:t>Responsibilities of patients are also emphasized</w:t>
      </w:r>
      <w:r w:rsidR="003C7975">
        <w:rPr>
          <w:rFonts w:ascii="Times New Roman" w:hAnsi="Times New Roman" w:cs="Times New Roman"/>
        </w:rPr>
        <w:t>, as</w:t>
      </w:r>
      <w:r w:rsidR="003C7975" w:rsidRPr="00EE7E38">
        <w:rPr>
          <w:rFonts w:ascii="Times New Roman" w:hAnsi="Times New Roman" w:cs="Times New Roman"/>
        </w:rPr>
        <w:t xml:space="preserve"> compliance</w:t>
      </w:r>
      <w:r w:rsidR="007D6058" w:rsidRPr="00EE7E38">
        <w:rPr>
          <w:rFonts w:ascii="Times New Roman" w:hAnsi="Times New Roman" w:cs="Times New Roman"/>
        </w:rPr>
        <w:t xml:space="preserve"> with prescribed treatment regimen</w:t>
      </w:r>
      <w:r w:rsidR="003C7975">
        <w:rPr>
          <w:rFonts w:ascii="Times New Roman" w:hAnsi="Times New Roman" w:cs="Times New Roman"/>
        </w:rPr>
        <w:t>s</w:t>
      </w:r>
      <w:r w:rsidR="007D6058" w:rsidRPr="00EE7E38">
        <w:rPr>
          <w:rFonts w:ascii="Times New Roman" w:hAnsi="Times New Roman" w:cs="Times New Roman"/>
        </w:rPr>
        <w:t xml:space="preserve"> is critic</w:t>
      </w:r>
      <w:r w:rsidR="00D76EFC" w:rsidRPr="00EE7E38">
        <w:rPr>
          <w:rFonts w:ascii="Times New Roman" w:hAnsi="Times New Roman" w:cs="Times New Roman"/>
        </w:rPr>
        <w:t xml:space="preserve">al for public health purposes. </w:t>
      </w:r>
    </w:p>
    <w:p w14:paraId="0F131BF0" w14:textId="41C211A6" w:rsidR="006E50D1" w:rsidRPr="00EE7E38" w:rsidRDefault="006E50D1" w:rsidP="002A4055">
      <w:pPr>
        <w:rPr>
          <w:rFonts w:ascii="Times New Roman" w:hAnsi="Times New Roman" w:cs="Times New Roman"/>
        </w:rPr>
      </w:pPr>
      <w:r w:rsidRPr="00EE7E38">
        <w:rPr>
          <w:rFonts w:ascii="Times New Roman" w:hAnsi="Times New Roman" w:cs="Times New Roman"/>
        </w:rPr>
        <w:t xml:space="preserve">According to the Law of Georgia on State Budget, the amount of funding for </w:t>
      </w:r>
      <w:r w:rsidR="003C7975">
        <w:rPr>
          <w:rFonts w:ascii="Times New Roman" w:hAnsi="Times New Roman" w:cs="Times New Roman"/>
        </w:rPr>
        <w:t xml:space="preserve">the </w:t>
      </w:r>
      <w:r w:rsidRPr="00EE7E38">
        <w:rPr>
          <w:rFonts w:ascii="Times New Roman" w:hAnsi="Times New Roman" w:cs="Times New Roman"/>
        </w:rPr>
        <w:t xml:space="preserve">TB State Program </w:t>
      </w:r>
      <w:r w:rsidR="00BE2A27" w:rsidRPr="00EE7E38">
        <w:rPr>
          <w:rFonts w:ascii="Times New Roman" w:hAnsi="Times New Roman" w:cs="Times New Roman"/>
        </w:rPr>
        <w:t>is</w:t>
      </w:r>
      <w:r w:rsidRPr="00EE7E38">
        <w:rPr>
          <w:rFonts w:ascii="Times New Roman" w:hAnsi="Times New Roman" w:cs="Times New Roman"/>
        </w:rPr>
        <w:t xml:space="preserve"> determined annually for the diagnostic and </w:t>
      </w:r>
      <w:r w:rsidR="00D76EFC" w:rsidRPr="00EE7E38">
        <w:rPr>
          <w:rFonts w:ascii="Times New Roman" w:hAnsi="Times New Roman" w:cs="Times New Roman"/>
        </w:rPr>
        <w:t>treatment</w:t>
      </w:r>
      <w:r w:rsidRPr="00EE7E38">
        <w:rPr>
          <w:rFonts w:ascii="Times New Roman" w:hAnsi="Times New Roman" w:cs="Times New Roman"/>
        </w:rPr>
        <w:t xml:space="preserve"> services provided to high risk groups and people </w:t>
      </w:r>
      <w:r w:rsidR="00D76EFC" w:rsidRPr="00EE7E38">
        <w:rPr>
          <w:rFonts w:ascii="Times New Roman" w:hAnsi="Times New Roman" w:cs="Times New Roman"/>
        </w:rPr>
        <w:t>confirmed</w:t>
      </w:r>
      <w:r w:rsidRPr="00EE7E38">
        <w:rPr>
          <w:rFonts w:ascii="Times New Roman" w:hAnsi="Times New Roman" w:cs="Times New Roman"/>
        </w:rPr>
        <w:t xml:space="preserve"> </w:t>
      </w:r>
      <w:r w:rsidR="00D76EFC" w:rsidRPr="00EE7E38">
        <w:rPr>
          <w:rFonts w:ascii="Times New Roman" w:hAnsi="Times New Roman" w:cs="Times New Roman"/>
        </w:rPr>
        <w:t xml:space="preserve">with </w:t>
      </w:r>
      <w:r w:rsidR="003C7975">
        <w:rPr>
          <w:rFonts w:ascii="Times New Roman" w:hAnsi="Times New Roman" w:cs="Times New Roman"/>
        </w:rPr>
        <w:t>TB</w:t>
      </w:r>
      <w:r w:rsidRPr="00EE7E38">
        <w:rPr>
          <w:rFonts w:ascii="Times New Roman" w:hAnsi="Times New Roman" w:cs="Times New Roman"/>
        </w:rPr>
        <w:t>.</w:t>
      </w:r>
    </w:p>
    <w:p w14:paraId="6B238BDE" w14:textId="28230664" w:rsidR="006E50D1" w:rsidRPr="00EE7E38" w:rsidRDefault="002B56D2" w:rsidP="002B56D2">
      <w:pPr>
        <w:rPr>
          <w:rFonts w:ascii="Times New Roman" w:hAnsi="Times New Roman" w:cs="Times New Roman"/>
          <w:b/>
          <w:bCs/>
        </w:rPr>
      </w:pPr>
      <w:r w:rsidRPr="00EE7E38">
        <w:rPr>
          <w:rFonts w:ascii="Times New Roman" w:hAnsi="Times New Roman" w:cs="Times New Roman"/>
        </w:rPr>
        <w:t>The E</w:t>
      </w:r>
      <w:r w:rsidR="00054E4B">
        <w:rPr>
          <w:rFonts w:ascii="Times New Roman" w:hAnsi="Times New Roman" w:cs="Times New Roman"/>
        </w:rPr>
        <w:t xml:space="preserve">uropean </w:t>
      </w:r>
      <w:r w:rsidRPr="00EE7E38">
        <w:rPr>
          <w:rFonts w:ascii="Times New Roman" w:hAnsi="Times New Roman" w:cs="Times New Roman"/>
        </w:rPr>
        <w:t>U</w:t>
      </w:r>
      <w:r w:rsidR="00054E4B">
        <w:rPr>
          <w:rFonts w:ascii="Times New Roman" w:hAnsi="Times New Roman" w:cs="Times New Roman"/>
        </w:rPr>
        <w:t>nion (EU)</w:t>
      </w:r>
      <w:r w:rsidRPr="00EE7E38">
        <w:rPr>
          <w:rFonts w:ascii="Times New Roman" w:hAnsi="Times New Roman" w:cs="Times New Roman"/>
        </w:rPr>
        <w:t>-Georgia Association Agreement requires the country to improve control of communicable diseases</w:t>
      </w:r>
      <w:r w:rsidR="00054E4B">
        <w:rPr>
          <w:rFonts w:ascii="Times New Roman" w:hAnsi="Times New Roman" w:cs="Times New Roman"/>
        </w:rPr>
        <w:t>,</w:t>
      </w:r>
      <w:r w:rsidRPr="00EE7E38">
        <w:rPr>
          <w:rFonts w:ascii="Times New Roman" w:hAnsi="Times New Roman" w:cs="Times New Roman"/>
        </w:rPr>
        <w:t xml:space="preserve"> including TB. In order to </w:t>
      </w:r>
      <w:r w:rsidR="00054E4B">
        <w:rPr>
          <w:rFonts w:ascii="Times New Roman" w:hAnsi="Times New Roman" w:cs="Times New Roman"/>
        </w:rPr>
        <w:t>fulfill</w:t>
      </w:r>
      <w:r w:rsidRPr="00EE7E38">
        <w:rPr>
          <w:rFonts w:ascii="Times New Roman" w:hAnsi="Times New Roman" w:cs="Times New Roman"/>
        </w:rPr>
        <w:t xml:space="preserve"> these requirements</w:t>
      </w:r>
      <w:r w:rsidR="00054E4B">
        <w:rPr>
          <w:rFonts w:ascii="Times New Roman" w:hAnsi="Times New Roman" w:cs="Times New Roman"/>
        </w:rPr>
        <w:t>, the Government of Georgia</w:t>
      </w:r>
      <w:r w:rsidRPr="00EE7E38">
        <w:rPr>
          <w:rFonts w:ascii="Times New Roman" w:hAnsi="Times New Roman" w:cs="Times New Roman"/>
        </w:rPr>
        <w:t xml:space="preserve"> </w:t>
      </w:r>
      <w:r w:rsidR="00054E4B">
        <w:rPr>
          <w:rFonts w:ascii="Times New Roman" w:hAnsi="Times New Roman" w:cs="Times New Roman"/>
        </w:rPr>
        <w:t>(</w:t>
      </w:r>
      <w:proofErr w:type="spellStart"/>
      <w:r w:rsidRPr="00EE7E38">
        <w:rPr>
          <w:rFonts w:ascii="Times New Roman" w:hAnsi="Times New Roman" w:cs="Times New Roman"/>
        </w:rPr>
        <w:t>GoG</w:t>
      </w:r>
      <w:proofErr w:type="spellEnd"/>
      <w:r w:rsidR="00054E4B">
        <w:rPr>
          <w:rFonts w:ascii="Times New Roman" w:hAnsi="Times New Roman" w:cs="Times New Roman"/>
        </w:rPr>
        <w:t>)</w:t>
      </w:r>
      <w:r w:rsidRPr="00EE7E38">
        <w:rPr>
          <w:rFonts w:ascii="Times New Roman" w:hAnsi="Times New Roman" w:cs="Times New Roman"/>
        </w:rPr>
        <w:t xml:space="preserve"> will make additional efforts </w:t>
      </w:r>
      <w:r w:rsidR="00054E4B">
        <w:rPr>
          <w:rFonts w:ascii="Times New Roman" w:hAnsi="Times New Roman" w:cs="Times New Roman"/>
        </w:rPr>
        <w:t>to strengthen the</w:t>
      </w:r>
      <w:r w:rsidRPr="00EE7E38">
        <w:rPr>
          <w:rFonts w:ascii="Times New Roman" w:hAnsi="Times New Roman" w:cs="Times New Roman"/>
        </w:rPr>
        <w:t xml:space="preserve"> TB epidemiological surveillance system. </w:t>
      </w:r>
      <w:r w:rsidR="00054E4B">
        <w:rPr>
          <w:rFonts w:ascii="Times New Roman" w:hAnsi="Times New Roman" w:cs="Times New Roman"/>
        </w:rPr>
        <w:t xml:space="preserve">Antimicrobial resistance is a global threat, and </w:t>
      </w:r>
      <w:proofErr w:type="spellStart"/>
      <w:r w:rsidR="00054E4B">
        <w:rPr>
          <w:rFonts w:ascii="Times New Roman" w:hAnsi="Times New Roman" w:cs="Times New Roman"/>
        </w:rPr>
        <w:t>GoG</w:t>
      </w:r>
      <w:proofErr w:type="spellEnd"/>
      <w:r w:rsidR="00054E4B">
        <w:rPr>
          <w:rFonts w:ascii="Times New Roman" w:hAnsi="Times New Roman" w:cs="Times New Roman"/>
        </w:rPr>
        <w:t xml:space="preserve"> will consider its prevention as high priority. </w:t>
      </w:r>
      <w:r w:rsidRPr="00EE7E38">
        <w:rPr>
          <w:rFonts w:ascii="Times New Roman" w:hAnsi="Times New Roman" w:cs="Times New Roman"/>
        </w:rPr>
        <w:t>This plan, through effective and evidence</w:t>
      </w:r>
      <w:r w:rsidR="00054E4B">
        <w:rPr>
          <w:rFonts w:ascii="Times New Roman" w:hAnsi="Times New Roman" w:cs="Times New Roman"/>
        </w:rPr>
        <w:t>-</w:t>
      </w:r>
      <w:r w:rsidRPr="00EE7E38">
        <w:rPr>
          <w:rFonts w:ascii="Times New Roman" w:hAnsi="Times New Roman" w:cs="Times New Roman"/>
        </w:rPr>
        <w:t>based interventions will enable the country to make substantial progress towards End TB Strategy targe</w:t>
      </w:r>
      <w:r w:rsidR="00B25B2A" w:rsidRPr="00EE7E38">
        <w:rPr>
          <w:rFonts w:ascii="Times New Roman" w:hAnsi="Times New Roman" w:cs="Times New Roman"/>
        </w:rPr>
        <w:t>ts</w:t>
      </w:r>
      <w:r w:rsidR="00054E4B">
        <w:rPr>
          <w:rFonts w:ascii="Times New Roman" w:hAnsi="Times New Roman" w:cs="Times New Roman"/>
        </w:rPr>
        <w:t>,</w:t>
      </w:r>
      <w:r w:rsidR="00B25B2A" w:rsidRPr="00EE7E38">
        <w:rPr>
          <w:rStyle w:val="FootnoteReference"/>
          <w:rFonts w:ascii="Times New Roman" w:hAnsi="Times New Roman" w:cs="Times New Roman"/>
        </w:rPr>
        <w:footnoteReference w:id="2"/>
      </w:r>
      <w:r w:rsidR="00B25B2A" w:rsidRPr="00EE7E38">
        <w:rPr>
          <w:rFonts w:ascii="Times New Roman" w:hAnsi="Times New Roman" w:cs="Times New Roman"/>
        </w:rPr>
        <w:t xml:space="preserve"> </w:t>
      </w:r>
      <w:r w:rsidR="00054E4B">
        <w:rPr>
          <w:rFonts w:ascii="Times New Roman" w:hAnsi="Times New Roman" w:cs="Times New Roman"/>
        </w:rPr>
        <w:t>including</w:t>
      </w:r>
      <w:r w:rsidRPr="00EE7E38">
        <w:rPr>
          <w:rFonts w:ascii="Times New Roman" w:hAnsi="Times New Roman" w:cs="Times New Roman"/>
        </w:rPr>
        <w:t xml:space="preserve"> </w:t>
      </w:r>
      <w:r w:rsidR="00B25B2A" w:rsidRPr="00EE7E38">
        <w:rPr>
          <w:rFonts w:ascii="Times New Roman" w:hAnsi="Times New Roman" w:cs="Times New Roman"/>
        </w:rPr>
        <w:t>90% reduction in new TB cases and 80% reduction in mortality by 2030 compared to 2015.</w:t>
      </w:r>
    </w:p>
    <w:p w14:paraId="4DB9C101" w14:textId="77777777" w:rsidR="006E50D1" w:rsidRPr="00EE7E38" w:rsidRDefault="006E50D1" w:rsidP="00D76EFC">
      <w:pPr>
        <w:pStyle w:val="Heading2"/>
        <w:numPr>
          <w:ilvl w:val="1"/>
          <w:numId w:val="1"/>
        </w:numPr>
        <w:rPr>
          <w:rFonts w:ascii="Times New Roman" w:eastAsiaTheme="minorHAnsi" w:hAnsi="Times New Roman" w:cs="Times New Roman"/>
        </w:rPr>
      </w:pPr>
      <w:bookmarkStart w:id="6" w:name="_Toc517633161"/>
      <w:r w:rsidRPr="00EE7E38">
        <w:rPr>
          <w:rFonts w:ascii="Times New Roman" w:eastAsiaTheme="minorHAnsi" w:hAnsi="Times New Roman" w:cs="Times New Roman"/>
        </w:rPr>
        <w:t>Alignment wi</w:t>
      </w:r>
      <w:r w:rsidR="00815577" w:rsidRPr="00EE7E38">
        <w:rPr>
          <w:rFonts w:ascii="Times New Roman" w:eastAsiaTheme="minorHAnsi" w:hAnsi="Times New Roman" w:cs="Times New Roman"/>
        </w:rPr>
        <w:t xml:space="preserve">th the United Nations </w:t>
      </w:r>
      <w:r w:rsidRPr="00EE7E38">
        <w:rPr>
          <w:rFonts w:ascii="Times New Roman" w:eastAsiaTheme="minorHAnsi" w:hAnsi="Times New Roman" w:cs="Times New Roman"/>
        </w:rPr>
        <w:t>Sustainable Development Goals</w:t>
      </w:r>
      <w:bookmarkEnd w:id="6"/>
    </w:p>
    <w:p w14:paraId="057C6D11" w14:textId="6A1D001A" w:rsidR="006E50D1" w:rsidRPr="00EE7E38" w:rsidRDefault="00D76EFC" w:rsidP="002A4055">
      <w:pPr>
        <w:rPr>
          <w:rFonts w:ascii="Times New Roman" w:hAnsi="Times New Roman" w:cs="Times New Roman"/>
        </w:rPr>
      </w:pPr>
      <w:r w:rsidRPr="00EE7E38">
        <w:rPr>
          <w:rFonts w:ascii="Times New Roman" w:hAnsi="Times New Roman" w:cs="Times New Roman"/>
        </w:rPr>
        <w:t>The t</w:t>
      </w:r>
      <w:r w:rsidR="006E50D1" w:rsidRPr="00EE7E38">
        <w:rPr>
          <w:rFonts w:ascii="Times New Roman" w:hAnsi="Times New Roman" w:cs="Times New Roman"/>
        </w:rPr>
        <w:t xml:space="preserve">hird goal </w:t>
      </w:r>
      <w:r w:rsidR="004F4828" w:rsidRPr="00EE7E38">
        <w:rPr>
          <w:rFonts w:ascii="Times New Roman" w:hAnsi="Times New Roman" w:cs="Times New Roman"/>
        </w:rPr>
        <w:t xml:space="preserve">of the </w:t>
      </w:r>
      <w:r w:rsidR="00C7073D">
        <w:rPr>
          <w:rFonts w:ascii="Times New Roman" w:hAnsi="Times New Roman" w:cs="Times New Roman"/>
        </w:rPr>
        <w:t>UN</w:t>
      </w:r>
      <w:r w:rsidR="004F4828" w:rsidRPr="00EE7E38">
        <w:rPr>
          <w:rFonts w:ascii="Times New Roman" w:hAnsi="Times New Roman" w:cs="Times New Roman"/>
        </w:rPr>
        <w:t xml:space="preserve"> Sustainable</w:t>
      </w:r>
      <w:r w:rsidR="00B25B2A" w:rsidRPr="00EE7E38">
        <w:rPr>
          <w:rFonts w:ascii="Times New Roman" w:hAnsi="Times New Roman" w:cs="Times New Roman"/>
        </w:rPr>
        <w:t xml:space="preserve"> Development Strategy</w:t>
      </w:r>
      <w:r w:rsidR="00A7489E">
        <w:rPr>
          <w:rFonts w:ascii="Times New Roman" w:hAnsi="Times New Roman" w:cs="Times New Roman"/>
        </w:rPr>
        <w:t xml:space="preserve"> to</w:t>
      </w:r>
      <w:r w:rsidR="00B25B2A" w:rsidRPr="00EE7E38">
        <w:rPr>
          <w:rFonts w:ascii="Times New Roman" w:hAnsi="Times New Roman" w:cs="Times New Roman"/>
        </w:rPr>
        <w:t xml:space="preserve"> </w:t>
      </w:r>
      <w:r w:rsidR="00A7489E">
        <w:rPr>
          <w:rFonts w:ascii="Times New Roman" w:hAnsi="Times New Roman" w:cs="Times New Roman"/>
        </w:rPr>
        <w:t>“e</w:t>
      </w:r>
      <w:r w:rsidR="00B25B2A" w:rsidRPr="00EE7E38">
        <w:rPr>
          <w:rFonts w:ascii="Times New Roman" w:hAnsi="Times New Roman" w:cs="Times New Roman"/>
        </w:rPr>
        <w:t>nsure healthy lives and promote well-being for all at all ages”</w:t>
      </w:r>
      <w:r w:rsidR="006E50D1" w:rsidRPr="00EE7E38">
        <w:rPr>
          <w:rFonts w:ascii="Times New Roman" w:hAnsi="Times New Roman" w:cs="Times New Roman"/>
        </w:rPr>
        <w:t xml:space="preserve"> </w:t>
      </w:r>
      <w:r w:rsidR="004F4828" w:rsidRPr="00EE7E38">
        <w:rPr>
          <w:rFonts w:ascii="Times New Roman" w:hAnsi="Times New Roman" w:cs="Times New Roman"/>
        </w:rPr>
        <w:t>underscores</w:t>
      </w:r>
      <w:r w:rsidR="006E50D1" w:rsidRPr="00EE7E38">
        <w:rPr>
          <w:rFonts w:ascii="Times New Roman" w:hAnsi="Times New Roman" w:cs="Times New Roman"/>
        </w:rPr>
        <w:t xml:space="preserve"> the </w:t>
      </w:r>
      <w:r w:rsidR="004F4828" w:rsidRPr="00EE7E38">
        <w:rPr>
          <w:rFonts w:ascii="Times New Roman" w:hAnsi="Times New Roman" w:cs="Times New Roman"/>
        </w:rPr>
        <w:t>necessity</w:t>
      </w:r>
      <w:r w:rsidR="006E50D1" w:rsidRPr="00EE7E38">
        <w:rPr>
          <w:rFonts w:ascii="Times New Roman" w:hAnsi="Times New Roman" w:cs="Times New Roman"/>
        </w:rPr>
        <w:t xml:space="preserve"> </w:t>
      </w:r>
      <w:r w:rsidR="004F4828" w:rsidRPr="00EE7E38">
        <w:rPr>
          <w:rFonts w:ascii="Times New Roman" w:hAnsi="Times New Roman" w:cs="Times New Roman"/>
        </w:rPr>
        <w:t>of</w:t>
      </w:r>
      <w:r w:rsidR="006E50D1" w:rsidRPr="00EE7E38">
        <w:rPr>
          <w:rFonts w:ascii="Times New Roman" w:hAnsi="Times New Roman" w:cs="Times New Roman"/>
        </w:rPr>
        <w:t xml:space="preserve"> universal access to health care services </w:t>
      </w:r>
      <w:r w:rsidR="00A7489E">
        <w:rPr>
          <w:rFonts w:ascii="Times New Roman" w:hAnsi="Times New Roman" w:cs="Times New Roman"/>
        </w:rPr>
        <w:t>and decreasing the incidence and associated burden of priority diseases, including TB.</w:t>
      </w:r>
    </w:p>
    <w:p w14:paraId="1170E10C" w14:textId="40A6D725" w:rsidR="00B25B2A" w:rsidRPr="00EE7E38" w:rsidRDefault="00B25B2A" w:rsidP="002A4055">
      <w:pPr>
        <w:rPr>
          <w:rFonts w:ascii="Times New Roman" w:hAnsi="Times New Roman" w:cs="Times New Roman"/>
          <w:b/>
          <w:bCs/>
        </w:rPr>
      </w:pPr>
      <w:r w:rsidRPr="00EE7E38">
        <w:rPr>
          <w:rFonts w:ascii="Times New Roman" w:hAnsi="Times New Roman" w:cs="Times New Roman"/>
        </w:rPr>
        <w:t xml:space="preserve">Providing universal access to health services has been a top priority for the Government. In the context of </w:t>
      </w:r>
      <w:r w:rsidR="00D43D9A">
        <w:rPr>
          <w:rFonts w:ascii="Times New Roman" w:hAnsi="Times New Roman" w:cs="Times New Roman"/>
        </w:rPr>
        <w:t xml:space="preserve">the </w:t>
      </w:r>
      <w:r w:rsidRPr="00EE7E38">
        <w:rPr>
          <w:rFonts w:ascii="Times New Roman" w:hAnsi="Times New Roman" w:cs="Times New Roman"/>
        </w:rPr>
        <w:t xml:space="preserve">anticipated transition from donor funding, this plan will guide the government actions towards sustainable financing of TB services for improved access and coverage. Health systems will be strengthened and innovative tools and solutions introduced to improve efficiency of the system and make it patient-centered </w:t>
      </w:r>
      <w:r w:rsidR="00A7489E">
        <w:rPr>
          <w:rFonts w:ascii="Times New Roman" w:hAnsi="Times New Roman" w:cs="Times New Roman"/>
        </w:rPr>
        <w:t>in order to</w:t>
      </w:r>
      <w:r w:rsidRPr="00EE7E38">
        <w:rPr>
          <w:rFonts w:ascii="Times New Roman" w:hAnsi="Times New Roman" w:cs="Times New Roman"/>
        </w:rPr>
        <w:t xml:space="preserve"> comprehensively meet diverse healthcare needs across the TB care continuum from prevention to cure. </w:t>
      </w:r>
    </w:p>
    <w:p w14:paraId="327641DB" w14:textId="3BDA785B" w:rsidR="0071773E" w:rsidRPr="00EE7E38" w:rsidRDefault="00B04B73" w:rsidP="006E50D1">
      <w:pPr>
        <w:pStyle w:val="Heading2"/>
        <w:rPr>
          <w:rFonts w:ascii="Times New Roman" w:hAnsi="Times New Roman" w:cs="Times New Roman"/>
        </w:rPr>
      </w:pPr>
      <w:bookmarkStart w:id="7" w:name="_Toc517633162"/>
      <w:r w:rsidRPr="00EE7E38">
        <w:rPr>
          <w:rFonts w:ascii="Times New Roman" w:hAnsi="Times New Roman" w:cs="Times New Roman"/>
        </w:rPr>
        <w:t xml:space="preserve">1.3 </w:t>
      </w:r>
      <w:r w:rsidR="0071773E" w:rsidRPr="00EE7E38">
        <w:rPr>
          <w:rFonts w:ascii="Times New Roman" w:hAnsi="Times New Roman" w:cs="Times New Roman"/>
        </w:rPr>
        <w:t xml:space="preserve">The burden of </w:t>
      </w:r>
      <w:r w:rsidR="00A7489E">
        <w:rPr>
          <w:rFonts w:ascii="Times New Roman" w:hAnsi="Times New Roman" w:cs="Times New Roman"/>
        </w:rPr>
        <w:t>TB</w:t>
      </w:r>
      <w:r w:rsidR="00A7489E" w:rsidRPr="00EE7E38">
        <w:rPr>
          <w:rFonts w:ascii="Times New Roman" w:hAnsi="Times New Roman" w:cs="Times New Roman"/>
        </w:rPr>
        <w:t xml:space="preserve"> </w:t>
      </w:r>
      <w:r w:rsidR="0071773E" w:rsidRPr="00EE7E38">
        <w:rPr>
          <w:rFonts w:ascii="Times New Roman" w:hAnsi="Times New Roman" w:cs="Times New Roman"/>
        </w:rPr>
        <w:t>in Georgia</w:t>
      </w:r>
      <w:bookmarkEnd w:id="4"/>
      <w:bookmarkEnd w:id="7"/>
    </w:p>
    <w:p w14:paraId="7DC946BF" w14:textId="77777777" w:rsidR="00C57DD7" w:rsidRPr="00EE7E38" w:rsidRDefault="00F70A8E" w:rsidP="00B241D0">
      <w:pPr>
        <w:widowControl w:val="0"/>
        <w:jc w:val="both"/>
        <w:rPr>
          <w:rFonts w:ascii="Times New Roman" w:hAnsi="Times New Roman" w:cs="Times New Roman"/>
        </w:rPr>
      </w:pPr>
      <w:proofErr w:type="gramStart"/>
      <w:r w:rsidRPr="00EE7E38">
        <w:rPr>
          <w:rFonts w:ascii="Times New Roman" w:hAnsi="Times New Roman" w:cs="Times New Roman"/>
          <w:b/>
          <w:bCs/>
          <w:i/>
        </w:rPr>
        <w:t>General information</w:t>
      </w:r>
      <w:r w:rsidR="00AF4B49" w:rsidRPr="00EE7E38">
        <w:rPr>
          <w:rFonts w:ascii="Times New Roman" w:hAnsi="Times New Roman" w:cs="Times New Roman"/>
          <w:b/>
          <w:bCs/>
          <w:i/>
        </w:rPr>
        <w:t>.</w:t>
      </w:r>
      <w:proofErr w:type="gramEnd"/>
      <w:r w:rsidR="00B04B73" w:rsidRPr="00EE7E38">
        <w:rPr>
          <w:rFonts w:ascii="Times New Roman" w:hAnsi="Times New Roman" w:cs="Times New Roman"/>
          <w:b/>
          <w:bCs/>
          <w:i/>
        </w:rPr>
        <w:t xml:space="preserve">  </w:t>
      </w:r>
      <w:r w:rsidRPr="00EE7E38">
        <w:rPr>
          <w:rFonts w:ascii="Times New Roman" w:hAnsi="Times New Roman" w:cs="Times New Roman"/>
        </w:rPr>
        <w:t>At the beginning of 201</w:t>
      </w:r>
      <w:r w:rsidR="00A67683" w:rsidRPr="00EE7E38">
        <w:rPr>
          <w:rFonts w:ascii="Times New Roman" w:hAnsi="Times New Roman" w:cs="Times New Roman"/>
        </w:rPr>
        <w:t xml:space="preserve">5, the population of Georgia </w:t>
      </w:r>
      <w:r w:rsidRPr="00EE7E38">
        <w:rPr>
          <w:rFonts w:ascii="Times New Roman" w:hAnsi="Times New Roman" w:cs="Times New Roman"/>
        </w:rPr>
        <w:t xml:space="preserve">was </w:t>
      </w:r>
      <w:r w:rsidR="00A67683" w:rsidRPr="00EE7E38">
        <w:rPr>
          <w:rFonts w:ascii="Times New Roman" w:hAnsi="Times New Roman" w:cs="Times New Roman"/>
        </w:rPr>
        <w:t>3.73</w:t>
      </w:r>
      <w:r w:rsidRPr="00EE7E38">
        <w:rPr>
          <w:rFonts w:ascii="Times New Roman" w:hAnsi="Times New Roman" w:cs="Times New Roman"/>
        </w:rPr>
        <w:t xml:space="preserve"> million</w:t>
      </w:r>
      <w:r w:rsidR="00522562" w:rsidRPr="00EE7E38">
        <w:rPr>
          <w:rStyle w:val="FootnoteReference"/>
          <w:rFonts w:ascii="Times New Roman" w:hAnsi="Times New Roman" w:cs="Times New Roman"/>
        </w:rPr>
        <w:footnoteReference w:id="3"/>
      </w:r>
      <w:r w:rsidRPr="00EE7E38">
        <w:rPr>
          <w:rFonts w:ascii="Times New Roman" w:hAnsi="Times New Roman" w:cs="Times New Roman"/>
        </w:rPr>
        <w:t xml:space="preserve">, with </w:t>
      </w:r>
      <w:r w:rsidR="00A67683" w:rsidRPr="00EE7E38">
        <w:rPr>
          <w:rFonts w:ascii="Times New Roman" w:hAnsi="Times New Roman" w:cs="Times New Roman"/>
        </w:rPr>
        <w:t xml:space="preserve">57.4% </w:t>
      </w:r>
      <w:r w:rsidRPr="00EE7E38">
        <w:rPr>
          <w:rFonts w:ascii="Times New Roman" w:hAnsi="Times New Roman" w:cs="Times New Roman"/>
        </w:rPr>
        <w:t xml:space="preserve">of the total population </w:t>
      </w:r>
      <w:r w:rsidR="00A67683" w:rsidRPr="00EE7E38">
        <w:rPr>
          <w:rFonts w:ascii="Times New Roman" w:hAnsi="Times New Roman" w:cs="Times New Roman"/>
        </w:rPr>
        <w:t xml:space="preserve">residing </w:t>
      </w:r>
      <w:r w:rsidRPr="00EE7E38">
        <w:rPr>
          <w:rFonts w:ascii="Times New Roman" w:hAnsi="Times New Roman" w:cs="Times New Roman"/>
        </w:rPr>
        <w:t xml:space="preserve">in </w:t>
      </w:r>
      <w:r w:rsidR="00A67683" w:rsidRPr="00EE7E38">
        <w:rPr>
          <w:rFonts w:ascii="Times New Roman" w:hAnsi="Times New Roman" w:cs="Times New Roman"/>
        </w:rPr>
        <w:t xml:space="preserve">urban </w:t>
      </w:r>
      <w:r w:rsidRPr="00EE7E38">
        <w:rPr>
          <w:rFonts w:ascii="Times New Roman" w:hAnsi="Times New Roman" w:cs="Times New Roman"/>
        </w:rPr>
        <w:t>areas</w:t>
      </w:r>
      <w:r w:rsidR="00A67683" w:rsidRPr="00EE7E38">
        <w:rPr>
          <w:rFonts w:ascii="Times New Roman" w:hAnsi="Times New Roman" w:cs="Times New Roman"/>
          <w:vertAlign w:val="superscript"/>
        </w:rPr>
        <w:footnoteReference w:id="4"/>
      </w:r>
      <w:r w:rsidRPr="00EE7E38">
        <w:rPr>
          <w:rFonts w:ascii="Times New Roman" w:hAnsi="Times New Roman" w:cs="Times New Roman"/>
        </w:rPr>
        <w:t xml:space="preserve">. </w:t>
      </w:r>
      <w:r w:rsidR="006D23C9" w:rsidRPr="00EE7E38">
        <w:rPr>
          <w:rFonts w:ascii="Times New Roman" w:hAnsi="Times New Roman" w:cs="Times New Roman"/>
        </w:rPr>
        <w:t xml:space="preserve">According to the World Bank, the country’s economy registered an average 5.5% annual growth during the last five years; the estimated gross national income (GNI) was USD 3,560 per capita in 2013, while about 15% </w:t>
      </w:r>
      <w:r w:rsidR="00815577" w:rsidRPr="00EE7E38">
        <w:rPr>
          <w:rFonts w:ascii="Times New Roman" w:hAnsi="Times New Roman" w:cs="Times New Roman"/>
        </w:rPr>
        <w:t xml:space="preserve"> </w:t>
      </w:r>
      <w:r w:rsidR="006D23C9" w:rsidRPr="00EE7E38">
        <w:rPr>
          <w:rFonts w:ascii="Times New Roman" w:hAnsi="Times New Roman" w:cs="Times New Roman"/>
        </w:rPr>
        <w:t>of the population live below national poverty line</w:t>
      </w:r>
      <w:r w:rsidR="006D23C9" w:rsidRPr="00EE7E38">
        <w:rPr>
          <w:rFonts w:ascii="Times New Roman" w:hAnsi="Times New Roman" w:cs="Times New Roman"/>
          <w:vertAlign w:val="superscript"/>
        </w:rPr>
        <w:footnoteReference w:id="5"/>
      </w:r>
      <w:r w:rsidR="006D23C9" w:rsidRPr="00EE7E38">
        <w:rPr>
          <w:rFonts w:ascii="Times New Roman" w:hAnsi="Times New Roman" w:cs="Times New Roman"/>
        </w:rPr>
        <w:t>.</w:t>
      </w:r>
    </w:p>
    <w:p w14:paraId="3B5E995E" w14:textId="1A396095" w:rsidR="00F70A8E"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bCs/>
          <w:i/>
        </w:rPr>
        <w:t>TB estimates and notifications</w:t>
      </w:r>
      <w:r w:rsidR="00AF4B49" w:rsidRPr="00EE7E38">
        <w:rPr>
          <w:rFonts w:ascii="Times New Roman" w:hAnsi="Times New Roman" w:cs="Times New Roman"/>
          <w:b/>
          <w:bCs/>
          <w:i/>
        </w:rPr>
        <w:t>.</w:t>
      </w:r>
      <w:r w:rsidR="00D43D9A">
        <w:rPr>
          <w:rFonts w:ascii="Times New Roman" w:hAnsi="Times New Roman" w:cs="Times New Roman"/>
          <w:b/>
          <w:bCs/>
          <w:i/>
        </w:rPr>
        <w:t xml:space="preserve"> </w:t>
      </w:r>
      <w:r w:rsidR="00815577" w:rsidRPr="00EE7E38">
        <w:rPr>
          <w:rFonts w:ascii="Times New Roman" w:hAnsi="Times New Roman" w:cs="Times New Roman"/>
        </w:rPr>
        <w:t>Despite si</w:t>
      </w:r>
      <w:r w:rsidR="00FB430F" w:rsidRPr="00EE7E38">
        <w:rPr>
          <w:rFonts w:ascii="Times New Roman" w:hAnsi="Times New Roman" w:cs="Times New Roman"/>
        </w:rPr>
        <w:t>gnificant progress achieved in recent years</w:t>
      </w:r>
      <w:r w:rsidR="00A7489E">
        <w:rPr>
          <w:rFonts w:ascii="Times New Roman" w:hAnsi="Times New Roman" w:cs="Times New Roman"/>
        </w:rPr>
        <w:t>, the</w:t>
      </w:r>
      <w:r w:rsidR="00FB430F" w:rsidRPr="00EE7E38">
        <w:rPr>
          <w:rFonts w:ascii="Times New Roman" w:hAnsi="Times New Roman" w:cs="Times New Roman"/>
          <w:b/>
          <w:bCs/>
          <w:i/>
        </w:rPr>
        <w:t xml:space="preserve"> </w:t>
      </w:r>
      <w:r w:rsidR="00FB430F" w:rsidRPr="00EE7E38">
        <w:rPr>
          <w:rFonts w:ascii="Times New Roman" w:hAnsi="Times New Roman" w:cs="Times New Roman"/>
        </w:rPr>
        <w:t xml:space="preserve">burden of </w:t>
      </w:r>
      <w:r w:rsidR="00A7489E">
        <w:rPr>
          <w:rFonts w:ascii="Times New Roman" w:hAnsi="Times New Roman" w:cs="Times New Roman"/>
        </w:rPr>
        <w:t>TB</w:t>
      </w:r>
      <w:r w:rsidR="00FB430F" w:rsidRPr="00EE7E38">
        <w:rPr>
          <w:rFonts w:ascii="Times New Roman" w:hAnsi="Times New Roman" w:cs="Times New Roman"/>
        </w:rPr>
        <w:t>, especially its drug-resistant form</w:t>
      </w:r>
      <w:r w:rsidR="00517F21" w:rsidRPr="00EE7E38">
        <w:rPr>
          <w:rFonts w:ascii="Times New Roman" w:hAnsi="Times New Roman" w:cs="Times New Roman"/>
        </w:rPr>
        <w:t>s</w:t>
      </w:r>
      <w:r w:rsidR="00A7489E">
        <w:rPr>
          <w:rFonts w:ascii="Times New Roman" w:hAnsi="Times New Roman" w:cs="Times New Roman"/>
        </w:rPr>
        <w:t>,</w:t>
      </w:r>
      <w:r w:rsidRPr="00EE7E38">
        <w:rPr>
          <w:rFonts w:ascii="Times New Roman" w:hAnsi="Times New Roman" w:cs="Times New Roman"/>
        </w:rPr>
        <w:t xml:space="preserve"> remains high in </w:t>
      </w:r>
      <w:r w:rsidR="006D23C9" w:rsidRPr="00EE7E38">
        <w:rPr>
          <w:rFonts w:ascii="Times New Roman" w:hAnsi="Times New Roman" w:cs="Times New Roman"/>
        </w:rPr>
        <w:t>Georgia</w:t>
      </w:r>
      <w:r w:rsidRPr="00EE7E38">
        <w:rPr>
          <w:rFonts w:ascii="Times New Roman" w:hAnsi="Times New Roman" w:cs="Times New Roman"/>
        </w:rPr>
        <w:t xml:space="preserve">. According to </w:t>
      </w:r>
      <w:r w:rsidR="00A7489E">
        <w:rPr>
          <w:rFonts w:ascii="Times New Roman" w:hAnsi="Times New Roman" w:cs="Times New Roman"/>
        </w:rPr>
        <w:t>the World Health Organization (</w:t>
      </w:r>
      <w:r w:rsidRPr="00EE7E38">
        <w:rPr>
          <w:rFonts w:ascii="Times New Roman" w:hAnsi="Times New Roman" w:cs="Times New Roman"/>
        </w:rPr>
        <w:t>WHO</w:t>
      </w:r>
      <w:r w:rsidR="00A7489E">
        <w:rPr>
          <w:rFonts w:ascii="Times New Roman" w:hAnsi="Times New Roman" w:cs="Times New Roman"/>
        </w:rPr>
        <w:t>)</w:t>
      </w:r>
      <w:r w:rsidRPr="00EE7E38">
        <w:rPr>
          <w:rFonts w:ascii="Times New Roman" w:hAnsi="Times New Roman" w:cs="Times New Roman"/>
        </w:rPr>
        <w:t xml:space="preserve">, the </w:t>
      </w:r>
      <w:r w:rsidR="006D23C9" w:rsidRPr="00EE7E38">
        <w:rPr>
          <w:rFonts w:ascii="Times New Roman" w:hAnsi="Times New Roman" w:cs="Times New Roman"/>
        </w:rPr>
        <w:t xml:space="preserve">latest </w:t>
      </w:r>
      <w:r w:rsidRPr="00EE7E38">
        <w:rPr>
          <w:rFonts w:ascii="Times New Roman" w:hAnsi="Times New Roman" w:cs="Times New Roman"/>
        </w:rPr>
        <w:t xml:space="preserve">estimated TB incidence was </w:t>
      </w:r>
      <w:r w:rsidR="00FB430F" w:rsidRPr="00EE7E38">
        <w:rPr>
          <w:rFonts w:ascii="Times New Roman" w:hAnsi="Times New Roman" w:cs="Times New Roman"/>
        </w:rPr>
        <w:t>92</w:t>
      </w:r>
      <w:r w:rsidRPr="00EE7E38">
        <w:rPr>
          <w:rFonts w:ascii="Times New Roman" w:hAnsi="Times New Roman" w:cs="Times New Roman"/>
        </w:rPr>
        <w:t xml:space="preserve"> per 100,000 population </w:t>
      </w:r>
      <w:r w:rsidR="006D23C9" w:rsidRPr="00EE7E38">
        <w:rPr>
          <w:rFonts w:ascii="Times New Roman" w:hAnsi="Times New Roman" w:cs="Times New Roman"/>
        </w:rPr>
        <w:t xml:space="preserve">(for </w:t>
      </w:r>
      <w:r w:rsidRPr="00EE7E38">
        <w:rPr>
          <w:rFonts w:ascii="Times New Roman" w:hAnsi="Times New Roman" w:cs="Times New Roman"/>
        </w:rPr>
        <w:t>201</w:t>
      </w:r>
      <w:r w:rsidR="00FB430F" w:rsidRPr="00EE7E38">
        <w:rPr>
          <w:rFonts w:ascii="Times New Roman" w:hAnsi="Times New Roman" w:cs="Times New Roman"/>
        </w:rPr>
        <w:t>6</w:t>
      </w:r>
      <w:r w:rsidRPr="00EE7E38">
        <w:rPr>
          <w:rFonts w:ascii="Times New Roman" w:hAnsi="Times New Roman" w:cs="Times New Roman"/>
          <w:vertAlign w:val="superscript"/>
        </w:rPr>
        <w:footnoteReference w:id="6"/>
      </w:r>
      <w:r w:rsidR="006D23C9" w:rsidRPr="00EE7E38">
        <w:rPr>
          <w:rFonts w:ascii="Times New Roman" w:hAnsi="Times New Roman" w:cs="Times New Roman"/>
        </w:rPr>
        <w:t>)</w:t>
      </w:r>
      <w:r w:rsidRPr="00EE7E38">
        <w:rPr>
          <w:rFonts w:ascii="Times New Roman" w:hAnsi="Times New Roman" w:cs="Times New Roman"/>
        </w:rPr>
        <w:t xml:space="preserve">, which is </w:t>
      </w:r>
      <w:r w:rsidR="00E66AFE">
        <w:rPr>
          <w:rFonts w:ascii="Times New Roman" w:hAnsi="Times New Roman" w:cs="Times New Roman"/>
        </w:rPr>
        <w:t>substantially</w:t>
      </w:r>
      <w:r w:rsidR="00FB430F" w:rsidRPr="00EE7E38">
        <w:rPr>
          <w:rFonts w:ascii="Times New Roman" w:hAnsi="Times New Roman" w:cs="Times New Roman"/>
        </w:rPr>
        <w:t xml:space="preserve"> </w:t>
      </w:r>
      <w:r w:rsidR="00A7489E">
        <w:rPr>
          <w:rFonts w:ascii="Times New Roman" w:hAnsi="Times New Roman" w:cs="Times New Roman"/>
        </w:rPr>
        <w:t xml:space="preserve">higher </w:t>
      </w:r>
      <w:r w:rsidR="00D43D9A">
        <w:rPr>
          <w:rFonts w:ascii="Times New Roman" w:hAnsi="Times New Roman" w:cs="Times New Roman"/>
        </w:rPr>
        <w:t>than average for</w:t>
      </w:r>
      <w:r w:rsidRPr="00EE7E38">
        <w:rPr>
          <w:rFonts w:ascii="Times New Roman" w:hAnsi="Times New Roman" w:cs="Times New Roman"/>
        </w:rPr>
        <w:t xml:space="preserve"> the WHO European Region. The estimated 201</w:t>
      </w:r>
      <w:r w:rsidR="00FB430F" w:rsidRPr="00EE7E38">
        <w:rPr>
          <w:rFonts w:ascii="Times New Roman" w:hAnsi="Times New Roman" w:cs="Times New Roman"/>
        </w:rPr>
        <w:t>6</w:t>
      </w:r>
      <w:r w:rsidR="008D6D4B" w:rsidRPr="00EE7E38">
        <w:rPr>
          <w:rFonts w:ascii="Times New Roman" w:hAnsi="Times New Roman" w:cs="Times New Roman"/>
        </w:rPr>
        <w:t xml:space="preserve"> mortality rate was</w:t>
      </w:r>
      <w:r w:rsidR="00FB430F" w:rsidRPr="00EE7E38">
        <w:rPr>
          <w:rFonts w:ascii="Times New Roman" w:hAnsi="Times New Roman" w:cs="Times New Roman"/>
        </w:rPr>
        <w:t xml:space="preserve"> 4.8</w:t>
      </w:r>
      <w:r w:rsidRPr="00EE7E38">
        <w:rPr>
          <w:rFonts w:ascii="Times New Roman" w:hAnsi="Times New Roman" w:cs="Times New Roman"/>
        </w:rPr>
        <w:t xml:space="preserve"> per 100,000 </w:t>
      </w:r>
      <w:proofErr w:type="gramStart"/>
      <w:r w:rsidRPr="00EE7E38">
        <w:rPr>
          <w:rFonts w:ascii="Times New Roman" w:hAnsi="Times New Roman" w:cs="Times New Roman"/>
        </w:rPr>
        <w:t>population</w:t>
      </w:r>
      <w:proofErr w:type="gramEnd"/>
      <w:r w:rsidRPr="00EE7E38">
        <w:rPr>
          <w:rFonts w:ascii="Times New Roman" w:hAnsi="Times New Roman" w:cs="Times New Roman"/>
        </w:rPr>
        <w:t xml:space="preserve"> (excluding TB/HIV cases). </w:t>
      </w:r>
    </w:p>
    <w:p w14:paraId="372E7122" w14:textId="08289829" w:rsidR="001E2300"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According to the</w:t>
      </w:r>
      <w:r w:rsidR="00A7489E">
        <w:rPr>
          <w:rFonts w:ascii="Times New Roman" w:hAnsi="Times New Roman" w:cs="Times New Roman"/>
        </w:rPr>
        <w:t xml:space="preserve"> National TB Program</w:t>
      </w:r>
      <w:r w:rsidRPr="00EE7E38">
        <w:rPr>
          <w:rFonts w:ascii="Times New Roman" w:hAnsi="Times New Roman" w:cs="Times New Roman"/>
        </w:rPr>
        <w:t xml:space="preserve"> </w:t>
      </w:r>
      <w:r w:rsidR="00A7489E">
        <w:rPr>
          <w:rFonts w:ascii="Times New Roman" w:hAnsi="Times New Roman" w:cs="Times New Roman"/>
        </w:rPr>
        <w:t>(</w:t>
      </w:r>
      <w:r w:rsidRPr="00EE7E38">
        <w:rPr>
          <w:rFonts w:ascii="Times New Roman" w:hAnsi="Times New Roman" w:cs="Times New Roman"/>
        </w:rPr>
        <w:t>NTP</w:t>
      </w:r>
      <w:r w:rsidR="00A7489E">
        <w:rPr>
          <w:rFonts w:ascii="Times New Roman" w:hAnsi="Times New Roman" w:cs="Times New Roman"/>
        </w:rPr>
        <w:t>)</w:t>
      </w:r>
      <w:r w:rsidRPr="00EE7E38">
        <w:rPr>
          <w:rFonts w:ascii="Times New Roman" w:hAnsi="Times New Roman" w:cs="Times New Roman"/>
        </w:rPr>
        <w:t xml:space="preserve"> notifications data, a total of </w:t>
      </w:r>
      <w:r w:rsidR="009204DC" w:rsidRPr="00EE7E38">
        <w:rPr>
          <w:rFonts w:ascii="Times New Roman" w:hAnsi="Times New Roman" w:cs="Times New Roman"/>
        </w:rPr>
        <w:t>3</w:t>
      </w:r>
      <w:r w:rsidRPr="00EE7E38">
        <w:rPr>
          <w:rFonts w:ascii="Times New Roman" w:hAnsi="Times New Roman" w:cs="Times New Roman"/>
        </w:rPr>
        <w:t>,</w:t>
      </w:r>
      <w:r w:rsidR="00FB430F" w:rsidRPr="00EE7E38">
        <w:rPr>
          <w:rFonts w:ascii="Times New Roman" w:hAnsi="Times New Roman" w:cs="Times New Roman"/>
        </w:rPr>
        <w:t>332</w:t>
      </w:r>
      <w:r w:rsidR="00A7489E">
        <w:rPr>
          <w:rFonts w:ascii="Times New Roman" w:hAnsi="Times New Roman" w:cs="Times New Roman"/>
        </w:rPr>
        <w:t xml:space="preserve"> </w:t>
      </w:r>
      <w:r w:rsidRPr="00EE7E38">
        <w:rPr>
          <w:rFonts w:ascii="Times New Roman" w:hAnsi="Times New Roman" w:cs="Times New Roman"/>
        </w:rPr>
        <w:t>TB cases, all forms, were registered in the country in 201</w:t>
      </w:r>
      <w:r w:rsidR="00FB430F" w:rsidRPr="00EE7E38">
        <w:rPr>
          <w:rFonts w:ascii="Times New Roman" w:hAnsi="Times New Roman" w:cs="Times New Roman"/>
        </w:rPr>
        <w:t>6</w:t>
      </w:r>
      <w:r w:rsidRPr="00EE7E38">
        <w:rPr>
          <w:rFonts w:ascii="Times New Roman" w:hAnsi="Times New Roman" w:cs="Times New Roman"/>
        </w:rPr>
        <w:t xml:space="preserve"> (including </w:t>
      </w:r>
      <w:r w:rsidR="00A7489E">
        <w:rPr>
          <w:rFonts w:ascii="Times New Roman" w:hAnsi="Times New Roman" w:cs="Times New Roman"/>
        </w:rPr>
        <w:t xml:space="preserve">in the </w:t>
      </w:r>
      <w:r w:rsidRPr="00EE7E38">
        <w:rPr>
          <w:rFonts w:ascii="Times New Roman" w:hAnsi="Times New Roman" w:cs="Times New Roman"/>
        </w:rPr>
        <w:t xml:space="preserve">penitentiary sector), </w:t>
      </w:r>
      <w:r w:rsidR="00A7489E">
        <w:rPr>
          <w:rFonts w:ascii="Times New Roman" w:hAnsi="Times New Roman" w:cs="Times New Roman"/>
        </w:rPr>
        <w:t>for a rate of</w:t>
      </w:r>
      <w:r w:rsidR="00A7489E" w:rsidRPr="00EE7E38">
        <w:rPr>
          <w:rFonts w:ascii="Times New Roman" w:hAnsi="Times New Roman" w:cs="Times New Roman"/>
        </w:rPr>
        <w:t xml:space="preserve"> </w:t>
      </w:r>
      <w:r w:rsidR="00D94ED6" w:rsidRPr="00EE7E38">
        <w:rPr>
          <w:rFonts w:ascii="Times New Roman" w:hAnsi="Times New Roman" w:cs="Times New Roman"/>
        </w:rPr>
        <w:t>89.6</w:t>
      </w:r>
      <w:r w:rsidRPr="00EE7E38">
        <w:rPr>
          <w:rFonts w:ascii="Times New Roman" w:hAnsi="Times New Roman" w:cs="Times New Roman"/>
        </w:rPr>
        <w:t xml:space="preserve"> per 100,000 population</w:t>
      </w:r>
      <w:r w:rsidR="00A7489E">
        <w:rPr>
          <w:rFonts w:ascii="Times New Roman" w:hAnsi="Times New Roman" w:cs="Times New Roman"/>
        </w:rPr>
        <w:t>.</w:t>
      </w:r>
      <w:r w:rsidRPr="00EE7E38">
        <w:rPr>
          <w:rFonts w:ascii="Times New Roman" w:hAnsi="Times New Roman" w:cs="Times New Roman"/>
        </w:rPr>
        <w:t xml:space="preserve"> </w:t>
      </w:r>
      <w:r w:rsidR="00A7489E">
        <w:rPr>
          <w:rFonts w:ascii="Times New Roman" w:hAnsi="Times New Roman" w:cs="Times New Roman"/>
        </w:rPr>
        <w:t>O</w:t>
      </w:r>
      <w:r w:rsidRPr="00EE7E38">
        <w:rPr>
          <w:rFonts w:ascii="Times New Roman" w:hAnsi="Times New Roman" w:cs="Times New Roman"/>
        </w:rPr>
        <w:t xml:space="preserve">ut of these, </w:t>
      </w:r>
      <w:r w:rsidR="001E2300" w:rsidRPr="00EE7E38">
        <w:rPr>
          <w:rFonts w:ascii="Times New Roman" w:hAnsi="Times New Roman" w:cs="Times New Roman"/>
        </w:rPr>
        <w:t>2</w:t>
      </w:r>
      <w:r w:rsidRPr="00EE7E38">
        <w:rPr>
          <w:rFonts w:ascii="Times New Roman" w:hAnsi="Times New Roman" w:cs="Times New Roman"/>
        </w:rPr>
        <w:t>,</w:t>
      </w:r>
      <w:r w:rsidR="00D94ED6" w:rsidRPr="00EE7E38">
        <w:rPr>
          <w:rFonts w:ascii="Times New Roman" w:hAnsi="Times New Roman" w:cs="Times New Roman"/>
        </w:rPr>
        <w:t>465</w:t>
      </w:r>
      <w:r w:rsidR="001E2300" w:rsidRPr="00EE7E38">
        <w:rPr>
          <w:rFonts w:ascii="Times New Roman" w:hAnsi="Times New Roman" w:cs="Times New Roman"/>
        </w:rPr>
        <w:t xml:space="preserve"> were new cases (</w:t>
      </w:r>
      <w:r w:rsidR="00D94ED6" w:rsidRPr="00EE7E38">
        <w:rPr>
          <w:rFonts w:ascii="Times New Roman" w:hAnsi="Times New Roman" w:cs="Times New Roman"/>
        </w:rPr>
        <w:t>66</w:t>
      </w:r>
      <w:r w:rsidR="001E2300" w:rsidRPr="00EE7E38">
        <w:rPr>
          <w:rFonts w:ascii="Times New Roman" w:hAnsi="Times New Roman" w:cs="Times New Roman"/>
        </w:rPr>
        <w:t>.</w:t>
      </w:r>
      <w:r w:rsidR="006D4EF5" w:rsidRPr="00EE7E38">
        <w:rPr>
          <w:rFonts w:ascii="Times New Roman" w:hAnsi="Times New Roman" w:cs="Times New Roman"/>
        </w:rPr>
        <w:t>3</w:t>
      </w:r>
      <w:r w:rsidRPr="00EE7E38">
        <w:rPr>
          <w:rFonts w:ascii="Times New Roman" w:hAnsi="Times New Roman" w:cs="Times New Roman"/>
        </w:rPr>
        <w:t xml:space="preserve"> per 100,000). During the </w:t>
      </w:r>
      <w:r w:rsidR="001E5D82" w:rsidRPr="00EE7E38">
        <w:rPr>
          <w:rFonts w:ascii="Times New Roman" w:hAnsi="Times New Roman" w:cs="Times New Roman"/>
        </w:rPr>
        <w:t xml:space="preserve">last </w:t>
      </w:r>
      <w:r w:rsidR="00D94ED6" w:rsidRPr="00EE7E38">
        <w:rPr>
          <w:rFonts w:ascii="Times New Roman" w:hAnsi="Times New Roman" w:cs="Times New Roman"/>
        </w:rPr>
        <w:t>five</w:t>
      </w:r>
      <w:r w:rsidR="001E5D82" w:rsidRPr="00EE7E38">
        <w:rPr>
          <w:rFonts w:ascii="Times New Roman" w:hAnsi="Times New Roman" w:cs="Times New Roman"/>
        </w:rPr>
        <w:t xml:space="preserve"> years</w:t>
      </w:r>
      <w:r w:rsidRPr="00EE7E38">
        <w:rPr>
          <w:rFonts w:ascii="Times New Roman" w:hAnsi="Times New Roman" w:cs="Times New Roman"/>
        </w:rPr>
        <w:t xml:space="preserve">, </w:t>
      </w:r>
      <w:r w:rsidR="00AA532B">
        <w:rPr>
          <w:rFonts w:ascii="Times New Roman" w:hAnsi="Times New Roman" w:cs="Times New Roman"/>
        </w:rPr>
        <w:t>the absolute number of TB cases has decreased substantially. B</w:t>
      </w:r>
      <w:r w:rsidRPr="00EE7E38">
        <w:rPr>
          <w:rFonts w:ascii="Times New Roman" w:hAnsi="Times New Roman" w:cs="Times New Roman"/>
        </w:rPr>
        <w:t>etween 201</w:t>
      </w:r>
      <w:r w:rsidR="001E5D82" w:rsidRPr="00EE7E38">
        <w:rPr>
          <w:rFonts w:ascii="Times New Roman" w:hAnsi="Times New Roman" w:cs="Times New Roman"/>
        </w:rPr>
        <w:t>2 and 201</w:t>
      </w:r>
      <w:r w:rsidR="00D94ED6" w:rsidRPr="00EE7E38">
        <w:rPr>
          <w:rFonts w:ascii="Times New Roman" w:hAnsi="Times New Roman" w:cs="Times New Roman"/>
        </w:rPr>
        <w:t>6</w:t>
      </w:r>
      <w:r w:rsidRPr="00EE7E38">
        <w:rPr>
          <w:rFonts w:ascii="Times New Roman" w:hAnsi="Times New Roman" w:cs="Times New Roman"/>
        </w:rPr>
        <w:t xml:space="preserve">, the total number of TB notifications decreased by </w:t>
      </w:r>
      <w:r w:rsidR="00D94ED6" w:rsidRPr="00EE7E38">
        <w:rPr>
          <w:rFonts w:ascii="Times New Roman" w:hAnsi="Times New Roman" w:cs="Times New Roman"/>
        </w:rPr>
        <w:t>33</w:t>
      </w:r>
      <w:r w:rsidRPr="00EE7E38">
        <w:rPr>
          <w:rFonts w:ascii="Times New Roman" w:hAnsi="Times New Roman" w:cs="Times New Roman"/>
        </w:rPr>
        <w:t>% and the number of new c</w:t>
      </w:r>
      <w:r w:rsidR="001E2300" w:rsidRPr="00EE7E38">
        <w:rPr>
          <w:rFonts w:ascii="Times New Roman" w:hAnsi="Times New Roman" w:cs="Times New Roman"/>
        </w:rPr>
        <w:t>ases</w:t>
      </w:r>
      <w:r w:rsidR="00AA532B">
        <w:rPr>
          <w:rFonts w:ascii="Times New Roman" w:hAnsi="Times New Roman" w:cs="Times New Roman"/>
        </w:rPr>
        <w:t xml:space="preserve"> decreased</w:t>
      </w:r>
      <w:r w:rsidR="001E2300" w:rsidRPr="00EE7E38">
        <w:rPr>
          <w:rFonts w:ascii="Times New Roman" w:hAnsi="Times New Roman" w:cs="Times New Roman"/>
        </w:rPr>
        <w:t xml:space="preserve"> by </w:t>
      </w:r>
      <w:r w:rsidR="00D94ED6" w:rsidRPr="00EE7E38">
        <w:rPr>
          <w:rFonts w:ascii="Times New Roman" w:hAnsi="Times New Roman" w:cs="Times New Roman"/>
        </w:rPr>
        <w:t>35</w:t>
      </w:r>
      <w:r w:rsidR="001E2300" w:rsidRPr="00EE7E38">
        <w:rPr>
          <w:rFonts w:ascii="Times New Roman" w:hAnsi="Times New Roman" w:cs="Times New Roman"/>
        </w:rPr>
        <w:t>%</w:t>
      </w:r>
      <w:r w:rsidR="00F54683" w:rsidRPr="00EE7E38">
        <w:rPr>
          <w:rFonts w:ascii="Times New Roman" w:hAnsi="Times New Roman" w:cs="Times New Roman"/>
        </w:rPr>
        <w:t xml:space="preserve">. </w:t>
      </w:r>
      <w:r w:rsidR="00D94ED6" w:rsidRPr="00EE7E38">
        <w:rPr>
          <w:rFonts w:ascii="Times New Roman" w:hAnsi="Times New Roman" w:cs="Times New Roman"/>
        </w:rPr>
        <w:t>T</w:t>
      </w:r>
      <w:r w:rsidR="00F54683" w:rsidRPr="00EE7E38">
        <w:rPr>
          <w:rFonts w:ascii="Times New Roman" w:hAnsi="Times New Roman" w:cs="Times New Roman"/>
        </w:rPr>
        <w:t>he proportion of previously treated case among all notified</w:t>
      </w:r>
      <w:r w:rsidR="00AA532B">
        <w:rPr>
          <w:rFonts w:ascii="Times New Roman" w:hAnsi="Times New Roman" w:cs="Times New Roman"/>
        </w:rPr>
        <w:t xml:space="preserve"> cases</w:t>
      </w:r>
      <w:r w:rsidR="00F54683" w:rsidRPr="00EE7E38">
        <w:rPr>
          <w:rFonts w:ascii="Times New Roman" w:hAnsi="Times New Roman" w:cs="Times New Roman"/>
        </w:rPr>
        <w:t xml:space="preserve"> increased from 24.0% in 2012 to 27.1% in 2014</w:t>
      </w:r>
      <w:r w:rsidR="00AA532B">
        <w:rPr>
          <w:rFonts w:ascii="Times New Roman" w:hAnsi="Times New Roman" w:cs="Times New Roman"/>
        </w:rPr>
        <w:t>; however,</w:t>
      </w:r>
      <w:r w:rsidR="00D94ED6" w:rsidRPr="00EE7E38">
        <w:rPr>
          <w:rFonts w:ascii="Times New Roman" w:hAnsi="Times New Roman" w:cs="Times New Roman"/>
        </w:rPr>
        <w:t xml:space="preserve"> </w:t>
      </w:r>
      <w:r w:rsidR="00EE7E38">
        <w:rPr>
          <w:rFonts w:ascii="Times New Roman" w:hAnsi="Times New Roman" w:cs="Times New Roman"/>
        </w:rPr>
        <w:t>no subsequent increase was observed in later years</w:t>
      </w:r>
      <w:r w:rsidR="00AA532B">
        <w:rPr>
          <w:rFonts w:ascii="Times New Roman" w:hAnsi="Times New Roman" w:cs="Times New Roman"/>
        </w:rPr>
        <w:t xml:space="preserve"> </w:t>
      </w:r>
      <w:r w:rsidR="001E2300" w:rsidRPr="00EE7E38">
        <w:rPr>
          <w:rFonts w:ascii="Times New Roman" w:hAnsi="Times New Roman" w:cs="Times New Roman"/>
        </w:rPr>
        <w:t>(Table 1).</w:t>
      </w:r>
    </w:p>
    <w:p w14:paraId="0BB6F1DB" w14:textId="77777777" w:rsidR="00317BA1" w:rsidRPr="00155F47" w:rsidRDefault="00317BA1" w:rsidP="00317BA1">
      <w:pPr>
        <w:pStyle w:val="Caption"/>
        <w:keepNext/>
        <w:rPr>
          <w:rFonts w:ascii="Times New Roman" w:hAnsi="Times New Roman" w:cs="Times New Roman"/>
        </w:rPr>
      </w:pPr>
      <w:proofErr w:type="gramStart"/>
      <w:r w:rsidRPr="00AA532B">
        <w:rPr>
          <w:rFonts w:ascii="Times New Roman" w:hAnsi="Times New Roman" w:cs="Times New Roman"/>
        </w:rPr>
        <w:lastRenderedPageBreak/>
        <w:t xml:space="preserve">Table </w:t>
      </w:r>
      <w:r w:rsidR="00190629" w:rsidRPr="00155F47">
        <w:rPr>
          <w:rFonts w:ascii="Times New Roman" w:hAnsi="Times New Roman" w:cs="Times New Roman"/>
        </w:rPr>
        <w:fldChar w:fldCharType="begin"/>
      </w:r>
      <w:r w:rsidRPr="00B241D0">
        <w:rPr>
          <w:rFonts w:ascii="Times New Roman" w:hAnsi="Times New Roman" w:cs="Times New Roman"/>
        </w:rPr>
        <w:instrText xml:space="preserve"> SEQ Table \* ARABIC </w:instrText>
      </w:r>
      <w:r w:rsidR="00190629" w:rsidRPr="00155F47">
        <w:rPr>
          <w:rFonts w:ascii="Times New Roman" w:hAnsi="Times New Roman" w:cs="Times New Roman"/>
        </w:rPr>
        <w:fldChar w:fldCharType="separate"/>
      </w:r>
      <w:r w:rsidR="00676B83" w:rsidRPr="00155F47">
        <w:rPr>
          <w:rFonts w:ascii="Times New Roman" w:hAnsi="Times New Roman" w:cs="Times New Roman"/>
          <w:noProof/>
        </w:rPr>
        <w:t>1</w:t>
      </w:r>
      <w:r w:rsidR="00190629" w:rsidRPr="00155F47">
        <w:rPr>
          <w:rFonts w:ascii="Times New Roman" w:hAnsi="Times New Roman" w:cs="Times New Roman"/>
        </w:rPr>
        <w:fldChar w:fldCharType="end"/>
      </w:r>
      <w:r w:rsidRPr="00155F47">
        <w:rPr>
          <w:rFonts w:ascii="Times New Roman" w:hAnsi="Times New Roman" w:cs="Times New Roman"/>
        </w:rPr>
        <w:t>.</w:t>
      </w:r>
      <w:proofErr w:type="gramEnd"/>
      <w:r w:rsidRPr="00155F47">
        <w:rPr>
          <w:rFonts w:ascii="Times New Roman" w:hAnsi="Times New Roman" w:cs="Times New Roman"/>
        </w:rPr>
        <w:t xml:space="preserve"> TB notifications in Georgia by case category, 2012-2016</w:t>
      </w:r>
      <w:r w:rsidRPr="00155F47">
        <w:rPr>
          <w:rStyle w:val="FootnoteReference"/>
          <w:rFonts w:ascii="Times New Roman" w:hAnsi="Times New Roman" w:cs="Times New Roman"/>
        </w:rPr>
        <w:footnoteReference w:id="7"/>
      </w:r>
    </w:p>
    <w:tbl>
      <w:tblPr>
        <w:tblStyle w:val="TableGrid"/>
        <w:tblW w:w="0" w:type="auto"/>
        <w:tblLook w:val="04A0" w:firstRow="1" w:lastRow="0" w:firstColumn="1" w:lastColumn="0" w:noHBand="0" w:noVBand="1"/>
      </w:tblPr>
      <w:tblGrid>
        <w:gridCol w:w="3620"/>
        <w:gridCol w:w="1323"/>
        <w:gridCol w:w="1323"/>
        <w:gridCol w:w="1323"/>
        <w:gridCol w:w="1133"/>
        <w:gridCol w:w="1133"/>
      </w:tblGrid>
      <w:tr w:rsidR="00D0419C" w:rsidRPr="00EE7E38" w14:paraId="094CFF1E" w14:textId="77777777" w:rsidTr="00D0419C">
        <w:tc>
          <w:tcPr>
            <w:tcW w:w="3620" w:type="dxa"/>
          </w:tcPr>
          <w:p w14:paraId="0469237F" w14:textId="77777777" w:rsidR="00D0419C" w:rsidRPr="00EE7E38" w:rsidRDefault="00D0419C" w:rsidP="00835F94">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Category</w:t>
            </w:r>
          </w:p>
        </w:tc>
        <w:tc>
          <w:tcPr>
            <w:tcW w:w="1323" w:type="dxa"/>
          </w:tcPr>
          <w:p w14:paraId="508376CF" w14:textId="77777777" w:rsidR="00D0419C" w:rsidRPr="00EE7E38" w:rsidRDefault="00D0419C" w:rsidP="00D0419C">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2012</w:t>
            </w:r>
          </w:p>
        </w:tc>
        <w:tc>
          <w:tcPr>
            <w:tcW w:w="1323" w:type="dxa"/>
          </w:tcPr>
          <w:p w14:paraId="5E71BB77" w14:textId="77777777" w:rsidR="00D0419C" w:rsidRPr="00EE7E38" w:rsidRDefault="00D0419C" w:rsidP="00D0419C">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2013</w:t>
            </w:r>
          </w:p>
        </w:tc>
        <w:tc>
          <w:tcPr>
            <w:tcW w:w="1323" w:type="dxa"/>
          </w:tcPr>
          <w:p w14:paraId="4C319D05" w14:textId="77777777" w:rsidR="00D0419C" w:rsidRPr="00EE7E38" w:rsidRDefault="00D0419C" w:rsidP="00D0419C">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2014</w:t>
            </w:r>
          </w:p>
        </w:tc>
        <w:tc>
          <w:tcPr>
            <w:tcW w:w="1133" w:type="dxa"/>
          </w:tcPr>
          <w:p w14:paraId="2661AC06" w14:textId="77777777" w:rsidR="00D0419C" w:rsidRPr="00EE7E38" w:rsidRDefault="00D0419C" w:rsidP="00D0419C">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2015</w:t>
            </w:r>
          </w:p>
        </w:tc>
        <w:tc>
          <w:tcPr>
            <w:tcW w:w="1133" w:type="dxa"/>
          </w:tcPr>
          <w:p w14:paraId="0C11288A" w14:textId="77777777" w:rsidR="00D0419C" w:rsidRPr="00EE7E38" w:rsidRDefault="00D0419C" w:rsidP="00D0419C">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2016</w:t>
            </w:r>
          </w:p>
        </w:tc>
      </w:tr>
      <w:tr w:rsidR="00D0419C" w:rsidRPr="00EE7E38" w14:paraId="49E95822" w14:textId="77777777" w:rsidTr="00D0419C">
        <w:tc>
          <w:tcPr>
            <w:tcW w:w="3620" w:type="dxa"/>
          </w:tcPr>
          <w:p w14:paraId="69E3D23A" w14:textId="77777777" w:rsidR="00D0419C" w:rsidRPr="00EE7E38" w:rsidRDefault="00D0419C" w:rsidP="00835F94">
            <w:pPr>
              <w:widowControl w:val="0"/>
              <w:spacing w:before="40" w:after="40"/>
              <w:rPr>
                <w:rFonts w:ascii="Times New Roman" w:hAnsi="Times New Roman" w:cs="Times New Roman"/>
                <w:b/>
                <w:bCs/>
                <w:sz w:val="20"/>
                <w:szCs w:val="20"/>
              </w:rPr>
            </w:pPr>
            <w:r w:rsidRPr="00EE7E38">
              <w:rPr>
                <w:rFonts w:ascii="Times New Roman" w:hAnsi="Times New Roman" w:cs="Times New Roman"/>
                <w:b/>
                <w:bCs/>
                <w:sz w:val="20"/>
                <w:szCs w:val="20"/>
              </w:rPr>
              <w:t>New cases:</w:t>
            </w:r>
          </w:p>
        </w:tc>
        <w:tc>
          <w:tcPr>
            <w:tcW w:w="1323" w:type="dxa"/>
          </w:tcPr>
          <w:p w14:paraId="6404DAFA"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3,779</w:t>
            </w:r>
          </w:p>
        </w:tc>
        <w:tc>
          <w:tcPr>
            <w:tcW w:w="1323" w:type="dxa"/>
          </w:tcPr>
          <w:p w14:paraId="295195D8"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3,133</w:t>
            </w:r>
          </w:p>
        </w:tc>
        <w:tc>
          <w:tcPr>
            <w:tcW w:w="1323" w:type="dxa"/>
          </w:tcPr>
          <w:p w14:paraId="39EE3DF6"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2,807</w:t>
            </w:r>
          </w:p>
        </w:tc>
        <w:tc>
          <w:tcPr>
            <w:tcW w:w="1133" w:type="dxa"/>
          </w:tcPr>
          <w:p w14:paraId="03CBCC94"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rPr>
              <w:t>2622</w:t>
            </w:r>
          </w:p>
        </w:tc>
        <w:tc>
          <w:tcPr>
            <w:tcW w:w="1133" w:type="dxa"/>
          </w:tcPr>
          <w:p w14:paraId="3C7404CF"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rPr>
              <w:t>2465</w:t>
            </w:r>
          </w:p>
        </w:tc>
      </w:tr>
      <w:tr w:rsidR="00D0419C" w:rsidRPr="00EE7E38" w14:paraId="79E3C1BC" w14:textId="77777777" w:rsidTr="00D0419C">
        <w:tc>
          <w:tcPr>
            <w:tcW w:w="3620" w:type="dxa"/>
          </w:tcPr>
          <w:p w14:paraId="17E6EF83" w14:textId="77777777" w:rsidR="00540B31" w:rsidRPr="00EE7E38" w:rsidRDefault="00D0419C">
            <w:pPr>
              <w:widowControl w:val="0"/>
              <w:numPr>
                <w:ilvl w:val="0"/>
                <w:numId w:val="20"/>
              </w:numPr>
              <w:spacing w:before="40" w:after="40"/>
              <w:rPr>
                <w:rFonts w:ascii="Times New Roman" w:hAnsi="Times New Roman" w:cs="Times New Roman"/>
                <w:sz w:val="20"/>
                <w:szCs w:val="20"/>
              </w:rPr>
            </w:pPr>
            <w:r w:rsidRPr="00EE7E38">
              <w:rPr>
                <w:rFonts w:ascii="Times New Roman" w:hAnsi="Times New Roman" w:cs="Times New Roman"/>
                <w:sz w:val="20"/>
                <w:szCs w:val="20"/>
              </w:rPr>
              <w:t>Pulmonary smear positive</w:t>
            </w:r>
          </w:p>
        </w:tc>
        <w:tc>
          <w:tcPr>
            <w:tcW w:w="1323" w:type="dxa"/>
          </w:tcPr>
          <w:p w14:paraId="117F424B"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1,649</w:t>
            </w:r>
          </w:p>
        </w:tc>
        <w:tc>
          <w:tcPr>
            <w:tcW w:w="1323" w:type="dxa"/>
          </w:tcPr>
          <w:p w14:paraId="5A1EF895"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1,334</w:t>
            </w:r>
          </w:p>
        </w:tc>
        <w:tc>
          <w:tcPr>
            <w:tcW w:w="1323" w:type="dxa"/>
          </w:tcPr>
          <w:p w14:paraId="713354F3"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1,142</w:t>
            </w:r>
          </w:p>
        </w:tc>
        <w:tc>
          <w:tcPr>
            <w:tcW w:w="1133" w:type="dxa"/>
          </w:tcPr>
          <w:p w14:paraId="594EF2E6"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890</w:t>
            </w:r>
          </w:p>
        </w:tc>
        <w:tc>
          <w:tcPr>
            <w:tcW w:w="1133" w:type="dxa"/>
          </w:tcPr>
          <w:p w14:paraId="44C94EE0"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830</w:t>
            </w:r>
          </w:p>
        </w:tc>
      </w:tr>
      <w:tr w:rsidR="00D0419C" w:rsidRPr="00EE7E38" w14:paraId="6292FD49" w14:textId="77777777" w:rsidTr="00D0419C">
        <w:tc>
          <w:tcPr>
            <w:tcW w:w="3620" w:type="dxa"/>
          </w:tcPr>
          <w:p w14:paraId="318C4BC0" w14:textId="1861FED7" w:rsidR="00540B31" w:rsidRPr="00EE7E38" w:rsidRDefault="00D0419C">
            <w:pPr>
              <w:widowControl w:val="0"/>
              <w:numPr>
                <w:ilvl w:val="0"/>
                <w:numId w:val="20"/>
              </w:numPr>
              <w:spacing w:before="40" w:after="40"/>
              <w:rPr>
                <w:rFonts w:ascii="Times New Roman" w:hAnsi="Times New Roman" w:cs="Times New Roman"/>
                <w:sz w:val="20"/>
                <w:szCs w:val="20"/>
              </w:rPr>
            </w:pPr>
            <w:r w:rsidRPr="00EE7E38">
              <w:rPr>
                <w:rFonts w:ascii="Times New Roman" w:hAnsi="Times New Roman" w:cs="Times New Roman"/>
                <w:sz w:val="20"/>
                <w:szCs w:val="20"/>
              </w:rPr>
              <w:t>Pulmonary smear negative/ unknown</w:t>
            </w:r>
          </w:p>
        </w:tc>
        <w:tc>
          <w:tcPr>
            <w:tcW w:w="1323" w:type="dxa"/>
          </w:tcPr>
          <w:p w14:paraId="6E42C15D"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1,186</w:t>
            </w:r>
          </w:p>
        </w:tc>
        <w:tc>
          <w:tcPr>
            <w:tcW w:w="1323" w:type="dxa"/>
          </w:tcPr>
          <w:p w14:paraId="12010AF8"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1,078</w:t>
            </w:r>
          </w:p>
        </w:tc>
        <w:tc>
          <w:tcPr>
            <w:tcW w:w="1323" w:type="dxa"/>
          </w:tcPr>
          <w:p w14:paraId="4D0E7B13"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1,004</w:t>
            </w:r>
          </w:p>
        </w:tc>
        <w:tc>
          <w:tcPr>
            <w:tcW w:w="1133" w:type="dxa"/>
          </w:tcPr>
          <w:p w14:paraId="3F945D79"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1116</w:t>
            </w:r>
          </w:p>
        </w:tc>
        <w:tc>
          <w:tcPr>
            <w:tcW w:w="1133" w:type="dxa"/>
          </w:tcPr>
          <w:p w14:paraId="39D2AF11"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1067</w:t>
            </w:r>
          </w:p>
        </w:tc>
      </w:tr>
      <w:tr w:rsidR="00D0419C" w:rsidRPr="00EE7E38" w14:paraId="27545781" w14:textId="77777777" w:rsidTr="00D0419C">
        <w:tc>
          <w:tcPr>
            <w:tcW w:w="3620" w:type="dxa"/>
          </w:tcPr>
          <w:p w14:paraId="3C0BB8C1" w14:textId="77777777" w:rsidR="00540B31" w:rsidRPr="00EE7E38" w:rsidRDefault="00D0419C">
            <w:pPr>
              <w:widowControl w:val="0"/>
              <w:numPr>
                <w:ilvl w:val="0"/>
                <w:numId w:val="20"/>
              </w:numPr>
              <w:spacing w:before="40" w:after="40"/>
              <w:rPr>
                <w:rFonts w:ascii="Times New Roman" w:hAnsi="Times New Roman" w:cs="Times New Roman"/>
                <w:sz w:val="20"/>
                <w:szCs w:val="20"/>
              </w:rPr>
            </w:pPr>
            <w:r w:rsidRPr="00EE7E38">
              <w:rPr>
                <w:rFonts w:ascii="Times New Roman" w:hAnsi="Times New Roman" w:cs="Times New Roman"/>
                <w:sz w:val="20"/>
                <w:szCs w:val="20"/>
              </w:rPr>
              <w:t>Extrapulmonary</w:t>
            </w:r>
          </w:p>
        </w:tc>
        <w:tc>
          <w:tcPr>
            <w:tcW w:w="1323" w:type="dxa"/>
          </w:tcPr>
          <w:p w14:paraId="28BB98C9"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944</w:t>
            </w:r>
          </w:p>
        </w:tc>
        <w:tc>
          <w:tcPr>
            <w:tcW w:w="1323" w:type="dxa"/>
          </w:tcPr>
          <w:p w14:paraId="3FE1143C"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721</w:t>
            </w:r>
          </w:p>
        </w:tc>
        <w:tc>
          <w:tcPr>
            <w:tcW w:w="1323" w:type="dxa"/>
          </w:tcPr>
          <w:p w14:paraId="38D22AFF"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661</w:t>
            </w:r>
          </w:p>
        </w:tc>
        <w:tc>
          <w:tcPr>
            <w:tcW w:w="1133" w:type="dxa"/>
          </w:tcPr>
          <w:p w14:paraId="71C8535F"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616</w:t>
            </w:r>
          </w:p>
        </w:tc>
        <w:tc>
          <w:tcPr>
            <w:tcW w:w="1133" w:type="dxa"/>
          </w:tcPr>
          <w:p w14:paraId="2D336271"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562</w:t>
            </w:r>
          </w:p>
        </w:tc>
      </w:tr>
      <w:tr w:rsidR="00D0419C" w:rsidRPr="00EE7E38" w14:paraId="0317B98B" w14:textId="77777777" w:rsidTr="00D0419C">
        <w:tc>
          <w:tcPr>
            <w:tcW w:w="3620" w:type="dxa"/>
          </w:tcPr>
          <w:p w14:paraId="69ADAA28" w14:textId="77777777" w:rsidR="00D0419C" w:rsidRPr="00EE7E38" w:rsidRDefault="00D0419C" w:rsidP="00835F94">
            <w:pPr>
              <w:widowControl w:val="0"/>
              <w:spacing w:before="40" w:after="40"/>
              <w:rPr>
                <w:rFonts w:ascii="Times New Roman" w:hAnsi="Times New Roman" w:cs="Times New Roman"/>
                <w:b/>
                <w:bCs/>
                <w:sz w:val="20"/>
                <w:szCs w:val="20"/>
              </w:rPr>
            </w:pPr>
            <w:r w:rsidRPr="00EE7E38">
              <w:rPr>
                <w:rFonts w:ascii="Times New Roman" w:hAnsi="Times New Roman" w:cs="Times New Roman"/>
                <w:b/>
                <w:bCs/>
                <w:sz w:val="20"/>
                <w:szCs w:val="20"/>
              </w:rPr>
              <w:t>Retreatment cases:</w:t>
            </w:r>
          </w:p>
        </w:tc>
        <w:tc>
          <w:tcPr>
            <w:tcW w:w="1323" w:type="dxa"/>
          </w:tcPr>
          <w:p w14:paraId="4665A682"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1,196</w:t>
            </w:r>
          </w:p>
        </w:tc>
        <w:tc>
          <w:tcPr>
            <w:tcW w:w="1323" w:type="dxa"/>
          </w:tcPr>
          <w:p w14:paraId="44B1AB3C"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1,187</w:t>
            </w:r>
          </w:p>
        </w:tc>
        <w:tc>
          <w:tcPr>
            <w:tcW w:w="1323" w:type="dxa"/>
          </w:tcPr>
          <w:p w14:paraId="6F02E6C0"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1,043</w:t>
            </w:r>
          </w:p>
        </w:tc>
        <w:tc>
          <w:tcPr>
            <w:tcW w:w="1133" w:type="dxa"/>
          </w:tcPr>
          <w:p w14:paraId="5D5B384D"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lang w:val="ka-GE"/>
              </w:rPr>
              <w:t>989</w:t>
            </w:r>
          </w:p>
        </w:tc>
        <w:tc>
          <w:tcPr>
            <w:tcW w:w="1133" w:type="dxa"/>
          </w:tcPr>
          <w:p w14:paraId="0F8BD930"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lang w:val="ka-GE"/>
              </w:rPr>
              <w:t>867</w:t>
            </w:r>
          </w:p>
        </w:tc>
      </w:tr>
      <w:tr w:rsidR="00D0419C" w:rsidRPr="00EE7E38" w14:paraId="57D58944" w14:textId="77777777" w:rsidTr="00D0419C">
        <w:tc>
          <w:tcPr>
            <w:tcW w:w="3620" w:type="dxa"/>
          </w:tcPr>
          <w:p w14:paraId="4035B854" w14:textId="77777777" w:rsidR="00540B31" w:rsidRPr="00EE7E38" w:rsidRDefault="00D0419C">
            <w:pPr>
              <w:widowControl w:val="0"/>
              <w:numPr>
                <w:ilvl w:val="0"/>
                <w:numId w:val="20"/>
              </w:numPr>
              <w:spacing w:before="40" w:after="40"/>
              <w:rPr>
                <w:rFonts w:ascii="Times New Roman" w:hAnsi="Times New Roman" w:cs="Times New Roman"/>
                <w:sz w:val="20"/>
                <w:szCs w:val="20"/>
              </w:rPr>
            </w:pPr>
            <w:r w:rsidRPr="00EE7E38">
              <w:rPr>
                <w:rFonts w:ascii="Times New Roman" w:hAnsi="Times New Roman" w:cs="Times New Roman"/>
                <w:sz w:val="20"/>
                <w:szCs w:val="20"/>
              </w:rPr>
              <w:t>Pulmonary smear positive</w:t>
            </w:r>
          </w:p>
        </w:tc>
        <w:tc>
          <w:tcPr>
            <w:tcW w:w="1323" w:type="dxa"/>
          </w:tcPr>
          <w:p w14:paraId="67ED3626"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631</w:t>
            </w:r>
          </w:p>
        </w:tc>
        <w:tc>
          <w:tcPr>
            <w:tcW w:w="1323" w:type="dxa"/>
          </w:tcPr>
          <w:p w14:paraId="1243332A"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579</w:t>
            </w:r>
          </w:p>
        </w:tc>
        <w:tc>
          <w:tcPr>
            <w:tcW w:w="1323" w:type="dxa"/>
          </w:tcPr>
          <w:p w14:paraId="370E8031"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474</w:t>
            </w:r>
          </w:p>
        </w:tc>
        <w:tc>
          <w:tcPr>
            <w:tcW w:w="1133" w:type="dxa"/>
          </w:tcPr>
          <w:p w14:paraId="4258988A"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rPr>
              <w:t>408</w:t>
            </w:r>
          </w:p>
        </w:tc>
        <w:tc>
          <w:tcPr>
            <w:tcW w:w="1133" w:type="dxa"/>
          </w:tcPr>
          <w:p w14:paraId="5BE0BD93"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rPr>
              <w:t>365</w:t>
            </w:r>
          </w:p>
        </w:tc>
      </w:tr>
      <w:tr w:rsidR="00D0419C" w:rsidRPr="00EE7E38" w14:paraId="3151DE7E" w14:textId="77777777" w:rsidTr="00D0419C">
        <w:tc>
          <w:tcPr>
            <w:tcW w:w="3620" w:type="dxa"/>
          </w:tcPr>
          <w:p w14:paraId="35FFDFE1" w14:textId="027A3C73" w:rsidR="00540B31" w:rsidRPr="00EE7E38" w:rsidRDefault="00D0419C">
            <w:pPr>
              <w:widowControl w:val="0"/>
              <w:numPr>
                <w:ilvl w:val="0"/>
                <w:numId w:val="20"/>
              </w:numPr>
              <w:spacing w:before="40" w:after="40"/>
              <w:rPr>
                <w:rFonts w:ascii="Times New Roman" w:hAnsi="Times New Roman" w:cs="Times New Roman"/>
                <w:sz w:val="20"/>
                <w:szCs w:val="20"/>
              </w:rPr>
            </w:pPr>
            <w:r w:rsidRPr="00EE7E38">
              <w:rPr>
                <w:rFonts w:ascii="Times New Roman" w:hAnsi="Times New Roman" w:cs="Times New Roman"/>
                <w:sz w:val="20"/>
                <w:szCs w:val="20"/>
              </w:rPr>
              <w:t>Pulmonary smear negative/ unknown</w:t>
            </w:r>
          </w:p>
        </w:tc>
        <w:tc>
          <w:tcPr>
            <w:tcW w:w="1323" w:type="dxa"/>
          </w:tcPr>
          <w:p w14:paraId="343C7CFA"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441</w:t>
            </w:r>
          </w:p>
        </w:tc>
        <w:tc>
          <w:tcPr>
            <w:tcW w:w="1323" w:type="dxa"/>
          </w:tcPr>
          <w:p w14:paraId="0F934C2E"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513</w:t>
            </w:r>
          </w:p>
        </w:tc>
        <w:tc>
          <w:tcPr>
            <w:tcW w:w="1323" w:type="dxa"/>
          </w:tcPr>
          <w:p w14:paraId="20DE2D85"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474</w:t>
            </w:r>
          </w:p>
        </w:tc>
        <w:tc>
          <w:tcPr>
            <w:tcW w:w="1133" w:type="dxa"/>
          </w:tcPr>
          <w:p w14:paraId="068512A0"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rPr>
              <w:t>504</w:t>
            </w:r>
          </w:p>
        </w:tc>
        <w:tc>
          <w:tcPr>
            <w:tcW w:w="1133" w:type="dxa"/>
          </w:tcPr>
          <w:p w14:paraId="3A28264B"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rPr>
              <w:t>444</w:t>
            </w:r>
          </w:p>
        </w:tc>
      </w:tr>
      <w:tr w:rsidR="00D0419C" w:rsidRPr="00EE7E38" w14:paraId="5D3CBADE" w14:textId="77777777" w:rsidTr="00D0419C">
        <w:tc>
          <w:tcPr>
            <w:tcW w:w="3620" w:type="dxa"/>
          </w:tcPr>
          <w:p w14:paraId="2CD15A0C" w14:textId="77777777" w:rsidR="00540B31" w:rsidRPr="00EE7E38" w:rsidRDefault="00D0419C">
            <w:pPr>
              <w:widowControl w:val="0"/>
              <w:numPr>
                <w:ilvl w:val="0"/>
                <w:numId w:val="20"/>
              </w:numPr>
              <w:spacing w:before="40" w:after="40"/>
              <w:rPr>
                <w:rFonts w:ascii="Times New Roman" w:hAnsi="Times New Roman" w:cs="Times New Roman"/>
                <w:sz w:val="20"/>
                <w:szCs w:val="20"/>
              </w:rPr>
            </w:pPr>
            <w:r w:rsidRPr="00EE7E38">
              <w:rPr>
                <w:rFonts w:ascii="Times New Roman" w:hAnsi="Times New Roman" w:cs="Times New Roman"/>
                <w:sz w:val="20"/>
                <w:szCs w:val="20"/>
              </w:rPr>
              <w:t>Extrapulmonary</w:t>
            </w:r>
          </w:p>
        </w:tc>
        <w:tc>
          <w:tcPr>
            <w:tcW w:w="1323" w:type="dxa"/>
          </w:tcPr>
          <w:p w14:paraId="767842C4"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124</w:t>
            </w:r>
          </w:p>
        </w:tc>
        <w:tc>
          <w:tcPr>
            <w:tcW w:w="1323" w:type="dxa"/>
          </w:tcPr>
          <w:p w14:paraId="7EA6532F"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95</w:t>
            </w:r>
          </w:p>
        </w:tc>
        <w:tc>
          <w:tcPr>
            <w:tcW w:w="1323" w:type="dxa"/>
          </w:tcPr>
          <w:p w14:paraId="4DD22730"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95</w:t>
            </w:r>
          </w:p>
        </w:tc>
        <w:tc>
          <w:tcPr>
            <w:tcW w:w="1133" w:type="dxa"/>
          </w:tcPr>
          <w:p w14:paraId="123632AF"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77</w:t>
            </w:r>
          </w:p>
        </w:tc>
        <w:tc>
          <w:tcPr>
            <w:tcW w:w="1133" w:type="dxa"/>
          </w:tcPr>
          <w:p w14:paraId="444319AC" w14:textId="77777777" w:rsidR="00D0419C" w:rsidRPr="00EE7E38" w:rsidRDefault="00D0419C" w:rsidP="00D0419C">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lang w:val="ka-GE"/>
              </w:rPr>
              <w:t>58</w:t>
            </w:r>
          </w:p>
        </w:tc>
      </w:tr>
      <w:tr w:rsidR="00D0419C" w:rsidRPr="00EE7E38" w14:paraId="69887DE4" w14:textId="77777777" w:rsidTr="00D0419C">
        <w:tc>
          <w:tcPr>
            <w:tcW w:w="3620" w:type="dxa"/>
          </w:tcPr>
          <w:p w14:paraId="7DD9B940" w14:textId="77777777" w:rsidR="00D0419C" w:rsidRPr="00EE7E38" w:rsidRDefault="00D0419C" w:rsidP="00835F94">
            <w:pPr>
              <w:widowControl w:val="0"/>
              <w:spacing w:before="40" w:after="40"/>
              <w:rPr>
                <w:rFonts w:ascii="Times New Roman" w:hAnsi="Times New Roman" w:cs="Times New Roman"/>
                <w:b/>
                <w:bCs/>
                <w:sz w:val="20"/>
                <w:szCs w:val="20"/>
              </w:rPr>
            </w:pPr>
            <w:r w:rsidRPr="00EE7E38">
              <w:rPr>
                <w:rFonts w:ascii="Times New Roman" w:hAnsi="Times New Roman" w:cs="Times New Roman"/>
                <w:b/>
                <w:bCs/>
                <w:sz w:val="20"/>
                <w:szCs w:val="20"/>
              </w:rPr>
              <w:t xml:space="preserve">All TB cases: </w:t>
            </w:r>
          </w:p>
        </w:tc>
        <w:tc>
          <w:tcPr>
            <w:tcW w:w="1323" w:type="dxa"/>
          </w:tcPr>
          <w:p w14:paraId="24A4CDF4"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4,975</w:t>
            </w:r>
          </w:p>
        </w:tc>
        <w:tc>
          <w:tcPr>
            <w:tcW w:w="1323" w:type="dxa"/>
          </w:tcPr>
          <w:p w14:paraId="617DCD4D"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4,320</w:t>
            </w:r>
          </w:p>
        </w:tc>
        <w:tc>
          <w:tcPr>
            <w:tcW w:w="1323" w:type="dxa"/>
          </w:tcPr>
          <w:p w14:paraId="3239DDA3"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szCs w:val="20"/>
              </w:rPr>
              <w:t>3,850</w:t>
            </w:r>
          </w:p>
        </w:tc>
        <w:tc>
          <w:tcPr>
            <w:tcW w:w="1133" w:type="dxa"/>
          </w:tcPr>
          <w:p w14:paraId="70F887CF"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lang w:val="ka-GE"/>
              </w:rPr>
              <w:t>3,611</w:t>
            </w:r>
          </w:p>
        </w:tc>
        <w:tc>
          <w:tcPr>
            <w:tcW w:w="1133" w:type="dxa"/>
          </w:tcPr>
          <w:p w14:paraId="097F08FD" w14:textId="77777777" w:rsidR="00D0419C" w:rsidRPr="00EE7E38" w:rsidRDefault="00D0419C" w:rsidP="00D0419C">
            <w:pPr>
              <w:widowControl w:val="0"/>
              <w:spacing w:before="40" w:after="40"/>
              <w:jc w:val="center"/>
              <w:rPr>
                <w:rFonts w:ascii="Times New Roman" w:hAnsi="Times New Roman" w:cs="Times New Roman"/>
                <w:b/>
                <w:bCs/>
                <w:sz w:val="20"/>
                <w:szCs w:val="20"/>
              </w:rPr>
            </w:pPr>
            <w:r w:rsidRPr="00EE7E38">
              <w:rPr>
                <w:rFonts w:ascii="Times New Roman" w:hAnsi="Times New Roman" w:cs="Times New Roman"/>
                <w:b/>
                <w:bCs/>
                <w:sz w:val="20"/>
                <w:lang w:val="ka-GE"/>
              </w:rPr>
              <w:t>3,332</w:t>
            </w:r>
          </w:p>
        </w:tc>
      </w:tr>
    </w:tbl>
    <w:p w14:paraId="34528592" w14:textId="11551FEB" w:rsidR="00F70A8E"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Among new TB cases registered, </w:t>
      </w:r>
      <w:r w:rsidR="002303FF" w:rsidRPr="00EE7E38">
        <w:rPr>
          <w:rFonts w:ascii="Times New Roman" w:hAnsi="Times New Roman" w:cs="Times New Roman"/>
        </w:rPr>
        <w:t xml:space="preserve">almost 70% </w:t>
      </w:r>
      <w:r w:rsidRPr="00EE7E38">
        <w:rPr>
          <w:rFonts w:ascii="Times New Roman" w:hAnsi="Times New Roman" w:cs="Times New Roman"/>
        </w:rPr>
        <w:t xml:space="preserve">are males </w:t>
      </w:r>
      <w:r w:rsidR="002303FF" w:rsidRPr="00EE7E38">
        <w:rPr>
          <w:rFonts w:ascii="Times New Roman" w:hAnsi="Times New Roman" w:cs="Times New Roman"/>
        </w:rPr>
        <w:t>(male/female ratio</w:t>
      </w:r>
      <w:r w:rsidR="00AA532B">
        <w:rPr>
          <w:rFonts w:ascii="Times New Roman" w:hAnsi="Times New Roman" w:cs="Times New Roman"/>
        </w:rPr>
        <w:t>:</w:t>
      </w:r>
      <w:r w:rsidR="002303FF" w:rsidRPr="00EE7E38">
        <w:rPr>
          <w:rFonts w:ascii="Times New Roman" w:hAnsi="Times New Roman" w:cs="Times New Roman"/>
        </w:rPr>
        <w:t xml:space="preserve"> 2</w:t>
      </w:r>
      <w:r w:rsidRPr="00EE7E38">
        <w:rPr>
          <w:rFonts w:ascii="Times New Roman" w:hAnsi="Times New Roman" w:cs="Times New Roman"/>
        </w:rPr>
        <w:t>.2</w:t>
      </w:r>
      <w:r w:rsidR="002303FF" w:rsidRPr="00EE7E38">
        <w:rPr>
          <w:rFonts w:ascii="Times New Roman" w:hAnsi="Times New Roman" w:cs="Times New Roman"/>
        </w:rPr>
        <w:t>4</w:t>
      </w:r>
      <w:r w:rsidRPr="00EE7E38">
        <w:rPr>
          <w:rFonts w:ascii="Times New Roman" w:hAnsi="Times New Roman" w:cs="Times New Roman"/>
        </w:rPr>
        <w:t xml:space="preserve">). The disease affects mainly </w:t>
      </w:r>
      <w:r w:rsidR="00AA532B">
        <w:rPr>
          <w:rFonts w:ascii="Times New Roman" w:hAnsi="Times New Roman" w:cs="Times New Roman"/>
        </w:rPr>
        <w:t xml:space="preserve">the </w:t>
      </w:r>
      <w:r w:rsidRPr="00EE7E38">
        <w:rPr>
          <w:rFonts w:ascii="Times New Roman" w:hAnsi="Times New Roman" w:cs="Times New Roman"/>
        </w:rPr>
        <w:t xml:space="preserve">young and the most economically productive part of the population: </w:t>
      </w:r>
      <w:r w:rsidR="005E4D02" w:rsidRPr="00EE7E38">
        <w:rPr>
          <w:rFonts w:ascii="Times New Roman" w:hAnsi="Times New Roman" w:cs="Times New Roman"/>
        </w:rPr>
        <w:t xml:space="preserve">almost two-thirds </w:t>
      </w:r>
      <w:r w:rsidRPr="00EE7E38">
        <w:rPr>
          <w:rFonts w:ascii="Times New Roman" w:hAnsi="Times New Roman" w:cs="Times New Roman"/>
        </w:rPr>
        <w:t xml:space="preserve">of all new TB cases </w:t>
      </w:r>
      <w:r w:rsidR="00AA532B">
        <w:rPr>
          <w:rFonts w:ascii="Times New Roman" w:hAnsi="Times New Roman" w:cs="Times New Roman"/>
        </w:rPr>
        <w:t>occur among individuals aged 15-44 years</w:t>
      </w:r>
      <w:r w:rsidR="00EE7E38">
        <w:rPr>
          <w:rFonts w:ascii="Times New Roman" w:hAnsi="Times New Roman" w:cs="Times New Roman"/>
        </w:rPr>
        <w:t xml:space="preserve"> (2016)</w:t>
      </w:r>
      <w:r w:rsidRPr="00EE7E38">
        <w:rPr>
          <w:rFonts w:ascii="Times New Roman" w:hAnsi="Times New Roman" w:cs="Times New Roman"/>
        </w:rPr>
        <w:t>.</w:t>
      </w:r>
    </w:p>
    <w:p w14:paraId="5CDB0189" w14:textId="263B0115" w:rsidR="00CB730B" w:rsidRPr="00EE7E38" w:rsidRDefault="00AF4B49" w:rsidP="00F82430">
      <w:pPr>
        <w:widowControl w:val="0"/>
        <w:spacing w:before="120" w:after="120" w:line="240" w:lineRule="auto"/>
        <w:jc w:val="both"/>
        <w:rPr>
          <w:rFonts w:ascii="Times New Roman" w:hAnsi="Times New Roman" w:cs="Times New Roman"/>
        </w:rPr>
      </w:pPr>
      <w:proofErr w:type="gramStart"/>
      <w:r w:rsidRPr="00EE7E38">
        <w:rPr>
          <w:rFonts w:ascii="Times New Roman" w:hAnsi="Times New Roman" w:cs="Times New Roman"/>
          <w:b/>
          <w:bCs/>
          <w:i/>
        </w:rPr>
        <w:t>Drug-resistant TB.</w:t>
      </w:r>
      <w:proofErr w:type="gramEnd"/>
      <w:r w:rsidR="001B3CBF" w:rsidRPr="00EE7E38">
        <w:rPr>
          <w:rFonts w:ascii="Times New Roman" w:hAnsi="Times New Roman" w:cs="Times New Roman"/>
          <w:b/>
          <w:bCs/>
          <w:i/>
        </w:rPr>
        <w:t xml:space="preserve"> </w:t>
      </w:r>
      <w:r w:rsidR="00F70A8E" w:rsidRPr="00EE7E38">
        <w:rPr>
          <w:rFonts w:ascii="Times New Roman" w:hAnsi="Times New Roman" w:cs="Times New Roman"/>
        </w:rPr>
        <w:t xml:space="preserve">The high burden of anti-TB drug resistance is the key challenge for the </w:t>
      </w:r>
      <w:r w:rsidR="00AA532B">
        <w:rPr>
          <w:rFonts w:ascii="Times New Roman" w:hAnsi="Times New Roman" w:cs="Times New Roman"/>
        </w:rPr>
        <w:t xml:space="preserve">NTP </w:t>
      </w:r>
      <w:r w:rsidR="00F70A8E" w:rsidRPr="00EE7E38">
        <w:rPr>
          <w:rFonts w:ascii="Times New Roman" w:hAnsi="Times New Roman" w:cs="Times New Roman"/>
        </w:rPr>
        <w:t xml:space="preserve">and the main obstacle for effective TB control in the country. WHO estimated that </w:t>
      </w:r>
      <w:r w:rsidR="001B3CBF" w:rsidRPr="00EE7E38">
        <w:rPr>
          <w:rFonts w:ascii="Times New Roman" w:hAnsi="Times New Roman" w:cs="Times New Roman"/>
        </w:rPr>
        <w:t>460</w:t>
      </w:r>
      <w:r w:rsidR="00F70A8E" w:rsidRPr="00EE7E38">
        <w:rPr>
          <w:rFonts w:ascii="Times New Roman" w:hAnsi="Times New Roman" w:cs="Times New Roman"/>
        </w:rPr>
        <w:t xml:space="preserve"> patients with multidrug-resistant TB (MDR-TB</w:t>
      </w:r>
      <w:r w:rsidR="00632EC6" w:rsidRPr="00EE7E38">
        <w:rPr>
          <w:rStyle w:val="FootnoteReference"/>
          <w:rFonts w:ascii="Times New Roman" w:hAnsi="Times New Roman" w:cs="Times New Roman"/>
        </w:rPr>
        <w:footnoteReference w:id="8"/>
      </w:r>
      <w:r w:rsidR="00F70A8E" w:rsidRPr="00EE7E38">
        <w:rPr>
          <w:rFonts w:ascii="Times New Roman" w:hAnsi="Times New Roman" w:cs="Times New Roman"/>
        </w:rPr>
        <w:t>) needed treatment in 201</w:t>
      </w:r>
      <w:r w:rsidR="001B3CBF" w:rsidRPr="00EE7E38">
        <w:rPr>
          <w:rFonts w:ascii="Times New Roman" w:hAnsi="Times New Roman" w:cs="Times New Roman"/>
        </w:rPr>
        <w:t>6</w:t>
      </w:r>
      <w:r w:rsidR="00F70A8E" w:rsidRPr="00EE7E38">
        <w:rPr>
          <w:rFonts w:ascii="Times New Roman" w:hAnsi="Times New Roman" w:cs="Times New Roman"/>
          <w:vertAlign w:val="superscript"/>
        </w:rPr>
        <w:footnoteReference w:id="9"/>
      </w:r>
      <w:proofErr w:type="gramStart"/>
      <w:r w:rsidR="00F70A8E" w:rsidRPr="00EE7E38">
        <w:rPr>
          <w:rFonts w:ascii="Times New Roman" w:hAnsi="Times New Roman" w:cs="Times New Roman"/>
        </w:rPr>
        <w:t>.</w:t>
      </w:r>
      <w:proofErr w:type="gramEnd"/>
      <w:r w:rsidR="00F70A8E" w:rsidRPr="00EE7E38">
        <w:rPr>
          <w:rFonts w:ascii="Times New Roman" w:hAnsi="Times New Roman" w:cs="Times New Roman"/>
        </w:rPr>
        <w:t xml:space="preserve"> </w:t>
      </w:r>
      <w:r w:rsidR="00220A05" w:rsidRPr="00EE7E38">
        <w:rPr>
          <w:rFonts w:ascii="Times New Roman" w:hAnsi="Times New Roman" w:cs="Times New Roman"/>
        </w:rPr>
        <w:t xml:space="preserve">The first nationwide representative Drug Resistance Survey (DRS), conducted in 2005-2006, revealed MDR-TB prevalence of </w:t>
      </w:r>
      <w:r w:rsidR="00F54683" w:rsidRPr="00EE7E38">
        <w:rPr>
          <w:rFonts w:ascii="Times New Roman" w:hAnsi="Times New Roman" w:cs="Times New Roman"/>
        </w:rPr>
        <w:t>6.8</w:t>
      </w:r>
      <w:r w:rsidR="00220A05" w:rsidRPr="00EE7E38">
        <w:rPr>
          <w:rFonts w:ascii="Times New Roman" w:hAnsi="Times New Roman" w:cs="Times New Roman"/>
        </w:rPr>
        <w:t>% among new smear positive cases and 2</w:t>
      </w:r>
      <w:r w:rsidR="00F54683" w:rsidRPr="00EE7E38">
        <w:rPr>
          <w:rFonts w:ascii="Times New Roman" w:hAnsi="Times New Roman" w:cs="Times New Roman"/>
        </w:rPr>
        <w:t>7.4</w:t>
      </w:r>
      <w:r w:rsidR="00220A05" w:rsidRPr="00EE7E38">
        <w:rPr>
          <w:rFonts w:ascii="Times New Roman" w:hAnsi="Times New Roman" w:cs="Times New Roman"/>
        </w:rPr>
        <w:t>% among previously treated cases</w:t>
      </w:r>
      <w:r w:rsidR="00F54683" w:rsidRPr="00EE7E38">
        <w:rPr>
          <w:rStyle w:val="FootnoteReference"/>
          <w:rFonts w:ascii="Times New Roman" w:eastAsia="SimSun" w:hAnsi="Times New Roman" w:cs="Times New Roman"/>
          <w:lang w:eastAsia="zh-CN"/>
        </w:rPr>
        <w:footnoteReference w:id="10"/>
      </w:r>
      <w:r w:rsidR="00220A05" w:rsidRPr="00EE7E38">
        <w:rPr>
          <w:rFonts w:ascii="Times New Roman" w:hAnsi="Times New Roman" w:cs="Times New Roman"/>
        </w:rPr>
        <w:t xml:space="preserve">. </w:t>
      </w:r>
      <w:r w:rsidR="007B6814" w:rsidRPr="00EE7E38">
        <w:rPr>
          <w:rFonts w:ascii="Times New Roman" w:hAnsi="Times New Roman" w:cs="Times New Roman"/>
        </w:rPr>
        <w:t xml:space="preserve">In 2013, </w:t>
      </w:r>
      <w:r w:rsidR="001B3CBF" w:rsidRPr="00EE7E38">
        <w:rPr>
          <w:rFonts w:ascii="Times New Roman" w:hAnsi="Times New Roman" w:cs="Times New Roman"/>
        </w:rPr>
        <w:t xml:space="preserve">routine </w:t>
      </w:r>
      <w:r w:rsidR="00220A05" w:rsidRPr="00EE7E38">
        <w:rPr>
          <w:rFonts w:ascii="Times New Roman" w:hAnsi="Times New Roman" w:cs="Times New Roman"/>
        </w:rPr>
        <w:t xml:space="preserve">drug susceptibility testing (DST) by the National Reference Laboratory </w:t>
      </w:r>
      <w:r w:rsidR="007B6814" w:rsidRPr="00EE7E38">
        <w:rPr>
          <w:rFonts w:ascii="Times New Roman" w:hAnsi="Times New Roman" w:cs="Times New Roman"/>
        </w:rPr>
        <w:t xml:space="preserve">found MDR-TB </w:t>
      </w:r>
      <w:r w:rsidR="00AA532B">
        <w:rPr>
          <w:rFonts w:ascii="Times New Roman" w:hAnsi="Times New Roman" w:cs="Times New Roman"/>
        </w:rPr>
        <w:t>present</w:t>
      </w:r>
      <w:r w:rsidR="00D43D9A">
        <w:rPr>
          <w:rFonts w:ascii="Times New Roman" w:hAnsi="Times New Roman" w:cs="Times New Roman"/>
        </w:rPr>
        <w:t xml:space="preserve"> </w:t>
      </w:r>
      <w:r w:rsidR="00220A05" w:rsidRPr="00EE7E38">
        <w:rPr>
          <w:rFonts w:ascii="Times New Roman" w:hAnsi="Times New Roman" w:cs="Times New Roman"/>
        </w:rPr>
        <w:t xml:space="preserve">in 11.2% of new </w:t>
      </w:r>
      <w:r w:rsidR="007B6814" w:rsidRPr="00EE7E38">
        <w:rPr>
          <w:rFonts w:ascii="Times New Roman" w:hAnsi="Times New Roman" w:cs="Times New Roman"/>
        </w:rPr>
        <w:t xml:space="preserve">cases </w:t>
      </w:r>
      <w:r w:rsidR="00220A05" w:rsidRPr="00EE7E38">
        <w:rPr>
          <w:rFonts w:ascii="Times New Roman" w:hAnsi="Times New Roman" w:cs="Times New Roman"/>
        </w:rPr>
        <w:t xml:space="preserve">and in 38.1% of previously treated </w:t>
      </w:r>
      <w:r w:rsidR="007B6814" w:rsidRPr="00EE7E38">
        <w:rPr>
          <w:rFonts w:ascii="Times New Roman" w:hAnsi="Times New Roman" w:cs="Times New Roman"/>
        </w:rPr>
        <w:t>cases</w:t>
      </w:r>
      <w:r w:rsidR="00220A05" w:rsidRPr="00EE7E38">
        <w:rPr>
          <w:rFonts w:ascii="Times New Roman" w:hAnsi="Times New Roman" w:cs="Times New Roman"/>
        </w:rPr>
        <w:t xml:space="preserve">. </w:t>
      </w:r>
      <w:r w:rsidR="00F54683" w:rsidRPr="00EE7E38">
        <w:rPr>
          <w:rFonts w:ascii="Times New Roman" w:hAnsi="Times New Roman" w:cs="Times New Roman"/>
        </w:rPr>
        <w:t>The final</w:t>
      </w:r>
      <w:r w:rsidR="0049297E" w:rsidRPr="00EE7E38">
        <w:rPr>
          <w:rFonts w:ascii="Times New Roman" w:hAnsi="Times New Roman" w:cs="Times New Roman"/>
        </w:rPr>
        <w:t xml:space="preserve"> data for 201</w:t>
      </w:r>
      <w:r w:rsidR="001B3CBF" w:rsidRPr="00EE7E38">
        <w:rPr>
          <w:rFonts w:ascii="Times New Roman" w:hAnsi="Times New Roman" w:cs="Times New Roman"/>
        </w:rPr>
        <w:t>6</w:t>
      </w:r>
      <w:r w:rsidR="0049297E" w:rsidRPr="00EE7E38">
        <w:rPr>
          <w:rFonts w:ascii="Times New Roman" w:hAnsi="Times New Roman" w:cs="Times New Roman"/>
        </w:rPr>
        <w:t xml:space="preserve"> show MDR prevalence of </w:t>
      </w:r>
      <w:r w:rsidR="00A2042C" w:rsidRPr="00EE7E38">
        <w:rPr>
          <w:rFonts w:ascii="Times New Roman" w:hAnsi="Times New Roman" w:cs="Times New Roman"/>
        </w:rPr>
        <w:t>11.</w:t>
      </w:r>
      <w:r w:rsidR="001B3CBF" w:rsidRPr="00EE7E38">
        <w:rPr>
          <w:rFonts w:ascii="Times New Roman" w:hAnsi="Times New Roman" w:cs="Times New Roman"/>
        </w:rPr>
        <w:t>2</w:t>
      </w:r>
      <w:r w:rsidR="0049297E" w:rsidRPr="00EE7E38">
        <w:rPr>
          <w:rFonts w:ascii="Times New Roman" w:hAnsi="Times New Roman" w:cs="Times New Roman"/>
        </w:rPr>
        <w:t xml:space="preserve">% and </w:t>
      </w:r>
      <w:r w:rsidR="00A2042C" w:rsidRPr="00EE7E38">
        <w:rPr>
          <w:rFonts w:ascii="Times New Roman" w:hAnsi="Times New Roman" w:cs="Times New Roman"/>
        </w:rPr>
        <w:t>3</w:t>
      </w:r>
      <w:r w:rsidR="0027627A" w:rsidRPr="00EE7E38">
        <w:rPr>
          <w:rFonts w:ascii="Times New Roman" w:hAnsi="Times New Roman" w:cs="Times New Roman"/>
        </w:rPr>
        <w:t>8.4</w:t>
      </w:r>
      <w:r w:rsidR="0049297E" w:rsidRPr="00EE7E38">
        <w:rPr>
          <w:rFonts w:ascii="Times New Roman" w:hAnsi="Times New Roman" w:cs="Times New Roman"/>
        </w:rPr>
        <w:t>%</w:t>
      </w:r>
      <w:r w:rsidR="00E505B2" w:rsidRPr="00EE7E38">
        <w:rPr>
          <w:rFonts w:ascii="Times New Roman" w:hAnsi="Times New Roman" w:cs="Times New Roman"/>
        </w:rPr>
        <w:t xml:space="preserve"> in new and previously treated cases</w:t>
      </w:r>
      <w:r w:rsidR="0049297E" w:rsidRPr="00EE7E38">
        <w:rPr>
          <w:rFonts w:ascii="Times New Roman" w:hAnsi="Times New Roman" w:cs="Times New Roman"/>
        </w:rPr>
        <w:t>, respectively</w:t>
      </w:r>
      <w:r w:rsidR="00AA532B">
        <w:rPr>
          <w:rFonts w:ascii="Times New Roman" w:hAnsi="Times New Roman" w:cs="Times New Roman"/>
        </w:rPr>
        <w:t>. Among all</w:t>
      </w:r>
      <w:r w:rsidR="00E505B2" w:rsidRPr="00EE7E38">
        <w:rPr>
          <w:rFonts w:ascii="Times New Roman" w:hAnsi="Times New Roman" w:cs="Times New Roman"/>
        </w:rPr>
        <w:t xml:space="preserve"> cases with DST results, MDR-TB was found in 1</w:t>
      </w:r>
      <w:r w:rsidR="0027627A" w:rsidRPr="00EE7E38">
        <w:rPr>
          <w:rFonts w:ascii="Times New Roman" w:hAnsi="Times New Roman" w:cs="Times New Roman"/>
        </w:rPr>
        <w:t>6</w:t>
      </w:r>
      <w:r w:rsidR="00E505B2" w:rsidRPr="00EE7E38">
        <w:rPr>
          <w:rFonts w:ascii="Times New Roman" w:hAnsi="Times New Roman" w:cs="Times New Roman"/>
        </w:rPr>
        <w:t>.</w:t>
      </w:r>
      <w:r w:rsidR="00F54683" w:rsidRPr="00EE7E38">
        <w:rPr>
          <w:rFonts w:ascii="Times New Roman" w:hAnsi="Times New Roman" w:cs="Times New Roman"/>
        </w:rPr>
        <w:t>6</w:t>
      </w:r>
      <w:r w:rsidR="00E505B2" w:rsidRPr="00EE7E38">
        <w:rPr>
          <w:rFonts w:ascii="Times New Roman" w:hAnsi="Times New Roman" w:cs="Times New Roman"/>
        </w:rPr>
        <w:t>% of them</w:t>
      </w:r>
      <w:r w:rsidR="0049297E" w:rsidRPr="00EE7E38">
        <w:rPr>
          <w:rFonts w:ascii="Times New Roman" w:hAnsi="Times New Roman" w:cs="Times New Roman"/>
        </w:rPr>
        <w:t xml:space="preserve">. </w:t>
      </w:r>
      <w:r w:rsidR="00220A05" w:rsidRPr="00EE7E38">
        <w:rPr>
          <w:rFonts w:ascii="Times New Roman" w:hAnsi="Times New Roman" w:cs="Times New Roman"/>
        </w:rPr>
        <w:t xml:space="preserve">The </w:t>
      </w:r>
      <w:r w:rsidR="007B6814" w:rsidRPr="00EE7E38">
        <w:rPr>
          <w:rFonts w:ascii="Times New Roman" w:hAnsi="Times New Roman" w:cs="Times New Roman"/>
        </w:rPr>
        <w:t xml:space="preserve">first-line </w:t>
      </w:r>
      <w:r w:rsidR="00220A05" w:rsidRPr="00EE7E38">
        <w:rPr>
          <w:rFonts w:ascii="Times New Roman" w:hAnsi="Times New Roman" w:cs="Times New Roman"/>
        </w:rPr>
        <w:t xml:space="preserve">resistance profile for </w:t>
      </w:r>
      <w:r w:rsidR="00F82430" w:rsidRPr="00EE7E38">
        <w:rPr>
          <w:rFonts w:ascii="Times New Roman" w:hAnsi="Times New Roman" w:cs="Times New Roman"/>
          <w:lang w:val="ka-GE"/>
        </w:rPr>
        <w:t>2010-2016</w:t>
      </w:r>
      <w:r w:rsidR="007B6814" w:rsidRPr="00EE7E38">
        <w:rPr>
          <w:rFonts w:ascii="Times New Roman" w:hAnsi="Times New Roman" w:cs="Times New Roman"/>
        </w:rPr>
        <w:t xml:space="preserve"> </w:t>
      </w:r>
      <w:r w:rsidR="0049297E" w:rsidRPr="00EE7E38">
        <w:rPr>
          <w:rFonts w:ascii="Times New Roman" w:hAnsi="Times New Roman" w:cs="Times New Roman"/>
        </w:rPr>
        <w:t xml:space="preserve">is presented </w:t>
      </w:r>
      <w:r w:rsidR="00F82430" w:rsidRPr="00EE7E38">
        <w:rPr>
          <w:rFonts w:ascii="Times New Roman" w:hAnsi="Times New Roman" w:cs="Times New Roman"/>
        </w:rPr>
        <w:t xml:space="preserve">in </w:t>
      </w:r>
      <w:r w:rsidR="00AA532B">
        <w:rPr>
          <w:rFonts w:ascii="Times New Roman" w:hAnsi="Times New Roman" w:cs="Times New Roman"/>
        </w:rPr>
        <w:t>Table 2</w:t>
      </w:r>
      <w:r w:rsidR="00F82430" w:rsidRPr="00EE7E38">
        <w:rPr>
          <w:rFonts w:ascii="Times New Roman" w:hAnsi="Times New Roman" w:cs="Times New Roman"/>
        </w:rPr>
        <w:t xml:space="preserve"> below.</w:t>
      </w:r>
    </w:p>
    <w:p w14:paraId="58D6DA42" w14:textId="092BD963" w:rsidR="00317BA1" w:rsidRPr="00EE7E38" w:rsidRDefault="00317BA1" w:rsidP="00317BA1">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00190629"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00190629" w:rsidRPr="00EE7E38">
        <w:rPr>
          <w:rFonts w:ascii="Times New Roman" w:hAnsi="Times New Roman" w:cs="Times New Roman"/>
        </w:rPr>
        <w:fldChar w:fldCharType="separate"/>
      </w:r>
      <w:r w:rsidR="00676B83" w:rsidRPr="00EE7E38">
        <w:rPr>
          <w:rFonts w:ascii="Times New Roman" w:hAnsi="Times New Roman" w:cs="Times New Roman"/>
          <w:noProof/>
        </w:rPr>
        <w:t>2</w:t>
      </w:r>
      <w:r w:rsidR="00190629" w:rsidRPr="00EE7E38">
        <w:rPr>
          <w:rFonts w:ascii="Times New Roman" w:hAnsi="Times New Roman" w:cs="Times New Roman"/>
        </w:rPr>
        <w:fldChar w:fldCharType="end"/>
      </w:r>
      <w:r w:rsidRPr="00EE7E38">
        <w:rPr>
          <w:rFonts w:ascii="Times New Roman" w:hAnsi="Times New Roman" w:cs="Times New Roman"/>
        </w:rPr>
        <w:t>.</w:t>
      </w:r>
      <w:proofErr w:type="gramEnd"/>
      <w:r w:rsidRPr="00EE7E38">
        <w:rPr>
          <w:rFonts w:ascii="Times New Roman" w:hAnsi="Times New Roman" w:cs="Times New Roman"/>
        </w:rPr>
        <w:t xml:space="preserve"> Pattern of resistance to first-line anti-TB </w:t>
      </w:r>
      <w:r w:rsidR="00AA532B" w:rsidRPr="00EE7E38">
        <w:rPr>
          <w:rFonts w:ascii="Times New Roman" w:hAnsi="Times New Roman" w:cs="Times New Roman"/>
        </w:rPr>
        <w:t>drugs in</w:t>
      </w:r>
      <w:r w:rsidRPr="00EE7E38">
        <w:rPr>
          <w:rFonts w:ascii="Times New Roman" w:hAnsi="Times New Roman" w:cs="Times New Roman"/>
        </w:rPr>
        <w:t xml:space="preserve"> new and previously treated culture-positive cases, 2010-2016</w:t>
      </w:r>
      <w:r w:rsidRPr="00EE7E38">
        <w:rPr>
          <w:rStyle w:val="FootnoteReference"/>
          <w:rFonts w:ascii="Times New Roman" w:hAnsi="Times New Roman" w:cs="Times New Roman"/>
        </w:rPr>
        <w:footnoteReference w:id="11"/>
      </w:r>
    </w:p>
    <w:tbl>
      <w:tblPr>
        <w:tblStyle w:val="TableGrid"/>
        <w:tblW w:w="0" w:type="auto"/>
        <w:tblLayout w:type="fixed"/>
        <w:tblLook w:val="04A0" w:firstRow="1" w:lastRow="0" w:firstColumn="1" w:lastColumn="0" w:noHBand="0" w:noVBand="1"/>
      </w:tblPr>
      <w:tblGrid>
        <w:gridCol w:w="821"/>
        <w:gridCol w:w="753"/>
        <w:gridCol w:w="753"/>
        <w:gridCol w:w="753"/>
        <w:gridCol w:w="753"/>
        <w:gridCol w:w="753"/>
        <w:gridCol w:w="753"/>
        <w:gridCol w:w="753"/>
        <w:gridCol w:w="753"/>
        <w:gridCol w:w="753"/>
        <w:gridCol w:w="753"/>
        <w:gridCol w:w="753"/>
        <w:gridCol w:w="751"/>
      </w:tblGrid>
      <w:tr w:rsidR="0049297E" w:rsidRPr="00EE7E38" w14:paraId="5DAD1F37" w14:textId="77777777" w:rsidTr="007B6814">
        <w:tc>
          <w:tcPr>
            <w:tcW w:w="821" w:type="dxa"/>
            <w:vMerge w:val="restart"/>
            <w:vAlign w:val="center"/>
          </w:tcPr>
          <w:p w14:paraId="457FE89F" w14:textId="77777777" w:rsidR="007B6814" w:rsidRPr="00EE7E38" w:rsidRDefault="007B6814" w:rsidP="00835F94">
            <w:pPr>
              <w:widowControl w:val="0"/>
              <w:spacing w:before="40" w:after="40"/>
              <w:jc w:val="center"/>
              <w:rPr>
                <w:rFonts w:ascii="Times New Roman" w:hAnsi="Times New Roman" w:cs="Times New Roman"/>
                <w:b/>
                <w:sz w:val="18"/>
                <w:szCs w:val="18"/>
              </w:rPr>
            </w:pPr>
            <w:r w:rsidRPr="00EE7E38">
              <w:rPr>
                <w:rFonts w:ascii="Times New Roman" w:hAnsi="Times New Roman" w:cs="Times New Roman"/>
                <w:b/>
                <w:i/>
                <w:sz w:val="18"/>
                <w:szCs w:val="18"/>
              </w:rPr>
              <w:t>Year</w:t>
            </w:r>
          </w:p>
        </w:tc>
        <w:tc>
          <w:tcPr>
            <w:tcW w:w="4518" w:type="dxa"/>
            <w:gridSpan w:val="6"/>
            <w:vAlign w:val="center"/>
          </w:tcPr>
          <w:p w14:paraId="570C0303"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New cases</w:t>
            </w:r>
          </w:p>
        </w:tc>
        <w:tc>
          <w:tcPr>
            <w:tcW w:w="4516" w:type="dxa"/>
            <w:gridSpan w:val="6"/>
            <w:vAlign w:val="center"/>
          </w:tcPr>
          <w:p w14:paraId="02DC6F79"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Previously treated cases</w:t>
            </w:r>
          </w:p>
        </w:tc>
      </w:tr>
      <w:tr w:rsidR="0049297E" w:rsidRPr="00EE7E38" w14:paraId="482B1E5F" w14:textId="77777777" w:rsidTr="007B6814">
        <w:tc>
          <w:tcPr>
            <w:tcW w:w="821" w:type="dxa"/>
            <w:vMerge/>
            <w:vAlign w:val="center"/>
          </w:tcPr>
          <w:p w14:paraId="55936BE8" w14:textId="77777777" w:rsidR="007B6814" w:rsidRPr="00EE7E38" w:rsidRDefault="007B6814" w:rsidP="00835F94">
            <w:pPr>
              <w:widowControl w:val="0"/>
              <w:spacing w:before="40" w:after="40"/>
              <w:jc w:val="center"/>
              <w:rPr>
                <w:rFonts w:ascii="Times New Roman" w:hAnsi="Times New Roman" w:cs="Times New Roman"/>
                <w:b/>
                <w:sz w:val="16"/>
                <w:szCs w:val="16"/>
              </w:rPr>
            </w:pPr>
          </w:p>
        </w:tc>
        <w:tc>
          <w:tcPr>
            <w:tcW w:w="753" w:type="dxa"/>
            <w:vMerge w:val="restart"/>
            <w:vAlign w:val="center"/>
          </w:tcPr>
          <w:p w14:paraId="139F757B" w14:textId="77777777" w:rsidR="007B6814" w:rsidRPr="00EE7E38" w:rsidRDefault="007B6814" w:rsidP="00835F94">
            <w:pPr>
              <w:widowControl w:val="0"/>
              <w:spacing w:before="40" w:after="40"/>
              <w:jc w:val="center"/>
              <w:rPr>
                <w:rFonts w:ascii="Times New Roman" w:hAnsi="Times New Roman" w:cs="Times New Roman"/>
                <w:b/>
                <w:sz w:val="16"/>
                <w:szCs w:val="16"/>
              </w:rPr>
            </w:pPr>
            <w:r w:rsidRPr="00EE7E38">
              <w:rPr>
                <w:rFonts w:ascii="Times New Roman" w:hAnsi="Times New Roman" w:cs="Times New Roman"/>
                <w:b/>
                <w:sz w:val="16"/>
                <w:szCs w:val="16"/>
              </w:rPr>
              <w:t>Cases with DST results</w:t>
            </w:r>
          </w:p>
        </w:tc>
        <w:tc>
          <w:tcPr>
            <w:tcW w:w="3765" w:type="dxa"/>
            <w:gridSpan w:val="5"/>
            <w:vAlign w:val="center"/>
          </w:tcPr>
          <w:p w14:paraId="676AAD1F" w14:textId="77777777" w:rsidR="007B6814" w:rsidRPr="00EE7E38" w:rsidRDefault="007B6814"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Resistance profile, %</w:t>
            </w:r>
          </w:p>
        </w:tc>
        <w:tc>
          <w:tcPr>
            <w:tcW w:w="753" w:type="dxa"/>
            <w:vMerge w:val="restart"/>
            <w:vAlign w:val="center"/>
          </w:tcPr>
          <w:p w14:paraId="02807C5F" w14:textId="77777777" w:rsidR="007B6814" w:rsidRPr="00EE7E38" w:rsidRDefault="007B6814" w:rsidP="00835F94">
            <w:pPr>
              <w:widowControl w:val="0"/>
              <w:spacing w:before="40" w:after="40"/>
              <w:jc w:val="center"/>
              <w:rPr>
                <w:rFonts w:ascii="Times New Roman" w:hAnsi="Times New Roman" w:cs="Times New Roman"/>
                <w:b/>
                <w:sz w:val="16"/>
                <w:szCs w:val="16"/>
              </w:rPr>
            </w:pPr>
            <w:r w:rsidRPr="00EE7E38">
              <w:rPr>
                <w:rFonts w:ascii="Times New Roman" w:hAnsi="Times New Roman" w:cs="Times New Roman"/>
                <w:b/>
                <w:sz w:val="16"/>
                <w:szCs w:val="16"/>
              </w:rPr>
              <w:t>Cases with DST results</w:t>
            </w:r>
          </w:p>
        </w:tc>
        <w:tc>
          <w:tcPr>
            <w:tcW w:w="3763" w:type="dxa"/>
            <w:gridSpan w:val="5"/>
            <w:vAlign w:val="center"/>
          </w:tcPr>
          <w:p w14:paraId="162FF087" w14:textId="77777777" w:rsidR="007B6814" w:rsidRPr="00EE7E38" w:rsidRDefault="007B6814"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Resistance profile, %</w:t>
            </w:r>
          </w:p>
        </w:tc>
      </w:tr>
      <w:tr w:rsidR="0049297E" w:rsidRPr="00EE7E38" w14:paraId="0E257FD9" w14:textId="77777777" w:rsidTr="007B6814">
        <w:tc>
          <w:tcPr>
            <w:tcW w:w="821" w:type="dxa"/>
            <w:vMerge/>
            <w:vAlign w:val="center"/>
          </w:tcPr>
          <w:p w14:paraId="3938FD40" w14:textId="77777777" w:rsidR="007B6814" w:rsidRPr="00EE7E38" w:rsidRDefault="007B6814" w:rsidP="00835F94">
            <w:pPr>
              <w:widowControl w:val="0"/>
              <w:spacing w:before="40" w:after="40"/>
              <w:jc w:val="center"/>
              <w:rPr>
                <w:rFonts w:ascii="Times New Roman" w:hAnsi="Times New Roman" w:cs="Times New Roman"/>
                <w:b/>
                <w:sz w:val="16"/>
                <w:szCs w:val="16"/>
              </w:rPr>
            </w:pPr>
          </w:p>
        </w:tc>
        <w:tc>
          <w:tcPr>
            <w:tcW w:w="753" w:type="dxa"/>
            <w:vMerge/>
            <w:vAlign w:val="center"/>
          </w:tcPr>
          <w:p w14:paraId="5A5858D0" w14:textId="77777777" w:rsidR="007B6814" w:rsidRPr="00EE7E38" w:rsidRDefault="007B6814" w:rsidP="00835F94">
            <w:pPr>
              <w:widowControl w:val="0"/>
              <w:spacing w:before="40" w:after="40"/>
              <w:jc w:val="center"/>
              <w:rPr>
                <w:rFonts w:ascii="Times New Roman" w:hAnsi="Times New Roman" w:cs="Times New Roman"/>
                <w:b/>
                <w:sz w:val="16"/>
                <w:szCs w:val="16"/>
              </w:rPr>
            </w:pPr>
          </w:p>
        </w:tc>
        <w:tc>
          <w:tcPr>
            <w:tcW w:w="753" w:type="dxa"/>
            <w:vAlign w:val="center"/>
          </w:tcPr>
          <w:p w14:paraId="0A54183B" w14:textId="77777777" w:rsidR="007B6814" w:rsidRPr="00EE7E38" w:rsidRDefault="007B6814" w:rsidP="00835F94">
            <w:pPr>
              <w:widowControl w:val="0"/>
              <w:spacing w:before="40" w:after="40"/>
              <w:jc w:val="center"/>
              <w:rPr>
                <w:rFonts w:ascii="Times New Roman" w:hAnsi="Times New Roman" w:cs="Times New Roman"/>
                <w:i/>
                <w:sz w:val="16"/>
                <w:szCs w:val="16"/>
              </w:rPr>
            </w:pPr>
            <w:proofErr w:type="spellStart"/>
            <w:r w:rsidRPr="00EE7E38">
              <w:rPr>
                <w:rFonts w:ascii="Times New Roman" w:hAnsi="Times New Roman" w:cs="Times New Roman"/>
                <w:i/>
                <w:sz w:val="16"/>
                <w:szCs w:val="16"/>
              </w:rPr>
              <w:t>Sensiti-ve</w:t>
            </w:r>
            <w:proofErr w:type="spellEnd"/>
            <w:r w:rsidRPr="00EE7E38">
              <w:rPr>
                <w:rFonts w:ascii="Times New Roman" w:hAnsi="Times New Roman" w:cs="Times New Roman"/>
                <w:i/>
                <w:sz w:val="16"/>
                <w:szCs w:val="16"/>
              </w:rPr>
              <w:t xml:space="preserve"> to all FLDs</w:t>
            </w:r>
          </w:p>
        </w:tc>
        <w:tc>
          <w:tcPr>
            <w:tcW w:w="753" w:type="dxa"/>
            <w:vAlign w:val="center"/>
          </w:tcPr>
          <w:p w14:paraId="57323BCA"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 xml:space="preserve">H+ </w:t>
            </w:r>
            <w:proofErr w:type="spellStart"/>
            <w:r w:rsidRPr="00EE7E38">
              <w:rPr>
                <w:rFonts w:ascii="Times New Roman" w:hAnsi="Times New Roman" w:cs="Times New Roman"/>
                <w:i/>
                <w:sz w:val="16"/>
                <w:szCs w:val="16"/>
              </w:rPr>
              <w:t>resis-tance</w:t>
            </w:r>
            <w:proofErr w:type="spellEnd"/>
          </w:p>
        </w:tc>
        <w:tc>
          <w:tcPr>
            <w:tcW w:w="753" w:type="dxa"/>
            <w:vAlign w:val="center"/>
          </w:tcPr>
          <w:p w14:paraId="3D2CA29A"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 xml:space="preserve">R+ </w:t>
            </w:r>
            <w:proofErr w:type="spellStart"/>
            <w:r w:rsidRPr="00EE7E38">
              <w:rPr>
                <w:rFonts w:ascii="Times New Roman" w:hAnsi="Times New Roman" w:cs="Times New Roman"/>
                <w:i/>
                <w:sz w:val="16"/>
                <w:szCs w:val="16"/>
              </w:rPr>
              <w:t>resis-tance</w:t>
            </w:r>
            <w:proofErr w:type="spellEnd"/>
          </w:p>
        </w:tc>
        <w:tc>
          <w:tcPr>
            <w:tcW w:w="753" w:type="dxa"/>
            <w:vAlign w:val="center"/>
          </w:tcPr>
          <w:p w14:paraId="7466CF33"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MDR-TB</w:t>
            </w:r>
          </w:p>
        </w:tc>
        <w:tc>
          <w:tcPr>
            <w:tcW w:w="753" w:type="dxa"/>
            <w:vAlign w:val="center"/>
          </w:tcPr>
          <w:p w14:paraId="2727CEE4"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Other pat-terns</w:t>
            </w:r>
          </w:p>
        </w:tc>
        <w:tc>
          <w:tcPr>
            <w:tcW w:w="753" w:type="dxa"/>
            <w:vMerge/>
            <w:vAlign w:val="center"/>
          </w:tcPr>
          <w:p w14:paraId="3D38C1F1" w14:textId="77777777" w:rsidR="007B6814" w:rsidRPr="00EE7E38" w:rsidRDefault="007B6814" w:rsidP="00835F94">
            <w:pPr>
              <w:widowControl w:val="0"/>
              <w:spacing w:before="40" w:after="40"/>
              <w:jc w:val="center"/>
              <w:rPr>
                <w:rFonts w:ascii="Times New Roman" w:hAnsi="Times New Roman" w:cs="Times New Roman"/>
                <w:b/>
                <w:sz w:val="16"/>
                <w:szCs w:val="16"/>
              </w:rPr>
            </w:pPr>
          </w:p>
        </w:tc>
        <w:tc>
          <w:tcPr>
            <w:tcW w:w="753" w:type="dxa"/>
            <w:vAlign w:val="center"/>
          </w:tcPr>
          <w:p w14:paraId="45750E78" w14:textId="77777777" w:rsidR="007B6814" w:rsidRPr="00EE7E38" w:rsidRDefault="007B6814" w:rsidP="00835F94">
            <w:pPr>
              <w:widowControl w:val="0"/>
              <w:spacing w:before="40" w:after="40"/>
              <w:jc w:val="center"/>
              <w:rPr>
                <w:rFonts w:ascii="Times New Roman" w:hAnsi="Times New Roman" w:cs="Times New Roman"/>
                <w:i/>
                <w:sz w:val="16"/>
                <w:szCs w:val="16"/>
              </w:rPr>
            </w:pPr>
            <w:proofErr w:type="spellStart"/>
            <w:r w:rsidRPr="00EE7E38">
              <w:rPr>
                <w:rFonts w:ascii="Times New Roman" w:hAnsi="Times New Roman" w:cs="Times New Roman"/>
                <w:i/>
                <w:sz w:val="16"/>
                <w:szCs w:val="16"/>
              </w:rPr>
              <w:t>Sensiti-ve</w:t>
            </w:r>
            <w:proofErr w:type="spellEnd"/>
            <w:r w:rsidRPr="00EE7E38">
              <w:rPr>
                <w:rFonts w:ascii="Times New Roman" w:hAnsi="Times New Roman" w:cs="Times New Roman"/>
                <w:i/>
                <w:sz w:val="16"/>
                <w:szCs w:val="16"/>
              </w:rPr>
              <w:t xml:space="preserve"> to all FLDs</w:t>
            </w:r>
          </w:p>
        </w:tc>
        <w:tc>
          <w:tcPr>
            <w:tcW w:w="753" w:type="dxa"/>
            <w:vAlign w:val="center"/>
          </w:tcPr>
          <w:p w14:paraId="36B8FC38"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 xml:space="preserve">H+ </w:t>
            </w:r>
            <w:proofErr w:type="spellStart"/>
            <w:r w:rsidRPr="00EE7E38">
              <w:rPr>
                <w:rFonts w:ascii="Times New Roman" w:hAnsi="Times New Roman" w:cs="Times New Roman"/>
                <w:i/>
                <w:sz w:val="16"/>
                <w:szCs w:val="16"/>
              </w:rPr>
              <w:t>resis-tance</w:t>
            </w:r>
            <w:proofErr w:type="spellEnd"/>
          </w:p>
        </w:tc>
        <w:tc>
          <w:tcPr>
            <w:tcW w:w="753" w:type="dxa"/>
            <w:vAlign w:val="center"/>
          </w:tcPr>
          <w:p w14:paraId="71B0B606"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 xml:space="preserve">R+ </w:t>
            </w:r>
            <w:proofErr w:type="spellStart"/>
            <w:r w:rsidRPr="00EE7E38">
              <w:rPr>
                <w:rFonts w:ascii="Times New Roman" w:hAnsi="Times New Roman" w:cs="Times New Roman"/>
                <w:i/>
                <w:sz w:val="16"/>
                <w:szCs w:val="16"/>
              </w:rPr>
              <w:t>resis-tance</w:t>
            </w:r>
            <w:proofErr w:type="spellEnd"/>
          </w:p>
        </w:tc>
        <w:tc>
          <w:tcPr>
            <w:tcW w:w="753" w:type="dxa"/>
            <w:vAlign w:val="center"/>
          </w:tcPr>
          <w:p w14:paraId="23440189"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MDR-TB</w:t>
            </w:r>
          </w:p>
        </w:tc>
        <w:tc>
          <w:tcPr>
            <w:tcW w:w="751" w:type="dxa"/>
            <w:vAlign w:val="center"/>
          </w:tcPr>
          <w:p w14:paraId="02FBBA44" w14:textId="77777777" w:rsidR="007B6814" w:rsidRPr="00EE7E38" w:rsidRDefault="007B6814" w:rsidP="00835F94">
            <w:pPr>
              <w:widowControl w:val="0"/>
              <w:spacing w:before="40" w:after="40"/>
              <w:jc w:val="center"/>
              <w:rPr>
                <w:rFonts w:ascii="Times New Roman" w:hAnsi="Times New Roman" w:cs="Times New Roman"/>
                <w:i/>
                <w:sz w:val="16"/>
                <w:szCs w:val="16"/>
              </w:rPr>
            </w:pPr>
            <w:r w:rsidRPr="00EE7E38">
              <w:rPr>
                <w:rFonts w:ascii="Times New Roman" w:hAnsi="Times New Roman" w:cs="Times New Roman"/>
                <w:i/>
                <w:sz w:val="16"/>
                <w:szCs w:val="16"/>
              </w:rPr>
              <w:t>Other pat-terns</w:t>
            </w:r>
          </w:p>
        </w:tc>
      </w:tr>
      <w:tr w:rsidR="007B6814" w:rsidRPr="00EE7E38" w14:paraId="6130DA75" w14:textId="77777777" w:rsidTr="00371C7B">
        <w:tc>
          <w:tcPr>
            <w:tcW w:w="821" w:type="dxa"/>
          </w:tcPr>
          <w:p w14:paraId="4FA663B4"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2010</w:t>
            </w:r>
          </w:p>
        </w:tc>
        <w:tc>
          <w:tcPr>
            <w:tcW w:w="753" w:type="dxa"/>
          </w:tcPr>
          <w:p w14:paraId="3D4BBFE4"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1,988</w:t>
            </w:r>
          </w:p>
        </w:tc>
        <w:tc>
          <w:tcPr>
            <w:tcW w:w="753" w:type="dxa"/>
          </w:tcPr>
          <w:p w14:paraId="1E0D5CF4"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44.6</w:t>
            </w:r>
          </w:p>
        </w:tc>
        <w:tc>
          <w:tcPr>
            <w:tcW w:w="753" w:type="dxa"/>
          </w:tcPr>
          <w:p w14:paraId="01B3CF4A"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13.7</w:t>
            </w:r>
          </w:p>
        </w:tc>
        <w:tc>
          <w:tcPr>
            <w:tcW w:w="753" w:type="dxa"/>
          </w:tcPr>
          <w:p w14:paraId="6A240AC5"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0.4</w:t>
            </w:r>
          </w:p>
        </w:tc>
        <w:tc>
          <w:tcPr>
            <w:tcW w:w="753" w:type="dxa"/>
          </w:tcPr>
          <w:p w14:paraId="03BE0CF3"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9.5</w:t>
            </w:r>
          </w:p>
        </w:tc>
        <w:tc>
          <w:tcPr>
            <w:tcW w:w="753" w:type="dxa"/>
          </w:tcPr>
          <w:p w14:paraId="2D03878B"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31.9</w:t>
            </w:r>
          </w:p>
        </w:tc>
        <w:tc>
          <w:tcPr>
            <w:tcW w:w="753" w:type="dxa"/>
          </w:tcPr>
          <w:p w14:paraId="7B739AFC"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567</w:t>
            </w:r>
          </w:p>
        </w:tc>
        <w:tc>
          <w:tcPr>
            <w:tcW w:w="753" w:type="dxa"/>
          </w:tcPr>
          <w:p w14:paraId="1D0DBE4B"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33.3</w:t>
            </w:r>
          </w:p>
        </w:tc>
        <w:tc>
          <w:tcPr>
            <w:tcW w:w="753" w:type="dxa"/>
          </w:tcPr>
          <w:p w14:paraId="334A09C1"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13.6</w:t>
            </w:r>
          </w:p>
        </w:tc>
        <w:tc>
          <w:tcPr>
            <w:tcW w:w="753" w:type="dxa"/>
          </w:tcPr>
          <w:p w14:paraId="3A650808"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0.5</w:t>
            </w:r>
          </w:p>
        </w:tc>
        <w:tc>
          <w:tcPr>
            <w:tcW w:w="753" w:type="dxa"/>
          </w:tcPr>
          <w:p w14:paraId="50F1E95B"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31.4</w:t>
            </w:r>
          </w:p>
        </w:tc>
        <w:tc>
          <w:tcPr>
            <w:tcW w:w="751" w:type="dxa"/>
          </w:tcPr>
          <w:p w14:paraId="6B9228B7"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21.2</w:t>
            </w:r>
          </w:p>
        </w:tc>
      </w:tr>
      <w:tr w:rsidR="007B6814" w:rsidRPr="00EE7E38" w14:paraId="76AE65C7" w14:textId="77777777" w:rsidTr="00371C7B">
        <w:tc>
          <w:tcPr>
            <w:tcW w:w="821" w:type="dxa"/>
            <w:vAlign w:val="center"/>
          </w:tcPr>
          <w:p w14:paraId="2A399C96"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2011</w:t>
            </w:r>
          </w:p>
        </w:tc>
        <w:tc>
          <w:tcPr>
            <w:tcW w:w="753" w:type="dxa"/>
            <w:vAlign w:val="center"/>
          </w:tcPr>
          <w:p w14:paraId="7F38F769"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2,197</w:t>
            </w:r>
          </w:p>
        </w:tc>
        <w:tc>
          <w:tcPr>
            <w:tcW w:w="753" w:type="dxa"/>
            <w:vAlign w:val="center"/>
          </w:tcPr>
          <w:p w14:paraId="47787DF1"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52.5</w:t>
            </w:r>
          </w:p>
        </w:tc>
        <w:tc>
          <w:tcPr>
            <w:tcW w:w="753" w:type="dxa"/>
            <w:vAlign w:val="center"/>
          </w:tcPr>
          <w:p w14:paraId="748457B2"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12.8</w:t>
            </w:r>
          </w:p>
        </w:tc>
        <w:tc>
          <w:tcPr>
            <w:tcW w:w="753" w:type="dxa"/>
            <w:vAlign w:val="center"/>
          </w:tcPr>
          <w:p w14:paraId="14253D01"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1.0</w:t>
            </w:r>
          </w:p>
        </w:tc>
        <w:tc>
          <w:tcPr>
            <w:tcW w:w="753" w:type="dxa"/>
          </w:tcPr>
          <w:p w14:paraId="73A21438"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10.9</w:t>
            </w:r>
          </w:p>
        </w:tc>
        <w:tc>
          <w:tcPr>
            <w:tcW w:w="753" w:type="dxa"/>
            <w:vAlign w:val="center"/>
          </w:tcPr>
          <w:p w14:paraId="2BEEA5C6"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22.7</w:t>
            </w:r>
          </w:p>
        </w:tc>
        <w:tc>
          <w:tcPr>
            <w:tcW w:w="753" w:type="dxa"/>
            <w:vAlign w:val="center"/>
          </w:tcPr>
          <w:p w14:paraId="7D5A7976"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675</w:t>
            </w:r>
          </w:p>
        </w:tc>
        <w:tc>
          <w:tcPr>
            <w:tcW w:w="753" w:type="dxa"/>
          </w:tcPr>
          <w:p w14:paraId="12F2B096"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35.6</w:t>
            </w:r>
          </w:p>
        </w:tc>
        <w:tc>
          <w:tcPr>
            <w:tcW w:w="753" w:type="dxa"/>
            <w:vAlign w:val="center"/>
          </w:tcPr>
          <w:p w14:paraId="036D22C4"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12.3</w:t>
            </w:r>
          </w:p>
        </w:tc>
        <w:tc>
          <w:tcPr>
            <w:tcW w:w="753" w:type="dxa"/>
            <w:vAlign w:val="center"/>
          </w:tcPr>
          <w:p w14:paraId="0CDB7C7E"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1.3</w:t>
            </w:r>
          </w:p>
        </w:tc>
        <w:tc>
          <w:tcPr>
            <w:tcW w:w="753" w:type="dxa"/>
            <w:vAlign w:val="center"/>
          </w:tcPr>
          <w:p w14:paraId="5B43A598"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31.7</w:t>
            </w:r>
          </w:p>
        </w:tc>
        <w:tc>
          <w:tcPr>
            <w:tcW w:w="751" w:type="dxa"/>
            <w:vAlign w:val="center"/>
          </w:tcPr>
          <w:p w14:paraId="4D349E6C"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19.1</w:t>
            </w:r>
          </w:p>
        </w:tc>
      </w:tr>
      <w:tr w:rsidR="007B6814" w:rsidRPr="00EE7E38" w14:paraId="3AC0667F" w14:textId="77777777" w:rsidTr="00371C7B">
        <w:tc>
          <w:tcPr>
            <w:tcW w:w="821" w:type="dxa"/>
            <w:vAlign w:val="center"/>
          </w:tcPr>
          <w:p w14:paraId="1B838D9D"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2012</w:t>
            </w:r>
          </w:p>
        </w:tc>
        <w:tc>
          <w:tcPr>
            <w:tcW w:w="753" w:type="dxa"/>
            <w:vAlign w:val="center"/>
          </w:tcPr>
          <w:p w14:paraId="20DC7F80"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1,931</w:t>
            </w:r>
          </w:p>
        </w:tc>
        <w:tc>
          <w:tcPr>
            <w:tcW w:w="753" w:type="dxa"/>
            <w:vAlign w:val="center"/>
          </w:tcPr>
          <w:p w14:paraId="46142592"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59.5</w:t>
            </w:r>
          </w:p>
        </w:tc>
        <w:tc>
          <w:tcPr>
            <w:tcW w:w="753" w:type="dxa"/>
            <w:vAlign w:val="center"/>
          </w:tcPr>
          <w:p w14:paraId="0DF2243D"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13.4</w:t>
            </w:r>
          </w:p>
        </w:tc>
        <w:tc>
          <w:tcPr>
            <w:tcW w:w="753" w:type="dxa"/>
            <w:vAlign w:val="center"/>
          </w:tcPr>
          <w:p w14:paraId="1D64F59B"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0.6</w:t>
            </w:r>
          </w:p>
        </w:tc>
        <w:tc>
          <w:tcPr>
            <w:tcW w:w="753" w:type="dxa"/>
          </w:tcPr>
          <w:p w14:paraId="452EECB0"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9.2</w:t>
            </w:r>
          </w:p>
        </w:tc>
        <w:tc>
          <w:tcPr>
            <w:tcW w:w="753" w:type="dxa"/>
            <w:vAlign w:val="center"/>
          </w:tcPr>
          <w:p w14:paraId="343AEA50"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17.3</w:t>
            </w:r>
          </w:p>
        </w:tc>
        <w:tc>
          <w:tcPr>
            <w:tcW w:w="753" w:type="dxa"/>
            <w:vAlign w:val="center"/>
          </w:tcPr>
          <w:p w14:paraId="533BD8C0"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541</w:t>
            </w:r>
          </w:p>
        </w:tc>
        <w:tc>
          <w:tcPr>
            <w:tcW w:w="753" w:type="dxa"/>
          </w:tcPr>
          <w:p w14:paraId="39F727D9"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42.0</w:t>
            </w:r>
          </w:p>
        </w:tc>
        <w:tc>
          <w:tcPr>
            <w:tcW w:w="753" w:type="dxa"/>
            <w:vAlign w:val="center"/>
          </w:tcPr>
          <w:p w14:paraId="59C09176"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10.7</w:t>
            </w:r>
          </w:p>
        </w:tc>
        <w:tc>
          <w:tcPr>
            <w:tcW w:w="753" w:type="dxa"/>
            <w:vAlign w:val="center"/>
          </w:tcPr>
          <w:p w14:paraId="4B994FB5"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0.6</w:t>
            </w:r>
          </w:p>
        </w:tc>
        <w:tc>
          <w:tcPr>
            <w:tcW w:w="753" w:type="dxa"/>
            <w:vAlign w:val="center"/>
          </w:tcPr>
          <w:p w14:paraId="5393A58C"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31.2</w:t>
            </w:r>
          </w:p>
        </w:tc>
        <w:tc>
          <w:tcPr>
            <w:tcW w:w="751" w:type="dxa"/>
            <w:vAlign w:val="center"/>
          </w:tcPr>
          <w:p w14:paraId="6242E10C"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15.5</w:t>
            </w:r>
          </w:p>
        </w:tc>
      </w:tr>
      <w:tr w:rsidR="0049297E" w:rsidRPr="00EE7E38" w14:paraId="56CED8B9" w14:textId="77777777" w:rsidTr="00371C7B">
        <w:tc>
          <w:tcPr>
            <w:tcW w:w="821" w:type="dxa"/>
            <w:vAlign w:val="center"/>
          </w:tcPr>
          <w:p w14:paraId="0228E783"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2013</w:t>
            </w:r>
          </w:p>
        </w:tc>
        <w:tc>
          <w:tcPr>
            <w:tcW w:w="753" w:type="dxa"/>
            <w:vAlign w:val="center"/>
          </w:tcPr>
          <w:p w14:paraId="76464A1A"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1,629</w:t>
            </w:r>
          </w:p>
        </w:tc>
        <w:tc>
          <w:tcPr>
            <w:tcW w:w="753" w:type="dxa"/>
            <w:vAlign w:val="center"/>
          </w:tcPr>
          <w:p w14:paraId="0195CC86"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58.9</w:t>
            </w:r>
          </w:p>
        </w:tc>
        <w:tc>
          <w:tcPr>
            <w:tcW w:w="753" w:type="dxa"/>
            <w:vAlign w:val="center"/>
          </w:tcPr>
          <w:p w14:paraId="6AD3EBA5"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11.7</w:t>
            </w:r>
          </w:p>
        </w:tc>
        <w:tc>
          <w:tcPr>
            <w:tcW w:w="753" w:type="dxa"/>
            <w:vAlign w:val="center"/>
          </w:tcPr>
          <w:p w14:paraId="5F041745"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0.4</w:t>
            </w:r>
          </w:p>
        </w:tc>
        <w:tc>
          <w:tcPr>
            <w:tcW w:w="753" w:type="dxa"/>
          </w:tcPr>
          <w:p w14:paraId="3AFDA0E3"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11.2</w:t>
            </w:r>
          </w:p>
        </w:tc>
        <w:tc>
          <w:tcPr>
            <w:tcW w:w="753" w:type="dxa"/>
            <w:vAlign w:val="center"/>
          </w:tcPr>
          <w:p w14:paraId="2F11F0BE"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17.8</w:t>
            </w:r>
          </w:p>
        </w:tc>
        <w:tc>
          <w:tcPr>
            <w:tcW w:w="753" w:type="dxa"/>
            <w:vAlign w:val="center"/>
          </w:tcPr>
          <w:p w14:paraId="5E4D7F6A"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527</w:t>
            </w:r>
          </w:p>
        </w:tc>
        <w:tc>
          <w:tcPr>
            <w:tcW w:w="753" w:type="dxa"/>
          </w:tcPr>
          <w:p w14:paraId="5E1DEFE8"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38.3</w:t>
            </w:r>
          </w:p>
        </w:tc>
        <w:tc>
          <w:tcPr>
            <w:tcW w:w="753" w:type="dxa"/>
            <w:vAlign w:val="center"/>
          </w:tcPr>
          <w:p w14:paraId="3D896E6C"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9.9</w:t>
            </w:r>
          </w:p>
        </w:tc>
        <w:tc>
          <w:tcPr>
            <w:tcW w:w="753" w:type="dxa"/>
            <w:vAlign w:val="center"/>
          </w:tcPr>
          <w:p w14:paraId="5C5E0896"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0.0</w:t>
            </w:r>
          </w:p>
        </w:tc>
        <w:tc>
          <w:tcPr>
            <w:tcW w:w="753" w:type="dxa"/>
            <w:vAlign w:val="center"/>
          </w:tcPr>
          <w:p w14:paraId="1E7C5D27"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38.1</w:t>
            </w:r>
          </w:p>
        </w:tc>
        <w:tc>
          <w:tcPr>
            <w:tcW w:w="751" w:type="dxa"/>
            <w:vAlign w:val="center"/>
          </w:tcPr>
          <w:p w14:paraId="240E61E8" w14:textId="77777777" w:rsidR="007B6814" w:rsidRPr="00EE7E38" w:rsidRDefault="007B6814"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13.7</w:t>
            </w:r>
          </w:p>
        </w:tc>
      </w:tr>
      <w:tr w:rsidR="0049297E" w:rsidRPr="00EE7E38" w14:paraId="7EB8AA31" w14:textId="77777777" w:rsidTr="000059B4">
        <w:tc>
          <w:tcPr>
            <w:tcW w:w="821" w:type="dxa"/>
            <w:vAlign w:val="center"/>
          </w:tcPr>
          <w:p w14:paraId="585D0A12" w14:textId="77777777" w:rsidR="007B6814" w:rsidRPr="00EE7E38" w:rsidRDefault="007B6814"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2014</w:t>
            </w:r>
          </w:p>
        </w:tc>
        <w:tc>
          <w:tcPr>
            <w:tcW w:w="753" w:type="dxa"/>
            <w:vAlign w:val="center"/>
          </w:tcPr>
          <w:p w14:paraId="04583EB7" w14:textId="77777777" w:rsidR="007B6814" w:rsidRPr="00EE7E38" w:rsidRDefault="00E505B2" w:rsidP="00F54683">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1,</w:t>
            </w:r>
            <w:r w:rsidR="00F54683" w:rsidRPr="00EE7E38">
              <w:rPr>
                <w:rFonts w:ascii="Times New Roman" w:hAnsi="Times New Roman" w:cs="Times New Roman"/>
                <w:b/>
                <w:sz w:val="20"/>
                <w:szCs w:val="20"/>
              </w:rPr>
              <w:t>482</w:t>
            </w:r>
          </w:p>
        </w:tc>
        <w:tc>
          <w:tcPr>
            <w:tcW w:w="753" w:type="dxa"/>
            <w:vAlign w:val="center"/>
          </w:tcPr>
          <w:p w14:paraId="486AB4B8" w14:textId="77777777" w:rsidR="007B6814" w:rsidRPr="00EE7E38" w:rsidRDefault="00E505B2"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57.</w:t>
            </w:r>
            <w:r w:rsidR="00F54683" w:rsidRPr="00EE7E38">
              <w:rPr>
                <w:rFonts w:ascii="Times New Roman" w:hAnsi="Times New Roman" w:cs="Times New Roman"/>
                <w:sz w:val="20"/>
                <w:szCs w:val="20"/>
              </w:rPr>
              <w:t>7</w:t>
            </w:r>
          </w:p>
        </w:tc>
        <w:tc>
          <w:tcPr>
            <w:tcW w:w="753" w:type="dxa"/>
            <w:vAlign w:val="center"/>
          </w:tcPr>
          <w:p w14:paraId="40A3C033" w14:textId="77777777" w:rsidR="007B6814" w:rsidRPr="00EE7E38" w:rsidRDefault="00E505B2"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w:t>
            </w:r>
            <w:r w:rsidR="00F54683" w:rsidRPr="00EE7E38">
              <w:rPr>
                <w:rFonts w:ascii="Times New Roman" w:hAnsi="Times New Roman" w:cs="Times New Roman"/>
                <w:sz w:val="20"/>
                <w:szCs w:val="20"/>
              </w:rPr>
              <w:t>2</w:t>
            </w:r>
            <w:r w:rsidRPr="00EE7E38">
              <w:rPr>
                <w:rFonts w:ascii="Times New Roman" w:hAnsi="Times New Roman" w:cs="Times New Roman"/>
                <w:sz w:val="20"/>
                <w:szCs w:val="20"/>
              </w:rPr>
              <w:t>.</w:t>
            </w:r>
            <w:r w:rsidR="00F54683" w:rsidRPr="00EE7E38">
              <w:rPr>
                <w:rFonts w:ascii="Times New Roman" w:hAnsi="Times New Roman" w:cs="Times New Roman"/>
                <w:sz w:val="20"/>
                <w:szCs w:val="20"/>
              </w:rPr>
              <w:t>3</w:t>
            </w:r>
          </w:p>
        </w:tc>
        <w:tc>
          <w:tcPr>
            <w:tcW w:w="753" w:type="dxa"/>
            <w:vAlign w:val="center"/>
          </w:tcPr>
          <w:p w14:paraId="651137B2" w14:textId="77777777" w:rsidR="007B6814" w:rsidRPr="00EE7E38" w:rsidRDefault="00E505B2"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0.2</w:t>
            </w:r>
          </w:p>
        </w:tc>
        <w:tc>
          <w:tcPr>
            <w:tcW w:w="753" w:type="dxa"/>
            <w:vAlign w:val="center"/>
          </w:tcPr>
          <w:p w14:paraId="60929954" w14:textId="77777777" w:rsidR="007B6814" w:rsidRPr="00EE7E38" w:rsidRDefault="00A2042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11.</w:t>
            </w:r>
            <w:r w:rsidR="00F54683" w:rsidRPr="00EE7E38">
              <w:rPr>
                <w:rFonts w:ascii="Times New Roman" w:hAnsi="Times New Roman" w:cs="Times New Roman"/>
                <w:sz w:val="20"/>
                <w:szCs w:val="20"/>
              </w:rPr>
              <w:t>6</w:t>
            </w:r>
          </w:p>
        </w:tc>
        <w:tc>
          <w:tcPr>
            <w:tcW w:w="753" w:type="dxa"/>
            <w:vAlign w:val="center"/>
          </w:tcPr>
          <w:p w14:paraId="73111A68" w14:textId="77777777" w:rsidR="007B6814" w:rsidRPr="00EE7E38" w:rsidRDefault="00E505B2"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18.</w:t>
            </w:r>
            <w:r w:rsidR="00F54683" w:rsidRPr="00EE7E38">
              <w:rPr>
                <w:rFonts w:ascii="Times New Roman" w:hAnsi="Times New Roman" w:cs="Times New Roman"/>
                <w:sz w:val="20"/>
                <w:szCs w:val="20"/>
              </w:rPr>
              <w:t>2</w:t>
            </w:r>
          </w:p>
        </w:tc>
        <w:tc>
          <w:tcPr>
            <w:tcW w:w="753" w:type="dxa"/>
            <w:vAlign w:val="center"/>
          </w:tcPr>
          <w:p w14:paraId="722F0163" w14:textId="77777777" w:rsidR="007B6814" w:rsidRPr="00EE7E38" w:rsidRDefault="00F54683"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20"/>
                <w:szCs w:val="20"/>
              </w:rPr>
              <w:t>503</w:t>
            </w:r>
          </w:p>
        </w:tc>
        <w:tc>
          <w:tcPr>
            <w:tcW w:w="753" w:type="dxa"/>
            <w:vAlign w:val="center"/>
          </w:tcPr>
          <w:p w14:paraId="10552BAD" w14:textId="77777777" w:rsidR="007B6814" w:rsidRPr="00EE7E38" w:rsidRDefault="00F54683"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38.0</w:t>
            </w:r>
          </w:p>
        </w:tc>
        <w:tc>
          <w:tcPr>
            <w:tcW w:w="753" w:type="dxa"/>
            <w:vAlign w:val="center"/>
          </w:tcPr>
          <w:p w14:paraId="2E79574D" w14:textId="77777777" w:rsidR="007B6814" w:rsidRPr="00EE7E38" w:rsidRDefault="00F54683"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9.5</w:t>
            </w:r>
          </w:p>
        </w:tc>
        <w:tc>
          <w:tcPr>
            <w:tcW w:w="753" w:type="dxa"/>
            <w:vAlign w:val="center"/>
          </w:tcPr>
          <w:p w14:paraId="0016FB72" w14:textId="77777777" w:rsidR="007B6814" w:rsidRPr="00EE7E38" w:rsidRDefault="00E505B2"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1.4</w:t>
            </w:r>
          </w:p>
        </w:tc>
        <w:tc>
          <w:tcPr>
            <w:tcW w:w="753" w:type="dxa"/>
            <w:vAlign w:val="center"/>
          </w:tcPr>
          <w:p w14:paraId="0CB8E90F" w14:textId="77777777" w:rsidR="007B6814" w:rsidRPr="00EE7E38" w:rsidRDefault="00E505B2"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3</w:t>
            </w:r>
            <w:r w:rsidR="00F54683" w:rsidRPr="00EE7E38">
              <w:rPr>
                <w:rFonts w:ascii="Times New Roman" w:hAnsi="Times New Roman" w:cs="Times New Roman"/>
                <w:sz w:val="20"/>
                <w:szCs w:val="20"/>
              </w:rPr>
              <w:t>9.2</w:t>
            </w:r>
          </w:p>
        </w:tc>
        <w:tc>
          <w:tcPr>
            <w:tcW w:w="751" w:type="dxa"/>
            <w:vAlign w:val="center"/>
          </w:tcPr>
          <w:p w14:paraId="2CD1911C" w14:textId="77777777" w:rsidR="007B6814" w:rsidRPr="00EE7E38" w:rsidRDefault="00E505B2"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1</w:t>
            </w:r>
            <w:r w:rsidR="00F54683" w:rsidRPr="00EE7E38">
              <w:rPr>
                <w:rFonts w:ascii="Times New Roman" w:hAnsi="Times New Roman" w:cs="Times New Roman"/>
                <w:sz w:val="20"/>
                <w:szCs w:val="20"/>
              </w:rPr>
              <w:t>1</w:t>
            </w:r>
            <w:r w:rsidRPr="00EE7E38">
              <w:rPr>
                <w:rFonts w:ascii="Times New Roman" w:hAnsi="Times New Roman" w:cs="Times New Roman"/>
                <w:sz w:val="20"/>
                <w:szCs w:val="20"/>
              </w:rPr>
              <w:t>.</w:t>
            </w:r>
            <w:r w:rsidR="00F54683" w:rsidRPr="00EE7E38">
              <w:rPr>
                <w:rFonts w:ascii="Times New Roman" w:hAnsi="Times New Roman" w:cs="Times New Roman"/>
                <w:sz w:val="20"/>
                <w:szCs w:val="20"/>
              </w:rPr>
              <w:t>9</w:t>
            </w:r>
          </w:p>
        </w:tc>
      </w:tr>
      <w:tr w:rsidR="00D0419C" w:rsidRPr="00EE7E38" w14:paraId="7432598D" w14:textId="77777777" w:rsidTr="00CC520A">
        <w:tc>
          <w:tcPr>
            <w:tcW w:w="821" w:type="dxa"/>
            <w:vAlign w:val="center"/>
          </w:tcPr>
          <w:p w14:paraId="0D660B52" w14:textId="77777777" w:rsidR="00D0419C" w:rsidRPr="00EE7E38" w:rsidRDefault="00D0419C"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18"/>
                <w:lang w:val="ka-GE"/>
              </w:rPr>
              <w:t>2015</w:t>
            </w:r>
          </w:p>
        </w:tc>
        <w:tc>
          <w:tcPr>
            <w:tcW w:w="753" w:type="dxa"/>
          </w:tcPr>
          <w:p w14:paraId="1ECD0376" w14:textId="77777777" w:rsidR="00D0419C" w:rsidRPr="00EE7E38" w:rsidRDefault="00D0419C" w:rsidP="00F54683">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18"/>
              </w:rPr>
              <w:t>1,447</w:t>
            </w:r>
          </w:p>
        </w:tc>
        <w:tc>
          <w:tcPr>
            <w:tcW w:w="753" w:type="dxa"/>
          </w:tcPr>
          <w:p w14:paraId="3A0A81F6"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58.5</w:t>
            </w:r>
          </w:p>
        </w:tc>
        <w:tc>
          <w:tcPr>
            <w:tcW w:w="753" w:type="dxa"/>
          </w:tcPr>
          <w:p w14:paraId="402887C5"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10.5</w:t>
            </w:r>
          </w:p>
        </w:tc>
        <w:tc>
          <w:tcPr>
            <w:tcW w:w="753" w:type="dxa"/>
          </w:tcPr>
          <w:p w14:paraId="6DED5C64"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0.7</w:t>
            </w:r>
          </w:p>
        </w:tc>
        <w:tc>
          <w:tcPr>
            <w:tcW w:w="753" w:type="dxa"/>
          </w:tcPr>
          <w:p w14:paraId="45FE61A3"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11.6</w:t>
            </w:r>
          </w:p>
        </w:tc>
        <w:tc>
          <w:tcPr>
            <w:tcW w:w="753" w:type="dxa"/>
          </w:tcPr>
          <w:p w14:paraId="4AF4870D"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18.7</w:t>
            </w:r>
          </w:p>
        </w:tc>
        <w:tc>
          <w:tcPr>
            <w:tcW w:w="753" w:type="dxa"/>
          </w:tcPr>
          <w:p w14:paraId="21EDD996" w14:textId="77777777" w:rsidR="00D0419C" w:rsidRPr="00EE7E38" w:rsidRDefault="00D0419C"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18"/>
              </w:rPr>
              <w:t>479</w:t>
            </w:r>
          </w:p>
        </w:tc>
        <w:tc>
          <w:tcPr>
            <w:tcW w:w="753" w:type="dxa"/>
          </w:tcPr>
          <w:p w14:paraId="3CC11D7E"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36.5</w:t>
            </w:r>
          </w:p>
        </w:tc>
        <w:tc>
          <w:tcPr>
            <w:tcW w:w="753" w:type="dxa"/>
          </w:tcPr>
          <w:p w14:paraId="579547FC"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10.6</w:t>
            </w:r>
          </w:p>
        </w:tc>
        <w:tc>
          <w:tcPr>
            <w:tcW w:w="753" w:type="dxa"/>
          </w:tcPr>
          <w:p w14:paraId="14F766E4"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0.8</w:t>
            </w:r>
          </w:p>
        </w:tc>
        <w:tc>
          <w:tcPr>
            <w:tcW w:w="753" w:type="dxa"/>
          </w:tcPr>
          <w:p w14:paraId="7232F238"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38.8</w:t>
            </w:r>
          </w:p>
        </w:tc>
        <w:tc>
          <w:tcPr>
            <w:tcW w:w="751" w:type="dxa"/>
          </w:tcPr>
          <w:p w14:paraId="278353CB"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13.2</w:t>
            </w:r>
          </w:p>
        </w:tc>
      </w:tr>
      <w:tr w:rsidR="00D0419C" w:rsidRPr="00EE7E38" w14:paraId="038F8EDF" w14:textId="77777777" w:rsidTr="00CC520A">
        <w:tc>
          <w:tcPr>
            <w:tcW w:w="821" w:type="dxa"/>
            <w:vAlign w:val="center"/>
          </w:tcPr>
          <w:p w14:paraId="4AA26903" w14:textId="77777777" w:rsidR="00D0419C" w:rsidRPr="00EE7E38" w:rsidRDefault="00D0419C"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18"/>
                <w:lang w:val="ka-GE"/>
              </w:rPr>
              <w:t>2016</w:t>
            </w:r>
          </w:p>
        </w:tc>
        <w:tc>
          <w:tcPr>
            <w:tcW w:w="753" w:type="dxa"/>
          </w:tcPr>
          <w:p w14:paraId="53A37C6B" w14:textId="77777777" w:rsidR="00D0419C" w:rsidRPr="00EE7E38" w:rsidRDefault="00D0419C" w:rsidP="00F54683">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18"/>
              </w:rPr>
              <w:t>1,383</w:t>
            </w:r>
          </w:p>
        </w:tc>
        <w:tc>
          <w:tcPr>
            <w:tcW w:w="753" w:type="dxa"/>
          </w:tcPr>
          <w:p w14:paraId="41E8F707"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60.2</w:t>
            </w:r>
          </w:p>
        </w:tc>
        <w:tc>
          <w:tcPr>
            <w:tcW w:w="753" w:type="dxa"/>
          </w:tcPr>
          <w:p w14:paraId="21599F70"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11.9</w:t>
            </w:r>
          </w:p>
        </w:tc>
        <w:tc>
          <w:tcPr>
            <w:tcW w:w="753" w:type="dxa"/>
          </w:tcPr>
          <w:p w14:paraId="064641A4"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0.7</w:t>
            </w:r>
          </w:p>
        </w:tc>
        <w:tc>
          <w:tcPr>
            <w:tcW w:w="753" w:type="dxa"/>
          </w:tcPr>
          <w:p w14:paraId="5050DBA9"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rPr>
              <w:t>10.3</w:t>
            </w:r>
          </w:p>
        </w:tc>
        <w:tc>
          <w:tcPr>
            <w:tcW w:w="753" w:type="dxa"/>
          </w:tcPr>
          <w:p w14:paraId="4907CD3E"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16.9</w:t>
            </w:r>
          </w:p>
        </w:tc>
        <w:tc>
          <w:tcPr>
            <w:tcW w:w="753" w:type="dxa"/>
          </w:tcPr>
          <w:p w14:paraId="4B599E1D" w14:textId="77777777" w:rsidR="00D0419C" w:rsidRPr="00EE7E38" w:rsidRDefault="00D0419C" w:rsidP="00835F94">
            <w:pPr>
              <w:widowControl w:val="0"/>
              <w:spacing w:before="40" w:after="40"/>
              <w:jc w:val="center"/>
              <w:rPr>
                <w:rFonts w:ascii="Times New Roman" w:hAnsi="Times New Roman" w:cs="Times New Roman"/>
                <w:b/>
                <w:sz w:val="20"/>
                <w:szCs w:val="20"/>
              </w:rPr>
            </w:pPr>
            <w:r w:rsidRPr="00EE7E38">
              <w:rPr>
                <w:rFonts w:ascii="Times New Roman" w:hAnsi="Times New Roman" w:cs="Times New Roman"/>
                <w:b/>
                <w:sz w:val="18"/>
              </w:rPr>
              <w:t>401</w:t>
            </w:r>
          </w:p>
        </w:tc>
        <w:tc>
          <w:tcPr>
            <w:tcW w:w="753" w:type="dxa"/>
          </w:tcPr>
          <w:p w14:paraId="4813892A"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40.6</w:t>
            </w:r>
          </w:p>
        </w:tc>
        <w:tc>
          <w:tcPr>
            <w:tcW w:w="753" w:type="dxa"/>
          </w:tcPr>
          <w:p w14:paraId="3081E6CD"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7.5</w:t>
            </w:r>
          </w:p>
        </w:tc>
        <w:tc>
          <w:tcPr>
            <w:tcW w:w="753" w:type="dxa"/>
          </w:tcPr>
          <w:p w14:paraId="02801873" w14:textId="77777777" w:rsidR="00D0419C" w:rsidRPr="00EE7E38" w:rsidRDefault="00D0419C"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1.2</w:t>
            </w:r>
          </w:p>
        </w:tc>
        <w:tc>
          <w:tcPr>
            <w:tcW w:w="753" w:type="dxa"/>
          </w:tcPr>
          <w:p w14:paraId="07369C51"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rPr>
              <w:t>38.4</w:t>
            </w:r>
          </w:p>
        </w:tc>
        <w:tc>
          <w:tcPr>
            <w:tcW w:w="751" w:type="dxa"/>
          </w:tcPr>
          <w:p w14:paraId="55178D2B" w14:textId="77777777" w:rsidR="00D0419C" w:rsidRPr="00EE7E38" w:rsidRDefault="00D0419C" w:rsidP="00F54683">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18"/>
                <w:lang w:val="ka-GE"/>
              </w:rPr>
              <w:t>12.2</w:t>
            </w:r>
          </w:p>
        </w:tc>
      </w:tr>
    </w:tbl>
    <w:p w14:paraId="3568A68D" w14:textId="723F5F90" w:rsidR="00121705" w:rsidRPr="00EE7E38" w:rsidRDefault="00632EC6"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About one-third of all laboratory</w:t>
      </w:r>
      <w:r w:rsidR="00AA532B">
        <w:rPr>
          <w:rFonts w:ascii="Times New Roman" w:hAnsi="Times New Roman" w:cs="Times New Roman"/>
        </w:rPr>
        <w:t>-</w:t>
      </w:r>
      <w:r w:rsidRPr="00EE7E38">
        <w:rPr>
          <w:rFonts w:ascii="Times New Roman" w:hAnsi="Times New Roman" w:cs="Times New Roman"/>
        </w:rPr>
        <w:t>confirmed MDR cases also have resistance to second-line anti-TB drugs (SLDs) – fluoroquinolones or injectable agents, and between 6-7% of MDR patients have extensively</w:t>
      </w:r>
      <w:r w:rsidR="00F95995" w:rsidRPr="00EE7E38">
        <w:rPr>
          <w:rFonts w:ascii="Times New Roman" w:hAnsi="Times New Roman" w:cs="Times New Roman"/>
        </w:rPr>
        <w:t xml:space="preserve"> drug</w:t>
      </w:r>
      <w:r w:rsidRPr="00EE7E38">
        <w:rPr>
          <w:rFonts w:ascii="Times New Roman" w:hAnsi="Times New Roman" w:cs="Times New Roman"/>
        </w:rPr>
        <w:t>-</w:t>
      </w:r>
      <w:r w:rsidR="00F95995" w:rsidRPr="00EE7E38">
        <w:rPr>
          <w:rFonts w:ascii="Times New Roman" w:hAnsi="Times New Roman" w:cs="Times New Roman"/>
        </w:rPr>
        <w:lastRenderedPageBreak/>
        <w:t>r</w:t>
      </w:r>
      <w:r w:rsidRPr="00EE7E38">
        <w:rPr>
          <w:rFonts w:ascii="Times New Roman" w:hAnsi="Times New Roman" w:cs="Times New Roman"/>
        </w:rPr>
        <w:t>esistant TB (XDR-TB</w:t>
      </w:r>
      <w:r w:rsidR="008640A4" w:rsidRPr="00EE7E38">
        <w:rPr>
          <w:rFonts w:ascii="Times New Roman" w:hAnsi="Times New Roman" w:cs="Times New Roman"/>
        </w:rPr>
        <w:t>)</w:t>
      </w:r>
      <w:r w:rsidRPr="00EE7E38">
        <w:rPr>
          <w:rStyle w:val="FootnoteReference"/>
          <w:rFonts w:ascii="Times New Roman" w:hAnsi="Times New Roman" w:cs="Times New Roman"/>
        </w:rPr>
        <w:footnoteReference w:id="12"/>
      </w:r>
      <w:r w:rsidRPr="00EE7E38">
        <w:rPr>
          <w:rFonts w:ascii="Times New Roman" w:hAnsi="Times New Roman" w:cs="Times New Roman"/>
        </w:rPr>
        <w:t xml:space="preserve">. </w:t>
      </w:r>
      <w:bookmarkStart w:id="8" w:name="_Toc415537135"/>
    </w:p>
    <w:p w14:paraId="0ACA4924" w14:textId="73BE5507" w:rsidR="00393AEA" w:rsidRPr="00EE7E38" w:rsidRDefault="00121705" w:rsidP="00835F94">
      <w:pPr>
        <w:widowControl w:val="0"/>
        <w:spacing w:before="120" w:after="120" w:line="240" w:lineRule="auto"/>
        <w:jc w:val="both"/>
        <w:rPr>
          <w:rFonts w:ascii="Times New Roman" w:hAnsi="Times New Roman" w:cs="Times New Roman"/>
        </w:rPr>
      </w:pPr>
      <w:proofErr w:type="gramStart"/>
      <w:r w:rsidRPr="00EE7E38">
        <w:rPr>
          <w:rFonts w:ascii="Times New Roman" w:hAnsi="Times New Roman" w:cs="Times New Roman"/>
          <w:b/>
          <w:i/>
        </w:rPr>
        <w:t>Childhood TB</w:t>
      </w:r>
      <w:r w:rsidR="00AF4B49" w:rsidRPr="00EE7E38">
        <w:rPr>
          <w:rFonts w:ascii="Times New Roman" w:hAnsi="Times New Roman" w:cs="Times New Roman"/>
          <w:b/>
          <w:i/>
        </w:rPr>
        <w:t>.</w:t>
      </w:r>
      <w:bookmarkEnd w:id="8"/>
      <w:proofErr w:type="gramEnd"/>
      <w:r w:rsidR="0027627A" w:rsidRPr="00EE7E38">
        <w:rPr>
          <w:rFonts w:ascii="Times New Roman" w:hAnsi="Times New Roman" w:cs="Times New Roman"/>
          <w:b/>
          <w:i/>
          <w:lang w:val="ka-GE"/>
        </w:rPr>
        <w:t xml:space="preserve"> </w:t>
      </w:r>
      <w:r w:rsidR="00FD0E04" w:rsidRPr="00EE7E38">
        <w:rPr>
          <w:rFonts w:ascii="Times New Roman" w:hAnsi="Times New Roman" w:cs="Times New Roman"/>
        </w:rPr>
        <w:t>In 201</w:t>
      </w:r>
      <w:r w:rsidR="0027627A" w:rsidRPr="00EE7E38">
        <w:rPr>
          <w:rFonts w:ascii="Times New Roman" w:hAnsi="Times New Roman" w:cs="Times New Roman"/>
          <w:lang w:val="ka-GE"/>
        </w:rPr>
        <w:t>6</w:t>
      </w:r>
      <w:r w:rsidR="00FD0E04" w:rsidRPr="00EE7E38">
        <w:rPr>
          <w:rFonts w:ascii="Times New Roman" w:hAnsi="Times New Roman" w:cs="Times New Roman"/>
        </w:rPr>
        <w:t xml:space="preserve">, </w:t>
      </w:r>
      <w:r w:rsidR="00DF36A0" w:rsidRPr="00EE7E38">
        <w:rPr>
          <w:rFonts w:ascii="Times New Roman" w:hAnsi="Times New Roman" w:cs="Times New Roman"/>
        </w:rPr>
        <w:t>12</w:t>
      </w:r>
      <w:r w:rsidR="0027627A" w:rsidRPr="00EE7E38">
        <w:rPr>
          <w:rFonts w:ascii="Times New Roman" w:hAnsi="Times New Roman" w:cs="Times New Roman"/>
          <w:lang w:val="ka-GE"/>
        </w:rPr>
        <w:t>2</w:t>
      </w:r>
      <w:r w:rsidR="00DF36A0" w:rsidRPr="00EE7E38">
        <w:rPr>
          <w:rFonts w:ascii="Times New Roman" w:hAnsi="Times New Roman" w:cs="Times New Roman"/>
        </w:rPr>
        <w:t xml:space="preserve"> </w:t>
      </w:r>
      <w:r w:rsidR="00FD0E04" w:rsidRPr="00EE7E38">
        <w:rPr>
          <w:rFonts w:ascii="Times New Roman" w:hAnsi="Times New Roman" w:cs="Times New Roman"/>
        </w:rPr>
        <w:t>TB cases, all forms, were registered in children aged 0-14 years (2</w:t>
      </w:r>
      <w:r w:rsidR="0027627A" w:rsidRPr="00EE7E38">
        <w:rPr>
          <w:rFonts w:ascii="Times New Roman" w:hAnsi="Times New Roman" w:cs="Times New Roman"/>
          <w:lang w:val="ka-GE"/>
        </w:rPr>
        <w:t>7</w:t>
      </w:r>
      <w:r w:rsidR="00FD0E04" w:rsidRPr="00EE7E38">
        <w:rPr>
          <w:rFonts w:ascii="Times New Roman" w:hAnsi="Times New Roman" w:cs="Times New Roman"/>
        </w:rPr>
        <w:t xml:space="preserve"> pulmonary TB cases and </w:t>
      </w:r>
      <w:r w:rsidR="0027627A" w:rsidRPr="00EE7E38">
        <w:rPr>
          <w:rFonts w:ascii="Times New Roman" w:hAnsi="Times New Roman" w:cs="Times New Roman"/>
          <w:lang w:val="ka-GE"/>
        </w:rPr>
        <w:t>97</w:t>
      </w:r>
      <w:r w:rsidR="00FD0E04" w:rsidRPr="00EE7E38">
        <w:rPr>
          <w:rFonts w:ascii="Times New Roman" w:hAnsi="Times New Roman" w:cs="Times New Roman"/>
        </w:rPr>
        <w:t xml:space="preserve"> extrapulmonary cases), constituting </w:t>
      </w:r>
      <w:r w:rsidR="00DF36A0" w:rsidRPr="00EE7E38">
        <w:rPr>
          <w:rFonts w:ascii="Times New Roman" w:hAnsi="Times New Roman" w:cs="Times New Roman"/>
        </w:rPr>
        <w:t>19</w:t>
      </w:r>
      <w:r w:rsidR="00FD0E04" w:rsidRPr="00EE7E38">
        <w:rPr>
          <w:rFonts w:ascii="Times New Roman" w:hAnsi="Times New Roman" w:cs="Times New Roman"/>
        </w:rPr>
        <w:t xml:space="preserve"> TB cases per 100,000 </w:t>
      </w:r>
      <w:r w:rsidR="00AA532B">
        <w:rPr>
          <w:rFonts w:ascii="Times New Roman" w:hAnsi="Times New Roman" w:cs="Times New Roman"/>
        </w:rPr>
        <w:t>children</w:t>
      </w:r>
      <w:r w:rsidR="00FD0E04" w:rsidRPr="00EE7E38">
        <w:rPr>
          <w:rFonts w:ascii="Times New Roman" w:hAnsi="Times New Roman" w:cs="Times New Roman"/>
        </w:rPr>
        <w:t xml:space="preserve">. The absolute </w:t>
      </w:r>
      <w:r w:rsidRPr="00EE7E38">
        <w:rPr>
          <w:rFonts w:ascii="Times New Roman" w:hAnsi="Times New Roman" w:cs="Times New Roman"/>
        </w:rPr>
        <w:t>number of child</w:t>
      </w:r>
      <w:r w:rsidR="00FD0E04" w:rsidRPr="00EE7E38">
        <w:rPr>
          <w:rFonts w:ascii="Times New Roman" w:hAnsi="Times New Roman" w:cs="Times New Roman"/>
        </w:rPr>
        <w:t>hood</w:t>
      </w:r>
      <w:r w:rsidRPr="00EE7E38">
        <w:rPr>
          <w:rFonts w:ascii="Times New Roman" w:hAnsi="Times New Roman" w:cs="Times New Roman"/>
        </w:rPr>
        <w:t xml:space="preserve"> TB cases almost halved within </w:t>
      </w:r>
      <w:r w:rsidR="00FD0E04" w:rsidRPr="00EE7E38">
        <w:rPr>
          <w:rFonts w:ascii="Times New Roman" w:hAnsi="Times New Roman" w:cs="Times New Roman"/>
        </w:rPr>
        <w:t xml:space="preserve">the </w:t>
      </w:r>
      <w:r w:rsidRPr="00EE7E38">
        <w:rPr>
          <w:rFonts w:ascii="Times New Roman" w:hAnsi="Times New Roman" w:cs="Times New Roman"/>
        </w:rPr>
        <w:t xml:space="preserve">last </w:t>
      </w:r>
      <w:r w:rsidR="00FD0E04" w:rsidRPr="00EE7E38">
        <w:rPr>
          <w:rFonts w:ascii="Times New Roman" w:hAnsi="Times New Roman" w:cs="Times New Roman"/>
        </w:rPr>
        <w:t>seven</w:t>
      </w:r>
      <w:r w:rsidRPr="00EE7E38">
        <w:rPr>
          <w:rFonts w:ascii="Times New Roman" w:hAnsi="Times New Roman" w:cs="Times New Roman"/>
        </w:rPr>
        <w:t xml:space="preserve"> years</w:t>
      </w:r>
      <w:r w:rsidR="00D40C6B" w:rsidRPr="00EE7E38">
        <w:rPr>
          <w:rFonts w:ascii="Times New Roman" w:hAnsi="Times New Roman" w:cs="Times New Roman"/>
          <w:lang w:val="ka-GE"/>
        </w:rPr>
        <w:t>, (</w:t>
      </w:r>
      <w:r w:rsidR="00D40C6B" w:rsidRPr="00EE7E38">
        <w:rPr>
          <w:rFonts w:ascii="Times New Roman" w:hAnsi="Times New Roman" w:cs="Times New Roman"/>
        </w:rPr>
        <w:t xml:space="preserve">with </w:t>
      </w:r>
      <w:r w:rsidR="00DF36A0" w:rsidRPr="00EE7E38">
        <w:rPr>
          <w:rFonts w:ascii="Times New Roman" w:hAnsi="Times New Roman" w:cs="Times New Roman"/>
        </w:rPr>
        <w:t>255</w:t>
      </w:r>
      <w:r w:rsidR="00D40C6B" w:rsidRPr="00EE7E38">
        <w:rPr>
          <w:rFonts w:ascii="Times New Roman" w:hAnsi="Times New Roman" w:cs="Times New Roman"/>
        </w:rPr>
        <w:t xml:space="preserve"> cases registered</w:t>
      </w:r>
      <w:r w:rsidRPr="00EE7E38">
        <w:rPr>
          <w:rFonts w:ascii="Times New Roman" w:hAnsi="Times New Roman" w:cs="Times New Roman"/>
        </w:rPr>
        <w:t xml:space="preserve"> in 20</w:t>
      </w:r>
      <w:r w:rsidR="00DF36A0" w:rsidRPr="00EE7E38">
        <w:rPr>
          <w:rFonts w:ascii="Times New Roman" w:hAnsi="Times New Roman" w:cs="Times New Roman"/>
        </w:rPr>
        <w:t>10</w:t>
      </w:r>
      <w:r w:rsidR="00D40C6B" w:rsidRPr="00EE7E38">
        <w:rPr>
          <w:rFonts w:ascii="Times New Roman" w:hAnsi="Times New Roman" w:cs="Times New Roman"/>
        </w:rPr>
        <w:t>)</w:t>
      </w:r>
      <w:r w:rsidR="00FD0E04" w:rsidRPr="00EE7E38">
        <w:rPr>
          <w:rFonts w:ascii="Times New Roman" w:hAnsi="Times New Roman" w:cs="Times New Roman"/>
        </w:rPr>
        <w:t xml:space="preserve">. </w:t>
      </w:r>
      <w:r w:rsidR="00992965" w:rsidRPr="00EE7E38">
        <w:rPr>
          <w:rFonts w:ascii="Times New Roman" w:hAnsi="Times New Roman" w:cs="Times New Roman"/>
        </w:rPr>
        <w:t xml:space="preserve">The proportion of pediatric </w:t>
      </w:r>
      <w:r w:rsidRPr="00EE7E38">
        <w:rPr>
          <w:rFonts w:ascii="Times New Roman" w:hAnsi="Times New Roman" w:cs="Times New Roman"/>
        </w:rPr>
        <w:t>TB cases</w:t>
      </w:r>
      <w:r w:rsidR="00992965" w:rsidRPr="00EE7E38">
        <w:rPr>
          <w:rFonts w:ascii="Times New Roman" w:hAnsi="Times New Roman" w:cs="Times New Roman"/>
        </w:rPr>
        <w:t xml:space="preserve"> during the </w:t>
      </w:r>
      <w:r w:rsidR="00DF36A0" w:rsidRPr="00EE7E38">
        <w:rPr>
          <w:rFonts w:ascii="Times New Roman" w:hAnsi="Times New Roman" w:cs="Times New Roman"/>
        </w:rPr>
        <w:t xml:space="preserve">last decade </w:t>
      </w:r>
      <w:r w:rsidR="00992965" w:rsidRPr="00EE7E38">
        <w:rPr>
          <w:rFonts w:ascii="Times New Roman" w:hAnsi="Times New Roman" w:cs="Times New Roman"/>
        </w:rPr>
        <w:t xml:space="preserve">has also decreased from </w:t>
      </w:r>
      <w:r w:rsidR="00DF36A0" w:rsidRPr="00EE7E38">
        <w:rPr>
          <w:rFonts w:ascii="Times New Roman" w:hAnsi="Times New Roman" w:cs="Times New Roman"/>
        </w:rPr>
        <w:t>6.2</w:t>
      </w:r>
      <w:r w:rsidR="00992965" w:rsidRPr="00EE7E38">
        <w:rPr>
          <w:rFonts w:ascii="Times New Roman" w:hAnsi="Times New Roman" w:cs="Times New Roman"/>
        </w:rPr>
        <w:t>%</w:t>
      </w:r>
      <w:r w:rsidR="00DF36A0" w:rsidRPr="00EE7E38">
        <w:rPr>
          <w:rFonts w:ascii="Times New Roman" w:hAnsi="Times New Roman" w:cs="Times New Roman"/>
        </w:rPr>
        <w:t xml:space="preserve"> in 2005</w:t>
      </w:r>
      <w:r w:rsidR="00992965" w:rsidRPr="00EE7E38">
        <w:rPr>
          <w:rFonts w:ascii="Times New Roman" w:hAnsi="Times New Roman" w:cs="Times New Roman"/>
        </w:rPr>
        <w:t xml:space="preserve"> to </w:t>
      </w:r>
      <w:r w:rsidR="00DF36A0" w:rsidRPr="00EE7E38">
        <w:rPr>
          <w:rFonts w:ascii="Times New Roman" w:hAnsi="Times New Roman" w:cs="Times New Roman"/>
        </w:rPr>
        <w:t>3</w:t>
      </w:r>
      <w:r w:rsidR="00992965" w:rsidRPr="00EE7E38">
        <w:rPr>
          <w:rFonts w:ascii="Times New Roman" w:hAnsi="Times New Roman" w:cs="Times New Roman"/>
        </w:rPr>
        <w:t>.</w:t>
      </w:r>
      <w:r w:rsidR="00D40C6B" w:rsidRPr="00EE7E38">
        <w:rPr>
          <w:rFonts w:ascii="Times New Roman" w:hAnsi="Times New Roman" w:cs="Times New Roman"/>
        </w:rPr>
        <w:t>66</w:t>
      </w:r>
      <w:r w:rsidR="00992965" w:rsidRPr="00EE7E38">
        <w:rPr>
          <w:rFonts w:ascii="Times New Roman" w:hAnsi="Times New Roman" w:cs="Times New Roman"/>
        </w:rPr>
        <w:t xml:space="preserve">% of all TB cases </w:t>
      </w:r>
      <w:r w:rsidR="00DF36A0" w:rsidRPr="00EE7E38">
        <w:rPr>
          <w:rFonts w:ascii="Times New Roman" w:hAnsi="Times New Roman" w:cs="Times New Roman"/>
        </w:rPr>
        <w:t>in 201</w:t>
      </w:r>
      <w:r w:rsidR="00D40C6B" w:rsidRPr="00EE7E38">
        <w:rPr>
          <w:rFonts w:ascii="Times New Roman" w:hAnsi="Times New Roman" w:cs="Times New Roman"/>
        </w:rPr>
        <w:t>6</w:t>
      </w:r>
      <w:r w:rsidR="00DF36A0" w:rsidRPr="00EE7E38">
        <w:rPr>
          <w:rFonts w:ascii="Times New Roman" w:hAnsi="Times New Roman" w:cs="Times New Roman"/>
        </w:rPr>
        <w:t xml:space="preserve">. </w:t>
      </w:r>
      <w:r w:rsidR="00AA532B">
        <w:rPr>
          <w:rFonts w:ascii="Times New Roman" w:hAnsi="Times New Roman" w:cs="Times New Roman"/>
        </w:rPr>
        <w:t>Eleven (</w:t>
      </w:r>
      <w:r w:rsidR="00D40C6B" w:rsidRPr="00EE7E38">
        <w:rPr>
          <w:rFonts w:ascii="Times New Roman" w:hAnsi="Times New Roman" w:cs="Times New Roman"/>
        </w:rPr>
        <w:t>11</w:t>
      </w:r>
      <w:r w:rsidR="00AA532B">
        <w:rPr>
          <w:rFonts w:ascii="Times New Roman" w:hAnsi="Times New Roman" w:cs="Times New Roman"/>
        </w:rPr>
        <w:t>)</w:t>
      </w:r>
      <w:r w:rsidR="00DF36A0" w:rsidRPr="00EE7E38">
        <w:rPr>
          <w:rFonts w:ascii="Times New Roman" w:hAnsi="Times New Roman" w:cs="Times New Roman"/>
        </w:rPr>
        <w:t xml:space="preserve"> </w:t>
      </w:r>
      <w:r w:rsidR="00A2042C" w:rsidRPr="00EE7E38">
        <w:rPr>
          <w:rFonts w:ascii="Times New Roman" w:hAnsi="Times New Roman" w:cs="Times New Roman"/>
        </w:rPr>
        <w:t xml:space="preserve">pediatric TB meningitis cases occurred in </w:t>
      </w:r>
      <w:r w:rsidR="00F82430" w:rsidRPr="00EE7E38">
        <w:rPr>
          <w:rFonts w:ascii="Times New Roman" w:hAnsi="Times New Roman" w:cs="Times New Roman"/>
          <w:lang w:val="ka-GE"/>
        </w:rPr>
        <w:t>2014-</w:t>
      </w:r>
      <w:r w:rsidR="00A2042C" w:rsidRPr="00EE7E38">
        <w:rPr>
          <w:rFonts w:ascii="Times New Roman" w:hAnsi="Times New Roman" w:cs="Times New Roman"/>
        </w:rPr>
        <w:t>201</w:t>
      </w:r>
      <w:r w:rsidR="00D40C6B" w:rsidRPr="00EE7E38">
        <w:rPr>
          <w:rFonts w:ascii="Times New Roman" w:hAnsi="Times New Roman" w:cs="Times New Roman"/>
        </w:rPr>
        <w:t>6</w:t>
      </w:r>
      <w:r w:rsidR="00A2042C" w:rsidRPr="00EE7E38">
        <w:rPr>
          <w:rFonts w:ascii="Times New Roman" w:hAnsi="Times New Roman" w:cs="Times New Roman"/>
        </w:rPr>
        <w:t>,</w:t>
      </w:r>
      <w:r w:rsidR="00DF36A0" w:rsidRPr="00EE7E38">
        <w:rPr>
          <w:rFonts w:ascii="Times New Roman" w:hAnsi="Times New Roman" w:cs="Times New Roman"/>
        </w:rPr>
        <w:t xml:space="preserve"> while no such cases </w:t>
      </w:r>
      <w:r w:rsidR="00A2042C" w:rsidRPr="00EE7E38">
        <w:rPr>
          <w:rFonts w:ascii="Times New Roman" w:hAnsi="Times New Roman" w:cs="Times New Roman"/>
        </w:rPr>
        <w:t xml:space="preserve">were registered during </w:t>
      </w:r>
      <w:r w:rsidR="00DF36A0" w:rsidRPr="00EE7E38">
        <w:rPr>
          <w:rFonts w:ascii="Times New Roman" w:hAnsi="Times New Roman" w:cs="Times New Roman"/>
        </w:rPr>
        <w:t>2013</w:t>
      </w:r>
      <w:r w:rsidR="00A2042C" w:rsidRPr="00EE7E38">
        <w:rPr>
          <w:rFonts w:ascii="Times New Roman" w:hAnsi="Times New Roman" w:cs="Times New Roman"/>
        </w:rPr>
        <w:t>.</w:t>
      </w:r>
    </w:p>
    <w:p w14:paraId="0D649C5C" w14:textId="5562E860" w:rsidR="00F13237" w:rsidRPr="00EE7E38" w:rsidRDefault="00AF4B49" w:rsidP="00835F94">
      <w:pPr>
        <w:widowControl w:val="0"/>
        <w:spacing w:before="120" w:after="120" w:line="240" w:lineRule="auto"/>
        <w:jc w:val="both"/>
        <w:rPr>
          <w:rFonts w:ascii="Times New Roman" w:hAnsi="Times New Roman" w:cs="Times New Roman"/>
        </w:rPr>
      </w:pPr>
      <w:proofErr w:type="gramStart"/>
      <w:r w:rsidRPr="00EE7E38">
        <w:rPr>
          <w:rFonts w:ascii="Times New Roman" w:hAnsi="Times New Roman" w:cs="Times New Roman"/>
          <w:b/>
          <w:bCs/>
          <w:i/>
        </w:rPr>
        <w:t>TB in prisons.</w:t>
      </w:r>
      <w:proofErr w:type="gramEnd"/>
      <w:r w:rsidR="00D40C6B" w:rsidRPr="00EE7E38">
        <w:rPr>
          <w:rFonts w:ascii="Times New Roman" w:hAnsi="Times New Roman" w:cs="Times New Roman"/>
          <w:b/>
          <w:bCs/>
          <w:i/>
          <w:lang w:val="ka-GE"/>
        </w:rPr>
        <w:t xml:space="preserve"> </w:t>
      </w:r>
      <w:r w:rsidR="00D40C6B" w:rsidRPr="00EE7E38">
        <w:rPr>
          <w:rFonts w:ascii="Times New Roman" w:hAnsi="Times New Roman" w:cs="Times New Roman"/>
          <w:bCs/>
        </w:rPr>
        <w:t>Impr</w:t>
      </w:r>
      <w:r w:rsidR="002E7E14" w:rsidRPr="00EE7E38">
        <w:rPr>
          <w:rFonts w:ascii="Times New Roman" w:hAnsi="Times New Roman" w:cs="Times New Roman"/>
          <w:bCs/>
        </w:rPr>
        <w:t xml:space="preserve">oved infection control and </w:t>
      </w:r>
      <w:r w:rsidR="00AA532B">
        <w:rPr>
          <w:rFonts w:ascii="Times New Roman" w:hAnsi="Times New Roman" w:cs="Times New Roman"/>
          <w:bCs/>
        </w:rPr>
        <w:t xml:space="preserve">a </w:t>
      </w:r>
      <w:r w:rsidR="00F82430" w:rsidRPr="00EE7E38">
        <w:rPr>
          <w:rFonts w:ascii="Times New Roman" w:hAnsi="Times New Roman" w:cs="Times New Roman"/>
          <w:bCs/>
        </w:rPr>
        <w:t xml:space="preserve">substantial decrease in the number of detainees contributed to </w:t>
      </w:r>
      <w:r w:rsidR="00AA532B">
        <w:rPr>
          <w:rFonts w:ascii="Times New Roman" w:hAnsi="Times New Roman" w:cs="Times New Roman"/>
          <w:bCs/>
        </w:rPr>
        <w:t xml:space="preserve">a </w:t>
      </w:r>
      <w:r w:rsidR="00F82430" w:rsidRPr="00EE7E38">
        <w:rPr>
          <w:rFonts w:ascii="Times New Roman" w:hAnsi="Times New Roman" w:cs="Times New Roman"/>
          <w:bCs/>
        </w:rPr>
        <w:t xml:space="preserve">dramatic drop of TB cases in prisons. </w:t>
      </w:r>
      <w:r w:rsidR="002E7E14" w:rsidRPr="00EE7E38">
        <w:rPr>
          <w:rFonts w:ascii="Times New Roman" w:hAnsi="Times New Roman" w:cs="Times New Roman"/>
          <w:bCs/>
        </w:rPr>
        <w:t>In 2016,</w:t>
      </w:r>
      <w:r w:rsidR="002E7E14" w:rsidRPr="00EE7E38">
        <w:rPr>
          <w:rFonts w:ascii="Times New Roman" w:hAnsi="Times New Roman" w:cs="Times New Roman"/>
          <w:b/>
          <w:bCs/>
          <w:i/>
        </w:rPr>
        <w:t xml:space="preserve"> </w:t>
      </w:r>
      <w:r w:rsidR="00EA39AE" w:rsidRPr="00EE7E38">
        <w:rPr>
          <w:rFonts w:ascii="Times New Roman" w:hAnsi="Times New Roman" w:cs="Times New Roman"/>
        </w:rPr>
        <w:t xml:space="preserve">the absolute number of TB cases </w:t>
      </w:r>
      <w:r w:rsidR="00AA532B">
        <w:rPr>
          <w:rFonts w:ascii="Times New Roman" w:hAnsi="Times New Roman" w:cs="Times New Roman"/>
        </w:rPr>
        <w:t xml:space="preserve">in prisons </w:t>
      </w:r>
      <w:r w:rsidR="00EA39AE" w:rsidRPr="00EE7E38">
        <w:rPr>
          <w:rFonts w:ascii="Times New Roman" w:hAnsi="Times New Roman" w:cs="Times New Roman"/>
        </w:rPr>
        <w:t xml:space="preserve">was </w:t>
      </w:r>
      <w:proofErr w:type="gramStart"/>
      <w:r w:rsidR="00EA39AE" w:rsidRPr="00EE7E38">
        <w:rPr>
          <w:rFonts w:ascii="Times New Roman" w:hAnsi="Times New Roman" w:cs="Times New Roman"/>
        </w:rPr>
        <w:t>84,</w:t>
      </w:r>
      <w:proofErr w:type="gramEnd"/>
      <w:r w:rsidR="00EA39AE" w:rsidRPr="00EE7E38">
        <w:rPr>
          <w:rFonts w:ascii="Times New Roman" w:hAnsi="Times New Roman" w:cs="Times New Roman"/>
        </w:rPr>
        <w:t xml:space="preserve"> three times lower </w:t>
      </w:r>
      <w:r w:rsidR="00AA532B">
        <w:rPr>
          <w:rFonts w:ascii="Times New Roman" w:hAnsi="Times New Roman" w:cs="Times New Roman"/>
        </w:rPr>
        <w:t>than it was in</w:t>
      </w:r>
      <w:r w:rsidR="00EA39AE" w:rsidRPr="00EE7E38">
        <w:rPr>
          <w:rFonts w:ascii="Times New Roman" w:hAnsi="Times New Roman" w:cs="Times New Roman"/>
        </w:rPr>
        <w:t xml:space="preserve"> 2013. </w:t>
      </w:r>
    </w:p>
    <w:p w14:paraId="67CF2453" w14:textId="1DBD6714" w:rsidR="004A0A18" w:rsidRPr="00EE7E38" w:rsidRDefault="00CF660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In </w:t>
      </w:r>
      <w:r w:rsidR="00CC520A" w:rsidRPr="00EE7E38">
        <w:rPr>
          <w:rFonts w:ascii="Times New Roman" w:hAnsi="Times New Roman" w:cs="Times New Roman"/>
        </w:rPr>
        <w:t>2011-2016</w:t>
      </w:r>
      <w:r w:rsidR="004A0A18" w:rsidRPr="00EE7E38">
        <w:rPr>
          <w:rFonts w:ascii="Times New Roman" w:hAnsi="Times New Roman" w:cs="Times New Roman"/>
        </w:rPr>
        <w:t xml:space="preserve">, the number of new cases decreased from 800 to </w:t>
      </w:r>
      <w:r w:rsidR="0088118F" w:rsidRPr="00EE7E38">
        <w:rPr>
          <w:rFonts w:ascii="Times New Roman" w:hAnsi="Times New Roman" w:cs="Times New Roman"/>
        </w:rPr>
        <w:t>42</w:t>
      </w:r>
      <w:r w:rsidR="004A0A18" w:rsidRPr="00EE7E38">
        <w:rPr>
          <w:rFonts w:ascii="Times New Roman" w:hAnsi="Times New Roman" w:cs="Times New Roman"/>
        </w:rPr>
        <w:t xml:space="preserve">. TB </w:t>
      </w:r>
      <w:r w:rsidR="00A6178C" w:rsidRPr="00EE7E38">
        <w:rPr>
          <w:rFonts w:ascii="Times New Roman" w:hAnsi="Times New Roman" w:cs="Times New Roman"/>
        </w:rPr>
        <w:t xml:space="preserve">notification </w:t>
      </w:r>
      <w:r w:rsidR="004A0A18" w:rsidRPr="00EE7E38">
        <w:rPr>
          <w:rFonts w:ascii="Times New Roman" w:hAnsi="Times New Roman" w:cs="Times New Roman"/>
        </w:rPr>
        <w:t xml:space="preserve">rates </w:t>
      </w:r>
      <w:r w:rsidR="00CC520A" w:rsidRPr="00EE7E38">
        <w:rPr>
          <w:rFonts w:ascii="Times New Roman" w:hAnsi="Times New Roman" w:cs="Times New Roman"/>
        </w:rPr>
        <w:t xml:space="preserve">for all TB cases </w:t>
      </w:r>
      <w:r w:rsidR="004A0A18" w:rsidRPr="00EE7E38">
        <w:rPr>
          <w:rFonts w:ascii="Times New Roman" w:hAnsi="Times New Roman" w:cs="Times New Roman"/>
        </w:rPr>
        <w:t xml:space="preserve">have decreased from </w:t>
      </w:r>
      <w:r w:rsidR="00BF0116" w:rsidRPr="00EE7E38">
        <w:rPr>
          <w:rFonts w:ascii="Times New Roman" w:hAnsi="Times New Roman" w:cs="Times New Roman"/>
        </w:rPr>
        <w:t xml:space="preserve">4,860 </w:t>
      </w:r>
      <w:r w:rsidR="00A6178C" w:rsidRPr="00EE7E38">
        <w:rPr>
          <w:rFonts w:ascii="Times New Roman" w:hAnsi="Times New Roman" w:cs="Times New Roman"/>
        </w:rPr>
        <w:t xml:space="preserve">to </w:t>
      </w:r>
      <w:r w:rsidR="00CC520A" w:rsidRPr="00EE7E38">
        <w:rPr>
          <w:rFonts w:ascii="Times New Roman" w:hAnsi="Times New Roman" w:cs="Times New Roman"/>
        </w:rPr>
        <w:t xml:space="preserve">900, and for new cases it decreased </w:t>
      </w:r>
      <w:r w:rsidR="00A6178C" w:rsidRPr="00EE7E38">
        <w:rPr>
          <w:rFonts w:ascii="Times New Roman" w:hAnsi="Times New Roman" w:cs="Times New Roman"/>
        </w:rPr>
        <w:t xml:space="preserve">from </w:t>
      </w:r>
      <w:r w:rsidR="00BF0116" w:rsidRPr="00EE7E38">
        <w:rPr>
          <w:rFonts w:ascii="Times New Roman" w:hAnsi="Times New Roman" w:cs="Times New Roman"/>
        </w:rPr>
        <w:t xml:space="preserve">3,320 </w:t>
      </w:r>
      <w:r w:rsidR="00A6178C" w:rsidRPr="00EE7E38">
        <w:rPr>
          <w:rFonts w:ascii="Times New Roman" w:hAnsi="Times New Roman" w:cs="Times New Roman"/>
        </w:rPr>
        <w:t xml:space="preserve">to </w:t>
      </w:r>
      <w:r w:rsidR="00CC520A" w:rsidRPr="00EE7E38">
        <w:rPr>
          <w:rFonts w:ascii="Times New Roman" w:hAnsi="Times New Roman" w:cs="Times New Roman"/>
        </w:rPr>
        <w:t xml:space="preserve">50 per 100,000 </w:t>
      </w:r>
      <w:r w:rsidR="00AA532B">
        <w:rPr>
          <w:rFonts w:ascii="Times New Roman" w:hAnsi="Times New Roman" w:cs="Times New Roman"/>
        </w:rPr>
        <w:t>prisoners</w:t>
      </w:r>
      <w:r w:rsidR="00A6178C" w:rsidRPr="00EE7E38">
        <w:rPr>
          <w:rFonts w:ascii="Times New Roman" w:hAnsi="Times New Roman" w:cs="Times New Roman"/>
        </w:rPr>
        <w:t xml:space="preserve">. </w:t>
      </w:r>
      <w:r w:rsidR="00F13237" w:rsidRPr="00EE7E38">
        <w:rPr>
          <w:rFonts w:ascii="Times New Roman" w:hAnsi="Times New Roman" w:cs="Times New Roman"/>
        </w:rPr>
        <w:t xml:space="preserve">However, </w:t>
      </w:r>
      <w:r w:rsidR="00A6178C" w:rsidRPr="00EE7E38">
        <w:rPr>
          <w:rFonts w:ascii="Times New Roman" w:hAnsi="Times New Roman" w:cs="Times New Roman"/>
        </w:rPr>
        <w:t xml:space="preserve">TB notification rates in the penitentiary system </w:t>
      </w:r>
      <w:r w:rsidR="00F13237" w:rsidRPr="00EE7E38">
        <w:rPr>
          <w:rFonts w:ascii="Times New Roman" w:hAnsi="Times New Roman" w:cs="Times New Roman"/>
        </w:rPr>
        <w:t xml:space="preserve">are </w:t>
      </w:r>
      <w:r w:rsidR="00BF0116" w:rsidRPr="00EE7E38">
        <w:rPr>
          <w:rFonts w:ascii="Times New Roman" w:hAnsi="Times New Roman" w:cs="Times New Roman"/>
        </w:rPr>
        <w:t xml:space="preserve">much </w:t>
      </w:r>
      <w:r w:rsidR="00F13237" w:rsidRPr="00EE7E38">
        <w:rPr>
          <w:rFonts w:ascii="Times New Roman" w:hAnsi="Times New Roman" w:cs="Times New Roman"/>
        </w:rPr>
        <w:t>high</w:t>
      </w:r>
      <w:r w:rsidR="00BF0116" w:rsidRPr="00EE7E38">
        <w:rPr>
          <w:rFonts w:ascii="Times New Roman" w:hAnsi="Times New Roman" w:cs="Times New Roman"/>
        </w:rPr>
        <w:t xml:space="preserve">er than </w:t>
      </w:r>
      <w:r w:rsidR="00A6178C" w:rsidRPr="00EE7E38">
        <w:rPr>
          <w:rFonts w:ascii="Times New Roman" w:hAnsi="Times New Roman" w:cs="Times New Roman"/>
        </w:rPr>
        <w:t xml:space="preserve">in the civilian sector </w:t>
      </w:r>
      <w:r w:rsidR="00AA532B">
        <w:rPr>
          <w:rFonts w:ascii="Times New Roman" w:hAnsi="Times New Roman" w:cs="Times New Roman"/>
        </w:rPr>
        <w:t>(</w:t>
      </w:r>
      <w:r w:rsidR="00CC520A" w:rsidRPr="00EE7E38">
        <w:rPr>
          <w:rFonts w:ascii="Times New Roman" w:hAnsi="Times New Roman" w:cs="Times New Roman"/>
        </w:rPr>
        <w:t xml:space="preserve">7 </w:t>
      </w:r>
      <w:r w:rsidR="00F13237" w:rsidRPr="00EE7E38">
        <w:rPr>
          <w:rFonts w:ascii="Times New Roman" w:hAnsi="Times New Roman" w:cs="Times New Roman"/>
        </w:rPr>
        <w:t xml:space="preserve">times </w:t>
      </w:r>
      <w:r w:rsidR="00AA532B">
        <w:rPr>
          <w:rFonts w:ascii="Times New Roman" w:hAnsi="Times New Roman" w:cs="Times New Roman"/>
        </w:rPr>
        <w:t xml:space="preserve">higher </w:t>
      </w:r>
      <w:r w:rsidR="00F13237" w:rsidRPr="00EE7E38">
        <w:rPr>
          <w:rFonts w:ascii="Times New Roman" w:hAnsi="Times New Roman" w:cs="Times New Roman"/>
        </w:rPr>
        <w:t>for new cases</w:t>
      </w:r>
      <w:r w:rsidR="00CC520A" w:rsidRPr="00EE7E38">
        <w:rPr>
          <w:rFonts w:ascii="Times New Roman" w:hAnsi="Times New Roman" w:cs="Times New Roman"/>
        </w:rPr>
        <w:t xml:space="preserve"> and 10 </w:t>
      </w:r>
      <w:r w:rsidR="00F13237" w:rsidRPr="00EE7E38">
        <w:rPr>
          <w:rFonts w:ascii="Times New Roman" w:hAnsi="Times New Roman" w:cs="Times New Roman"/>
        </w:rPr>
        <w:t xml:space="preserve">times </w:t>
      </w:r>
      <w:r w:rsidR="00AA532B">
        <w:rPr>
          <w:rFonts w:ascii="Times New Roman" w:hAnsi="Times New Roman" w:cs="Times New Roman"/>
        </w:rPr>
        <w:t xml:space="preserve">higher </w:t>
      </w:r>
      <w:r w:rsidR="00F13237" w:rsidRPr="00EE7E38">
        <w:rPr>
          <w:rFonts w:ascii="Times New Roman" w:hAnsi="Times New Roman" w:cs="Times New Roman"/>
        </w:rPr>
        <w:t>for all cases</w:t>
      </w:r>
      <w:r w:rsidR="00AA532B">
        <w:rPr>
          <w:rFonts w:ascii="Times New Roman" w:hAnsi="Times New Roman" w:cs="Times New Roman"/>
        </w:rPr>
        <w:t>)</w:t>
      </w:r>
      <w:r w:rsidR="00F13237" w:rsidRPr="00EE7E38">
        <w:rPr>
          <w:rFonts w:ascii="Times New Roman" w:hAnsi="Times New Roman" w:cs="Times New Roman"/>
        </w:rPr>
        <w:t>.</w:t>
      </w:r>
    </w:p>
    <w:p w14:paraId="10B1791E" w14:textId="7304A041" w:rsidR="00F13237" w:rsidRPr="00EE7E38" w:rsidRDefault="00F13237"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In 2013-201</w:t>
      </w:r>
      <w:r w:rsidR="00CC520A" w:rsidRPr="00EE7E38">
        <w:rPr>
          <w:rFonts w:ascii="Times New Roman" w:hAnsi="Times New Roman" w:cs="Times New Roman"/>
        </w:rPr>
        <w:t>6</w:t>
      </w:r>
      <w:r w:rsidRPr="00EE7E38">
        <w:rPr>
          <w:rFonts w:ascii="Times New Roman" w:hAnsi="Times New Roman" w:cs="Times New Roman"/>
        </w:rPr>
        <w:t xml:space="preserve">, there were no lethal cases among TB patients in prisons, compared to 50 deaths in 2011 and 21 in 2012. MDR-TB prevalence </w:t>
      </w:r>
      <w:r w:rsidR="00CC520A" w:rsidRPr="00EE7E38">
        <w:rPr>
          <w:rFonts w:ascii="Times New Roman" w:hAnsi="Times New Roman" w:cs="Times New Roman"/>
        </w:rPr>
        <w:t xml:space="preserve">remains high and requires attention. In 2013, MDR-TB </w:t>
      </w:r>
      <w:r w:rsidRPr="00EE7E38">
        <w:rPr>
          <w:rFonts w:ascii="Times New Roman" w:hAnsi="Times New Roman" w:cs="Times New Roman"/>
        </w:rPr>
        <w:t xml:space="preserve">accounted for </w:t>
      </w:r>
      <w:r w:rsidR="00CC520A" w:rsidRPr="00EE7E38">
        <w:rPr>
          <w:rFonts w:ascii="Times New Roman" w:hAnsi="Times New Roman" w:cs="Times New Roman"/>
        </w:rPr>
        <w:t>7.7</w:t>
      </w:r>
      <w:r w:rsidRPr="00EE7E38">
        <w:rPr>
          <w:rFonts w:ascii="Times New Roman" w:hAnsi="Times New Roman" w:cs="Times New Roman"/>
        </w:rPr>
        <w:t xml:space="preserve">% of new culture-positive cases and for </w:t>
      </w:r>
      <w:r w:rsidR="00CC520A" w:rsidRPr="00EE7E38">
        <w:rPr>
          <w:rFonts w:ascii="Times New Roman" w:hAnsi="Times New Roman" w:cs="Times New Roman"/>
        </w:rPr>
        <w:t>40.8</w:t>
      </w:r>
      <w:r w:rsidRPr="00EE7E38">
        <w:rPr>
          <w:rFonts w:ascii="Times New Roman" w:hAnsi="Times New Roman" w:cs="Times New Roman"/>
        </w:rPr>
        <w:t>% of retreatment cases; in 201</w:t>
      </w:r>
      <w:r w:rsidR="00CC520A" w:rsidRPr="00EE7E38">
        <w:rPr>
          <w:rFonts w:ascii="Times New Roman" w:hAnsi="Times New Roman" w:cs="Times New Roman"/>
        </w:rPr>
        <w:t>6</w:t>
      </w:r>
      <w:r w:rsidR="00AD4980">
        <w:rPr>
          <w:rFonts w:ascii="Times New Roman" w:hAnsi="Times New Roman" w:cs="Times New Roman"/>
        </w:rPr>
        <w:t>,</w:t>
      </w:r>
      <w:r w:rsidRPr="00EE7E38">
        <w:rPr>
          <w:rFonts w:ascii="Times New Roman" w:hAnsi="Times New Roman" w:cs="Times New Roman"/>
        </w:rPr>
        <w:t xml:space="preserve"> it was </w:t>
      </w:r>
      <w:r w:rsidR="00CC520A" w:rsidRPr="00EE7E38">
        <w:rPr>
          <w:rFonts w:ascii="Times New Roman" w:hAnsi="Times New Roman" w:cs="Times New Roman"/>
        </w:rPr>
        <w:t>9.1</w:t>
      </w:r>
      <w:r w:rsidR="00A25F40" w:rsidRPr="00EE7E38">
        <w:rPr>
          <w:rFonts w:ascii="Times New Roman" w:hAnsi="Times New Roman" w:cs="Times New Roman"/>
        </w:rPr>
        <w:t>%</w:t>
      </w:r>
      <w:r w:rsidRPr="00EE7E38">
        <w:rPr>
          <w:rFonts w:ascii="Times New Roman" w:hAnsi="Times New Roman" w:cs="Times New Roman"/>
        </w:rPr>
        <w:t xml:space="preserve"> and </w:t>
      </w:r>
      <w:r w:rsidR="00CC520A" w:rsidRPr="00EE7E38">
        <w:rPr>
          <w:rFonts w:ascii="Times New Roman" w:hAnsi="Times New Roman" w:cs="Times New Roman"/>
        </w:rPr>
        <w:t>55.2</w:t>
      </w:r>
      <w:r w:rsidRPr="00EE7E38">
        <w:rPr>
          <w:rFonts w:ascii="Times New Roman" w:hAnsi="Times New Roman" w:cs="Times New Roman"/>
        </w:rPr>
        <w:t>% respectively.</w:t>
      </w:r>
    </w:p>
    <w:p w14:paraId="03803C22" w14:textId="042DBEC0" w:rsidR="00BD0838" w:rsidRPr="00046E13" w:rsidRDefault="00F70A8E" w:rsidP="0075056C">
      <w:pPr>
        <w:rPr>
          <w:rFonts w:ascii="Sylfaen" w:hAnsi="Sylfaen" w:cs="Times New Roman"/>
          <w:color w:val="FF0000"/>
          <w:lang w:val="ka-GE"/>
        </w:rPr>
      </w:pPr>
      <w:proofErr w:type="gramStart"/>
      <w:r w:rsidRPr="00EE7E38">
        <w:rPr>
          <w:rFonts w:ascii="Times New Roman" w:hAnsi="Times New Roman" w:cs="Times New Roman"/>
          <w:b/>
          <w:bCs/>
          <w:i/>
        </w:rPr>
        <w:t>HIV-associated TB</w:t>
      </w:r>
      <w:r w:rsidR="00AF4B49" w:rsidRPr="00EE7E38">
        <w:rPr>
          <w:rFonts w:ascii="Times New Roman" w:hAnsi="Times New Roman" w:cs="Times New Roman"/>
          <w:b/>
          <w:bCs/>
          <w:i/>
        </w:rPr>
        <w:t>.</w:t>
      </w:r>
      <w:proofErr w:type="gramEnd"/>
      <w:r w:rsidR="00AD4980">
        <w:rPr>
          <w:rFonts w:ascii="Times New Roman" w:hAnsi="Times New Roman" w:cs="Times New Roman"/>
          <w:b/>
          <w:bCs/>
          <w:i/>
        </w:rPr>
        <w:t xml:space="preserve"> </w:t>
      </w:r>
      <w:proofErr w:type="gramStart"/>
      <w:r w:rsidRPr="00EE7E38">
        <w:rPr>
          <w:rFonts w:ascii="Times New Roman" w:hAnsi="Times New Roman" w:cs="Times New Roman"/>
        </w:rPr>
        <w:t>UNAIDS e</w:t>
      </w:r>
      <w:r w:rsidR="00893C80" w:rsidRPr="00EE7E38">
        <w:rPr>
          <w:rFonts w:ascii="Times New Roman" w:hAnsi="Times New Roman" w:cs="Times New Roman"/>
        </w:rPr>
        <w:t>stimates that at the end of 201</w:t>
      </w:r>
      <w:r w:rsidR="002F5509" w:rsidRPr="00EE7E38">
        <w:rPr>
          <w:rFonts w:ascii="Times New Roman" w:hAnsi="Times New Roman" w:cs="Times New Roman"/>
        </w:rPr>
        <w:t>6</w:t>
      </w:r>
      <w:r w:rsidRPr="00EE7E38">
        <w:rPr>
          <w:rFonts w:ascii="Times New Roman" w:hAnsi="Times New Roman" w:cs="Times New Roman"/>
        </w:rPr>
        <w:t xml:space="preserve">, about </w:t>
      </w:r>
      <w:r w:rsidR="002F5509" w:rsidRPr="00EE7E38">
        <w:rPr>
          <w:rFonts w:ascii="Times New Roman" w:hAnsi="Times New Roman" w:cs="Times New Roman"/>
        </w:rPr>
        <w:t>12,000</w:t>
      </w:r>
      <w:r w:rsidRPr="00EE7E38">
        <w:rPr>
          <w:rFonts w:ascii="Times New Roman" w:hAnsi="Times New Roman" w:cs="Times New Roman"/>
        </w:rPr>
        <w:t xml:space="preserve"> persons</w:t>
      </w:r>
      <w:r w:rsidR="00893C80" w:rsidRPr="00EE7E38">
        <w:rPr>
          <w:rFonts w:ascii="Times New Roman" w:hAnsi="Times New Roman" w:cs="Times New Roman"/>
        </w:rPr>
        <w:t>, all ages,</w:t>
      </w:r>
      <w:r w:rsidRPr="00EE7E38">
        <w:rPr>
          <w:rFonts w:ascii="Times New Roman" w:hAnsi="Times New Roman" w:cs="Times New Roman"/>
        </w:rPr>
        <w:t xml:space="preserve"> lived with HIV in </w:t>
      </w:r>
      <w:r w:rsidR="00893C80" w:rsidRPr="0075056C">
        <w:rPr>
          <w:rFonts w:ascii="Times New Roman" w:hAnsi="Times New Roman" w:cs="Times New Roman"/>
        </w:rPr>
        <w:t xml:space="preserve">Georgia (range </w:t>
      </w:r>
      <w:r w:rsidR="002F5509" w:rsidRPr="0075056C">
        <w:rPr>
          <w:rFonts w:ascii="Times New Roman" w:hAnsi="Times New Roman" w:cs="Times New Roman"/>
        </w:rPr>
        <w:t>8</w:t>
      </w:r>
      <w:r w:rsidR="00893C80" w:rsidRPr="0075056C">
        <w:rPr>
          <w:rFonts w:ascii="Times New Roman" w:hAnsi="Times New Roman" w:cs="Times New Roman"/>
        </w:rPr>
        <w:t>,</w:t>
      </w:r>
      <w:r w:rsidR="002F5509" w:rsidRPr="0075056C">
        <w:rPr>
          <w:rFonts w:ascii="Times New Roman" w:hAnsi="Times New Roman" w:cs="Times New Roman"/>
        </w:rPr>
        <w:t>8</w:t>
      </w:r>
      <w:r w:rsidR="00893C80" w:rsidRPr="0075056C">
        <w:rPr>
          <w:rFonts w:ascii="Times New Roman" w:hAnsi="Times New Roman" w:cs="Times New Roman"/>
        </w:rPr>
        <w:t>00-</w:t>
      </w:r>
      <w:r w:rsidR="002F5509" w:rsidRPr="0075056C">
        <w:rPr>
          <w:rFonts w:ascii="Times New Roman" w:hAnsi="Times New Roman" w:cs="Times New Roman"/>
        </w:rPr>
        <w:t>12</w:t>
      </w:r>
      <w:r w:rsidR="00893C80" w:rsidRPr="0075056C">
        <w:rPr>
          <w:rFonts w:ascii="Times New Roman" w:hAnsi="Times New Roman" w:cs="Times New Roman"/>
        </w:rPr>
        <w:t xml:space="preserve">,000), with </w:t>
      </w:r>
      <w:r w:rsidR="00F05846" w:rsidRPr="0075056C">
        <w:rPr>
          <w:rFonts w:ascii="Times New Roman" w:hAnsi="Times New Roman" w:cs="Times New Roman"/>
        </w:rPr>
        <w:t xml:space="preserve">an </w:t>
      </w:r>
      <w:r w:rsidR="00893C80" w:rsidRPr="0075056C">
        <w:rPr>
          <w:rFonts w:ascii="Times New Roman" w:hAnsi="Times New Roman" w:cs="Times New Roman"/>
        </w:rPr>
        <w:t xml:space="preserve">HIV prevalence rate of </w:t>
      </w:r>
      <w:r w:rsidRPr="0075056C">
        <w:rPr>
          <w:rFonts w:ascii="Times New Roman" w:hAnsi="Times New Roman" w:cs="Times New Roman"/>
        </w:rPr>
        <w:t>0.</w:t>
      </w:r>
      <w:r w:rsidR="002F5509" w:rsidRPr="0075056C">
        <w:rPr>
          <w:rFonts w:ascii="Times New Roman" w:hAnsi="Times New Roman" w:cs="Times New Roman"/>
        </w:rPr>
        <w:t>5</w:t>
      </w:r>
      <w:r w:rsidRPr="0075056C">
        <w:rPr>
          <w:rFonts w:ascii="Times New Roman" w:hAnsi="Times New Roman" w:cs="Times New Roman"/>
        </w:rPr>
        <w:t xml:space="preserve">% </w:t>
      </w:r>
      <w:r w:rsidR="00893C80" w:rsidRPr="0075056C">
        <w:rPr>
          <w:rFonts w:ascii="Times New Roman" w:hAnsi="Times New Roman" w:cs="Times New Roman"/>
        </w:rPr>
        <w:t>in adult population aged 15-49 years.</w:t>
      </w:r>
      <w:proofErr w:type="gramEnd"/>
      <w:r w:rsidR="00CF6601" w:rsidRPr="0075056C">
        <w:rPr>
          <w:rFonts w:ascii="Times New Roman" w:hAnsi="Times New Roman" w:cs="Times New Roman"/>
        </w:rPr>
        <w:t xml:space="preserve"> </w:t>
      </w:r>
      <w:r w:rsidR="0075056C" w:rsidRPr="0075056C">
        <w:rPr>
          <w:rFonts w:ascii="Times New Roman" w:hAnsi="Times New Roman" w:cs="Times New Roman"/>
        </w:rPr>
        <w:t>Since 1989 country has been actively monitoring the epidemic and has reached significate achievements, but HIV/AIDS remains as important public health issue. According the National AIDS center, estimated number of people leaving with HI</w:t>
      </w:r>
      <w:r w:rsidR="00046E13">
        <w:rPr>
          <w:rFonts w:ascii="Times New Roman" w:hAnsi="Times New Roman" w:cs="Times New Roman"/>
        </w:rPr>
        <w:t>V/AIDS for 14 May 2018 is 7012</w:t>
      </w:r>
      <w:r w:rsidR="00046E13">
        <w:rPr>
          <w:rFonts w:ascii="Sylfaen" w:hAnsi="Sylfaen" w:cs="Times New Roman"/>
          <w:lang w:val="ka-GE"/>
        </w:rPr>
        <w:t xml:space="preserve">. </w:t>
      </w:r>
      <w:proofErr w:type="gramStart"/>
      <w:r w:rsidR="0075056C" w:rsidRPr="0075056C">
        <w:rPr>
          <w:rFonts w:ascii="Times New Roman" w:hAnsi="Times New Roman" w:cs="Times New Roman"/>
        </w:rPr>
        <w:t>Majority of infected are males (5248), wi</w:t>
      </w:r>
      <w:r w:rsidR="00046E13">
        <w:rPr>
          <w:rFonts w:ascii="Times New Roman" w:hAnsi="Times New Roman" w:cs="Times New Roman"/>
        </w:rPr>
        <w:t>thin the age group of 29 - 40.</w:t>
      </w:r>
      <w:proofErr w:type="gramEnd"/>
      <w:r w:rsidR="00046E13">
        <w:rPr>
          <w:rFonts w:ascii="Times New Roman" w:hAnsi="Times New Roman" w:cs="Times New Roman"/>
        </w:rPr>
        <w:t xml:space="preserve"> </w:t>
      </w:r>
    </w:p>
    <w:p w14:paraId="698F9BB9" w14:textId="67E007C9" w:rsidR="0094622A" w:rsidRPr="00EE7E38" w:rsidRDefault="00893C8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HIV largely </w:t>
      </w:r>
      <w:r w:rsidR="008118D3" w:rsidRPr="00EE7E38">
        <w:rPr>
          <w:rFonts w:ascii="Times New Roman" w:hAnsi="Times New Roman" w:cs="Times New Roman"/>
        </w:rPr>
        <w:t xml:space="preserve">remains </w:t>
      </w:r>
      <w:r w:rsidRPr="00EE7E38">
        <w:rPr>
          <w:rFonts w:ascii="Times New Roman" w:hAnsi="Times New Roman" w:cs="Times New Roman"/>
        </w:rPr>
        <w:t xml:space="preserve">concentrated among key </w:t>
      </w:r>
      <w:r w:rsidR="00E532C6">
        <w:rPr>
          <w:rFonts w:ascii="Times New Roman" w:hAnsi="Times New Roman" w:cs="Times New Roman"/>
        </w:rPr>
        <w:t>vulnerable</w:t>
      </w:r>
      <w:r w:rsidR="00E532C6" w:rsidRPr="00EE7E38">
        <w:rPr>
          <w:rFonts w:ascii="Times New Roman" w:hAnsi="Times New Roman" w:cs="Times New Roman"/>
        </w:rPr>
        <w:t xml:space="preserve"> </w:t>
      </w:r>
      <w:r w:rsidRPr="00EE7E38">
        <w:rPr>
          <w:rFonts w:ascii="Times New Roman" w:hAnsi="Times New Roman" w:cs="Times New Roman"/>
        </w:rPr>
        <w:t>populations: men having sex with men (MSM), people who inject drugs (PWID), and sex workers (SW</w:t>
      </w:r>
      <w:r w:rsidR="008118D3" w:rsidRPr="00EE7E38">
        <w:rPr>
          <w:rFonts w:ascii="Times New Roman" w:hAnsi="Times New Roman" w:cs="Times New Roman"/>
        </w:rPr>
        <w:t>s</w:t>
      </w:r>
      <w:r w:rsidRPr="00EE7E38">
        <w:rPr>
          <w:rFonts w:ascii="Times New Roman" w:hAnsi="Times New Roman" w:cs="Times New Roman"/>
        </w:rPr>
        <w:t xml:space="preserve">). </w:t>
      </w:r>
      <w:r w:rsidR="008118D3" w:rsidRPr="00EE7E38">
        <w:rPr>
          <w:rFonts w:ascii="Times New Roman" w:hAnsi="Times New Roman" w:cs="Times New Roman"/>
        </w:rPr>
        <w:t xml:space="preserve">MSM have the highest rates of recent HIV infections; HIV prevalence in this risk group has increased from 7% in 2010 to </w:t>
      </w:r>
      <w:r w:rsidR="0074252C" w:rsidRPr="00EE7E38">
        <w:rPr>
          <w:rFonts w:ascii="Times New Roman" w:hAnsi="Times New Roman" w:cs="Times New Roman"/>
        </w:rPr>
        <w:t>20.5</w:t>
      </w:r>
      <w:r w:rsidR="008118D3" w:rsidRPr="00EE7E38">
        <w:rPr>
          <w:rFonts w:ascii="Times New Roman" w:hAnsi="Times New Roman" w:cs="Times New Roman"/>
        </w:rPr>
        <w:t>% in 201</w:t>
      </w:r>
      <w:r w:rsidR="0074252C" w:rsidRPr="00EE7E38">
        <w:rPr>
          <w:rFonts w:ascii="Times New Roman" w:hAnsi="Times New Roman" w:cs="Times New Roman"/>
        </w:rPr>
        <w:t>5</w:t>
      </w:r>
      <w:r w:rsidR="008640A4" w:rsidRPr="00EE7E38">
        <w:rPr>
          <w:rStyle w:val="FootnoteReference"/>
          <w:rFonts w:ascii="Times New Roman" w:hAnsi="Times New Roman" w:cs="Times New Roman"/>
        </w:rPr>
        <w:footnoteReference w:id="13"/>
      </w:r>
      <w:r w:rsidR="008118D3" w:rsidRPr="00EE7E38">
        <w:rPr>
          <w:rFonts w:ascii="Times New Roman" w:hAnsi="Times New Roman" w:cs="Times New Roman"/>
        </w:rPr>
        <w:t xml:space="preserve">. </w:t>
      </w:r>
      <w:r w:rsidR="0074252C" w:rsidRPr="00EE7E38">
        <w:rPr>
          <w:rFonts w:ascii="Times New Roman" w:hAnsi="Times New Roman" w:cs="Times New Roman"/>
        </w:rPr>
        <w:t xml:space="preserve">According to latest </w:t>
      </w:r>
      <w:r w:rsidR="00E532C6">
        <w:rPr>
          <w:rFonts w:ascii="Times New Roman" w:hAnsi="Times New Roman" w:cs="Times New Roman"/>
        </w:rPr>
        <w:t>estimates,</w:t>
      </w:r>
      <w:r w:rsidR="0074252C" w:rsidRPr="00EE7E38">
        <w:rPr>
          <w:rFonts w:ascii="Times New Roman" w:hAnsi="Times New Roman" w:cs="Times New Roman"/>
        </w:rPr>
        <w:t xml:space="preserve"> t</w:t>
      </w:r>
      <w:r w:rsidR="008118D3" w:rsidRPr="00EE7E38">
        <w:rPr>
          <w:rFonts w:ascii="Times New Roman" w:hAnsi="Times New Roman" w:cs="Times New Roman"/>
        </w:rPr>
        <w:t xml:space="preserve">he number of PWID in Georgia is </w:t>
      </w:r>
      <w:r w:rsidR="0074252C" w:rsidRPr="00EE7E38">
        <w:rPr>
          <w:rFonts w:ascii="Times New Roman" w:hAnsi="Times New Roman" w:cs="Times New Roman"/>
        </w:rPr>
        <w:t>52</w:t>
      </w:r>
      <w:r w:rsidR="008118D3" w:rsidRPr="00EE7E38">
        <w:rPr>
          <w:rFonts w:ascii="Times New Roman" w:hAnsi="Times New Roman" w:cs="Times New Roman"/>
        </w:rPr>
        <w:t xml:space="preserve">,000, and HIV prevalence ranges </w:t>
      </w:r>
      <w:r w:rsidR="00D43D9A">
        <w:rPr>
          <w:rFonts w:ascii="Times New Roman" w:hAnsi="Times New Roman" w:cs="Times New Roman"/>
        </w:rPr>
        <w:t>from</w:t>
      </w:r>
      <w:r w:rsidR="008118D3" w:rsidRPr="00EE7E38">
        <w:rPr>
          <w:rFonts w:ascii="Times New Roman" w:hAnsi="Times New Roman" w:cs="Times New Roman"/>
        </w:rPr>
        <w:t xml:space="preserve"> 0.4% to 9.1% among different PWID groups.</w:t>
      </w:r>
      <w:r w:rsidR="00756463" w:rsidRPr="00756463">
        <w:rPr>
          <w:rFonts w:cstheme="minorHAnsi"/>
        </w:rPr>
        <w:t xml:space="preserve"> </w:t>
      </w:r>
      <w:r w:rsidR="00756463" w:rsidRPr="00DA416F">
        <w:rPr>
          <w:rStyle w:val="FootnoteReference"/>
          <w:rFonts w:cstheme="minorHAnsi"/>
        </w:rPr>
        <w:footnoteReference w:id="14"/>
      </w:r>
      <w:r w:rsidR="00756463" w:rsidRPr="00DA416F">
        <w:rPr>
          <w:rFonts w:cstheme="minorHAnsi"/>
        </w:rPr>
        <w:t xml:space="preserve"> </w:t>
      </w:r>
      <w:r w:rsidR="008118D3" w:rsidRPr="00EE7E38">
        <w:rPr>
          <w:rFonts w:ascii="Times New Roman" w:hAnsi="Times New Roman" w:cs="Times New Roman"/>
        </w:rPr>
        <w:t xml:space="preserve"> HIV prevalence among pregnant women and blood donors (0.04% in both sub-populations) is lower than</w:t>
      </w:r>
      <w:r w:rsidR="0094622A" w:rsidRPr="00EE7E38">
        <w:rPr>
          <w:rFonts w:ascii="Times New Roman" w:hAnsi="Times New Roman" w:cs="Times New Roman"/>
        </w:rPr>
        <w:t xml:space="preserve"> </w:t>
      </w:r>
      <w:r w:rsidR="008118D3" w:rsidRPr="00EE7E38">
        <w:rPr>
          <w:rFonts w:ascii="Times New Roman" w:hAnsi="Times New Roman" w:cs="Times New Roman"/>
        </w:rPr>
        <w:t>in</w:t>
      </w:r>
      <w:r w:rsidR="00E532C6">
        <w:rPr>
          <w:rFonts w:ascii="Times New Roman" w:hAnsi="Times New Roman" w:cs="Times New Roman"/>
        </w:rPr>
        <w:t xml:space="preserve"> the</w:t>
      </w:r>
      <w:r w:rsidR="008118D3" w:rsidRPr="00EE7E38">
        <w:rPr>
          <w:rFonts w:ascii="Times New Roman" w:hAnsi="Times New Roman" w:cs="Times New Roman"/>
        </w:rPr>
        <w:t xml:space="preserve"> general population. </w:t>
      </w:r>
      <w:r w:rsidR="0094622A" w:rsidRPr="00EE7E38">
        <w:rPr>
          <w:rFonts w:ascii="Times New Roman" w:hAnsi="Times New Roman" w:cs="Times New Roman"/>
        </w:rPr>
        <w:t xml:space="preserve">Co-infection with hepatitis C virus (HCV) is common; HCV antibodies are detected in up to half of the registered </w:t>
      </w:r>
      <w:r w:rsidR="00E532C6">
        <w:rPr>
          <w:rFonts w:ascii="Times New Roman" w:hAnsi="Times New Roman" w:cs="Times New Roman"/>
        </w:rPr>
        <w:t>people living with HIV (</w:t>
      </w:r>
      <w:r w:rsidR="0094622A" w:rsidRPr="00EE7E38">
        <w:rPr>
          <w:rFonts w:ascii="Times New Roman" w:hAnsi="Times New Roman" w:cs="Times New Roman"/>
        </w:rPr>
        <w:t>PLHIV</w:t>
      </w:r>
      <w:r w:rsidR="00E532C6">
        <w:rPr>
          <w:rFonts w:ascii="Times New Roman" w:hAnsi="Times New Roman" w:cs="Times New Roman"/>
        </w:rPr>
        <w:t>)</w:t>
      </w:r>
      <w:r w:rsidR="00CF6601" w:rsidRPr="00EE7E38">
        <w:rPr>
          <w:rFonts w:ascii="Times New Roman" w:hAnsi="Times New Roman" w:cs="Times New Roman"/>
        </w:rPr>
        <w:t xml:space="preserve"> </w:t>
      </w:r>
      <w:r w:rsidR="0094622A" w:rsidRPr="00EE7E38">
        <w:rPr>
          <w:rFonts w:ascii="Times New Roman" w:hAnsi="Times New Roman" w:cs="Times New Roman"/>
        </w:rPr>
        <w:t>in Georgia.</w:t>
      </w:r>
    </w:p>
    <w:p w14:paraId="4555EAF6" w14:textId="3E02C4DB" w:rsidR="000059B4" w:rsidRPr="00EE7E38" w:rsidRDefault="00E532C6" w:rsidP="00835F94">
      <w:pPr>
        <w:widowControl w:val="0"/>
        <w:spacing w:before="120" w:after="120" w:line="240" w:lineRule="auto"/>
        <w:jc w:val="both"/>
        <w:rPr>
          <w:rFonts w:ascii="Times New Roman" w:hAnsi="Times New Roman" w:cs="Times New Roman"/>
        </w:rPr>
      </w:pPr>
      <w:r>
        <w:rPr>
          <w:rFonts w:ascii="Times New Roman" w:hAnsi="Times New Roman" w:cs="Times New Roman"/>
        </w:rPr>
        <w:t>The p</w:t>
      </w:r>
      <w:r w:rsidR="0094622A" w:rsidRPr="00EE7E38">
        <w:rPr>
          <w:rFonts w:ascii="Times New Roman" w:hAnsi="Times New Roman" w:cs="Times New Roman"/>
        </w:rPr>
        <w:t xml:space="preserve">roportion of TB patients with known HIV status </w:t>
      </w:r>
      <w:r w:rsidR="00E02940" w:rsidRPr="00EE7E38">
        <w:rPr>
          <w:rFonts w:ascii="Times New Roman" w:hAnsi="Times New Roman" w:cs="Times New Roman"/>
        </w:rPr>
        <w:t xml:space="preserve">increased from </w:t>
      </w:r>
      <w:r w:rsidR="00CF6601" w:rsidRPr="00EE7E38">
        <w:rPr>
          <w:rFonts w:ascii="Times New Roman" w:hAnsi="Times New Roman" w:cs="Times New Roman"/>
        </w:rPr>
        <w:t>62% in 2013 to</w:t>
      </w:r>
      <w:r w:rsidR="00E02940" w:rsidRPr="00EE7E38">
        <w:rPr>
          <w:rFonts w:ascii="Times New Roman" w:hAnsi="Times New Roman" w:cs="Times New Roman"/>
        </w:rPr>
        <w:t xml:space="preserve"> 73%</w:t>
      </w:r>
      <w:r w:rsidR="0094622A" w:rsidRPr="00EE7E38">
        <w:rPr>
          <w:rFonts w:ascii="Times New Roman" w:hAnsi="Times New Roman" w:cs="Times New Roman"/>
        </w:rPr>
        <w:t xml:space="preserve"> </w:t>
      </w:r>
      <w:r w:rsidR="004B6832" w:rsidRPr="00EE7E38">
        <w:rPr>
          <w:rFonts w:ascii="Times New Roman" w:hAnsi="Times New Roman" w:cs="Times New Roman"/>
        </w:rPr>
        <w:t>in 201</w:t>
      </w:r>
      <w:r w:rsidR="00E02940" w:rsidRPr="00EE7E38">
        <w:rPr>
          <w:rFonts w:ascii="Times New Roman" w:hAnsi="Times New Roman" w:cs="Times New Roman"/>
        </w:rPr>
        <w:t xml:space="preserve">6. </w:t>
      </w:r>
      <w:r w:rsidR="004B6832" w:rsidRPr="00EE7E38">
        <w:rPr>
          <w:rFonts w:ascii="Times New Roman" w:hAnsi="Times New Roman" w:cs="Times New Roman"/>
        </w:rPr>
        <w:t>HIV</w:t>
      </w:r>
      <w:r w:rsidR="00CF6601" w:rsidRPr="00EE7E38">
        <w:rPr>
          <w:rFonts w:ascii="Times New Roman" w:hAnsi="Times New Roman" w:cs="Times New Roman"/>
        </w:rPr>
        <w:t xml:space="preserve"> prevalence among TB patients remains</w:t>
      </w:r>
      <w:r w:rsidR="004B6832" w:rsidRPr="00EE7E38">
        <w:rPr>
          <w:rFonts w:ascii="Times New Roman" w:hAnsi="Times New Roman" w:cs="Times New Roman"/>
        </w:rPr>
        <w:t xml:space="preserve"> low compared to other countries in the region; during the last five years, it varied between 1.7-2% among TB cases, all forms, tested for HIV. In the group of MDR patients, however, </w:t>
      </w:r>
      <w:r w:rsidR="00BD0838" w:rsidRPr="00EE7E38">
        <w:rPr>
          <w:rFonts w:ascii="Times New Roman" w:hAnsi="Times New Roman" w:cs="Times New Roman"/>
        </w:rPr>
        <w:t>TB-</w:t>
      </w:r>
      <w:r w:rsidR="004B6832" w:rsidRPr="00EE7E38">
        <w:rPr>
          <w:rFonts w:ascii="Times New Roman" w:hAnsi="Times New Roman" w:cs="Times New Roman"/>
        </w:rPr>
        <w:t xml:space="preserve">HIV </w:t>
      </w:r>
      <w:r w:rsidR="00BD0838" w:rsidRPr="00EE7E38">
        <w:rPr>
          <w:rFonts w:ascii="Times New Roman" w:hAnsi="Times New Roman" w:cs="Times New Roman"/>
        </w:rPr>
        <w:t xml:space="preserve">co-infection is more frequent: 5.3% of MDR-TB cases were HIV-positive in 2012-2013. </w:t>
      </w:r>
    </w:p>
    <w:p w14:paraId="0C23C8A5" w14:textId="0B46C840" w:rsidR="000059B4" w:rsidRPr="00EE7E38" w:rsidRDefault="00E532C6" w:rsidP="00835F94">
      <w:pPr>
        <w:widowControl w:val="0"/>
        <w:spacing w:before="120" w:after="120" w:line="240" w:lineRule="auto"/>
        <w:jc w:val="both"/>
        <w:rPr>
          <w:rFonts w:ascii="Times New Roman" w:hAnsi="Times New Roman" w:cs="Times New Roman"/>
        </w:rPr>
      </w:pPr>
      <w:r>
        <w:rPr>
          <w:rFonts w:ascii="Times New Roman" w:hAnsi="Times New Roman" w:cs="Times New Roman"/>
        </w:rPr>
        <w:t>Conversely</w:t>
      </w:r>
      <w:r w:rsidR="000059B4" w:rsidRPr="00EE7E38">
        <w:rPr>
          <w:rFonts w:ascii="Times New Roman" w:hAnsi="Times New Roman" w:cs="Times New Roman"/>
        </w:rPr>
        <w:t xml:space="preserve">, TB is frequent among HIV-infected individuals. </w:t>
      </w:r>
      <w:r w:rsidR="000059B4" w:rsidRPr="00756463">
        <w:rPr>
          <w:rFonts w:ascii="Times New Roman" w:hAnsi="Times New Roman" w:cs="Times New Roman"/>
        </w:rPr>
        <w:t>During 2011-2013, 1,</w:t>
      </w:r>
      <w:r w:rsidR="000059B4" w:rsidRPr="00EE7E38">
        <w:rPr>
          <w:rFonts w:ascii="Times New Roman" w:hAnsi="Times New Roman" w:cs="Times New Roman"/>
        </w:rPr>
        <w:t xml:space="preserve">440 newly diagnosed PLHIV were screened for TB, and active disease was found in 252 cases (17.5%). TB is the leading cause of mortality among PLHIV, currently accounting for 21% of the total number of deaths in this population group. </w:t>
      </w:r>
    </w:p>
    <w:p w14:paraId="53D51D49" w14:textId="77777777" w:rsidR="0071773E" w:rsidRPr="00EE7E38" w:rsidRDefault="00A64EFA" w:rsidP="00D0419C">
      <w:pPr>
        <w:pStyle w:val="Heading2"/>
        <w:rPr>
          <w:rFonts w:ascii="Times New Roman" w:hAnsi="Times New Roman" w:cs="Times New Roman"/>
        </w:rPr>
      </w:pPr>
      <w:bookmarkStart w:id="9" w:name="_Toc411586414"/>
      <w:bookmarkStart w:id="10" w:name="_Toc517633163"/>
      <w:r w:rsidRPr="00EE7E38">
        <w:rPr>
          <w:rFonts w:ascii="Times New Roman" w:hAnsi="Times New Roman" w:cs="Times New Roman"/>
        </w:rPr>
        <w:t xml:space="preserve">1.4 </w:t>
      </w:r>
      <w:bookmarkEnd w:id="9"/>
      <w:r w:rsidR="00CF6601" w:rsidRPr="00EE7E38">
        <w:rPr>
          <w:rFonts w:ascii="Times New Roman" w:hAnsi="Times New Roman" w:cs="Times New Roman"/>
        </w:rPr>
        <w:t>Organization of National TB Program</w:t>
      </w:r>
      <w:bookmarkEnd w:id="10"/>
      <w:r w:rsidR="00CF6601" w:rsidRPr="00EE7E38">
        <w:rPr>
          <w:rFonts w:ascii="Times New Roman" w:hAnsi="Times New Roman" w:cs="Times New Roman"/>
        </w:rPr>
        <w:t xml:space="preserve"> </w:t>
      </w:r>
    </w:p>
    <w:p w14:paraId="31D14DF7" w14:textId="5B0C79F0" w:rsidR="00C13113"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implementation of the internationally recommended TB control strategy based on Directly Observed Treatment, Short course</w:t>
      </w:r>
      <w:r w:rsidR="00221B8B">
        <w:rPr>
          <w:rFonts w:ascii="Times New Roman" w:hAnsi="Times New Roman" w:cs="Times New Roman"/>
        </w:rPr>
        <w:t xml:space="preserve"> (DOTS)</w:t>
      </w:r>
      <w:r w:rsidRPr="00EE7E38">
        <w:rPr>
          <w:rFonts w:ascii="Times New Roman" w:hAnsi="Times New Roman" w:cs="Times New Roman"/>
        </w:rPr>
        <w:t xml:space="preserve"> in </w:t>
      </w:r>
      <w:r w:rsidR="00522562" w:rsidRPr="00EE7E38">
        <w:rPr>
          <w:rFonts w:ascii="Times New Roman" w:hAnsi="Times New Roman" w:cs="Times New Roman"/>
        </w:rPr>
        <w:t>Georgia</w:t>
      </w:r>
      <w:r w:rsidRPr="00EE7E38">
        <w:rPr>
          <w:rFonts w:ascii="Times New Roman" w:hAnsi="Times New Roman" w:cs="Times New Roman"/>
        </w:rPr>
        <w:t xml:space="preserve"> started in </w:t>
      </w:r>
      <w:r w:rsidR="00522562" w:rsidRPr="00EE7E38">
        <w:rPr>
          <w:rFonts w:ascii="Times New Roman" w:hAnsi="Times New Roman" w:cs="Times New Roman"/>
        </w:rPr>
        <w:t>1995</w:t>
      </w:r>
      <w:r w:rsidR="00221B8B">
        <w:rPr>
          <w:rFonts w:ascii="Times New Roman" w:hAnsi="Times New Roman" w:cs="Times New Roman"/>
        </w:rPr>
        <w:t>,</w:t>
      </w:r>
      <w:r w:rsidR="00522562" w:rsidRPr="00EE7E38">
        <w:rPr>
          <w:rFonts w:ascii="Times New Roman" w:hAnsi="Times New Roman" w:cs="Times New Roman"/>
        </w:rPr>
        <w:t xml:space="preserve"> </w:t>
      </w:r>
      <w:r w:rsidRPr="00EE7E38">
        <w:rPr>
          <w:rFonts w:ascii="Times New Roman" w:hAnsi="Times New Roman" w:cs="Times New Roman"/>
        </w:rPr>
        <w:t>and</w:t>
      </w:r>
      <w:r w:rsidR="00E02940" w:rsidRPr="00EE7E38">
        <w:rPr>
          <w:rFonts w:ascii="Times New Roman" w:hAnsi="Times New Roman" w:cs="Times New Roman"/>
        </w:rPr>
        <w:t xml:space="preserve"> </w:t>
      </w:r>
      <w:r w:rsidRPr="00EE7E38">
        <w:rPr>
          <w:rFonts w:ascii="Times New Roman" w:hAnsi="Times New Roman" w:cs="Times New Roman"/>
        </w:rPr>
        <w:t xml:space="preserve">countrywide DOTS coverage was achieved </w:t>
      </w:r>
      <w:r w:rsidR="00522562" w:rsidRPr="00EE7E38">
        <w:rPr>
          <w:rFonts w:ascii="Times New Roman" w:hAnsi="Times New Roman" w:cs="Times New Roman"/>
        </w:rPr>
        <w:t>in 1999</w:t>
      </w:r>
      <w:r w:rsidRPr="00EE7E38">
        <w:rPr>
          <w:rFonts w:ascii="Times New Roman" w:hAnsi="Times New Roman" w:cs="Times New Roman"/>
        </w:rPr>
        <w:t xml:space="preserve">, including </w:t>
      </w:r>
      <w:r w:rsidR="00221B8B">
        <w:rPr>
          <w:rFonts w:ascii="Times New Roman" w:hAnsi="Times New Roman" w:cs="Times New Roman"/>
        </w:rPr>
        <w:t xml:space="preserve">in </w:t>
      </w:r>
      <w:r w:rsidR="00522562" w:rsidRPr="00EE7E38">
        <w:rPr>
          <w:rFonts w:ascii="Times New Roman" w:hAnsi="Times New Roman" w:cs="Times New Roman"/>
        </w:rPr>
        <w:t xml:space="preserve">the </w:t>
      </w:r>
      <w:r w:rsidRPr="00EE7E38">
        <w:rPr>
          <w:rFonts w:ascii="Times New Roman" w:hAnsi="Times New Roman" w:cs="Times New Roman"/>
        </w:rPr>
        <w:t xml:space="preserve">penitentiary sector. </w:t>
      </w:r>
    </w:p>
    <w:p w14:paraId="45A8CB68" w14:textId="33ECEC58" w:rsidR="00A1746B" w:rsidRPr="00EE7E38" w:rsidRDefault="00CF6601" w:rsidP="00A1746B">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lastRenderedPageBreak/>
        <w:t>Since 2016</w:t>
      </w:r>
      <w:r w:rsidR="00E02940" w:rsidRPr="00EE7E38">
        <w:rPr>
          <w:rFonts w:ascii="Times New Roman" w:hAnsi="Times New Roman" w:cs="Times New Roman"/>
        </w:rPr>
        <w:t xml:space="preserve"> </w:t>
      </w:r>
      <w:r w:rsidR="00522562" w:rsidRPr="00EE7E38">
        <w:rPr>
          <w:rFonts w:ascii="Times New Roman" w:hAnsi="Times New Roman" w:cs="Times New Roman"/>
        </w:rPr>
        <w:t xml:space="preserve">TB control interventions </w:t>
      </w:r>
      <w:r w:rsidRPr="00EE7E38">
        <w:rPr>
          <w:rFonts w:ascii="Times New Roman" w:hAnsi="Times New Roman" w:cs="Times New Roman"/>
        </w:rPr>
        <w:t xml:space="preserve">in Georgia have been </w:t>
      </w:r>
      <w:r w:rsidR="00522562" w:rsidRPr="00EE7E38">
        <w:rPr>
          <w:rFonts w:ascii="Times New Roman" w:hAnsi="Times New Roman" w:cs="Times New Roman"/>
        </w:rPr>
        <w:t xml:space="preserve">guided by the </w:t>
      </w:r>
      <w:r w:rsidR="00522562" w:rsidRPr="00EE7E38">
        <w:rPr>
          <w:rFonts w:ascii="Times New Roman" w:hAnsi="Times New Roman" w:cs="Times New Roman"/>
          <w:i/>
        </w:rPr>
        <w:t>National Tuberculosis Strategy and Operational Plan for Georgia 201</w:t>
      </w:r>
      <w:r w:rsidR="00E02940" w:rsidRPr="00EE7E38">
        <w:rPr>
          <w:rFonts w:ascii="Times New Roman" w:hAnsi="Times New Roman" w:cs="Times New Roman"/>
          <w:i/>
        </w:rPr>
        <w:t>6</w:t>
      </w:r>
      <w:r w:rsidR="00522562" w:rsidRPr="00EE7E38">
        <w:rPr>
          <w:rFonts w:ascii="Times New Roman" w:hAnsi="Times New Roman" w:cs="Times New Roman"/>
          <w:i/>
        </w:rPr>
        <w:t>-20</w:t>
      </w:r>
      <w:r w:rsidR="00E02940" w:rsidRPr="00EE7E38">
        <w:rPr>
          <w:rFonts w:ascii="Times New Roman" w:hAnsi="Times New Roman" w:cs="Times New Roman"/>
          <w:i/>
        </w:rPr>
        <w:t>20</w:t>
      </w:r>
      <w:r w:rsidR="00522562" w:rsidRPr="00EE7E38">
        <w:rPr>
          <w:rFonts w:ascii="Times New Roman" w:hAnsi="Times New Roman" w:cs="Times New Roman"/>
        </w:rPr>
        <w:t xml:space="preserve">. </w:t>
      </w:r>
      <w:r w:rsidRPr="00EE7E38">
        <w:rPr>
          <w:rFonts w:ascii="Times New Roman" w:hAnsi="Times New Roman" w:cs="Times New Roman"/>
        </w:rPr>
        <w:t>Th</w:t>
      </w:r>
      <w:r w:rsidR="00221B8B">
        <w:rPr>
          <w:rFonts w:ascii="Times New Roman" w:hAnsi="Times New Roman" w:cs="Times New Roman"/>
        </w:rPr>
        <w:t>is</w:t>
      </w:r>
      <w:r w:rsidRPr="00EE7E38">
        <w:rPr>
          <w:rFonts w:ascii="Times New Roman" w:hAnsi="Times New Roman" w:cs="Times New Roman"/>
        </w:rPr>
        <w:t xml:space="preserve"> update remains fully in line with the 2016-2020 strategy </w:t>
      </w:r>
      <w:r w:rsidR="002C3881" w:rsidRPr="00EE7E38">
        <w:rPr>
          <w:rFonts w:ascii="Times New Roman" w:hAnsi="Times New Roman" w:cs="Times New Roman"/>
        </w:rPr>
        <w:t>framework but defines priority interventions for an additional 2-year period. The Strategy will be implemented by various governmental and nongovernmental organizations as outlined below</w:t>
      </w:r>
      <w:r w:rsidR="00221B8B">
        <w:rPr>
          <w:rFonts w:ascii="Times New Roman" w:hAnsi="Times New Roman" w:cs="Times New Roman"/>
        </w:rPr>
        <w:t>.</w:t>
      </w:r>
    </w:p>
    <w:p w14:paraId="779023FA" w14:textId="2333C97B" w:rsidR="00BF3792" w:rsidRPr="00EE7E38" w:rsidRDefault="002001E6" w:rsidP="00C83509">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Ministry of </w:t>
      </w:r>
      <w:r w:rsidR="00970C82" w:rsidRPr="00EE7E38">
        <w:rPr>
          <w:rFonts w:ascii="Times New Roman" w:hAnsi="Times New Roman" w:cs="Times New Roman"/>
        </w:rPr>
        <w:t>Labor</w:t>
      </w:r>
      <w:r w:rsidRPr="00EE7E38">
        <w:rPr>
          <w:rFonts w:ascii="Times New Roman" w:hAnsi="Times New Roman" w:cs="Times New Roman"/>
        </w:rPr>
        <w:t>, Health and Social Affairs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bears the overall government responsibility for public health issues in the country, including TB control. It undertakes this function in close interaction with other relevant state entities and collaborates with </w:t>
      </w:r>
      <w:r w:rsidR="0041159C">
        <w:rPr>
          <w:rFonts w:ascii="Times New Roman" w:hAnsi="Times New Roman" w:cs="Times New Roman"/>
        </w:rPr>
        <w:t>NGOs</w:t>
      </w:r>
      <w:r w:rsidRPr="00EE7E38">
        <w:rPr>
          <w:rFonts w:ascii="Times New Roman" w:hAnsi="Times New Roman" w:cs="Times New Roman"/>
        </w:rPr>
        <w:t xml:space="preserve"> and international partners in the planning, implementation, monitoring and evaluation of TB control activities. </w:t>
      </w:r>
    </w:p>
    <w:p w14:paraId="6FC12DCC" w14:textId="14C54189" w:rsidR="002001E6" w:rsidRPr="00EE7E38" w:rsidRDefault="002001E6" w:rsidP="00C83509">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Georgian Country Coordinating Mechanism (CCM) for TB, HIV/AIDS and Malaria is the high-level body entrusted to facilitate horizontal links and participatory governance of disease control programs. The CCM includes representatives from different governmental entities, external development assistance agencies</w:t>
      </w:r>
      <w:r w:rsidR="003F6AA0">
        <w:rPr>
          <w:rFonts w:ascii="Times New Roman" w:hAnsi="Times New Roman" w:cs="Times New Roman"/>
        </w:rPr>
        <w:t>,</w:t>
      </w:r>
      <w:r w:rsidRPr="00EE7E38">
        <w:rPr>
          <w:rFonts w:ascii="Times New Roman" w:hAnsi="Times New Roman" w:cs="Times New Roman"/>
        </w:rPr>
        <w:t xml:space="preserve"> as well as civil society</w:t>
      </w:r>
      <w:r w:rsidR="003F6AA0">
        <w:rPr>
          <w:rFonts w:ascii="Times New Roman" w:hAnsi="Times New Roman" w:cs="Times New Roman"/>
        </w:rPr>
        <w:t xml:space="preserve"> organizations</w:t>
      </w:r>
      <w:r w:rsidRPr="00EE7E38">
        <w:rPr>
          <w:rFonts w:ascii="Times New Roman" w:hAnsi="Times New Roman" w:cs="Times New Roman"/>
        </w:rPr>
        <w:t>. A specific important function of the CCM is to oversee the implementation of the support from the Global Fund to Fight AIDS, Tuberculosis and Malaria (TGF).</w:t>
      </w:r>
    </w:p>
    <w:p w14:paraId="6106CE3D" w14:textId="57F22A94" w:rsidR="00F50F0B" w:rsidRPr="00EE7E38" w:rsidRDefault="006B3F33"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TB control services in Georgia have undergone substantial changes over the last decade and are provided by both public and private health care institutions. TB laboratories have been downsized and integrated in</w:t>
      </w:r>
      <w:r w:rsidR="003F6AA0">
        <w:rPr>
          <w:rFonts w:ascii="Times New Roman" w:hAnsi="Times New Roman" w:cs="Times New Roman"/>
        </w:rPr>
        <w:t>to</w:t>
      </w:r>
      <w:r w:rsidRPr="00EE7E38">
        <w:rPr>
          <w:rFonts w:ascii="Times New Roman" w:hAnsi="Times New Roman" w:cs="Times New Roman"/>
        </w:rPr>
        <w:t xml:space="preserve"> the network of public health laboratories under the management of the National Center for Disease Control and Public Health (NCDCPH). Currently, </w:t>
      </w:r>
      <w:r w:rsidR="00F50F0B" w:rsidRPr="00EE7E38">
        <w:rPr>
          <w:rFonts w:ascii="Times New Roman" w:hAnsi="Times New Roman" w:cs="Times New Roman"/>
        </w:rPr>
        <w:t xml:space="preserve">these include six </w:t>
      </w:r>
      <w:r w:rsidR="00B77F9A" w:rsidRPr="00EE7E38">
        <w:rPr>
          <w:rFonts w:ascii="Times New Roman" w:hAnsi="Times New Roman" w:cs="Times New Roman"/>
        </w:rPr>
        <w:t xml:space="preserve">regional </w:t>
      </w:r>
      <w:r w:rsidR="00F50F0B" w:rsidRPr="00EE7E38">
        <w:rPr>
          <w:rFonts w:ascii="Times New Roman" w:hAnsi="Times New Roman" w:cs="Times New Roman"/>
        </w:rPr>
        <w:t xml:space="preserve">Laboratory Surveillance Stations (LSSs) in </w:t>
      </w:r>
      <w:proofErr w:type="spellStart"/>
      <w:r w:rsidR="00F50F0B" w:rsidRPr="00EE7E38">
        <w:rPr>
          <w:rFonts w:ascii="Times New Roman" w:hAnsi="Times New Roman" w:cs="Times New Roman"/>
        </w:rPr>
        <w:t>Akhaltsikhe</w:t>
      </w:r>
      <w:proofErr w:type="spellEnd"/>
      <w:r w:rsidR="00F50F0B" w:rsidRPr="00EE7E38">
        <w:rPr>
          <w:rFonts w:ascii="Times New Roman" w:hAnsi="Times New Roman" w:cs="Times New Roman"/>
        </w:rPr>
        <w:t xml:space="preserve">, Gori, </w:t>
      </w:r>
      <w:proofErr w:type="spellStart"/>
      <w:r w:rsidR="00F50F0B" w:rsidRPr="00EE7E38">
        <w:rPr>
          <w:rFonts w:ascii="Times New Roman" w:hAnsi="Times New Roman" w:cs="Times New Roman"/>
        </w:rPr>
        <w:t>Ozurgeti</w:t>
      </w:r>
      <w:proofErr w:type="spellEnd"/>
      <w:r w:rsidR="00F50F0B" w:rsidRPr="00EE7E38">
        <w:rPr>
          <w:rFonts w:ascii="Times New Roman" w:hAnsi="Times New Roman" w:cs="Times New Roman"/>
        </w:rPr>
        <w:t xml:space="preserve">, </w:t>
      </w:r>
      <w:proofErr w:type="spellStart"/>
      <w:r w:rsidR="00F50F0B" w:rsidRPr="00EE7E38">
        <w:rPr>
          <w:rFonts w:ascii="Times New Roman" w:hAnsi="Times New Roman" w:cs="Times New Roman"/>
        </w:rPr>
        <w:t>Poti</w:t>
      </w:r>
      <w:proofErr w:type="spellEnd"/>
      <w:r w:rsidR="00F50F0B" w:rsidRPr="00EE7E38">
        <w:rPr>
          <w:rFonts w:ascii="Times New Roman" w:hAnsi="Times New Roman" w:cs="Times New Roman"/>
        </w:rPr>
        <w:t>, Telavi and Zugdidi and two Zonal Diagnostic Laboratories (ZDLs) in Batumi and Kutaisi</w:t>
      </w:r>
      <w:r w:rsidR="003F6AA0">
        <w:rPr>
          <w:rFonts w:ascii="Times New Roman" w:hAnsi="Times New Roman" w:cs="Times New Roman"/>
        </w:rPr>
        <w:t>.</w:t>
      </w:r>
      <w:r w:rsidR="00F50F0B" w:rsidRPr="00EE7E38">
        <w:rPr>
          <w:rFonts w:ascii="Times New Roman" w:hAnsi="Times New Roman" w:cs="Times New Roman"/>
        </w:rPr>
        <w:t xml:space="preserve"> </w:t>
      </w:r>
      <w:r w:rsidR="003F6AA0">
        <w:rPr>
          <w:rFonts w:ascii="Times New Roman" w:hAnsi="Times New Roman" w:cs="Times New Roman"/>
        </w:rPr>
        <w:t>T</w:t>
      </w:r>
      <w:r w:rsidR="00F50F0B" w:rsidRPr="00EE7E38">
        <w:rPr>
          <w:rFonts w:ascii="Times New Roman" w:hAnsi="Times New Roman" w:cs="Times New Roman"/>
        </w:rPr>
        <w:t>he entire network is supervised by the National TB Reference Laboratory (NRL) at the National Center for Tuberculosis and Lung Diseases (NCTLD) in Tbilisi.</w:t>
      </w:r>
    </w:p>
    <w:p w14:paraId="5D22DFFC" w14:textId="2706C036" w:rsidR="00B77F9A" w:rsidRPr="00EE7E38" w:rsidRDefault="00F50F0B"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Otherwise, </w:t>
      </w:r>
      <w:r w:rsidR="00BB1691" w:rsidRPr="00EE7E38">
        <w:rPr>
          <w:rFonts w:ascii="Times New Roman" w:hAnsi="Times New Roman" w:cs="Times New Roman"/>
        </w:rPr>
        <w:t xml:space="preserve">TB care delivery in Georgia </w:t>
      </w:r>
      <w:r w:rsidR="003F6AA0" w:rsidRPr="00EE7E38">
        <w:rPr>
          <w:rFonts w:ascii="Times New Roman" w:hAnsi="Times New Roman" w:cs="Times New Roman"/>
        </w:rPr>
        <w:t>is integrated</w:t>
      </w:r>
      <w:r w:rsidR="00BB1691" w:rsidRPr="00EE7E38">
        <w:rPr>
          <w:rFonts w:ascii="Times New Roman" w:hAnsi="Times New Roman" w:cs="Times New Roman"/>
        </w:rPr>
        <w:t xml:space="preserve"> in</w:t>
      </w:r>
      <w:r w:rsidR="003F6AA0">
        <w:rPr>
          <w:rFonts w:ascii="Times New Roman" w:hAnsi="Times New Roman" w:cs="Times New Roman"/>
        </w:rPr>
        <w:t>to</w:t>
      </w:r>
      <w:r w:rsidR="00BB1691" w:rsidRPr="00EE7E38">
        <w:rPr>
          <w:rFonts w:ascii="Times New Roman" w:hAnsi="Times New Roman" w:cs="Times New Roman"/>
        </w:rPr>
        <w:t xml:space="preserve"> the </w:t>
      </w:r>
      <w:r w:rsidR="003F6AA0">
        <w:rPr>
          <w:rFonts w:ascii="Times New Roman" w:hAnsi="Times New Roman" w:cs="Times New Roman"/>
        </w:rPr>
        <w:t xml:space="preserve">provision of </w:t>
      </w:r>
      <w:r w:rsidR="00BB1691" w:rsidRPr="00EE7E38">
        <w:rPr>
          <w:rFonts w:ascii="Times New Roman" w:hAnsi="Times New Roman" w:cs="Times New Roman"/>
        </w:rPr>
        <w:t xml:space="preserve">general health care services, which have been reorganized and restructured through privatization since 2012. TB services are provided by specialized TB </w:t>
      </w:r>
      <w:r w:rsidRPr="00EE7E38">
        <w:rPr>
          <w:rFonts w:ascii="Times New Roman" w:hAnsi="Times New Roman" w:cs="Times New Roman"/>
        </w:rPr>
        <w:t xml:space="preserve">units </w:t>
      </w:r>
      <w:r w:rsidR="00BB1691" w:rsidRPr="00EE7E38">
        <w:rPr>
          <w:rFonts w:ascii="Times New Roman" w:hAnsi="Times New Roman" w:cs="Times New Roman"/>
        </w:rPr>
        <w:t xml:space="preserve">as well as by primary health care (PHC) </w:t>
      </w:r>
      <w:r w:rsidRPr="00EE7E38">
        <w:rPr>
          <w:rFonts w:ascii="Times New Roman" w:hAnsi="Times New Roman" w:cs="Times New Roman"/>
        </w:rPr>
        <w:t>units</w:t>
      </w:r>
      <w:r w:rsidR="00BB1691" w:rsidRPr="00EE7E38">
        <w:rPr>
          <w:rFonts w:ascii="Times New Roman" w:hAnsi="Times New Roman" w:cs="Times New Roman"/>
        </w:rPr>
        <w:t xml:space="preserve">. </w:t>
      </w:r>
      <w:r w:rsidRPr="00EE7E38">
        <w:rPr>
          <w:rFonts w:ascii="Times New Roman" w:hAnsi="Times New Roman" w:cs="Times New Roman"/>
        </w:rPr>
        <w:t xml:space="preserve">There are a total of 69 outpatient specialized TB units at </w:t>
      </w:r>
      <w:r w:rsidR="003F6AA0">
        <w:rPr>
          <w:rFonts w:ascii="Times New Roman" w:hAnsi="Times New Roman" w:cs="Times New Roman"/>
        </w:rPr>
        <w:t xml:space="preserve">the </w:t>
      </w:r>
      <w:r w:rsidRPr="00EE7E38">
        <w:rPr>
          <w:rFonts w:ascii="Times New Roman" w:hAnsi="Times New Roman" w:cs="Times New Roman"/>
        </w:rPr>
        <w:t xml:space="preserve">district and regional level, which are organizationally part of private health care provider institutions. </w:t>
      </w:r>
      <w:r w:rsidR="005D40DC" w:rsidRPr="00EE7E38">
        <w:rPr>
          <w:rFonts w:ascii="Times New Roman" w:hAnsi="Times New Roman" w:cs="Times New Roman"/>
        </w:rPr>
        <w:t>In addition, s</w:t>
      </w:r>
      <w:r w:rsidR="0033024B" w:rsidRPr="00EE7E38">
        <w:rPr>
          <w:rFonts w:ascii="Times New Roman" w:hAnsi="Times New Roman" w:cs="Times New Roman"/>
        </w:rPr>
        <w:t xml:space="preserve">ix specialized TB inpatient facilities function in the </w:t>
      </w:r>
      <w:r w:rsidR="005D40DC" w:rsidRPr="00EE7E38">
        <w:rPr>
          <w:rFonts w:ascii="Times New Roman" w:hAnsi="Times New Roman" w:cs="Times New Roman"/>
        </w:rPr>
        <w:t xml:space="preserve">civilian sector </w:t>
      </w:r>
      <w:r w:rsidR="0033024B" w:rsidRPr="00EE7E38">
        <w:rPr>
          <w:rFonts w:ascii="Times New Roman" w:hAnsi="Times New Roman" w:cs="Times New Roman"/>
        </w:rPr>
        <w:t xml:space="preserve">in Tbilisi (NCTLD), Kutaisi, Batumi, Zugdidi, </w:t>
      </w:r>
      <w:proofErr w:type="spellStart"/>
      <w:r w:rsidR="0033024B" w:rsidRPr="00EE7E38">
        <w:rPr>
          <w:rFonts w:ascii="Times New Roman" w:hAnsi="Times New Roman" w:cs="Times New Roman"/>
        </w:rPr>
        <w:t>Abastumani</w:t>
      </w:r>
      <w:proofErr w:type="spellEnd"/>
      <w:r w:rsidR="0033024B" w:rsidRPr="00EE7E38">
        <w:rPr>
          <w:rFonts w:ascii="Times New Roman" w:hAnsi="Times New Roman" w:cs="Times New Roman"/>
        </w:rPr>
        <w:t xml:space="preserve"> and </w:t>
      </w:r>
      <w:proofErr w:type="spellStart"/>
      <w:r w:rsidR="0033024B" w:rsidRPr="00EE7E38">
        <w:rPr>
          <w:rFonts w:ascii="Times New Roman" w:hAnsi="Times New Roman" w:cs="Times New Roman"/>
        </w:rPr>
        <w:t>Poti</w:t>
      </w:r>
      <w:proofErr w:type="spellEnd"/>
      <w:r w:rsidR="0033024B" w:rsidRPr="00EE7E38">
        <w:rPr>
          <w:rFonts w:ascii="Times New Roman" w:hAnsi="Times New Roman" w:cs="Times New Roman"/>
        </w:rPr>
        <w:t xml:space="preserve">, with </w:t>
      </w:r>
      <w:r w:rsidR="003F6AA0">
        <w:rPr>
          <w:rFonts w:ascii="Times New Roman" w:hAnsi="Times New Roman" w:cs="Times New Roman"/>
        </w:rPr>
        <w:t>a</w:t>
      </w:r>
      <w:r w:rsidR="003F6AA0" w:rsidRPr="00EE7E38">
        <w:rPr>
          <w:rFonts w:ascii="Times New Roman" w:hAnsi="Times New Roman" w:cs="Times New Roman"/>
        </w:rPr>
        <w:t xml:space="preserve"> </w:t>
      </w:r>
      <w:r w:rsidR="0033024B" w:rsidRPr="00EE7E38">
        <w:rPr>
          <w:rFonts w:ascii="Times New Roman" w:hAnsi="Times New Roman" w:cs="Times New Roman"/>
        </w:rPr>
        <w:t xml:space="preserve">total capacity of </w:t>
      </w:r>
      <w:r w:rsidR="005D40DC" w:rsidRPr="00EE7E38">
        <w:rPr>
          <w:rFonts w:ascii="Times New Roman" w:hAnsi="Times New Roman" w:cs="Times New Roman"/>
        </w:rPr>
        <w:t xml:space="preserve">466 beds (out of which 170 beds are intended for treatment of M/XDR-TB cases). </w:t>
      </w:r>
      <w:r w:rsidR="00B77F9A" w:rsidRPr="00EE7E38">
        <w:rPr>
          <w:rFonts w:ascii="Times New Roman" w:hAnsi="Times New Roman" w:cs="Times New Roman"/>
        </w:rPr>
        <w:t xml:space="preserve">There </w:t>
      </w:r>
      <w:proofErr w:type="gramStart"/>
      <w:r w:rsidR="00B77F9A" w:rsidRPr="00EE7E38">
        <w:rPr>
          <w:rFonts w:ascii="Times New Roman" w:hAnsi="Times New Roman" w:cs="Times New Roman"/>
        </w:rPr>
        <w:t>are</w:t>
      </w:r>
      <w:proofErr w:type="gramEnd"/>
      <w:r w:rsidR="00B77F9A" w:rsidRPr="00EE7E38">
        <w:rPr>
          <w:rFonts w:ascii="Times New Roman" w:hAnsi="Times New Roman" w:cs="Times New Roman"/>
        </w:rPr>
        <w:t xml:space="preserve"> about 870 staff in the specialized TB service, </w:t>
      </w:r>
      <w:r w:rsidR="00F47F43" w:rsidRPr="00EE7E38">
        <w:rPr>
          <w:rFonts w:ascii="Times New Roman" w:hAnsi="Times New Roman" w:cs="Times New Roman"/>
        </w:rPr>
        <w:t xml:space="preserve">including </w:t>
      </w:r>
      <w:r w:rsidR="00B77F9A" w:rsidRPr="00EE7E38">
        <w:rPr>
          <w:rFonts w:ascii="Times New Roman" w:hAnsi="Times New Roman" w:cs="Times New Roman"/>
        </w:rPr>
        <w:t xml:space="preserve">184 </w:t>
      </w:r>
      <w:r w:rsidR="00F47F43" w:rsidRPr="00EE7E38">
        <w:rPr>
          <w:rFonts w:ascii="Times New Roman" w:hAnsi="Times New Roman" w:cs="Times New Roman"/>
        </w:rPr>
        <w:t xml:space="preserve">TB doctors, </w:t>
      </w:r>
      <w:r w:rsidR="00B77F9A" w:rsidRPr="00EE7E38">
        <w:rPr>
          <w:rFonts w:ascii="Times New Roman" w:hAnsi="Times New Roman" w:cs="Times New Roman"/>
        </w:rPr>
        <w:t xml:space="preserve">379 </w:t>
      </w:r>
      <w:r w:rsidR="00F47F43" w:rsidRPr="00EE7E38">
        <w:rPr>
          <w:rFonts w:ascii="Times New Roman" w:hAnsi="Times New Roman" w:cs="Times New Roman"/>
        </w:rPr>
        <w:t>nurses</w:t>
      </w:r>
      <w:r w:rsidR="00B77F9A" w:rsidRPr="00EE7E38">
        <w:rPr>
          <w:rFonts w:ascii="Times New Roman" w:hAnsi="Times New Roman" w:cs="Times New Roman"/>
        </w:rPr>
        <w:t xml:space="preserve"> and 25 laboratory personnel.</w:t>
      </w:r>
    </w:p>
    <w:p w14:paraId="1DF7C0FB" w14:textId="2A620D39" w:rsidR="003011F5" w:rsidRPr="00EE7E38" w:rsidRDefault="00C2574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In Georgia, </w:t>
      </w:r>
      <w:r w:rsidR="00082E29" w:rsidRPr="00EE7E38">
        <w:rPr>
          <w:rFonts w:ascii="Times New Roman" w:hAnsi="Times New Roman" w:cs="Times New Roman"/>
        </w:rPr>
        <w:t>TB detection</w:t>
      </w:r>
      <w:r w:rsidRPr="00EE7E38">
        <w:rPr>
          <w:rFonts w:ascii="Times New Roman" w:hAnsi="Times New Roman" w:cs="Times New Roman"/>
        </w:rPr>
        <w:t xml:space="preserve"> is </w:t>
      </w:r>
      <w:r w:rsidR="003F6AA0">
        <w:rPr>
          <w:rFonts w:ascii="Times New Roman" w:hAnsi="Times New Roman" w:cs="Times New Roman"/>
        </w:rPr>
        <w:t xml:space="preserve">mainly done through </w:t>
      </w:r>
      <w:r w:rsidRPr="00EE7E38">
        <w:rPr>
          <w:rFonts w:ascii="Times New Roman" w:hAnsi="Times New Roman" w:cs="Times New Roman"/>
        </w:rPr>
        <w:t>passive case finding</w:t>
      </w:r>
      <w:r w:rsidR="00082E29" w:rsidRPr="00EE7E38">
        <w:rPr>
          <w:rFonts w:ascii="Times New Roman" w:hAnsi="Times New Roman" w:cs="Times New Roman"/>
        </w:rPr>
        <w:t xml:space="preserve">. PHC providers are responsible for </w:t>
      </w:r>
      <w:r w:rsidR="003F6AA0" w:rsidRPr="00EE7E38">
        <w:rPr>
          <w:rFonts w:ascii="Times New Roman" w:hAnsi="Times New Roman" w:cs="Times New Roman"/>
        </w:rPr>
        <w:t>identif</w:t>
      </w:r>
      <w:r w:rsidR="003F6AA0">
        <w:rPr>
          <w:rFonts w:ascii="Times New Roman" w:hAnsi="Times New Roman" w:cs="Times New Roman"/>
        </w:rPr>
        <w:t>ying</w:t>
      </w:r>
      <w:r w:rsidR="003F6AA0" w:rsidRPr="00EE7E38">
        <w:rPr>
          <w:rFonts w:ascii="Times New Roman" w:hAnsi="Times New Roman" w:cs="Times New Roman"/>
        </w:rPr>
        <w:t xml:space="preserve"> </w:t>
      </w:r>
      <w:r w:rsidR="00082E29" w:rsidRPr="00EE7E38">
        <w:rPr>
          <w:rFonts w:ascii="Times New Roman" w:hAnsi="Times New Roman" w:cs="Times New Roman"/>
        </w:rPr>
        <w:t xml:space="preserve">TB suspects </w:t>
      </w:r>
      <w:r w:rsidR="003F6AA0">
        <w:rPr>
          <w:rFonts w:ascii="Times New Roman" w:hAnsi="Times New Roman" w:cs="Times New Roman"/>
        </w:rPr>
        <w:t xml:space="preserve">and </w:t>
      </w:r>
      <w:r w:rsidR="00082E29" w:rsidRPr="00EE7E38">
        <w:rPr>
          <w:rFonts w:ascii="Times New Roman" w:hAnsi="Times New Roman" w:cs="Times New Roman"/>
        </w:rPr>
        <w:t xml:space="preserve">referring them to specialized TB service units for diagnosis. Diagnosis of TB is established by direct sputum smear microscopy and </w:t>
      </w:r>
      <w:proofErr w:type="spellStart"/>
      <w:r w:rsidR="00082E29" w:rsidRPr="00EE7E38">
        <w:rPr>
          <w:rFonts w:ascii="Times New Roman" w:hAnsi="Times New Roman" w:cs="Times New Roman"/>
        </w:rPr>
        <w:t>Xpert</w:t>
      </w:r>
      <w:proofErr w:type="spellEnd"/>
      <w:r w:rsidR="00082E29" w:rsidRPr="00EE7E38">
        <w:rPr>
          <w:rFonts w:ascii="Times New Roman" w:hAnsi="Times New Roman" w:cs="Times New Roman"/>
        </w:rPr>
        <w:t xml:space="preserve"> MTB/RIF, supported by X-ray in cases with negative microscopy/</w:t>
      </w:r>
      <w:proofErr w:type="spellStart"/>
      <w:r w:rsidR="00082E29" w:rsidRPr="00EE7E38">
        <w:rPr>
          <w:rFonts w:ascii="Times New Roman" w:hAnsi="Times New Roman" w:cs="Times New Roman"/>
        </w:rPr>
        <w:t>Xpert</w:t>
      </w:r>
      <w:proofErr w:type="spellEnd"/>
      <w:r w:rsidR="00082E29" w:rsidRPr="00EE7E38">
        <w:rPr>
          <w:rFonts w:ascii="Times New Roman" w:hAnsi="Times New Roman" w:cs="Times New Roman"/>
        </w:rPr>
        <w:t xml:space="preserve"> results and confirmed by culture. Sputum s</w:t>
      </w:r>
      <w:r w:rsidR="00B77F9A" w:rsidRPr="00EE7E38">
        <w:rPr>
          <w:rFonts w:ascii="Times New Roman" w:hAnsi="Times New Roman" w:cs="Times New Roman"/>
        </w:rPr>
        <w:t>pecimen</w:t>
      </w:r>
      <w:r w:rsidR="004852DB">
        <w:rPr>
          <w:rFonts w:ascii="Times New Roman" w:hAnsi="Times New Roman" w:cs="Times New Roman"/>
        </w:rPr>
        <w:t xml:space="preserve"> </w:t>
      </w:r>
      <w:r w:rsidR="00B77F9A" w:rsidRPr="00EE7E38">
        <w:rPr>
          <w:rFonts w:ascii="Times New Roman" w:hAnsi="Times New Roman" w:cs="Times New Roman"/>
        </w:rPr>
        <w:t xml:space="preserve">transportation is </w:t>
      </w:r>
      <w:r w:rsidR="00082E29" w:rsidRPr="00EE7E38">
        <w:rPr>
          <w:rFonts w:ascii="Times New Roman" w:hAnsi="Times New Roman" w:cs="Times New Roman"/>
        </w:rPr>
        <w:t xml:space="preserve">organized from district TB units </w:t>
      </w:r>
      <w:r w:rsidR="00B77F9A" w:rsidRPr="00EE7E38">
        <w:rPr>
          <w:rFonts w:ascii="Times New Roman" w:hAnsi="Times New Roman" w:cs="Times New Roman"/>
        </w:rPr>
        <w:t xml:space="preserve">to the </w:t>
      </w:r>
      <w:proofErr w:type="gramStart"/>
      <w:r w:rsidR="00082E29" w:rsidRPr="00EE7E38">
        <w:rPr>
          <w:rFonts w:ascii="Times New Roman" w:hAnsi="Times New Roman" w:cs="Times New Roman"/>
        </w:rPr>
        <w:t>LSSs,</w:t>
      </w:r>
      <w:proofErr w:type="gramEnd"/>
      <w:r w:rsidR="00082E29" w:rsidRPr="00EE7E38">
        <w:rPr>
          <w:rFonts w:ascii="Times New Roman" w:hAnsi="Times New Roman" w:cs="Times New Roman"/>
        </w:rPr>
        <w:t xml:space="preserve"> and from LSSs to ZDL Kutaisi or NRL. </w:t>
      </w:r>
      <w:r w:rsidR="00B77F9A" w:rsidRPr="00EE7E38">
        <w:rPr>
          <w:rFonts w:ascii="Times New Roman" w:hAnsi="Times New Roman" w:cs="Times New Roman"/>
        </w:rPr>
        <w:t xml:space="preserve">Kutaisi laboratory is a regional </w:t>
      </w:r>
      <w:r w:rsidR="00970C82" w:rsidRPr="00EE7E38">
        <w:rPr>
          <w:rFonts w:ascii="Times New Roman" w:hAnsi="Times New Roman" w:cs="Times New Roman"/>
        </w:rPr>
        <w:t>c</w:t>
      </w:r>
      <w:r w:rsidR="0013627E" w:rsidRPr="00EE7E38">
        <w:rPr>
          <w:rFonts w:ascii="Times New Roman" w:hAnsi="Times New Roman" w:cs="Times New Roman"/>
        </w:rPr>
        <w:t>e</w:t>
      </w:r>
      <w:r w:rsidR="00970C82" w:rsidRPr="00EE7E38">
        <w:rPr>
          <w:rFonts w:ascii="Times New Roman" w:hAnsi="Times New Roman" w:cs="Times New Roman"/>
        </w:rPr>
        <w:t>nter</w:t>
      </w:r>
      <w:r w:rsidR="00B77F9A" w:rsidRPr="00EE7E38">
        <w:rPr>
          <w:rFonts w:ascii="Times New Roman" w:hAnsi="Times New Roman" w:cs="Times New Roman"/>
        </w:rPr>
        <w:t xml:space="preserve"> for Western Georgia </w:t>
      </w:r>
      <w:r w:rsidR="0013627E" w:rsidRPr="00EE7E38">
        <w:rPr>
          <w:rFonts w:ascii="Times New Roman" w:hAnsi="Times New Roman" w:cs="Times New Roman"/>
        </w:rPr>
        <w:t xml:space="preserve">and provides </w:t>
      </w:r>
      <w:r w:rsidR="00B77F9A" w:rsidRPr="00EE7E38">
        <w:rPr>
          <w:rFonts w:ascii="Times New Roman" w:hAnsi="Times New Roman" w:cs="Times New Roman"/>
        </w:rPr>
        <w:t>culturing</w:t>
      </w:r>
      <w:r w:rsidR="0013627E" w:rsidRPr="00EE7E38">
        <w:rPr>
          <w:rFonts w:ascii="Times New Roman" w:hAnsi="Times New Roman" w:cs="Times New Roman"/>
        </w:rPr>
        <w:t xml:space="preserve"> on liquid and solid media and sensitivity testing for first and second line drugs</w:t>
      </w:r>
      <w:r w:rsidR="004852DB">
        <w:rPr>
          <w:rFonts w:ascii="Times New Roman" w:hAnsi="Times New Roman" w:cs="Times New Roman"/>
        </w:rPr>
        <w:t>.</w:t>
      </w:r>
      <w:r w:rsidR="0013627E" w:rsidRPr="00EE7E38">
        <w:rPr>
          <w:rFonts w:ascii="Times New Roman" w:hAnsi="Times New Roman" w:cs="Times New Roman"/>
        </w:rPr>
        <w:t xml:space="preserve"> </w:t>
      </w:r>
      <w:r w:rsidR="00B77F9A" w:rsidRPr="00EE7E38">
        <w:rPr>
          <w:rFonts w:ascii="Times New Roman" w:hAnsi="Times New Roman" w:cs="Times New Roman"/>
        </w:rPr>
        <w:t>DST</w:t>
      </w:r>
      <w:r w:rsidR="004852DB">
        <w:rPr>
          <w:rFonts w:ascii="Times New Roman" w:hAnsi="Times New Roman" w:cs="Times New Roman"/>
        </w:rPr>
        <w:t xml:space="preserve"> </w:t>
      </w:r>
      <w:r w:rsidR="00B77F9A" w:rsidRPr="00EE7E38">
        <w:rPr>
          <w:rFonts w:ascii="Times New Roman" w:hAnsi="Times New Roman" w:cs="Times New Roman"/>
        </w:rPr>
        <w:t xml:space="preserve">is </w:t>
      </w:r>
      <w:r w:rsidR="00082E29" w:rsidRPr="00EE7E38">
        <w:rPr>
          <w:rFonts w:ascii="Times New Roman" w:hAnsi="Times New Roman" w:cs="Times New Roman"/>
        </w:rPr>
        <w:t xml:space="preserve">currently performed </w:t>
      </w:r>
      <w:r w:rsidR="00B77F9A" w:rsidRPr="00EE7E38">
        <w:rPr>
          <w:rFonts w:ascii="Times New Roman" w:hAnsi="Times New Roman" w:cs="Times New Roman"/>
        </w:rPr>
        <w:t xml:space="preserve">at the NRL only. The NRL performs the full range of </w:t>
      </w:r>
      <w:r w:rsidR="00082E29" w:rsidRPr="00EE7E38">
        <w:rPr>
          <w:rFonts w:ascii="Times New Roman" w:hAnsi="Times New Roman" w:cs="Times New Roman"/>
        </w:rPr>
        <w:t xml:space="preserve">TB laboratory </w:t>
      </w:r>
      <w:r w:rsidR="00B77F9A" w:rsidRPr="00EE7E38">
        <w:rPr>
          <w:rFonts w:ascii="Times New Roman" w:hAnsi="Times New Roman" w:cs="Times New Roman"/>
        </w:rPr>
        <w:t xml:space="preserve">investigations and is responsible for laboratory </w:t>
      </w:r>
      <w:r w:rsidR="00082E29" w:rsidRPr="00EE7E38">
        <w:rPr>
          <w:rFonts w:ascii="Times New Roman" w:hAnsi="Times New Roman" w:cs="Times New Roman"/>
        </w:rPr>
        <w:t>quality assurance country-wide</w:t>
      </w:r>
      <w:r w:rsidR="0013627E" w:rsidRPr="00EE7E38">
        <w:rPr>
          <w:rFonts w:ascii="Times New Roman" w:hAnsi="Times New Roman" w:cs="Times New Roman"/>
        </w:rPr>
        <w:t xml:space="preserve"> and performs sensitivity testing for third line drugs</w:t>
      </w:r>
      <w:r w:rsidR="00082E29" w:rsidRPr="00EE7E38">
        <w:rPr>
          <w:rFonts w:ascii="Times New Roman" w:hAnsi="Times New Roman" w:cs="Times New Roman"/>
        </w:rPr>
        <w:t xml:space="preserve">. </w:t>
      </w:r>
      <w:proofErr w:type="spellStart"/>
      <w:r w:rsidR="00D6678D" w:rsidRPr="00EE7E38">
        <w:rPr>
          <w:rFonts w:ascii="Times New Roman" w:hAnsi="Times New Roman" w:cs="Times New Roman"/>
        </w:rPr>
        <w:t>Xpert</w:t>
      </w:r>
      <w:proofErr w:type="spellEnd"/>
      <w:r w:rsidR="00D6678D" w:rsidRPr="00EE7E38">
        <w:rPr>
          <w:rFonts w:ascii="Times New Roman" w:hAnsi="Times New Roman" w:cs="Times New Roman"/>
        </w:rPr>
        <w:t xml:space="preserve"> MTB/RIF diagnostic technology </w:t>
      </w:r>
      <w:r w:rsidR="0013627E" w:rsidRPr="00EE7E38">
        <w:rPr>
          <w:rFonts w:ascii="Times New Roman" w:hAnsi="Times New Roman" w:cs="Times New Roman"/>
        </w:rPr>
        <w:t xml:space="preserve">has been widely implemented in the country </w:t>
      </w:r>
      <w:r w:rsidR="004852DB">
        <w:rPr>
          <w:rFonts w:ascii="Times New Roman" w:hAnsi="Times New Roman" w:cs="Times New Roman"/>
        </w:rPr>
        <w:t>since</w:t>
      </w:r>
      <w:r w:rsidR="0013627E" w:rsidRPr="00EE7E38">
        <w:rPr>
          <w:rFonts w:ascii="Times New Roman" w:hAnsi="Times New Roman" w:cs="Times New Roman"/>
        </w:rPr>
        <w:t xml:space="preserve"> </w:t>
      </w:r>
      <w:r w:rsidR="00D6678D" w:rsidRPr="00EE7E38">
        <w:rPr>
          <w:rFonts w:ascii="Times New Roman" w:hAnsi="Times New Roman" w:cs="Times New Roman"/>
        </w:rPr>
        <w:t>2013</w:t>
      </w:r>
      <w:r w:rsidR="0013627E" w:rsidRPr="00EE7E38">
        <w:rPr>
          <w:rFonts w:ascii="Times New Roman" w:hAnsi="Times New Roman" w:cs="Times New Roman"/>
        </w:rPr>
        <w:t xml:space="preserve">, contributing to faster detection of resistant forms of </w:t>
      </w:r>
      <w:r w:rsidR="004852DB">
        <w:rPr>
          <w:rFonts w:ascii="Times New Roman" w:hAnsi="Times New Roman" w:cs="Times New Roman"/>
        </w:rPr>
        <w:t>TB</w:t>
      </w:r>
      <w:r w:rsidR="0013627E" w:rsidRPr="00EE7E38">
        <w:rPr>
          <w:rFonts w:ascii="Times New Roman" w:hAnsi="Times New Roman" w:cs="Times New Roman"/>
        </w:rPr>
        <w:t>.</w:t>
      </w:r>
      <w:r w:rsidR="002C3881" w:rsidRPr="00EE7E38">
        <w:rPr>
          <w:rFonts w:ascii="Times New Roman" w:hAnsi="Times New Roman" w:cs="Times New Roman"/>
        </w:rPr>
        <w:t xml:space="preserve"> </w:t>
      </w:r>
      <w:r w:rsidR="0013627E" w:rsidRPr="00EE7E38">
        <w:rPr>
          <w:rFonts w:ascii="Times New Roman" w:hAnsi="Times New Roman" w:cs="Times New Roman"/>
        </w:rPr>
        <w:t>C</w:t>
      </w:r>
      <w:r w:rsidR="00D6678D" w:rsidRPr="00EE7E38">
        <w:rPr>
          <w:rFonts w:ascii="Times New Roman" w:hAnsi="Times New Roman" w:cs="Times New Roman"/>
        </w:rPr>
        <w:t xml:space="preserve">urrently, </w:t>
      </w:r>
      <w:r w:rsidR="0013627E" w:rsidRPr="00EE7E38">
        <w:rPr>
          <w:rFonts w:ascii="Times New Roman" w:hAnsi="Times New Roman" w:cs="Times New Roman"/>
        </w:rPr>
        <w:t>38</w:t>
      </w:r>
      <w:r w:rsidR="00D6678D" w:rsidRPr="00EE7E38">
        <w:rPr>
          <w:rFonts w:ascii="Times New Roman" w:hAnsi="Times New Roman" w:cs="Times New Roman"/>
        </w:rPr>
        <w:t xml:space="preserve"> </w:t>
      </w:r>
      <w:proofErr w:type="spellStart"/>
      <w:r w:rsidR="004852DB">
        <w:rPr>
          <w:rFonts w:ascii="Times New Roman" w:hAnsi="Times New Roman" w:cs="Times New Roman"/>
        </w:rPr>
        <w:t>Xpert</w:t>
      </w:r>
      <w:proofErr w:type="spellEnd"/>
      <w:r w:rsidR="004852DB">
        <w:rPr>
          <w:rFonts w:ascii="Times New Roman" w:hAnsi="Times New Roman" w:cs="Times New Roman"/>
        </w:rPr>
        <w:t xml:space="preserve"> MTB/Rif </w:t>
      </w:r>
      <w:r w:rsidR="00D6678D" w:rsidRPr="00EE7E38">
        <w:rPr>
          <w:rFonts w:ascii="Times New Roman" w:hAnsi="Times New Roman" w:cs="Times New Roman"/>
        </w:rPr>
        <w:t xml:space="preserve">instruments are operational in the country, including </w:t>
      </w:r>
      <w:r w:rsidR="004852DB">
        <w:rPr>
          <w:rFonts w:ascii="Times New Roman" w:hAnsi="Times New Roman" w:cs="Times New Roman"/>
        </w:rPr>
        <w:t xml:space="preserve">in </w:t>
      </w:r>
      <w:r w:rsidR="00D6678D" w:rsidRPr="00EE7E38">
        <w:rPr>
          <w:rFonts w:ascii="Times New Roman" w:hAnsi="Times New Roman" w:cs="Times New Roman"/>
        </w:rPr>
        <w:t>the penitentiary system.</w:t>
      </w:r>
    </w:p>
    <w:p w14:paraId="44B32F61" w14:textId="2018CAB4" w:rsidR="003011F5" w:rsidRPr="00EE7E38" w:rsidRDefault="00D6678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Case classification and definition of treatment category are done in the specialized TB service units. Treatment regimens are administered according to WHO recommendations. Uninterrupted supply of quality anti-TB drugs is ensured country-wide. </w:t>
      </w:r>
      <w:r w:rsidR="00766AFF" w:rsidRPr="00EE7E38">
        <w:rPr>
          <w:rFonts w:ascii="Times New Roman" w:hAnsi="Times New Roman" w:cs="Times New Roman"/>
        </w:rPr>
        <w:t>Until 2014 p</w:t>
      </w:r>
      <w:r w:rsidRPr="00EE7E38">
        <w:rPr>
          <w:rFonts w:ascii="Times New Roman" w:hAnsi="Times New Roman" w:cs="Times New Roman"/>
        </w:rPr>
        <w:t xml:space="preserve">rocurement of TB drugs </w:t>
      </w:r>
      <w:r w:rsidR="00766AFF" w:rsidRPr="00EE7E38">
        <w:rPr>
          <w:rFonts w:ascii="Times New Roman" w:hAnsi="Times New Roman" w:cs="Times New Roman"/>
        </w:rPr>
        <w:t>was completely</w:t>
      </w:r>
      <w:r w:rsidRPr="00EE7E38">
        <w:rPr>
          <w:rFonts w:ascii="Times New Roman" w:hAnsi="Times New Roman" w:cs="Times New Roman"/>
        </w:rPr>
        <w:t xml:space="preserve"> carried out with the financia</w:t>
      </w:r>
      <w:r w:rsidR="002C3881" w:rsidRPr="00EE7E38">
        <w:rPr>
          <w:rFonts w:ascii="Times New Roman" w:hAnsi="Times New Roman" w:cs="Times New Roman"/>
        </w:rPr>
        <w:t>l support from the Global Fund. From</w:t>
      </w:r>
      <w:r w:rsidR="00766AFF" w:rsidRPr="00EE7E38">
        <w:rPr>
          <w:rFonts w:ascii="Times New Roman" w:hAnsi="Times New Roman" w:cs="Times New Roman"/>
        </w:rPr>
        <w:t xml:space="preserve"> 2015</w:t>
      </w:r>
      <w:r w:rsidR="004852DB">
        <w:rPr>
          <w:rFonts w:ascii="Times New Roman" w:hAnsi="Times New Roman" w:cs="Times New Roman"/>
        </w:rPr>
        <w:t>, the government</w:t>
      </w:r>
      <w:r w:rsidR="00D43D9A">
        <w:rPr>
          <w:rFonts w:ascii="Times New Roman" w:hAnsi="Times New Roman" w:cs="Times New Roman"/>
        </w:rPr>
        <w:t xml:space="preserve"> </w:t>
      </w:r>
      <w:r w:rsidR="00766AFF" w:rsidRPr="00EE7E38">
        <w:rPr>
          <w:rFonts w:ascii="Times New Roman" w:hAnsi="Times New Roman" w:cs="Times New Roman"/>
        </w:rPr>
        <w:t xml:space="preserve">is procuring first line </w:t>
      </w:r>
      <w:r w:rsidR="004852DB">
        <w:rPr>
          <w:rFonts w:ascii="Times New Roman" w:hAnsi="Times New Roman" w:cs="Times New Roman"/>
        </w:rPr>
        <w:t>TB</w:t>
      </w:r>
      <w:r w:rsidR="004852DB" w:rsidRPr="00EE7E38">
        <w:rPr>
          <w:rFonts w:ascii="Times New Roman" w:hAnsi="Times New Roman" w:cs="Times New Roman"/>
        </w:rPr>
        <w:t xml:space="preserve"> </w:t>
      </w:r>
      <w:r w:rsidR="00766AFF" w:rsidRPr="00EE7E38">
        <w:rPr>
          <w:rFonts w:ascii="Times New Roman" w:hAnsi="Times New Roman" w:cs="Times New Roman"/>
        </w:rPr>
        <w:t>medications</w:t>
      </w:r>
      <w:r w:rsidR="002C3881" w:rsidRPr="00EE7E38">
        <w:rPr>
          <w:rFonts w:ascii="Times New Roman" w:hAnsi="Times New Roman" w:cs="Times New Roman"/>
        </w:rPr>
        <w:t xml:space="preserve"> and has been gradually increasing it</w:t>
      </w:r>
      <w:r w:rsidR="004852DB">
        <w:rPr>
          <w:rFonts w:ascii="Times New Roman" w:hAnsi="Times New Roman" w:cs="Times New Roman"/>
        </w:rPr>
        <w:t>s</w:t>
      </w:r>
      <w:r w:rsidR="002C3881" w:rsidRPr="00EE7E38">
        <w:rPr>
          <w:rFonts w:ascii="Times New Roman" w:hAnsi="Times New Roman" w:cs="Times New Roman"/>
        </w:rPr>
        <w:t xml:space="preserve"> financing for second line drugs</w:t>
      </w:r>
      <w:r w:rsidR="00766AFF" w:rsidRPr="00EE7E38">
        <w:rPr>
          <w:rFonts w:ascii="Times New Roman" w:hAnsi="Times New Roman" w:cs="Times New Roman"/>
        </w:rPr>
        <w:t xml:space="preserve">. </w:t>
      </w:r>
      <w:r w:rsidR="002C3881" w:rsidRPr="00EE7E38">
        <w:rPr>
          <w:rFonts w:ascii="Times New Roman" w:hAnsi="Times New Roman" w:cs="Times New Roman"/>
        </w:rPr>
        <w:t xml:space="preserve">In order to assure </w:t>
      </w:r>
      <w:r w:rsidR="004852DB">
        <w:rPr>
          <w:rFonts w:ascii="Times New Roman" w:hAnsi="Times New Roman" w:cs="Times New Roman"/>
        </w:rPr>
        <w:t xml:space="preserve">the </w:t>
      </w:r>
      <w:r w:rsidR="002C3881" w:rsidRPr="00EE7E38">
        <w:rPr>
          <w:rFonts w:ascii="Times New Roman" w:hAnsi="Times New Roman" w:cs="Times New Roman"/>
        </w:rPr>
        <w:t xml:space="preserve">quality of drugs </w:t>
      </w:r>
      <w:r w:rsidR="00766AFF" w:rsidRPr="00EE7E38">
        <w:rPr>
          <w:rFonts w:ascii="Times New Roman" w:hAnsi="Times New Roman" w:cs="Times New Roman"/>
        </w:rPr>
        <w:t>t</w:t>
      </w:r>
      <w:r w:rsidRPr="00EE7E38">
        <w:rPr>
          <w:rFonts w:ascii="Times New Roman" w:hAnsi="Times New Roman" w:cs="Times New Roman"/>
        </w:rPr>
        <w:t>here are established procedures for port clearance, storage, distribution to service delivery sites, stock monitoring and replenishment</w:t>
      </w:r>
      <w:r w:rsidR="00766AFF" w:rsidRPr="00EE7E38">
        <w:rPr>
          <w:rFonts w:ascii="Times New Roman" w:hAnsi="Times New Roman" w:cs="Times New Roman"/>
        </w:rPr>
        <w:t xml:space="preserve"> that are in compliance with international requirements</w:t>
      </w:r>
      <w:r w:rsidRPr="00EE7E38">
        <w:rPr>
          <w:rFonts w:ascii="Times New Roman" w:hAnsi="Times New Roman" w:cs="Times New Roman"/>
        </w:rPr>
        <w:t>.</w:t>
      </w:r>
    </w:p>
    <w:p w14:paraId="292D800B" w14:textId="12F9C94D" w:rsidR="003011F5" w:rsidRPr="00EE7E38" w:rsidRDefault="002C388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One third (30%) of</w:t>
      </w:r>
      <w:r w:rsidR="00D6678D" w:rsidRPr="00EE7E38">
        <w:rPr>
          <w:rFonts w:ascii="Times New Roman" w:hAnsi="Times New Roman" w:cs="Times New Roman"/>
        </w:rPr>
        <w:t xml:space="preserve"> TB patients</w:t>
      </w:r>
      <w:r w:rsidRPr="00EE7E38">
        <w:rPr>
          <w:rFonts w:ascii="Times New Roman" w:hAnsi="Times New Roman" w:cs="Times New Roman"/>
        </w:rPr>
        <w:t xml:space="preserve"> (all forms)</w:t>
      </w:r>
      <w:r w:rsidR="00D6678D" w:rsidRPr="00EE7E38">
        <w:rPr>
          <w:rFonts w:ascii="Times New Roman" w:hAnsi="Times New Roman" w:cs="Times New Roman"/>
        </w:rPr>
        <w:t xml:space="preserve"> are hospitalized during </w:t>
      </w:r>
      <w:r w:rsidR="0051414D">
        <w:rPr>
          <w:rFonts w:ascii="Times New Roman" w:hAnsi="Times New Roman" w:cs="Times New Roman"/>
        </w:rPr>
        <w:t xml:space="preserve">the </w:t>
      </w:r>
      <w:r w:rsidR="00D6678D" w:rsidRPr="00EE7E38">
        <w:rPr>
          <w:rFonts w:ascii="Times New Roman" w:hAnsi="Times New Roman" w:cs="Times New Roman"/>
        </w:rPr>
        <w:t>intensive phase of treatment</w:t>
      </w:r>
      <w:r w:rsidR="0051414D">
        <w:rPr>
          <w:rFonts w:ascii="Times New Roman" w:hAnsi="Times New Roman" w:cs="Times New Roman"/>
        </w:rPr>
        <w:t>; the</w:t>
      </w:r>
      <w:r w:rsidR="00766AFF" w:rsidRPr="00EE7E38">
        <w:rPr>
          <w:rFonts w:ascii="Times New Roman" w:hAnsi="Times New Roman" w:cs="Times New Roman"/>
        </w:rPr>
        <w:t xml:space="preserve"> majority</w:t>
      </w:r>
      <w:r w:rsidRPr="00EE7E38">
        <w:rPr>
          <w:rFonts w:ascii="Times New Roman" w:hAnsi="Times New Roman" w:cs="Times New Roman"/>
        </w:rPr>
        <w:t xml:space="preserve"> of those hospitalized</w:t>
      </w:r>
      <w:r w:rsidR="00766AFF" w:rsidRPr="00EE7E38">
        <w:rPr>
          <w:rFonts w:ascii="Times New Roman" w:hAnsi="Times New Roman" w:cs="Times New Roman"/>
        </w:rPr>
        <w:t xml:space="preserve"> </w:t>
      </w:r>
      <w:r w:rsidR="0051414D">
        <w:rPr>
          <w:rFonts w:ascii="Times New Roman" w:hAnsi="Times New Roman" w:cs="Times New Roman"/>
        </w:rPr>
        <w:t>have MDR-TB</w:t>
      </w:r>
      <w:r w:rsidR="00D6678D" w:rsidRPr="00EE7E38">
        <w:rPr>
          <w:rFonts w:ascii="Times New Roman" w:hAnsi="Times New Roman" w:cs="Times New Roman"/>
        </w:rPr>
        <w:t xml:space="preserve">. </w:t>
      </w:r>
      <w:r w:rsidR="0051414D">
        <w:rPr>
          <w:rFonts w:ascii="Times New Roman" w:hAnsi="Times New Roman" w:cs="Times New Roman"/>
        </w:rPr>
        <w:t>Eighty percent (</w:t>
      </w:r>
      <w:r w:rsidR="00766AFF" w:rsidRPr="00EE7E38">
        <w:rPr>
          <w:rFonts w:ascii="Times New Roman" w:hAnsi="Times New Roman" w:cs="Times New Roman"/>
        </w:rPr>
        <w:t>80%</w:t>
      </w:r>
      <w:r w:rsidR="0051414D">
        <w:rPr>
          <w:rFonts w:ascii="Times New Roman" w:hAnsi="Times New Roman" w:cs="Times New Roman"/>
        </w:rPr>
        <w:t>)</w:t>
      </w:r>
      <w:r w:rsidR="00766AFF" w:rsidRPr="00EE7E38">
        <w:rPr>
          <w:rFonts w:ascii="Times New Roman" w:hAnsi="Times New Roman" w:cs="Times New Roman"/>
        </w:rPr>
        <w:t xml:space="preserve"> of patients with this form of </w:t>
      </w:r>
      <w:r w:rsidR="0051414D">
        <w:rPr>
          <w:rFonts w:ascii="Times New Roman" w:hAnsi="Times New Roman" w:cs="Times New Roman"/>
        </w:rPr>
        <w:t>TB</w:t>
      </w:r>
      <w:r w:rsidR="0051414D" w:rsidRPr="00EE7E38">
        <w:rPr>
          <w:rFonts w:ascii="Times New Roman" w:hAnsi="Times New Roman" w:cs="Times New Roman"/>
        </w:rPr>
        <w:t xml:space="preserve"> </w:t>
      </w:r>
      <w:r w:rsidR="00766AFF" w:rsidRPr="00EE7E38">
        <w:rPr>
          <w:rFonts w:ascii="Times New Roman" w:hAnsi="Times New Roman" w:cs="Times New Roman"/>
        </w:rPr>
        <w:t xml:space="preserve">start their </w:t>
      </w:r>
      <w:r w:rsidR="00C94DC8" w:rsidRPr="00EE7E38">
        <w:rPr>
          <w:rFonts w:ascii="Times New Roman" w:hAnsi="Times New Roman" w:cs="Times New Roman"/>
        </w:rPr>
        <w:t xml:space="preserve">treatment in inpatient care. </w:t>
      </w:r>
      <w:r w:rsidR="00D6678D" w:rsidRPr="00EE7E38">
        <w:rPr>
          <w:rFonts w:ascii="Times New Roman" w:hAnsi="Times New Roman" w:cs="Times New Roman"/>
        </w:rPr>
        <w:t xml:space="preserve">During out-patient treatment, follow-up of patients and drug dispensing are carried out by </w:t>
      </w:r>
      <w:r w:rsidR="00C94DC8" w:rsidRPr="00EE7E38">
        <w:rPr>
          <w:rFonts w:ascii="Times New Roman" w:hAnsi="Times New Roman" w:cs="Times New Roman"/>
        </w:rPr>
        <w:t xml:space="preserve">district </w:t>
      </w:r>
      <w:r w:rsidR="00D6678D" w:rsidRPr="00EE7E38">
        <w:rPr>
          <w:rFonts w:ascii="Times New Roman" w:hAnsi="Times New Roman" w:cs="Times New Roman"/>
        </w:rPr>
        <w:t xml:space="preserve">TB units and </w:t>
      </w:r>
      <w:r w:rsidR="00C94DC8" w:rsidRPr="00EE7E38">
        <w:rPr>
          <w:rFonts w:ascii="Times New Roman" w:hAnsi="Times New Roman" w:cs="Times New Roman"/>
        </w:rPr>
        <w:t xml:space="preserve">village </w:t>
      </w:r>
      <w:r w:rsidR="00D6678D" w:rsidRPr="00EE7E38">
        <w:rPr>
          <w:rFonts w:ascii="Times New Roman" w:hAnsi="Times New Roman" w:cs="Times New Roman"/>
        </w:rPr>
        <w:t>PHC facilities.</w:t>
      </w:r>
      <w:r w:rsidR="00766AFF" w:rsidRPr="00EE7E38">
        <w:rPr>
          <w:rFonts w:ascii="Times New Roman" w:hAnsi="Times New Roman" w:cs="Times New Roman"/>
        </w:rPr>
        <w:t xml:space="preserve"> </w:t>
      </w:r>
      <w:r w:rsidR="00D6678D" w:rsidRPr="00EE7E38">
        <w:rPr>
          <w:rFonts w:ascii="Times New Roman" w:hAnsi="Times New Roman" w:cs="Times New Roman"/>
        </w:rPr>
        <w:t xml:space="preserve">Ensuring </w:t>
      </w:r>
      <w:r w:rsidR="007916E6">
        <w:rPr>
          <w:rFonts w:ascii="Times New Roman" w:hAnsi="Times New Roman" w:cs="Times New Roman"/>
        </w:rPr>
        <w:t xml:space="preserve">DOT </w:t>
      </w:r>
      <w:r w:rsidR="00D6678D" w:rsidRPr="00EE7E38">
        <w:rPr>
          <w:rFonts w:ascii="Times New Roman" w:hAnsi="Times New Roman" w:cs="Times New Roman"/>
        </w:rPr>
        <w:t xml:space="preserve">is the goal for all TB patients; monetary incentives are provided to the patients to increase adherence to treatment </w:t>
      </w:r>
      <w:r w:rsidR="003011F5" w:rsidRPr="00EE7E38">
        <w:rPr>
          <w:rFonts w:ascii="Times New Roman" w:hAnsi="Times New Roman" w:cs="Times New Roman"/>
        </w:rPr>
        <w:t xml:space="preserve">with </w:t>
      </w:r>
      <w:r w:rsidR="00D6678D" w:rsidRPr="00EE7E38">
        <w:rPr>
          <w:rFonts w:ascii="Times New Roman" w:hAnsi="Times New Roman" w:cs="Times New Roman"/>
        </w:rPr>
        <w:t xml:space="preserve">Global Fund </w:t>
      </w:r>
      <w:r w:rsidR="003011F5" w:rsidRPr="00EE7E38">
        <w:rPr>
          <w:rFonts w:ascii="Times New Roman" w:hAnsi="Times New Roman" w:cs="Times New Roman"/>
        </w:rPr>
        <w:t>support and government contribution.</w:t>
      </w:r>
    </w:p>
    <w:p w14:paraId="5195FDBD" w14:textId="13AC45D3" w:rsidR="006F18E0" w:rsidRPr="00EE7E38" w:rsidRDefault="00C81F7B"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lastRenderedPageBreak/>
        <w:t xml:space="preserve">The </w:t>
      </w:r>
      <w:r w:rsidR="008E579D" w:rsidRPr="00EE7E38">
        <w:rPr>
          <w:rFonts w:ascii="Times New Roman" w:hAnsi="Times New Roman" w:cs="Times New Roman"/>
        </w:rPr>
        <w:t xml:space="preserve">country </w:t>
      </w:r>
      <w:r w:rsidRPr="00EE7E38">
        <w:rPr>
          <w:rFonts w:ascii="Times New Roman" w:hAnsi="Times New Roman" w:cs="Times New Roman"/>
        </w:rPr>
        <w:t xml:space="preserve">uses </w:t>
      </w:r>
      <w:r w:rsidR="007152ED">
        <w:rPr>
          <w:rFonts w:ascii="Times New Roman" w:hAnsi="Times New Roman" w:cs="Times New Roman"/>
        </w:rPr>
        <w:t>a</w:t>
      </w:r>
      <w:r w:rsidR="007152ED" w:rsidRPr="00EE7E38">
        <w:rPr>
          <w:rFonts w:ascii="Times New Roman" w:hAnsi="Times New Roman" w:cs="Times New Roman"/>
        </w:rPr>
        <w:t xml:space="preserve"> </w:t>
      </w:r>
      <w:r w:rsidRPr="00EE7E38">
        <w:rPr>
          <w:rFonts w:ascii="Times New Roman" w:hAnsi="Times New Roman" w:cs="Times New Roman"/>
        </w:rPr>
        <w:t xml:space="preserve">standardized </w:t>
      </w:r>
      <w:r w:rsidR="008E579D" w:rsidRPr="00EE7E38">
        <w:rPr>
          <w:rFonts w:ascii="Times New Roman" w:hAnsi="Times New Roman" w:cs="Times New Roman"/>
        </w:rPr>
        <w:t xml:space="preserve">TB </w:t>
      </w:r>
      <w:r w:rsidRPr="00EE7E38">
        <w:rPr>
          <w:rFonts w:ascii="Times New Roman" w:hAnsi="Times New Roman" w:cs="Times New Roman"/>
        </w:rPr>
        <w:t>recording and reporting system, which has been upgraded to include the latest WHO recommendations and additional country</w:t>
      </w:r>
      <w:r w:rsidR="008E579D" w:rsidRPr="00EE7E38">
        <w:rPr>
          <w:rFonts w:ascii="Times New Roman" w:hAnsi="Times New Roman" w:cs="Times New Roman"/>
        </w:rPr>
        <w:t xml:space="preserve"> needs. </w:t>
      </w:r>
      <w:r w:rsidR="002C3881" w:rsidRPr="00EE7E38">
        <w:rPr>
          <w:rFonts w:ascii="Times New Roman" w:hAnsi="Times New Roman" w:cs="Times New Roman"/>
        </w:rPr>
        <w:t xml:space="preserve">Individualized </w:t>
      </w:r>
      <w:r w:rsidR="006F18E0" w:rsidRPr="00EE7E38">
        <w:rPr>
          <w:rFonts w:ascii="Times New Roman" w:hAnsi="Times New Roman" w:cs="Times New Roman"/>
        </w:rPr>
        <w:t>r</w:t>
      </w:r>
      <w:r w:rsidRPr="00EE7E38">
        <w:rPr>
          <w:rFonts w:ascii="Times New Roman" w:hAnsi="Times New Roman" w:cs="Times New Roman"/>
        </w:rPr>
        <w:t xml:space="preserve">ecording and reporting </w:t>
      </w:r>
      <w:r w:rsidR="008E579D" w:rsidRPr="00EE7E38">
        <w:rPr>
          <w:rFonts w:ascii="Times New Roman" w:hAnsi="Times New Roman" w:cs="Times New Roman"/>
        </w:rPr>
        <w:t xml:space="preserve">is </w:t>
      </w:r>
      <w:r w:rsidRPr="00EE7E38">
        <w:rPr>
          <w:rFonts w:ascii="Times New Roman" w:hAnsi="Times New Roman" w:cs="Times New Roman"/>
        </w:rPr>
        <w:t>incorporated in</w:t>
      </w:r>
      <w:r w:rsidR="007152ED">
        <w:rPr>
          <w:rFonts w:ascii="Times New Roman" w:hAnsi="Times New Roman" w:cs="Times New Roman"/>
        </w:rPr>
        <w:t>to</w:t>
      </w:r>
      <w:r w:rsidRPr="00EE7E38">
        <w:rPr>
          <w:rFonts w:ascii="Times New Roman" w:hAnsi="Times New Roman" w:cs="Times New Roman"/>
        </w:rPr>
        <w:t xml:space="preserve"> the national electronic TB database</w:t>
      </w:r>
      <w:r w:rsidR="008E579D" w:rsidRPr="00EE7E38">
        <w:rPr>
          <w:rFonts w:ascii="Times New Roman" w:hAnsi="Times New Roman" w:cs="Times New Roman"/>
        </w:rPr>
        <w:t>.</w:t>
      </w:r>
      <w:r w:rsidR="00C94DC8" w:rsidRPr="00EE7E38">
        <w:rPr>
          <w:rFonts w:ascii="Times New Roman" w:hAnsi="Times New Roman" w:cs="Times New Roman"/>
        </w:rPr>
        <w:t xml:space="preserve"> </w:t>
      </w:r>
      <w:r w:rsidR="006F18E0" w:rsidRPr="00EE7E38">
        <w:rPr>
          <w:rFonts w:ascii="Times New Roman" w:hAnsi="Times New Roman" w:cs="Times New Roman"/>
        </w:rPr>
        <w:t>This strategy places particular emphasis on implementation of the integrated TB electronic database</w:t>
      </w:r>
      <w:r w:rsidR="007152ED">
        <w:rPr>
          <w:rFonts w:ascii="Times New Roman" w:hAnsi="Times New Roman" w:cs="Times New Roman"/>
        </w:rPr>
        <w:t>,</w:t>
      </w:r>
      <w:r w:rsidR="006F18E0" w:rsidRPr="00EE7E38">
        <w:rPr>
          <w:rFonts w:ascii="Times New Roman" w:hAnsi="Times New Roman" w:cs="Times New Roman"/>
        </w:rPr>
        <w:t xml:space="preserve"> which is one of the major intervention areas. </w:t>
      </w:r>
    </w:p>
    <w:p w14:paraId="02340A0A" w14:textId="77777777" w:rsidR="00153406" w:rsidRPr="00EE7E38" w:rsidRDefault="00D56D37"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Ministry of Corrections (</w:t>
      </w:r>
      <w:proofErr w:type="spellStart"/>
      <w:r w:rsidRPr="00EE7E38">
        <w:rPr>
          <w:rFonts w:ascii="Times New Roman" w:hAnsi="Times New Roman" w:cs="Times New Roman"/>
        </w:rPr>
        <w:t>M</w:t>
      </w:r>
      <w:r w:rsidR="007676E3" w:rsidRPr="00EE7E38">
        <w:rPr>
          <w:rFonts w:ascii="Times New Roman" w:hAnsi="Times New Roman" w:cs="Times New Roman"/>
        </w:rPr>
        <w:t>o</w:t>
      </w:r>
      <w:r w:rsidRPr="00EE7E38">
        <w:rPr>
          <w:rFonts w:ascii="Times New Roman" w:hAnsi="Times New Roman" w:cs="Times New Roman"/>
        </w:rPr>
        <w:t>C</w:t>
      </w:r>
      <w:proofErr w:type="spellEnd"/>
      <w:r w:rsidRPr="00EE7E38">
        <w:rPr>
          <w:rFonts w:ascii="Times New Roman" w:hAnsi="Times New Roman" w:cs="Times New Roman"/>
        </w:rPr>
        <w:t xml:space="preserve">), through its Medical Department, is responsible for TB control activities in the penitentiary system. </w:t>
      </w:r>
      <w:r w:rsidR="00153406" w:rsidRPr="00EE7E38">
        <w:rPr>
          <w:rFonts w:ascii="Times New Roman" w:hAnsi="Times New Roman" w:cs="Times New Roman"/>
        </w:rPr>
        <w:t xml:space="preserve">Case detection in the penitentiaries combines passive case finding and active case finding (at entry and regular screening). TB treatment in prisons is provided at the TB </w:t>
      </w:r>
      <w:r w:rsidRPr="00EE7E38">
        <w:rPr>
          <w:rFonts w:ascii="Times New Roman" w:hAnsi="Times New Roman" w:cs="Times New Roman"/>
        </w:rPr>
        <w:t xml:space="preserve">Prison Hospital </w:t>
      </w:r>
      <w:r w:rsidR="00153406" w:rsidRPr="00EE7E38">
        <w:rPr>
          <w:rFonts w:ascii="Times New Roman" w:hAnsi="Times New Roman" w:cs="Times New Roman"/>
        </w:rPr>
        <w:t xml:space="preserve">in </w:t>
      </w:r>
      <w:proofErr w:type="spellStart"/>
      <w:r w:rsidR="00153406" w:rsidRPr="00EE7E38">
        <w:rPr>
          <w:rFonts w:ascii="Times New Roman" w:hAnsi="Times New Roman" w:cs="Times New Roman"/>
        </w:rPr>
        <w:t>Ksani</w:t>
      </w:r>
      <w:proofErr w:type="spellEnd"/>
      <w:r w:rsidR="00153406" w:rsidRPr="00EE7E38">
        <w:rPr>
          <w:rFonts w:ascii="Times New Roman" w:hAnsi="Times New Roman" w:cs="Times New Roman"/>
        </w:rPr>
        <w:t xml:space="preserve"> (</w:t>
      </w:r>
      <w:proofErr w:type="spellStart"/>
      <w:r w:rsidRPr="00EE7E38">
        <w:rPr>
          <w:rFonts w:ascii="Times New Roman" w:hAnsi="Times New Roman" w:cs="Times New Roman"/>
        </w:rPr>
        <w:t>Shida-Kartli</w:t>
      </w:r>
      <w:proofErr w:type="spellEnd"/>
      <w:r w:rsidRPr="00EE7E38">
        <w:rPr>
          <w:rFonts w:ascii="Times New Roman" w:hAnsi="Times New Roman" w:cs="Times New Roman"/>
        </w:rPr>
        <w:t xml:space="preserve"> region) and at </w:t>
      </w:r>
      <w:r w:rsidR="00153406" w:rsidRPr="00EE7E38">
        <w:rPr>
          <w:rFonts w:ascii="Times New Roman" w:hAnsi="Times New Roman" w:cs="Times New Roman"/>
        </w:rPr>
        <w:t>the Central Prison Hospital</w:t>
      </w:r>
      <w:r w:rsidRPr="00EE7E38">
        <w:rPr>
          <w:rFonts w:ascii="Times New Roman" w:hAnsi="Times New Roman" w:cs="Times New Roman"/>
        </w:rPr>
        <w:t xml:space="preserve"> in </w:t>
      </w:r>
      <w:proofErr w:type="spellStart"/>
      <w:r w:rsidRPr="00EE7E38">
        <w:rPr>
          <w:rFonts w:ascii="Times New Roman" w:hAnsi="Times New Roman" w:cs="Times New Roman"/>
        </w:rPr>
        <w:t>Gldani</w:t>
      </w:r>
      <w:proofErr w:type="spellEnd"/>
      <w:r w:rsidRPr="00EE7E38">
        <w:rPr>
          <w:rFonts w:ascii="Times New Roman" w:hAnsi="Times New Roman" w:cs="Times New Roman"/>
        </w:rPr>
        <w:t xml:space="preserve"> (Tbilisi)</w:t>
      </w:r>
      <w:r w:rsidR="00153406" w:rsidRPr="00EE7E38">
        <w:rPr>
          <w:rFonts w:ascii="Times New Roman" w:hAnsi="Times New Roman" w:cs="Times New Roman"/>
        </w:rPr>
        <w:t>.</w:t>
      </w:r>
      <w:r w:rsidR="00B77F9A" w:rsidRPr="00EE7E38">
        <w:rPr>
          <w:rFonts w:ascii="Times New Roman" w:hAnsi="Times New Roman" w:cs="Times New Roman"/>
        </w:rPr>
        <w:t xml:space="preserve"> These institutions also have TB laboratories</w:t>
      </w:r>
      <w:r w:rsidR="00016C2A" w:rsidRPr="00EE7E38">
        <w:rPr>
          <w:rFonts w:ascii="Times New Roman" w:hAnsi="Times New Roman" w:cs="Times New Roman"/>
        </w:rPr>
        <w:t xml:space="preserve"> performing microscopy and </w:t>
      </w:r>
      <w:proofErr w:type="spellStart"/>
      <w:r w:rsidR="00016C2A" w:rsidRPr="00EE7E38">
        <w:rPr>
          <w:rFonts w:ascii="Times New Roman" w:hAnsi="Times New Roman" w:cs="Times New Roman"/>
        </w:rPr>
        <w:t>Xpert</w:t>
      </w:r>
      <w:proofErr w:type="spellEnd"/>
      <w:r w:rsidR="00016C2A" w:rsidRPr="00EE7E38">
        <w:rPr>
          <w:rFonts w:ascii="Times New Roman" w:hAnsi="Times New Roman" w:cs="Times New Roman"/>
        </w:rPr>
        <w:t xml:space="preserve"> MTB/RIF</w:t>
      </w:r>
      <w:r w:rsidR="00B77F9A" w:rsidRPr="00EE7E38">
        <w:rPr>
          <w:rFonts w:ascii="Times New Roman" w:hAnsi="Times New Roman" w:cs="Times New Roman"/>
        </w:rPr>
        <w:t>.</w:t>
      </w:r>
    </w:p>
    <w:p w14:paraId="2171D4F6" w14:textId="78D8AF30" w:rsidR="001C3E54" w:rsidRPr="00EE7E38" w:rsidRDefault="008E579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Systematic TB/HIV collaborative activities</w:t>
      </w:r>
      <w:r w:rsidR="001C3E54" w:rsidRPr="00EE7E38">
        <w:rPr>
          <w:rFonts w:ascii="Times New Roman" w:hAnsi="Times New Roman" w:cs="Times New Roman"/>
        </w:rPr>
        <w:t xml:space="preserve"> between the </w:t>
      </w:r>
      <w:r w:rsidR="007152ED">
        <w:rPr>
          <w:rFonts w:ascii="Times New Roman" w:hAnsi="Times New Roman" w:cs="Times New Roman"/>
        </w:rPr>
        <w:t xml:space="preserve">NTP </w:t>
      </w:r>
      <w:r w:rsidR="001C3E54" w:rsidRPr="00EE7E38">
        <w:rPr>
          <w:rFonts w:ascii="Times New Roman" w:hAnsi="Times New Roman" w:cs="Times New Roman"/>
        </w:rPr>
        <w:t>and the National AIDS Program (NAP)</w:t>
      </w:r>
      <w:r w:rsidRPr="00EE7E38">
        <w:rPr>
          <w:rFonts w:ascii="Times New Roman" w:hAnsi="Times New Roman" w:cs="Times New Roman"/>
        </w:rPr>
        <w:t xml:space="preserve"> were initiated in 2005 and are continued through joint programming and technical consultations, adjusting of guidelines and case management protocols, and collaboration and coordination of activities related to the provision of HIV counselling and testing for TB patients, screening for active TB among PLHIV, administration of antiretroviral therapy (ART) in </w:t>
      </w:r>
      <w:r w:rsidR="001C3E54" w:rsidRPr="00EE7E38">
        <w:rPr>
          <w:rFonts w:ascii="Times New Roman" w:hAnsi="Times New Roman" w:cs="Times New Roman"/>
        </w:rPr>
        <w:t>patients with TB/HIV co-infection, data exchange and integration of monitoring/reporting systems, as well as through alignment and coordination of interventions among high-risk groups, including those implemented with Global Fund support.</w:t>
      </w:r>
    </w:p>
    <w:p w14:paraId="2703A51B" w14:textId="72250FB0" w:rsidR="00C21CAF" w:rsidRPr="00EE7E38" w:rsidRDefault="00016C2A"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Over the last decade, significant progress has been </w:t>
      </w:r>
      <w:r w:rsidR="007152ED">
        <w:rPr>
          <w:rFonts w:ascii="Times New Roman" w:hAnsi="Times New Roman" w:cs="Times New Roman"/>
        </w:rPr>
        <w:t>made</w:t>
      </w:r>
      <w:r w:rsidR="007152ED" w:rsidRPr="00EE7E38">
        <w:rPr>
          <w:rFonts w:ascii="Times New Roman" w:hAnsi="Times New Roman" w:cs="Times New Roman"/>
        </w:rPr>
        <w:t xml:space="preserve"> </w:t>
      </w:r>
      <w:r w:rsidR="00635191" w:rsidRPr="00EE7E38">
        <w:rPr>
          <w:rFonts w:ascii="Times New Roman" w:hAnsi="Times New Roman" w:cs="Times New Roman"/>
        </w:rPr>
        <w:t xml:space="preserve">countrywide </w:t>
      </w:r>
      <w:r w:rsidRPr="00EE7E38">
        <w:rPr>
          <w:rFonts w:ascii="Times New Roman" w:hAnsi="Times New Roman" w:cs="Times New Roman"/>
        </w:rPr>
        <w:t xml:space="preserve">in treatment outcomes of </w:t>
      </w:r>
      <w:r w:rsidR="007152ED">
        <w:rPr>
          <w:rFonts w:ascii="Times New Roman" w:hAnsi="Times New Roman" w:cs="Times New Roman"/>
        </w:rPr>
        <w:t>drug-</w:t>
      </w:r>
      <w:r w:rsidRPr="00EE7E38">
        <w:rPr>
          <w:rFonts w:ascii="Times New Roman" w:hAnsi="Times New Roman" w:cs="Times New Roman"/>
        </w:rPr>
        <w:t>sensitive TB cases. The treatment success rate of all TB cases increased from 62.5% in 2004</w:t>
      </w:r>
      <w:r w:rsidR="007152ED">
        <w:rPr>
          <w:rFonts w:ascii="Times New Roman" w:hAnsi="Times New Roman" w:cs="Times New Roman"/>
        </w:rPr>
        <w:t xml:space="preserve"> </w:t>
      </w:r>
      <w:r w:rsidRPr="00EE7E38">
        <w:rPr>
          <w:rFonts w:ascii="Times New Roman" w:hAnsi="Times New Roman" w:cs="Times New Roman"/>
        </w:rPr>
        <w:t xml:space="preserve"> to </w:t>
      </w:r>
      <w:r w:rsidR="00C94DC8" w:rsidRPr="00EE7E38">
        <w:rPr>
          <w:rFonts w:ascii="Times New Roman" w:hAnsi="Times New Roman" w:cs="Times New Roman"/>
        </w:rPr>
        <w:t>82.1</w:t>
      </w:r>
      <w:r w:rsidR="00485916" w:rsidRPr="00EE7E38">
        <w:rPr>
          <w:rFonts w:ascii="Times New Roman" w:hAnsi="Times New Roman" w:cs="Times New Roman"/>
        </w:rPr>
        <w:t xml:space="preserve">% </w:t>
      </w:r>
      <w:r w:rsidRPr="00EE7E38">
        <w:rPr>
          <w:rFonts w:ascii="Times New Roman" w:hAnsi="Times New Roman" w:cs="Times New Roman"/>
        </w:rPr>
        <w:t>in 201</w:t>
      </w:r>
      <w:r w:rsidR="00C94DC8" w:rsidRPr="00EE7E38">
        <w:rPr>
          <w:rFonts w:ascii="Times New Roman" w:hAnsi="Times New Roman" w:cs="Times New Roman"/>
        </w:rPr>
        <w:t>5</w:t>
      </w:r>
      <w:r w:rsidR="00C21CAF" w:rsidRPr="00EE7E38">
        <w:rPr>
          <w:rFonts w:ascii="Times New Roman" w:hAnsi="Times New Roman" w:cs="Times New Roman"/>
        </w:rPr>
        <w:t xml:space="preserve">, and the proportion of patients interrupting treatment during the same period has decreased from 16.3% </w:t>
      </w:r>
      <w:r w:rsidR="00970C82" w:rsidRPr="00EE7E38">
        <w:rPr>
          <w:rFonts w:ascii="Times New Roman" w:hAnsi="Times New Roman" w:cs="Times New Roman"/>
        </w:rPr>
        <w:t xml:space="preserve">to </w:t>
      </w:r>
      <w:r w:rsidR="00C4563A" w:rsidRPr="00EE7E38">
        <w:rPr>
          <w:rFonts w:ascii="Times New Roman" w:hAnsi="Times New Roman" w:cs="Times New Roman"/>
        </w:rPr>
        <w:t>9.3</w:t>
      </w:r>
      <w:r w:rsidR="00970C82" w:rsidRPr="00EE7E38">
        <w:rPr>
          <w:rFonts w:ascii="Times New Roman" w:hAnsi="Times New Roman" w:cs="Times New Roman"/>
        </w:rPr>
        <w:t>%</w:t>
      </w:r>
      <w:r w:rsidR="00C21CAF" w:rsidRPr="00EE7E38">
        <w:rPr>
          <w:rFonts w:ascii="Times New Roman" w:hAnsi="Times New Roman" w:cs="Times New Roman"/>
        </w:rPr>
        <w:t xml:space="preserve"> (among new AFB-positive  cases</w:t>
      </w:r>
      <w:r w:rsidR="007152ED">
        <w:rPr>
          <w:rFonts w:ascii="Times New Roman" w:hAnsi="Times New Roman" w:cs="Times New Roman"/>
        </w:rPr>
        <w:t>, treatment interruption fell</w:t>
      </w:r>
      <w:r w:rsidR="00D43D9A">
        <w:rPr>
          <w:rFonts w:ascii="Times New Roman" w:hAnsi="Times New Roman" w:cs="Times New Roman"/>
        </w:rPr>
        <w:t xml:space="preserve"> </w:t>
      </w:r>
      <w:r w:rsidR="00C21CAF" w:rsidRPr="00EE7E38">
        <w:rPr>
          <w:rFonts w:ascii="Times New Roman" w:hAnsi="Times New Roman" w:cs="Times New Roman"/>
        </w:rPr>
        <w:t xml:space="preserve">from 12.7% to </w:t>
      </w:r>
      <w:r w:rsidR="00C4563A" w:rsidRPr="00EE7E38">
        <w:rPr>
          <w:rFonts w:ascii="Times New Roman" w:hAnsi="Times New Roman" w:cs="Times New Roman"/>
        </w:rPr>
        <w:t>6</w:t>
      </w:r>
      <w:r w:rsidR="00485916" w:rsidRPr="00EE7E38">
        <w:rPr>
          <w:rFonts w:ascii="Times New Roman" w:hAnsi="Times New Roman" w:cs="Times New Roman"/>
        </w:rPr>
        <w:t>.5</w:t>
      </w:r>
      <w:r w:rsidR="00C21CAF" w:rsidRPr="00EE7E38">
        <w:rPr>
          <w:rFonts w:ascii="Times New Roman" w:hAnsi="Times New Roman" w:cs="Times New Roman"/>
        </w:rPr>
        <w:t>%)</w:t>
      </w:r>
      <w:r w:rsidR="00C21CAF" w:rsidRPr="00EE7E38">
        <w:rPr>
          <w:rStyle w:val="FootnoteReference"/>
          <w:rFonts w:ascii="Times New Roman" w:hAnsi="Times New Roman" w:cs="Times New Roman"/>
        </w:rPr>
        <w:footnoteReference w:id="15"/>
      </w:r>
      <w:r w:rsidR="00C21CAF" w:rsidRPr="00EE7E38">
        <w:rPr>
          <w:rFonts w:ascii="Times New Roman" w:hAnsi="Times New Roman" w:cs="Times New Roman"/>
        </w:rPr>
        <w:t xml:space="preserve">. The full treatment </w:t>
      </w:r>
      <w:r w:rsidR="00635191" w:rsidRPr="00EE7E38">
        <w:rPr>
          <w:rFonts w:ascii="Times New Roman" w:hAnsi="Times New Roman" w:cs="Times New Roman"/>
        </w:rPr>
        <w:t>results</w:t>
      </w:r>
      <w:r w:rsidR="00C21CAF" w:rsidRPr="00EE7E38">
        <w:rPr>
          <w:rFonts w:ascii="Times New Roman" w:hAnsi="Times New Roman" w:cs="Times New Roman"/>
        </w:rPr>
        <w:t xml:space="preserve"> of the 201</w:t>
      </w:r>
      <w:r w:rsidR="00C4563A" w:rsidRPr="00EE7E38">
        <w:rPr>
          <w:rFonts w:ascii="Times New Roman" w:hAnsi="Times New Roman" w:cs="Times New Roman"/>
        </w:rPr>
        <w:t>5</w:t>
      </w:r>
      <w:r w:rsidR="00C21CAF" w:rsidRPr="00EE7E38">
        <w:rPr>
          <w:rFonts w:ascii="Times New Roman" w:hAnsi="Times New Roman" w:cs="Times New Roman"/>
        </w:rPr>
        <w:t xml:space="preserve"> cohort of new AFB-positive cases are </w:t>
      </w:r>
      <w:r w:rsidR="007152ED">
        <w:rPr>
          <w:rFonts w:ascii="Times New Roman" w:hAnsi="Times New Roman" w:cs="Times New Roman"/>
        </w:rPr>
        <w:t>as follows</w:t>
      </w:r>
      <w:r w:rsidR="00C21CAF" w:rsidRPr="00EE7E38">
        <w:rPr>
          <w:rFonts w:ascii="Times New Roman" w:hAnsi="Times New Roman" w:cs="Times New Roman"/>
        </w:rPr>
        <w:t>: treatment success – 8</w:t>
      </w:r>
      <w:r w:rsidR="00C4563A" w:rsidRPr="00EE7E38">
        <w:rPr>
          <w:rFonts w:ascii="Times New Roman" w:hAnsi="Times New Roman" w:cs="Times New Roman"/>
        </w:rPr>
        <w:t>3.1</w:t>
      </w:r>
      <w:r w:rsidR="00C21CAF" w:rsidRPr="00EE7E38">
        <w:rPr>
          <w:rFonts w:ascii="Times New Roman" w:hAnsi="Times New Roman" w:cs="Times New Roman"/>
        </w:rPr>
        <w:t xml:space="preserve">%, default – </w:t>
      </w:r>
      <w:r w:rsidR="00C4563A" w:rsidRPr="00EE7E38">
        <w:rPr>
          <w:rFonts w:ascii="Times New Roman" w:hAnsi="Times New Roman" w:cs="Times New Roman"/>
        </w:rPr>
        <w:t>6</w:t>
      </w:r>
      <w:r w:rsidR="00C21CAF" w:rsidRPr="00EE7E38">
        <w:rPr>
          <w:rFonts w:ascii="Times New Roman" w:hAnsi="Times New Roman" w:cs="Times New Roman"/>
        </w:rPr>
        <w:t>.</w:t>
      </w:r>
      <w:r w:rsidR="00485916" w:rsidRPr="00EE7E38">
        <w:rPr>
          <w:rFonts w:ascii="Times New Roman" w:hAnsi="Times New Roman" w:cs="Times New Roman"/>
        </w:rPr>
        <w:t>5</w:t>
      </w:r>
      <w:r w:rsidR="00C21CAF" w:rsidRPr="00EE7E38">
        <w:rPr>
          <w:rFonts w:ascii="Times New Roman" w:hAnsi="Times New Roman" w:cs="Times New Roman"/>
        </w:rPr>
        <w:t xml:space="preserve">%, failure – </w:t>
      </w:r>
      <w:r w:rsidR="00C4563A" w:rsidRPr="00EE7E38">
        <w:rPr>
          <w:rFonts w:ascii="Times New Roman" w:hAnsi="Times New Roman" w:cs="Times New Roman"/>
        </w:rPr>
        <w:t>4.6</w:t>
      </w:r>
      <w:r w:rsidR="00C21CAF" w:rsidRPr="00EE7E38">
        <w:rPr>
          <w:rFonts w:ascii="Times New Roman" w:hAnsi="Times New Roman" w:cs="Times New Roman"/>
        </w:rPr>
        <w:t xml:space="preserve">%, death – </w:t>
      </w:r>
      <w:r w:rsidR="00C4563A" w:rsidRPr="00EE7E38">
        <w:rPr>
          <w:rFonts w:ascii="Times New Roman" w:hAnsi="Times New Roman" w:cs="Times New Roman"/>
        </w:rPr>
        <w:t>4.</w:t>
      </w:r>
      <w:r w:rsidR="00485916" w:rsidRPr="00EE7E38">
        <w:rPr>
          <w:rFonts w:ascii="Times New Roman" w:hAnsi="Times New Roman" w:cs="Times New Roman"/>
        </w:rPr>
        <w:t>3</w:t>
      </w:r>
      <w:r w:rsidR="00C21CAF" w:rsidRPr="00EE7E38">
        <w:rPr>
          <w:rFonts w:ascii="Times New Roman" w:hAnsi="Times New Roman" w:cs="Times New Roman"/>
        </w:rPr>
        <w:t>%, transfer out – 0%</w:t>
      </w:r>
      <w:r w:rsidR="00635191" w:rsidRPr="00EE7E38">
        <w:rPr>
          <w:rFonts w:ascii="Times New Roman" w:hAnsi="Times New Roman" w:cs="Times New Roman"/>
        </w:rPr>
        <w:t xml:space="preserve">, </w:t>
      </w:r>
      <w:r w:rsidR="00C21CAF" w:rsidRPr="00EE7E38">
        <w:rPr>
          <w:rFonts w:ascii="Times New Roman" w:hAnsi="Times New Roman" w:cs="Times New Roman"/>
        </w:rPr>
        <w:t xml:space="preserve">not evaluated – </w:t>
      </w:r>
      <w:r w:rsidR="00C4563A" w:rsidRPr="00EE7E38">
        <w:rPr>
          <w:rFonts w:ascii="Times New Roman" w:hAnsi="Times New Roman" w:cs="Times New Roman"/>
        </w:rPr>
        <w:t>1.4</w:t>
      </w:r>
      <w:r w:rsidR="00C21CAF" w:rsidRPr="00EE7E38">
        <w:rPr>
          <w:rFonts w:ascii="Times New Roman" w:hAnsi="Times New Roman" w:cs="Times New Roman"/>
        </w:rPr>
        <w:t>%.</w:t>
      </w:r>
    </w:p>
    <w:p w14:paraId="51E1CF14" w14:textId="760694F3" w:rsidR="00635191" w:rsidRPr="00EE7E38" w:rsidRDefault="00A87B46" w:rsidP="00835F94">
      <w:pPr>
        <w:widowControl w:val="0"/>
        <w:spacing w:before="120" w:after="120" w:line="240" w:lineRule="auto"/>
        <w:jc w:val="both"/>
        <w:rPr>
          <w:rFonts w:ascii="Times New Roman" w:hAnsi="Times New Roman" w:cs="Times New Roman"/>
        </w:rPr>
      </w:pPr>
      <w:r>
        <w:rPr>
          <w:rFonts w:ascii="Times New Roman" w:hAnsi="Times New Roman" w:cs="Times New Roman"/>
        </w:rPr>
        <w:t>To manage drug-resistant TB</w:t>
      </w:r>
      <w:r w:rsidR="00635191" w:rsidRPr="00EE7E38">
        <w:rPr>
          <w:rFonts w:ascii="Times New Roman" w:hAnsi="Times New Roman" w:cs="Times New Roman"/>
        </w:rPr>
        <w:t xml:space="preserve">, Georgia conducts routine drug resistance surveillance as </w:t>
      </w:r>
      <w:r>
        <w:rPr>
          <w:rFonts w:ascii="Times New Roman" w:hAnsi="Times New Roman" w:cs="Times New Roman"/>
        </w:rPr>
        <w:t xml:space="preserve">a </w:t>
      </w:r>
      <w:r w:rsidR="00635191" w:rsidRPr="00EE7E38">
        <w:rPr>
          <w:rFonts w:ascii="Times New Roman" w:hAnsi="Times New Roman" w:cs="Times New Roman"/>
        </w:rPr>
        <w:t xml:space="preserve">continuation of the first nation-wide representative Drug Resistance Survey, which was carried out in 2005-2006. The DST data for the last </w:t>
      </w:r>
      <w:r w:rsidR="00C4563A" w:rsidRPr="00EE7E38">
        <w:rPr>
          <w:rFonts w:ascii="Times New Roman" w:hAnsi="Times New Roman" w:cs="Times New Roman"/>
        </w:rPr>
        <w:t xml:space="preserve">seven </w:t>
      </w:r>
      <w:r w:rsidR="00635191" w:rsidRPr="00EE7E38">
        <w:rPr>
          <w:rFonts w:ascii="Times New Roman" w:hAnsi="Times New Roman" w:cs="Times New Roman"/>
        </w:rPr>
        <w:t xml:space="preserve">years are presented in </w:t>
      </w:r>
      <w:r w:rsidR="00756463">
        <w:rPr>
          <w:rFonts w:ascii="Times New Roman" w:hAnsi="Times New Roman" w:cs="Times New Roman"/>
        </w:rPr>
        <w:t>table</w:t>
      </w:r>
      <w:r w:rsidR="00635191" w:rsidRPr="00EE7E38">
        <w:rPr>
          <w:rFonts w:ascii="Times New Roman" w:hAnsi="Times New Roman" w:cs="Times New Roman"/>
        </w:rPr>
        <w:t xml:space="preserve"> 2 above. Although lower than in other countries in the region, the burden anti-TB drug resistance is high and this represents a key challenge for effective TB control in the country.</w:t>
      </w:r>
    </w:p>
    <w:p w14:paraId="5ED21D09" w14:textId="33BC5FE4" w:rsidR="00C03E32" w:rsidRPr="00EE7E38" w:rsidRDefault="0063519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Programmatic management of MDR-TB in the country started with </w:t>
      </w:r>
      <w:proofErr w:type="spellStart"/>
      <w:r w:rsidRPr="00EE7E38">
        <w:rPr>
          <w:rFonts w:ascii="Times New Roman" w:hAnsi="Times New Roman" w:cs="Times New Roman"/>
        </w:rPr>
        <w:t>Médecins</w:t>
      </w:r>
      <w:proofErr w:type="spellEnd"/>
      <w:r w:rsidRPr="00EE7E38">
        <w:rPr>
          <w:rFonts w:ascii="Times New Roman" w:hAnsi="Times New Roman" w:cs="Times New Roman"/>
        </w:rPr>
        <w:t xml:space="preserve"> Sans </w:t>
      </w:r>
      <w:proofErr w:type="spellStart"/>
      <w:r w:rsidRPr="00EE7E38">
        <w:rPr>
          <w:rFonts w:ascii="Times New Roman" w:hAnsi="Times New Roman" w:cs="Times New Roman"/>
        </w:rPr>
        <w:t>Frontières</w:t>
      </w:r>
      <w:proofErr w:type="spellEnd"/>
      <w:r w:rsidRPr="00EE7E38">
        <w:rPr>
          <w:rFonts w:ascii="Times New Roman" w:hAnsi="Times New Roman" w:cs="Times New Roman"/>
        </w:rPr>
        <w:t xml:space="preserve"> (MSF) France support to treatment of DR-TB patients in Abkhazia since 1998</w:t>
      </w:r>
      <w:r w:rsidR="00C368FE">
        <w:rPr>
          <w:rFonts w:ascii="Times New Roman" w:hAnsi="Times New Roman" w:cs="Times New Roman"/>
        </w:rPr>
        <w:t>.</w:t>
      </w:r>
      <w:r w:rsidRPr="00EE7E38">
        <w:rPr>
          <w:rFonts w:ascii="Times New Roman" w:hAnsi="Times New Roman" w:cs="Times New Roman"/>
        </w:rPr>
        <w:t xml:space="preserve"> </w:t>
      </w:r>
      <w:r w:rsidR="00C368FE">
        <w:rPr>
          <w:rFonts w:ascii="Times New Roman" w:hAnsi="Times New Roman" w:cs="Times New Roman"/>
        </w:rPr>
        <w:t>I</w:t>
      </w:r>
      <w:r w:rsidRPr="00EE7E38">
        <w:rPr>
          <w:rFonts w:ascii="Times New Roman" w:hAnsi="Times New Roman" w:cs="Times New Roman"/>
        </w:rPr>
        <w:t>n November 200</w:t>
      </w:r>
      <w:r w:rsidR="00C4563A" w:rsidRPr="00EE7E38">
        <w:rPr>
          <w:rFonts w:ascii="Times New Roman" w:hAnsi="Times New Roman" w:cs="Times New Roman"/>
          <w:lang w:val="ka-GE"/>
        </w:rPr>
        <w:t>5</w:t>
      </w:r>
      <w:r w:rsidRPr="00EE7E38">
        <w:rPr>
          <w:rFonts w:ascii="Times New Roman" w:hAnsi="Times New Roman" w:cs="Times New Roman"/>
        </w:rPr>
        <w:t xml:space="preserve">, MSF expanded the project to Samegrelo region. </w:t>
      </w:r>
      <w:r w:rsidR="00C03E32" w:rsidRPr="00EE7E38">
        <w:rPr>
          <w:rFonts w:ascii="Times New Roman" w:hAnsi="Times New Roman" w:cs="Times New Roman"/>
        </w:rPr>
        <w:t>The Georgian TB program started expanding countrywide access to MDR-treatment according to international standards in November 2006, based on the application to the WHO’s Green Light Committee (GLC) for access to quality second-</w:t>
      </w:r>
      <w:r w:rsidRPr="00EE7E38">
        <w:rPr>
          <w:rFonts w:ascii="Times New Roman" w:hAnsi="Times New Roman" w:cs="Times New Roman"/>
        </w:rPr>
        <w:t xml:space="preserve">line </w:t>
      </w:r>
      <w:r w:rsidR="00C03E32" w:rsidRPr="00EE7E38">
        <w:rPr>
          <w:rFonts w:ascii="Times New Roman" w:hAnsi="Times New Roman" w:cs="Times New Roman"/>
        </w:rPr>
        <w:t xml:space="preserve">drugs </w:t>
      </w:r>
      <w:r w:rsidRPr="00EE7E38">
        <w:rPr>
          <w:rFonts w:ascii="Times New Roman" w:hAnsi="Times New Roman" w:cs="Times New Roman"/>
        </w:rPr>
        <w:t>at concessionary prices</w:t>
      </w:r>
      <w:r w:rsidR="00C03E32" w:rsidRPr="00EE7E38">
        <w:rPr>
          <w:rFonts w:ascii="Times New Roman" w:hAnsi="Times New Roman" w:cs="Times New Roman"/>
        </w:rPr>
        <w:t xml:space="preserve">. </w:t>
      </w:r>
      <w:r w:rsidRPr="00EE7E38">
        <w:rPr>
          <w:rFonts w:ascii="Times New Roman" w:hAnsi="Times New Roman" w:cs="Times New Roman"/>
        </w:rPr>
        <w:t>Since</w:t>
      </w:r>
      <w:r w:rsidR="00C4563A" w:rsidRPr="00EE7E38">
        <w:rPr>
          <w:rFonts w:ascii="Times New Roman" w:hAnsi="Times New Roman" w:cs="Times New Roman"/>
        </w:rPr>
        <w:t xml:space="preserve"> November 2006</w:t>
      </w:r>
      <w:r w:rsidRPr="00EE7E38">
        <w:rPr>
          <w:rFonts w:ascii="Times New Roman" w:hAnsi="Times New Roman" w:cs="Times New Roman"/>
        </w:rPr>
        <w:t xml:space="preserve"> </w:t>
      </w:r>
      <w:r w:rsidR="00C4563A" w:rsidRPr="00EE7E38">
        <w:rPr>
          <w:rFonts w:ascii="Times New Roman" w:hAnsi="Times New Roman" w:cs="Times New Roman"/>
        </w:rPr>
        <w:t>t</w:t>
      </w:r>
      <w:r w:rsidR="00C368FE">
        <w:rPr>
          <w:rFonts w:ascii="Times New Roman" w:hAnsi="Times New Roman" w:cs="Times New Roman"/>
        </w:rPr>
        <w:t>hrough the</w:t>
      </w:r>
      <w:r w:rsidR="00C4563A" w:rsidRPr="00EE7E38">
        <w:rPr>
          <w:rFonts w:ascii="Times New Roman" w:hAnsi="Times New Roman" w:cs="Times New Roman"/>
        </w:rPr>
        <w:t xml:space="preserve"> </w:t>
      </w:r>
      <w:r w:rsidR="00D926C0" w:rsidRPr="00EE7E38">
        <w:rPr>
          <w:rFonts w:ascii="Times New Roman" w:hAnsi="Times New Roman" w:cs="Times New Roman"/>
        </w:rPr>
        <w:t>end of</w:t>
      </w:r>
      <w:r w:rsidR="00C03E32" w:rsidRPr="00EE7E38">
        <w:rPr>
          <w:rFonts w:ascii="Times New Roman" w:hAnsi="Times New Roman" w:cs="Times New Roman"/>
        </w:rPr>
        <w:t xml:space="preserve"> 201</w:t>
      </w:r>
      <w:r w:rsidR="00D926C0" w:rsidRPr="00EE7E38">
        <w:rPr>
          <w:rFonts w:ascii="Times New Roman" w:hAnsi="Times New Roman" w:cs="Times New Roman"/>
        </w:rPr>
        <w:t>6</w:t>
      </w:r>
      <w:r w:rsidR="00C03E32" w:rsidRPr="00EE7E38">
        <w:rPr>
          <w:rFonts w:ascii="Times New Roman" w:hAnsi="Times New Roman" w:cs="Times New Roman"/>
        </w:rPr>
        <w:t xml:space="preserve">, </w:t>
      </w:r>
      <w:r w:rsidR="00D926C0" w:rsidRPr="00EE7E38">
        <w:rPr>
          <w:rFonts w:ascii="Times New Roman" w:hAnsi="Times New Roman" w:cs="Times New Roman"/>
        </w:rPr>
        <w:t>about 5</w:t>
      </w:r>
      <w:r w:rsidR="00C03E32" w:rsidRPr="00EE7E38">
        <w:rPr>
          <w:rFonts w:ascii="Times New Roman" w:hAnsi="Times New Roman" w:cs="Times New Roman"/>
        </w:rPr>
        <w:t>,</w:t>
      </w:r>
      <w:r w:rsidR="00D926C0" w:rsidRPr="00EE7E38">
        <w:rPr>
          <w:rFonts w:ascii="Times New Roman" w:hAnsi="Times New Roman" w:cs="Times New Roman"/>
        </w:rPr>
        <w:t>0</w:t>
      </w:r>
      <w:r w:rsidR="00C03E32" w:rsidRPr="00EE7E38">
        <w:rPr>
          <w:rFonts w:ascii="Times New Roman" w:hAnsi="Times New Roman" w:cs="Times New Roman"/>
        </w:rPr>
        <w:t xml:space="preserve">00 patients </w:t>
      </w:r>
      <w:r w:rsidR="004B50C4" w:rsidRPr="00EE7E38">
        <w:rPr>
          <w:rFonts w:ascii="Times New Roman" w:hAnsi="Times New Roman" w:cs="Times New Roman"/>
        </w:rPr>
        <w:t xml:space="preserve">were enrolled in second-line TB treatment. </w:t>
      </w:r>
      <w:r w:rsidR="002C4DB9" w:rsidRPr="00EE7E38">
        <w:rPr>
          <w:rFonts w:ascii="Times New Roman" w:hAnsi="Times New Roman" w:cs="Times New Roman"/>
        </w:rPr>
        <w:t xml:space="preserve">At the moment, with the support of international partners, the country ensures universal access to diagnosis and treatment of all forms of TB including treatment of extensively-resistant forms of the disease (‘pre-XDR’ and XDR-TB) with </w:t>
      </w:r>
      <w:proofErr w:type="spellStart"/>
      <w:r w:rsidR="002C4DB9" w:rsidRPr="00EE7E38">
        <w:rPr>
          <w:rFonts w:ascii="Times New Roman" w:hAnsi="Times New Roman" w:cs="Times New Roman"/>
        </w:rPr>
        <w:t>Bedaqu</w:t>
      </w:r>
      <w:r w:rsidR="00970C82" w:rsidRPr="00EE7E38">
        <w:rPr>
          <w:rFonts w:ascii="Times New Roman" w:hAnsi="Times New Roman" w:cs="Times New Roman"/>
        </w:rPr>
        <w:t>i</w:t>
      </w:r>
      <w:r w:rsidR="002C4DB9" w:rsidRPr="00EE7E38">
        <w:rPr>
          <w:rFonts w:ascii="Times New Roman" w:hAnsi="Times New Roman" w:cs="Times New Roman"/>
        </w:rPr>
        <w:t>line</w:t>
      </w:r>
      <w:proofErr w:type="spellEnd"/>
      <w:r w:rsidR="002C4DB9" w:rsidRPr="00EE7E38">
        <w:rPr>
          <w:rFonts w:ascii="Times New Roman" w:hAnsi="Times New Roman" w:cs="Times New Roman"/>
        </w:rPr>
        <w:t>,</w:t>
      </w:r>
      <w:r w:rsidR="00D926C0" w:rsidRPr="00EE7E38">
        <w:rPr>
          <w:rFonts w:ascii="Times New Roman" w:hAnsi="Times New Roman" w:cs="Times New Roman"/>
        </w:rPr>
        <w:t xml:space="preserve"> </w:t>
      </w:r>
      <w:proofErr w:type="spellStart"/>
      <w:r w:rsidR="00D926C0" w:rsidRPr="00EE7E38">
        <w:rPr>
          <w:rFonts w:ascii="Times New Roman" w:hAnsi="Times New Roman" w:cs="Times New Roman"/>
        </w:rPr>
        <w:t>Delamanide</w:t>
      </w:r>
      <w:proofErr w:type="spellEnd"/>
      <w:r w:rsidR="00D926C0" w:rsidRPr="00EE7E38">
        <w:rPr>
          <w:rFonts w:ascii="Times New Roman" w:hAnsi="Times New Roman" w:cs="Times New Roman"/>
        </w:rPr>
        <w:t xml:space="preserve">, as well as </w:t>
      </w:r>
      <w:r w:rsidR="00C368FE">
        <w:rPr>
          <w:rFonts w:ascii="Times New Roman" w:hAnsi="Times New Roman" w:cs="Times New Roman"/>
        </w:rPr>
        <w:t xml:space="preserve">with </w:t>
      </w:r>
      <w:r w:rsidR="00D926C0" w:rsidRPr="00EE7E38">
        <w:rPr>
          <w:rFonts w:ascii="Times New Roman" w:hAnsi="Times New Roman" w:cs="Times New Roman"/>
        </w:rPr>
        <w:t xml:space="preserve">shortened treatment regimens. From </w:t>
      </w:r>
      <w:r w:rsidR="002C4DB9" w:rsidRPr="00EE7E38">
        <w:rPr>
          <w:rFonts w:ascii="Times New Roman" w:hAnsi="Times New Roman" w:cs="Times New Roman"/>
        </w:rPr>
        <w:t xml:space="preserve">June 2015 </w:t>
      </w:r>
      <w:r w:rsidR="00D926C0" w:rsidRPr="00EE7E38">
        <w:rPr>
          <w:rFonts w:ascii="Times New Roman" w:hAnsi="Times New Roman" w:cs="Times New Roman"/>
        </w:rPr>
        <w:t xml:space="preserve">all patients have access to new generation medications </w:t>
      </w:r>
      <w:r w:rsidR="002C4DB9" w:rsidRPr="00EE7E38">
        <w:rPr>
          <w:rFonts w:ascii="Times New Roman" w:hAnsi="Times New Roman" w:cs="Times New Roman"/>
        </w:rPr>
        <w:t>through the global donation program supported by the manufacturer and USAID.</w:t>
      </w:r>
    </w:p>
    <w:p w14:paraId="3DB0DC41" w14:textId="77777777" w:rsidR="00845E21" w:rsidRPr="00EE7E38" w:rsidRDefault="00A64EFA" w:rsidP="00A64EFA">
      <w:pPr>
        <w:pStyle w:val="Heading2"/>
        <w:rPr>
          <w:rFonts w:ascii="Times New Roman" w:hAnsi="Times New Roman" w:cs="Times New Roman"/>
        </w:rPr>
      </w:pPr>
      <w:bookmarkStart w:id="11" w:name="_Toc517633164"/>
      <w:r w:rsidRPr="00EE7E38">
        <w:rPr>
          <w:rFonts w:ascii="Times New Roman" w:hAnsi="Times New Roman" w:cs="Times New Roman"/>
        </w:rPr>
        <w:t xml:space="preserve">1.5 </w:t>
      </w:r>
      <w:r w:rsidR="00F70A8E" w:rsidRPr="00EE7E38">
        <w:rPr>
          <w:rFonts w:ascii="Times New Roman" w:hAnsi="Times New Roman" w:cs="Times New Roman"/>
        </w:rPr>
        <w:t>Main achievements of the National TB Program</w:t>
      </w:r>
      <w:bookmarkEnd w:id="11"/>
    </w:p>
    <w:p w14:paraId="44FE785D" w14:textId="5CB76CFE" w:rsidR="00EA240A"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following are considered as </w:t>
      </w:r>
      <w:r w:rsidR="00EA240A" w:rsidRPr="00EE7E38">
        <w:rPr>
          <w:rFonts w:ascii="Times New Roman" w:hAnsi="Times New Roman" w:cs="Times New Roman"/>
        </w:rPr>
        <w:t xml:space="preserve">the </w:t>
      </w:r>
      <w:r w:rsidRPr="00EE7E38">
        <w:rPr>
          <w:rFonts w:ascii="Times New Roman" w:hAnsi="Times New Roman" w:cs="Times New Roman"/>
        </w:rPr>
        <w:t xml:space="preserve">main achievements of the </w:t>
      </w:r>
      <w:r w:rsidR="00EE0CCE">
        <w:rPr>
          <w:rFonts w:ascii="Times New Roman" w:hAnsi="Times New Roman" w:cs="Times New Roman"/>
        </w:rPr>
        <w:t>NTP</w:t>
      </w:r>
      <w:r w:rsidRPr="00EE7E38">
        <w:rPr>
          <w:rFonts w:ascii="Times New Roman" w:hAnsi="Times New Roman" w:cs="Times New Roman"/>
        </w:rPr>
        <w:t xml:space="preserve"> in </w:t>
      </w:r>
      <w:r w:rsidR="00F014F0" w:rsidRPr="00EE7E38">
        <w:rPr>
          <w:rFonts w:ascii="Times New Roman" w:hAnsi="Times New Roman" w:cs="Times New Roman"/>
        </w:rPr>
        <w:t>Georgia</w:t>
      </w:r>
      <w:r w:rsidR="004B3799" w:rsidRPr="00EE7E38">
        <w:rPr>
          <w:rFonts w:ascii="Times New Roman" w:hAnsi="Times New Roman" w:cs="Times New Roman"/>
        </w:rPr>
        <w:t xml:space="preserve"> </w:t>
      </w:r>
      <w:r w:rsidR="00EA240A" w:rsidRPr="00EE7E38">
        <w:rPr>
          <w:rFonts w:ascii="Times New Roman" w:hAnsi="Times New Roman" w:cs="Times New Roman"/>
        </w:rPr>
        <w:t>since the start of DOTS implementation:</w:t>
      </w:r>
    </w:p>
    <w:p w14:paraId="715C5DF3" w14:textId="4791F1C1" w:rsidR="00540B31" w:rsidRPr="00EE7E38" w:rsidRDefault="00D5660D">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The </w:t>
      </w:r>
      <w:r w:rsidR="00EE0CCE">
        <w:rPr>
          <w:rFonts w:ascii="Times New Roman" w:hAnsi="Times New Roman" w:cs="Times New Roman"/>
        </w:rPr>
        <w:t>NTP</w:t>
      </w:r>
      <w:r w:rsidRPr="00EE7E38">
        <w:rPr>
          <w:rFonts w:ascii="Times New Roman" w:hAnsi="Times New Roman" w:cs="Times New Roman"/>
        </w:rPr>
        <w:t xml:space="preserve"> has achieved remarkable success in the uptake and implementation of contemporary international strategies and </w:t>
      </w:r>
      <w:r w:rsidR="00313602" w:rsidRPr="00EE7E38">
        <w:rPr>
          <w:rFonts w:ascii="Times New Roman" w:hAnsi="Times New Roman" w:cs="Times New Roman"/>
        </w:rPr>
        <w:t xml:space="preserve">guidance </w:t>
      </w:r>
      <w:r w:rsidRPr="00EE7E38">
        <w:rPr>
          <w:rFonts w:ascii="Times New Roman" w:hAnsi="Times New Roman" w:cs="Times New Roman"/>
        </w:rPr>
        <w:t xml:space="preserve">in TB control. </w:t>
      </w:r>
      <w:r w:rsidR="004B3799" w:rsidRPr="00EE7E38">
        <w:rPr>
          <w:rFonts w:ascii="Times New Roman" w:hAnsi="Times New Roman" w:cs="Times New Roman"/>
        </w:rPr>
        <w:t xml:space="preserve">By the end of 2015 the country achieved all main components of </w:t>
      </w:r>
      <w:r w:rsidR="006F18E0" w:rsidRPr="00EE7E38">
        <w:rPr>
          <w:rFonts w:ascii="Times New Roman" w:hAnsi="Times New Roman" w:cs="Times New Roman"/>
        </w:rPr>
        <w:t xml:space="preserve">the </w:t>
      </w:r>
      <w:r w:rsidR="004B3799" w:rsidRPr="00EE7E38">
        <w:rPr>
          <w:rFonts w:ascii="Times New Roman" w:hAnsi="Times New Roman" w:cs="Times New Roman"/>
        </w:rPr>
        <w:t xml:space="preserve">“Stop TB” strategy. From 2016 strategic priorities </w:t>
      </w:r>
      <w:r w:rsidR="006F18E0" w:rsidRPr="00EE7E38">
        <w:rPr>
          <w:rFonts w:ascii="Times New Roman" w:hAnsi="Times New Roman" w:cs="Times New Roman"/>
        </w:rPr>
        <w:t>were aligned</w:t>
      </w:r>
      <w:r w:rsidR="004B3799" w:rsidRPr="00EE7E38">
        <w:rPr>
          <w:rFonts w:ascii="Times New Roman" w:hAnsi="Times New Roman" w:cs="Times New Roman"/>
        </w:rPr>
        <w:t xml:space="preserve"> to </w:t>
      </w:r>
      <w:r w:rsidR="006F18E0" w:rsidRPr="00EE7E38">
        <w:rPr>
          <w:rFonts w:ascii="Times New Roman" w:hAnsi="Times New Roman" w:cs="Times New Roman"/>
        </w:rPr>
        <w:t xml:space="preserve">the </w:t>
      </w:r>
      <w:r w:rsidR="004B3799" w:rsidRPr="00EE7E38">
        <w:rPr>
          <w:rFonts w:ascii="Times New Roman" w:hAnsi="Times New Roman" w:cs="Times New Roman"/>
        </w:rPr>
        <w:t>new “End TB” strategy.</w:t>
      </w:r>
      <w:r w:rsidR="006F18E0" w:rsidRPr="00EE7E38">
        <w:rPr>
          <w:rFonts w:ascii="Times New Roman" w:hAnsi="Times New Roman" w:cs="Times New Roman"/>
        </w:rPr>
        <w:t xml:space="preserve"> T</w:t>
      </w:r>
      <w:r w:rsidRPr="00EE7E38">
        <w:rPr>
          <w:rFonts w:ascii="Times New Roman" w:hAnsi="Times New Roman" w:cs="Times New Roman"/>
        </w:rPr>
        <w:t xml:space="preserve">he country is continuously </w:t>
      </w:r>
      <w:r w:rsidR="00313602" w:rsidRPr="00EE7E38">
        <w:rPr>
          <w:rFonts w:ascii="Times New Roman" w:hAnsi="Times New Roman" w:cs="Times New Roman"/>
        </w:rPr>
        <w:t xml:space="preserve">upgrading and developing its practices </w:t>
      </w:r>
      <w:r w:rsidR="00EE0CCE">
        <w:rPr>
          <w:rFonts w:ascii="Times New Roman" w:hAnsi="Times New Roman" w:cs="Times New Roman"/>
        </w:rPr>
        <w:t xml:space="preserve">and approaches </w:t>
      </w:r>
      <w:r w:rsidR="00313602" w:rsidRPr="00EE7E38">
        <w:rPr>
          <w:rFonts w:ascii="Times New Roman" w:hAnsi="Times New Roman" w:cs="Times New Roman"/>
        </w:rPr>
        <w:t xml:space="preserve">in order to align to the emerging challenges of </w:t>
      </w:r>
      <w:r w:rsidR="00EE0CCE">
        <w:rPr>
          <w:rFonts w:ascii="Times New Roman" w:hAnsi="Times New Roman" w:cs="Times New Roman"/>
        </w:rPr>
        <w:t xml:space="preserve">the </w:t>
      </w:r>
      <w:r w:rsidR="00313602" w:rsidRPr="00EE7E38">
        <w:rPr>
          <w:rFonts w:ascii="Times New Roman" w:hAnsi="Times New Roman" w:cs="Times New Roman"/>
        </w:rPr>
        <w:t>TB epidemic and to ensure an effective national TB response.</w:t>
      </w:r>
    </w:p>
    <w:p w14:paraId="7F8D2F21" w14:textId="6E8F9AE1" w:rsidR="00540B31" w:rsidRPr="00EE7E38" w:rsidRDefault="00313602">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Visible improvements have been documented during recent years in relation to </w:t>
      </w:r>
      <w:r w:rsidR="005B2F8A">
        <w:rPr>
          <w:rFonts w:ascii="Times New Roman" w:hAnsi="Times New Roman" w:cs="Times New Roman"/>
        </w:rPr>
        <w:t xml:space="preserve">reducing the burden of </w:t>
      </w:r>
      <w:r w:rsidRPr="00EE7E38">
        <w:rPr>
          <w:rFonts w:ascii="Times New Roman" w:hAnsi="Times New Roman" w:cs="Times New Roman"/>
        </w:rPr>
        <w:t xml:space="preserve">TB, </w:t>
      </w:r>
      <w:r w:rsidR="005B2F8A">
        <w:rPr>
          <w:rFonts w:ascii="Times New Roman" w:hAnsi="Times New Roman" w:cs="Times New Roman"/>
        </w:rPr>
        <w:t>as evidenced</w:t>
      </w:r>
      <w:r w:rsidR="005B2F8A" w:rsidRPr="00EE7E38">
        <w:rPr>
          <w:rFonts w:ascii="Times New Roman" w:hAnsi="Times New Roman" w:cs="Times New Roman"/>
        </w:rPr>
        <w:t xml:space="preserve"> </w:t>
      </w:r>
      <w:r w:rsidRPr="00EE7E38">
        <w:rPr>
          <w:rFonts w:ascii="Times New Roman" w:hAnsi="Times New Roman" w:cs="Times New Roman"/>
        </w:rPr>
        <w:t xml:space="preserve">by the decreasing number of TB cases and TB rates, </w:t>
      </w:r>
      <w:r w:rsidR="00845E21" w:rsidRPr="00EE7E38">
        <w:rPr>
          <w:rFonts w:ascii="Times New Roman" w:hAnsi="Times New Roman" w:cs="Times New Roman"/>
        </w:rPr>
        <w:t xml:space="preserve">including the decreasing </w:t>
      </w:r>
      <w:r w:rsidR="00C2019C">
        <w:rPr>
          <w:rFonts w:ascii="Times New Roman" w:hAnsi="Times New Roman" w:cs="Times New Roman"/>
        </w:rPr>
        <w:lastRenderedPageBreak/>
        <w:t xml:space="preserve">number of </w:t>
      </w:r>
      <w:r w:rsidRPr="00EE7E38">
        <w:rPr>
          <w:rFonts w:ascii="Times New Roman" w:hAnsi="Times New Roman" w:cs="Times New Roman"/>
        </w:rPr>
        <w:t xml:space="preserve">TB cases in children. The prevalence of drug-resistant forms of TB has been consistently contained at levels that are substantially lower </w:t>
      </w:r>
      <w:r w:rsidR="00C2019C">
        <w:rPr>
          <w:rFonts w:ascii="Times New Roman" w:hAnsi="Times New Roman" w:cs="Times New Roman"/>
        </w:rPr>
        <w:t>than</w:t>
      </w:r>
      <w:r w:rsidRPr="00EE7E38">
        <w:rPr>
          <w:rFonts w:ascii="Times New Roman" w:hAnsi="Times New Roman" w:cs="Times New Roman"/>
        </w:rPr>
        <w:t xml:space="preserve"> other countries in the region.</w:t>
      </w:r>
    </w:p>
    <w:p w14:paraId="66560EEE" w14:textId="24830BC4" w:rsidR="00540B31" w:rsidRPr="00EE7E38" w:rsidRDefault="00AF4B49">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Universal access is </w:t>
      </w:r>
      <w:r w:rsidR="00313602" w:rsidRPr="00EE7E38">
        <w:rPr>
          <w:rFonts w:ascii="Times New Roman" w:hAnsi="Times New Roman" w:cs="Times New Roman"/>
        </w:rPr>
        <w:t xml:space="preserve">ensured to diagnosis and treatment of all forms of TB including M/XDR-TB. The use of novel rapid diagnostic methods for TB and DR-TB, as well as </w:t>
      </w:r>
      <w:r w:rsidR="00C2019C">
        <w:rPr>
          <w:rFonts w:ascii="Times New Roman" w:hAnsi="Times New Roman" w:cs="Times New Roman"/>
        </w:rPr>
        <w:t xml:space="preserve">the use </w:t>
      </w:r>
      <w:r w:rsidR="00313602" w:rsidRPr="00EE7E38">
        <w:rPr>
          <w:rFonts w:ascii="Times New Roman" w:hAnsi="Times New Roman" w:cs="Times New Roman"/>
        </w:rPr>
        <w:t>of newly</w:t>
      </w:r>
      <w:r w:rsidR="00C2019C">
        <w:rPr>
          <w:rFonts w:ascii="Times New Roman" w:hAnsi="Times New Roman" w:cs="Times New Roman"/>
        </w:rPr>
        <w:t>-</w:t>
      </w:r>
      <w:r w:rsidR="00313602" w:rsidRPr="00EE7E38">
        <w:rPr>
          <w:rFonts w:ascii="Times New Roman" w:hAnsi="Times New Roman" w:cs="Times New Roman"/>
        </w:rPr>
        <w:t xml:space="preserve">developed drugs is being scaled up. </w:t>
      </w:r>
    </w:p>
    <w:p w14:paraId="0E87A9BD" w14:textId="12D7CAE7" w:rsidR="00540B31" w:rsidRPr="00EE7E38" w:rsidRDefault="00313602">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As a key indicator of the positive developments in the national TB control program, treatment outcome</w:t>
      </w:r>
      <w:r w:rsidR="00DC4072">
        <w:rPr>
          <w:rFonts w:ascii="Times New Roman" w:hAnsi="Times New Roman" w:cs="Times New Roman"/>
        </w:rPr>
        <w:t>s</w:t>
      </w:r>
      <w:r w:rsidRPr="00EE7E38">
        <w:rPr>
          <w:rFonts w:ascii="Times New Roman" w:hAnsi="Times New Roman" w:cs="Times New Roman"/>
        </w:rPr>
        <w:t xml:space="preserve"> of</w:t>
      </w:r>
      <w:r w:rsidR="00DC4072">
        <w:rPr>
          <w:rFonts w:ascii="Times New Roman" w:hAnsi="Times New Roman" w:cs="Times New Roman"/>
        </w:rPr>
        <w:t xml:space="preserve"> drug-</w:t>
      </w:r>
      <w:r w:rsidRPr="00EE7E38">
        <w:rPr>
          <w:rFonts w:ascii="Times New Roman" w:hAnsi="Times New Roman" w:cs="Times New Roman"/>
        </w:rPr>
        <w:t>sensitive TB cases are improving</w:t>
      </w:r>
      <w:r w:rsidR="00DC4072">
        <w:rPr>
          <w:rFonts w:ascii="Times New Roman" w:hAnsi="Times New Roman" w:cs="Times New Roman"/>
        </w:rPr>
        <w:t>,</w:t>
      </w:r>
      <w:r w:rsidRPr="00EE7E38">
        <w:rPr>
          <w:rFonts w:ascii="Times New Roman" w:hAnsi="Times New Roman" w:cs="Times New Roman"/>
        </w:rPr>
        <w:t xml:space="preserve"> including </w:t>
      </w:r>
      <w:r w:rsidR="00DC4072">
        <w:rPr>
          <w:rFonts w:ascii="Times New Roman" w:hAnsi="Times New Roman" w:cs="Times New Roman"/>
        </w:rPr>
        <w:t>a</w:t>
      </w:r>
      <w:r w:rsidR="00D43D9A">
        <w:rPr>
          <w:rFonts w:ascii="Times New Roman" w:hAnsi="Times New Roman" w:cs="Times New Roman"/>
        </w:rPr>
        <w:t xml:space="preserve"> </w:t>
      </w:r>
      <w:r w:rsidRPr="00EE7E38">
        <w:rPr>
          <w:rFonts w:ascii="Times New Roman" w:hAnsi="Times New Roman" w:cs="Times New Roman"/>
        </w:rPr>
        <w:t>steady decrease in the proportion of patient lost to follow-up.</w:t>
      </w:r>
    </w:p>
    <w:p w14:paraId="05877302" w14:textId="4B193DE2" w:rsidR="00540B31" w:rsidRPr="00EE7E38" w:rsidRDefault="00313602">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TB control in the penitentiary system is fully integrated in</w:t>
      </w:r>
      <w:r w:rsidR="006B3C93">
        <w:rPr>
          <w:rFonts w:ascii="Times New Roman" w:hAnsi="Times New Roman" w:cs="Times New Roman"/>
        </w:rPr>
        <w:t>to</w:t>
      </w:r>
      <w:r w:rsidRPr="00EE7E38">
        <w:rPr>
          <w:rFonts w:ascii="Times New Roman" w:hAnsi="Times New Roman" w:cs="Times New Roman"/>
        </w:rPr>
        <w:t xml:space="preserve"> the overall national TB program. </w:t>
      </w:r>
      <w:r w:rsidR="006B3C93">
        <w:rPr>
          <w:rFonts w:ascii="Times New Roman" w:hAnsi="Times New Roman" w:cs="Times New Roman"/>
        </w:rPr>
        <w:t xml:space="preserve">Consistent with the overall trend in the country, there has been a decreased incidence of active TB as well as improved treatment results among the prison population. </w:t>
      </w:r>
    </w:p>
    <w:p w14:paraId="3853C1CF" w14:textId="255C0487" w:rsidR="00540B31" w:rsidRPr="00EE7E38" w:rsidRDefault="00845E21">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Georgia is considered a regional leader in aligning its TB care delivery system to the epidemiologic challenges and international best practices</w:t>
      </w:r>
      <w:r w:rsidR="00D10F57">
        <w:rPr>
          <w:rFonts w:ascii="Times New Roman" w:hAnsi="Times New Roman" w:cs="Times New Roman"/>
        </w:rPr>
        <w:t xml:space="preserve">, including </w:t>
      </w:r>
      <w:r w:rsidRPr="00EE7E38">
        <w:rPr>
          <w:rFonts w:ascii="Times New Roman" w:hAnsi="Times New Roman" w:cs="Times New Roman"/>
        </w:rPr>
        <w:t>implementation of a predominantly outpatient TB case management, with reduced frequency and duration of hospitalization as a result of optimized and downsized TB hospital capacity.</w:t>
      </w:r>
    </w:p>
    <w:p w14:paraId="003EF0E1" w14:textId="1E1F0622" w:rsidR="00540B31" w:rsidRPr="00EE7E38" w:rsidRDefault="00845E21">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The country has been effectively implementing external funding support (from the Global Fund and other partners), </w:t>
      </w:r>
      <w:r w:rsidR="00172D64">
        <w:rPr>
          <w:rFonts w:ascii="Times New Roman" w:hAnsi="Times New Roman" w:cs="Times New Roman"/>
        </w:rPr>
        <w:t xml:space="preserve">as a result of its effective and professional collaboration and coordination with national and international stakeholders. </w:t>
      </w:r>
    </w:p>
    <w:p w14:paraId="09AB9094" w14:textId="77777777" w:rsidR="00C13113" w:rsidRPr="00EE7E38" w:rsidRDefault="00A64EFA" w:rsidP="00A64EFA">
      <w:pPr>
        <w:pStyle w:val="Heading2"/>
        <w:rPr>
          <w:rFonts w:ascii="Times New Roman" w:hAnsi="Times New Roman" w:cs="Times New Roman"/>
        </w:rPr>
      </w:pPr>
      <w:bookmarkStart w:id="12" w:name="_Toc517633165"/>
      <w:r w:rsidRPr="00EE7E38">
        <w:rPr>
          <w:rFonts w:ascii="Times New Roman" w:hAnsi="Times New Roman" w:cs="Times New Roman"/>
        </w:rPr>
        <w:t xml:space="preserve">1.6 </w:t>
      </w:r>
      <w:r w:rsidR="00F70A8E" w:rsidRPr="00EE7E38">
        <w:rPr>
          <w:rFonts w:ascii="Times New Roman" w:hAnsi="Times New Roman" w:cs="Times New Roman"/>
        </w:rPr>
        <w:t>Key challenges for TB control</w:t>
      </w:r>
      <w:bookmarkEnd w:id="12"/>
    </w:p>
    <w:p w14:paraId="15D63105" w14:textId="273AF675" w:rsidR="00F70A8E"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Despite the</w:t>
      </w:r>
      <w:r w:rsidR="00E34296">
        <w:rPr>
          <w:rFonts w:ascii="Times New Roman" w:hAnsi="Times New Roman" w:cs="Times New Roman"/>
        </w:rPr>
        <w:t>se</w:t>
      </w:r>
      <w:r w:rsidRPr="00EE7E38">
        <w:rPr>
          <w:rFonts w:ascii="Times New Roman" w:hAnsi="Times New Roman" w:cs="Times New Roman"/>
        </w:rPr>
        <w:t xml:space="preserve"> important </w:t>
      </w:r>
      <w:r w:rsidR="00EA240A" w:rsidRPr="00EE7E38">
        <w:rPr>
          <w:rFonts w:ascii="Times New Roman" w:hAnsi="Times New Roman" w:cs="Times New Roman"/>
        </w:rPr>
        <w:t xml:space="preserve">positive developments achieved </w:t>
      </w:r>
      <w:r w:rsidRPr="00EE7E38">
        <w:rPr>
          <w:rFonts w:ascii="Times New Roman" w:hAnsi="Times New Roman" w:cs="Times New Roman"/>
        </w:rPr>
        <w:t xml:space="preserve">in TB control, </w:t>
      </w:r>
      <w:r w:rsidR="00EA240A" w:rsidRPr="00EE7E38">
        <w:rPr>
          <w:rFonts w:ascii="Times New Roman" w:hAnsi="Times New Roman" w:cs="Times New Roman"/>
        </w:rPr>
        <w:t xml:space="preserve">Georgia </w:t>
      </w:r>
      <w:r w:rsidRPr="00EE7E38">
        <w:rPr>
          <w:rFonts w:ascii="Times New Roman" w:hAnsi="Times New Roman" w:cs="Times New Roman"/>
        </w:rPr>
        <w:t xml:space="preserve">continues to face a number of serious challenges, which need to be </w:t>
      </w:r>
      <w:r w:rsidR="00EA240A" w:rsidRPr="00EE7E38">
        <w:rPr>
          <w:rFonts w:ascii="Times New Roman" w:hAnsi="Times New Roman" w:cs="Times New Roman"/>
        </w:rPr>
        <w:t xml:space="preserve">addressed and are further reflected in </w:t>
      </w:r>
      <w:r w:rsidRPr="00EE7E38">
        <w:rPr>
          <w:rFonts w:ascii="Times New Roman" w:hAnsi="Times New Roman" w:cs="Times New Roman"/>
        </w:rPr>
        <w:t xml:space="preserve">this Plan.  </w:t>
      </w:r>
    </w:p>
    <w:p w14:paraId="552357F6" w14:textId="44E9A55D" w:rsidR="00540B31" w:rsidRPr="00EE7E38" w:rsidRDefault="00EA240A">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TB </w:t>
      </w:r>
      <w:r w:rsidR="00060362" w:rsidRPr="00EE7E38">
        <w:rPr>
          <w:rFonts w:ascii="Times New Roman" w:hAnsi="Times New Roman" w:cs="Times New Roman"/>
        </w:rPr>
        <w:t>remains</w:t>
      </w:r>
      <w:r w:rsidRPr="00EE7E38">
        <w:rPr>
          <w:rFonts w:ascii="Times New Roman" w:hAnsi="Times New Roman" w:cs="Times New Roman"/>
        </w:rPr>
        <w:t xml:space="preserve"> an important public health issue in the country, and the overall TB epidemiological situation </w:t>
      </w:r>
      <w:r w:rsidR="00060362" w:rsidRPr="00EE7E38">
        <w:rPr>
          <w:rFonts w:ascii="Times New Roman" w:hAnsi="Times New Roman" w:cs="Times New Roman"/>
        </w:rPr>
        <w:t xml:space="preserve">continues to be </w:t>
      </w:r>
      <w:r w:rsidRPr="00EE7E38">
        <w:rPr>
          <w:rFonts w:ascii="Times New Roman" w:hAnsi="Times New Roman" w:cs="Times New Roman"/>
        </w:rPr>
        <w:t xml:space="preserve">worrisome, first and foremost due to </w:t>
      </w:r>
      <w:r w:rsidR="00060362" w:rsidRPr="00EE7E38">
        <w:rPr>
          <w:rFonts w:ascii="Times New Roman" w:hAnsi="Times New Roman" w:cs="Times New Roman"/>
        </w:rPr>
        <w:t xml:space="preserve">the </w:t>
      </w:r>
      <w:r w:rsidRPr="00EE7E38">
        <w:rPr>
          <w:rFonts w:ascii="Times New Roman" w:hAnsi="Times New Roman" w:cs="Times New Roman"/>
        </w:rPr>
        <w:t xml:space="preserve">high burden of drug-resistant TB, which threatens to reverse the recent positive trends and further increase the overall economic and social burden of the disease. </w:t>
      </w:r>
      <w:r w:rsidR="00BA6E64" w:rsidRPr="00EE7E38">
        <w:rPr>
          <w:rFonts w:ascii="Times New Roman" w:hAnsi="Times New Roman" w:cs="Times New Roman"/>
        </w:rPr>
        <w:t xml:space="preserve">At the same time, the treatment results of M/XDR patients are worrisome and represent the major concern for the national program. </w:t>
      </w:r>
      <w:r w:rsidR="0026126F">
        <w:rPr>
          <w:rFonts w:ascii="Times New Roman" w:hAnsi="Times New Roman" w:cs="Times New Roman"/>
        </w:rPr>
        <w:t>From 2008-201</w:t>
      </w:r>
      <w:r w:rsidR="0026126F">
        <w:rPr>
          <w:rFonts w:ascii="Sylfaen" w:hAnsi="Sylfaen" w:cs="Times New Roman"/>
          <w:lang w:val="ka-GE"/>
        </w:rPr>
        <w:t>4</w:t>
      </w:r>
      <w:r w:rsidR="00592053">
        <w:rPr>
          <w:rFonts w:ascii="Times New Roman" w:hAnsi="Times New Roman" w:cs="Times New Roman"/>
        </w:rPr>
        <w:t xml:space="preserve">, only 49% of M/XDR-TB patients </w:t>
      </w:r>
      <w:r w:rsidR="00BA6E64" w:rsidRPr="00EE7E38">
        <w:rPr>
          <w:rFonts w:ascii="Times New Roman" w:hAnsi="Times New Roman" w:cs="Times New Roman"/>
        </w:rPr>
        <w:t>were successfully treated</w:t>
      </w:r>
      <w:r w:rsidR="00592053">
        <w:rPr>
          <w:rFonts w:ascii="Times New Roman" w:hAnsi="Times New Roman" w:cs="Times New Roman"/>
        </w:rPr>
        <w:t>:</w:t>
      </w:r>
      <w:r w:rsidR="00D43D9A">
        <w:rPr>
          <w:rFonts w:ascii="Times New Roman" w:hAnsi="Times New Roman" w:cs="Times New Roman"/>
        </w:rPr>
        <w:t xml:space="preserve"> </w:t>
      </w:r>
      <w:r w:rsidR="00C64D7E" w:rsidRPr="00EE7E38">
        <w:rPr>
          <w:rFonts w:ascii="Times New Roman" w:hAnsi="Times New Roman" w:cs="Times New Roman"/>
        </w:rPr>
        <w:t>5</w:t>
      </w:r>
      <w:r w:rsidR="00BA6E64" w:rsidRPr="00EE7E38">
        <w:rPr>
          <w:rFonts w:ascii="Times New Roman" w:hAnsi="Times New Roman" w:cs="Times New Roman"/>
        </w:rPr>
        <w:t xml:space="preserve">% died, 4.9% failed treatment, </w:t>
      </w:r>
      <w:r w:rsidR="00C64D7E" w:rsidRPr="00EE7E38">
        <w:rPr>
          <w:rFonts w:ascii="Times New Roman" w:hAnsi="Times New Roman" w:cs="Times New Roman"/>
        </w:rPr>
        <w:t>29</w:t>
      </w:r>
      <w:r w:rsidR="00BA6E64" w:rsidRPr="00EE7E38">
        <w:rPr>
          <w:rFonts w:ascii="Times New Roman" w:hAnsi="Times New Roman" w:cs="Times New Roman"/>
        </w:rPr>
        <w:t xml:space="preserve">% defaulted and </w:t>
      </w:r>
      <w:r w:rsidR="00C64D7E" w:rsidRPr="00EE7E38">
        <w:rPr>
          <w:rFonts w:ascii="Times New Roman" w:hAnsi="Times New Roman" w:cs="Times New Roman"/>
        </w:rPr>
        <w:t>8</w:t>
      </w:r>
      <w:r w:rsidR="00BA6E64" w:rsidRPr="00EE7E38">
        <w:rPr>
          <w:rFonts w:ascii="Times New Roman" w:hAnsi="Times New Roman" w:cs="Times New Roman"/>
        </w:rPr>
        <w:t xml:space="preserve">% of cases were not evaluated at the end of treatment. The very high rates of treatment interruption are attributed not only to the difficulties </w:t>
      </w:r>
      <w:r w:rsidR="00592053">
        <w:rPr>
          <w:rFonts w:ascii="Times New Roman" w:hAnsi="Times New Roman" w:cs="Times New Roman"/>
        </w:rPr>
        <w:t>patients face</w:t>
      </w:r>
      <w:r w:rsidR="00BA6E64" w:rsidRPr="00EE7E38">
        <w:rPr>
          <w:rFonts w:ascii="Times New Roman" w:hAnsi="Times New Roman" w:cs="Times New Roman"/>
        </w:rPr>
        <w:t xml:space="preserve"> to complete the lengthy (up to 2 years) course of therapy due to social and economic circumstances, but also to insufficient adherence support and medical complications of treatment related to comorbid conditions and adverse drug reactions caused by second-line TB drugs, and failures of health care providers to manage these complications effectively</w:t>
      </w:r>
      <w:r w:rsidR="00592053">
        <w:rPr>
          <w:rFonts w:ascii="Times New Roman" w:hAnsi="Times New Roman" w:cs="Times New Roman"/>
        </w:rPr>
        <w:t xml:space="preserve"> </w:t>
      </w:r>
      <w:r w:rsidR="00BA6E64" w:rsidRPr="00EE7E38">
        <w:rPr>
          <w:rFonts w:ascii="Times New Roman" w:hAnsi="Times New Roman" w:cs="Times New Roman"/>
        </w:rPr>
        <w:t>.</w:t>
      </w:r>
      <w:r w:rsidR="00060362" w:rsidRPr="00EE7E38">
        <w:rPr>
          <w:rFonts w:ascii="Times New Roman" w:hAnsi="Times New Roman" w:cs="Times New Roman"/>
        </w:rPr>
        <w:t>While there is a decreasing trend in TB notifications during the last three years, primary attention should be accorded to ensure an effective system for TB c</w:t>
      </w:r>
      <w:r w:rsidR="00F014F0" w:rsidRPr="00EE7E38">
        <w:rPr>
          <w:rFonts w:ascii="Times New Roman" w:hAnsi="Times New Roman" w:cs="Times New Roman"/>
        </w:rPr>
        <w:t>ase detection</w:t>
      </w:r>
      <w:r w:rsidR="00060362" w:rsidRPr="00EE7E38">
        <w:rPr>
          <w:rFonts w:ascii="Times New Roman" w:hAnsi="Times New Roman" w:cs="Times New Roman"/>
        </w:rPr>
        <w:t xml:space="preserve">/diagnosis, which should address the issue of undiagnosed and/or </w:t>
      </w:r>
      <w:r w:rsidR="00592053">
        <w:rPr>
          <w:rFonts w:ascii="Times New Roman" w:hAnsi="Times New Roman" w:cs="Times New Roman"/>
        </w:rPr>
        <w:t>belatedly</w:t>
      </w:r>
      <w:r w:rsidR="00592053" w:rsidRPr="00EE7E38">
        <w:rPr>
          <w:rFonts w:ascii="Times New Roman" w:hAnsi="Times New Roman" w:cs="Times New Roman"/>
        </w:rPr>
        <w:t xml:space="preserve"> </w:t>
      </w:r>
      <w:r w:rsidR="00060362" w:rsidRPr="00EE7E38">
        <w:rPr>
          <w:rFonts w:ascii="Times New Roman" w:hAnsi="Times New Roman" w:cs="Times New Roman"/>
        </w:rPr>
        <w:t>diagnosed TB, and provide for rapid detection of drug resistance.</w:t>
      </w:r>
    </w:p>
    <w:p w14:paraId="47F24A14" w14:textId="77777777" w:rsidR="00540B31" w:rsidRPr="00EE7E38" w:rsidRDefault="00060362">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Poor outcomes of treatment of </w:t>
      </w:r>
      <w:r w:rsidR="00F014F0" w:rsidRPr="00EE7E38">
        <w:rPr>
          <w:rFonts w:ascii="Times New Roman" w:hAnsi="Times New Roman" w:cs="Times New Roman"/>
        </w:rPr>
        <w:t>M</w:t>
      </w:r>
      <w:r w:rsidRPr="00EE7E38">
        <w:rPr>
          <w:rFonts w:ascii="Times New Roman" w:hAnsi="Times New Roman" w:cs="Times New Roman"/>
        </w:rPr>
        <w:t>/X</w:t>
      </w:r>
      <w:r w:rsidR="00F014F0" w:rsidRPr="00EE7E38">
        <w:rPr>
          <w:rFonts w:ascii="Times New Roman" w:hAnsi="Times New Roman" w:cs="Times New Roman"/>
        </w:rPr>
        <w:t xml:space="preserve">DR-TB </w:t>
      </w:r>
      <w:r w:rsidRPr="00EE7E38">
        <w:rPr>
          <w:rFonts w:ascii="Times New Roman" w:hAnsi="Times New Roman" w:cs="Times New Roman"/>
        </w:rPr>
        <w:t xml:space="preserve">cases is a big issue, which </w:t>
      </w:r>
      <w:r w:rsidR="00F014F0" w:rsidRPr="00EE7E38">
        <w:rPr>
          <w:rFonts w:ascii="Times New Roman" w:hAnsi="Times New Roman" w:cs="Times New Roman"/>
        </w:rPr>
        <w:t>need</w:t>
      </w:r>
      <w:r w:rsidRPr="00EE7E38">
        <w:rPr>
          <w:rFonts w:ascii="Times New Roman" w:hAnsi="Times New Roman" w:cs="Times New Roman"/>
        </w:rPr>
        <w:t>s</w:t>
      </w:r>
      <w:r w:rsidR="00F014F0" w:rsidRPr="00EE7E38">
        <w:rPr>
          <w:rFonts w:ascii="Times New Roman" w:hAnsi="Times New Roman" w:cs="Times New Roman"/>
        </w:rPr>
        <w:t xml:space="preserve"> to be addressed through </w:t>
      </w:r>
      <w:r w:rsidRPr="00EE7E38">
        <w:rPr>
          <w:rFonts w:ascii="Times New Roman" w:hAnsi="Times New Roman" w:cs="Times New Roman"/>
        </w:rPr>
        <w:t xml:space="preserve">implementing the novel </w:t>
      </w:r>
      <w:r w:rsidR="00F014F0" w:rsidRPr="00EE7E38">
        <w:rPr>
          <w:rFonts w:ascii="Times New Roman" w:hAnsi="Times New Roman" w:cs="Times New Roman"/>
        </w:rPr>
        <w:t xml:space="preserve">treatment </w:t>
      </w:r>
      <w:r w:rsidRPr="00EE7E38">
        <w:rPr>
          <w:rFonts w:ascii="Times New Roman" w:hAnsi="Times New Roman" w:cs="Times New Roman"/>
        </w:rPr>
        <w:t xml:space="preserve">approaches </w:t>
      </w:r>
      <w:r w:rsidR="00F96F81" w:rsidRPr="00EE7E38">
        <w:rPr>
          <w:rFonts w:ascii="Times New Roman" w:hAnsi="Times New Roman" w:cs="Times New Roman"/>
        </w:rPr>
        <w:t>reliant on the revised treatment regimens (including scaling up the use of new drugs) but also on strengthening the application of patient-centered approaches with appropriate patient support, which is not limited to provision of incentives but covers a broader set of adherence determinants.</w:t>
      </w:r>
    </w:p>
    <w:p w14:paraId="3510AAFF" w14:textId="5481EC75" w:rsidR="00540B31" w:rsidRPr="00EE7E38" w:rsidRDefault="00F96F81">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The burden and impact of </w:t>
      </w:r>
      <w:r w:rsidR="00F014F0" w:rsidRPr="00EE7E38">
        <w:rPr>
          <w:rFonts w:ascii="Times New Roman" w:hAnsi="Times New Roman" w:cs="Times New Roman"/>
        </w:rPr>
        <w:t xml:space="preserve">TB/HIV co-infection </w:t>
      </w:r>
      <w:r w:rsidRPr="00EE7E38">
        <w:rPr>
          <w:rFonts w:ascii="Times New Roman" w:hAnsi="Times New Roman" w:cs="Times New Roman"/>
        </w:rPr>
        <w:t xml:space="preserve">in the country </w:t>
      </w:r>
      <w:r w:rsidR="00F014F0" w:rsidRPr="00EE7E38">
        <w:rPr>
          <w:rFonts w:ascii="Times New Roman" w:hAnsi="Times New Roman" w:cs="Times New Roman"/>
        </w:rPr>
        <w:t xml:space="preserve">is underestimated and needs to be </w:t>
      </w:r>
      <w:r w:rsidRPr="00EE7E38">
        <w:rPr>
          <w:rFonts w:ascii="Times New Roman" w:hAnsi="Times New Roman" w:cs="Times New Roman"/>
        </w:rPr>
        <w:t xml:space="preserve">properly </w:t>
      </w:r>
      <w:r w:rsidR="00F014F0" w:rsidRPr="00EE7E38">
        <w:rPr>
          <w:rFonts w:ascii="Times New Roman" w:hAnsi="Times New Roman" w:cs="Times New Roman"/>
        </w:rPr>
        <w:t>addressed</w:t>
      </w:r>
      <w:r w:rsidRPr="00EE7E38">
        <w:rPr>
          <w:rFonts w:ascii="Times New Roman" w:hAnsi="Times New Roman" w:cs="Times New Roman"/>
        </w:rPr>
        <w:t xml:space="preserve"> through a set of strengthened collaborative activities between the two national programs, including more active involvement of civil society, especially in addressing the needs of </w:t>
      </w:r>
      <w:r w:rsidR="008E502F">
        <w:rPr>
          <w:rFonts w:ascii="Times New Roman" w:hAnsi="Times New Roman" w:cs="Times New Roman"/>
        </w:rPr>
        <w:t xml:space="preserve">the </w:t>
      </w:r>
      <w:r w:rsidRPr="00EE7E38">
        <w:rPr>
          <w:rFonts w:ascii="Times New Roman" w:hAnsi="Times New Roman" w:cs="Times New Roman"/>
        </w:rPr>
        <w:t xml:space="preserve">most-at-risk population groups. </w:t>
      </w:r>
    </w:p>
    <w:p w14:paraId="5B7CC849" w14:textId="5F4C5C11" w:rsidR="00540B31" w:rsidRPr="00EE7E38" w:rsidRDefault="00E06356">
      <w:pPr>
        <w:widowControl w:val="0"/>
        <w:numPr>
          <w:ilvl w:val="0"/>
          <w:numId w:val="21"/>
        </w:numPr>
        <w:spacing w:before="120" w:after="0" w:line="240" w:lineRule="auto"/>
        <w:jc w:val="both"/>
        <w:rPr>
          <w:rFonts w:ascii="Times New Roman" w:hAnsi="Times New Roman" w:cs="Times New Roman"/>
        </w:rPr>
      </w:pPr>
      <w:r>
        <w:rPr>
          <w:rFonts w:ascii="Times New Roman" w:hAnsi="Times New Roman" w:cs="Times New Roman"/>
        </w:rPr>
        <w:t xml:space="preserve">As the Government continues to work toward ensuring universal health coverage, </w:t>
      </w:r>
      <w:r w:rsidR="00F96F81" w:rsidRPr="00EE7E38">
        <w:rPr>
          <w:rFonts w:ascii="Times New Roman" w:hAnsi="Times New Roman" w:cs="Times New Roman"/>
        </w:rPr>
        <w:t>TB control interventions need to be effectively integrated in</w:t>
      </w:r>
      <w:r>
        <w:rPr>
          <w:rFonts w:ascii="Times New Roman" w:hAnsi="Times New Roman" w:cs="Times New Roman"/>
        </w:rPr>
        <w:t>to</w:t>
      </w:r>
      <w:r w:rsidR="00F96F81" w:rsidRPr="00EE7E38">
        <w:rPr>
          <w:rFonts w:ascii="Times New Roman" w:hAnsi="Times New Roman" w:cs="Times New Roman"/>
        </w:rPr>
        <w:t xml:space="preserve"> </w:t>
      </w:r>
      <w:r>
        <w:rPr>
          <w:rFonts w:ascii="Times New Roman" w:hAnsi="Times New Roman" w:cs="Times New Roman"/>
        </w:rPr>
        <w:t xml:space="preserve">wider health sector developments. </w:t>
      </w:r>
      <w:r w:rsidR="00970C82" w:rsidRPr="00EE7E38">
        <w:rPr>
          <w:rFonts w:ascii="Times New Roman" w:hAnsi="Times New Roman" w:cs="Times New Roman"/>
        </w:rPr>
        <w:t xml:space="preserve">Besides strengthening the </w:t>
      </w:r>
      <w:r w:rsidR="00F014F0" w:rsidRPr="00EE7E38">
        <w:rPr>
          <w:rFonts w:ascii="Times New Roman" w:hAnsi="Times New Roman" w:cs="Times New Roman"/>
        </w:rPr>
        <w:t>governance and management</w:t>
      </w:r>
      <w:r w:rsidR="00970C82" w:rsidRPr="00EE7E38">
        <w:rPr>
          <w:rFonts w:ascii="Times New Roman" w:hAnsi="Times New Roman" w:cs="Times New Roman"/>
        </w:rPr>
        <w:t xml:space="preserve"> of the </w:t>
      </w:r>
      <w:r>
        <w:rPr>
          <w:rFonts w:ascii="Times New Roman" w:hAnsi="Times New Roman" w:cs="Times New Roman"/>
        </w:rPr>
        <w:t>NTP</w:t>
      </w:r>
      <w:r w:rsidR="00970C82" w:rsidRPr="00EE7E38">
        <w:rPr>
          <w:rFonts w:ascii="Times New Roman" w:hAnsi="Times New Roman" w:cs="Times New Roman"/>
        </w:rPr>
        <w:t xml:space="preserve"> and adjusting financing and allocation arrangements, proper attention should be given to the development of required human and </w:t>
      </w:r>
      <w:r w:rsidR="00970C82" w:rsidRPr="00EE7E38">
        <w:rPr>
          <w:rFonts w:ascii="Times New Roman" w:hAnsi="Times New Roman" w:cs="Times New Roman"/>
        </w:rPr>
        <w:lastRenderedPageBreak/>
        <w:t>infrastructural resources for providing essential TB services to the entire population.</w:t>
      </w:r>
    </w:p>
    <w:p w14:paraId="5D1C7594" w14:textId="0F74DDA2" w:rsidR="00540B31" w:rsidRPr="00EE7E38" w:rsidRDefault="00970C82">
      <w:pPr>
        <w:widowControl w:val="0"/>
        <w:numPr>
          <w:ilvl w:val="0"/>
          <w:numId w:val="21"/>
        </w:numPr>
        <w:spacing w:before="120" w:after="0" w:line="240" w:lineRule="auto"/>
        <w:jc w:val="both"/>
        <w:rPr>
          <w:rFonts w:ascii="Times New Roman" w:hAnsi="Times New Roman" w:cs="Times New Roman"/>
        </w:rPr>
      </w:pPr>
      <w:r w:rsidRPr="00EE7E38">
        <w:rPr>
          <w:rFonts w:ascii="Times New Roman" w:hAnsi="Times New Roman" w:cs="Times New Roman"/>
        </w:rPr>
        <w:t xml:space="preserve">Georgia is currently </w:t>
      </w:r>
      <w:r w:rsidR="00F70A8E" w:rsidRPr="00EE7E38">
        <w:rPr>
          <w:rFonts w:ascii="Times New Roman" w:hAnsi="Times New Roman" w:cs="Times New Roman"/>
        </w:rPr>
        <w:t xml:space="preserve">heavily dependent on external </w:t>
      </w:r>
      <w:r w:rsidRPr="00EE7E38">
        <w:rPr>
          <w:rFonts w:ascii="Times New Roman" w:hAnsi="Times New Roman" w:cs="Times New Roman"/>
        </w:rPr>
        <w:t>support</w:t>
      </w:r>
      <w:r w:rsidR="00F70A8E" w:rsidRPr="00EE7E38">
        <w:rPr>
          <w:rFonts w:ascii="Times New Roman" w:hAnsi="Times New Roman" w:cs="Times New Roman"/>
        </w:rPr>
        <w:t xml:space="preserve"> (</w:t>
      </w:r>
      <w:r w:rsidR="00E06356">
        <w:rPr>
          <w:rFonts w:ascii="Times New Roman" w:hAnsi="Times New Roman" w:cs="Times New Roman"/>
        </w:rPr>
        <w:t>primarily from the</w:t>
      </w:r>
      <w:r w:rsidR="00F70A8E" w:rsidRPr="00EE7E38">
        <w:rPr>
          <w:rFonts w:ascii="Times New Roman" w:hAnsi="Times New Roman" w:cs="Times New Roman"/>
        </w:rPr>
        <w:t xml:space="preserve"> Global Fund) in financing key TB control activities, including </w:t>
      </w:r>
      <w:r w:rsidRPr="00EE7E38">
        <w:rPr>
          <w:rFonts w:ascii="Times New Roman" w:hAnsi="Times New Roman" w:cs="Times New Roman"/>
        </w:rPr>
        <w:t xml:space="preserve">procurement of drugs and </w:t>
      </w:r>
      <w:r w:rsidR="00F70A8E" w:rsidRPr="00EE7E38">
        <w:rPr>
          <w:rFonts w:ascii="Times New Roman" w:hAnsi="Times New Roman" w:cs="Times New Roman"/>
        </w:rPr>
        <w:t xml:space="preserve">laboratory equipment and </w:t>
      </w:r>
      <w:r w:rsidRPr="00EE7E38">
        <w:rPr>
          <w:rFonts w:ascii="Times New Roman" w:hAnsi="Times New Roman" w:cs="Times New Roman"/>
        </w:rPr>
        <w:t xml:space="preserve">supplies and adherence </w:t>
      </w:r>
      <w:r w:rsidR="00F70A8E" w:rsidRPr="00EE7E38">
        <w:rPr>
          <w:rFonts w:ascii="Times New Roman" w:hAnsi="Times New Roman" w:cs="Times New Roman"/>
        </w:rPr>
        <w:t xml:space="preserve">support, as well as in supporting essential NTP functions such as training and supervision. In view of the fact that external funding support is decreasing with time, there is a stringent need to ensure a substantial and rapid increase in the Government financing of these components, especially </w:t>
      </w:r>
      <w:r w:rsidRPr="00EE7E38">
        <w:rPr>
          <w:rFonts w:ascii="Times New Roman" w:hAnsi="Times New Roman" w:cs="Times New Roman"/>
        </w:rPr>
        <w:t xml:space="preserve">those related to </w:t>
      </w:r>
      <w:r w:rsidR="00F70A8E" w:rsidRPr="00EE7E38">
        <w:rPr>
          <w:rFonts w:ascii="Times New Roman" w:hAnsi="Times New Roman" w:cs="Times New Roman"/>
        </w:rPr>
        <w:t>complex and costly DR-TB management interventions.</w:t>
      </w:r>
    </w:p>
    <w:p w14:paraId="27D79F89" w14:textId="77777777" w:rsidR="00C13113" w:rsidRPr="00EE7E38" w:rsidRDefault="00F70A8E"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 more detailed </w:t>
      </w:r>
      <w:r w:rsidR="00970C82" w:rsidRPr="00EE7E38">
        <w:rPr>
          <w:rFonts w:ascii="Times New Roman" w:hAnsi="Times New Roman" w:cs="Times New Roman"/>
        </w:rPr>
        <w:t>description</w:t>
      </w:r>
      <w:r w:rsidRPr="00EE7E38">
        <w:rPr>
          <w:rFonts w:ascii="Times New Roman" w:hAnsi="Times New Roman" w:cs="Times New Roman"/>
        </w:rPr>
        <w:t xml:space="preserve"> of problems and gaps is presented under each </w:t>
      </w:r>
      <w:r w:rsidR="00970C82" w:rsidRPr="00EE7E38">
        <w:rPr>
          <w:rFonts w:ascii="Times New Roman" w:hAnsi="Times New Roman" w:cs="Times New Roman"/>
        </w:rPr>
        <w:t>NSP O</w:t>
      </w:r>
      <w:r w:rsidRPr="00EE7E38">
        <w:rPr>
          <w:rFonts w:ascii="Times New Roman" w:hAnsi="Times New Roman" w:cs="Times New Roman"/>
        </w:rPr>
        <w:t xml:space="preserve">bjective below. </w:t>
      </w:r>
    </w:p>
    <w:p w14:paraId="16100C69" w14:textId="77777777" w:rsidR="00540B31" w:rsidRPr="00EE7E38" w:rsidRDefault="0071773E">
      <w:pPr>
        <w:pStyle w:val="Heading1"/>
        <w:keepNext w:val="0"/>
        <w:keepLines w:val="0"/>
        <w:widowControl w:val="0"/>
        <w:numPr>
          <w:ilvl w:val="0"/>
          <w:numId w:val="1"/>
        </w:numPr>
        <w:rPr>
          <w:rFonts w:ascii="Times New Roman" w:hAnsi="Times New Roman" w:cs="Times New Roman"/>
        </w:rPr>
      </w:pPr>
      <w:bookmarkStart w:id="13" w:name="_Toc411586415"/>
      <w:bookmarkStart w:id="14" w:name="_Toc517633166"/>
      <w:r w:rsidRPr="00EE7E38">
        <w:rPr>
          <w:rFonts w:ascii="Times New Roman" w:hAnsi="Times New Roman" w:cs="Times New Roman"/>
        </w:rPr>
        <w:t xml:space="preserve">Goal, </w:t>
      </w:r>
      <w:r w:rsidR="00900FC3" w:rsidRPr="00EE7E38">
        <w:rPr>
          <w:rFonts w:ascii="Times New Roman" w:hAnsi="Times New Roman" w:cs="Times New Roman"/>
        </w:rPr>
        <w:t xml:space="preserve">Targets, </w:t>
      </w:r>
      <w:r w:rsidRPr="00EE7E38">
        <w:rPr>
          <w:rFonts w:ascii="Times New Roman" w:hAnsi="Times New Roman" w:cs="Times New Roman"/>
        </w:rPr>
        <w:t>Principles</w:t>
      </w:r>
      <w:r w:rsidR="00900FC3" w:rsidRPr="00EE7E38">
        <w:rPr>
          <w:rFonts w:ascii="Times New Roman" w:hAnsi="Times New Roman" w:cs="Times New Roman"/>
        </w:rPr>
        <w:t xml:space="preserve"> and </w:t>
      </w:r>
      <w:r w:rsidRPr="00EE7E38">
        <w:rPr>
          <w:rFonts w:ascii="Times New Roman" w:hAnsi="Times New Roman" w:cs="Times New Roman"/>
        </w:rPr>
        <w:t>Objectives</w:t>
      </w:r>
      <w:bookmarkEnd w:id="13"/>
      <w:bookmarkEnd w:id="14"/>
    </w:p>
    <w:p w14:paraId="00B8D01F" w14:textId="77777777" w:rsidR="002355B2" w:rsidRPr="00EE7E38" w:rsidRDefault="002355B2" w:rsidP="00835F94">
      <w:pPr>
        <w:widowControl w:val="0"/>
        <w:spacing w:before="120" w:after="120" w:line="240" w:lineRule="auto"/>
        <w:jc w:val="both"/>
        <w:rPr>
          <w:rFonts w:ascii="Times New Roman" w:hAnsi="Times New Roman" w:cs="Times New Roman"/>
          <w:b/>
          <w:bCs/>
          <w:iCs/>
          <w:sz w:val="24"/>
          <w:szCs w:val="24"/>
        </w:rPr>
      </w:pPr>
      <w:r w:rsidRPr="00EE7E38">
        <w:rPr>
          <w:rFonts w:ascii="Times New Roman" w:hAnsi="Times New Roman" w:cs="Times New Roman"/>
          <w:b/>
          <w:bCs/>
          <w:iCs/>
          <w:sz w:val="24"/>
          <w:szCs w:val="24"/>
        </w:rPr>
        <w:t>Goal</w:t>
      </w:r>
    </w:p>
    <w:p w14:paraId="4D14DCAC" w14:textId="11674115" w:rsidR="002355B2" w:rsidRPr="00EE7E38" w:rsidRDefault="002355B2" w:rsidP="00835F94">
      <w:pPr>
        <w:widowControl w:val="0"/>
        <w:spacing w:before="120" w:after="120" w:line="240" w:lineRule="auto"/>
        <w:jc w:val="both"/>
        <w:rPr>
          <w:rFonts w:ascii="Times New Roman" w:hAnsi="Times New Roman" w:cs="Times New Roman"/>
          <w:b/>
          <w:i/>
        </w:rPr>
      </w:pPr>
      <w:r w:rsidRPr="00EE7E38">
        <w:rPr>
          <w:rFonts w:ascii="Times New Roman" w:hAnsi="Times New Roman" w:cs="Times New Roman"/>
          <w:bCs/>
          <w:iCs/>
        </w:rPr>
        <w:t>The overall</w:t>
      </w:r>
      <w:r w:rsidRPr="00EE7E38">
        <w:rPr>
          <w:rFonts w:ascii="Times New Roman" w:hAnsi="Times New Roman" w:cs="Times New Roman"/>
          <w:b/>
          <w:bCs/>
          <w:i/>
          <w:iCs/>
        </w:rPr>
        <w:t xml:space="preserve"> Goal </w:t>
      </w:r>
      <w:r w:rsidRPr="00EE7E38">
        <w:rPr>
          <w:rFonts w:ascii="Times New Roman" w:hAnsi="Times New Roman" w:cs="Times New Roman"/>
          <w:bCs/>
          <w:iCs/>
        </w:rPr>
        <w:t>of TB control in Georgia is</w:t>
      </w:r>
      <w:r w:rsidRPr="00EE7E38">
        <w:rPr>
          <w:rFonts w:ascii="Times New Roman" w:hAnsi="Times New Roman" w:cs="Times New Roman"/>
          <w:b/>
          <w:bCs/>
          <w:i/>
          <w:iCs/>
        </w:rPr>
        <w:t xml:space="preserve"> t</w:t>
      </w:r>
      <w:r w:rsidRPr="00EE7E38">
        <w:rPr>
          <w:rFonts w:ascii="Times New Roman" w:hAnsi="Times New Roman" w:cs="Times New Roman"/>
          <w:b/>
          <w:i/>
        </w:rPr>
        <w:t xml:space="preserve">o decrease the burden of </w:t>
      </w:r>
      <w:r w:rsidR="00E34EAE">
        <w:rPr>
          <w:rFonts w:ascii="Times New Roman" w:hAnsi="Times New Roman" w:cs="Times New Roman"/>
          <w:b/>
          <w:i/>
        </w:rPr>
        <w:t>TB</w:t>
      </w:r>
      <w:r w:rsidR="00E34EAE" w:rsidRPr="00EE7E38">
        <w:rPr>
          <w:rFonts w:ascii="Times New Roman" w:hAnsi="Times New Roman" w:cs="Times New Roman"/>
          <w:b/>
          <w:i/>
        </w:rPr>
        <w:t xml:space="preserve"> </w:t>
      </w:r>
      <w:r w:rsidRPr="00EE7E38">
        <w:rPr>
          <w:rFonts w:ascii="Times New Roman" w:hAnsi="Times New Roman" w:cs="Times New Roman"/>
          <w:b/>
          <w:i/>
        </w:rPr>
        <w:t>and its impact over the overall social and economic development in the country, by ensuring universal access to timely and quality diagnosis and treatment of all forms of TB, which will decrease illness and deaths and prevent further development of drug resistance.</w:t>
      </w:r>
    </w:p>
    <w:p w14:paraId="3462A128" w14:textId="77777777" w:rsidR="002355B2" w:rsidRPr="00EE7E38" w:rsidRDefault="002355B2" w:rsidP="00835F94">
      <w:pPr>
        <w:widowControl w:val="0"/>
        <w:spacing w:before="120" w:after="120" w:line="240" w:lineRule="auto"/>
        <w:jc w:val="both"/>
        <w:rPr>
          <w:rFonts w:ascii="Times New Roman" w:hAnsi="Times New Roman" w:cs="Times New Roman"/>
          <w:b/>
          <w:sz w:val="24"/>
          <w:szCs w:val="24"/>
        </w:rPr>
      </w:pPr>
      <w:r w:rsidRPr="00EE7E38">
        <w:rPr>
          <w:rFonts w:ascii="Times New Roman" w:hAnsi="Times New Roman" w:cs="Times New Roman"/>
          <w:b/>
          <w:sz w:val="24"/>
          <w:szCs w:val="24"/>
        </w:rPr>
        <w:t>Targets</w:t>
      </w:r>
    </w:p>
    <w:p w14:paraId="46CD4556" w14:textId="1411B906" w:rsidR="002355B2" w:rsidRPr="00EE7E38" w:rsidRDefault="002355B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w:t>
      </w:r>
      <w:r w:rsidRPr="00EE7E38">
        <w:rPr>
          <w:rFonts w:ascii="Times New Roman" w:hAnsi="Times New Roman" w:cs="Times New Roman"/>
          <w:b/>
          <w:bCs/>
          <w:i/>
          <w:iCs/>
        </w:rPr>
        <w:t>targets</w:t>
      </w:r>
      <w:r w:rsidRPr="00EE7E38">
        <w:rPr>
          <w:rFonts w:ascii="Times New Roman" w:hAnsi="Times New Roman" w:cs="Times New Roman"/>
        </w:rPr>
        <w:t xml:space="preserve"> reflect the intended progress in the improvement of key TB impact and outcome indicators. These targets have been set in accordance to the national strategic development initiatives and are in line with the up-to-date international TB strategies, including the global targets in the draft </w:t>
      </w:r>
      <w:r w:rsidRPr="00EE7E38">
        <w:rPr>
          <w:rFonts w:ascii="Times New Roman" w:hAnsi="Times New Roman" w:cs="Times New Roman"/>
          <w:i/>
        </w:rPr>
        <w:t>Post-2015 Global Tuberculosis Strategy and Framework</w:t>
      </w:r>
      <w:r w:rsidRPr="00EE7E38">
        <w:rPr>
          <w:rFonts w:ascii="Times New Roman" w:hAnsi="Times New Roman" w:cs="Times New Roman"/>
        </w:rPr>
        <w:t xml:space="preserve">. The targets are set by the end of the </w:t>
      </w:r>
      <w:r w:rsidR="00756463">
        <w:rPr>
          <w:rFonts w:ascii="Times New Roman" w:hAnsi="Times New Roman" w:cs="Times New Roman"/>
        </w:rPr>
        <w:t>four</w:t>
      </w:r>
      <w:r w:rsidRPr="00EE7E38">
        <w:rPr>
          <w:rFonts w:ascii="Times New Roman" w:hAnsi="Times New Roman" w:cs="Times New Roman"/>
        </w:rPr>
        <w:t>-year period cover</w:t>
      </w:r>
      <w:r w:rsidR="00756463">
        <w:rPr>
          <w:rFonts w:ascii="Times New Roman" w:hAnsi="Times New Roman" w:cs="Times New Roman"/>
        </w:rPr>
        <w:t>ed by the Plan, compared to 2016</w:t>
      </w:r>
      <w:r w:rsidRPr="00EE7E38">
        <w:rPr>
          <w:rFonts w:ascii="Times New Roman" w:hAnsi="Times New Roman" w:cs="Times New Roman"/>
        </w:rPr>
        <w:t xml:space="preserve"> levels.</w:t>
      </w:r>
    </w:p>
    <w:p w14:paraId="4BE9CADC" w14:textId="749E8AF2" w:rsidR="002355B2" w:rsidRPr="00EE7E38" w:rsidRDefault="002355B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targets of TB control in Georgia include, </w:t>
      </w:r>
      <w:r w:rsidRPr="00EE7E38">
        <w:rPr>
          <w:rFonts w:ascii="Times New Roman" w:hAnsi="Times New Roman" w:cs="Times New Roman"/>
          <w:u w:val="single"/>
        </w:rPr>
        <w:t>by year 202</w:t>
      </w:r>
      <w:r w:rsidR="006F18E0" w:rsidRPr="00EE7E38">
        <w:rPr>
          <w:rFonts w:ascii="Times New Roman" w:hAnsi="Times New Roman" w:cs="Times New Roman"/>
          <w:u w:val="single"/>
        </w:rPr>
        <w:t>2</w:t>
      </w:r>
      <w:r w:rsidR="00E34EAE">
        <w:rPr>
          <w:rFonts w:ascii="Times New Roman" w:hAnsi="Times New Roman" w:cs="Times New Roman"/>
          <w:u w:val="single"/>
        </w:rPr>
        <w:t>:</w:t>
      </w:r>
    </w:p>
    <w:p w14:paraId="631832DC" w14:textId="77777777" w:rsidR="00540B31" w:rsidRPr="00EE7E38" w:rsidRDefault="002355B2">
      <w:pPr>
        <w:widowControl w:val="0"/>
        <w:numPr>
          <w:ilvl w:val="0"/>
          <w:numId w:val="4"/>
        </w:numPr>
        <w:spacing w:before="60" w:after="60" w:line="240" w:lineRule="auto"/>
        <w:ind w:hanging="357"/>
        <w:jc w:val="both"/>
        <w:rPr>
          <w:rFonts w:ascii="Times New Roman" w:hAnsi="Times New Roman" w:cs="Times New Roman"/>
        </w:rPr>
      </w:pPr>
      <w:r w:rsidRPr="00EE7E38">
        <w:rPr>
          <w:rFonts w:ascii="Times New Roman" w:hAnsi="Times New Roman" w:cs="Times New Roman"/>
        </w:rPr>
        <w:t xml:space="preserve">TB mortality rate </w:t>
      </w:r>
      <w:r w:rsidR="007676E3" w:rsidRPr="00EE7E38">
        <w:rPr>
          <w:rFonts w:ascii="Times New Roman" w:hAnsi="Times New Roman" w:cs="Times New Roman"/>
        </w:rPr>
        <w:t xml:space="preserve">is reduced </w:t>
      </w:r>
      <w:r w:rsidRPr="00EE7E38">
        <w:rPr>
          <w:rFonts w:ascii="Times New Roman" w:hAnsi="Times New Roman" w:cs="Times New Roman"/>
        </w:rPr>
        <w:t>by at least 25%</w:t>
      </w:r>
      <w:r w:rsidR="005766C9" w:rsidRPr="00EE7E38">
        <w:rPr>
          <w:rFonts w:ascii="Times New Roman" w:hAnsi="Times New Roman" w:cs="Times New Roman"/>
        </w:rPr>
        <w:t>;</w:t>
      </w:r>
    </w:p>
    <w:p w14:paraId="32641311" w14:textId="77777777" w:rsidR="00540B31" w:rsidRPr="00EE7E38" w:rsidRDefault="002355B2">
      <w:pPr>
        <w:widowControl w:val="0"/>
        <w:numPr>
          <w:ilvl w:val="0"/>
          <w:numId w:val="4"/>
        </w:numPr>
        <w:spacing w:before="60" w:after="60" w:line="240" w:lineRule="auto"/>
        <w:ind w:hanging="357"/>
        <w:jc w:val="both"/>
        <w:rPr>
          <w:rFonts w:ascii="Times New Roman" w:hAnsi="Times New Roman" w:cs="Times New Roman"/>
        </w:rPr>
      </w:pPr>
      <w:r w:rsidRPr="00EE7E38">
        <w:rPr>
          <w:rFonts w:ascii="Times New Roman" w:hAnsi="Times New Roman" w:cs="Times New Roman"/>
        </w:rPr>
        <w:t xml:space="preserve">TB incidence rate </w:t>
      </w:r>
      <w:r w:rsidR="007676E3" w:rsidRPr="00EE7E38">
        <w:rPr>
          <w:rFonts w:ascii="Times New Roman" w:hAnsi="Times New Roman" w:cs="Times New Roman"/>
        </w:rPr>
        <w:t xml:space="preserve">is reduced </w:t>
      </w:r>
      <w:r w:rsidRPr="00EE7E38">
        <w:rPr>
          <w:rFonts w:ascii="Times New Roman" w:hAnsi="Times New Roman" w:cs="Times New Roman"/>
        </w:rPr>
        <w:t>by at least 15%</w:t>
      </w:r>
      <w:r w:rsidR="005766C9" w:rsidRPr="00EE7E38">
        <w:rPr>
          <w:rFonts w:ascii="Times New Roman" w:hAnsi="Times New Roman" w:cs="Times New Roman"/>
        </w:rPr>
        <w:t>;</w:t>
      </w:r>
    </w:p>
    <w:p w14:paraId="443C314B" w14:textId="3A1C0E51" w:rsidR="00540B31" w:rsidRPr="00EE7E38" w:rsidRDefault="007676E3">
      <w:pPr>
        <w:widowControl w:val="0"/>
        <w:numPr>
          <w:ilvl w:val="0"/>
          <w:numId w:val="4"/>
        </w:numPr>
        <w:spacing w:before="60" w:after="60" w:line="240" w:lineRule="auto"/>
        <w:ind w:hanging="357"/>
        <w:jc w:val="both"/>
        <w:rPr>
          <w:rFonts w:ascii="Times New Roman" w:hAnsi="Times New Roman" w:cs="Times New Roman"/>
        </w:rPr>
      </w:pPr>
      <w:r w:rsidRPr="00EE7E38">
        <w:rPr>
          <w:rFonts w:ascii="Times New Roman" w:hAnsi="Times New Roman" w:cs="Times New Roman"/>
        </w:rPr>
        <w:t>T</w:t>
      </w:r>
      <w:r w:rsidR="002355B2" w:rsidRPr="00EE7E38">
        <w:rPr>
          <w:rFonts w:ascii="Times New Roman" w:hAnsi="Times New Roman" w:cs="Times New Roman"/>
        </w:rPr>
        <w:t xml:space="preserve">he proportion of MDR-TB </w:t>
      </w:r>
      <w:r w:rsidR="00BD2744">
        <w:rPr>
          <w:rFonts w:ascii="Times New Roman" w:hAnsi="Times New Roman" w:cs="Times New Roman"/>
        </w:rPr>
        <w:t xml:space="preserve">is less than 12% among new cases and less than 35% among previously-treated cases; </w:t>
      </w:r>
    </w:p>
    <w:p w14:paraId="543BD3FA" w14:textId="77777777" w:rsidR="00540B31" w:rsidRPr="00EE7E38" w:rsidRDefault="007676E3">
      <w:pPr>
        <w:widowControl w:val="0"/>
        <w:numPr>
          <w:ilvl w:val="0"/>
          <w:numId w:val="4"/>
        </w:numPr>
        <w:spacing w:before="60" w:after="60" w:line="240" w:lineRule="auto"/>
        <w:ind w:hanging="357"/>
        <w:jc w:val="both"/>
        <w:rPr>
          <w:rFonts w:ascii="Times New Roman" w:hAnsi="Times New Roman" w:cs="Times New Roman"/>
        </w:rPr>
      </w:pPr>
      <w:r w:rsidRPr="00EE7E38">
        <w:rPr>
          <w:rFonts w:ascii="Times New Roman" w:hAnsi="Times New Roman" w:cs="Times New Roman"/>
        </w:rPr>
        <w:t>U</w:t>
      </w:r>
      <w:r w:rsidR="002355B2" w:rsidRPr="00EE7E38">
        <w:rPr>
          <w:rFonts w:ascii="Times New Roman" w:hAnsi="Times New Roman" w:cs="Times New Roman"/>
        </w:rPr>
        <w:t xml:space="preserve">niversal access to diagnosis and treatment of all forms of TB, including M/XDR-TB, </w:t>
      </w:r>
      <w:r w:rsidRPr="00EE7E38">
        <w:rPr>
          <w:rFonts w:ascii="Times New Roman" w:hAnsi="Times New Roman" w:cs="Times New Roman"/>
        </w:rPr>
        <w:t xml:space="preserve">is ensured, </w:t>
      </w:r>
      <w:r w:rsidR="002355B2" w:rsidRPr="00EE7E38">
        <w:rPr>
          <w:rFonts w:ascii="Times New Roman" w:hAnsi="Times New Roman" w:cs="Times New Roman"/>
        </w:rPr>
        <w:t>so that:</w:t>
      </w:r>
    </w:p>
    <w:p w14:paraId="163FED79" w14:textId="77777777" w:rsidR="00540B31" w:rsidRPr="00EE7E38" w:rsidRDefault="002355B2">
      <w:pPr>
        <w:widowControl w:val="0"/>
        <w:numPr>
          <w:ilvl w:val="0"/>
          <w:numId w:val="3"/>
        </w:numPr>
        <w:spacing w:before="60" w:after="60" w:line="240" w:lineRule="auto"/>
        <w:ind w:left="1223" w:hanging="357"/>
        <w:jc w:val="both"/>
        <w:rPr>
          <w:rFonts w:ascii="Times New Roman" w:hAnsi="Times New Roman" w:cs="Times New Roman"/>
        </w:rPr>
      </w:pPr>
      <w:r w:rsidRPr="00EE7E38">
        <w:rPr>
          <w:rFonts w:ascii="Times New Roman" w:hAnsi="Times New Roman" w:cs="Times New Roman"/>
        </w:rPr>
        <w:t>At least 90% of estimated MDR-TB cases are diagnosed</w:t>
      </w:r>
      <w:r w:rsidR="005766C9" w:rsidRPr="00EE7E38">
        <w:rPr>
          <w:rFonts w:ascii="Times New Roman" w:hAnsi="Times New Roman" w:cs="Times New Roman"/>
        </w:rPr>
        <w:t>;</w:t>
      </w:r>
      <w:r w:rsidRPr="00EE7E38">
        <w:rPr>
          <w:rFonts w:ascii="Times New Roman" w:hAnsi="Times New Roman" w:cs="Times New Roman"/>
        </w:rPr>
        <w:t xml:space="preserve"> and</w:t>
      </w:r>
    </w:p>
    <w:p w14:paraId="2D85F1A8" w14:textId="77777777" w:rsidR="00540B31" w:rsidRPr="00EE7E38" w:rsidRDefault="002355B2">
      <w:pPr>
        <w:widowControl w:val="0"/>
        <w:numPr>
          <w:ilvl w:val="0"/>
          <w:numId w:val="3"/>
        </w:numPr>
        <w:spacing w:before="60" w:after="60" w:line="240" w:lineRule="auto"/>
        <w:ind w:left="1223" w:hanging="357"/>
        <w:jc w:val="both"/>
        <w:rPr>
          <w:rFonts w:ascii="Times New Roman" w:hAnsi="Times New Roman" w:cs="Times New Roman"/>
        </w:rPr>
      </w:pPr>
      <w:r w:rsidRPr="00EE7E38">
        <w:rPr>
          <w:rFonts w:ascii="Times New Roman" w:hAnsi="Times New Roman" w:cs="Times New Roman"/>
        </w:rPr>
        <w:t>At least 7</w:t>
      </w:r>
      <w:r w:rsidR="004030DD" w:rsidRPr="00EE7E38">
        <w:rPr>
          <w:rFonts w:ascii="Times New Roman" w:hAnsi="Times New Roman" w:cs="Times New Roman"/>
        </w:rPr>
        <w:t>5</w:t>
      </w:r>
      <w:r w:rsidRPr="00EE7E38">
        <w:rPr>
          <w:rFonts w:ascii="Times New Roman" w:hAnsi="Times New Roman" w:cs="Times New Roman"/>
        </w:rPr>
        <w:t>% of all notified MDR-TB cases are successfully treated.</w:t>
      </w:r>
    </w:p>
    <w:p w14:paraId="06948470" w14:textId="77777777" w:rsidR="002355B2" w:rsidRPr="00EE7E38" w:rsidRDefault="002355B2" w:rsidP="00835F94">
      <w:pPr>
        <w:widowControl w:val="0"/>
        <w:spacing w:before="120" w:after="120" w:line="240" w:lineRule="auto"/>
        <w:jc w:val="both"/>
        <w:rPr>
          <w:rFonts w:ascii="Times New Roman" w:hAnsi="Times New Roman" w:cs="Times New Roman"/>
          <w:b/>
          <w:sz w:val="24"/>
          <w:szCs w:val="24"/>
        </w:rPr>
      </w:pPr>
      <w:r w:rsidRPr="00EE7E38">
        <w:rPr>
          <w:rFonts w:ascii="Times New Roman" w:hAnsi="Times New Roman" w:cs="Times New Roman"/>
          <w:b/>
          <w:sz w:val="24"/>
          <w:szCs w:val="24"/>
        </w:rPr>
        <w:t>Principles</w:t>
      </w:r>
    </w:p>
    <w:p w14:paraId="0AA97E54" w14:textId="72C515F9" w:rsidR="002355B2" w:rsidRPr="00EE7E38" w:rsidRDefault="002355B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Attaining the overarching national Goal for TB control will improve the population’s health and will contribute to the overall socio-economic development and wellbeing of the people of Georgia. In order to </w:t>
      </w:r>
      <w:r w:rsidR="00D23064">
        <w:rPr>
          <w:rFonts w:ascii="Times New Roman" w:hAnsi="Times New Roman" w:cs="Times New Roman"/>
        </w:rPr>
        <w:t>meet these targets</w:t>
      </w:r>
      <w:r w:rsidRPr="00EE7E38">
        <w:rPr>
          <w:rFonts w:ascii="Times New Roman" w:hAnsi="Times New Roman" w:cs="Times New Roman"/>
        </w:rPr>
        <w:t xml:space="preserve">, NSP implementation will rely on the following </w:t>
      </w:r>
      <w:r w:rsidRPr="00EE7E38">
        <w:rPr>
          <w:rFonts w:ascii="Times New Roman" w:hAnsi="Times New Roman" w:cs="Times New Roman"/>
          <w:b/>
          <w:i/>
        </w:rPr>
        <w:t>principles</w:t>
      </w:r>
      <w:r w:rsidRPr="00EE7E38">
        <w:rPr>
          <w:rFonts w:ascii="Times New Roman" w:hAnsi="Times New Roman" w:cs="Times New Roman"/>
        </w:rPr>
        <w:t>:</w:t>
      </w:r>
    </w:p>
    <w:p w14:paraId="2360147D" w14:textId="77777777" w:rsidR="00540B31" w:rsidRPr="00EE7E38" w:rsidRDefault="002355B2">
      <w:pPr>
        <w:widowControl w:val="0"/>
        <w:numPr>
          <w:ilvl w:val="0"/>
          <w:numId w:val="2"/>
        </w:numPr>
        <w:spacing w:before="60" w:after="60" w:line="240" w:lineRule="auto"/>
        <w:ind w:left="714" w:hanging="357"/>
        <w:jc w:val="both"/>
        <w:rPr>
          <w:rFonts w:ascii="Times New Roman" w:hAnsi="Times New Roman" w:cs="Times New Roman"/>
        </w:rPr>
      </w:pPr>
      <w:r w:rsidRPr="00EE7E38">
        <w:rPr>
          <w:rFonts w:ascii="Times New Roman" w:hAnsi="Times New Roman" w:cs="Times New Roman"/>
        </w:rPr>
        <w:t>Country ownership and increased political commitment to effective TB control;</w:t>
      </w:r>
    </w:p>
    <w:p w14:paraId="37FECD30" w14:textId="77777777" w:rsidR="00540B31" w:rsidRPr="00EE7E38" w:rsidRDefault="002355B2">
      <w:pPr>
        <w:widowControl w:val="0"/>
        <w:numPr>
          <w:ilvl w:val="0"/>
          <w:numId w:val="2"/>
        </w:numPr>
        <w:spacing w:before="60" w:after="60" w:line="240" w:lineRule="auto"/>
        <w:ind w:left="714" w:hanging="357"/>
        <w:jc w:val="both"/>
        <w:rPr>
          <w:rFonts w:ascii="Times New Roman" w:hAnsi="Times New Roman" w:cs="Times New Roman"/>
        </w:rPr>
      </w:pPr>
      <w:r w:rsidRPr="00EE7E38">
        <w:rPr>
          <w:rFonts w:ascii="Times New Roman" w:hAnsi="Times New Roman" w:cs="Times New Roman"/>
        </w:rPr>
        <w:t>Alignment with the overall national development policies and health sector strategies and plans;</w:t>
      </w:r>
    </w:p>
    <w:p w14:paraId="451272BE" w14:textId="77777777" w:rsidR="00540B31" w:rsidRPr="00EE7E38" w:rsidRDefault="002355B2">
      <w:pPr>
        <w:widowControl w:val="0"/>
        <w:numPr>
          <w:ilvl w:val="0"/>
          <w:numId w:val="2"/>
        </w:numPr>
        <w:spacing w:before="60" w:after="60" w:line="240" w:lineRule="auto"/>
        <w:ind w:left="714" w:hanging="357"/>
        <w:jc w:val="both"/>
        <w:rPr>
          <w:rFonts w:ascii="Times New Roman" w:hAnsi="Times New Roman" w:cs="Times New Roman"/>
        </w:rPr>
      </w:pPr>
      <w:r w:rsidRPr="00EE7E38">
        <w:rPr>
          <w:rFonts w:ascii="Times New Roman" w:hAnsi="Times New Roman" w:cs="Times New Roman"/>
        </w:rPr>
        <w:t>Multisectoral cooperation among governmental partners and involvement of non-state actors;</w:t>
      </w:r>
    </w:p>
    <w:p w14:paraId="6FC8C7B9" w14:textId="77777777" w:rsidR="00540B31" w:rsidRPr="00EE7E38" w:rsidRDefault="002355B2">
      <w:pPr>
        <w:widowControl w:val="0"/>
        <w:numPr>
          <w:ilvl w:val="0"/>
          <w:numId w:val="2"/>
        </w:numPr>
        <w:spacing w:before="60" w:after="60" w:line="240" w:lineRule="auto"/>
        <w:ind w:left="714" w:hanging="357"/>
        <w:jc w:val="both"/>
        <w:rPr>
          <w:rFonts w:ascii="Times New Roman" w:hAnsi="Times New Roman" w:cs="Times New Roman"/>
        </w:rPr>
      </w:pPr>
      <w:r w:rsidRPr="00EE7E38">
        <w:rPr>
          <w:rFonts w:ascii="Times New Roman" w:hAnsi="Times New Roman" w:cs="Times New Roman"/>
        </w:rPr>
        <w:t>Protection and promotion of human rights, ethics and equity;</w:t>
      </w:r>
    </w:p>
    <w:p w14:paraId="04A30935" w14:textId="77777777" w:rsidR="00540B31" w:rsidRPr="00EE7E38" w:rsidRDefault="002355B2">
      <w:pPr>
        <w:widowControl w:val="0"/>
        <w:numPr>
          <w:ilvl w:val="0"/>
          <w:numId w:val="2"/>
        </w:numPr>
        <w:spacing w:before="60" w:after="60" w:line="240" w:lineRule="auto"/>
        <w:ind w:left="714" w:hanging="357"/>
        <w:jc w:val="both"/>
        <w:rPr>
          <w:rFonts w:ascii="Times New Roman" w:hAnsi="Times New Roman" w:cs="Times New Roman"/>
        </w:rPr>
      </w:pPr>
      <w:r w:rsidRPr="00EE7E38">
        <w:rPr>
          <w:rFonts w:ascii="Times New Roman" w:hAnsi="Times New Roman" w:cs="Times New Roman"/>
        </w:rPr>
        <w:t>Compliance with the up-to-date international evidence-based strategies and guidance (</w:t>
      </w:r>
      <w:r w:rsidRPr="00EE7E38">
        <w:rPr>
          <w:rFonts w:ascii="Times New Roman" w:hAnsi="Times New Roman" w:cs="Times New Roman"/>
          <w:i/>
        </w:rPr>
        <w:t>Post-2015 Global TB Strategy and Framework</w:t>
      </w:r>
      <w:r w:rsidRPr="00EE7E38">
        <w:rPr>
          <w:rFonts w:ascii="Times New Roman" w:hAnsi="Times New Roman" w:cs="Times New Roman"/>
        </w:rPr>
        <w:t xml:space="preserve">, </w:t>
      </w:r>
      <w:r w:rsidRPr="00EE7E38">
        <w:rPr>
          <w:rFonts w:ascii="Times New Roman" w:hAnsi="Times New Roman" w:cs="Times New Roman"/>
          <w:i/>
        </w:rPr>
        <w:t>International Standards for Tuberculosis Care</w:t>
      </w:r>
      <w:r w:rsidRPr="00EE7E38">
        <w:rPr>
          <w:rFonts w:ascii="Times New Roman" w:hAnsi="Times New Roman" w:cs="Times New Roman"/>
        </w:rPr>
        <w:t>, and the latest WHO guidelines and tools).</w:t>
      </w:r>
    </w:p>
    <w:p w14:paraId="7DA4F99C" w14:textId="77777777" w:rsidR="002355B2" w:rsidRPr="00EE7E38" w:rsidRDefault="002355B2" w:rsidP="00835F94">
      <w:pPr>
        <w:widowControl w:val="0"/>
        <w:spacing w:before="120" w:after="120" w:line="240" w:lineRule="auto"/>
        <w:jc w:val="both"/>
        <w:rPr>
          <w:rFonts w:ascii="Times New Roman" w:hAnsi="Times New Roman" w:cs="Times New Roman"/>
          <w:b/>
          <w:sz w:val="24"/>
          <w:szCs w:val="24"/>
        </w:rPr>
      </w:pPr>
      <w:r w:rsidRPr="00EE7E38">
        <w:rPr>
          <w:rFonts w:ascii="Times New Roman" w:hAnsi="Times New Roman" w:cs="Times New Roman"/>
          <w:b/>
          <w:sz w:val="24"/>
          <w:szCs w:val="24"/>
        </w:rPr>
        <w:t>Objectives</w:t>
      </w:r>
    </w:p>
    <w:p w14:paraId="3D08E130" w14:textId="12AD4660" w:rsidR="002355B2" w:rsidRPr="00EE7E38" w:rsidRDefault="002355B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priority interventions and activities, included in this Plan, are organized around three main </w:t>
      </w:r>
      <w:r w:rsidRPr="00EE7E38">
        <w:rPr>
          <w:rFonts w:ascii="Times New Roman" w:hAnsi="Times New Roman" w:cs="Times New Roman"/>
          <w:b/>
          <w:bCs/>
          <w:i/>
          <w:iCs/>
        </w:rPr>
        <w:t>Objectives</w:t>
      </w:r>
      <w:r w:rsidRPr="00EE7E38">
        <w:rPr>
          <w:rFonts w:ascii="Times New Roman" w:hAnsi="Times New Roman" w:cs="Times New Roman"/>
        </w:rPr>
        <w:t>:</w:t>
      </w:r>
    </w:p>
    <w:p w14:paraId="18B3D0AC" w14:textId="77777777" w:rsidR="00540B31" w:rsidRPr="00EE7E38" w:rsidRDefault="002355B2">
      <w:pPr>
        <w:widowControl w:val="0"/>
        <w:numPr>
          <w:ilvl w:val="0"/>
          <w:numId w:val="17"/>
        </w:numPr>
        <w:spacing w:before="60" w:after="60" w:line="240" w:lineRule="auto"/>
        <w:ind w:hanging="357"/>
        <w:jc w:val="both"/>
        <w:rPr>
          <w:rFonts w:ascii="Times New Roman" w:hAnsi="Times New Roman" w:cs="Times New Roman"/>
        </w:rPr>
      </w:pPr>
      <w:r w:rsidRPr="00EE7E38">
        <w:rPr>
          <w:rFonts w:ascii="Times New Roman" w:hAnsi="Times New Roman" w:cs="Times New Roman"/>
        </w:rPr>
        <w:t>To provide universal access to early and quality diagnosis of all forms of TB including M/XDR-TB;</w:t>
      </w:r>
    </w:p>
    <w:p w14:paraId="45590EFB" w14:textId="77777777" w:rsidR="00540B31" w:rsidRPr="00EE7E38" w:rsidRDefault="002355B2">
      <w:pPr>
        <w:widowControl w:val="0"/>
        <w:numPr>
          <w:ilvl w:val="0"/>
          <w:numId w:val="17"/>
        </w:numPr>
        <w:spacing w:before="60" w:after="60" w:line="240" w:lineRule="auto"/>
        <w:ind w:hanging="357"/>
        <w:jc w:val="both"/>
        <w:rPr>
          <w:rFonts w:ascii="Times New Roman" w:hAnsi="Times New Roman" w:cs="Times New Roman"/>
        </w:rPr>
      </w:pPr>
      <w:r w:rsidRPr="00EE7E38">
        <w:rPr>
          <w:rFonts w:ascii="Times New Roman" w:hAnsi="Times New Roman" w:cs="Times New Roman"/>
        </w:rPr>
        <w:t xml:space="preserve">To provide universal access to quality treatment of all forms of TB including M/XDR-TB with </w:t>
      </w:r>
      <w:r w:rsidRPr="00EE7E38">
        <w:rPr>
          <w:rFonts w:ascii="Times New Roman" w:hAnsi="Times New Roman" w:cs="Times New Roman"/>
        </w:rPr>
        <w:lastRenderedPageBreak/>
        <w:t>appropriate patient support;</w:t>
      </w:r>
    </w:p>
    <w:p w14:paraId="04A08B61" w14:textId="63C4DF09" w:rsidR="00540B31" w:rsidRDefault="002355B2">
      <w:pPr>
        <w:widowControl w:val="0"/>
        <w:numPr>
          <w:ilvl w:val="0"/>
          <w:numId w:val="17"/>
        </w:numPr>
        <w:spacing w:before="60" w:after="60" w:line="240" w:lineRule="auto"/>
        <w:ind w:hanging="357"/>
        <w:jc w:val="both"/>
        <w:rPr>
          <w:rFonts w:ascii="Times New Roman" w:hAnsi="Times New Roman" w:cs="Times New Roman"/>
        </w:rPr>
      </w:pPr>
      <w:r w:rsidRPr="00EE7E38">
        <w:rPr>
          <w:rFonts w:ascii="Times New Roman" w:hAnsi="Times New Roman" w:cs="Times New Roman"/>
        </w:rPr>
        <w:t>To enable supportive environment</w:t>
      </w:r>
      <w:r w:rsidR="005241C1">
        <w:rPr>
          <w:rFonts w:ascii="Times New Roman" w:hAnsi="Times New Roman" w:cs="Times New Roman"/>
        </w:rPr>
        <w:t>s</w:t>
      </w:r>
      <w:r w:rsidRPr="00EE7E38">
        <w:rPr>
          <w:rFonts w:ascii="Times New Roman" w:hAnsi="Times New Roman" w:cs="Times New Roman"/>
        </w:rPr>
        <w:t xml:space="preserve"> and systems for effective TB control.</w:t>
      </w:r>
    </w:p>
    <w:p w14:paraId="5AE3C4DE" w14:textId="77777777" w:rsidR="005241C1" w:rsidRDefault="005241C1" w:rsidP="00B241D0">
      <w:pPr>
        <w:widowControl w:val="0"/>
        <w:spacing w:before="60" w:after="60" w:line="240" w:lineRule="auto"/>
        <w:ind w:left="720"/>
        <w:jc w:val="both"/>
        <w:rPr>
          <w:rFonts w:ascii="Times New Roman" w:hAnsi="Times New Roman" w:cs="Times New Roman"/>
        </w:rPr>
      </w:pPr>
    </w:p>
    <w:p w14:paraId="6F047135" w14:textId="77777777" w:rsidR="005241C1" w:rsidRPr="00EE7E38" w:rsidRDefault="005241C1" w:rsidP="00B241D0">
      <w:pPr>
        <w:widowControl w:val="0"/>
        <w:spacing w:before="60" w:after="60" w:line="240" w:lineRule="auto"/>
        <w:jc w:val="both"/>
        <w:rPr>
          <w:rFonts w:ascii="Times New Roman" w:hAnsi="Times New Roman" w:cs="Times New Roman"/>
        </w:rPr>
      </w:pPr>
    </w:p>
    <w:p w14:paraId="1E0FB3B3" w14:textId="77777777" w:rsidR="00540B31" w:rsidRPr="00EE7E38" w:rsidRDefault="0027400C">
      <w:pPr>
        <w:pStyle w:val="Heading1"/>
        <w:keepNext w:val="0"/>
        <w:keepLines w:val="0"/>
        <w:widowControl w:val="0"/>
        <w:numPr>
          <w:ilvl w:val="0"/>
          <w:numId w:val="1"/>
        </w:numPr>
        <w:spacing w:before="120" w:after="120" w:line="240" w:lineRule="auto"/>
        <w:rPr>
          <w:rFonts w:ascii="Times New Roman" w:hAnsi="Times New Roman" w:cs="Times New Roman"/>
        </w:rPr>
      </w:pPr>
      <w:bookmarkStart w:id="15" w:name="_Toc411586416"/>
      <w:bookmarkStart w:id="16" w:name="_Toc517633167"/>
      <w:r w:rsidRPr="00EE7E38">
        <w:rPr>
          <w:rFonts w:ascii="Times New Roman" w:hAnsi="Times New Roman" w:cs="Times New Roman"/>
        </w:rPr>
        <w:t>Components of the National Strategic Plan</w:t>
      </w:r>
      <w:bookmarkEnd w:id="15"/>
      <w:bookmarkEnd w:id="16"/>
    </w:p>
    <w:p w14:paraId="5B6D9AFD" w14:textId="799E68A2" w:rsidR="00D01F5F" w:rsidRPr="00EE7E38" w:rsidRDefault="00D01F5F" w:rsidP="00835F94">
      <w:pPr>
        <w:widowControl w:val="0"/>
        <w:spacing w:before="120" w:after="120" w:line="240" w:lineRule="auto"/>
        <w:rPr>
          <w:rFonts w:ascii="Times New Roman" w:hAnsi="Times New Roman" w:cs="Times New Roman"/>
        </w:rPr>
      </w:pPr>
      <w:r w:rsidRPr="00EE7E38">
        <w:rPr>
          <w:rFonts w:ascii="Times New Roman" w:hAnsi="Times New Roman" w:cs="Times New Roman"/>
        </w:rPr>
        <w:t>This section presents the Strategic Interventions by Objective.</w:t>
      </w:r>
    </w:p>
    <w:p w14:paraId="16DFC842" w14:textId="77777777" w:rsidR="00CB730B" w:rsidRPr="00EE7E38" w:rsidRDefault="00CB730B" w:rsidP="00835F94">
      <w:pPr>
        <w:pStyle w:val="Heading2"/>
        <w:keepNext w:val="0"/>
        <w:keepLines w:val="0"/>
        <w:widowControl w:val="0"/>
        <w:spacing w:before="120" w:after="120" w:line="240" w:lineRule="auto"/>
        <w:ind w:left="1560" w:hanging="1560"/>
        <w:rPr>
          <w:rFonts w:ascii="Times New Roman" w:hAnsi="Times New Roman" w:cs="Times New Roman"/>
        </w:rPr>
      </w:pPr>
      <w:bookmarkStart w:id="17" w:name="_Toc411586417"/>
    </w:p>
    <w:p w14:paraId="2212587B" w14:textId="77777777" w:rsidR="005A003D" w:rsidRPr="00EE7E38" w:rsidRDefault="005A003D" w:rsidP="00835F94">
      <w:pPr>
        <w:pStyle w:val="Heading2"/>
        <w:keepNext w:val="0"/>
        <w:keepLines w:val="0"/>
        <w:widowControl w:val="0"/>
        <w:spacing w:before="120" w:after="120" w:line="240" w:lineRule="auto"/>
        <w:ind w:left="1560" w:hanging="1560"/>
        <w:rPr>
          <w:rFonts w:ascii="Times New Roman" w:hAnsi="Times New Roman" w:cs="Times New Roman"/>
        </w:rPr>
      </w:pPr>
      <w:bookmarkStart w:id="18" w:name="_Toc517633168"/>
      <w:proofErr w:type="gramStart"/>
      <w:r w:rsidRPr="00EE7E38">
        <w:rPr>
          <w:rFonts w:ascii="Times New Roman" w:hAnsi="Times New Roman" w:cs="Times New Roman"/>
        </w:rPr>
        <w:t>Objective 1.</w:t>
      </w:r>
      <w:proofErr w:type="gramEnd"/>
      <w:r w:rsidRPr="00EE7E38">
        <w:rPr>
          <w:rFonts w:ascii="Times New Roman" w:hAnsi="Times New Roman" w:cs="Times New Roman"/>
        </w:rPr>
        <w:t xml:space="preserve"> </w:t>
      </w:r>
      <w:r w:rsidRPr="00EE7E38">
        <w:rPr>
          <w:rFonts w:ascii="Times New Roman" w:hAnsi="Times New Roman" w:cs="Times New Roman"/>
        </w:rPr>
        <w:tab/>
        <w:t>To provide universal access to early and quality diagnosis of all forms of TB including M/XDR-TB</w:t>
      </w:r>
      <w:bookmarkEnd w:id="17"/>
      <w:bookmarkEnd w:id="18"/>
    </w:p>
    <w:p w14:paraId="34D92B9E" w14:textId="77777777" w:rsidR="005A003D" w:rsidRPr="00EE7E38" w:rsidRDefault="005A003D" w:rsidP="00835F94">
      <w:pPr>
        <w:widowControl w:val="0"/>
        <w:spacing w:before="120" w:after="120" w:line="240" w:lineRule="auto"/>
        <w:rPr>
          <w:rFonts w:ascii="Times New Roman" w:hAnsi="Times New Roman" w:cs="Times New Roman"/>
          <w:b/>
          <w:bCs/>
          <w:sz w:val="24"/>
          <w:szCs w:val="24"/>
        </w:rPr>
      </w:pPr>
      <w:r w:rsidRPr="00EE7E38">
        <w:rPr>
          <w:rFonts w:ascii="Times New Roman" w:hAnsi="Times New Roman" w:cs="Times New Roman"/>
          <w:b/>
          <w:bCs/>
          <w:sz w:val="24"/>
          <w:szCs w:val="24"/>
        </w:rPr>
        <w:t>Rationale</w:t>
      </w:r>
    </w:p>
    <w:p w14:paraId="0A6B2A70" w14:textId="061DB6ED"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Early and accurate diagnosis is critical to effective TB control. Dramatic progress in advancing TB diagnostic technologies has been achieved globally </w:t>
      </w:r>
      <w:r w:rsidR="00215EFA">
        <w:rPr>
          <w:rFonts w:ascii="Times New Roman" w:hAnsi="Times New Roman" w:cs="Times New Roman"/>
        </w:rPr>
        <w:t>over the past</w:t>
      </w:r>
      <w:r w:rsidRPr="00EE7E38">
        <w:rPr>
          <w:rFonts w:ascii="Times New Roman" w:hAnsi="Times New Roman" w:cs="Times New Roman"/>
        </w:rPr>
        <w:t xml:space="preserve"> decade. </w:t>
      </w:r>
      <w:proofErr w:type="gramStart"/>
      <w:r w:rsidRPr="00EE7E38">
        <w:rPr>
          <w:rFonts w:ascii="Times New Roman" w:hAnsi="Times New Roman" w:cs="Times New Roman"/>
        </w:rPr>
        <w:t>For countries with high DR-TB burden, including Georgia, WHO recommends rolling out new rapid diagnostic techniques, which allow for timely confirmation of TB, detection of drug resistance and initiation of correct treatment regimen, thus decreasing the risk of further amplification of resistance.</w:t>
      </w:r>
      <w:proofErr w:type="gramEnd"/>
      <w:r w:rsidRPr="00EE7E38">
        <w:rPr>
          <w:rFonts w:ascii="Times New Roman" w:hAnsi="Times New Roman" w:cs="Times New Roman"/>
        </w:rPr>
        <w:t xml:space="preserve"> In 2011, all Member States of the WHO European Region committed themselves to ensur</w:t>
      </w:r>
      <w:r w:rsidR="00215EFA">
        <w:rPr>
          <w:rFonts w:ascii="Times New Roman" w:hAnsi="Times New Roman" w:cs="Times New Roman"/>
        </w:rPr>
        <w:t xml:space="preserve">ing </w:t>
      </w:r>
      <w:r w:rsidRPr="00EE7E38">
        <w:rPr>
          <w:rFonts w:ascii="Times New Roman" w:hAnsi="Times New Roman" w:cs="Times New Roman"/>
        </w:rPr>
        <w:t>universal access to drug susceptibility testing by rapid methods</w:t>
      </w:r>
      <w:r w:rsidRPr="00EE7E38">
        <w:rPr>
          <w:rFonts w:ascii="Times New Roman" w:hAnsi="Times New Roman" w:cs="Times New Roman"/>
          <w:vertAlign w:val="superscript"/>
        </w:rPr>
        <w:footnoteReference w:id="16"/>
      </w:r>
      <w:r w:rsidRPr="00EE7E38">
        <w:rPr>
          <w:rFonts w:ascii="Times New Roman" w:hAnsi="Times New Roman" w:cs="Times New Roman"/>
        </w:rPr>
        <w:t xml:space="preserve">. </w:t>
      </w:r>
    </w:p>
    <w:p w14:paraId="4C47BC97" w14:textId="3CFF55F3" w:rsidR="005A003D" w:rsidRPr="00EE7E38" w:rsidRDefault="005A003D" w:rsidP="004868A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Rapid scale-up of new technologies requires the revision of the existing policies and practices and a reconfiguration of the TB diagnostic network. The draft </w:t>
      </w:r>
      <w:r w:rsidRPr="00EE7E38">
        <w:rPr>
          <w:rFonts w:ascii="Times New Roman" w:hAnsi="Times New Roman" w:cs="Times New Roman"/>
          <w:i/>
        </w:rPr>
        <w:t>Post-2015 Global Tuberculosis Strategy Framework</w:t>
      </w:r>
      <w:r w:rsidRPr="00EE7E38">
        <w:rPr>
          <w:rFonts w:ascii="Times New Roman" w:hAnsi="Times New Roman" w:cs="Times New Roman"/>
        </w:rPr>
        <w:t xml:space="preserve"> (GTSF), approved by the World Health Assembly in May 2014, pays significant attention to TB case detection and diagnosis. In particular, it notes that health services miss many TB patients or identify them after long delays and at advanced stages of the disease. Detection of MDR-TB is an important challenge: globally, it is estimated that only about one-fourth of MDR cases are diagnosed. There is a need to overcome the health system barriers that prevent the rapid expansion of programmatic management of DR-TB including limitations in case detection and full and rapid testing for drug resistance.</w:t>
      </w:r>
    </w:p>
    <w:p w14:paraId="771AC5A4" w14:textId="51C84809" w:rsidR="005A003D" w:rsidRPr="00EE7E38" w:rsidRDefault="00153735" w:rsidP="004868A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One of the main G</w:t>
      </w:r>
      <w:r w:rsidR="005A003D" w:rsidRPr="00EE7E38">
        <w:rPr>
          <w:rFonts w:ascii="Times New Roman" w:hAnsi="Times New Roman" w:cs="Times New Roman"/>
        </w:rPr>
        <w:t>T</w:t>
      </w:r>
      <w:r w:rsidRPr="00EE7E38">
        <w:rPr>
          <w:rFonts w:ascii="Times New Roman" w:hAnsi="Times New Roman" w:cs="Times New Roman"/>
        </w:rPr>
        <w:t>S</w:t>
      </w:r>
      <w:r w:rsidR="005A003D" w:rsidRPr="00EE7E38">
        <w:rPr>
          <w:rFonts w:ascii="Times New Roman" w:hAnsi="Times New Roman" w:cs="Times New Roman"/>
        </w:rPr>
        <w:t>F components is devoted to TB diagnosis and calls upon</w:t>
      </w:r>
      <w:r w:rsidR="00D43D9A">
        <w:rPr>
          <w:rFonts w:ascii="Times New Roman" w:hAnsi="Times New Roman" w:cs="Times New Roman"/>
        </w:rPr>
        <w:t xml:space="preserve"> </w:t>
      </w:r>
      <w:r w:rsidR="005A003D" w:rsidRPr="00EE7E38">
        <w:rPr>
          <w:rFonts w:ascii="Times New Roman" w:hAnsi="Times New Roman" w:cs="Times New Roman"/>
        </w:rPr>
        <w:t xml:space="preserve">countries to embrace new strategies and technologies for improving early detection of TB cases, detect and confirm all cases with DR-TB, roll out new diagnostics, and implement systematic screening for TB among selected high-risk groups. Special attention should be paid to diagnosis of HIV-associated </w:t>
      </w:r>
      <w:r w:rsidR="00215EFA">
        <w:rPr>
          <w:rFonts w:ascii="Times New Roman" w:hAnsi="Times New Roman" w:cs="Times New Roman"/>
        </w:rPr>
        <w:t>TB</w:t>
      </w:r>
      <w:r w:rsidR="005A003D" w:rsidRPr="00EE7E38">
        <w:rPr>
          <w:rFonts w:ascii="Times New Roman" w:hAnsi="Times New Roman" w:cs="Times New Roman"/>
        </w:rPr>
        <w:t xml:space="preserve">. </w:t>
      </w:r>
    </w:p>
    <w:p w14:paraId="591D2E25" w14:textId="77777777" w:rsidR="005A003D" w:rsidRPr="00EE7E38" w:rsidRDefault="005A003D" w:rsidP="00835F94">
      <w:pPr>
        <w:widowControl w:val="0"/>
        <w:spacing w:before="120" w:after="120" w:line="240" w:lineRule="auto"/>
        <w:rPr>
          <w:rFonts w:ascii="Times New Roman" w:hAnsi="Times New Roman" w:cs="Times New Roman"/>
          <w:b/>
          <w:bCs/>
          <w:sz w:val="24"/>
          <w:szCs w:val="24"/>
        </w:rPr>
      </w:pPr>
      <w:r w:rsidRPr="00EE7E38">
        <w:rPr>
          <w:rFonts w:ascii="Times New Roman" w:hAnsi="Times New Roman" w:cs="Times New Roman"/>
          <w:b/>
          <w:bCs/>
          <w:sz w:val="24"/>
          <w:szCs w:val="24"/>
        </w:rPr>
        <w:t>Achievements to Date</w:t>
      </w:r>
    </w:p>
    <w:p w14:paraId="4F802E29" w14:textId="7EAB507B" w:rsidR="00540B31" w:rsidRPr="00EE7E38" w:rsidRDefault="005A003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TB laboratory network has been continuously improved and reconfigured in Georgia over the last decade to comply with the emerging challenges of </w:t>
      </w:r>
      <w:r w:rsidR="00215EFA">
        <w:rPr>
          <w:rFonts w:ascii="Times New Roman" w:hAnsi="Times New Roman" w:cs="Times New Roman"/>
        </w:rPr>
        <w:t xml:space="preserve">the </w:t>
      </w:r>
      <w:r w:rsidRPr="00EE7E38">
        <w:rPr>
          <w:rFonts w:ascii="Times New Roman" w:hAnsi="Times New Roman" w:cs="Times New Roman"/>
        </w:rPr>
        <w:t xml:space="preserve">TB epidemic, international strategies and guidance, as well as with the national health system development priorities. </w:t>
      </w:r>
    </w:p>
    <w:p w14:paraId="0377CA3E" w14:textId="17109460" w:rsidR="00774012" w:rsidRPr="00EE7E38" w:rsidRDefault="005A003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TB laboratories perform the full range of diagnostic investigations for TB and DR-TB</w:t>
      </w:r>
      <w:r w:rsidR="00F40FF9">
        <w:rPr>
          <w:rFonts w:ascii="Times New Roman" w:hAnsi="Times New Roman" w:cs="Times New Roman"/>
        </w:rPr>
        <w:t>, including</w:t>
      </w:r>
      <w:r w:rsidRPr="00EE7E38">
        <w:rPr>
          <w:rFonts w:ascii="Times New Roman" w:hAnsi="Times New Roman" w:cs="Times New Roman"/>
        </w:rPr>
        <w:t xml:space="preserve"> smear microscopy,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culture in solid and liquid media, </w:t>
      </w:r>
      <w:r w:rsidR="00240E9F">
        <w:rPr>
          <w:rFonts w:ascii="Times New Roman" w:hAnsi="Times New Roman" w:cs="Times New Roman"/>
        </w:rPr>
        <w:t xml:space="preserve">and </w:t>
      </w:r>
      <w:r w:rsidRPr="00EE7E38">
        <w:rPr>
          <w:rFonts w:ascii="Times New Roman" w:hAnsi="Times New Roman" w:cs="Times New Roman"/>
        </w:rPr>
        <w:t xml:space="preserve">DST to first-line and second-line TB drugs by automated MGIT and LPA methods. The novel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diagnostic technology was introduced and expanded; currently, </w:t>
      </w:r>
      <w:r w:rsidR="004868A3" w:rsidRPr="00EE7E38">
        <w:rPr>
          <w:rFonts w:ascii="Times New Roman" w:hAnsi="Times New Roman" w:cs="Times New Roman"/>
        </w:rPr>
        <w:t>38</w:t>
      </w:r>
      <w:r w:rsidRPr="00EE7E38">
        <w:rPr>
          <w:rFonts w:ascii="Times New Roman" w:hAnsi="Times New Roman" w:cs="Times New Roman"/>
        </w:rPr>
        <w:t xml:space="preserve"> instruments are operational in the country, including </w:t>
      </w:r>
      <w:r w:rsidR="00240E9F">
        <w:rPr>
          <w:rFonts w:ascii="Times New Roman" w:hAnsi="Times New Roman" w:cs="Times New Roman"/>
        </w:rPr>
        <w:t xml:space="preserve">in </w:t>
      </w:r>
      <w:r w:rsidRPr="00EE7E38">
        <w:rPr>
          <w:rFonts w:ascii="Times New Roman" w:hAnsi="Times New Roman" w:cs="Times New Roman"/>
        </w:rPr>
        <w:t>the penitentiary system.</w:t>
      </w:r>
      <w:r w:rsidR="00954511" w:rsidRPr="00EE7E38">
        <w:rPr>
          <w:rFonts w:ascii="Times New Roman" w:hAnsi="Times New Roman" w:cs="Times New Roman"/>
        </w:rPr>
        <w:t xml:space="preserve"> Rapid molecular diagnostics is available at</w:t>
      </w:r>
      <w:r w:rsidR="00BA06C5" w:rsidRPr="00EE7E38">
        <w:rPr>
          <w:rFonts w:ascii="Times New Roman" w:hAnsi="Times New Roman" w:cs="Times New Roman"/>
        </w:rPr>
        <w:t xml:space="preserve"> a majority of TB service delivery units at </w:t>
      </w:r>
      <w:r w:rsidR="00240E9F">
        <w:rPr>
          <w:rFonts w:ascii="Times New Roman" w:hAnsi="Times New Roman" w:cs="Times New Roman"/>
        </w:rPr>
        <w:t xml:space="preserve">the </w:t>
      </w:r>
      <w:r w:rsidR="00BA06C5" w:rsidRPr="00EE7E38">
        <w:rPr>
          <w:rFonts w:ascii="Times New Roman" w:hAnsi="Times New Roman" w:cs="Times New Roman"/>
        </w:rPr>
        <w:t xml:space="preserve">district level. </w:t>
      </w:r>
      <w:proofErr w:type="spellStart"/>
      <w:r w:rsidR="00BA06C5" w:rsidRPr="00EE7E38">
        <w:rPr>
          <w:rFonts w:ascii="Times New Roman" w:hAnsi="Times New Roman" w:cs="Times New Roman"/>
        </w:rPr>
        <w:t>Xpert</w:t>
      </w:r>
      <w:proofErr w:type="spellEnd"/>
      <w:r w:rsidR="00BA06C5" w:rsidRPr="00EE7E38">
        <w:rPr>
          <w:rFonts w:ascii="Times New Roman" w:hAnsi="Times New Roman" w:cs="Times New Roman"/>
        </w:rPr>
        <w:t xml:space="preserve"> is used as a point of care diagnostic test for all presumptive TB cases. This</w:t>
      </w:r>
      <w:r w:rsidR="00774012" w:rsidRPr="00EE7E38">
        <w:rPr>
          <w:rFonts w:ascii="Times New Roman" w:hAnsi="Times New Roman" w:cs="Times New Roman"/>
        </w:rPr>
        <w:t xml:space="preserve"> is followed by </w:t>
      </w:r>
      <w:r w:rsidR="00954511" w:rsidRPr="00EE7E38">
        <w:rPr>
          <w:rFonts w:ascii="Times New Roman" w:hAnsi="Times New Roman" w:cs="Times New Roman"/>
        </w:rPr>
        <w:t>full investigation o</w:t>
      </w:r>
      <w:r w:rsidR="00774012" w:rsidRPr="00EE7E38">
        <w:rPr>
          <w:rFonts w:ascii="Times New Roman" w:hAnsi="Times New Roman" w:cs="Times New Roman"/>
        </w:rPr>
        <w:t>f</w:t>
      </w:r>
      <w:r w:rsidR="00954511" w:rsidRPr="00EE7E38">
        <w:rPr>
          <w:rFonts w:ascii="Times New Roman" w:hAnsi="Times New Roman" w:cs="Times New Roman"/>
        </w:rPr>
        <w:t xml:space="preserve"> </w:t>
      </w:r>
      <w:r w:rsidR="00240E9F">
        <w:rPr>
          <w:rFonts w:ascii="Times New Roman" w:hAnsi="Times New Roman" w:cs="Times New Roman"/>
        </w:rPr>
        <w:t xml:space="preserve">the </w:t>
      </w:r>
      <w:r w:rsidR="00954511" w:rsidRPr="00EE7E38">
        <w:rPr>
          <w:rFonts w:ascii="Times New Roman" w:hAnsi="Times New Roman" w:cs="Times New Roman"/>
        </w:rPr>
        <w:t>drug resistance</w:t>
      </w:r>
      <w:r w:rsidR="00774012" w:rsidRPr="00EE7E38">
        <w:rPr>
          <w:rFonts w:ascii="Times New Roman" w:hAnsi="Times New Roman" w:cs="Times New Roman"/>
        </w:rPr>
        <w:t xml:space="preserve"> profile</w:t>
      </w:r>
      <w:r w:rsidR="00954511" w:rsidRPr="00EE7E38">
        <w:rPr>
          <w:rFonts w:ascii="Times New Roman" w:hAnsi="Times New Roman" w:cs="Times New Roman"/>
        </w:rPr>
        <w:t xml:space="preserve"> in all confirmed cases. Uninterrupted supply of laboratory consumables is ensured for all laboratory diagnostic methods</w:t>
      </w:r>
      <w:r w:rsidR="00BA06C5" w:rsidRPr="00EE7E38">
        <w:rPr>
          <w:rFonts w:ascii="Times New Roman" w:hAnsi="Times New Roman" w:cs="Times New Roman"/>
        </w:rPr>
        <w:t xml:space="preserve"> with TGF support</w:t>
      </w:r>
      <w:r w:rsidR="00954511" w:rsidRPr="00EE7E38">
        <w:rPr>
          <w:rFonts w:ascii="Times New Roman" w:hAnsi="Times New Roman" w:cs="Times New Roman"/>
        </w:rPr>
        <w:t xml:space="preserve">. From 2017, state financing covers </w:t>
      </w:r>
      <w:r w:rsidR="00774012" w:rsidRPr="00EE7E38">
        <w:rPr>
          <w:rFonts w:ascii="Times New Roman" w:hAnsi="Times New Roman" w:cs="Times New Roman"/>
        </w:rPr>
        <w:t>reagents and laboratory</w:t>
      </w:r>
      <w:r w:rsidR="00954511" w:rsidRPr="00EE7E38">
        <w:rPr>
          <w:rFonts w:ascii="Times New Roman" w:hAnsi="Times New Roman" w:cs="Times New Roman"/>
        </w:rPr>
        <w:t xml:space="preserve"> consumables for </w:t>
      </w:r>
      <w:proofErr w:type="spellStart"/>
      <w:r w:rsidR="00954511" w:rsidRPr="00EE7E38">
        <w:rPr>
          <w:rFonts w:ascii="Times New Roman" w:hAnsi="Times New Roman" w:cs="Times New Roman"/>
        </w:rPr>
        <w:t>bacterioscopy</w:t>
      </w:r>
      <w:proofErr w:type="spellEnd"/>
      <w:r w:rsidR="00954511" w:rsidRPr="00EE7E38">
        <w:rPr>
          <w:rFonts w:ascii="Times New Roman" w:hAnsi="Times New Roman" w:cs="Times New Roman"/>
        </w:rPr>
        <w:t xml:space="preserve"> and cultur</w:t>
      </w:r>
      <w:r w:rsidR="00774012" w:rsidRPr="00EE7E38">
        <w:rPr>
          <w:rFonts w:ascii="Times New Roman" w:hAnsi="Times New Roman" w:cs="Times New Roman"/>
        </w:rPr>
        <w:t>e</w:t>
      </w:r>
      <w:r w:rsidR="00954511" w:rsidRPr="00EE7E38">
        <w:rPr>
          <w:rFonts w:ascii="Times New Roman" w:hAnsi="Times New Roman" w:cs="Times New Roman"/>
        </w:rPr>
        <w:t xml:space="preserve"> on solid media. </w:t>
      </w:r>
    </w:p>
    <w:p w14:paraId="25965CDB" w14:textId="7218F014" w:rsidR="00540B31" w:rsidRPr="00EE7E38" w:rsidRDefault="008A11FC">
      <w:pPr>
        <w:widowControl w:val="0"/>
        <w:numPr>
          <w:ilvl w:val="0"/>
          <w:numId w:val="5"/>
        </w:numPr>
        <w:spacing w:before="120" w:after="120" w:line="240" w:lineRule="auto"/>
        <w:jc w:val="both"/>
        <w:rPr>
          <w:rFonts w:ascii="Times New Roman" w:hAnsi="Times New Roman" w:cs="Times New Roman"/>
        </w:rPr>
      </w:pPr>
      <w:r>
        <w:rPr>
          <w:rFonts w:ascii="Times New Roman" w:hAnsi="Times New Roman" w:cs="Times New Roman"/>
        </w:rPr>
        <w:t>The s</w:t>
      </w:r>
      <w:r w:rsidR="00954511" w:rsidRPr="00EE7E38">
        <w:rPr>
          <w:rFonts w:ascii="Times New Roman" w:hAnsi="Times New Roman" w:cs="Times New Roman"/>
        </w:rPr>
        <w:t xml:space="preserve">pecimen transportation system </w:t>
      </w:r>
      <w:r>
        <w:rPr>
          <w:rFonts w:ascii="Times New Roman" w:hAnsi="Times New Roman" w:cs="Times New Roman"/>
        </w:rPr>
        <w:t xml:space="preserve">has been </w:t>
      </w:r>
      <w:r w:rsidR="00954511" w:rsidRPr="00EE7E38">
        <w:rPr>
          <w:rFonts w:ascii="Times New Roman" w:hAnsi="Times New Roman" w:cs="Times New Roman"/>
        </w:rPr>
        <w:t xml:space="preserve">significantly improved in recent years. As of 2016, Georgian post delivers specimens daily as needed, supporting rapid detection and </w:t>
      </w:r>
      <w:r w:rsidR="00774012" w:rsidRPr="00EE7E38">
        <w:rPr>
          <w:rFonts w:ascii="Times New Roman" w:hAnsi="Times New Roman" w:cs="Times New Roman"/>
        </w:rPr>
        <w:t xml:space="preserve">timely patient enrollment in effective treatment. </w:t>
      </w:r>
    </w:p>
    <w:p w14:paraId="1474F71B" w14:textId="41BF1ADD" w:rsidR="00540B31" w:rsidRPr="00EE7E38" w:rsidRDefault="003C5AF3">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lastRenderedPageBreak/>
        <w:t xml:space="preserve">The country has achieved </w:t>
      </w:r>
      <w:r w:rsidR="00774012" w:rsidRPr="00EE7E38">
        <w:rPr>
          <w:rFonts w:ascii="Times New Roman" w:hAnsi="Times New Roman" w:cs="Times New Roman"/>
        </w:rPr>
        <w:t xml:space="preserve">good coverage with bacterial culture and </w:t>
      </w:r>
      <w:r w:rsidR="008A11FC">
        <w:rPr>
          <w:rFonts w:ascii="Times New Roman" w:hAnsi="Times New Roman" w:cs="Times New Roman"/>
        </w:rPr>
        <w:t>DST</w:t>
      </w:r>
      <w:r w:rsidR="00774012" w:rsidRPr="00EE7E38">
        <w:rPr>
          <w:rFonts w:ascii="Times New Roman" w:hAnsi="Times New Roman" w:cs="Times New Roman"/>
        </w:rPr>
        <w:t xml:space="preserve">. </w:t>
      </w:r>
      <w:r w:rsidRPr="00EE7E38">
        <w:rPr>
          <w:rFonts w:ascii="Times New Roman" w:hAnsi="Times New Roman" w:cs="Times New Roman"/>
        </w:rPr>
        <w:t xml:space="preserve">As a result of </w:t>
      </w:r>
      <w:r w:rsidR="008A11FC">
        <w:rPr>
          <w:rFonts w:ascii="Times New Roman" w:hAnsi="Times New Roman" w:cs="Times New Roman"/>
        </w:rPr>
        <w:t xml:space="preserve">the </w:t>
      </w:r>
      <w:r w:rsidRPr="00EE7E38">
        <w:rPr>
          <w:rFonts w:ascii="Times New Roman" w:hAnsi="Times New Roman" w:cs="Times New Roman"/>
        </w:rPr>
        <w:t>improved specimen transportation system</w:t>
      </w:r>
      <w:r w:rsidR="008A11FC">
        <w:rPr>
          <w:rFonts w:ascii="Times New Roman" w:hAnsi="Times New Roman" w:cs="Times New Roman"/>
        </w:rPr>
        <w:t>,</w:t>
      </w:r>
      <w:r w:rsidRPr="00EE7E38">
        <w:rPr>
          <w:rFonts w:ascii="Times New Roman" w:hAnsi="Times New Roman" w:cs="Times New Roman"/>
        </w:rPr>
        <w:t xml:space="preserve"> the use of liquid media for rapid diagnostics almost doubled (from 40% in 2014 to 80% by the end of 2016)</w:t>
      </w:r>
      <w:r w:rsidR="00AC0B25" w:rsidRPr="00EE7E38">
        <w:rPr>
          <w:rStyle w:val="FootnoteReference"/>
          <w:rFonts w:ascii="Times New Roman" w:hAnsi="Times New Roman" w:cs="Times New Roman"/>
        </w:rPr>
        <w:footnoteReference w:id="17"/>
      </w:r>
      <w:r w:rsidRPr="00EE7E38">
        <w:rPr>
          <w:rFonts w:ascii="Times New Roman" w:hAnsi="Times New Roman" w:cs="Times New Roman"/>
        </w:rPr>
        <w:t>. The capacity of LPA testing to detect sensitivity to second-line medications has been developed in Kutaisi Zonal Diagnostic Laboratory since 2016.</w:t>
      </w:r>
    </w:p>
    <w:p w14:paraId="66388D77" w14:textId="5B7663D4" w:rsidR="00540B31" w:rsidRPr="00EE7E38" w:rsidRDefault="005A003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National Reference Laboratory (NRL) at NCTLD is fully functional and conducts continuous EQA for DST with the Supranational Reference Laboratory in Antwerp </w:t>
      </w:r>
      <w:r w:rsidR="002143B7" w:rsidRPr="00EE7E38">
        <w:rPr>
          <w:rFonts w:ascii="Times New Roman" w:hAnsi="Times New Roman" w:cs="Times New Roman"/>
        </w:rPr>
        <w:t>(</w:t>
      </w:r>
      <w:r w:rsidRPr="00EE7E38">
        <w:rPr>
          <w:rFonts w:ascii="Times New Roman" w:hAnsi="Times New Roman" w:cs="Times New Roman"/>
        </w:rPr>
        <w:t xml:space="preserve">Belgium), as well as quality assurance, supervision and capacity building for lower-level laboratories in the country. The NRL physical infrastructure is being upgraded (the new building </w:t>
      </w:r>
      <w:r w:rsidR="002143B7" w:rsidRPr="00EE7E38">
        <w:rPr>
          <w:rFonts w:ascii="Times New Roman" w:hAnsi="Times New Roman" w:cs="Times New Roman"/>
        </w:rPr>
        <w:t>was</w:t>
      </w:r>
      <w:r w:rsidRPr="00EE7E38">
        <w:rPr>
          <w:rFonts w:ascii="Times New Roman" w:hAnsi="Times New Roman" w:cs="Times New Roman"/>
        </w:rPr>
        <w:t xml:space="preserve"> completed in 201</w:t>
      </w:r>
      <w:r w:rsidR="002143B7" w:rsidRPr="00EE7E38">
        <w:rPr>
          <w:rFonts w:ascii="Times New Roman" w:hAnsi="Times New Roman" w:cs="Times New Roman"/>
        </w:rPr>
        <w:t>7</w:t>
      </w:r>
      <w:r w:rsidRPr="00EE7E38">
        <w:rPr>
          <w:rFonts w:ascii="Times New Roman" w:hAnsi="Times New Roman" w:cs="Times New Roman"/>
        </w:rPr>
        <w:t>).</w:t>
      </w:r>
    </w:p>
    <w:p w14:paraId="2297F316" w14:textId="77777777" w:rsidR="00540B31" w:rsidRPr="00EE7E38" w:rsidRDefault="002143B7">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Along with the implementation of modern international diagnostic strategies, the current system of management and operational procedures of laboratories was updated and is in compliance with new diagnostic algorithms</w:t>
      </w:r>
      <w:r w:rsidR="00774012" w:rsidRPr="00EE7E38">
        <w:rPr>
          <w:rFonts w:ascii="Times New Roman" w:hAnsi="Times New Roman" w:cs="Times New Roman"/>
        </w:rPr>
        <w:t xml:space="preserve"> endorsed by the </w:t>
      </w:r>
      <w:proofErr w:type="spellStart"/>
      <w:r w:rsidR="00774012" w:rsidRPr="00EE7E38">
        <w:rPr>
          <w:rFonts w:ascii="Times New Roman" w:hAnsi="Times New Roman" w:cs="Times New Roman"/>
        </w:rPr>
        <w:t>MoLHSA</w:t>
      </w:r>
      <w:proofErr w:type="spellEnd"/>
      <w:r w:rsidR="00774012" w:rsidRPr="00EE7E38">
        <w:rPr>
          <w:rFonts w:ascii="Times New Roman" w:hAnsi="Times New Roman" w:cs="Times New Roman"/>
        </w:rPr>
        <w:t xml:space="preserve"> in 2018</w:t>
      </w:r>
      <w:r w:rsidRPr="00EE7E38">
        <w:rPr>
          <w:rFonts w:ascii="Times New Roman" w:hAnsi="Times New Roman" w:cs="Times New Roman"/>
        </w:rPr>
        <w:t>.</w:t>
      </w:r>
    </w:p>
    <w:p w14:paraId="3A555933" w14:textId="77777777" w:rsidR="00540B31" w:rsidRPr="00EE7E38" w:rsidRDefault="005A003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 country has been successfully collaborating with international partners in the area of case detection and diagnosis</w:t>
      </w:r>
      <w:r w:rsidR="00C37A6A" w:rsidRPr="00EE7E38">
        <w:rPr>
          <w:rFonts w:ascii="Times New Roman" w:hAnsi="Times New Roman" w:cs="Times New Roman"/>
        </w:rPr>
        <w:t xml:space="preserve">. </w:t>
      </w:r>
      <w:r w:rsidRPr="00EE7E38">
        <w:rPr>
          <w:rFonts w:ascii="Times New Roman" w:hAnsi="Times New Roman" w:cs="Times New Roman"/>
        </w:rPr>
        <w:t xml:space="preserve">Through this collaboration, the country received important support in terms of infrastructure improvement, provision of equipment and supplies, technical assistance, capacity building and quality assurance. </w:t>
      </w:r>
    </w:p>
    <w:p w14:paraId="774BDAEE" w14:textId="77777777" w:rsidR="005A003D" w:rsidRPr="00EE7E38" w:rsidRDefault="005A003D" w:rsidP="00835F94">
      <w:pPr>
        <w:widowControl w:val="0"/>
        <w:spacing w:before="120" w:after="120" w:line="240" w:lineRule="auto"/>
        <w:rPr>
          <w:rFonts w:ascii="Times New Roman" w:hAnsi="Times New Roman" w:cs="Times New Roman"/>
          <w:b/>
          <w:bCs/>
          <w:sz w:val="24"/>
          <w:szCs w:val="24"/>
        </w:rPr>
      </w:pPr>
      <w:r w:rsidRPr="00EE7E38">
        <w:rPr>
          <w:rFonts w:ascii="Times New Roman" w:hAnsi="Times New Roman" w:cs="Times New Roman"/>
          <w:b/>
          <w:bCs/>
          <w:sz w:val="24"/>
          <w:szCs w:val="24"/>
        </w:rPr>
        <w:t>Challenges and Gaps</w:t>
      </w:r>
    </w:p>
    <w:p w14:paraId="341AE1C2" w14:textId="67E0AA28" w:rsidR="00540B31" w:rsidRPr="00EE7E38" w:rsidRDefault="002143B7">
      <w:pPr>
        <w:widowControl w:val="0"/>
        <w:numPr>
          <w:ilvl w:val="0"/>
          <w:numId w:val="7"/>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WHO recommends active TB case finding to maximize TB </w:t>
      </w:r>
      <w:proofErr w:type="gramStart"/>
      <w:r w:rsidRPr="00EE7E38">
        <w:rPr>
          <w:rFonts w:ascii="Times New Roman" w:hAnsi="Times New Roman" w:cs="Times New Roman"/>
        </w:rPr>
        <w:t>detection.</w:t>
      </w:r>
      <w:proofErr w:type="gramEnd"/>
      <w:r w:rsidRPr="00EE7E38">
        <w:rPr>
          <w:rFonts w:ascii="Times New Roman" w:hAnsi="Times New Roman" w:cs="Times New Roman"/>
        </w:rPr>
        <w:t xml:space="preserve"> </w:t>
      </w:r>
      <w:r w:rsidR="00AC0B25" w:rsidRPr="00EE7E38">
        <w:rPr>
          <w:rFonts w:ascii="Times New Roman" w:hAnsi="Times New Roman" w:cs="Times New Roman"/>
        </w:rPr>
        <w:t xml:space="preserve">The number of </w:t>
      </w:r>
      <w:r w:rsidR="005A44D9" w:rsidRPr="00EE7E38">
        <w:rPr>
          <w:rFonts w:ascii="Times New Roman" w:hAnsi="Times New Roman" w:cs="Times New Roman"/>
        </w:rPr>
        <w:t>presumptive cases to find 1 TB case</w:t>
      </w:r>
      <w:r w:rsidR="00AC0B25" w:rsidRPr="00EE7E38">
        <w:rPr>
          <w:rFonts w:ascii="Times New Roman" w:hAnsi="Times New Roman" w:cs="Times New Roman"/>
        </w:rPr>
        <w:t xml:space="preserve"> significantly improved in rece</w:t>
      </w:r>
      <w:r w:rsidR="005A44D9" w:rsidRPr="00EE7E38">
        <w:rPr>
          <w:rFonts w:ascii="Times New Roman" w:hAnsi="Times New Roman" w:cs="Times New Roman"/>
        </w:rPr>
        <w:t>nt years in Georgia (the overall number of presumptive cases</w:t>
      </w:r>
      <w:r w:rsidR="005A003D" w:rsidRPr="00EE7E38">
        <w:rPr>
          <w:rFonts w:ascii="Times New Roman" w:hAnsi="Times New Roman" w:cs="Times New Roman"/>
        </w:rPr>
        <w:t xml:space="preserve"> tested per 1 active TB case, all forms: 4.2 in 2012, 4.0 in 2013 and </w:t>
      </w:r>
      <w:r w:rsidR="00AC0B25" w:rsidRPr="00EE7E38">
        <w:rPr>
          <w:rFonts w:ascii="Times New Roman" w:hAnsi="Times New Roman" w:cs="Times New Roman"/>
        </w:rPr>
        <w:t>7.9</w:t>
      </w:r>
      <w:r w:rsidR="005A003D" w:rsidRPr="00EE7E38">
        <w:rPr>
          <w:rFonts w:ascii="Times New Roman" w:hAnsi="Times New Roman" w:cs="Times New Roman"/>
        </w:rPr>
        <w:t xml:space="preserve"> in 201</w:t>
      </w:r>
      <w:r w:rsidR="00AC0B25" w:rsidRPr="00EE7E38">
        <w:rPr>
          <w:rFonts w:ascii="Times New Roman" w:hAnsi="Times New Roman" w:cs="Times New Roman"/>
        </w:rPr>
        <w:t>6</w:t>
      </w:r>
      <w:r w:rsidR="005A003D" w:rsidRPr="00EE7E38">
        <w:rPr>
          <w:rFonts w:ascii="Times New Roman" w:hAnsi="Times New Roman" w:cs="Times New Roman"/>
        </w:rPr>
        <w:t>)</w:t>
      </w:r>
      <w:r w:rsidR="005A44D9" w:rsidRPr="00EE7E38">
        <w:rPr>
          <w:rFonts w:ascii="Times New Roman" w:hAnsi="Times New Roman" w:cs="Times New Roman"/>
        </w:rPr>
        <w:t>. Despite improvement</w:t>
      </w:r>
      <w:r w:rsidR="008430D7">
        <w:rPr>
          <w:rFonts w:ascii="Times New Roman" w:hAnsi="Times New Roman" w:cs="Times New Roman"/>
        </w:rPr>
        <w:t>,</w:t>
      </w:r>
      <w:r w:rsidR="005A44D9" w:rsidRPr="00EE7E38">
        <w:rPr>
          <w:rFonts w:ascii="Times New Roman" w:hAnsi="Times New Roman" w:cs="Times New Roman"/>
        </w:rPr>
        <w:t xml:space="preserve"> this remains low</w:t>
      </w:r>
      <w:r w:rsidR="005A003D" w:rsidRPr="00EE7E38">
        <w:rPr>
          <w:rFonts w:ascii="Times New Roman" w:hAnsi="Times New Roman" w:cs="Times New Roman"/>
        </w:rPr>
        <w:t xml:space="preserve">. </w:t>
      </w:r>
      <w:r w:rsidR="007C0973" w:rsidRPr="00EE7E38">
        <w:rPr>
          <w:rFonts w:ascii="Times New Roman" w:hAnsi="Times New Roman" w:cs="Times New Roman"/>
        </w:rPr>
        <w:t xml:space="preserve">In terms of </w:t>
      </w:r>
      <w:r w:rsidR="003A2BF5" w:rsidRPr="00EE7E38">
        <w:rPr>
          <w:rFonts w:ascii="Times New Roman" w:hAnsi="Times New Roman" w:cs="Times New Roman"/>
        </w:rPr>
        <w:t>contact investigations</w:t>
      </w:r>
      <w:r w:rsidR="008430D7">
        <w:rPr>
          <w:rFonts w:ascii="Times New Roman" w:hAnsi="Times New Roman" w:cs="Times New Roman"/>
        </w:rPr>
        <w:t>,</w:t>
      </w:r>
      <w:r w:rsidR="003A2BF5" w:rsidRPr="00EE7E38">
        <w:rPr>
          <w:rFonts w:ascii="Times New Roman" w:hAnsi="Times New Roman" w:cs="Times New Roman"/>
        </w:rPr>
        <w:t xml:space="preserve"> </w:t>
      </w:r>
      <w:r w:rsidR="005A003D" w:rsidRPr="00EE7E38">
        <w:rPr>
          <w:rFonts w:ascii="Times New Roman" w:hAnsi="Times New Roman" w:cs="Times New Roman"/>
        </w:rPr>
        <w:t>in 201</w:t>
      </w:r>
      <w:r w:rsidR="007C0973" w:rsidRPr="00EE7E38">
        <w:rPr>
          <w:rFonts w:ascii="Times New Roman" w:hAnsi="Times New Roman" w:cs="Times New Roman"/>
        </w:rPr>
        <w:t>6</w:t>
      </w:r>
      <w:r w:rsidR="005A003D" w:rsidRPr="00EE7E38">
        <w:rPr>
          <w:rFonts w:ascii="Times New Roman" w:hAnsi="Times New Roman" w:cs="Times New Roman"/>
        </w:rPr>
        <w:t xml:space="preserve">, on average </w:t>
      </w:r>
      <w:r w:rsidR="005A44D9" w:rsidRPr="00EE7E38">
        <w:rPr>
          <w:rFonts w:ascii="Times New Roman" w:hAnsi="Times New Roman" w:cs="Times New Roman"/>
        </w:rPr>
        <w:t xml:space="preserve">there were </w:t>
      </w:r>
      <w:r w:rsidR="007C0973" w:rsidRPr="00EE7E38">
        <w:rPr>
          <w:rFonts w:ascii="Times New Roman" w:hAnsi="Times New Roman" w:cs="Times New Roman"/>
        </w:rPr>
        <w:t>4.6</w:t>
      </w:r>
      <w:r w:rsidR="003A2BF5" w:rsidRPr="00EE7E38">
        <w:rPr>
          <w:rFonts w:ascii="Times New Roman" w:hAnsi="Times New Roman" w:cs="Times New Roman"/>
        </w:rPr>
        <w:t xml:space="preserve"> </w:t>
      </w:r>
      <w:r w:rsidR="005A003D" w:rsidRPr="00EE7E38">
        <w:rPr>
          <w:rFonts w:ascii="Times New Roman" w:hAnsi="Times New Roman" w:cs="Times New Roman"/>
        </w:rPr>
        <w:t xml:space="preserve">contacts per </w:t>
      </w:r>
      <w:r w:rsidR="005A44D9" w:rsidRPr="00EE7E38">
        <w:rPr>
          <w:rFonts w:ascii="Times New Roman" w:hAnsi="Times New Roman" w:cs="Times New Roman"/>
        </w:rPr>
        <w:t xml:space="preserve">1 smear positive TB case </w:t>
      </w:r>
      <w:r w:rsidR="005A003D" w:rsidRPr="00EE7E38">
        <w:rPr>
          <w:rFonts w:ascii="Times New Roman" w:hAnsi="Times New Roman" w:cs="Times New Roman"/>
        </w:rPr>
        <w:t>screened (</w:t>
      </w:r>
      <w:r w:rsidR="007C0973" w:rsidRPr="00EE7E38">
        <w:rPr>
          <w:rFonts w:ascii="Times New Roman" w:hAnsi="Times New Roman" w:cs="Times New Roman"/>
        </w:rPr>
        <w:t>compared to 3</w:t>
      </w:r>
      <w:r w:rsidR="003A2BF5" w:rsidRPr="00EE7E38">
        <w:rPr>
          <w:rFonts w:ascii="Times New Roman" w:hAnsi="Times New Roman" w:cs="Times New Roman"/>
        </w:rPr>
        <w:t xml:space="preserve"> in 201</w:t>
      </w:r>
      <w:r w:rsidR="007C0973" w:rsidRPr="00EE7E38">
        <w:rPr>
          <w:rFonts w:ascii="Times New Roman" w:hAnsi="Times New Roman" w:cs="Times New Roman"/>
        </w:rPr>
        <w:t>4</w:t>
      </w:r>
      <w:r w:rsidR="005A003D" w:rsidRPr="00EE7E38">
        <w:rPr>
          <w:rFonts w:ascii="Times New Roman" w:hAnsi="Times New Roman" w:cs="Times New Roman"/>
        </w:rPr>
        <w:t>)</w:t>
      </w:r>
      <w:r w:rsidR="007C0973" w:rsidRPr="00EE7E38">
        <w:rPr>
          <w:rFonts w:ascii="Times New Roman" w:hAnsi="Times New Roman" w:cs="Times New Roman"/>
        </w:rPr>
        <w:t xml:space="preserve"> demonstrating the need of more active intervention</w:t>
      </w:r>
      <w:r w:rsidR="005A003D" w:rsidRPr="00EE7E38">
        <w:rPr>
          <w:rFonts w:ascii="Times New Roman" w:hAnsi="Times New Roman" w:cs="Times New Roman"/>
        </w:rPr>
        <w:t>.</w:t>
      </w:r>
    </w:p>
    <w:p w14:paraId="0653AEB7" w14:textId="001DC07E" w:rsidR="00540B31" w:rsidRPr="00EE7E38" w:rsidRDefault="005A003D" w:rsidP="005A44D9">
      <w:pPr>
        <w:widowControl w:val="0"/>
        <w:numPr>
          <w:ilvl w:val="0"/>
          <w:numId w:val="7"/>
        </w:numPr>
        <w:tabs>
          <w:tab w:val="left" w:pos="6480"/>
        </w:tabs>
        <w:spacing w:before="120" w:after="120" w:line="240" w:lineRule="auto"/>
        <w:jc w:val="both"/>
        <w:rPr>
          <w:rFonts w:ascii="Times New Roman" w:hAnsi="Times New Roman" w:cs="Times New Roman"/>
        </w:rPr>
      </w:pPr>
      <w:r w:rsidRPr="00EE7E38">
        <w:rPr>
          <w:rFonts w:ascii="Times New Roman" w:hAnsi="Times New Roman" w:cs="Times New Roman"/>
        </w:rPr>
        <w:t xml:space="preserve">Systematic screening of PLHIV for TB </w:t>
      </w:r>
      <w:r w:rsidR="007C0973" w:rsidRPr="00EE7E38">
        <w:rPr>
          <w:rFonts w:ascii="Times New Roman" w:hAnsi="Times New Roman" w:cs="Times New Roman"/>
        </w:rPr>
        <w:t>remains a challenge</w:t>
      </w:r>
      <w:r w:rsidR="00BF785E" w:rsidRPr="00EE7E38">
        <w:rPr>
          <w:rFonts w:ascii="Times New Roman" w:hAnsi="Times New Roman" w:cs="Times New Roman"/>
        </w:rPr>
        <w:t xml:space="preserve">. </w:t>
      </w:r>
      <w:r w:rsidR="008430D7">
        <w:rPr>
          <w:rFonts w:ascii="Times New Roman" w:hAnsi="Times New Roman" w:cs="Times New Roman"/>
        </w:rPr>
        <w:t>Diagnostic</w:t>
      </w:r>
      <w:r w:rsidRPr="00EE7E38">
        <w:rPr>
          <w:rFonts w:ascii="Times New Roman" w:hAnsi="Times New Roman" w:cs="Times New Roman"/>
        </w:rPr>
        <w:t xml:space="preserve"> counseling and testing for HIV among TB patients </w:t>
      </w:r>
      <w:r w:rsidR="007C0973" w:rsidRPr="00EE7E38">
        <w:rPr>
          <w:rFonts w:ascii="Times New Roman" w:hAnsi="Times New Roman" w:cs="Times New Roman"/>
        </w:rPr>
        <w:t>does not exceed 70%. It is important to integrate TB screening in HIV/AIDS and Hepatitis C programs, especially at primary health care level.</w:t>
      </w:r>
    </w:p>
    <w:p w14:paraId="536250C9" w14:textId="77777777" w:rsidR="00540B31" w:rsidRPr="00EE7E38" w:rsidRDefault="005A003D">
      <w:pPr>
        <w:widowControl w:val="0"/>
        <w:numPr>
          <w:ilvl w:val="0"/>
          <w:numId w:val="7"/>
        </w:numPr>
        <w:spacing w:before="120" w:after="120" w:line="240" w:lineRule="auto"/>
        <w:jc w:val="both"/>
        <w:rPr>
          <w:rFonts w:ascii="Times New Roman" w:hAnsi="Times New Roman" w:cs="Times New Roman"/>
        </w:rPr>
      </w:pPr>
      <w:r w:rsidRPr="00EE7E38">
        <w:rPr>
          <w:rFonts w:ascii="Times New Roman" w:hAnsi="Times New Roman" w:cs="Times New Roman"/>
        </w:rPr>
        <w:t>Additional efforts are required to build capacity of staff in the specialized TB service as well as in primary health care; the latter should be reinforced to intensify TB case finding among symptomatic persons, contact tracing and improving referral practices.</w:t>
      </w:r>
    </w:p>
    <w:p w14:paraId="7DC21299" w14:textId="77777777" w:rsidR="005A003D" w:rsidRPr="00EE7E38" w:rsidRDefault="005A003D" w:rsidP="00835F94">
      <w:pPr>
        <w:widowControl w:val="0"/>
        <w:spacing w:before="120" w:after="120" w:line="240" w:lineRule="auto"/>
        <w:rPr>
          <w:rFonts w:ascii="Times New Roman" w:hAnsi="Times New Roman" w:cs="Times New Roman"/>
          <w:b/>
          <w:bCs/>
          <w:sz w:val="24"/>
          <w:szCs w:val="24"/>
        </w:rPr>
      </w:pPr>
      <w:r w:rsidRPr="00EE7E38">
        <w:rPr>
          <w:rFonts w:ascii="Times New Roman" w:hAnsi="Times New Roman" w:cs="Times New Roman"/>
          <w:b/>
          <w:bCs/>
          <w:sz w:val="24"/>
          <w:szCs w:val="24"/>
        </w:rPr>
        <w:t>Strategic Interventions</w:t>
      </w:r>
    </w:p>
    <w:p w14:paraId="195060C9" w14:textId="089C12D6"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Four Strategic Interventions have been identified for this component, which cover priority activities to support the achievement of the Plan’s objectives related to diagnosis. These include</w:t>
      </w:r>
      <w:r w:rsidR="008430D7">
        <w:rPr>
          <w:rFonts w:ascii="Times New Roman" w:hAnsi="Times New Roman" w:cs="Times New Roman"/>
        </w:rPr>
        <w:t>: 1)</w:t>
      </w:r>
      <w:r w:rsidRPr="00EE7E38">
        <w:rPr>
          <w:rFonts w:ascii="Times New Roman" w:hAnsi="Times New Roman" w:cs="Times New Roman"/>
        </w:rPr>
        <w:t xml:space="preserve"> support to rollout of rapid molecular testing at district level; </w:t>
      </w:r>
      <w:r w:rsidR="008430D7">
        <w:rPr>
          <w:rFonts w:ascii="Times New Roman" w:hAnsi="Times New Roman" w:cs="Times New Roman"/>
        </w:rPr>
        <w:t xml:space="preserve">2) </w:t>
      </w:r>
      <w:r w:rsidRPr="00EE7E38">
        <w:rPr>
          <w:rFonts w:ascii="Times New Roman" w:hAnsi="Times New Roman" w:cs="Times New Roman"/>
        </w:rPr>
        <w:t xml:space="preserve">implementation of WHO-recommended diagnostics in reference laboratories; </w:t>
      </w:r>
      <w:r w:rsidR="008430D7">
        <w:rPr>
          <w:rFonts w:ascii="Times New Roman" w:hAnsi="Times New Roman" w:cs="Times New Roman"/>
        </w:rPr>
        <w:t xml:space="preserve">3) </w:t>
      </w:r>
      <w:r w:rsidRPr="00EE7E38">
        <w:rPr>
          <w:rFonts w:ascii="Times New Roman" w:hAnsi="Times New Roman" w:cs="Times New Roman"/>
        </w:rPr>
        <w:t>improving contacts’ investigation, screening and active case finding; and</w:t>
      </w:r>
      <w:r w:rsidR="008430D7">
        <w:rPr>
          <w:rFonts w:ascii="Times New Roman" w:hAnsi="Times New Roman" w:cs="Times New Roman"/>
        </w:rPr>
        <w:t xml:space="preserve"> 4)</w:t>
      </w:r>
      <w:r w:rsidRPr="00EE7E38">
        <w:rPr>
          <w:rFonts w:ascii="Times New Roman" w:hAnsi="Times New Roman" w:cs="Times New Roman"/>
        </w:rPr>
        <w:t xml:space="preserve"> support to the routine operations of the laboratory service.</w:t>
      </w:r>
    </w:p>
    <w:p w14:paraId="3B9DB365" w14:textId="77777777" w:rsidR="005A003D" w:rsidRPr="00EE7E38" w:rsidRDefault="005A003D" w:rsidP="00835F94">
      <w:pPr>
        <w:widowControl w:val="0"/>
        <w:spacing w:before="120" w:after="120" w:line="240" w:lineRule="auto"/>
        <w:rPr>
          <w:rFonts w:ascii="Times New Roman" w:hAnsi="Times New Roman" w:cs="Times New Roman"/>
          <w:b/>
        </w:rPr>
      </w:pPr>
      <w:r w:rsidRPr="00EE7E38">
        <w:rPr>
          <w:rFonts w:ascii="Times New Roman" w:hAnsi="Times New Roman" w:cs="Times New Roman"/>
          <w:b/>
        </w:rPr>
        <w:t>1.1</w:t>
      </w:r>
      <w:r w:rsidRPr="00EE7E38">
        <w:rPr>
          <w:rFonts w:ascii="Times New Roman" w:hAnsi="Times New Roman" w:cs="Times New Roman"/>
          <w:b/>
        </w:rPr>
        <w:tab/>
        <w:t xml:space="preserve">Rollout of </w:t>
      </w:r>
      <w:proofErr w:type="spellStart"/>
      <w:r w:rsidRPr="00EE7E38">
        <w:rPr>
          <w:rFonts w:ascii="Times New Roman" w:hAnsi="Times New Roman" w:cs="Times New Roman"/>
          <w:b/>
        </w:rPr>
        <w:t>Xpert</w:t>
      </w:r>
      <w:proofErr w:type="spellEnd"/>
      <w:r w:rsidRPr="00EE7E38">
        <w:rPr>
          <w:rFonts w:ascii="Times New Roman" w:hAnsi="Times New Roman" w:cs="Times New Roman"/>
          <w:b/>
        </w:rPr>
        <w:t xml:space="preserve"> MTB/RIF technology</w:t>
      </w:r>
    </w:p>
    <w:p w14:paraId="2BF80242" w14:textId="665685F2"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According to the latest international standards</w:t>
      </w:r>
      <w:r w:rsidR="00E305DA">
        <w:rPr>
          <w:rFonts w:ascii="Times New Roman" w:hAnsi="Times New Roman" w:cs="Times New Roman"/>
        </w:rPr>
        <w:t>,</w:t>
      </w:r>
      <w:r w:rsidRPr="00EE7E38">
        <w:rPr>
          <w:rFonts w:ascii="Times New Roman" w:hAnsi="Times New Roman" w:cs="Times New Roman"/>
        </w:rPr>
        <w:t xml:space="preserve"> patients at risk for drug resistance should have rapid molecular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test performed as the initial diagnostic investigation for TB</w:t>
      </w:r>
      <w:r w:rsidR="003838EF" w:rsidRPr="00EE7E38">
        <w:rPr>
          <w:rFonts w:ascii="Times New Roman" w:hAnsi="Times New Roman" w:cs="Times New Roman"/>
        </w:rPr>
        <w:t>.</w:t>
      </w:r>
      <w:r w:rsidRPr="00EE7E38">
        <w:rPr>
          <w:rFonts w:ascii="Times New Roman" w:hAnsi="Times New Roman" w:cs="Times New Roman"/>
          <w:vertAlign w:val="superscript"/>
        </w:rPr>
        <w:footnoteReference w:id="18"/>
      </w:r>
      <w:r w:rsidRPr="00EE7E38">
        <w:rPr>
          <w:rFonts w:ascii="Times New Roman" w:hAnsi="Times New Roman" w:cs="Times New Roman"/>
        </w:rPr>
        <w:t xml:space="preserve"> This recommendation fully applies to Georgia as </w:t>
      </w:r>
      <w:r w:rsidR="00E305DA">
        <w:rPr>
          <w:rFonts w:ascii="Times New Roman" w:hAnsi="Times New Roman" w:cs="Times New Roman"/>
        </w:rPr>
        <w:t>a</w:t>
      </w:r>
      <w:r w:rsidR="00E305DA" w:rsidRPr="00EE7E38">
        <w:rPr>
          <w:rFonts w:ascii="Times New Roman" w:hAnsi="Times New Roman" w:cs="Times New Roman"/>
        </w:rPr>
        <w:t xml:space="preserve"> </w:t>
      </w:r>
      <w:r w:rsidRPr="00EE7E38">
        <w:rPr>
          <w:rFonts w:ascii="Times New Roman" w:hAnsi="Times New Roman" w:cs="Times New Roman"/>
        </w:rPr>
        <w:t xml:space="preserve">country with </w:t>
      </w:r>
      <w:r w:rsidR="00E305DA">
        <w:rPr>
          <w:rFonts w:ascii="Times New Roman" w:hAnsi="Times New Roman" w:cs="Times New Roman"/>
        </w:rPr>
        <w:t xml:space="preserve">a </w:t>
      </w:r>
      <w:r w:rsidRPr="00EE7E38">
        <w:rPr>
          <w:rFonts w:ascii="Times New Roman" w:hAnsi="Times New Roman" w:cs="Times New Roman"/>
        </w:rPr>
        <w:t xml:space="preserve">high </w:t>
      </w:r>
      <w:r w:rsidR="00E305DA">
        <w:rPr>
          <w:rFonts w:ascii="Times New Roman" w:hAnsi="Times New Roman" w:cs="Times New Roman"/>
        </w:rPr>
        <w:t xml:space="preserve">burden of </w:t>
      </w:r>
      <w:r w:rsidRPr="00EE7E38">
        <w:rPr>
          <w:rFonts w:ascii="Times New Roman" w:hAnsi="Times New Roman" w:cs="Times New Roman"/>
        </w:rPr>
        <w:t xml:space="preserve">drug resistance. Therefore, the rollout of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technology at the lowest service delivery level (district/municipality), where TB diagnosis is established, is one of the mainstays of the new TB laboratory strategy that is being developed. </w:t>
      </w:r>
    </w:p>
    <w:p w14:paraId="647B6C46" w14:textId="1395A750" w:rsidR="004F5E3D" w:rsidRPr="00EE7E38" w:rsidRDefault="00E935A6" w:rsidP="004F5E3D">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Sensitivity, specificity and diagnostic value of </w:t>
      </w:r>
      <w:proofErr w:type="spellStart"/>
      <w:r w:rsidR="005A003D" w:rsidRPr="00EE7E38">
        <w:rPr>
          <w:rFonts w:ascii="Times New Roman" w:hAnsi="Times New Roman" w:cs="Times New Roman"/>
        </w:rPr>
        <w:t>Xpert</w:t>
      </w:r>
      <w:proofErr w:type="spellEnd"/>
      <w:r w:rsidR="005A003D" w:rsidRPr="00EE7E38">
        <w:rPr>
          <w:rFonts w:ascii="Times New Roman" w:hAnsi="Times New Roman" w:cs="Times New Roman"/>
        </w:rPr>
        <w:t xml:space="preserve"> MTB/RIF test is</w:t>
      </w:r>
      <w:r w:rsidRPr="00EE7E38">
        <w:rPr>
          <w:rFonts w:ascii="Times New Roman" w:hAnsi="Times New Roman" w:cs="Times New Roman"/>
        </w:rPr>
        <w:t xml:space="preserve"> especially high for pulmonary </w:t>
      </w:r>
      <w:r w:rsidR="008D1E1C">
        <w:rPr>
          <w:rFonts w:ascii="Times New Roman" w:hAnsi="Times New Roman" w:cs="Times New Roman"/>
        </w:rPr>
        <w:t>TB</w:t>
      </w:r>
      <w:r w:rsidRPr="00EE7E38">
        <w:rPr>
          <w:rFonts w:ascii="Times New Roman" w:hAnsi="Times New Roman" w:cs="Times New Roman"/>
        </w:rPr>
        <w:t>.</w:t>
      </w:r>
      <w:r w:rsidR="005A003D" w:rsidRPr="00EE7E38">
        <w:rPr>
          <w:rFonts w:ascii="Times New Roman" w:hAnsi="Times New Roman" w:cs="Times New Roman"/>
        </w:rPr>
        <w:t xml:space="preserve"> In addition to identifying </w:t>
      </w:r>
      <w:r w:rsidR="005A003D" w:rsidRPr="00B241D0">
        <w:rPr>
          <w:rFonts w:ascii="Times New Roman" w:hAnsi="Times New Roman" w:cs="Times New Roman"/>
          <w:i/>
        </w:rPr>
        <w:t>M. Tuberculosis</w:t>
      </w:r>
      <w:r w:rsidR="005A003D" w:rsidRPr="00EE7E38">
        <w:rPr>
          <w:rFonts w:ascii="Times New Roman" w:hAnsi="Times New Roman" w:cs="Times New Roman"/>
        </w:rPr>
        <w:t xml:space="preserve">, </w:t>
      </w:r>
      <w:proofErr w:type="spellStart"/>
      <w:r w:rsidR="005A003D" w:rsidRPr="00EE7E38">
        <w:rPr>
          <w:rFonts w:ascii="Times New Roman" w:hAnsi="Times New Roman" w:cs="Times New Roman"/>
        </w:rPr>
        <w:t>Xpert</w:t>
      </w:r>
      <w:proofErr w:type="spellEnd"/>
      <w:r w:rsidR="005A003D" w:rsidRPr="00EE7E38">
        <w:rPr>
          <w:rFonts w:ascii="Times New Roman" w:hAnsi="Times New Roman" w:cs="Times New Roman"/>
        </w:rPr>
        <w:t xml:space="preserve"> detects resistance to Rifampicin, </w:t>
      </w:r>
      <w:r w:rsidR="00125438" w:rsidRPr="00EE7E38">
        <w:rPr>
          <w:rFonts w:ascii="Times New Roman" w:hAnsi="Times New Roman" w:cs="Times New Roman"/>
        </w:rPr>
        <w:t>w</w:t>
      </w:r>
      <w:r w:rsidR="004F5E3D" w:rsidRPr="00EE7E38">
        <w:rPr>
          <w:rFonts w:ascii="Times New Roman" w:hAnsi="Times New Roman" w:cs="Times New Roman"/>
        </w:rPr>
        <w:t xml:space="preserve">hich is critically important for detection of drug </w:t>
      </w:r>
      <w:r w:rsidR="005A44D9" w:rsidRPr="00EE7E38">
        <w:rPr>
          <w:rFonts w:ascii="Times New Roman" w:hAnsi="Times New Roman" w:cs="Times New Roman"/>
        </w:rPr>
        <w:t>resistant</w:t>
      </w:r>
      <w:r w:rsidR="004F5E3D" w:rsidRPr="00EE7E38">
        <w:rPr>
          <w:rFonts w:ascii="Times New Roman" w:hAnsi="Times New Roman" w:cs="Times New Roman"/>
        </w:rPr>
        <w:t xml:space="preserve"> forms and </w:t>
      </w:r>
      <w:r w:rsidR="005A44D9" w:rsidRPr="00EE7E38">
        <w:rPr>
          <w:rFonts w:ascii="Times New Roman" w:hAnsi="Times New Roman" w:cs="Times New Roman"/>
        </w:rPr>
        <w:t>timely initiation of effective</w:t>
      </w:r>
      <w:r w:rsidR="004F5E3D" w:rsidRPr="00EE7E38">
        <w:rPr>
          <w:rFonts w:ascii="Times New Roman" w:hAnsi="Times New Roman" w:cs="Times New Roman"/>
        </w:rPr>
        <w:t xml:space="preserve"> treatment. </w:t>
      </w:r>
      <w:proofErr w:type="spellStart"/>
      <w:r w:rsidR="004F5E3D" w:rsidRPr="00EE7E38">
        <w:rPr>
          <w:rFonts w:ascii="Times New Roman" w:hAnsi="Times New Roman" w:cs="Times New Roman"/>
        </w:rPr>
        <w:t>Xpert</w:t>
      </w:r>
      <w:proofErr w:type="spellEnd"/>
      <w:r w:rsidR="004F5E3D" w:rsidRPr="00EE7E38">
        <w:rPr>
          <w:rFonts w:ascii="Times New Roman" w:hAnsi="Times New Roman" w:cs="Times New Roman"/>
        </w:rPr>
        <w:t xml:space="preserve"> MTB/RIF technology can be also implemented in peripheral laboratories. Detailed recommendations on use of </w:t>
      </w:r>
      <w:proofErr w:type="spellStart"/>
      <w:r w:rsidR="004F5E3D" w:rsidRPr="00EE7E38">
        <w:rPr>
          <w:rFonts w:ascii="Times New Roman" w:hAnsi="Times New Roman" w:cs="Times New Roman"/>
        </w:rPr>
        <w:t>Xpert</w:t>
      </w:r>
      <w:proofErr w:type="spellEnd"/>
      <w:r w:rsidR="004F5E3D" w:rsidRPr="00EE7E38">
        <w:rPr>
          <w:rFonts w:ascii="Times New Roman" w:hAnsi="Times New Roman" w:cs="Times New Roman"/>
        </w:rPr>
        <w:t xml:space="preserve"> MTB/RIF technology for all ages and pulmonary and extrapulmonary forms of TB</w:t>
      </w:r>
      <w:r w:rsidR="005A44D9" w:rsidRPr="00EE7E38">
        <w:rPr>
          <w:rFonts w:ascii="Times New Roman" w:hAnsi="Times New Roman" w:cs="Times New Roman"/>
        </w:rPr>
        <w:t xml:space="preserve"> </w:t>
      </w:r>
      <w:r w:rsidR="004F5E3D" w:rsidRPr="00EE7E38">
        <w:rPr>
          <w:rFonts w:ascii="Times New Roman" w:hAnsi="Times New Roman" w:cs="Times New Roman"/>
        </w:rPr>
        <w:t xml:space="preserve">are </w:t>
      </w:r>
      <w:r w:rsidR="005A44D9" w:rsidRPr="00EE7E38">
        <w:rPr>
          <w:rFonts w:ascii="Times New Roman" w:hAnsi="Times New Roman" w:cs="Times New Roman"/>
        </w:rPr>
        <w:t xml:space="preserve">outlined in the National TB </w:t>
      </w:r>
      <w:r w:rsidR="005A44D9" w:rsidRPr="00EE7E38">
        <w:rPr>
          <w:rFonts w:ascii="Times New Roman" w:hAnsi="Times New Roman" w:cs="Times New Roman"/>
        </w:rPr>
        <w:lastRenderedPageBreak/>
        <w:t xml:space="preserve">Guidelines </w:t>
      </w:r>
      <w:r w:rsidR="004F5E3D" w:rsidRPr="00EE7E38">
        <w:rPr>
          <w:rFonts w:ascii="Times New Roman" w:hAnsi="Times New Roman" w:cs="Times New Roman"/>
        </w:rPr>
        <w:t xml:space="preserve">approved by </w:t>
      </w:r>
      <w:proofErr w:type="spellStart"/>
      <w:r w:rsidR="008D1E1C">
        <w:rPr>
          <w:rFonts w:ascii="Times New Roman" w:hAnsi="Times New Roman" w:cs="Times New Roman"/>
        </w:rPr>
        <w:t>MoLHSA</w:t>
      </w:r>
      <w:proofErr w:type="spellEnd"/>
      <w:r w:rsidR="004F5E3D" w:rsidRPr="00EE7E38">
        <w:rPr>
          <w:rFonts w:ascii="Times New Roman" w:hAnsi="Times New Roman" w:cs="Times New Roman"/>
        </w:rPr>
        <w:t>.</w:t>
      </w:r>
    </w:p>
    <w:p w14:paraId="6DF5B283" w14:textId="4896C9BC" w:rsidR="00DF72F7" w:rsidRPr="00EE7E38" w:rsidRDefault="004F5E3D" w:rsidP="004F5E3D">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Since 2016, the</w:t>
      </w:r>
      <w:r w:rsidR="005A44D9" w:rsidRPr="00EE7E38">
        <w:rPr>
          <w:rFonts w:ascii="Times New Roman" w:hAnsi="Times New Roman" w:cs="Times New Roman"/>
        </w:rPr>
        <w:t xml:space="preserve"> </w:t>
      </w:r>
      <w:r w:rsidR="008D1E1C">
        <w:rPr>
          <w:rFonts w:ascii="Times New Roman" w:hAnsi="Times New Roman" w:cs="Times New Roman"/>
        </w:rPr>
        <w:t>NTP</w:t>
      </w:r>
      <w:r w:rsidR="005A44D9" w:rsidRPr="00EE7E38">
        <w:rPr>
          <w:rFonts w:ascii="Times New Roman" w:hAnsi="Times New Roman" w:cs="Times New Roman"/>
        </w:rPr>
        <w:t xml:space="preserve"> has been using</w:t>
      </w:r>
      <w:r w:rsidRPr="00EE7E38">
        <w:rPr>
          <w:rFonts w:ascii="Times New Roman" w:hAnsi="Times New Roman" w:cs="Times New Roman"/>
        </w:rPr>
        <w:t xml:space="preserve">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test</w:t>
      </w:r>
      <w:r w:rsidR="008D1E1C">
        <w:rPr>
          <w:rFonts w:ascii="Times New Roman" w:hAnsi="Times New Roman" w:cs="Times New Roman"/>
        </w:rPr>
        <w:t>ing</w:t>
      </w:r>
      <w:r w:rsidRPr="00EE7E38">
        <w:rPr>
          <w:rFonts w:ascii="Times New Roman" w:hAnsi="Times New Roman" w:cs="Times New Roman"/>
        </w:rPr>
        <w:t xml:space="preserve"> for initial diagnoses of all cases of HIV-associated TB. According to the TB diagnostic algorithm,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-positive cases are followed </w:t>
      </w:r>
      <w:r w:rsidR="00DF72F7" w:rsidRPr="00EE7E38">
        <w:rPr>
          <w:rFonts w:ascii="Times New Roman" w:hAnsi="Times New Roman" w:cs="Times New Roman"/>
        </w:rPr>
        <w:t>with rapid culture</w:t>
      </w:r>
      <w:r w:rsidR="008D1E1C">
        <w:rPr>
          <w:rFonts w:ascii="Times New Roman" w:hAnsi="Times New Roman" w:cs="Times New Roman"/>
        </w:rPr>
        <w:t>,</w:t>
      </w:r>
      <w:r w:rsidR="00DF72F7" w:rsidRPr="00EE7E38">
        <w:rPr>
          <w:rFonts w:ascii="Times New Roman" w:hAnsi="Times New Roman" w:cs="Times New Roman"/>
        </w:rPr>
        <w:t xml:space="preserve"> bacteriological confirmation</w:t>
      </w:r>
      <w:r w:rsidR="008D1E1C">
        <w:rPr>
          <w:rFonts w:ascii="Times New Roman" w:hAnsi="Times New Roman" w:cs="Times New Roman"/>
        </w:rPr>
        <w:t xml:space="preserve">, </w:t>
      </w:r>
      <w:r w:rsidR="00DF72F7" w:rsidRPr="00EE7E38">
        <w:rPr>
          <w:rFonts w:ascii="Times New Roman" w:hAnsi="Times New Roman" w:cs="Times New Roman"/>
        </w:rPr>
        <w:t xml:space="preserve">and </w:t>
      </w:r>
      <w:r w:rsidR="008D1E1C">
        <w:rPr>
          <w:rFonts w:ascii="Times New Roman" w:hAnsi="Times New Roman" w:cs="Times New Roman"/>
        </w:rPr>
        <w:t>DST</w:t>
      </w:r>
      <w:r w:rsidR="00DF72F7" w:rsidRPr="00EE7E38">
        <w:rPr>
          <w:rFonts w:ascii="Times New Roman" w:hAnsi="Times New Roman" w:cs="Times New Roman"/>
        </w:rPr>
        <w:t xml:space="preserve"> to determine </w:t>
      </w:r>
      <w:r w:rsidR="008D1E1C">
        <w:rPr>
          <w:rFonts w:ascii="Times New Roman" w:hAnsi="Times New Roman" w:cs="Times New Roman"/>
        </w:rPr>
        <w:t xml:space="preserve">the </w:t>
      </w:r>
      <w:r w:rsidR="00DF72F7" w:rsidRPr="00EE7E38">
        <w:rPr>
          <w:rFonts w:ascii="Times New Roman" w:hAnsi="Times New Roman" w:cs="Times New Roman"/>
        </w:rPr>
        <w:t>complete resistance profile and</w:t>
      </w:r>
      <w:r w:rsidR="008D1E1C">
        <w:rPr>
          <w:rFonts w:ascii="Times New Roman" w:hAnsi="Times New Roman" w:cs="Times New Roman"/>
        </w:rPr>
        <w:t xml:space="preserve"> ensure</w:t>
      </w:r>
      <w:r w:rsidR="00DF72F7" w:rsidRPr="00EE7E38">
        <w:rPr>
          <w:rFonts w:ascii="Times New Roman" w:hAnsi="Times New Roman" w:cs="Times New Roman"/>
        </w:rPr>
        <w:t xml:space="preserve"> </w:t>
      </w:r>
      <w:r w:rsidR="008D1E1C" w:rsidRPr="00EE7E38">
        <w:rPr>
          <w:rFonts w:ascii="Times New Roman" w:hAnsi="Times New Roman" w:cs="Times New Roman"/>
        </w:rPr>
        <w:t>initiat</w:t>
      </w:r>
      <w:r w:rsidR="008D1E1C">
        <w:rPr>
          <w:rFonts w:ascii="Times New Roman" w:hAnsi="Times New Roman" w:cs="Times New Roman"/>
        </w:rPr>
        <w:t>ion of</w:t>
      </w:r>
      <w:r w:rsidR="00DF72F7" w:rsidRPr="00EE7E38">
        <w:rPr>
          <w:rFonts w:ascii="Times New Roman" w:hAnsi="Times New Roman" w:cs="Times New Roman"/>
        </w:rPr>
        <w:t xml:space="preserve"> effective treatment. </w:t>
      </w:r>
    </w:p>
    <w:p w14:paraId="05CE39D0" w14:textId="10250DFA" w:rsidR="004F5E3D" w:rsidRPr="00EE7E38" w:rsidRDefault="004F5E3D" w:rsidP="004F5E3D">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According to</w:t>
      </w:r>
      <w:r w:rsidR="00A252BA">
        <w:rPr>
          <w:rFonts w:ascii="Times New Roman" w:hAnsi="Times New Roman" w:cs="Times New Roman"/>
        </w:rPr>
        <w:t xml:space="preserve"> an</w:t>
      </w:r>
      <w:r w:rsidRPr="00EE7E38">
        <w:rPr>
          <w:rFonts w:ascii="Times New Roman" w:hAnsi="Times New Roman" w:cs="Times New Roman"/>
        </w:rPr>
        <w:t xml:space="preserve"> assessment conducted in 2015, a total of 54 </w:t>
      </w:r>
      <w:r w:rsidR="00DF72F7" w:rsidRPr="00EE7E38">
        <w:rPr>
          <w:rFonts w:ascii="Times New Roman" w:hAnsi="Times New Roman" w:cs="Times New Roman"/>
        </w:rPr>
        <w:t>machines</w:t>
      </w:r>
      <w:r w:rsidRPr="00EE7E38">
        <w:rPr>
          <w:rFonts w:ascii="Times New Roman" w:hAnsi="Times New Roman" w:cs="Times New Roman"/>
        </w:rPr>
        <w:t xml:space="preserve"> are required to ensure optimal access to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technologies</w:t>
      </w:r>
      <w:r w:rsidR="00DF72F7" w:rsidRPr="00EE7E38">
        <w:rPr>
          <w:rFonts w:ascii="Times New Roman" w:hAnsi="Times New Roman" w:cs="Times New Roman"/>
        </w:rPr>
        <w:t xml:space="preserve"> countrywide</w:t>
      </w:r>
      <w:r w:rsidR="00A252BA">
        <w:rPr>
          <w:rFonts w:ascii="Times New Roman" w:hAnsi="Times New Roman" w:cs="Times New Roman"/>
        </w:rPr>
        <w:t xml:space="preserve"> </w:t>
      </w:r>
      <w:r w:rsidR="00DF72F7" w:rsidRPr="00EE7E38">
        <w:rPr>
          <w:rFonts w:ascii="Times New Roman" w:hAnsi="Times New Roman" w:cs="Times New Roman"/>
        </w:rPr>
        <w:t xml:space="preserve">(these calculations took </w:t>
      </w:r>
      <w:r w:rsidR="00A252BA">
        <w:rPr>
          <w:rFonts w:ascii="Times New Roman" w:hAnsi="Times New Roman" w:cs="Times New Roman"/>
        </w:rPr>
        <w:t xml:space="preserve">into </w:t>
      </w:r>
      <w:r w:rsidR="00DF72F7" w:rsidRPr="00EE7E38">
        <w:rPr>
          <w:rFonts w:ascii="Times New Roman" w:hAnsi="Times New Roman" w:cs="Times New Roman"/>
        </w:rPr>
        <w:t xml:space="preserve">account of the size of population served in each territory, minimum workload thresholds, distances and transportation options for referring the patients to neighboring facilities). Georgia started implementation of </w:t>
      </w:r>
      <w:r w:rsidR="00F91A18">
        <w:rPr>
          <w:rFonts w:ascii="Times New Roman" w:hAnsi="Times New Roman" w:cs="Times New Roman"/>
        </w:rPr>
        <w:t xml:space="preserve">a </w:t>
      </w:r>
      <w:r w:rsidR="00DF72F7" w:rsidRPr="00EE7E38">
        <w:rPr>
          <w:rFonts w:ascii="Times New Roman" w:hAnsi="Times New Roman" w:cs="Times New Roman"/>
        </w:rPr>
        <w:t xml:space="preserve">GeneXpert roll out plan in 2017. By April 2018, there were </w:t>
      </w:r>
      <w:r w:rsidRPr="00EE7E38">
        <w:rPr>
          <w:rFonts w:ascii="Times New Roman" w:hAnsi="Times New Roman" w:cs="Times New Roman"/>
        </w:rPr>
        <w:t xml:space="preserve">38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devices </w:t>
      </w:r>
      <w:r w:rsidR="00DF72F7" w:rsidRPr="00EE7E38">
        <w:rPr>
          <w:rFonts w:ascii="Times New Roman" w:hAnsi="Times New Roman" w:cs="Times New Roman"/>
        </w:rPr>
        <w:t>installed</w:t>
      </w:r>
      <w:r w:rsidRPr="00EE7E38">
        <w:rPr>
          <w:rFonts w:ascii="Times New Roman" w:hAnsi="Times New Roman" w:cs="Times New Roman"/>
        </w:rPr>
        <w:t xml:space="preserve"> in </w:t>
      </w:r>
      <w:r w:rsidR="00DF72F7" w:rsidRPr="00EE7E38">
        <w:rPr>
          <w:rFonts w:ascii="Times New Roman" w:hAnsi="Times New Roman" w:cs="Times New Roman"/>
        </w:rPr>
        <w:t>selected locations and the number of test</w:t>
      </w:r>
      <w:r w:rsidR="00F91A18">
        <w:rPr>
          <w:rFonts w:ascii="Times New Roman" w:hAnsi="Times New Roman" w:cs="Times New Roman"/>
        </w:rPr>
        <w:t>s</w:t>
      </w:r>
      <w:r w:rsidR="00DF72F7" w:rsidRPr="00EE7E38">
        <w:rPr>
          <w:rFonts w:ascii="Times New Roman" w:hAnsi="Times New Roman" w:cs="Times New Roman"/>
        </w:rPr>
        <w:t xml:space="preserve"> conducted entirely covered the needs of the country. </w:t>
      </w:r>
      <w:r w:rsidR="00F91A18">
        <w:rPr>
          <w:rFonts w:ascii="Times New Roman" w:hAnsi="Times New Roman" w:cs="Times New Roman"/>
        </w:rPr>
        <w:t xml:space="preserve">A total of 18,520 tests were performed in 2016 and 22,062 tests were performed in 2017. </w:t>
      </w:r>
      <w:r w:rsidR="00642F41" w:rsidRPr="00EE7E38">
        <w:rPr>
          <w:rFonts w:ascii="Times New Roman" w:hAnsi="Times New Roman" w:cs="Times New Roman"/>
        </w:rPr>
        <w:t xml:space="preserve">As part of the FAST strategy rollout at </w:t>
      </w:r>
      <w:r w:rsidR="00CD3AC4">
        <w:rPr>
          <w:rFonts w:ascii="Times New Roman" w:hAnsi="Times New Roman" w:cs="Times New Roman"/>
        </w:rPr>
        <w:t xml:space="preserve">the </w:t>
      </w:r>
      <w:r w:rsidR="00D43D9A">
        <w:rPr>
          <w:rFonts w:ascii="Times New Roman" w:hAnsi="Times New Roman" w:cs="Times New Roman"/>
        </w:rPr>
        <w:t>district level,</w:t>
      </w:r>
      <w:r w:rsidR="00642F41" w:rsidRPr="00EE7E38">
        <w:rPr>
          <w:rFonts w:ascii="Times New Roman" w:hAnsi="Times New Roman" w:cs="Times New Roman"/>
        </w:rPr>
        <w:t xml:space="preserve"> this number will increase by </w:t>
      </w:r>
      <w:r w:rsidR="00CD3AC4">
        <w:rPr>
          <w:rFonts w:ascii="Times New Roman" w:hAnsi="Times New Roman" w:cs="Times New Roman"/>
        </w:rPr>
        <w:t xml:space="preserve">an </w:t>
      </w:r>
      <w:r w:rsidR="00642F41" w:rsidRPr="00EE7E38">
        <w:rPr>
          <w:rFonts w:ascii="Times New Roman" w:hAnsi="Times New Roman" w:cs="Times New Roman"/>
        </w:rPr>
        <w:t>additional 9000 test</w:t>
      </w:r>
      <w:r w:rsidR="00CD3AC4">
        <w:rPr>
          <w:rFonts w:ascii="Times New Roman" w:hAnsi="Times New Roman" w:cs="Times New Roman"/>
        </w:rPr>
        <w:t>s</w:t>
      </w:r>
      <w:r w:rsidR="00642F41" w:rsidRPr="00EE7E38">
        <w:rPr>
          <w:rFonts w:ascii="Times New Roman" w:hAnsi="Times New Roman" w:cs="Times New Roman"/>
        </w:rPr>
        <w:t xml:space="preserve"> in 2018. </w:t>
      </w:r>
      <w:r w:rsidRPr="00EE7E38">
        <w:rPr>
          <w:rFonts w:ascii="Times New Roman" w:hAnsi="Times New Roman" w:cs="Times New Roman"/>
        </w:rPr>
        <w:t>For rapid identification of Rifampicin resistance among HIV infected individuals</w:t>
      </w:r>
      <w:r w:rsidR="00CD3AC4">
        <w:rPr>
          <w:rFonts w:ascii="Times New Roman" w:hAnsi="Times New Roman" w:cs="Times New Roman"/>
        </w:rPr>
        <w:t>,</w:t>
      </w:r>
      <w:r w:rsidRPr="00EE7E38">
        <w:rPr>
          <w:rFonts w:ascii="Times New Roman" w:hAnsi="Times New Roman" w:cs="Times New Roman"/>
        </w:rPr>
        <w:t xml:space="preserve"> one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has been </w:t>
      </w:r>
      <w:r w:rsidR="00642F41" w:rsidRPr="00EE7E38">
        <w:rPr>
          <w:rFonts w:ascii="Times New Roman" w:hAnsi="Times New Roman" w:cs="Times New Roman"/>
        </w:rPr>
        <w:t>installed</w:t>
      </w:r>
      <w:r w:rsidRPr="00EE7E38">
        <w:rPr>
          <w:rFonts w:ascii="Times New Roman" w:hAnsi="Times New Roman" w:cs="Times New Roman"/>
        </w:rPr>
        <w:t xml:space="preserve"> in 2017 at JSC Infectious Disease, AIDS and Clinical Immunology Scient</w:t>
      </w:r>
      <w:r w:rsidR="00642F41" w:rsidRPr="00EE7E38">
        <w:rPr>
          <w:rFonts w:ascii="Times New Roman" w:hAnsi="Times New Roman" w:cs="Times New Roman"/>
        </w:rPr>
        <w:t>ific-practical center</w:t>
      </w:r>
      <w:r w:rsidR="00CD3AC4">
        <w:rPr>
          <w:rFonts w:ascii="Times New Roman" w:hAnsi="Times New Roman" w:cs="Times New Roman"/>
        </w:rPr>
        <w:t xml:space="preserve"> </w:t>
      </w:r>
      <w:proofErr w:type="spellStart"/>
      <w:r w:rsidR="00CD3AC4">
        <w:rPr>
          <w:rFonts w:ascii="Times New Roman" w:hAnsi="Times New Roman" w:cs="Times New Roman"/>
        </w:rPr>
        <w:t>in</w:t>
      </w:r>
      <w:r w:rsidR="00642F41" w:rsidRPr="00EE7E38">
        <w:rPr>
          <w:rFonts w:ascii="Times New Roman" w:hAnsi="Times New Roman" w:cs="Times New Roman"/>
        </w:rPr>
        <w:t>Tbilisi</w:t>
      </w:r>
      <w:proofErr w:type="spellEnd"/>
      <w:r w:rsidR="00642F41" w:rsidRPr="00EE7E38">
        <w:rPr>
          <w:rFonts w:ascii="Times New Roman" w:hAnsi="Times New Roman" w:cs="Times New Roman"/>
        </w:rPr>
        <w:t xml:space="preserve">. Since </w:t>
      </w:r>
      <w:r w:rsidRPr="00EE7E38">
        <w:rPr>
          <w:rFonts w:ascii="Times New Roman" w:hAnsi="Times New Roman" w:cs="Times New Roman"/>
        </w:rPr>
        <w:t xml:space="preserve">2015,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systems </w:t>
      </w:r>
      <w:r w:rsidR="00642F41" w:rsidRPr="00EE7E38">
        <w:rPr>
          <w:rFonts w:ascii="Times New Roman" w:hAnsi="Times New Roman" w:cs="Times New Roman"/>
        </w:rPr>
        <w:t>have been</w:t>
      </w:r>
      <w:r w:rsidRPr="00EE7E38">
        <w:rPr>
          <w:rFonts w:ascii="Times New Roman" w:hAnsi="Times New Roman" w:cs="Times New Roman"/>
        </w:rPr>
        <w:t xml:space="preserve"> function</w:t>
      </w:r>
      <w:r w:rsidR="00642F41" w:rsidRPr="00EE7E38">
        <w:rPr>
          <w:rFonts w:ascii="Times New Roman" w:hAnsi="Times New Roman" w:cs="Times New Roman"/>
        </w:rPr>
        <w:t>al</w:t>
      </w:r>
      <w:r w:rsidRPr="00EE7E38">
        <w:rPr>
          <w:rFonts w:ascii="Times New Roman" w:hAnsi="Times New Roman" w:cs="Times New Roman"/>
        </w:rPr>
        <w:t xml:space="preserve"> in </w:t>
      </w:r>
      <w:proofErr w:type="spellStart"/>
      <w:r w:rsidRPr="00EE7E38">
        <w:rPr>
          <w:rFonts w:ascii="Times New Roman" w:hAnsi="Times New Roman" w:cs="Times New Roman"/>
        </w:rPr>
        <w:t>Ksani</w:t>
      </w:r>
      <w:proofErr w:type="spellEnd"/>
      <w:r w:rsidRPr="00EE7E38">
        <w:rPr>
          <w:rFonts w:ascii="Times New Roman" w:hAnsi="Times New Roman" w:cs="Times New Roman"/>
        </w:rPr>
        <w:t xml:space="preserve"> and </w:t>
      </w:r>
      <w:proofErr w:type="spellStart"/>
      <w:r w:rsidRPr="00EE7E38">
        <w:rPr>
          <w:rFonts w:ascii="Times New Roman" w:hAnsi="Times New Roman" w:cs="Times New Roman"/>
        </w:rPr>
        <w:t>Gldani</w:t>
      </w:r>
      <w:proofErr w:type="spellEnd"/>
      <w:r w:rsidRPr="00EE7E38">
        <w:rPr>
          <w:rFonts w:ascii="Times New Roman" w:hAnsi="Times New Roman" w:cs="Times New Roman"/>
        </w:rPr>
        <w:t xml:space="preserve"> hospitals of the </w:t>
      </w:r>
      <w:r w:rsidR="00642F41" w:rsidRPr="00EE7E38">
        <w:rPr>
          <w:rFonts w:ascii="Times New Roman" w:hAnsi="Times New Roman" w:cs="Times New Roman"/>
        </w:rPr>
        <w:t>penitentiary</w:t>
      </w:r>
      <w:r w:rsidRPr="00EE7E38">
        <w:rPr>
          <w:rFonts w:ascii="Times New Roman" w:hAnsi="Times New Roman" w:cs="Times New Roman"/>
        </w:rPr>
        <w:t xml:space="preserve"> system.</w:t>
      </w:r>
    </w:p>
    <w:p w14:paraId="538C9B88" w14:textId="2B387B2F" w:rsidR="00642F41" w:rsidRPr="00EE7E38" w:rsidRDefault="00642F41" w:rsidP="004F5E3D">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Procurement of G</w:t>
      </w:r>
      <w:r w:rsidR="004F5E3D" w:rsidRPr="00EE7E38">
        <w:rPr>
          <w:rFonts w:ascii="Times New Roman" w:hAnsi="Times New Roman" w:cs="Times New Roman"/>
        </w:rPr>
        <w:t>eneXpert instruments in accordance with the National Strategy of 2016-2020 will be completed by the end of 20</w:t>
      </w:r>
      <w:r w:rsidRPr="00EE7E38">
        <w:rPr>
          <w:rFonts w:ascii="Times New Roman" w:hAnsi="Times New Roman" w:cs="Times New Roman"/>
        </w:rPr>
        <w:t>18. Starting from 2019</w:t>
      </w:r>
      <w:r w:rsidR="004F5E3D" w:rsidRPr="00EE7E38">
        <w:rPr>
          <w:rFonts w:ascii="Times New Roman" w:hAnsi="Times New Roman" w:cs="Times New Roman"/>
        </w:rPr>
        <w:t>, the NCDC&amp;P</w:t>
      </w:r>
      <w:r w:rsidRPr="00EE7E38">
        <w:rPr>
          <w:rFonts w:ascii="Times New Roman" w:hAnsi="Times New Roman" w:cs="Times New Roman"/>
        </w:rPr>
        <w:t xml:space="preserve">H and Referral Laboratory will coordinate phased rollout of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technologies nationwide. </w:t>
      </w:r>
      <w:r w:rsidR="00CD3AC4">
        <w:rPr>
          <w:rFonts w:ascii="Times New Roman" w:hAnsi="Times New Roman" w:cs="Times New Roman"/>
        </w:rPr>
        <w:t>Implementation</w:t>
      </w:r>
      <w:r w:rsidRPr="00EE7E38">
        <w:rPr>
          <w:rFonts w:ascii="Times New Roman" w:hAnsi="Times New Roman" w:cs="Times New Roman"/>
        </w:rPr>
        <w:t xml:space="preserve"> support will include health care workers capacity building, provision of cartridges</w:t>
      </w:r>
      <w:r w:rsidR="004F5E3D" w:rsidRPr="00EE7E38">
        <w:rPr>
          <w:rFonts w:ascii="Times New Roman" w:hAnsi="Times New Roman" w:cs="Times New Roman"/>
        </w:rPr>
        <w:t xml:space="preserve">, calibration/technical services and ongoing supervision for quality assurance. These measures will be implemented systematically </w:t>
      </w:r>
      <w:r w:rsidR="00CD3AC4">
        <w:rPr>
          <w:rFonts w:ascii="Times New Roman" w:hAnsi="Times New Roman" w:cs="Times New Roman"/>
        </w:rPr>
        <w:t>by the NTP, in collaboration with the NAP</w:t>
      </w:r>
      <w:r w:rsidR="004F5E3D" w:rsidRPr="00EE7E38">
        <w:rPr>
          <w:rFonts w:ascii="Times New Roman" w:hAnsi="Times New Roman" w:cs="Times New Roman"/>
        </w:rPr>
        <w:t xml:space="preserve">, for both </w:t>
      </w:r>
      <w:r w:rsidR="00CD3AC4">
        <w:rPr>
          <w:rFonts w:ascii="Times New Roman" w:hAnsi="Times New Roman" w:cs="Times New Roman"/>
        </w:rPr>
        <w:t>the</w:t>
      </w:r>
      <w:r w:rsidR="004F5E3D" w:rsidRPr="00EE7E38">
        <w:rPr>
          <w:rFonts w:ascii="Times New Roman" w:hAnsi="Times New Roman" w:cs="Times New Roman"/>
        </w:rPr>
        <w:t xml:space="preserve"> civil and penitentiary sectors.</w:t>
      </w:r>
    </w:p>
    <w:p w14:paraId="5437885F"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717787CA"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National consultants </w:t>
      </w:r>
      <w:r w:rsidRPr="00EE7E38">
        <w:rPr>
          <w:rFonts w:ascii="Times New Roman" w:hAnsi="Times New Roman" w:cs="Times New Roman"/>
        </w:rPr>
        <w:t xml:space="preserve">will be employed to </w:t>
      </w:r>
      <w:r w:rsidR="00E740A5" w:rsidRPr="00EE7E38">
        <w:rPr>
          <w:rFonts w:ascii="Times New Roman" w:hAnsi="Times New Roman" w:cs="Times New Roman"/>
        </w:rPr>
        <w:t>support</w:t>
      </w:r>
      <w:r w:rsidRPr="00EE7E38">
        <w:rPr>
          <w:rFonts w:ascii="Times New Roman" w:hAnsi="Times New Roman" w:cs="Times New Roman"/>
        </w:rPr>
        <w:t xml:space="preserve">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rollout, conduct training of local providers, facilitate and supervise implementation in each of the country regions.</w:t>
      </w:r>
    </w:p>
    <w:p w14:paraId="11A14413" w14:textId="30DA950A"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Training of staff in </w:t>
      </w:r>
      <w:proofErr w:type="spellStart"/>
      <w:r w:rsidRPr="00EE7E38">
        <w:rPr>
          <w:rFonts w:ascii="Times New Roman" w:hAnsi="Times New Roman" w:cs="Times New Roman"/>
          <w:i/>
          <w:iCs/>
        </w:rPr>
        <w:t>Xpert</w:t>
      </w:r>
      <w:proofErr w:type="spellEnd"/>
      <w:r w:rsidRPr="00EE7E38">
        <w:rPr>
          <w:rFonts w:ascii="Times New Roman" w:hAnsi="Times New Roman" w:cs="Times New Roman"/>
          <w:i/>
          <w:iCs/>
        </w:rPr>
        <w:t xml:space="preserve"> MTB/RIF. </w:t>
      </w:r>
      <w:r w:rsidRPr="00EE7E38">
        <w:rPr>
          <w:rFonts w:ascii="Times New Roman" w:hAnsi="Times New Roman" w:cs="Times New Roman"/>
        </w:rPr>
        <w:t xml:space="preserve">Appropriate training on practical issues related to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rollout will be provided for staff involved in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rollout including health care managers at </w:t>
      </w:r>
      <w:r w:rsidR="00CD3AC4">
        <w:rPr>
          <w:rFonts w:ascii="Times New Roman" w:hAnsi="Times New Roman" w:cs="Times New Roman"/>
        </w:rPr>
        <w:t xml:space="preserve">the </w:t>
      </w:r>
      <w:r w:rsidRPr="00EE7E38">
        <w:rPr>
          <w:rFonts w:ascii="Times New Roman" w:hAnsi="Times New Roman" w:cs="Times New Roman"/>
        </w:rPr>
        <w:t>district level, TB specialists</w:t>
      </w:r>
      <w:r w:rsidR="000F76E0" w:rsidRPr="00EE7E38">
        <w:rPr>
          <w:rFonts w:ascii="Times New Roman" w:hAnsi="Times New Roman" w:cs="Times New Roman"/>
        </w:rPr>
        <w:t xml:space="preserve"> and l</w:t>
      </w:r>
      <w:r w:rsidRPr="00EE7E38">
        <w:rPr>
          <w:rFonts w:ascii="Times New Roman" w:hAnsi="Times New Roman" w:cs="Times New Roman"/>
        </w:rPr>
        <w:t>aboratory personnel</w:t>
      </w:r>
      <w:r w:rsidR="000F76E0" w:rsidRPr="00EE7E38">
        <w:rPr>
          <w:rFonts w:ascii="Times New Roman" w:hAnsi="Times New Roman" w:cs="Times New Roman"/>
        </w:rPr>
        <w:t>.</w:t>
      </w:r>
      <w:r w:rsidR="0062339F" w:rsidRPr="00EE7E38">
        <w:rPr>
          <w:rFonts w:ascii="Times New Roman" w:hAnsi="Times New Roman" w:cs="Times New Roman"/>
        </w:rPr>
        <w:t xml:space="preserve"> Refresher trainings are planned once </w:t>
      </w:r>
      <w:r w:rsidR="00CD3AC4">
        <w:rPr>
          <w:rFonts w:ascii="Times New Roman" w:hAnsi="Times New Roman" w:cs="Times New Roman"/>
        </w:rPr>
        <w:t>every</w:t>
      </w:r>
      <w:r w:rsidR="0062339F" w:rsidRPr="00EE7E38">
        <w:rPr>
          <w:rFonts w:ascii="Times New Roman" w:hAnsi="Times New Roman" w:cs="Times New Roman"/>
        </w:rPr>
        <w:t xml:space="preserve"> two years.</w:t>
      </w:r>
      <w:r w:rsidR="000F76E0" w:rsidRPr="00EE7E38">
        <w:rPr>
          <w:rFonts w:ascii="Times New Roman" w:hAnsi="Times New Roman" w:cs="Times New Roman"/>
        </w:rPr>
        <w:t xml:space="preserve"> </w:t>
      </w:r>
    </w:p>
    <w:p w14:paraId="72BD51C2" w14:textId="4D63881B" w:rsidR="00E740A5"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Procurement of </w:t>
      </w:r>
      <w:proofErr w:type="spellStart"/>
      <w:r w:rsidRPr="00EE7E38">
        <w:rPr>
          <w:rFonts w:ascii="Times New Roman" w:hAnsi="Times New Roman" w:cs="Times New Roman"/>
          <w:i/>
          <w:iCs/>
        </w:rPr>
        <w:t>Xpert</w:t>
      </w:r>
      <w:proofErr w:type="spellEnd"/>
      <w:r w:rsidRPr="00EE7E38">
        <w:rPr>
          <w:rFonts w:ascii="Times New Roman" w:hAnsi="Times New Roman" w:cs="Times New Roman"/>
          <w:i/>
          <w:iCs/>
        </w:rPr>
        <w:t xml:space="preserve"> MTB/RIF instruments, other equipment and supplies (cartridges</w:t>
      </w:r>
      <w:r w:rsidR="00E740A5" w:rsidRPr="00EE7E38">
        <w:rPr>
          <w:rFonts w:ascii="Times New Roman" w:hAnsi="Times New Roman" w:cs="Times New Roman"/>
          <w:i/>
          <w:iCs/>
        </w:rPr>
        <w:t>)</w:t>
      </w:r>
      <w:r w:rsidRPr="00EE7E38">
        <w:rPr>
          <w:rFonts w:ascii="Times New Roman" w:hAnsi="Times New Roman" w:cs="Times New Roman"/>
          <w:iCs/>
        </w:rPr>
        <w:t xml:space="preserve">. </w:t>
      </w:r>
      <w:r w:rsidR="00E740A5" w:rsidRPr="00EE7E38">
        <w:rPr>
          <w:rFonts w:ascii="Times New Roman" w:hAnsi="Times New Roman" w:cs="Times New Roman"/>
          <w:iCs/>
        </w:rPr>
        <w:t>By 2016 Georgia ha</w:t>
      </w:r>
      <w:r w:rsidR="00CD3AC4">
        <w:rPr>
          <w:rFonts w:ascii="Times New Roman" w:hAnsi="Times New Roman" w:cs="Times New Roman"/>
          <w:iCs/>
        </w:rPr>
        <w:t>d</w:t>
      </w:r>
      <w:r w:rsidR="00E740A5" w:rsidRPr="00EE7E38">
        <w:rPr>
          <w:rFonts w:ascii="Times New Roman" w:hAnsi="Times New Roman" w:cs="Times New Roman"/>
          <w:iCs/>
        </w:rPr>
        <w:t xml:space="preserve"> achieved </w:t>
      </w:r>
      <w:r w:rsidR="00CD3AC4">
        <w:rPr>
          <w:rFonts w:ascii="Times New Roman" w:hAnsi="Times New Roman" w:cs="Times New Roman"/>
          <w:iCs/>
        </w:rPr>
        <w:t xml:space="preserve">87% </w:t>
      </w:r>
      <w:r w:rsidR="00E740A5" w:rsidRPr="00EE7E38">
        <w:rPr>
          <w:rFonts w:ascii="Times New Roman" w:hAnsi="Times New Roman" w:cs="Times New Roman"/>
          <w:iCs/>
        </w:rPr>
        <w:t xml:space="preserve">coverage of targets groups with </w:t>
      </w:r>
      <w:proofErr w:type="spellStart"/>
      <w:r w:rsidR="00E740A5" w:rsidRPr="00EE7E38">
        <w:rPr>
          <w:rFonts w:ascii="Times New Roman" w:hAnsi="Times New Roman" w:cs="Times New Roman"/>
          <w:iCs/>
        </w:rPr>
        <w:t>Xpert</w:t>
      </w:r>
      <w:proofErr w:type="spellEnd"/>
      <w:r w:rsidR="00E740A5" w:rsidRPr="00EE7E38">
        <w:rPr>
          <w:rFonts w:ascii="Times New Roman" w:hAnsi="Times New Roman" w:cs="Times New Roman"/>
          <w:iCs/>
        </w:rPr>
        <w:t xml:space="preserve"> testing as primary diagnostic tool. </w:t>
      </w:r>
      <w:r w:rsidR="00954511" w:rsidRPr="00EE7E38">
        <w:rPr>
          <w:rFonts w:ascii="Times New Roman" w:hAnsi="Times New Roman" w:cs="Times New Roman"/>
          <w:iCs/>
        </w:rPr>
        <w:t>During</w:t>
      </w:r>
      <w:r w:rsidR="00E740A5" w:rsidRPr="00EE7E38">
        <w:rPr>
          <w:rFonts w:ascii="Times New Roman" w:hAnsi="Times New Roman" w:cs="Times New Roman"/>
          <w:iCs/>
        </w:rPr>
        <w:t xml:space="preserve"> the strategy implementation period</w:t>
      </w:r>
      <w:r w:rsidR="00CD3AC4">
        <w:rPr>
          <w:rFonts w:ascii="Times New Roman" w:hAnsi="Times New Roman" w:cs="Times New Roman"/>
          <w:iCs/>
        </w:rPr>
        <w:t xml:space="preserve">, coverage should approach 100%. </w:t>
      </w:r>
      <w:r w:rsidR="00E740A5" w:rsidRPr="00EE7E38">
        <w:rPr>
          <w:rFonts w:ascii="Times New Roman" w:hAnsi="Times New Roman" w:cs="Times New Roman"/>
          <w:iCs/>
        </w:rPr>
        <w:t xml:space="preserve"> </w:t>
      </w:r>
    </w:p>
    <w:p w14:paraId="63F67CE8"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Maintenance and servicing of </w:t>
      </w:r>
      <w:proofErr w:type="spellStart"/>
      <w:r w:rsidRPr="00EE7E38">
        <w:rPr>
          <w:rFonts w:ascii="Times New Roman" w:hAnsi="Times New Roman" w:cs="Times New Roman"/>
          <w:i/>
          <w:iCs/>
        </w:rPr>
        <w:t>Xpert</w:t>
      </w:r>
      <w:proofErr w:type="spellEnd"/>
      <w:r w:rsidRPr="00EE7E38">
        <w:rPr>
          <w:rFonts w:ascii="Times New Roman" w:hAnsi="Times New Roman" w:cs="Times New Roman"/>
          <w:i/>
          <w:iCs/>
        </w:rPr>
        <w:t xml:space="preserve"> MTB/RIF instruments</w:t>
      </w:r>
      <w:r w:rsidRPr="00EE7E38">
        <w:rPr>
          <w:rFonts w:ascii="Times New Roman" w:hAnsi="Times New Roman" w:cs="Times New Roman"/>
        </w:rPr>
        <w:t>. The coverage of costs of calibration, regular checkups and maintenance, replacement of modules and other repairs by an authorized service provider, will be ensured as the mandatory requirement for successful and uninterrupted implementation of the nove</w:t>
      </w:r>
      <w:r w:rsidR="000F76E0" w:rsidRPr="00EE7E38">
        <w:rPr>
          <w:rFonts w:ascii="Times New Roman" w:hAnsi="Times New Roman" w:cs="Times New Roman"/>
        </w:rPr>
        <w:t>l technology.</w:t>
      </w:r>
    </w:p>
    <w:p w14:paraId="0222ACD2" w14:textId="40B80B0F" w:rsidR="00540B31" w:rsidRPr="00EE7E38" w:rsidRDefault="00CD3AC4">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Supervision / monitoring of </w:t>
      </w:r>
      <w:proofErr w:type="spellStart"/>
      <w:r w:rsidRPr="00EE7E38">
        <w:rPr>
          <w:rFonts w:ascii="Times New Roman" w:hAnsi="Times New Roman" w:cs="Times New Roman"/>
          <w:i/>
          <w:iCs/>
        </w:rPr>
        <w:t>Xpert</w:t>
      </w:r>
      <w:proofErr w:type="spellEnd"/>
      <w:r w:rsidRPr="00EE7E38">
        <w:rPr>
          <w:rFonts w:ascii="Times New Roman" w:hAnsi="Times New Roman" w:cs="Times New Roman"/>
          <w:i/>
          <w:iCs/>
        </w:rPr>
        <w:t xml:space="preserve"> MTB/RIF</w:t>
      </w:r>
      <w:r>
        <w:rPr>
          <w:rFonts w:ascii="Times New Roman" w:hAnsi="Times New Roman" w:cs="Times New Roman"/>
          <w:i/>
          <w:iCs/>
        </w:rPr>
        <w:t xml:space="preserve">. </w:t>
      </w:r>
      <w:r w:rsidR="00585B3E" w:rsidRPr="00EE7E38">
        <w:rPr>
          <w:rFonts w:ascii="Times New Roman" w:hAnsi="Times New Roman" w:cs="Times New Roman"/>
        </w:rPr>
        <w:t>NCDCPH</w:t>
      </w:r>
      <w:r w:rsidR="00585B3E" w:rsidRPr="00EE7E38">
        <w:rPr>
          <w:rFonts w:ascii="Times New Roman" w:hAnsi="Times New Roman" w:cs="Times New Roman"/>
          <w:i/>
          <w:iCs/>
        </w:rPr>
        <w:t xml:space="preserve"> </w:t>
      </w:r>
      <w:r w:rsidR="00585B3E" w:rsidRPr="00EE7E38">
        <w:rPr>
          <w:rFonts w:ascii="Times New Roman" w:hAnsi="Times New Roman" w:cs="Times New Roman"/>
        </w:rPr>
        <w:t>with assistance from the national consultants</w:t>
      </w:r>
      <w:r w:rsidR="00585B3E" w:rsidRPr="00EE7E38">
        <w:rPr>
          <w:rFonts w:ascii="Times New Roman" w:hAnsi="Times New Roman" w:cs="Times New Roman"/>
          <w:i/>
          <w:iCs/>
        </w:rPr>
        <w:t xml:space="preserve"> </w:t>
      </w:r>
      <w:r w:rsidR="00585B3E" w:rsidRPr="00EE7E38">
        <w:rPr>
          <w:rFonts w:ascii="Times New Roman" w:hAnsi="Times New Roman" w:cs="Times New Roman"/>
          <w:iCs/>
        </w:rPr>
        <w:t xml:space="preserve">and in collaboration with </w:t>
      </w:r>
      <w:r w:rsidR="00585B3E" w:rsidRPr="00EE7E38">
        <w:rPr>
          <w:rFonts w:ascii="Times New Roman" w:hAnsi="Times New Roman" w:cs="Times New Roman"/>
        </w:rPr>
        <w:t xml:space="preserve">NCTLD will continue </w:t>
      </w:r>
      <w:r>
        <w:rPr>
          <w:rFonts w:ascii="Times New Roman" w:hAnsi="Times New Roman" w:cs="Times New Roman"/>
          <w:iCs/>
        </w:rPr>
        <w:t>s</w:t>
      </w:r>
      <w:r w:rsidR="005A003D" w:rsidRPr="00B241D0">
        <w:rPr>
          <w:rFonts w:ascii="Times New Roman" w:hAnsi="Times New Roman" w:cs="Times New Roman"/>
          <w:iCs/>
        </w:rPr>
        <w:t>upervision</w:t>
      </w:r>
      <w:r>
        <w:rPr>
          <w:rFonts w:ascii="Times New Roman" w:hAnsi="Times New Roman" w:cs="Times New Roman"/>
          <w:iCs/>
        </w:rPr>
        <w:t xml:space="preserve"> and </w:t>
      </w:r>
      <w:r w:rsidR="005A003D" w:rsidRPr="00B241D0">
        <w:rPr>
          <w:rFonts w:ascii="Times New Roman" w:hAnsi="Times New Roman" w:cs="Times New Roman"/>
          <w:iCs/>
        </w:rPr>
        <w:t xml:space="preserve">monitoring of </w:t>
      </w:r>
      <w:proofErr w:type="spellStart"/>
      <w:r w:rsidR="005A003D" w:rsidRPr="00B241D0">
        <w:rPr>
          <w:rFonts w:ascii="Times New Roman" w:hAnsi="Times New Roman" w:cs="Times New Roman"/>
          <w:iCs/>
        </w:rPr>
        <w:t>Xpert</w:t>
      </w:r>
      <w:proofErr w:type="spellEnd"/>
      <w:r w:rsidR="005A003D" w:rsidRPr="00B241D0">
        <w:rPr>
          <w:rFonts w:ascii="Times New Roman" w:hAnsi="Times New Roman" w:cs="Times New Roman"/>
          <w:iCs/>
        </w:rPr>
        <w:t xml:space="preserve"> MTB/RIF implementation</w:t>
      </w:r>
      <w:r w:rsidR="005A003D" w:rsidRPr="00EE7E38">
        <w:rPr>
          <w:rFonts w:ascii="Times New Roman" w:hAnsi="Times New Roman" w:cs="Times New Roman"/>
          <w:iCs/>
        </w:rPr>
        <w:t xml:space="preserve"> at district level TB units</w:t>
      </w:r>
      <w:r w:rsidR="00126822" w:rsidRPr="00EE7E38">
        <w:rPr>
          <w:rFonts w:ascii="Times New Roman" w:hAnsi="Times New Roman" w:cs="Times New Roman"/>
          <w:iCs/>
        </w:rPr>
        <w:t xml:space="preserve"> and</w:t>
      </w:r>
      <w:r w:rsidR="005A003D" w:rsidRPr="00EE7E38">
        <w:rPr>
          <w:rFonts w:ascii="Times New Roman" w:hAnsi="Times New Roman" w:cs="Times New Roman"/>
          <w:iCs/>
        </w:rPr>
        <w:t xml:space="preserve"> penitentiary facilities</w:t>
      </w:r>
      <w:r w:rsidR="00585B3E" w:rsidRPr="00EE7E38">
        <w:rPr>
          <w:rFonts w:ascii="Times New Roman" w:hAnsi="Times New Roman" w:cs="Times New Roman"/>
        </w:rPr>
        <w:t>.</w:t>
      </w:r>
      <w:r w:rsidR="00585B3E" w:rsidRPr="00EE7E38">
        <w:rPr>
          <w:rFonts w:ascii="Times New Roman" w:hAnsi="Times New Roman" w:cs="Times New Roman"/>
          <w:i/>
          <w:iCs/>
        </w:rPr>
        <w:t xml:space="preserve"> </w:t>
      </w:r>
      <w:r w:rsidR="005A003D" w:rsidRPr="00EE7E38">
        <w:rPr>
          <w:rFonts w:ascii="Times New Roman" w:hAnsi="Times New Roman" w:cs="Times New Roman"/>
        </w:rPr>
        <w:t xml:space="preserve">A monitoring </w:t>
      </w:r>
      <w:r w:rsidR="00783451" w:rsidRPr="00EE7E38">
        <w:rPr>
          <w:rFonts w:ascii="Times New Roman" w:hAnsi="Times New Roman" w:cs="Times New Roman"/>
        </w:rPr>
        <w:t xml:space="preserve">and evaluation component of </w:t>
      </w:r>
      <w:proofErr w:type="spellStart"/>
      <w:r w:rsidR="00783451" w:rsidRPr="00EE7E38">
        <w:rPr>
          <w:rFonts w:ascii="Times New Roman" w:hAnsi="Times New Roman" w:cs="Times New Roman"/>
          <w:i/>
          <w:iCs/>
        </w:rPr>
        <w:t>Xpert</w:t>
      </w:r>
      <w:proofErr w:type="spellEnd"/>
      <w:r w:rsidR="00783451" w:rsidRPr="00EE7E38">
        <w:rPr>
          <w:rFonts w:ascii="Times New Roman" w:hAnsi="Times New Roman" w:cs="Times New Roman"/>
          <w:i/>
          <w:iCs/>
        </w:rPr>
        <w:t xml:space="preserve"> MTB/RIF </w:t>
      </w:r>
      <w:r w:rsidR="00783451" w:rsidRPr="00EE7E38">
        <w:rPr>
          <w:rFonts w:ascii="Times New Roman" w:hAnsi="Times New Roman" w:cs="Times New Roman"/>
        </w:rPr>
        <w:t xml:space="preserve">will be gradually integrated in </w:t>
      </w:r>
      <w:r>
        <w:rPr>
          <w:rFonts w:ascii="Times New Roman" w:hAnsi="Times New Roman" w:cs="Times New Roman"/>
        </w:rPr>
        <w:t>NTP</w:t>
      </w:r>
      <w:r w:rsidR="00783451" w:rsidRPr="00EE7E38">
        <w:rPr>
          <w:rFonts w:ascii="Times New Roman" w:hAnsi="Times New Roman" w:cs="Times New Roman"/>
        </w:rPr>
        <w:t xml:space="preserve"> monitoring and evaluation framework</w:t>
      </w:r>
      <w:r w:rsidR="005A003D" w:rsidRPr="00EE7E38">
        <w:rPr>
          <w:rFonts w:ascii="Times New Roman" w:hAnsi="Times New Roman" w:cs="Times New Roman"/>
        </w:rPr>
        <w:t xml:space="preserve">. </w:t>
      </w:r>
    </w:p>
    <w:p w14:paraId="074CB448" w14:textId="6F8D22DA"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Workshops and coordination meetings on </w:t>
      </w:r>
      <w:proofErr w:type="spellStart"/>
      <w:r w:rsidRPr="00EE7E38">
        <w:rPr>
          <w:rFonts w:ascii="Times New Roman" w:hAnsi="Times New Roman" w:cs="Times New Roman"/>
          <w:i/>
          <w:iCs/>
        </w:rPr>
        <w:t>Xpert</w:t>
      </w:r>
      <w:proofErr w:type="spellEnd"/>
      <w:r w:rsidRPr="00EE7E38">
        <w:rPr>
          <w:rFonts w:ascii="Times New Roman" w:hAnsi="Times New Roman" w:cs="Times New Roman"/>
          <w:i/>
          <w:iCs/>
        </w:rPr>
        <w:t xml:space="preserve"> MTB/RIF rollout</w:t>
      </w:r>
      <w:r w:rsidRPr="00EE7E38">
        <w:rPr>
          <w:rFonts w:ascii="Times New Roman" w:hAnsi="Times New Roman" w:cs="Times New Roman"/>
        </w:rPr>
        <w:t xml:space="preserve">. Regular coordination meetings and workshops will take place with participation of providers from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testing sites, NTP and local health care managers, in order to exchange implementation experiences, monitor progress and plan next steps.</w:t>
      </w:r>
    </w:p>
    <w:p w14:paraId="24ACE648" w14:textId="77777777" w:rsidR="005A003D" w:rsidRPr="00EE7E38" w:rsidRDefault="005A003D" w:rsidP="00835F94">
      <w:pPr>
        <w:widowControl w:val="0"/>
        <w:spacing w:before="120" w:after="120" w:line="240" w:lineRule="auto"/>
        <w:rPr>
          <w:rFonts w:ascii="Times New Roman" w:hAnsi="Times New Roman" w:cs="Times New Roman"/>
          <w:b/>
        </w:rPr>
      </w:pPr>
      <w:r w:rsidRPr="00EE7E38">
        <w:rPr>
          <w:rFonts w:ascii="Times New Roman" w:hAnsi="Times New Roman" w:cs="Times New Roman"/>
          <w:b/>
        </w:rPr>
        <w:t>1.2</w:t>
      </w:r>
      <w:r w:rsidRPr="00EE7E38">
        <w:rPr>
          <w:rFonts w:ascii="Times New Roman" w:hAnsi="Times New Roman" w:cs="Times New Roman"/>
          <w:b/>
        </w:rPr>
        <w:tab/>
        <w:t>TB diagnostic investigations at regional and national level</w:t>
      </w:r>
    </w:p>
    <w:p w14:paraId="180B2480" w14:textId="7624C17E" w:rsidR="00AB074D" w:rsidRPr="00EE7E38" w:rsidRDefault="00E740A5" w:rsidP="0077013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network of TB diagnostic services i</w:t>
      </w:r>
      <w:r w:rsidR="008B06C4">
        <w:rPr>
          <w:rFonts w:ascii="Times New Roman" w:hAnsi="Times New Roman" w:cs="Times New Roman"/>
        </w:rPr>
        <w:t>n</w:t>
      </w:r>
      <w:r w:rsidRPr="00EE7E38">
        <w:rPr>
          <w:rFonts w:ascii="Times New Roman" w:hAnsi="Times New Roman" w:cs="Times New Roman"/>
        </w:rPr>
        <w:t xml:space="preserve"> Georgia </w:t>
      </w:r>
      <w:r w:rsidR="008B06C4">
        <w:rPr>
          <w:rFonts w:ascii="Times New Roman" w:hAnsi="Times New Roman" w:cs="Times New Roman"/>
        </w:rPr>
        <w:t xml:space="preserve">is </w:t>
      </w:r>
      <w:r w:rsidRPr="00EE7E38">
        <w:rPr>
          <w:rFonts w:ascii="Times New Roman" w:hAnsi="Times New Roman" w:cs="Times New Roman"/>
        </w:rPr>
        <w:t xml:space="preserve">being developed in line with the latest international recommendations. </w:t>
      </w:r>
      <w:r w:rsidR="00A742CB" w:rsidRPr="00EE7E38">
        <w:rPr>
          <w:rFonts w:ascii="Times New Roman" w:hAnsi="Times New Roman" w:cs="Times New Roman"/>
        </w:rPr>
        <w:t xml:space="preserve"> According to </w:t>
      </w:r>
      <w:r w:rsidRPr="00EE7E38">
        <w:rPr>
          <w:rFonts w:ascii="Times New Roman" w:hAnsi="Times New Roman" w:cs="Times New Roman"/>
        </w:rPr>
        <w:t xml:space="preserve">the </w:t>
      </w:r>
      <w:r w:rsidR="00A742CB" w:rsidRPr="00EE7E38">
        <w:rPr>
          <w:rFonts w:ascii="Times New Roman" w:hAnsi="Times New Roman" w:cs="Times New Roman"/>
        </w:rPr>
        <w:t>Laboratory Network Development Pla</w:t>
      </w:r>
      <w:r w:rsidR="00770133" w:rsidRPr="00EE7E38">
        <w:rPr>
          <w:rFonts w:ascii="Times New Roman" w:hAnsi="Times New Roman" w:cs="Times New Roman"/>
        </w:rPr>
        <w:t xml:space="preserve">n </w:t>
      </w:r>
      <w:r w:rsidRPr="00EE7E38">
        <w:rPr>
          <w:rFonts w:ascii="Times New Roman" w:hAnsi="Times New Roman" w:cs="Times New Roman"/>
        </w:rPr>
        <w:t>t</w:t>
      </w:r>
      <w:r w:rsidR="00770133" w:rsidRPr="00EE7E38">
        <w:rPr>
          <w:rFonts w:ascii="Times New Roman" w:hAnsi="Times New Roman" w:cs="Times New Roman"/>
        </w:rPr>
        <w:t xml:space="preserve">he </w:t>
      </w:r>
      <w:r w:rsidR="008B06C4">
        <w:rPr>
          <w:rFonts w:ascii="Times New Roman" w:hAnsi="Times New Roman" w:cs="Times New Roman"/>
        </w:rPr>
        <w:t xml:space="preserve">NRL </w:t>
      </w:r>
      <w:r w:rsidR="00770133" w:rsidRPr="00EE7E38">
        <w:rPr>
          <w:rFonts w:ascii="Times New Roman" w:hAnsi="Times New Roman" w:cs="Times New Roman"/>
        </w:rPr>
        <w:t>in Tbilis</w:t>
      </w:r>
      <w:r w:rsidR="00AB074D" w:rsidRPr="00EE7E38">
        <w:rPr>
          <w:rFonts w:ascii="Times New Roman" w:hAnsi="Times New Roman" w:cs="Times New Roman"/>
        </w:rPr>
        <w:t>i and Zonal Diagnostic L</w:t>
      </w:r>
      <w:r w:rsidR="00770133" w:rsidRPr="00EE7E38">
        <w:rPr>
          <w:rFonts w:ascii="Times New Roman" w:hAnsi="Times New Roman" w:cs="Times New Roman"/>
        </w:rPr>
        <w:t xml:space="preserve">aboratory </w:t>
      </w:r>
      <w:r w:rsidR="00AB074D" w:rsidRPr="00EE7E38">
        <w:rPr>
          <w:rFonts w:ascii="Times New Roman" w:hAnsi="Times New Roman" w:cs="Times New Roman"/>
        </w:rPr>
        <w:t xml:space="preserve">in Kutaisi </w:t>
      </w:r>
      <w:r w:rsidR="00770133" w:rsidRPr="00EE7E38">
        <w:rPr>
          <w:rFonts w:ascii="Times New Roman" w:hAnsi="Times New Roman" w:cs="Times New Roman"/>
        </w:rPr>
        <w:t xml:space="preserve">perform </w:t>
      </w:r>
      <w:r w:rsidR="00AB074D" w:rsidRPr="00EE7E38">
        <w:rPr>
          <w:rFonts w:ascii="Times New Roman" w:hAnsi="Times New Roman" w:cs="Times New Roman"/>
        </w:rPr>
        <w:t xml:space="preserve">entire spectrum </w:t>
      </w:r>
      <w:r w:rsidR="00770133" w:rsidRPr="00EE7E38">
        <w:rPr>
          <w:rFonts w:ascii="Times New Roman" w:hAnsi="Times New Roman" w:cs="Times New Roman"/>
        </w:rPr>
        <w:t>of TB tests, includ</w:t>
      </w:r>
      <w:r w:rsidR="00AB074D" w:rsidRPr="00EE7E38">
        <w:rPr>
          <w:rFonts w:ascii="Times New Roman" w:hAnsi="Times New Roman" w:cs="Times New Roman"/>
        </w:rPr>
        <w:t>ing the direct smear microscop</w:t>
      </w:r>
      <w:r w:rsidR="00770133" w:rsidRPr="00EE7E38">
        <w:rPr>
          <w:rFonts w:ascii="Times New Roman" w:hAnsi="Times New Roman" w:cs="Times New Roman"/>
        </w:rPr>
        <w:t xml:space="preserve">y, </w:t>
      </w:r>
      <w:proofErr w:type="spellStart"/>
      <w:r w:rsidR="00770133" w:rsidRPr="00EE7E38">
        <w:rPr>
          <w:rFonts w:ascii="Times New Roman" w:hAnsi="Times New Roman" w:cs="Times New Roman"/>
        </w:rPr>
        <w:t>Xpert</w:t>
      </w:r>
      <w:proofErr w:type="spellEnd"/>
      <w:r w:rsidR="00770133" w:rsidRPr="00EE7E38">
        <w:rPr>
          <w:rFonts w:ascii="Times New Roman" w:hAnsi="Times New Roman" w:cs="Times New Roman"/>
        </w:rPr>
        <w:t xml:space="preserve"> MTB/RIF, automated mycobacterial growth indication tube (MGIT) technology for rapid isolation of strains in liquid culture and accelerated </w:t>
      </w:r>
      <w:r w:rsidR="008B06C4">
        <w:rPr>
          <w:rFonts w:ascii="Times New Roman" w:hAnsi="Times New Roman" w:cs="Times New Roman"/>
        </w:rPr>
        <w:t>DST</w:t>
      </w:r>
      <w:r w:rsidR="00770133" w:rsidRPr="00EE7E38">
        <w:rPr>
          <w:rFonts w:ascii="Times New Roman" w:hAnsi="Times New Roman" w:cs="Times New Roman"/>
        </w:rPr>
        <w:t xml:space="preserve">, automated genetic LPA technology for rapid </w:t>
      </w:r>
      <w:r w:rsidR="00770133" w:rsidRPr="00EE7E38">
        <w:rPr>
          <w:rFonts w:ascii="Times New Roman" w:hAnsi="Times New Roman" w:cs="Times New Roman"/>
        </w:rPr>
        <w:lastRenderedPageBreak/>
        <w:t xml:space="preserve">identification of </w:t>
      </w:r>
      <w:r w:rsidR="00770133" w:rsidRPr="00B241D0">
        <w:rPr>
          <w:rFonts w:ascii="Times New Roman" w:hAnsi="Times New Roman" w:cs="Times New Roman"/>
          <w:i/>
        </w:rPr>
        <w:t>M</w:t>
      </w:r>
      <w:r w:rsidR="008B06C4">
        <w:rPr>
          <w:rFonts w:ascii="Times New Roman" w:hAnsi="Times New Roman" w:cs="Times New Roman"/>
          <w:i/>
        </w:rPr>
        <w:t>.</w:t>
      </w:r>
      <w:r w:rsidR="00770133" w:rsidRPr="00B241D0">
        <w:rPr>
          <w:rFonts w:ascii="Times New Roman" w:hAnsi="Times New Roman" w:cs="Times New Roman"/>
          <w:i/>
        </w:rPr>
        <w:t xml:space="preserve"> tuberculosis</w:t>
      </w:r>
      <w:r w:rsidR="00770133" w:rsidRPr="00EE7E38">
        <w:rPr>
          <w:rFonts w:ascii="Times New Roman" w:hAnsi="Times New Roman" w:cs="Times New Roman"/>
        </w:rPr>
        <w:t xml:space="preserve"> and detection isoniazid/rifampicin resistance, as well as sensitivity testing for second-line drugs.</w:t>
      </w:r>
    </w:p>
    <w:p w14:paraId="7E84109C" w14:textId="692143BB" w:rsidR="00AB074D" w:rsidRPr="00EE7E38" w:rsidRDefault="00770133" w:rsidP="0077013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According to WHO</w:t>
      </w:r>
      <w:r w:rsidR="008B06C4">
        <w:rPr>
          <w:rFonts w:ascii="Times New Roman" w:hAnsi="Times New Roman" w:cs="Times New Roman"/>
        </w:rPr>
        <w:t xml:space="preserve"> </w:t>
      </w:r>
      <w:r w:rsidRPr="00EE7E38">
        <w:rPr>
          <w:rFonts w:ascii="Times New Roman" w:hAnsi="Times New Roman" w:cs="Times New Roman"/>
        </w:rPr>
        <w:t xml:space="preserve">recommendations, the priority of </w:t>
      </w:r>
      <w:r w:rsidR="008B06C4">
        <w:rPr>
          <w:rFonts w:ascii="Times New Roman" w:hAnsi="Times New Roman" w:cs="Times New Roman"/>
        </w:rPr>
        <w:t>the NTP</w:t>
      </w:r>
      <w:r w:rsidRPr="00EE7E38">
        <w:rPr>
          <w:rFonts w:ascii="Times New Roman" w:hAnsi="Times New Roman" w:cs="Times New Roman"/>
        </w:rPr>
        <w:t xml:space="preserve"> is the development of </w:t>
      </w:r>
      <w:r w:rsidR="00E740A5" w:rsidRPr="00EE7E38">
        <w:rPr>
          <w:rFonts w:ascii="Times New Roman" w:hAnsi="Times New Roman" w:cs="Times New Roman"/>
        </w:rPr>
        <w:t>culturing</w:t>
      </w:r>
      <w:r w:rsidRPr="00EE7E38">
        <w:rPr>
          <w:rFonts w:ascii="Times New Roman" w:hAnsi="Times New Roman" w:cs="Times New Roman"/>
        </w:rPr>
        <w:t xml:space="preserve"> techniques on liquid media (e.g. </w:t>
      </w:r>
      <w:r w:rsidR="008B06C4">
        <w:rPr>
          <w:rFonts w:ascii="Times New Roman" w:hAnsi="Times New Roman" w:cs="Times New Roman"/>
        </w:rPr>
        <w:t>MGIT</w:t>
      </w:r>
      <w:r w:rsidRPr="00EE7E38">
        <w:rPr>
          <w:rFonts w:ascii="Times New Roman" w:hAnsi="Times New Roman" w:cs="Times New Roman"/>
        </w:rPr>
        <w:t xml:space="preserve"> system). </w:t>
      </w:r>
    </w:p>
    <w:p w14:paraId="2B7E2B85" w14:textId="617D7C44" w:rsidR="00AB074D" w:rsidRPr="00EE7E38" w:rsidRDefault="00E740A5" w:rsidP="00770133">
      <w:pPr>
        <w:widowControl w:val="0"/>
        <w:spacing w:before="120" w:after="120" w:line="240" w:lineRule="auto"/>
        <w:jc w:val="both"/>
        <w:rPr>
          <w:rFonts w:ascii="Times New Roman" w:hAnsi="Times New Roman" w:cs="Times New Roman"/>
          <w:lang w:val="ka-GE"/>
        </w:rPr>
      </w:pPr>
      <w:r w:rsidRPr="00EE7E38">
        <w:rPr>
          <w:rFonts w:ascii="Times New Roman" w:hAnsi="Times New Roman" w:cs="Times New Roman"/>
        </w:rPr>
        <w:t xml:space="preserve">Since </w:t>
      </w:r>
      <w:r w:rsidR="00770133" w:rsidRPr="00EE7E38">
        <w:rPr>
          <w:rFonts w:ascii="Times New Roman" w:hAnsi="Times New Roman" w:cs="Times New Roman"/>
        </w:rPr>
        <w:t xml:space="preserve">2017, </w:t>
      </w:r>
      <w:r w:rsidRPr="00EE7E38">
        <w:rPr>
          <w:rFonts w:ascii="Times New Roman" w:hAnsi="Times New Roman" w:cs="Times New Roman"/>
        </w:rPr>
        <w:t xml:space="preserve">NTP </w:t>
      </w:r>
      <w:r w:rsidR="00770133" w:rsidRPr="00EE7E38">
        <w:rPr>
          <w:rFonts w:ascii="Times New Roman" w:hAnsi="Times New Roman" w:cs="Times New Roman"/>
        </w:rPr>
        <w:t>cultur</w:t>
      </w:r>
      <w:r w:rsidR="008B06C4">
        <w:rPr>
          <w:rFonts w:ascii="Times New Roman" w:hAnsi="Times New Roman" w:cs="Times New Roman"/>
        </w:rPr>
        <w:t>e</w:t>
      </w:r>
      <w:r w:rsidR="00770133" w:rsidRPr="00EE7E38">
        <w:rPr>
          <w:rFonts w:ascii="Times New Roman" w:hAnsi="Times New Roman" w:cs="Times New Roman"/>
        </w:rPr>
        <w:t xml:space="preserve"> testing </w:t>
      </w:r>
      <w:r w:rsidRPr="00EE7E38">
        <w:rPr>
          <w:rFonts w:ascii="Times New Roman" w:hAnsi="Times New Roman" w:cs="Times New Roman"/>
        </w:rPr>
        <w:t>has been</w:t>
      </w:r>
      <w:r w:rsidR="00770133" w:rsidRPr="00EE7E38">
        <w:rPr>
          <w:rFonts w:ascii="Times New Roman" w:hAnsi="Times New Roman" w:cs="Times New Roman"/>
        </w:rPr>
        <w:t xml:space="preserve"> carried out in full capacity</w:t>
      </w:r>
      <w:r w:rsidRPr="00EE7E38">
        <w:rPr>
          <w:rFonts w:ascii="Times New Roman" w:hAnsi="Times New Roman" w:cs="Times New Roman"/>
        </w:rPr>
        <w:t>, and s</w:t>
      </w:r>
      <w:r w:rsidR="00770133" w:rsidRPr="00EE7E38">
        <w:rPr>
          <w:rFonts w:ascii="Times New Roman" w:hAnsi="Times New Roman" w:cs="Times New Roman"/>
        </w:rPr>
        <w:t xml:space="preserve">ensitivity tests for the first and second line drugs </w:t>
      </w:r>
      <w:r w:rsidRPr="00EE7E38">
        <w:rPr>
          <w:rFonts w:ascii="Times New Roman" w:hAnsi="Times New Roman" w:cs="Times New Roman"/>
        </w:rPr>
        <w:t>have been</w:t>
      </w:r>
      <w:r w:rsidR="00770133" w:rsidRPr="00EE7E38">
        <w:rPr>
          <w:rFonts w:ascii="Times New Roman" w:hAnsi="Times New Roman" w:cs="Times New Roman"/>
        </w:rPr>
        <w:t xml:space="preserve"> performed on liquid media (MGIT). Cultu</w:t>
      </w:r>
      <w:r w:rsidR="001666D8" w:rsidRPr="00EE7E38">
        <w:rPr>
          <w:rFonts w:ascii="Times New Roman" w:hAnsi="Times New Roman" w:cs="Times New Roman"/>
        </w:rPr>
        <w:t>re test</w:t>
      </w:r>
      <w:r w:rsidR="00770133" w:rsidRPr="00EE7E38">
        <w:rPr>
          <w:rFonts w:ascii="Times New Roman" w:hAnsi="Times New Roman" w:cs="Times New Roman"/>
        </w:rPr>
        <w:t xml:space="preserve"> on solid media (except for research purposes) is carried out in accordance with MGIT guidelines and also to assess contradictory</w:t>
      </w:r>
      <w:r w:rsidR="00A856CD" w:rsidRPr="00EE7E38">
        <w:rPr>
          <w:rFonts w:ascii="Times New Roman" w:hAnsi="Times New Roman" w:cs="Times New Roman"/>
        </w:rPr>
        <w:t xml:space="preserve"> results of TB laboratory tests</w:t>
      </w:r>
      <w:r w:rsidR="001666D8" w:rsidRPr="00EE7E38">
        <w:rPr>
          <w:rFonts w:ascii="Times New Roman" w:hAnsi="Times New Roman" w:cs="Times New Roman"/>
        </w:rPr>
        <w:t>.</w:t>
      </w:r>
    </w:p>
    <w:p w14:paraId="22584C55" w14:textId="2756783B" w:rsidR="003819C1" w:rsidRPr="00EE7E38" w:rsidRDefault="003819C1" w:rsidP="0077013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use of LPA (MTB-DR</w:t>
      </w:r>
      <w:r w:rsidR="001666D8" w:rsidRPr="00EE7E38">
        <w:rPr>
          <w:rFonts w:ascii="Times New Roman" w:hAnsi="Times New Roman" w:cs="Times New Roman"/>
        </w:rPr>
        <w:t xml:space="preserve"> </w:t>
      </w:r>
      <w:r w:rsidRPr="00EE7E38">
        <w:rPr>
          <w:rFonts w:ascii="Times New Roman" w:hAnsi="Times New Roman" w:cs="Times New Roman"/>
        </w:rPr>
        <w:t>plus) method is recommended for direct testing of culture i</w:t>
      </w:r>
      <w:r w:rsidR="00AB074D" w:rsidRPr="00EE7E38">
        <w:rPr>
          <w:rFonts w:ascii="Times New Roman" w:hAnsi="Times New Roman" w:cs="Times New Roman"/>
        </w:rPr>
        <w:t xml:space="preserve">solates and smear-positive sputum </w:t>
      </w:r>
      <w:r w:rsidR="00A856CD" w:rsidRPr="00EE7E38">
        <w:rPr>
          <w:rFonts w:ascii="Times New Roman" w:hAnsi="Times New Roman" w:cs="Times New Roman"/>
        </w:rPr>
        <w:t>specimens</w:t>
      </w:r>
      <w:r w:rsidRPr="00EE7E38">
        <w:rPr>
          <w:rFonts w:ascii="Times New Roman" w:hAnsi="Times New Roman" w:cs="Times New Roman"/>
        </w:rPr>
        <w:t>. As of now the direct use of LPA (MTB-DR</w:t>
      </w:r>
      <w:r w:rsidR="001666D8" w:rsidRPr="00EE7E38">
        <w:rPr>
          <w:rFonts w:ascii="Times New Roman" w:hAnsi="Times New Roman" w:cs="Times New Roman"/>
        </w:rPr>
        <w:t xml:space="preserve"> </w:t>
      </w:r>
      <w:r w:rsidRPr="00EE7E38">
        <w:rPr>
          <w:rFonts w:ascii="Times New Roman" w:hAnsi="Times New Roman" w:cs="Times New Roman"/>
        </w:rPr>
        <w:t xml:space="preserve">plus) method is not recommended on smear-negative samples. The use of LPA </w:t>
      </w:r>
      <w:proofErr w:type="spellStart"/>
      <w:r w:rsidRPr="00EE7E38">
        <w:rPr>
          <w:rFonts w:ascii="Times New Roman" w:hAnsi="Times New Roman" w:cs="Times New Roman"/>
        </w:rPr>
        <w:t>MTBDRsl</w:t>
      </w:r>
      <w:proofErr w:type="spellEnd"/>
      <w:r w:rsidRPr="00EE7E38">
        <w:rPr>
          <w:rFonts w:ascii="Times New Roman" w:hAnsi="Times New Roman" w:cs="Times New Roman"/>
        </w:rPr>
        <w:t xml:space="preserve"> method is recommended for direct testing of culture isolates, smear-positive and smear-negative sputum samples. In this case</w:t>
      </w:r>
      <w:r w:rsidR="003A046E">
        <w:rPr>
          <w:rFonts w:ascii="Times New Roman" w:hAnsi="Times New Roman" w:cs="Times New Roman"/>
        </w:rPr>
        <w:t>,</w:t>
      </w:r>
      <w:r w:rsidRPr="00EE7E38">
        <w:rPr>
          <w:rFonts w:ascii="Times New Roman" w:hAnsi="Times New Roman" w:cs="Times New Roman"/>
        </w:rPr>
        <w:t xml:space="preserve"> culturing of specimens is mandatory. </w:t>
      </w:r>
      <w:r w:rsidR="005A5A80" w:rsidRPr="00EE7E38" w:rsidDel="00AB074D">
        <w:rPr>
          <w:rFonts w:ascii="Times New Roman" w:hAnsi="Times New Roman" w:cs="Times New Roman"/>
        </w:rPr>
        <w:t>The above laboratory methods at the reference level (ZDL Kutaisi and NRL) will be applied in strict conformity to the revised diagnostic algorithm, which will be implemented to support the new laboratory network strategy</w:t>
      </w:r>
      <w:r w:rsidRPr="00EE7E38">
        <w:rPr>
          <w:rFonts w:ascii="Times New Roman" w:hAnsi="Times New Roman" w:cs="Times New Roman"/>
        </w:rPr>
        <w:t xml:space="preserve">. </w:t>
      </w:r>
    </w:p>
    <w:p w14:paraId="5BBE56CA" w14:textId="53998E13"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Passive case finding through examination of symptomatic individuals </w:t>
      </w:r>
      <w:r w:rsidR="006463CE">
        <w:rPr>
          <w:rFonts w:ascii="Times New Roman" w:hAnsi="Times New Roman" w:cs="Times New Roman"/>
        </w:rPr>
        <w:t xml:space="preserve">who present at medical institutions </w:t>
      </w:r>
      <w:r w:rsidRPr="00EE7E38">
        <w:rPr>
          <w:rFonts w:ascii="Times New Roman" w:hAnsi="Times New Roman" w:cs="Times New Roman"/>
        </w:rPr>
        <w:t xml:space="preserve">will remain the main method for TB detection. Active case finding (ACF) will be performed in special population groups (described below under Intervention 1.3). It is planned that, by the middle of the period covered by this Plan, TB diagnosis in Georgia will be established by </w:t>
      </w:r>
      <w:r w:rsidR="006A3079" w:rsidRPr="00EE7E38">
        <w:rPr>
          <w:rFonts w:ascii="Times New Roman" w:hAnsi="Times New Roman" w:cs="Times New Roman"/>
        </w:rPr>
        <w:t>32</w:t>
      </w:r>
      <w:r w:rsidRPr="00EE7E38">
        <w:rPr>
          <w:rFonts w:ascii="Times New Roman" w:hAnsi="Times New Roman" w:cs="Times New Roman"/>
        </w:rPr>
        <w:t xml:space="preserve"> units at four levels; the details on the institutions per level, type of investigations and other responsibilities within the network are given in Table </w:t>
      </w:r>
      <w:r w:rsidR="00084062" w:rsidRPr="00EE7E38">
        <w:rPr>
          <w:rFonts w:ascii="Times New Roman" w:hAnsi="Times New Roman" w:cs="Times New Roman"/>
        </w:rPr>
        <w:t>4</w:t>
      </w:r>
      <w:r w:rsidRPr="00EE7E38">
        <w:rPr>
          <w:rFonts w:ascii="Times New Roman" w:hAnsi="Times New Roman" w:cs="Times New Roman"/>
        </w:rPr>
        <w:t xml:space="preserve"> below.</w:t>
      </w:r>
    </w:p>
    <w:p w14:paraId="30147041" w14:textId="77777777" w:rsidR="00317BA1" w:rsidRPr="00EE7E38" w:rsidRDefault="00317BA1" w:rsidP="00317BA1">
      <w:pPr>
        <w:pStyle w:val="Caption"/>
        <w:keepNext/>
        <w:rPr>
          <w:rFonts w:ascii="Times New Roman" w:hAnsi="Times New Roman" w:cs="Times New Roman"/>
        </w:rPr>
      </w:pPr>
      <w:r w:rsidRPr="00EE7E38">
        <w:rPr>
          <w:rFonts w:ascii="Times New Roman" w:hAnsi="Times New Roman" w:cs="Times New Roman"/>
        </w:rPr>
        <w:t xml:space="preserve">Table </w:t>
      </w:r>
      <w:r w:rsidR="00190629"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00190629" w:rsidRPr="00EE7E38">
        <w:rPr>
          <w:rFonts w:ascii="Times New Roman" w:hAnsi="Times New Roman" w:cs="Times New Roman"/>
        </w:rPr>
        <w:fldChar w:fldCharType="separate"/>
      </w:r>
      <w:r w:rsidR="00676B83" w:rsidRPr="00EE7E38">
        <w:rPr>
          <w:rFonts w:ascii="Times New Roman" w:hAnsi="Times New Roman" w:cs="Times New Roman"/>
          <w:noProof/>
        </w:rPr>
        <w:t>3</w:t>
      </w:r>
      <w:r w:rsidR="00190629" w:rsidRPr="00EE7E38">
        <w:rPr>
          <w:rFonts w:ascii="Times New Roman" w:hAnsi="Times New Roman" w:cs="Times New Roman"/>
        </w:rPr>
        <w:fldChar w:fldCharType="end"/>
      </w:r>
      <w:r w:rsidR="001666D8" w:rsidRPr="00EE7E38">
        <w:rPr>
          <w:rFonts w:ascii="Times New Roman" w:hAnsi="Times New Roman" w:cs="Times New Roman"/>
        </w:rPr>
        <w:t xml:space="preserve">: Planned </w:t>
      </w:r>
      <w:r w:rsidRPr="00EE7E38">
        <w:rPr>
          <w:rFonts w:ascii="Times New Roman" w:hAnsi="Times New Roman" w:cs="Times New Roman"/>
        </w:rPr>
        <w:t>structure of the TB diagnostic network in Georgia</w:t>
      </w:r>
    </w:p>
    <w:tbl>
      <w:tblPr>
        <w:tblStyle w:val="TableGrid"/>
        <w:tblW w:w="0" w:type="auto"/>
        <w:tblLook w:val="04A0" w:firstRow="1" w:lastRow="0" w:firstColumn="1" w:lastColumn="0" w:noHBand="0" w:noVBand="1"/>
      </w:tblPr>
      <w:tblGrid>
        <w:gridCol w:w="1526"/>
        <w:gridCol w:w="3260"/>
        <w:gridCol w:w="2693"/>
        <w:gridCol w:w="2268"/>
      </w:tblGrid>
      <w:tr w:rsidR="005A003D" w:rsidRPr="00EE7E38" w14:paraId="7FE08115" w14:textId="77777777" w:rsidTr="004030DD">
        <w:tc>
          <w:tcPr>
            <w:tcW w:w="1526" w:type="dxa"/>
          </w:tcPr>
          <w:p w14:paraId="1B234488" w14:textId="77777777" w:rsidR="005A003D" w:rsidRPr="00EE7E38" w:rsidRDefault="005A003D" w:rsidP="00835F94">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Level</w:t>
            </w:r>
          </w:p>
        </w:tc>
        <w:tc>
          <w:tcPr>
            <w:tcW w:w="3260" w:type="dxa"/>
          </w:tcPr>
          <w:p w14:paraId="3308E3DB" w14:textId="77777777" w:rsidR="005A003D" w:rsidRPr="00EE7E38" w:rsidRDefault="005A003D" w:rsidP="00835F94">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Institutions</w:t>
            </w:r>
          </w:p>
        </w:tc>
        <w:tc>
          <w:tcPr>
            <w:tcW w:w="2693" w:type="dxa"/>
          </w:tcPr>
          <w:p w14:paraId="771A2937" w14:textId="77777777" w:rsidR="005A003D" w:rsidRPr="00EE7E38" w:rsidRDefault="005A003D" w:rsidP="00835F94">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 xml:space="preserve">Range of investigations </w:t>
            </w:r>
            <w:r w:rsidRPr="00EE7E38">
              <w:rPr>
                <w:rFonts w:ascii="Times New Roman" w:hAnsi="Times New Roman" w:cs="Times New Roman"/>
                <w:b/>
                <w:i/>
                <w:sz w:val="20"/>
                <w:szCs w:val="20"/>
              </w:rPr>
              <w:br/>
              <w:t>to be performed</w:t>
            </w:r>
          </w:p>
        </w:tc>
        <w:tc>
          <w:tcPr>
            <w:tcW w:w="2268" w:type="dxa"/>
          </w:tcPr>
          <w:p w14:paraId="41AC08F5" w14:textId="77777777" w:rsidR="005A003D" w:rsidRPr="00EE7E38" w:rsidRDefault="005A003D" w:rsidP="00835F94">
            <w:pPr>
              <w:widowControl w:val="0"/>
              <w:spacing w:before="40" w:after="40"/>
              <w:jc w:val="center"/>
              <w:rPr>
                <w:rFonts w:ascii="Times New Roman" w:hAnsi="Times New Roman" w:cs="Times New Roman"/>
                <w:b/>
                <w:i/>
                <w:sz w:val="20"/>
                <w:szCs w:val="20"/>
              </w:rPr>
            </w:pPr>
            <w:r w:rsidRPr="00EE7E38">
              <w:rPr>
                <w:rFonts w:ascii="Times New Roman" w:hAnsi="Times New Roman" w:cs="Times New Roman"/>
                <w:b/>
                <w:i/>
                <w:sz w:val="20"/>
                <w:szCs w:val="20"/>
              </w:rPr>
              <w:t>Other responsibilities</w:t>
            </w:r>
          </w:p>
        </w:tc>
      </w:tr>
      <w:tr w:rsidR="005A003D" w:rsidRPr="00EE7E38" w14:paraId="3A337271" w14:textId="77777777" w:rsidTr="004030DD">
        <w:tc>
          <w:tcPr>
            <w:tcW w:w="1526" w:type="dxa"/>
          </w:tcPr>
          <w:p w14:paraId="62C4F9EA" w14:textId="77777777" w:rsidR="005A003D" w:rsidRPr="00EE7E38" w:rsidRDefault="005A003D"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I. Basic TB management unit (BMU) level</w:t>
            </w:r>
          </w:p>
        </w:tc>
        <w:tc>
          <w:tcPr>
            <w:tcW w:w="3260" w:type="dxa"/>
          </w:tcPr>
          <w:p w14:paraId="39B46671" w14:textId="77777777" w:rsidR="005A003D" w:rsidRPr="00EE7E38" w:rsidRDefault="006A3079"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23</w:t>
            </w:r>
            <w:r w:rsidR="005A003D" w:rsidRPr="00EE7E38">
              <w:rPr>
                <w:rFonts w:ascii="Times New Roman" w:hAnsi="Times New Roman" w:cs="Times New Roman"/>
                <w:sz w:val="20"/>
                <w:szCs w:val="20"/>
              </w:rPr>
              <w:t xml:space="preserve"> BMUs:</w:t>
            </w:r>
          </w:p>
          <w:p w14:paraId="58CACE1F" w14:textId="77777777" w:rsidR="00540B31" w:rsidRPr="00EE7E38" w:rsidRDefault="006A3079">
            <w:pPr>
              <w:pStyle w:val="ListParagraph"/>
              <w:widowControl w:val="0"/>
              <w:numPr>
                <w:ilvl w:val="0"/>
                <w:numId w:val="8"/>
              </w:numPr>
              <w:spacing w:before="40" w:after="40"/>
              <w:rPr>
                <w:rFonts w:ascii="Times New Roman" w:hAnsi="Times New Roman" w:cs="Times New Roman"/>
                <w:sz w:val="20"/>
                <w:szCs w:val="20"/>
              </w:rPr>
            </w:pPr>
            <w:r w:rsidRPr="00EE7E38">
              <w:rPr>
                <w:rFonts w:ascii="Times New Roman" w:hAnsi="Times New Roman" w:cs="Times New Roman"/>
                <w:sz w:val="20"/>
                <w:szCs w:val="20"/>
              </w:rPr>
              <w:t>20</w:t>
            </w:r>
            <w:r w:rsidR="005A003D" w:rsidRPr="00EE7E38">
              <w:rPr>
                <w:rFonts w:ascii="Times New Roman" w:hAnsi="Times New Roman" w:cs="Times New Roman"/>
                <w:sz w:val="20"/>
                <w:szCs w:val="20"/>
              </w:rPr>
              <w:t xml:space="preserve"> district</w:t>
            </w:r>
            <w:r w:rsidR="00967253" w:rsidRPr="00EE7E38">
              <w:rPr>
                <w:rFonts w:ascii="Times New Roman" w:hAnsi="Times New Roman" w:cs="Times New Roman"/>
                <w:sz w:val="20"/>
                <w:szCs w:val="20"/>
              </w:rPr>
              <w:t xml:space="preserve"> / town </w:t>
            </w:r>
            <w:r w:rsidR="005A003D" w:rsidRPr="00EE7E38">
              <w:rPr>
                <w:rFonts w:ascii="Times New Roman" w:hAnsi="Times New Roman" w:cs="Times New Roman"/>
                <w:sz w:val="20"/>
                <w:szCs w:val="20"/>
              </w:rPr>
              <w:t>level TB units</w:t>
            </w:r>
            <w:r w:rsidR="005A003D" w:rsidRPr="00EE7E38">
              <w:rPr>
                <w:rStyle w:val="FootnoteReference"/>
                <w:rFonts w:ascii="Times New Roman" w:hAnsi="Times New Roman" w:cs="Times New Roman"/>
                <w:sz w:val="20"/>
                <w:szCs w:val="20"/>
              </w:rPr>
              <w:footnoteReference w:id="19"/>
            </w:r>
          </w:p>
          <w:p w14:paraId="775269A1" w14:textId="77777777" w:rsidR="00540B31" w:rsidRPr="00EE7E38" w:rsidRDefault="005A003D">
            <w:pPr>
              <w:pStyle w:val="ListParagraph"/>
              <w:widowControl w:val="0"/>
              <w:numPr>
                <w:ilvl w:val="0"/>
                <w:numId w:val="8"/>
              </w:numPr>
              <w:spacing w:before="40" w:after="40"/>
              <w:rPr>
                <w:rFonts w:ascii="Times New Roman" w:hAnsi="Times New Roman" w:cs="Times New Roman"/>
                <w:sz w:val="20"/>
                <w:szCs w:val="20"/>
              </w:rPr>
            </w:pPr>
            <w:r w:rsidRPr="00EE7E38">
              <w:rPr>
                <w:rFonts w:ascii="Times New Roman" w:hAnsi="Times New Roman" w:cs="Times New Roman"/>
                <w:sz w:val="20"/>
                <w:szCs w:val="20"/>
              </w:rPr>
              <w:t xml:space="preserve">2 penitentiary facilities: </w:t>
            </w:r>
            <w:proofErr w:type="spellStart"/>
            <w:r w:rsidRPr="00EE7E38">
              <w:rPr>
                <w:rFonts w:ascii="Times New Roman" w:hAnsi="Times New Roman" w:cs="Times New Roman"/>
                <w:sz w:val="20"/>
                <w:szCs w:val="20"/>
              </w:rPr>
              <w:t>Ksani</w:t>
            </w:r>
            <w:proofErr w:type="spellEnd"/>
            <w:r w:rsidRPr="00EE7E38">
              <w:rPr>
                <w:rFonts w:ascii="Times New Roman" w:hAnsi="Times New Roman" w:cs="Times New Roman"/>
                <w:sz w:val="20"/>
                <w:szCs w:val="20"/>
              </w:rPr>
              <w:t xml:space="preserve"> (No. 19) and Tbilisi / </w:t>
            </w:r>
            <w:proofErr w:type="spellStart"/>
            <w:r w:rsidRPr="00EE7E38">
              <w:rPr>
                <w:rFonts w:ascii="Times New Roman" w:hAnsi="Times New Roman" w:cs="Times New Roman"/>
                <w:sz w:val="20"/>
                <w:szCs w:val="20"/>
              </w:rPr>
              <w:t>Gldani</w:t>
            </w:r>
            <w:proofErr w:type="spellEnd"/>
            <w:r w:rsidRPr="00EE7E38">
              <w:rPr>
                <w:rFonts w:ascii="Times New Roman" w:hAnsi="Times New Roman" w:cs="Times New Roman"/>
                <w:sz w:val="20"/>
                <w:szCs w:val="20"/>
              </w:rPr>
              <w:t xml:space="preserve"> (No. 18)</w:t>
            </w:r>
          </w:p>
          <w:p w14:paraId="2FAB34AF" w14:textId="77777777" w:rsidR="00540B31" w:rsidRPr="00EE7E38" w:rsidRDefault="005A003D">
            <w:pPr>
              <w:pStyle w:val="ListParagraph"/>
              <w:widowControl w:val="0"/>
              <w:numPr>
                <w:ilvl w:val="0"/>
                <w:numId w:val="8"/>
              </w:numPr>
              <w:spacing w:before="40" w:after="40"/>
              <w:rPr>
                <w:rFonts w:ascii="Times New Roman" w:hAnsi="Times New Roman" w:cs="Times New Roman"/>
                <w:sz w:val="20"/>
                <w:szCs w:val="20"/>
              </w:rPr>
            </w:pPr>
            <w:r w:rsidRPr="00EE7E38">
              <w:rPr>
                <w:rFonts w:ascii="Times New Roman" w:hAnsi="Times New Roman" w:cs="Times New Roman"/>
                <w:sz w:val="20"/>
                <w:szCs w:val="20"/>
              </w:rPr>
              <w:t>AIDS Center Tbilisi (IDACIRC)</w:t>
            </w:r>
          </w:p>
        </w:tc>
        <w:tc>
          <w:tcPr>
            <w:tcW w:w="2693" w:type="dxa"/>
          </w:tcPr>
          <w:p w14:paraId="5610E654" w14:textId="77777777" w:rsidR="00540B31" w:rsidRPr="00EE7E38" w:rsidRDefault="005A003D">
            <w:pPr>
              <w:pStyle w:val="ListParagraph"/>
              <w:widowControl w:val="0"/>
              <w:numPr>
                <w:ilvl w:val="0"/>
                <w:numId w:val="8"/>
              </w:numPr>
              <w:spacing w:before="40" w:after="40"/>
              <w:rPr>
                <w:rFonts w:ascii="Times New Roman" w:hAnsi="Times New Roman" w:cs="Times New Roman"/>
                <w:sz w:val="20"/>
                <w:szCs w:val="20"/>
              </w:rPr>
            </w:pPr>
            <w:proofErr w:type="spellStart"/>
            <w:r w:rsidRPr="00EE7E38">
              <w:rPr>
                <w:rFonts w:ascii="Times New Roman" w:hAnsi="Times New Roman" w:cs="Times New Roman"/>
                <w:sz w:val="20"/>
                <w:szCs w:val="20"/>
              </w:rPr>
              <w:t>Xpert</w:t>
            </w:r>
            <w:proofErr w:type="spellEnd"/>
            <w:r w:rsidRPr="00EE7E38">
              <w:rPr>
                <w:rFonts w:ascii="Times New Roman" w:hAnsi="Times New Roman" w:cs="Times New Roman"/>
                <w:sz w:val="20"/>
                <w:szCs w:val="20"/>
              </w:rPr>
              <w:t xml:space="preserve"> MTB/RIF</w:t>
            </w:r>
          </w:p>
          <w:p w14:paraId="61610CAA" w14:textId="77777777" w:rsidR="00540B31" w:rsidRPr="00EE7E38" w:rsidRDefault="00DC10B2">
            <w:pPr>
              <w:pStyle w:val="ListParagraph"/>
              <w:widowControl w:val="0"/>
              <w:numPr>
                <w:ilvl w:val="0"/>
                <w:numId w:val="8"/>
              </w:numPr>
              <w:spacing w:before="40" w:after="40"/>
              <w:rPr>
                <w:rFonts w:ascii="Times New Roman" w:hAnsi="Times New Roman" w:cs="Times New Roman"/>
                <w:sz w:val="20"/>
                <w:szCs w:val="20"/>
              </w:rPr>
            </w:pPr>
            <w:r w:rsidRPr="00EE7E38">
              <w:rPr>
                <w:rFonts w:ascii="Times New Roman" w:hAnsi="Times New Roman" w:cs="Times New Roman"/>
                <w:sz w:val="20"/>
                <w:szCs w:val="20"/>
              </w:rPr>
              <w:t>Direct smear microscopy at penitentiary facilities</w:t>
            </w:r>
          </w:p>
        </w:tc>
        <w:tc>
          <w:tcPr>
            <w:tcW w:w="2268" w:type="dxa"/>
          </w:tcPr>
          <w:p w14:paraId="632FC207" w14:textId="77777777" w:rsidR="005A003D" w:rsidRPr="00EE7E38" w:rsidRDefault="005A003D" w:rsidP="00835F94">
            <w:pPr>
              <w:pStyle w:val="ListParagraph"/>
              <w:widowControl w:val="0"/>
              <w:spacing w:before="40" w:after="40"/>
              <w:ind w:left="0"/>
              <w:rPr>
                <w:rFonts w:ascii="Times New Roman" w:hAnsi="Times New Roman" w:cs="Times New Roman"/>
                <w:sz w:val="20"/>
                <w:szCs w:val="20"/>
              </w:rPr>
            </w:pPr>
          </w:p>
        </w:tc>
      </w:tr>
      <w:tr w:rsidR="005A003D" w:rsidRPr="00EE7E38" w14:paraId="2299F71E" w14:textId="77777777" w:rsidTr="004030DD">
        <w:tc>
          <w:tcPr>
            <w:tcW w:w="1526" w:type="dxa"/>
          </w:tcPr>
          <w:p w14:paraId="62BA221B" w14:textId="77777777" w:rsidR="005A003D" w:rsidRPr="00EE7E38" w:rsidRDefault="005A003D"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II. Regional level</w:t>
            </w:r>
          </w:p>
        </w:tc>
        <w:tc>
          <w:tcPr>
            <w:tcW w:w="3260" w:type="dxa"/>
          </w:tcPr>
          <w:p w14:paraId="19BB4379" w14:textId="77777777" w:rsidR="005A003D" w:rsidRPr="00EE7E38" w:rsidRDefault="00967253" w:rsidP="00967253">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6</w:t>
            </w:r>
            <w:r w:rsidR="005A003D" w:rsidRPr="00EE7E38">
              <w:rPr>
                <w:rFonts w:ascii="Times New Roman" w:hAnsi="Times New Roman" w:cs="Times New Roman"/>
                <w:sz w:val="20"/>
                <w:szCs w:val="20"/>
              </w:rPr>
              <w:t xml:space="preserve"> Laboratory Surveillance Stations (LSSs): </w:t>
            </w:r>
            <w:proofErr w:type="spellStart"/>
            <w:r w:rsidR="005A003D" w:rsidRPr="00EE7E38">
              <w:rPr>
                <w:rFonts w:ascii="Times New Roman" w:hAnsi="Times New Roman" w:cs="Times New Roman"/>
                <w:sz w:val="20"/>
                <w:szCs w:val="20"/>
              </w:rPr>
              <w:t>Akhaltsikhe</w:t>
            </w:r>
            <w:proofErr w:type="spellEnd"/>
            <w:r w:rsidR="005A003D" w:rsidRPr="00EE7E38">
              <w:rPr>
                <w:rFonts w:ascii="Times New Roman" w:hAnsi="Times New Roman" w:cs="Times New Roman"/>
                <w:sz w:val="20"/>
                <w:szCs w:val="20"/>
              </w:rPr>
              <w:t xml:space="preserve">, Gori, </w:t>
            </w:r>
            <w:proofErr w:type="spellStart"/>
            <w:r w:rsidR="005A003D" w:rsidRPr="00EE7E38">
              <w:rPr>
                <w:rFonts w:ascii="Times New Roman" w:hAnsi="Times New Roman" w:cs="Times New Roman"/>
                <w:sz w:val="20"/>
                <w:szCs w:val="20"/>
              </w:rPr>
              <w:t>Ozurgeti</w:t>
            </w:r>
            <w:proofErr w:type="spellEnd"/>
            <w:r w:rsidR="005A003D" w:rsidRPr="00EE7E38">
              <w:rPr>
                <w:rFonts w:ascii="Times New Roman" w:hAnsi="Times New Roman" w:cs="Times New Roman"/>
                <w:sz w:val="20"/>
                <w:szCs w:val="20"/>
              </w:rPr>
              <w:t xml:space="preserve">, </w:t>
            </w:r>
            <w:proofErr w:type="spellStart"/>
            <w:r w:rsidR="005A003D" w:rsidRPr="00EE7E38">
              <w:rPr>
                <w:rFonts w:ascii="Times New Roman" w:hAnsi="Times New Roman" w:cs="Times New Roman"/>
                <w:sz w:val="20"/>
                <w:szCs w:val="20"/>
              </w:rPr>
              <w:t>Poti</w:t>
            </w:r>
            <w:proofErr w:type="spellEnd"/>
            <w:r w:rsidR="005A003D" w:rsidRPr="00EE7E38">
              <w:rPr>
                <w:rFonts w:ascii="Times New Roman" w:hAnsi="Times New Roman" w:cs="Times New Roman"/>
                <w:sz w:val="20"/>
                <w:szCs w:val="20"/>
              </w:rPr>
              <w:t>, Telavi, Zugdidi</w:t>
            </w:r>
            <w:r w:rsidRPr="00EE7E38">
              <w:rPr>
                <w:rFonts w:ascii="Times New Roman" w:hAnsi="Times New Roman" w:cs="Times New Roman"/>
                <w:sz w:val="20"/>
                <w:szCs w:val="20"/>
              </w:rPr>
              <w:t xml:space="preserve">; and </w:t>
            </w:r>
            <w:r w:rsidR="006A3079" w:rsidRPr="00EE7E38">
              <w:rPr>
                <w:rFonts w:ascii="Times New Roman" w:hAnsi="Times New Roman" w:cs="Times New Roman"/>
                <w:sz w:val="20"/>
                <w:szCs w:val="20"/>
              </w:rPr>
              <w:t xml:space="preserve">1 </w:t>
            </w:r>
            <w:r w:rsidRPr="00EE7E38">
              <w:rPr>
                <w:rFonts w:ascii="Times New Roman" w:hAnsi="Times New Roman" w:cs="Times New Roman"/>
                <w:sz w:val="20"/>
                <w:szCs w:val="20"/>
              </w:rPr>
              <w:t>Zonal Diagnostic Laboratory (ZDL) in Batumi</w:t>
            </w:r>
          </w:p>
        </w:tc>
        <w:tc>
          <w:tcPr>
            <w:tcW w:w="2693" w:type="dxa"/>
          </w:tcPr>
          <w:p w14:paraId="40182E62" w14:textId="77777777" w:rsidR="00540B31" w:rsidRPr="00EE7E38" w:rsidRDefault="005A003D">
            <w:pPr>
              <w:pStyle w:val="ListParagraph"/>
              <w:widowControl w:val="0"/>
              <w:numPr>
                <w:ilvl w:val="0"/>
                <w:numId w:val="9"/>
              </w:numPr>
              <w:spacing w:before="40" w:after="40"/>
              <w:rPr>
                <w:rFonts w:ascii="Times New Roman" w:hAnsi="Times New Roman" w:cs="Times New Roman"/>
                <w:sz w:val="20"/>
                <w:szCs w:val="20"/>
              </w:rPr>
            </w:pPr>
            <w:proofErr w:type="spellStart"/>
            <w:r w:rsidRPr="00EE7E38">
              <w:rPr>
                <w:rFonts w:ascii="Times New Roman" w:hAnsi="Times New Roman" w:cs="Times New Roman"/>
                <w:sz w:val="20"/>
                <w:szCs w:val="20"/>
              </w:rPr>
              <w:t>Xpert</w:t>
            </w:r>
            <w:proofErr w:type="spellEnd"/>
            <w:r w:rsidRPr="00EE7E38">
              <w:rPr>
                <w:rFonts w:ascii="Times New Roman" w:hAnsi="Times New Roman" w:cs="Times New Roman"/>
                <w:sz w:val="20"/>
                <w:szCs w:val="20"/>
              </w:rPr>
              <w:t xml:space="preserve"> MTB/RIF</w:t>
            </w:r>
          </w:p>
          <w:p w14:paraId="7AB82CA1" w14:textId="77777777" w:rsidR="00540B31" w:rsidRPr="00EE7E38" w:rsidRDefault="005A003D">
            <w:pPr>
              <w:pStyle w:val="ListParagraph"/>
              <w:widowControl w:val="0"/>
              <w:numPr>
                <w:ilvl w:val="0"/>
                <w:numId w:val="9"/>
              </w:numPr>
              <w:spacing w:before="40" w:after="40"/>
              <w:rPr>
                <w:rFonts w:ascii="Times New Roman" w:hAnsi="Times New Roman" w:cs="Times New Roman"/>
                <w:sz w:val="20"/>
                <w:szCs w:val="20"/>
              </w:rPr>
            </w:pPr>
            <w:r w:rsidRPr="00EE7E38">
              <w:rPr>
                <w:rFonts w:ascii="Times New Roman" w:hAnsi="Times New Roman" w:cs="Times New Roman"/>
                <w:sz w:val="20"/>
                <w:szCs w:val="20"/>
              </w:rPr>
              <w:t>DSM</w:t>
            </w:r>
          </w:p>
        </w:tc>
        <w:tc>
          <w:tcPr>
            <w:tcW w:w="2268" w:type="dxa"/>
          </w:tcPr>
          <w:p w14:paraId="06952430"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Specimen referral in respective regions</w:t>
            </w:r>
          </w:p>
        </w:tc>
      </w:tr>
      <w:tr w:rsidR="005A003D" w:rsidRPr="00EE7E38" w14:paraId="1E0AA387" w14:textId="77777777" w:rsidTr="004030DD">
        <w:tc>
          <w:tcPr>
            <w:tcW w:w="1526" w:type="dxa"/>
          </w:tcPr>
          <w:p w14:paraId="07A9FDCA" w14:textId="77777777" w:rsidR="005A003D" w:rsidRPr="00EE7E38" w:rsidRDefault="005A003D"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III. Sub-national level</w:t>
            </w:r>
          </w:p>
        </w:tc>
        <w:tc>
          <w:tcPr>
            <w:tcW w:w="3260" w:type="dxa"/>
          </w:tcPr>
          <w:p w14:paraId="1F79D13A" w14:textId="77777777" w:rsidR="005A003D" w:rsidRPr="00EE7E38" w:rsidRDefault="005A003D"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Zonal Diagnostic Laboratory (ZDL) in Kutaisi</w:t>
            </w:r>
          </w:p>
        </w:tc>
        <w:tc>
          <w:tcPr>
            <w:tcW w:w="2693" w:type="dxa"/>
          </w:tcPr>
          <w:p w14:paraId="1F5C634E"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proofErr w:type="spellStart"/>
            <w:r w:rsidRPr="00EE7E38">
              <w:rPr>
                <w:rFonts w:ascii="Times New Roman" w:hAnsi="Times New Roman" w:cs="Times New Roman"/>
                <w:sz w:val="20"/>
                <w:szCs w:val="20"/>
              </w:rPr>
              <w:t>Xpert</w:t>
            </w:r>
            <w:proofErr w:type="spellEnd"/>
            <w:r w:rsidRPr="00EE7E38">
              <w:rPr>
                <w:rFonts w:ascii="Times New Roman" w:hAnsi="Times New Roman" w:cs="Times New Roman"/>
                <w:sz w:val="20"/>
                <w:szCs w:val="20"/>
              </w:rPr>
              <w:t xml:space="preserve"> MTB/RIF</w:t>
            </w:r>
          </w:p>
          <w:p w14:paraId="365A7AE2"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DSM</w:t>
            </w:r>
          </w:p>
          <w:p w14:paraId="4828F7E2"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Culture</w:t>
            </w:r>
          </w:p>
          <w:p w14:paraId="66BA7363" w14:textId="77777777" w:rsidR="00540B31" w:rsidRPr="00EE7E38" w:rsidRDefault="00DC10B2">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 xml:space="preserve">LPA </w:t>
            </w:r>
            <w:r w:rsidR="005A003D" w:rsidRPr="00EE7E38">
              <w:rPr>
                <w:rFonts w:ascii="Times New Roman" w:hAnsi="Times New Roman" w:cs="Times New Roman"/>
                <w:sz w:val="20"/>
                <w:szCs w:val="20"/>
              </w:rPr>
              <w:t>DST to FLDs</w:t>
            </w:r>
          </w:p>
          <w:p w14:paraId="19E99873" w14:textId="77777777" w:rsidR="00540B31" w:rsidRPr="00EE7E38" w:rsidRDefault="00DC10B2">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 xml:space="preserve">LPA </w:t>
            </w:r>
            <w:r w:rsidR="005A003D" w:rsidRPr="00EE7E38">
              <w:rPr>
                <w:rFonts w:ascii="Times New Roman" w:hAnsi="Times New Roman" w:cs="Times New Roman"/>
                <w:sz w:val="20"/>
                <w:szCs w:val="20"/>
              </w:rPr>
              <w:t>DST to SLDs</w:t>
            </w:r>
          </w:p>
        </w:tc>
        <w:tc>
          <w:tcPr>
            <w:tcW w:w="2268" w:type="dxa"/>
          </w:tcPr>
          <w:p w14:paraId="318A3471"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Specimen referral in Western Georgia</w:t>
            </w:r>
          </w:p>
        </w:tc>
      </w:tr>
      <w:tr w:rsidR="005A003D" w:rsidRPr="00EE7E38" w14:paraId="7813D913" w14:textId="77777777" w:rsidTr="004030DD">
        <w:tc>
          <w:tcPr>
            <w:tcW w:w="1526" w:type="dxa"/>
          </w:tcPr>
          <w:p w14:paraId="193028AB" w14:textId="77777777" w:rsidR="005A003D" w:rsidRPr="00EE7E38" w:rsidRDefault="005A003D"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IV. National level</w:t>
            </w:r>
          </w:p>
        </w:tc>
        <w:tc>
          <w:tcPr>
            <w:tcW w:w="3260" w:type="dxa"/>
          </w:tcPr>
          <w:p w14:paraId="6794EB8E" w14:textId="77777777" w:rsidR="005A003D" w:rsidRPr="00EE7E38" w:rsidRDefault="005A003D"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 xml:space="preserve">National Reference Laboratory (NRL) in Tbilisi </w:t>
            </w:r>
          </w:p>
        </w:tc>
        <w:tc>
          <w:tcPr>
            <w:tcW w:w="2693" w:type="dxa"/>
          </w:tcPr>
          <w:p w14:paraId="571D92B5"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proofErr w:type="spellStart"/>
            <w:r w:rsidRPr="00EE7E38">
              <w:rPr>
                <w:rFonts w:ascii="Times New Roman" w:hAnsi="Times New Roman" w:cs="Times New Roman"/>
                <w:sz w:val="20"/>
                <w:szCs w:val="20"/>
              </w:rPr>
              <w:t>Xpert</w:t>
            </w:r>
            <w:proofErr w:type="spellEnd"/>
            <w:r w:rsidRPr="00EE7E38">
              <w:rPr>
                <w:rFonts w:ascii="Times New Roman" w:hAnsi="Times New Roman" w:cs="Times New Roman"/>
                <w:sz w:val="20"/>
                <w:szCs w:val="20"/>
              </w:rPr>
              <w:t xml:space="preserve"> MTB/RIF</w:t>
            </w:r>
          </w:p>
          <w:p w14:paraId="249207B7"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DSM</w:t>
            </w:r>
          </w:p>
          <w:p w14:paraId="113EC8C8"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Culture</w:t>
            </w:r>
          </w:p>
          <w:p w14:paraId="30A95735"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DST to FLDs</w:t>
            </w:r>
          </w:p>
          <w:p w14:paraId="6B8348B8"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DST to SLDs</w:t>
            </w:r>
          </w:p>
          <w:p w14:paraId="2689AB17" w14:textId="77777777" w:rsidR="00540B31" w:rsidRPr="00EE7E38" w:rsidRDefault="005A003D">
            <w:pPr>
              <w:pStyle w:val="ListParagraph"/>
              <w:widowControl w:val="0"/>
              <w:numPr>
                <w:ilvl w:val="0"/>
                <w:numId w:val="10"/>
              </w:numPr>
              <w:spacing w:before="40" w:after="40"/>
              <w:rPr>
                <w:rFonts w:ascii="Times New Roman" w:hAnsi="Times New Roman" w:cs="Times New Roman"/>
                <w:sz w:val="20"/>
                <w:szCs w:val="20"/>
              </w:rPr>
            </w:pPr>
            <w:r w:rsidRPr="00EE7E38">
              <w:rPr>
                <w:rFonts w:ascii="Times New Roman" w:hAnsi="Times New Roman" w:cs="Times New Roman"/>
                <w:sz w:val="20"/>
                <w:szCs w:val="20"/>
              </w:rPr>
              <w:t>Genotyping and other advanced methods</w:t>
            </w:r>
          </w:p>
        </w:tc>
        <w:tc>
          <w:tcPr>
            <w:tcW w:w="2268" w:type="dxa"/>
          </w:tcPr>
          <w:p w14:paraId="0A7548BB"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Specimen referral in Eastern Georgia</w:t>
            </w:r>
          </w:p>
          <w:p w14:paraId="5073EA53"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Supervision</w:t>
            </w:r>
          </w:p>
          <w:p w14:paraId="09F15B6E"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Quality assurance</w:t>
            </w:r>
          </w:p>
          <w:p w14:paraId="0B4D464F"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Training</w:t>
            </w:r>
          </w:p>
          <w:p w14:paraId="2E8EF2C8"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EQA with SRL</w:t>
            </w:r>
          </w:p>
          <w:p w14:paraId="3D04B155" w14:textId="77777777" w:rsidR="00540B31" w:rsidRPr="00EE7E38" w:rsidRDefault="005A003D">
            <w:pPr>
              <w:pStyle w:val="ListParagraph"/>
              <w:widowControl w:val="0"/>
              <w:numPr>
                <w:ilvl w:val="0"/>
                <w:numId w:val="11"/>
              </w:numPr>
              <w:spacing w:before="40" w:after="40"/>
              <w:rPr>
                <w:rFonts w:ascii="Times New Roman" w:hAnsi="Times New Roman" w:cs="Times New Roman"/>
                <w:sz w:val="20"/>
                <w:szCs w:val="20"/>
              </w:rPr>
            </w:pPr>
            <w:r w:rsidRPr="00EE7E38">
              <w:rPr>
                <w:rFonts w:ascii="Times New Roman" w:hAnsi="Times New Roman" w:cs="Times New Roman"/>
                <w:sz w:val="20"/>
                <w:szCs w:val="20"/>
              </w:rPr>
              <w:t>Research</w:t>
            </w:r>
          </w:p>
        </w:tc>
      </w:tr>
    </w:tbl>
    <w:p w14:paraId="2C7BADE2" w14:textId="6568D5CD" w:rsidR="005A003D" w:rsidRPr="00EE7E38" w:rsidRDefault="00DC10B2" w:rsidP="005A5A80">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According to diagnostic algorithm updated in 2018</w:t>
      </w:r>
      <w:r w:rsidR="001A7849">
        <w:rPr>
          <w:rFonts w:ascii="Times New Roman" w:hAnsi="Times New Roman" w:cs="Times New Roman"/>
        </w:rPr>
        <w:t>,</w:t>
      </w:r>
      <w:r w:rsidRPr="00EE7E38">
        <w:rPr>
          <w:rFonts w:ascii="Times New Roman" w:hAnsi="Times New Roman" w:cs="Times New Roman"/>
        </w:rPr>
        <w:t xml:space="preserve"> </w:t>
      </w:r>
      <w:r w:rsidR="00AB10E1" w:rsidRPr="00EE7E38">
        <w:rPr>
          <w:rFonts w:ascii="Times New Roman" w:hAnsi="Times New Roman" w:cs="Times New Roman"/>
        </w:rPr>
        <w:t>d</w:t>
      </w:r>
      <w:r w:rsidR="005A003D" w:rsidRPr="00EE7E38">
        <w:rPr>
          <w:rFonts w:ascii="Times New Roman" w:hAnsi="Times New Roman" w:cs="Times New Roman"/>
        </w:rPr>
        <w:t>irect smear microscopy (DSM) investigation remain</w:t>
      </w:r>
      <w:r w:rsidR="001A7849">
        <w:rPr>
          <w:rFonts w:ascii="Times New Roman" w:hAnsi="Times New Roman" w:cs="Times New Roman"/>
        </w:rPr>
        <w:t>s</w:t>
      </w:r>
      <w:r w:rsidR="005A003D" w:rsidRPr="00EE7E38">
        <w:rPr>
          <w:rFonts w:ascii="Times New Roman" w:hAnsi="Times New Roman" w:cs="Times New Roman"/>
        </w:rPr>
        <w:t xml:space="preserve"> an important method for diagnosi</w:t>
      </w:r>
      <w:r w:rsidR="001A7849">
        <w:rPr>
          <w:rFonts w:ascii="Times New Roman" w:hAnsi="Times New Roman" w:cs="Times New Roman"/>
        </w:rPr>
        <w:t>ng</w:t>
      </w:r>
      <w:r w:rsidR="005A003D" w:rsidRPr="00EE7E38">
        <w:rPr>
          <w:rFonts w:ascii="Times New Roman" w:hAnsi="Times New Roman" w:cs="Times New Roman"/>
        </w:rPr>
        <w:t xml:space="preserve"> TB among suspects and for treatment monitoring. </w:t>
      </w:r>
      <w:r w:rsidR="001A7849">
        <w:rPr>
          <w:rFonts w:ascii="Times New Roman" w:hAnsi="Times New Roman" w:cs="Times New Roman"/>
        </w:rPr>
        <w:t xml:space="preserve">The </w:t>
      </w:r>
      <w:proofErr w:type="spellStart"/>
      <w:r w:rsidR="005A003D" w:rsidRPr="00EE7E38">
        <w:rPr>
          <w:rFonts w:ascii="Times New Roman" w:hAnsi="Times New Roman" w:cs="Times New Roman"/>
        </w:rPr>
        <w:t>Xpert</w:t>
      </w:r>
      <w:proofErr w:type="spellEnd"/>
      <w:r w:rsidR="005A003D" w:rsidRPr="00EE7E38">
        <w:rPr>
          <w:rFonts w:ascii="Times New Roman" w:hAnsi="Times New Roman" w:cs="Times New Roman"/>
        </w:rPr>
        <w:t xml:space="preserve"> MTB/RIF test </w:t>
      </w:r>
      <w:r w:rsidRPr="00EE7E38">
        <w:rPr>
          <w:rFonts w:ascii="Times New Roman" w:hAnsi="Times New Roman" w:cs="Times New Roman"/>
        </w:rPr>
        <w:t xml:space="preserve">has finally </w:t>
      </w:r>
      <w:r w:rsidR="005A003D" w:rsidRPr="00EE7E38">
        <w:rPr>
          <w:rFonts w:ascii="Times New Roman" w:hAnsi="Times New Roman" w:cs="Times New Roman"/>
        </w:rPr>
        <w:t>replace</w:t>
      </w:r>
      <w:r w:rsidRPr="00EE7E38">
        <w:rPr>
          <w:rFonts w:ascii="Times New Roman" w:hAnsi="Times New Roman" w:cs="Times New Roman"/>
        </w:rPr>
        <w:t>d</w:t>
      </w:r>
      <w:r w:rsidR="005A003D" w:rsidRPr="00EE7E38">
        <w:rPr>
          <w:rFonts w:ascii="Times New Roman" w:hAnsi="Times New Roman" w:cs="Times New Roman"/>
        </w:rPr>
        <w:t xml:space="preserve"> DSM as the initial diagnostic test</w:t>
      </w:r>
      <w:r w:rsidRPr="00EE7E38">
        <w:rPr>
          <w:rFonts w:ascii="Times New Roman" w:hAnsi="Times New Roman" w:cs="Times New Roman"/>
        </w:rPr>
        <w:t>.</w:t>
      </w:r>
      <w:r w:rsidR="001666D8" w:rsidRPr="00EE7E38">
        <w:rPr>
          <w:rFonts w:ascii="Times New Roman" w:hAnsi="Times New Roman" w:cs="Times New Roman"/>
        </w:rPr>
        <w:t xml:space="preserve"> Currently, m</w:t>
      </w:r>
      <w:r w:rsidR="005A003D" w:rsidRPr="00EE7E38">
        <w:rPr>
          <w:rFonts w:ascii="Times New Roman" w:hAnsi="Times New Roman" w:cs="Times New Roman"/>
        </w:rPr>
        <w:t xml:space="preserve">icroscopy is required for treatment </w:t>
      </w:r>
      <w:r w:rsidR="005A003D" w:rsidRPr="00EE7E38">
        <w:rPr>
          <w:rFonts w:ascii="Times New Roman" w:hAnsi="Times New Roman" w:cs="Times New Roman"/>
        </w:rPr>
        <w:lastRenderedPageBreak/>
        <w:t>monitoring purposes</w:t>
      </w:r>
      <w:r w:rsidRPr="00EE7E38">
        <w:rPr>
          <w:rFonts w:ascii="Times New Roman" w:hAnsi="Times New Roman" w:cs="Times New Roman"/>
        </w:rPr>
        <w:t xml:space="preserve"> and in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positive patients to determine </w:t>
      </w:r>
      <w:r w:rsidR="00A4278E" w:rsidRPr="00EE7E38">
        <w:rPr>
          <w:rFonts w:ascii="Times New Roman" w:hAnsi="Times New Roman" w:cs="Times New Roman"/>
        </w:rPr>
        <w:t>bacterial load</w:t>
      </w:r>
      <w:r w:rsidR="005A003D" w:rsidRPr="00EE7E38">
        <w:rPr>
          <w:rFonts w:ascii="Times New Roman" w:hAnsi="Times New Roman" w:cs="Times New Roman"/>
        </w:rPr>
        <w:t xml:space="preserve">. Therefore, the regional level laboratories (LSSs) will continue to perform DSM in combination with </w:t>
      </w:r>
      <w:proofErr w:type="spellStart"/>
      <w:r w:rsidR="005A003D" w:rsidRPr="00EE7E38">
        <w:rPr>
          <w:rFonts w:ascii="Times New Roman" w:hAnsi="Times New Roman" w:cs="Times New Roman"/>
        </w:rPr>
        <w:t>Xpert</w:t>
      </w:r>
      <w:proofErr w:type="spellEnd"/>
      <w:r w:rsidR="005A003D" w:rsidRPr="00EE7E38">
        <w:rPr>
          <w:rFonts w:ascii="Times New Roman" w:hAnsi="Times New Roman" w:cs="Times New Roman"/>
        </w:rPr>
        <w:t xml:space="preserve"> MTB/RIF testing, in accordance to the revised diagnostic algorithm.</w:t>
      </w:r>
    </w:p>
    <w:p w14:paraId="1FCA73DF" w14:textId="6689F7C9" w:rsidR="005A003D" w:rsidRPr="00EE7E38" w:rsidRDefault="00754E85" w:rsidP="005A5A80">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w:t>
      </w:r>
      <w:r w:rsidR="005A003D" w:rsidRPr="00EE7E38">
        <w:rPr>
          <w:rFonts w:ascii="Times New Roman" w:hAnsi="Times New Roman" w:cs="Times New Roman"/>
        </w:rPr>
        <w:t xml:space="preserve">he </w:t>
      </w:r>
      <w:r w:rsidR="001A7849">
        <w:rPr>
          <w:rFonts w:ascii="Times New Roman" w:hAnsi="Times New Roman" w:cs="Times New Roman"/>
        </w:rPr>
        <w:t>revised</w:t>
      </w:r>
      <w:r w:rsidR="001A7849" w:rsidRPr="00EE7E38">
        <w:rPr>
          <w:rFonts w:ascii="Times New Roman" w:hAnsi="Times New Roman" w:cs="Times New Roman"/>
        </w:rPr>
        <w:t xml:space="preserve"> </w:t>
      </w:r>
      <w:r w:rsidR="005A003D" w:rsidRPr="00EE7E38">
        <w:rPr>
          <w:rFonts w:ascii="Times New Roman" w:hAnsi="Times New Roman" w:cs="Times New Roman"/>
        </w:rPr>
        <w:t>diagnostic strategy include</w:t>
      </w:r>
      <w:r w:rsidRPr="00EE7E38">
        <w:rPr>
          <w:rFonts w:ascii="Times New Roman" w:hAnsi="Times New Roman" w:cs="Times New Roman"/>
        </w:rPr>
        <w:t>s</w:t>
      </w:r>
      <w:r w:rsidR="005A003D" w:rsidRPr="00EE7E38">
        <w:rPr>
          <w:rFonts w:ascii="Times New Roman" w:hAnsi="Times New Roman" w:cs="Times New Roman"/>
        </w:rPr>
        <w:t xml:space="preserve"> a comprehensive need</w:t>
      </w:r>
      <w:r w:rsidR="001A7849">
        <w:rPr>
          <w:rFonts w:ascii="Times New Roman" w:hAnsi="Times New Roman" w:cs="Times New Roman"/>
        </w:rPr>
        <w:t>s</w:t>
      </w:r>
      <w:r w:rsidR="005A003D" w:rsidRPr="00EE7E38">
        <w:rPr>
          <w:rFonts w:ascii="Times New Roman" w:hAnsi="Times New Roman" w:cs="Times New Roman"/>
        </w:rPr>
        <w:t xml:space="preserve"> assessment for </w:t>
      </w:r>
      <w:proofErr w:type="spellStart"/>
      <w:r w:rsidR="005A003D" w:rsidRPr="00EE7E38">
        <w:rPr>
          <w:rFonts w:ascii="Times New Roman" w:hAnsi="Times New Roman" w:cs="Times New Roman"/>
        </w:rPr>
        <w:t>Xpert</w:t>
      </w:r>
      <w:proofErr w:type="spellEnd"/>
      <w:r w:rsidR="005A003D" w:rsidRPr="00EE7E38">
        <w:rPr>
          <w:rFonts w:ascii="Times New Roman" w:hAnsi="Times New Roman" w:cs="Times New Roman"/>
        </w:rPr>
        <w:t xml:space="preserve"> and DSM investigations and specimen transportation for each region, based on the population coverage, workload, distances and transportation options, etc. Based on this detailed assessment, the LSSs will be further strengthened in terms of staff capacities.</w:t>
      </w:r>
    </w:p>
    <w:p w14:paraId="34CBF167" w14:textId="55F3C851" w:rsidR="00540B31" w:rsidRPr="00EE7E38" w:rsidRDefault="005A003D">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According to the latest international evidence, same-day DSM is as accurate as testing smears over 2 days. In a diagnostic evaluation for TB, taking into account the expanded testing with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and based on the ongoing pilot study, the country will gradually shift to examining one smear specimen by microscopy. Fluorescence microscopy is on average 10% more sensitive than conventional light microscopy, and it is associated with improved efficiency. Georgia therefore aims at shifting its laboratories to fluorescence microscopy by the middle of the next program period. Relevant training of laboratory staff in fluorescence microscopy will be provided.</w:t>
      </w:r>
    </w:p>
    <w:p w14:paraId="0EF8C986" w14:textId="2B86A76B" w:rsidR="005A003D" w:rsidRPr="00EE7E38" w:rsidRDefault="00D65E27" w:rsidP="00835F94">
      <w:pPr>
        <w:widowControl w:val="0"/>
        <w:spacing w:before="120" w:after="120" w:line="240" w:lineRule="auto"/>
        <w:jc w:val="both"/>
        <w:rPr>
          <w:rFonts w:ascii="Times New Roman" w:hAnsi="Times New Roman" w:cs="Times New Roman"/>
        </w:rPr>
      </w:pPr>
      <w:r>
        <w:rPr>
          <w:rFonts w:ascii="Times New Roman" w:hAnsi="Times New Roman" w:cs="Times New Roman"/>
        </w:rPr>
        <w:t>Capacity of the NRL</w:t>
      </w:r>
      <w:r w:rsidR="005A003D" w:rsidRPr="00EE7E38">
        <w:rPr>
          <w:rFonts w:ascii="Times New Roman" w:hAnsi="Times New Roman" w:cs="Times New Roman"/>
        </w:rPr>
        <w:t xml:space="preserve"> will be further developed to enable it </w:t>
      </w:r>
      <w:r>
        <w:rPr>
          <w:rFonts w:ascii="Times New Roman" w:hAnsi="Times New Roman" w:cs="Times New Roman"/>
        </w:rPr>
        <w:t xml:space="preserve">to function </w:t>
      </w:r>
      <w:r w:rsidR="005A003D" w:rsidRPr="00EE7E38">
        <w:rPr>
          <w:rFonts w:ascii="Times New Roman" w:hAnsi="Times New Roman" w:cs="Times New Roman"/>
        </w:rPr>
        <w:t xml:space="preserve">as a cutting-edge reference center for TB bacteriology, capable </w:t>
      </w:r>
      <w:r>
        <w:rPr>
          <w:rFonts w:ascii="Times New Roman" w:hAnsi="Times New Roman" w:cs="Times New Roman"/>
        </w:rPr>
        <w:t>of</w:t>
      </w:r>
      <w:r w:rsidR="005A003D" w:rsidRPr="00EE7E38">
        <w:rPr>
          <w:rFonts w:ascii="Times New Roman" w:hAnsi="Times New Roman" w:cs="Times New Roman"/>
        </w:rPr>
        <w:t xml:space="preserve"> meet</w:t>
      </w:r>
      <w:r>
        <w:rPr>
          <w:rFonts w:ascii="Times New Roman" w:hAnsi="Times New Roman" w:cs="Times New Roman"/>
        </w:rPr>
        <w:t>ing</w:t>
      </w:r>
      <w:r w:rsidR="005A003D" w:rsidRPr="00EE7E38">
        <w:rPr>
          <w:rFonts w:ascii="Times New Roman" w:hAnsi="Times New Roman" w:cs="Times New Roman"/>
        </w:rPr>
        <w:t xml:space="preserve"> the entire range of national needs and successfully engag</w:t>
      </w:r>
      <w:r>
        <w:rPr>
          <w:rFonts w:ascii="Times New Roman" w:hAnsi="Times New Roman" w:cs="Times New Roman"/>
        </w:rPr>
        <w:t>ing</w:t>
      </w:r>
      <w:r w:rsidR="005A003D" w:rsidRPr="00EE7E38">
        <w:rPr>
          <w:rFonts w:ascii="Times New Roman" w:hAnsi="Times New Roman" w:cs="Times New Roman"/>
        </w:rPr>
        <w:t xml:space="preserve"> in the highest-level international collaboration in the field. The NRL will strengthen its quality control and quality assurance function for all TB laboratories in the country. It will continue cooperation with </w:t>
      </w:r>
      <w:proofErr w:type="gramStart"/>
      <w:r w:rsidR="005A003D" w:rsidRPr="00EE7E38">
        <w:rPr>
          <w:rFonts w:ascii="Times New Roman" w:hAnsi="Times New Roman" w:cs="Times New Roman"/>
        </w:rPr>
        <w:t>WHO</w:t>
      </w:r>
      <w:proofErr w:type="gramEnd"/>
      <w:r w:rsidR="005A003D" w:rsidRPr="00EE7E38">
        <w:rPr>
          <w:rFonts w:ascii="Times New Roman" w:hAnsi="Times New Roman" w:cs="Times New Roman"/>
        </w:rPr>
        <w:t xml:space="preserve"> and the Supranational Reference Laboratory (SRL) in Antwerp, Belgium, on external quality assurance (EQA) for WHO-recommended diagnostics. In addition, a set of measures will be implemented to strengthen the quality management system (QMS) at the NRL, including its international accreditation according to ISO-15189 standard.</w:t>
      </w:r>
    </w:p>
    <w:p w14:paraId="7957C9A1" w14:textId="7895DD39"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NRL will </w:t>
      </w:r>
      <w:r w:rsidR="00967253" w:rsidRPr="00EE7E38">
        <w:rPr>
          <w:rFonts w:ascii="Times New Roman" w:hAnsi="Times New Roman" w:cs="Times New Roman"/>
        </w:rPr>
        <w:t xml:space="preserve">also introduce </w:t>
      </w:r>
      <w:r w:rsidRPr="00EE7E38">
        <w:rPr>
          <w:rFonts w:ascii="Times New Roman" w:hAnsi="Times New Roman" w:cs="Times New Roman"/>
        </w:rPr>
        <w:t>advanced diagnostic techniques based on genotyping methods, and will actively participate in international research</w:t>
      </w:r>
      <w:r w:rsidR="00D65E27">
        <w:rPr>
          <w:rFonts w:ascii="Times New Roman" w:hAnsi="Times New Roman" w:cs="Times New Roman"/>
        </w:rPr>
        <w:t>,</w:t>
      </w:r>
      <w:r w:rsidRPr="00EE7E38">
        <w:rPr>
          <w:rFonts w:ascii="Times New Roman" w:hAnsi="Times New Roman" w:cs="Times New Roman"/>
        </w:rPr>
        <w:t xml:space="preserve"> including</w:t>
      </w:r>
      <w:r w:rsidR="00D65E27">
        <w:rPr>
          <w:rFonts w:ascii="Times New Roman" w:hAnsi="Times New Roman" w:cs="Times New Roman"/>
        </w:rPr>
        <w:t xml:space="preserve"> research</w:t>
      </w:r>
      <w:r w:rsidR="00D43D9A">
        <w:rPr>
          <w:rFonts w:ascii="Times New Roman" w:hAnsi="Times New Roman" w:cs="Times New Roman"/>
        </w:rPr>
        <w:t xml:space="preserve"> </w:t>
      </w:r>
      <w:r w:rsidRPr="00EE7E38">
        <w:rPr>
          <w:rFonts w:ascii="Times New Roman" w:hAnsi="Times New Roman" w:cs="Times New Roman"/>
        </w:rPr>
        <w:t>on validation and field testing of new diagnostic techniques. It is aimed that the Georgian NRL itself will join the WHO’s network of Supranational Reference Laboratories in 2019. For the above purposes, this Plan stipulates hiring additional staff and training, as well as investments in the relevant technologies at the NRL.</w:t>
      </w:r>
    </w:p>
    <w:p w14:paraId="37DF2F48"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0825B87F"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Equipment for microscopy laboratories (LSSs). </w:t>
      </w:r>
      <w:r w:rsidRPr="00EE7E38">
        <w:rPr>
          <w:rFonts w:ascii="Times New Roman" w:hAnsi="Times New Roman" w:cs="Times New Roman"/>
          <w:iCs/>
        </w:rPr>
        <w:t>L</w:t>
      </w:r>
      <w:r w:rsidRPr="00EE7E38">
        <w:rPr>
          <w:rFonts w:ascii="Times New Roman" w:hAnsi="Times New Roman" w:cs="Times New Roman"/>
        </w:rPr>
        <w:t xml:space="preserve">ight emitting diode (LED) fluorescence microscopes with performance characteristics superior to conventional microscopes, which have been endorsed by </w:t>
      </w:r>
      <w:proofErr w:type="gramStart"/>
      <w:r w:rsidRPr="00EE7E38">
        <w:rPr>
          <w:rFonts w:ascii="Times New Roman" w:hAnsi="Times New Roman" w:cs="Times New Roman"/>
        </w:rPr>
        <w:t>WHO</w:t>
      </w:r>
      <w:proofErr w:type="gramEnd"/>
      <w:r w:rsidRPr="00EE7E38">
        <w:rPr>
          <w:rFonts w:ascii="Times New Roman" w:hAnsi="Times New Roman" w:cs="Times New Roman"/>
        </w:rPr>
        <w:t xml:space="preserve">, will be procured for all TB laboratories in the network, replacing the older light microscopes. In addition, laboratory furniture will be procured as needed. </w:t>
      </w:r>
    </w:p>
    <w:p w14:paraId="2A23A3B9" w14:textId="4E801E9D"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Support to specimen transportation system</w:t>
      </w:r>
      <w:r w:rsidRPr="00EE7E38">
        <w:rPr>
          <w:rFonts w:ascii="Times New Roman" w:hAnsi="Times New Roman" w:cs="Times New Roman"/>
        </w:rPr>
        <w:t xml:space="preserve">. Routine system for transportation of sputum (from district level TB service units without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to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sites in other districts and LSSs (including DSM), and from LSSs – to ZDL Kutaisi and NRL for culturing and DST) will be supported. However, its format will be revisited in view of the planned reconfiguration of the diagnostic network</w:t>
      </w:r>
      <w:r w:rsidR="00EA1D1B">
        <w:rPr>
          <w:rFonts w:ascii="Times New Roman" w:hAnsi="Times New Roman" w:cs="Times New Roman"/>
        </w:rPr>
        <w:t>,</w:t>
      </w:r>
      <w:r w:rsidRPr="00EE7E38">
        <w:rPr>
          <w:rFonts w:ascii="Times New Roman" w:hAnsi="Times New Roman" w:cs="Times New Roman"/>
        </w:rPr>
        <w:t xml:space="preserve"> as rolling out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at peripheral level will reduce the need for transporting sputum to LSSs. In turn, extending rapid culture and DST at ZDL Kutaisi will reduce the needs for transportation from Western Georgia to the NRL.</w:t>
      </w:r>
    </w:p>
    <w:p w14:paraId="344CC3E7" w14:textId="240E800D"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Laboratory supplies for microscopy investigations. </w:t>
      </w:r>
      <w:r w:rsidRPr="00EE7E38">
        <w:rPr>
          <w:rFonts w:ascii="Times New Roman" w:hAnsi="Times New Roman" w:cs="Times New Roman"/>
        </w:rPr>
        <w:t xml:space="preserve">Procurement of consumables and reagents for DSM will cover both diagnostic and treatment monitoring microscopy tests at all levels. The total estimated amount of DSM tests to be performed countrywide (including </w:t>
      </w:r>
      <w:r w:rsidR="00EA1D1B">
        <w:rPr>
          <w:rFonts w:ascii="Times New Roman" w:hAnsi="Times New Roman" w:cs="Times New Roman"/>
        </w:rPr>
        <w:t xml:space="preserve">in the </w:t>
      </w:r>
      <w:r w:rsidRPr="00EE7E38">
        <w:rPr>
          <w:rFonts w:ascii="Times New Roman" w:hAnsi="Times New Roman" w:cs="Times New Roman"/>
        </w:rPr>
        <w:t>penitentiary system) in 201</w:t>
      </w:r>
      <w:r w:rsidR="00EA1427" w:rsidRPr="00EE7E38">
        <w:rPr>
          <w:rFonts w:ascii="Times New Roman" w:hAnsi="Times New Roman" w:cs="Times New Roman"/>
        </w:rPr>
        <w:t>9</w:t>
      </w:r>
      <w:r w:rsidRPr="00EE7E38">
        <w:rPr>
          <w:rFonts w:ascii="Times New Roman" w:hAnsi="Times New Roman" w:cs="Times New Roman"/>
        </w:rPr>
        <w:t>-202</w:t>
      </w:r>
      <w:r w:rsidR="00EA1427" w:rsidRPr="00EE7E38">
        <w:rPr>
          <w:rFonts w:ascii="Times New Roman" w:hAnsi="Times New Roman" w:cs="Times New Roman"/>
        </w:rPr>
        <w:t>2</w:t>
      </w:r>
      <w:r w:rsidRPr="00EE7E38">
        <w:rPr>
          <w:rFonts w:ascii="Times New Roman" w:hAnsi="Times New Roman" w:cs="Times New Roman"/>
        </w:rPr>
        <w:t xml:space="preserve"> is about 210,000 tests; however the annual quantities will decrease from about 60,000 in </w:t>
      </w:r>
      <w:r w:rsidR="0026126F">
        <w:rPr>
          <w:rFonts w:ascii="Times New Roman" w:hAnsi="Times New Roman" w:cs="Times New Roman"/>
        </w:rPr>
        <w:t>2016 to less than 32,000 in 2022</w:t>
      </w:r>
      <w:r w:rsidRPr="00EE7E38">
        <w:rPr>
          <w:rFonts w:ascii="Times New Roman" w:hAnsi="Times New Roman" w:cs="Times New Roman"/>
        </w:rPr>
        <w:t xml:space="preserve"> due to rolling out diagnostic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tests and reducing the number of smears per investigation. It is envisaged that fluorescent LED microscopy will replace c</w:t>
      </w:r>
      <w:r w:rsidR="00754E85" w:rsidRPr="00EE7E38">
        <w:rPr>
          <w:rFonts w:ascii="Times New Roman" w:hAnsi="Times New Roman" w:cs="Times New Roman"/>
        </w:rPr>
        <w:t>onventional DSM during this strategy cycle, so that in 2020, over</w:t>
      </w:r>
      <w:r w:rsidRPr="00EE7E38">
        <w:rPr>
          <w:rFonts w:ascii="Times New Roman" w:hAnsi="Times New Roman" w:cs="Times New Roman"/>
        </w:rPr>
        <w:t xml:space="preserve"> 90% of all microscopy tests will be performed using LED technique).</w:t>
      </w:r>
    </w:p>
    <w:p w14:paraId="00044AA4"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Equipment for reference TB laboratories. </w:t>
      </w:r>
      <w:r w:rsidRPr="00EE7E38">
        <w:rPr>
          <w:rFonts w:ascii="Times New Roman" w:hAnsi="Times New Roman" w:cs="Times New Roman"/>
        </w:rPr>
        <w:t xml:space="preserve">Necessary </w:t>
      </w:r>
      <w:r w:rsidR="00967253" w:rsidRPr="00EE7E38">
        <w:rPr>
          <w:rFonts w:ascii="Times New Roman" w:hAnsi="Times New Roman" w:cs="Times New Roman"/>
        </w:rPr>
        <w:t xml:space="preserve">major and minor </w:t>
      </w:r>
      <w:r w:rsidRPr="00EE7E38">
        <w:rPr>
          <w:rFonts w:ascii="Times New Roman" w:hAnsi="Times New Roman" w:cs="Times New Roman"/>
        </w:rPr>
        <w:t xml:space="preserve">laboratory equipment and </w:t>
      </w:r>
      <w:r w:rsidR="00967253" w:rsidRPr="00EE7E38">
        <w:rPr>
          <w:rFonts w:ascii="Times New Roman" w:hAnsi="Times New Roman" w:cs="Times New Roman"/>
        </w:rPr>
        <w:t xml:space="preserve">supplies </w:t>
      </w:r>
      <w:r w:rsidRPr="00EE7E38">
        <w:rPr>
          <w:rFonts w:ascii="Times New Roman" w:hAnsi="Times New Roman" w:cs="Times New Roman"/>
        </w:rPr>
        <w:t>will be provided for ZDL Kutaisi and NRL.</w:t>
      </w:r>
    </w:p>
    <w:p w14:paraId="1C1847D6" w14:textId="2854D6C2" w:rsidR="00F72D14"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Laboratory supplies for MGIT and LPA investigations. </w:t>
      </w:r>
      <w:r w:rsidRPr="00EE7E38">
        <w:rPr>
          <w:rFonts w:ascii="Times New Roman" w:hAnsi="Times New Roman" w:cs="Times New Roman"/>
        </w:rPr>
        <w:t xml:space="preserve">Procurement of consumables and reagents for culturing and DST covers diagnostic and treatment monitoring needs at the NRL and ZDL </w:t>
      </w:r>
      <w:r w:rsidRPr="00EE7E38">
        <w:rPr>
          <w:rFonts w:ascii="Times New Roman" w:hAnsi="Times New Roman" w:cs="Times New Roman"/>
        </w:rPr>
        <w:lastRenderedPageBreak/>
        <w:t xml:space="preserve">Kutaisi. </w:t>
      </w:r>
      <w:r w:rsidR="00EA1D1B">
        <w:rPr>
          <w:rFonts w:ascii="Times New Roman" w:hAnsi="Times New Roman" w:cs="Times New Roman"/>
        </w:rPr>
        <w:t>This plan targets meeting</w:t>
      </w:r>
      <w:r w:rsidRPr="00EE7E38">
        <w:rPr>
          <w:rFonts w:ascii="Times New Roman" w:hAnsi="Times New Roman" w:cs="Times New Roman"/>
        </w:rPr>
        <w:t xml:space="preserve"> 90% of the countrywide need</w:t>
      </w:r>
      <w:r w:rsidR="00EA1D1B">
        <w:rPr>
          <w:rFonts w:ascii="Times New Roman" w:hAnsi="Times New Roman" w:cs="Times New Roman"/>
        </w:rPr>
        <w:t xml:space="preserve"> for</w:t>
      </w:r>
      <w:r w:rsidRPr="00EE7E38">
        <w:rPr>
          <w:rFonts w:ascii="Times New Roman" w:hAnsi="Times New Roman" w:cs="Times New Roman"/>
        </w:rPr>
        <w:t xml:space="preserve"> liquid culture by the end of 20</w:t>
      </w:r>
      <w:r w:rsidR="00754E85" w:rsidRPr="00EE7E38">
        <w:rPr>
          <w:rFonts w:ascii="Times New Roman" w:hAnsi="Times New Roman" w:cs="Times New Roman"/>
        </w:rPr>
        <w:t>19</w:t>
      </w:r>
      <w:r w:rsidRPr="00EE7E38">
        <w:rPr>
          <w:rFonts w:ascii="Times New Roman" w:hAnsi="Times New Roman" w:cs="Times New Roman"/>
        </w:rPr>
        <w:t xml:space="preserve"> and </w:t>
      </w:r>
      <w:r w:rsidR="00EA1D1B">
        <w:rPr>
          <w:rFonts w:ascii="Times New Roman" w:hAnsi="Times New Roman" w:cs="Times New Roman"/>
        </w:rPr>
        <w:t>achieving 100% coverage by 2020</w:t>
      </w:r>
      <w:r w:rsidRPr="00EE7E38">
        <w:rPr>
          <w:rFonts w:ascii="Times New Roman" w:hAnsi="Times New Roman" w:cs="Times New Roman"/>
        </w:rPr>
        <w:t>. The</w:t>
      </w:r>
      <w:r w:rsidR="00EA1D1B">
        <w:rPr>
          <w:rFonts w:ascii="Times New Roman" w:hAnsi="Times New Roman" w:cs="Times New Roman"/>
        </w:rPr>
        <w:t>se</w:t>
      </w:r>
      <w:r w:rsidR="00D43D9A">
        <w:rPr>
          <w:rFonts w:ascii="Times New Roman" w:hAnsi="Times New Roman" w:cs="Times New Roman"/>
        </w:rPr>
        <w:t xml:space="preserve"> </w:t>
      </w:r>
      <w:r w:rsidRPr="00EE7E38">
        <w:rPr>
          <w:rFonts w:ascii="Times New Roman" w:hAnsi="Times New Roman" w:cs="Times New Roman"/>
        </w:rPr>
        <w:t xml:space="preserve">calculations are based on the epidemiological forecast and the planned level of expansion of rapid testing, and take </w:t>
      </w:r>
      <w:r w:rsidR="00EA1D1B">
        <w:rPr>
          <w:rFonts w:ascii="Times New Roman" w:hAnsi="Times New Roman" w:cs="Times New Roman"/>
        </w:rPr>
        <w:t xml:space="preserve">into </w:t>
      </w:r>
      <w:r w:rsidRPr="00EE7E38">
        <w:rPr>
          <w:rFonts w:ascii="Times New Roman" w:hAnsi="Times New Roman" w:cs="Times New Roman"/>
        </w:rPr>
        <w:t xml:space="preserve">account the forthcoming changes in the diagnostic algorithm. </w:t>
      </w:r>
    </w:p>
    <w:p w14:paraId="3FB02143" w14:textId="3DBA872E"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Maintenance/servicing of laboratory equipment and ventilation systems</w:t>
      </w:r>
      <w:r w:rsidR="00954511" w:rsidRPr="00EE7E38">
        <w:rPr>
          <w:rFonts w:ascii="Times New Roman" w:hAnsi="Times New Roman" w:cs="Times New Roman"/>
        </w:rPr>
        <w:t>. NCDCPH and NCTLD will secure proper support to maintenance, repairs, spare parts and other servicing needs for all spec</w:t>
      </w:r>
      <w:r w:rsidRPr="00EE7E38">
        <w:rPr>
          <w:rFonts w:ascii="Times New Roman" w:hAnsi="Times New Roman" w:cs="Times New Roman"/>
          <w:i/>
          <w:iCs/>
        </w:rPr>
        <w:t>ialized laboratory equipment, as well as maintenance of biosafety equip</w:t>
      </w:r>
      <w:r w:rsidRPr="00EE7E38">
        <w:rPr>
          <w:rFonts w:ascii="Times New Roman" w:hAnsi="Times New Roman" w:cs="Times New Roman"/>
        </w:rPr>
        <w:t>ment and ventilation systems at the NRL and ZDL Kutaisi.</w:t>
      </w:r>
    </w:p>
    <w:p w14:paraId="62F8DD35" w14:textId="77777777" w:rsidR="00540B31" w:rsidRPr="00EE7E38" w:rsidRDefault="00954511">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Environmental and individual infection control measures</w:t>
      </w:r>
      <w:r w:rsidRPr="00EE7E38">
        <w:rPr>
          <w:rFonts w:ascii="Times New Roman" w:hAnsi="Times New Roman" w:cs="Times New Roman"/>
        </w:rPr>
        <w:t>. Environmental (upper-level ultraviolet germicidal ventilation devices) and individual (N95 / FF2 respirators) measures will be provided</w:t>
      </w:r>
      <w:r w:rsidR="005A003D" w:rsidRPr="00EE7E38">
        <w:rPr>
          <w:rFonts w:ascii="Times New Roman" w:hAnsi="Times New Roman" w:cs="Times New Roman"/>
        </w:rPr>
        <w:t xml:space="preserve"> for proper infection control and preventing staff at high risk of infection at the NRL and ZDL Kutaisi).</w:t>
      </w:r>
    </w:p>
    <w:p w14:paraId="004B281A" w14:textId="7A4E8749"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Capacity building of laboratory staff</w:t>
      </w:r>
      <w:r w:rsidRPr="00EE7E38">
        <w:rPr>
          <w:rFonts w:ascii="Times New Roman" w:hAnsi="Times New Roman" w:cs="Times New Roman"/>
        </w:rPr>
        <w:t xml:space="preserve"> will be given due priority at the stage of implementation of new techniques and approaches to TB diagnosis. Training of LSS and ZDL Kutaisi personnel will be carried out by the NRL and will cover fluorescence microscopy and culturing/DST, standard operating procedures and quality management, biosafety, data management and other relevant aspects. In addition, staff from the NRL will attend training in advanced diagnostic techniques and quality assurance at the SRL Antwerp.</w:t>
      </w:r>
    </w:p>
    <w:p w14:paraId="5E4E2BDC" w14:textId="3BADEFDE"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Strengthening NRL quality management system/support to ISO accreditation.</w:t>
      </w:r>
      <w:r w:rsidRPr="00EE7E38">
        <w:rPr>
          <w:rFonts w:ascii="Times New Roman" w:hAnsi="Times New Roman" w:cs="Times New Roman"/>
        </w:rPr>
        <w:t xml:space="preserve"> These activities include external technical assistance and auditing of the NRL by an external auditor, international and local training of NRL staff in QMS and aligning the NRL operational procedures and documentation with ISO-15189 standard.</w:t>
      </w:r>
    </w:p>
    <w:p w14:paraId="77F57C86" w14:textId="1AD7E979" w:rsidR="005A003D" w:rsidRPr="00EE7E38" w:rsidRDefault="005A003D"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1.3</w:t>
      </w:r>
      <w:r w:rsidRPr="00EE7E38">
        <w:rPr>
          <w:rFonts w:ascii="Times New Roman" w:hAnsi="Times New Roman" w:cs="Times New Roman"/>
          <w:b/>
        </w:rPr>
        <w:tab/>
        <w:t>Contact</w:t>
      </w:r>
      <w:r w:rsidR="00F72D14">
        <w:rPr>
          <w:rFonts w:ascii="Times New Roman" w:hAnsi="Times New Roman" w:cs="Times New Roman"/>
          <w:b/>
        </w:rPr>
        <w:t xml:space="preserve"> </w:t>
      </w:r>
      <w:r w:rsidRPr="00EE7E38">
        <w:rPr>
          <w:rFonts w:ascii="Times New Roman" w:hAnsi="Times New Roman" w:cs="Times New Roman"/>
          <w:b/>
        </w:rPr>
        <w:t>investigation, screening and active case finding for TB among high-risk groups including people living with HIV</w:t>
      </w:r>
    </w:p>
    <w:p w14:paraId="1FB71499" w14:textId="69D65ABC" w:rsidR="005A003D" w:rsidRPr="00EE7E38" w:rsidRDefault="00F72D14" w:rsidP="00835F94">
      <w:pPr>
        <w:widowControl w:val="0"/>
        <w:spacing w:before="120" w:after="120" w:line="240" w:lineRule="auto"/>
        <w:jc w:val="both"/>
        <w:rPr>
          <w:rFonts w:ascii="Times New Roman" w:hAnsi="Times New Roman" w:cs="Times New Roman"/>
        </w:rPr>
      </w:pPr>
      <w:r>
        <w:rPr>
          <w:rFonts w:ascii="Times New Roman" w:hAnsi="Times New Roman" w:cs="Times New Roman"/>
        </w:rPr>
        <w:t>The burden of undetected TB</w:t>
      </w:r>
      <w:r w:rsidR="005A003D" w:rsidRPr="00EE7E38">
        <w:rPr>
          <w:rFonts w:ascii="Times New Roman" w:hAnsi="Times New Roman" w:cs="Times New Roman"/>
        </w:rPr>
        <w:t xml:space="preserve"> is substantial in Georgia, especially in high-risk groups. Significant delays in diagnosing TB and initiating the appropriate treatment are likely in people with </w:t>
      </w:r>
      <w:r>
        <w:rPr>
          <w:rFonts w:ascii="Times New Roman" w:hAnsi="Times New Roman" w:cs="Times New Roman"/>
        </w:rPr>
        <w:t>limited</w:t>
      </w:r>
      <w:r w:rsidR="005A003D" w:rsidRPr="00EE7E38">
        <w:rPr>
          <w:rFonts w:ascii="Times New Roman" w:hAnsi="Times New Roman" w:cs="Times New Roman"/>
        </w:rPr>
        <w:t xml:space="preserve"> access to health services. Systematic screening for active TB disease among risk groups</w:t>
      </w:r>
      <w:r>
        <w:rPr>
          <w:rFonts w:ascii="Times New Roman" w:hAnsi="Times New Roman" w:cs="Times New Roman"/>
        </w:rPr>
        <w:t xml:space="preserve"> </w:t>
      </w:r>
      <w:r w:rsidR="005A003D" w:rsidRPr="00EE7E38">
        <w:rPr>
          <w:rFonts w:ascii="Times New Roman" w:hAnsi="Times New Roman" w:cs="Times New Roman"/>
        </w:rPr>
        <w:t>improves early case detection.</w:t>
      </w:r>
    </w:p>
    <w:p w14:paraId="4D9DE50F"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primary objective of screening is to ensure that active TB is detected early and treatment is initiated promptly, with the ultimate aim of reducing the risk of poor treatment outcomes, the adverse social and economic consequences of TB, as well as helping to reduce TB transmission. Systematic screening implies identification of people with suspected active TB, in a predetermined target group, using tests, examinations or other procedures that can be applied rapidly</w:t>
      </w:r>
      <w:r w:rsidRPr="00EE7E38">
        <w:rPr>
          <w:rStyle w:val="FootnoteReference"/>
          <w:rFonts w:ascii="Times New Roman" w:hAnsi="Times New Roman" w:cs="Times New Roman"/>
        </w:rPr>
        <w:footnoteReference w:id="20"/>
      </w:r>
      <w:r w:rsidRPr="00EE7E38">
        <w:rPr>
          <w:rFonts w:ascii="Times New Roman" w:hAnsi="Times New Roman" w:cs="Times New Roman"/>
        </w:rPr>
        <w:t>. Such screening is provider-initiated and targets people who do not seek health care because of the lack or neglect of symptoms, barriers to accessing care or for other reasons. Among those whose screening is positive, the diagnosis needs to be confirmed by bacteriological tests and additional clinical assessments.</w:t>
      </w:r>
    </w:p>
    <w:p w14:paraId="3D69421F"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Based on the latest international evidence and guidance, the following five groups have been identified for systematic screening for active TB in Georgia:</w:t>
      </w:r>
    </w:p>
    <w:p w14:paraId="0A1A78A8" w14:textId="16C487F5" w:rsidR="00540B31" w:rsidRPr="00EE7E38" w:rsidRDefault="005A003D">
      <w:pPr>
        <w:pStyle w:val="ListParagraph"/>
        <w:widowControl w:val="0"/>
        <w:numPr>
          <w:ilvl w:val="0"/>
          <w:numId w:val="12"/>
        </w:numPr>
        <w:spacing w:before="120" w:after="120" w:line="240" w:lineRule="auto"/>
        <w:ind w:left="714" w:hanging="357"/>
        <w:jc w:val="both"/>
        <w:rPr>
          <w:rFonts w:ascii="Times New Roman" w:hAnsi="Times New Roman" w:cs="Times New Roman"/>
        </w:rPr>
      </w:pPr>
      <w:r w:rsidRPr="00EE7E38">
        <w:rPr>
          <w:rFonts w:ascii="Times New Roman" w:hAnsi="Times New Roman" w:cs="Times New Roman"/>
        </w:rPr>
        <w:t>Household contacts and other close contacts of patients with active TB</w:t>
      </w:r>
      <w:r w:rsidR="006A3666">
        <w:rPr>
          <w:rFonts w:ascii="Times New Roman" w:hAnsi="Times New Roman" w:cs="Times New Roman"/>
        </w:rPr>
        <w:t>;</w:t>
      </w:r>
    </w:p>
    <w:p w14:paraId="34936CE5" w14:textId="0CA08837" w:rsidR="00540B31" w:rsidRPr="00EE7E38" w:rsidRDefault="005A003D">
      <w:pPr>
        <w:pStyle w:val="ListParagraph"/>
        <w:widowControl w:val="0"/>
        <w:numPr>
          <w:ilvl w:val="0"/>
          <w:numId w:val="12"/>
        </w:numPr>
        <w:spacing w:before="120" w:after="120" w:line="240" w:lineRule="auto"/>
        <w:ind w:left="714" w:hanging="357"/>
        <w:jc w:val="both"/>
        <w:rPr>
          <w:rFonts w:ascii="Times New Roman" w:hAnsi="Times New Roman" w:cs="Times New Roman"/>
        </w:rPr>
      </w:pPr>
      <w:r w:rsidRPr="00EE7E38">
        <w:rPr>
          <w:rFonts w:ascii="Times New Roman" w:hAnsi="Times New Roman" w:cs="Times New Roman"/>
        </w:rPr>
        <w:t>People living with HIV</w:t>
      </w:r>
      <w:r w:rsidR="006A3666">
        <w:rPr>
          <w:rFonts w:ascii="Times New Roman" w:hAnsi="Times New Roman" w:cs="Times New Roman"/>
        </w:rPr>
        <w:t>;</w:t>
      </w:r>
    </w:p>
    <w:p w14:paraId="16C558F2" w14:textId="05966107" w:rsidR="00540B31" w:rsidRPr="00EE7E38" w:rsidRDefault="005A003D">
      <w:pPr>
        <w:pStyle w:val="ListParagraph"/>
        <w:widowControl w:val="0"/>
        <w:numPr>
          <w:ilvl w:val="0"/>
          <w:numId w:val="12"/>
        </w:numPr>
        <w:spacing w:before="120" w:after="120" w:line="240" w:lineRule="auto"/>
        <w:ind w:left="714" w:hanging="357"/>
        <w:jc w:val="both"/>
        <w:rPr>
          <w:rFonts w:ascii="Times New Roman" w:hAnsi="Times New Roman" w:cs="Times New Roman"/>
        </w:rPr>
      </w:pPr>
      <w:r w:rsidRPr="00EE7E38">
        <w:rPr>
          <w:rFonts w:ascii="Times New Roman" w:hAnsi="Times New Roman" w:cs="Times New Roman"/>
        </w:rPr>
        <w:t>Persons detained in penitentiary institutions</w:t>
      </w:r>
      <w:r w:rsidR="006A3666">
        <w:rPr>
          <w:rFonts w:ascii="Times New Roman" w:hAnsi="Times New Roman" w:cs="Times New Roman"/>
        </w:rPr>
        <w:t>;</w:t>
      </w:r>
    </w:p>
    <w:p w14:paraId="2BF207E5" w14:textId="7515021C" w:rsidR="00540B31" w:rsidRPr="00EE7E38" w:rsidRDefault="005A003D">
      <w:pPr>
        <w:pStyle w:val="ListParagraph"/>
        <w:widowControl w:val="0"/>
        <w:numPr>
          <w:ilvl w:val="0"/>
          <w:numId w:val="12"/>
        </w:numPr>
        <w:spacing w:before="120" w:after="120" w:line="240" w:lineRule="auto"/>
        <w:ind w:left="714" w:hanging="357"/>
        <w:jc w:val="both"/>
        <w:rPr>
          <w:rFonts w:ascii="Times New Roman" w:hAnsi="Times New Roman" w:cs="Times New Roman"/>
        </w:rPr>
      </w:pPr>
      <w:r w:rsidRPr="00EE7E38">
        <w:rPr>
          <w:rFonts w:ascii="Times New Roman" w:hAnsi="Times New Roman" w:cs="Times New Roman"/>
        </w:rPr>
        <w:t>People with selected medical conditions that constitute risk factors for TB, who seek health care for other reasons</w:t>
      </w:r>
      <w:r w:rsidR="006A3666">
        <w:rPr>
          <w:rFonts w:ascii="Times New Roman" w:hAnsi="Times New Roman" w:cs="Times New Roman"/>
        </w:rPr>
        <w:t>;</w:t>
      </w:r>
    </w:p>
    <w:p w14:paraId="7F2596B5" w14:textId="5F63DCED" w:rsidR="00540B31" w:rsidRPr="00EE7E38" w:rsidRDefault="005A003D">
      <w:pPr>
        <w:pStyle w:val="ListParagraph"/>
        <w:widowControl w:val="0"/>
        <w:numPr>
          <w:ilvl w:val="0"/>
          <w:numId w:val="12"/>
        </w:numPr>
        <w:spacing w:before="120" w:after="120" w:line="240" w:lineRule="auto"/>
        <w:ind w:left="714" w:hanging="357"/>
        <w:jc w:val="both"/>
        <w:rPr>
          <w:rFonts w:ascii="Times New Roman" w:hAnsi="Times New Roman" w:cs="Times New Roman"/>
        </w:rPr>
      </w:pPr>
      <w:r w:rsidRPr="00EE7E38">
        <w:rPr>
          <w:rFonts w:ascii="Times New Roman" w:hAnsi="Times New Roman" w:cs="Times New Roman"/>
        </w:rPr>
        <w:t xml:space="preserve">Other subpopulations with estimated high levels of undetected TB </w:t>
      </w:r>
      <w:r w:rsidR="006C1E8E">
        <w:rPr>
          <w:rFonts w:ascii="Times New Roman" w:hAnsi="Times New Roman" w:cs="Times New Roman"/>
        </w:rPr>
        <w:t>and/or</w:t>
      </w:r>
      <w:r w:rsidRPr="00EE7E38">
        <w:rPr>
          <w:rFonts w:ascii="Times New Roman" w:hAnsi="Times New Roman" w:cs="Times New Roman"/>
        </w:rPr>
        <w:t xml:space="preserve"> limited access to health care services.</w:t>
      </w:r>
    </w:p>
    <w:p w14:paraId="601398A2" w14:textId="151F48E4" w:rsidR="005A003D" w:rsidRPr="00EE7E38" w:rsidRDefault="005A003D" w:rsidP="00835F94">
      <w:pPr>
        <w:widowControl w:val="0"/>
        <w:spacing w:before="120" w:after="120" w:line="240" w:lineRule="auto"/>
        <w:rPr>
          <w:rFonts w:ascii="Times New Roman" w:hAnsi="Times New Roman" w:cs="Times New Roman"/>
        </w:rPr>
      </w:pPr>
      <w:proofErr w:type="gramStart"/>
      <w:r w:rsidRPr="00EE7E38">
        <w:rPr>
          <w:rFonts w:ascii="Times New Roman" w:hAnsi="Times New Roman" w:cs="Times New Roman"/>
          <w:b/>
          <w:i/>
        </w:rPr>
        <w:t>Household contacts and other close contacts of patients with active TB.</w:t>
      </w:r>
      <w:proofErr w:type="gramEnd"/>
      <w:r w:rsidRPr="00EE7E38">
        <w:rPr>
          <w:rFonts w:ascii="Times New Roman" w:hAnsi="Times New Roman" w:cs="Times New Roman"/>
          <w:b/>
          <w:i/>
        </w:rPr>
        <w:t xml:space="preserve"> </w:t>
      </w:r>
      <w:r w:rsidRPr="00EE7E38">
        <w:rPr>
          <w:rFonts w:ascii="Times New Roman" w:hAnsi="Times New Roman" w:cs="Times New Roman"/>
        </w:rPr>
        <w:t>One of the international standards for TB care requires that all providers ensure that persons in close contact with TB patients are evaluated and managed in line with international recommendations</w:t>
      </w:r>
      <w:r w:rsidRPr="00EE7E38">
        <w:rPr>
          <w:rStyle w:val="FootnoteReference"/>
          <w:rFonts w:ascii="Times New Roman" w:hAnsi="Times New Roman" w:cs="Times New Roman"/>
        </w:rPr>
        <w:footnoteReference w:id="21"/>
      </w:r>
      <w:r w:rsidRPr="00EE7E38">
        <w:rPr>
          <w:rFonts w:ascii="Times New Roman" w:hAnsi="Times New Roman" w:cs="Times New Roman"/>
        </w:rPr>
        <w:t xml:space="preserve">. A contact is any person who has been exposed to a person with infectious TB (‘index case’). Contacts are divided into two groups, household and non-household. Contact investigation is an important activity to find persons with previously undetected TB and </w:t>
      </w:r>
      <w:r w:rsidRPr="00EE7E38">
        <w:rPr>
          <w:rFonts w:ascii="Times New Roman" w:hAnsi="Times New Roman" w:cs="Times New Roman"/>
        </w:rPr>
        <w:lastRenderedPageBreak/>
        <w:t>persons who are candidates for treatment of latent TB infection (LTBI). Inability to conduct contact investigations results in missed opportunities to prevent additional cases of TB, especially among children.</w:t>
      </w:r>
    </w:p>
    <w:p w14:paraId="6AD37ADB" w14:textId="0F6E6965" w:rsidR="005A003D" w:rsidRPr="00EE7E38" w:rsidRDefault="00754E85"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In order to </w:t>
      </w:r>
      <w:r w:rsidR="005A003D" w:rsidRPr="00EE7E38">
        <w:rPr>
          <w:rFonts w:ascii="Times New Roman" w:hAnsi="Times New Roman" w:cs="Times New Roman"/>
        </w:rPr>
        <w:t>strengthen contact investigation activities</w:t>
      </w:r>
      <w:r w:rsidR="00825B3D">
        <w:rPr>
          <w:rFonts w:ascii="Times New Roman" w:hAnsi="Times New Roman" w:cs="Times New Roman"/>
        </w:rPr>
        <w:t>, the NTP</w:t>
      </w:r>
      <w:r w:rsidR="005A003D" w:rsidRPr="00EE7E38">
        <w:rPr>
          <w:rFonts w:ascii="Times New Roman" w:hAnsi="Times New Roman" w:cs="Times New Roman"/>
        </w:rPr>
        <w:t xml:space="preserve"> </w:t>
      </w:r>
      <w:r w:rsidR="00FD369C" w:rsidRPr="00EE7E38">
        <w:rPr>
          <w:rFonts w:ascii="Times New Roman" w:hAnsi="Times New Roman" w:cs="Times New Roman"/>
        </w:rPr>
        <w:t>will systematically update</w:t>
      </w:r>
      <w:r w:rsidRPr="00EE7E38">
        <w:rPr>
          <w:rFonts w:ascii="Times New Roman" w:hAnsi="Times New Roman" w:cs="Times New Roman"/>
        </w:rPr>
        <w:t xml:space="preserve"> </w:t>
      </w:r>
      <w:r w:rsidR="00FD369C" w:rsidRPr="00EE7E38">
        <w:rPr>
          <w:rFonts w:ascii="Times New Roman" w:hAnsi="Times New Roman" w:cs="Times New Roman"/>
        </w:rPr>
        <w:t xml:space="preserve">a </w:t>
      </w:r>
      <w:r w:rsidR="005A003D" w:rsidRPr="00EE7E38">
        <w:rPr>
          <w:rFonts w:ascii="Times New Roman" w:hAnsi="Times New Roman" w:cs="Times New Roman"/>
        </w:rPr>
        <w:t xml:space="preserve">mandatory contact screening protocol. The highest priority </w:t>
      </w:r>
      <w:r w:rsidR="00FD369C" w:rsidRPr="00EE7E38">
        <w:rPr>
          <w:rFonts w:ascii="Times New Roman" w:hAnsi="Times New Roman" w:cs="Times New Roman"/>
        </w:rPr>
        <w:t xml:space="preserve">groups considered </w:t>
      </w:r>
      <w:r w:rsidR="005A003D" w:rsidRPr="00EE7E38">
        <w:rPr>
          <w:rFonts w:ascii="Times New Roman" w:hAnsi="Times New Roman" w:cs="Times New Roman"/>
        </w:rPr>
        <w:t xml:space="preserve">for evaluation </w:t>
      </w:r>
      <w:r w:rsidR="00FD369C" w:rsidRPr="00EE7E38">
        <w:rPr>
          <w:rFonts w:ascii="Times New Roman" w:hAnsi="Times New Roman" w:cs="Times New Roman"/>
        </w:rPr>
        <w:t>will be</w:t>
      </w:r>
      <w:r w:rsidR="005A003D" w:rsidRPr="00EE7E38">
        <w:rPr>
          <w:rFonts w:ascii="Times New Roman" w:hAnsi="Times New Roman" w:cs="Times New Roman"/>
        </w:rPr>
        <w:t xml:space="preserve">: persons with symptoms suggestive of TB; children aged &lt;5 years; contacts with immunocompromised states, particularly HIV infection; and contacts of patients with M/XDR-TB. In addition, contact investigation for household contacts and close contacts </w:t>
      </w:r>
      <w:r w:rsidR="006A5E7A" w:rsidRPr="00EE7E38">
        <w:rPr>
          <w:rFonts w:ascii="Times New Roman" w:hAnsi="Times New Roman" w:cs="Times New Roman"/>
        </w:rPr>
        <w:t xml:space="preserve">will </w:t>
      </w:r>
      <w:r w:rsidR="00825B3D">
        <w:rPr>
          <w:rFonts w:ascii="Times New Roman" w:hAnsi="Times New Roman" w:cs="Times New Roman"/>
        </w:rPr>
        <w:t>continue</w:t>
      </w:r>
      <w:r w:rsidR="006A5E7A" w:rsidRPr="00EE7E38">
        <w:rPr>
          <w:rFonts w:ascii="Times New Roman" w:hAnsi="Times New Roman" w:cs="Times New Roman"/>
        </w:rPr>
        <w:t xml:space="preserve"> to be </w:t>
      </w:r>
      <w:r w:rsidRPr="00EE7E38">
        <w:rPr>
          <w:rFonts w:ascii="Times New Roman" w:hAnsi="Times New Roman" w:cs="Times New Roman"/>
        </w:rPr>
        <w:t>performed</w:t>
      </w:r>
      <w:r w:rsidR="005A003D" w:rsidRPr="00EE7E38">
        <w:rPr>
          <w:rFonts w:ascii="Times New Roman" w:hAnsi="Times New Roman" w:cs="Times New Roman"/>
        </w:rPr>
        <w:t xml:space="preserve"> for all other index cases with pulmonary TB</w:t>
      </w:r>
      <w:r w:rsidR="006A5E7A" w:rsidRPr="00EE7E38">
        <w:rPr>
          <w:rFonts w:ascii="Times New Roman" w:hAnsi="Times New Roman" w:cs="Times New Roman"/>
        </w:rPr>
        <w:t xml:space="preserve"> (introduced </w:t>
      </w:r>
      <w:r w:rsidR="00825B3D">
        <w:rPr>
          <w:rFonts w:ascii="Times New Roman" w:hAnsi="Times New Roman" w:cs="Times New Roman"/>
        </w:rPr>
        <w:t xml:space="preserve">in </w:t>
      </w:r>
      <w:r w:rsidR="006A5E7A" w:rsidRPr="00EE7E38">
        <w:rPr>
          <w:rFonts w:ascii="Times New Roman" w:hAnsi="Times New Roman" w:cs="Times New Roman"/>
        </w:rPr>
        <w:t>2017)</w:t>
      </w:r>
      <w:r w:rsidR="005A003D" w:rsidRPr="00EE7E38">
        <w:rPr>
          <w:rFonts w:ascii="Times New Roman" w:hAnsi="Times New Roman" w:cs="Times New Roman"/>
        </w:rPr>
        <w:t xml:space="preserve">. </w:t>
      </w:r>
    </w:p>
    <w:p w14:paraId="4E1D1500"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HIV counseling and testing will be offered to household contacts of patients who are HIV-infected, as well as to all contacts </w:t>
      </w:r>
      <w:proofErr w:type="gramStart"/>
      <w:r w:rsidRPr="00EE7E38">
        <w:rPr>
          <w:rFonts w:ascii="Times New Roman" w:hAnsi="Times New Roman" w:cs="Times New Roman"/>
        </w:rPr>
        <w:t>who</w:t>
      </w:r>
      <w:proofErr w:type="gramEnd"/>
      <w:r w:rsidRPr="00EE7E38">
        <w:rPr>
          <w:rFonts w:ascii="Times New Roman" w:hAnsi="Times New Roman" w:cs="Times New Roman"/>
        </w:rPr>
        <w:t xml:space="preserve"> have symptoms compatible with active TB. Contacts among children or PLHIV, in whom the clinical evaluation has not detected active TB, should be treated for presumed LTBI. Children should also undergo a nutrition screening and assessment as part of the investigation. If malnutrition is identified, it should be managed according to WHO recommendations</w:t>
      </w:r>
      <w:r w:rsidRPr="00EE7E38">
        <w:rPr>
          <w:rStyle w:val="FootnoteReference"/>
          <w:rFonts w:ascii="Times New Roman" w:hAnsi="Times New Roman" w:cs="Times New Roman"/>
        </w:rPr>
        <w:footnoteReference w:id="22"/>
      </w:r>
      <w:r w:rsidRPr="00EE7E38">
        <w:rPr>
          <w:rFonts w:ascii="Times New Roman" w:hAnsi="Times New Roman" w:cs="Times New Roman"/>
        </w:rPr>
        <w:t xml:space="preserve">. </w:t>
      </w:r>
    </w:p>
    <w:p w14:paraId="4CBB7B23" w14:textId="77777777" w:rsidR="005A003D" w:rsidRPr="00EE7E38" w:rsidRDefault="005A003D" w:rsidP="00835F94">
      <w:pPr>
        <w:widowControl w:val="0"/>
        <w:spacing w:before="120" w:after="120" w:line="240" w:lineRule="auto"/>
        <w:jc w:val="both"/>
        <w:rPr>
          <w:rFonts w:ascii="Times New Roman" w:hAnsi="Times New Roman" w:cs="Times New Roman"/>
        </w:rPr>
      </w:pPr>
      <w:proofErr w:type="gramStart"/>
      <w:r w:rsidRPr="00EE7E38">
        <w:rPr>
          <w:rFonts w:ascii="Times New Roman" w:hAnsi="Times New Roman" w:cs="Times New Roman"/>
          <w:b/>
          <w:i/>
        </w:rPr>
        <w:t>People living with HIV.</w:t>
      </w:r>
      <w:proofErr w:type="gramEnd"/>
      <w:r w:rsidRPr="00EE7E38">
        <w:rPr>
          <w:rFonts w:ascii="Times New Roman" w:hAnsi="Times New Roman" w:cs="Times New Roman"/>
          <w:b/>
          <w:i/>
        </w:rPr>
        <w:t xml:space="preserve"> </w:t>
      </w:r>
      <w:r w:rsidRPr="00EE7E38">
        <w:rPr>
          <w:rFonts w:ascii="Times New Roman" w:hAnsi="Times New Roman" w:cs="Times New Roman"/>
        </w:rPr>
        <w:t>It is important to ensure that TB is diagnosed early in this risk group, which has a high likelihood of having undetected TB and a high risk of poor health outcomes in the absence of early diagnosis and treatment. Screening for active TB should therefore be undertaken each time when an HIV-infected individual visits a health care facility.</w:t>
      </w:r>
    </w:p>
    <w:p w14:paraId="4F6FDB42"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For intensified TB case-finding in PLHIV, WHO</w:t>
      </w:r>
      <w:r w:rsidRPr="00EE7E38">
        <w:rPr>
          <w:rStyle w:val="FootnoteReference"/>
          <w:rFonts w:ascii="Times New Roman" w:hAnsi="Times New Roman" w:cs="Times New Roman"/>
        </w:rPr>
        <w:footnoteReference w:id="23"/>
      </w:r>
      <w:r w:rsidRPr="00EE7E38">
        <w:rPr>
          <w:rFonts w:ascii="Times New Roman" w:hAnsi="Times New Roman" w:cs="Times New Roman"/>
        </w:rPr>
        <w:t xml:space="preserve"> recommends the use of a special clinical symptom-based algorithm, which is augmented by chest </w:t>
      </w:r>
      <w:proofErr w:type="gramStart"/>
      <w:r w:rsidRPr="00EE7E38">
        <w:rPr>
          <w:rFonts w:ascii="Times New Roman" w:hAnsi="Times New Roman" w:cs="Times New Roman"/>
        </w:rPr>
        <w:t>radiography.</w:t>
      </w:r>
      <w:proofErr w:type="gramEnd"/>
      <w:r w:rsidRPr="00EE7E38">
        <w:rPr>
          <w:rFonts w:ascii="Times New Roman" w:hAnsi="Times New Roman" w:cs="Times New Roman"/>
        </w:rPr>
        <w:t xml:space="preserve"> PLHIV whose screening test is positive should have an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test as a primary diagnostic test (see Intervention 1.1 above). PLHIV who do not report symptoms of active TB disease (current cough, fever, weight loss or night sweats) should be offered treatment for presumed LTBI.</w:t>
      </w:r>
      <w:r w:rsidR="006C1DB8" w:rsidRPr="00EE7E38">
        <w:rPr>
          <w:rFonts w:ascii="Times New Roman" w:hAnsi="Times New Roman" w:cs="Times New Roman"/>
        </w:rPr>
        <w:t xml:space="preserve"> Preventive treatment will be conducted </w:t>
      </w:r>
      <w:r w:rsidR="00AB10E1" w:rsidRPr="00EE7E38">
        <w:rPr>
          <w:rFonts w:ascii="Times New Roman" w:hAnsi="Times New Roman" w:cs="Times New Roman"/>
        </w:rPr>
        <w:t>in</w:t>
      </w:r>
      <w:r w:rsidR="006C1DB8" w:rsidRPr="00EE7E38">
        <w:rPr>
          <w:rFonts w:ascii="Times New Roman" w:hAnsi="Times New Roman" w:cs="Times New Roman"/>
        </w:rPr>
        <w:t xml:space="preserve"> close collaboration and coordination between National TB and HIV programs.</w:t>
      </w:r>
    </w:p>
    <w:p w14:paraId="113B6240"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i/>
        </w:rPr>
        <w:t xml:space="preserve">Persons detained in penitentiary institutions. </w:t>
      </w:r>
      <w:r w:rsidRPr="00EE7E38">
        <w:rPr>
          <w:rFonts w:ascii="Times New Roman" w:hAnsi="Times New Roman" w:cs="Times New Roman"/>
        </w:rPr>
        <w:t xml:space="preserve">Screening for active TB will be performed in all persons detained in criminal justice facilities during the investigation, in those awaiting trial and in those who have been sentenced. Prison </w:t>
      </w:r>
      <w:proofErr w:type="gramStart"/>
      <w:r w:rsidRPr="00EE7E38">
        <w:rPr>
          <w:rFonts w:ascii="Times New Roman" w:hAnsi="Times New Roman" w:cs="Times New Roman"/>
        </w:rPr>
        <w:t>staff are</w:t>
      </w:r>
      <w:proofErr w:type="gramEnd"/>
      <w:r w:rsidRPr="00EE7E38">
        <w:rPr>
          <w:rFonts w:ascii="Times New Roman" w:hAnsi="Times New Roman" w:cs="Times New Roman"/>
        </w:rPr>
        <w:t xml:space="preserve"> also eligible for systematic TB screening.</w:t>
      </w:r>
    </w:p>
    <w:p w14:paraId="2E34DA9D" w14:textId="1117B08B"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practices of active TB case finding in the Georgian penitentiary system will be further aligned to the international requirements. The program will include </w:t>
      </w:r>
      <w:r w:rsidR="00390115">
        <w:rPr>
          <w:rFonts w:ascii="Times New Roman" w:hAnsi="Times New Roman" w:cs="Times New Roman"/>
        </w:rPr>
        <w:t xml:space="preserve">mandatory </w:t>
      </w:r>
      <w:r w:rsidRPr="00EE7E38">
        <w:rPr>
          <w:rFonts w:ascii="Times New Roman" w:hAnsi="Times New Roman" w:cs="Times New Roman"/>
        </w:rPr>
        <w:t xml:space="preserve">screening when a person enters a detention facility, followed by screening at least once a year while detained, and an exit screening for people leaving detention. In addition, contacts </w:t>
      </w:r>
      <w:r w:rsidR="00390115">
        <w:rPr>
          <w:rFonts w:ascii="Times New Roman" w:hAnsi="Times New Roman" w:cs="Times New Roman"/>
        </w:rPr>
        <w:t>will</w:t>
      </w:r>
      <w:r w:rsidR="00390115" w:rsidRPr="00EE7E38">
        <w:rPr>
          <w:rFonts w:ascii="Times New Roman" w:hAnsi="Times New Roman" w:cs="Times New Roman"/>
        </w:rPr>
        <w:t xml:space="preserve"> </w:t>
      </w:r>
      <w:r w:rsidRPr="00EE7E38">
        <w:rPr>
          <w:rFonts w:ascii="Times New Roman" w:hAnsi="Times New Roman" w:cs="Times New Roman"/>
        </w:rPr>
        <w:t>be investigated whenever a new case is detected.</w:t>
      </w:r>
    </w:p>
    <w:p w14:paraId="3CB376B4" w14:textId="54DC7619" w:rsidR="00F3772A"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Prisoners who have symptoms suggestive of TB will undergo TB testing according to the national diagnostic algorithm, with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as the initial diagnostic test. HIV counselling and testing </w:t>
      </w:r>
      <w:r w:rsidR="00390115">
        <w:rPr>
          <w:rFonts w:ascii="Times New Roman" w:hAnsi="Times New Roman" w:cs="Times New Roman"/>
        </w:rPr>
        <w:t xml:space="preserve">will </w:t>
      </w:r>
      <w:r w:rsidRPr="00EE7E38">
        <w:rPr>
          <w:rFonts w:ascii="Times New Roman" w:hAnsi="Times New Roman" w:cs="Times New Roman"/>
        </w:rPr>
        <w:t>be offered to all detainees screened for TB. The screening program in prisons will be combined with screening for other diseases and health promotion a</w:t>
      </w:r>
      <w:r w:rsidR="00F3772A" w:rsidRPr="00EE7E38">
        <w:rPr>
          <w:rFonts w:ascii="Times New Roman" w:hAnsi="Times New Roman" w:cs="Times New Roman"/>
        </w:rPr>
        <w:t>ctivities targeting this group.</w:t>
      </w:r>
    </w:p>
    <w:p w14:paraId="4BDD9DAC" w14:textId="77777777" w:rsidR="00F3772A" w:rsidRPr="00EE7E38" w:rsidRDefault="005A003D" w:rsidP="00835F94">
      <w:pPr>
        <w:widowControl w:val="0"/>
        <w:spacing w:before="120" w:after="120" w:line="240" w:lineRule="auto"/>
        <w:jc w:val="both"/>
        <w:rPr>
          <w:rFonts w:ascii="Times New Roman" w:hAnsi="Times New Roman" w:cs="Times New Roman"/>
        </w:rPr>
      </w:pPr>
      <w:proofErr w:type="gramStart"/>
      <w:r w:rsidRPr="00EE7E38">
        <w:rPr>
          <w:rFonts w:ascii="Times New Roman" w:hAnsi="Times New Roman" w:cs="Times New Roman"/>
          <w:b/>
          <w:i/>
        </w:rPr>
        <w:t>People with selected medical conditions that constitute risk factors for TB, who seek health care for other reasons.</w:t>
      </w:r>
      <w:proofErr w:type="gramEnd"/>
      <w:r w:rsidRPr="00EE7E38">
        <w:rPr>
          <w:rFonts w:ascii="Times New Roman" w:hAnsi="Times New Roman" w:cs="Times New Roman"/>
          <w:b/>
          <w:i/>
        </w:rPr>
        <w:t xml:space="preserve"> </w:t>
      </w:r>
      <w:r w:rsidRPr="00EE7E38">
        <w:rPr>
          <w:rFonts w:ascii="Times New Roman" w:hAnsi="Times New Roman" w:cs="Times New Roman"/>
        </w:rPr>
        <w:t>Screening for active TB disease will be undertaken among people who have risk factors to TB, in addition to passive case finding. The medical groups are prioritized based on their risk of TB, the risk of poor treatment outcomes if diagnosis is delayed and the size of the group in the Georgian settings. The following medical conditions will be considered for TB screening: underweight persons; diabetes mellitus; chronic renal failure or hemodialysis; pregnancy; alcohol dependence; intravenous drug use; tobacco smoking; advanced age; previously treated TB. In addition, the medical providers may consider patients with other medical problems such as gastrectomy, malignancies, immunosuppressive disorders, solid organ transplantation and other conditions requir</w:t>
      </w:r>
      <w:r w:rsidR="00155B08" w:rsidRPr="00EE7E38">
        <w:rPr>
          <w:rFonts w:ascii="Times New Roman" w:hAnsi="Times New Roman" w:cs="Times New Roman"/>
        </w:rPr>
        <w:t>ing immunomodulatory therapies.</w:t>
      </w:r>
    </w:p>
    <w:p w14:paraId="0FF6B7DD" w14:textId="77777777" w:rsidR="00F3772A"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above risk groups should be targeted within the clinic where they are managed. As a common rule, TB screening should be offered if it has not been done during the previous 12 months; however, a different interval may be applied depending on the group.</w:t>
      </w:r>
      <w:r w:rsidR="00347237" w:rsidRPr="00EE7E38">
        <w:rPr>
          <w:rFonts w:ascii="Times New Roman" w:hAnsi="Times New Roman" w:cs="Times New Roman"/>
        </w:rPr>
        <w:t xml:space="preserve"> </w:t>
      </w:r>
      <w:r w:rsidRPr="00EE7E38">
        <w:rPr>
          <w:rFonts w:ascii="Times New Roman" w:hAnsi="Times New Roman" w:cs="Times New Roman"/>
        </w:rPr>
        <w:t xml:space="preserve">People identified as TB suspects but not confirmed with active disease should be informed about the importance of seeking medical care if TB </w:t>
      </w:r>
      <w:r w:rsidR="00155B08" w:rsidRPr="00EE7E38">
        <w:rPr>
          <w:rFonts w:ascii="Times New Roman" w:hAnsi="Times New Roman" w:cs="Times New Roman"/>
        </w:rPr>
        <w:t>symptoms continue or re-emerge.</w:t>
      </w:r>
    </w:p>
    <w:p w14:paraId="06F84DBD" w14:textId="77777777" w:rsidR="00F3772A"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lastRenderedPageBreak/>
        <w:t>Screening people with diabetes for TB should be combined with reciprocal screening for diabetes in people with TB</w:t>
      </w:r>
      <w:r w:rsidRPr="00EE7E38">
        <w:rPr>
          <w:rStyle w:val="FootnoteReference"/>
          <w:rFonts w:ascii="Times New Roman" w:hAnsi="Times New Roman" w:cs="Times New Roman"/>
        </w:rPr>
        <w:footnoteReference w:id="24"/>
      </w:r>
      <w:r w:rsidRPr="00EE7E38">
        <w:rPr>
          <w:rFonts w:ascii="Times New Roman" w:hAnsi="Times New Roman" w:cs="Times New Roman"/>
        </w:rPr>
        <w:t>; similar reciprocation should be applied in regard to smokers and people with chronic obstructive pulmonary disease</w:t>
      </w:r>
      <w:r w:rsidRPr="00EE7E38">
        <w:rPr>
          <w:rStyle w:val="FootnoteReference"/>
          <w:rFonts w:ascii="Times New Roman" w:hAnsi="Times New Roman" w:cs="Times New Roman"/>
        </w:rPr>
        <w:footnoteReference w:id="25"/>
      </w:r>
      <w:r w:rsidRPr="00EE7E38">
        <w:rPr>
          <w:rFonts w:ascii="Times New Roman" w:hAnsi="Times New Roman" w:cs="Times New Roman"/>
        </w:rPr>
        <w:t>, persons with alcohol use disorders or other drug-use disorders, which can be also combined with HIV screening in drug users</w:t>
      </w:r>
      <w:r w:rsidRPr="00EE7E38">
        <w:rPr>
          <w:rStyle w:val="FootnoteReference"/>
          <w:rFonts w:ascii="Times New Roman" w:hAnsi="Times New Roman" w:cs="Times New Roman"/>
        </w:rPr>
        <w:footnoteReference w:id="26"/>
      </w:r>
      <w:r w:rsidRPr="00EE7E38">
        <w:rPr>
          <w:rFonts w:ascii="Times New Roman" w:hAnsi="Times New Roman" w:cs="Times New Roman"/>
        </w:rPr>
        <w:t>. The management of health care institutions should offer screening for active TB to their staff and combine it with other appropriate infection control interventions</w:t>
      </w:r>
      <w:r w:rsidRPr="00EE7E38">
        <w:rPr>
          <w:rStyle w:val="FootnoteReference"/>
          <w:rFonts w:ascii="Times New Roman" w:hAnsi="Times New Roman" w:cs="Times New Roman"/>
        </w:rPr>
        <w:footnoteReference w:id="27"/>
      </w:r>
      <w:r w:rsidRPr="00EE7E38">
        <w:rPr>
          <w:rFonts w:ascii="Times New Roman" w:hAnsi="Times New Roman" w:cs="Times New Roman"/>
        </w:rPr>
        <w:t>.</w:t>
      </w:r>
    </w:p>
    <w:p w14:paraId="7ECB04D4" w14:textId="28AB805D"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i/>
        </w:rPr>
        <w:t xml:space="preserve">Other defined subpopulations with high levels of undetected TB </w:t>
      </w:r>
      <w:r w:rsidR="00F65A8C">
        <w:rPr>
          <w:rFonts w:ascii="Times New Roman" w:hAnsi="Times New Roman" w:cs="Times New Roman"/>
          <w:b/>
          <w:i/>
        </w:rPr>
        <w:t>and/or</w:t>
      </w:r>
      <w:r w:rsidRPr="00EE7E38">
        <w:rPr>
          <w:rFonts w:ascii="Times New Roman" w:hAnsi="Times New Roman" w:cs="Times New Roman"/>
          <w:b/>
          <w:i/>
        </w:rPr>
        <w:t xml:space="preserve"> limited access to health care services. </w:t>
      </w:r>
      <w:r w:rsidRPr="00EE7E38">
        <w:rPr>
          <w:rFonts w:ascii="Times New Roman" w:hAnsi="Times New Roman" w:cs="Times New Roman"/>
        </w:rPr>
        <w:t>The NTP will identify the needs of TB screening in specific geographically defined subpopulations with presumed high levels of undetected TB, as well as other subpopulations which have limitations in accessing appropriate medical services, such as homeless people, people living in remote mountainous areas, migrants and other vulnerable groups.</w:t>
      </w:r>
    </w:p>
    <w:p w14:paraId="4D85298F" w14:textId="56683D1C"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While the key features of screening other categories above are applicable, systematic TB screening in this group has considerable requirements for human resources and other associated costs and will therefore be targeted and appropriately prioritized within the national program. Community screening is performed by inviting people to a health care facility, door to door visits or systematic screening in shelters and other specific locations. It is envisaged to facilitate the involvement of </w:t>
      </w:r>
      <w:r w:rsidR="0041159C">
        <w:rPr>
          <w:rFonts w:ascii="Times New Roman" w:hAnsi="Times New Roman" w:cs="Times New Roman"/>
        </w:rPr>
        <w:t>NGOs</w:t>
      </w:r>
      <w:r w:rsidRPr="00EE7E38">
        <w:rPr>
          <w:rFonts w:ascii="Times New Roman" w:hAnsi="Times New Roman" w:cs="Times New Roman"/>
        </w:rPr>
        <w:t xml:space="preserve"> in early TB case detection among risk groups in community settings (see Intervention 3.2 below). </w:t>
      </w:r>
    </w:p>
    <w:p w14:paraId="08982633" w14:textId="77777777" w:rsidR="005A003D" w:rsidRPr="00EE7E38" w:rsidRDefault="007F70D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During </w:t>
      </w:r>
      <w:r w:rsidR="00754E85" w:rsidRPr="00EE7E38">
        <w:rPr>
          <w:rFonts w:ascii="Times New Roman" w:hAnsi="Times New Roman" w:cs="Times New Roman"/>
        </w:rPr>
        <w:t xml:space="preserve">the </w:t>
      </w:r>
      <w:r w:rsidRPr="00EE7E38">
        <w:rPr>
          <w:rFonts w:ascii="Times New Roman" w:hAnsi="Times New Roman" w:cs="Times New Roman"/>
        </w:rPr>
        <w:t>strategy implementation</w:t>
      </w:r>
      <w:r w:rsidR="00754E85" w:rsidRPr="00EE7E38">
        <w:rPr>
          <w:rFonts w:ascii="Times New Roman" w:hAnsi="Times New Roman" w:cs="Times New Roman"/>
        </w:rPr>
        <w:t xml:space="preserve"> period</w:t>
      </w:r>
      <w:r w:rsidRPr="00EE7E38">
        <w:rPr>
          <w:rFonts w:ascii="Times New Roman" w:hAnsi="Times New Roman" w:cs="Times New Roman"/>
        </w:rPr>
        <w:t xml:space="preserve"> active screening programs will be gradually </w:t>
      </w:r>
      <w:r w:rsidR="005A003D" w:rsidRPr="00EE7E38">
        <w:rPr>
          <w:rFonts w:ascii="Times New Roman" w:hAnsi="Times New Roman" w:cs="Times New Roman"/>
        </w:rPr>
        <w:t>expanded</w:t>
      </w:r>
      <w:r w:rsidRPr="00EE7E38">
        <w:rPr>
          <w:rFonts w:ascii="Times New Roman" w:hAnsi="Times New Roman" w:cs="Times New Roman"/>
        </w:rPr>
        <w:t xml:space="preserve"> to ensure coverage of new groups.</w:t>
      </w:r>
      <w:r w:rsidR="005A003D" w:rsidRPr="00EE7E38">
        <w:rPr>
          <w:rFonts w:ascii="Times New Roman" w:hAnsi="Times New Roman" w:cs="Times New Roman"/>
        </w:rPr>
        <w:t xml:space="preserve"> The program will be implemented in close cooperation and coordination between </w:t>
      </w:r>
      <w:proofErr w:type="spellStart"/>
      <w:r w:rsidR="005A003D" w:rsidRPr="00EE7E38">
        <w:rPr>
          <w:rFonts w:ascii="Times New Roman" w:hAnsi="Times New Roman" w:cs="Times New Roman"/>
        </w:rPr>
        <w:t>MoLHSA</w:t>
      </w:r>
      <w:proofErr w:type="spellEnd"/>
      <w:r w:rsidR="005A003D" w:rsidRPr="00EE7E38">
        <w:rPr>
          <w:rFonts w:ascii="Times New Roman" w:hAnsi="Times New Roman" w:cs="Times New Roman"/>
        </w:rPr>
        <w:t xml:space="preserve">, </w:t>
      </w:r>
      <w:proofErr w:type="spellStart"/>
      <w:r w:rsidR="005A003D" w:rsidRPr="00EE7E38">
        <w:rPr>
          <w:rFonts w:ascii="Times New Roman" w:hAnsi="Times New Roman" w:cs="Times New Roman"/>
        </w:rPr>
        <w:t>M</w:t>
      </w:r>
      <w:r w:rsidR="00F93366" w:rsidRPr="00EE7E38">
        <w:rPr>
          <w:rFonts w:ascii="Times New Roman" w:hAnsi="Times New Roman" w:cs="Times New Roman"/>
        </w:rPr>
        <w:t>oC</w:t>
      </w:r>
      <w:proofErr w:type="spellEnd"/>
      <w:r w:rsidR="005A003D" w:rsidRPr="00EE7E38">
        <w:rPr>
          <w:rFonts w:ascii="Times New Roman" w:hAnsi="Times New Roman" w:cs="Times New Roman"/>
        </w:rPr>
        <w:t xml:space="preserve"> and private health care providers. Systematic TB screening will be integrated in the overall national screening program, which is coordinated by NCDCPH. Appropriate financing will be allocated to systematic TB screening interventions from the state budget.</w:t>
      </w:r>
    </w:p>
    <w:p w14:paraId="4FFE1E6F" w14:textId="77777777" w:rsidR="00155B08" w:rsidRPr="00EE7E38" w:rsidRDefault="00155B08"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62E27318"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Development of national TB screening guidelines</w:t>
      </w:r>
      <w:r w:rsidRPr="00EE7E38">
        <w:rPr>
          <w:rFonts w:ascii="Times New Roman" w:hAnsi="Times New Roman" w:cs="Times New Roman"/>
        </w:rPr>
        <w:t>. A separate comprehensive guidance and protocols for systematic TB screening among risk groups, complementary to the national TB guidelines, will be developed by a working group and national consultants.</w:t>
      </w:r>
    </w:p>
    <w:p w14:paraId="246659B4"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Training of health care providers on TB screening</w:t>
      </w:r>
      <w:r w:rsidRPr="00EE7E38">
        <w:rPr>
          <w:rFonts w:ascii="Times New Roman" w:hAnsi="Times New Roman" w:cs="Times New Roman"/>
        </w:rPr>
        <w:t xml:space="preserve">.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through NCDCPH and NCTLD will organize training on systematic TB screening for managers and medical staff from health care institutions involved in provision of TB services and other related services.</w:t>
      </w:r>
    </w:p>
    <w:p w14:paraId="058C1D25"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 xml:space="preserve">Medical supplies for TB screening. </w:t>
      </w:r>
      <w:r w:rsidRPr="00EE7E38">
        <w:rPr>
          <w:rFonts w:ascii="Times New Roman" w:hAnsi="Times New Roman" w:cs="Times New Roman"/>
        </w:rPr>
        <w:t>Procurement of radiography and HIV testing supplies for TB screening among risk groups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microscopy and other laboratory supplies for testing of identified TB suspects are included under Interventions 1.1, 1.2 and 1.4).</w:t>
      </w:r>
    </w:p>
    <w:p w14:paraId="6B46C43E"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Motivation of health care providers</w:t>
      </w:r>
      <w:r w:rsidRPr="00EE7E38">
        <w:rPr>
          <w:rFonts w:ascii="Times New Roman" w:hAnsi="Times New Roman" w:cs="Times New Roman"/>
        </w:rPr>
        <w:t xml:space="preserve">. </w:t>
      </w:r>
      <w:r w:rsidR="000F76E0" w:rsidRPr="00EE7E38">
        <w:rPr>
          <w:rFonts w:ascii="Times New Roman" w:hAnsi="Times New Roman" w:cs="Times New Roman"/>
        </w:rPr>
        <w:t>P</w:t>
      </w:r>
      <w:r w:rsidRPr="00EE7E38">
        <w:rPr>
          <w:rFonts w:ascii="Times New Roman" w:hAnsi="Times New Roman" w:cs="Times New Roman"/>
        </w:rPr>
        <w:t>erformance</w:t>
      </w:r>
      <w:r w:rsidR="000F76E0" w:rsidRPr="00EE7E38">
        <w:rPr>
          <w:rFonts w:ascii="Times New Roman" w:hAnsi="Times New Roman" w:cs="Times New Roman"/>
        </w:rPr>
        <w:t>-related</w:t>
      </w:r>
      <w:r w:rsidRPr="00EE7E38">
        <w:rPr>
          <w:rFonts w:ascii="Times New Roman" w:hAnsi="Times New Roman" w:cs="Times New Roman"/>
        </w:rPr>
        <w:t xml:space="preserve"> payment</w:t>
      </w:r>
      <w:r w:rsidR="000F76E0" w:rsidRPr="00EE7E38">
        <w:rPr>
          <w:rFonts w:ascii="Times New Roman" w:hAnsi="Times New Roman" w:cs="Times New Roman"/>
        </w:rPr>
        <w:t>s</w:t>
      </w:r>
      <w:r w:rsidRPr="00EE7E38">
        <w:rPr>
          <w:rFonts w:ascii="Times New Roman" w:hAnsi="Times New Roman" w:cs="Times New Roman"/>
        </w:rPr>
        <w:t xml:space="preserve"> will be included in the payment schemes for health care provider institutions to motivate them for improving early case detection through intensified TB screening of risk groups. Along with other preventive activities, TB screening will be introduced in the quality improvement scheme for providers. The contracts with providers will foresee positive incentives for attaining the performance indicators (starting 2018</w:t>
      </w:r>
      <w:r w:rsidR="007F70DD" w:rsidRPr="00EE7E38">
        <w:rPr>
          <w:rFonts w:ascii="Times New Roman" w:hAnsi="Times New Roman" w:cs="Times New Roman"/>
        </w:rPr>
        <w:t xml:space="preserve"> and expanding in 2019</w:t>
      </w:r>
      <w:r w:rsidRPr="00EE7E38">
        <w:rPr>
          <w:rFonts w:ascii="Times New Roman" w:hAnsi="Times New Roman" w:cs="Times New Roman"/>
        </w:rPr>
        <w:t>).</w:t>
      </w:r>
    </w:p>
    <w:p w14:paraId="14E37A62" w14:textId="77777777" w:rsidR="005A003D" w:rsidRPr="00EE7E38" w:rsidRDefault="005A003D"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1.4</w:t>
      </w:r>
      <w:r w:rsidRPr="00EE7E38">
        <w:rPr>
          <w:rFonts w:ascii="Times New Roman" w:hAnsi="Times New Roman" w:cs="Times New Roman"/>
          <w:b/>
        </w:rPr>
        <w:tab/>
        <w:t>Support to operations of the laboratory network</w:t>
      </w:r>
    </w:p>
    <w:p w14:paraId="75DABED1"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This Intervention includes routine support to the operations of the laboratory service facilities as required for ensuring their effective functionality in line with the NTP priorities for the next program period and the revised TB diagnostic strategy.</w:t>
      </w:r>
    </w:p>
    <w:p w14:paraId="63D74120"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53EA435D"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Human resources. </w:t>
      </w:r>
      <w:r w:rsidRPr="00EE7E38">
        <w:rPr>
          <w:rFonts w:ascii="Times New Roman" w:hAnsi="Times New Roman" w:cs="Times New Roman"/>
        </w:rPr>
        <w:t xml:space="preserve">Includes remuneration of staff at LSSs and reference laboratories, with appropriate provisions for additional staffing at ZDL Kutaisi and NRL, to accommodate for the </w:t>
      </w:r>
      <w:r w:rsidRPr="00EE7E38">
        <w:rPr>
          <w:rFonts w:ascii="Times New Roman" w:hAnsi="Times New Roman" w:cs="Times New Roman"/>
        </w:rPr>
        <w:lastRenderedPageBreak/>
        <w:t>increasing workload, and increase in salary levels according to the Government plans.</w:t>
      </w:r>
    </w:p>
    <w:p w14:paraId="5D271F59"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Facility costs. </w:t>
      </w:r>
      <w:r w:rsidRPr="00EE7E38">
        <w:rPr>
          <w:rFonts w:ascii="Times New Roman" w:hAnsi="Times New Roman" w:cs="Times New Roman"/>
        </w:rPr>
        <w:t>Includes covering various operational costs at LSSs and reference laboratories.</w:t>
      </w:r>
    </w:p>
    <w:p w14:paraId="40EA8DFF" w14:textId="77777777" w:rsidR="00AC288D" w:rsidRPr="00EE7E38" w:rsidRDefault="00AC288D" w:rsidP="00835F94">
      <w:pPr>
        <w:widowControl w:val="0"/>
        <w:spacing w:before="120" w:after="120"/>
        <w:rPr>
          <w:rFonts w:ascii="Times New Roman" w:hAnsi="Times New Roman" w:cs="Times New Roman"/>
        </w:rPr>
      </w:pPr>
      <w:bookmarkStart w:id="19" w:name="_Toc412022678"/>
    </w:p>
    <w:p w14:paraId="0156425D" w14:textId="4A8267C2" w:rsidR="00AC288D" w:rsidRPr="00EE7E38" w:rsidRDefault="00D81E56" w:rsidP="00AC288D">
      <w:pPr>
        <w:widowControl w:val="0"/>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Expected Results under Objective 1</w:t>
      </w:r>
    </w:p>
    <w:p w14:paraId="653C8B47" w14:textId="306B6A3A" w:rsidR="00AC288D" w:rsidRPr="00EE7E38" w:rsidRDefault="00AC288D" w:rsidP="00AC288D">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It is expected that full and successful implementation of the interventions under this Ob</w:t>
      </w:r>
      <w:r w:rsidR="0026126F">
        <w:rPr>
          <w:rFonts w:ascii="Times New Roman" w:hAnsi="Times New Roman" w:cs="Times New Roman"/>
        </w:rPr>
        <w:t>jective will ensure that by 2022</w:t>
      </w:r>
      <w:r w:rsidRPr="00EE7E38">
        <w:rPr>
          <w:rFonts w:ascii="Times New Roman" w:hAnsi="Times New Roman" w:cs="Times New Roman"/>
        </w:rPr>
        <w:t xml:space="preserve">, Georgia will guarantee universal access to early and reliable diagnosis of all forms of TB, including: </w:t>
      </w:r>
    </w:p>
    <w:p w14:paraId="5EB8040D" w14:textId="77777777"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TB diagnostic strategies and practices are updated and implemented according to the international standards;</w:t>
      </w:r>
    </w:p>
    <w:p w14:paraId="5480432F" w14:textId="77777777"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Rapid molecular tests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are performed as the initial diagnostic investigation for TB at the peripheral (district) level, and the entire country population is covered;</w:t>
      </w:r>
    </w:p>
    <w:p w14:paraId="579E4175" w14:textId="52310B71"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There is full coverage of DST to first-line and second-line TB drugs by rapid techniques;</w:t>
      </w:r>
    </w:p>
    <w:p w14:paraId="6D42081B" w14:textId="77777777"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 NRL and zonal reference laboratories are fully operational and perform the full range of necessary tests on regionalized basis;</w:t>
      </w:r>
    </w:p>
    <w:p w14:paraId="193DF583" w14:textId="445BAACB"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TB laboratory network is quality assured at all levels, and effective referrals and coordination are in place between district-level TB units and laboratories at </w:t>
      </w:r>
      <w:r w:rsidR="00D81E56">
        <w:rPr>
          <w:rFonts w:ascii="Times New Roman" w:hAnsi="Times New Roman" w:cs="Times New Roman"/>
        </w:rPr>
        <w:t xml:space="preserve">the </w:t>
      </w:r>
      <w:r w:rsidRPr="00EE7E38">
        <w:rPr>
          <w:rFonts w:ascii="Times New Roman" w:hAnsi="Times New Roman" w:cs="Times New Roman"/>
        </w:rPr>
        <w:t>regional, zonal and national level;</w:t>
      </w:r>
    </w:p>
    <w:p w14:paraId="7900663F" w14:textId="3E90CC89"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Reliable links are established between TB diagnostic and treatment units, which provide for administration of appropriate treatment regimen according to </w:t>
      </w:r>
      <w:r w:rsidR="00D81E56">
        <w:rPr>
          <w:rFonts w:ascii="Times New Roman" w:hAnsi="Times New Roman" w:cs="Times New Roman"/>
        </w:rPr>
        <w:t>patient</w:t>
      </w:r>
      <w:r w:rsidRPr="00EE7E38">
        <w:rPr>
          <w:rFonts w:ascii="Times New Roman" w:hAnsi="Times New Roman" w:cs="Times New Roman"/>
        </w:rPr>
        <w:t xml:space="preserve"> resistance status and without delays.</w:t>
      </w:r>
    </w:p>
    <w:p w14:paraId="1F5F7FEA" w14:textId="6892AF9F" w:rsidR="00540B31" w:rsidRPr="00EE7E38" w:rsidRDefault="00AC288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Appropriate services are in place for contact investigations and screening/diagnosis in special groups (children, prisoners, PLHIV), including X-ray diagnostics.</w:t>
      </w:r>
    </w:p>
    <w:p w14:paraId="2DBB05C2" w14:textId="77777777" w:rsidR="005A003D" w:rsidRPr="00EE7E38" w:rsidRDefault="005A003D" w:rsidP="00835F94">
      <w:pPr>
        <w:widowControl w:val="0"/>
        <w:spacing w:before="120" w:after="120"/>
        <w:rPr>
          <w:rFonts w:ascii="Times New Roman" w:eastAsiaTheme="majorEastAsia" w:hAnsi="Times New Roman" w:cs="Times New Roman"/>
          <w:b/>
          <w:bCs/>
          <w:color w:val="4F81BD" w:themeColor="accent1"/>
          <w:sz w:val="26"/>
          <w:szCs w:val="26"/>
        </w:rPr>
      </w:pPr>
      <w:r w:rsidRPr="00EE7E38">
        <w:rPr>
          <w:rFonts w:ascii="Times New Roman" w:hAnsi="Times New Roman" w:cs="Times New Roman"/>
        </w:rPr>
        <w:br w:type="page"/>
      </w:r>
    </w:p>
    <w:p w14:paraId="7AD89D78" w14:textId="77777777" w:rsidR="005A003D" w:rsidRPr="00EE7E38" w:rsidRDefault="005A003D" w:rsidP="00835F94">
      <w:pPr>
        <w:pStyle w:val="Heading2"/>
        <w:keepNext w:val="0"/>
        <w:keepLines w:val="0"/>
        <w:widowControl w:val="0"/>
        <w:spacing w:before="120" w:after="120"/>
        <w:ind w:left="1560" w:hanging="1560"/>
        <w:rPr>
          <w:rFonts w:ascii="Times New Roman" w:hAnsi="Times New Roman" w:cs="Times New Roman"/>
        </w:rPr>
      </w:pPr>
      <w:bookmarkStart w:id="20" w:name="_Toc517633169"/>
      <w:proofErr w:type="gramStart"/>
      <w:r w:rsidRPr="00EE7E38">
        <w:rPr>
          <w:rFonts w:ascii="Times New Roman" w:hAnsi="Times New Roman" w:cs="Times New Roman"/>
        </w:rPr>
        <w:lastRenderedPageBreak/>
        <w:t>Objective 2.</w:t>
      </w:r>
      <w:proofErr w:type="gramEnd"/>
      <w:r w:rsidRPr="00EE7E38">
        <w:rPr>
          <w:rFonts w:ascii="Times New Roman" w:hAnsi="Times New Roman" w:cs="Times New Roman"/>
        </w:rPr>
        <w:tab/>
        <w:t>To provide universal access to quality treatment of all forms of TB including M/XDR-TB with appropriate patient support</w:t>
      </w:r>
      <w:bookmarkEnd w:id="19"/>
      <w:bookmarkEnd w:id="20"/>
    </w:p>
    <w:p w14:paraId="631DF50F" w14:textId="77777777" w:rsidR="005A003D" w:rsidRPr="00EE7E38" w:rsidRDefault="005A003D" w:rsidP="00835F94">
      <w:pPr>
        <w:widowControl w:val="0"/>
        <w:spacing w:before="120" w:after="120" w:line="240" w:lineRule="auto"/>
        <w:rPr>
          <w:rFonts w:ascii="Times New Roman" w:hAnsi="Times New Roman" w:cs="Times New Roman"/>
          <w:b/>
          <w:bCs/>
          <w:sz w:val="24"/>
          <w:szCs w:val="24"/>
        </w:rPr>
      </w:pPr>
      <w:r w:rsidRPr="00EE7E38">
        <w:rPr>
          <w:rFonts w:ascii="Times New Roman" w:hAnsi="Times New Roman" w:cs="Times New Roman"/>
          <w:b/>
          <w:bCs/>
          <w:sz w:val="24"/>
          <w:szCs w:val="24"/>
        </w:rPr>
        <w:t>Rationale</w:t>
      </w:r>
    </w:p>
    <w:p w14:paraId="0F4F3305"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Effective treatment of TB restores the health of the patient, interrupts the spread of the infection in the community and, importantly, prevents the development of drug resistance. Therefore, treatment for TB is not only a matter of individual health but is also an important public health responsibility.</w:t>
      </w:r>
    </w:p>
    <w:p w14:paraId="6C64EFE0" w14:textId="3DA369CF"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Inadequate treatment is among the main causes for the emergence of M/XDR-TB. WHO emphasizes that national TB programs must implement contemporary case management strategies and standards for achieving national targets and preventing further spread of drug resistance. The Post-2015 Global TB Strategy calls for ensuring universal access to quality treatment for all TB patients</w:t>
      </w:r>
      <w:r w:rsidR="00CB1BF5">
        <w:rPr>
          <w:rFonts w:ascii="Times New Roman" w:hAnsi="Times New Roman" w:cs="Times New Roman"/>
        </w:rPr>
        <w:t>,</w:t>
      </w:r>
      <w:r w:rsidRPr="00EE7E38">
        <w:rPr>
          <w:rFonts w:ascii="Times New Roman" w:hAnsi="Times New Roman" w:cs="Times New Roman"/>
        </w:rPr>
        <w:t xml:space="preserve"> including those </w:t>
      </w:r>
      <w:r w:rsidR="00CB1BF5">
        <w:rPr>
          <w:rFonts w:ascii="Times New Roman" w:hAnsi="Times New Roman" w:cs="Times New Roman"/>
        </w:rPr>
        <w:t xml:space="preserve">with </w:t>
      </w:r>
      <w:r w:rsidRPr="00EE7E38">
        <w:rPr>
          <w:rFonts w:ascii="Times New Roman" w:hAnsi="Times New Roman" w:cs="Times New Roman"/>
        </w:rPr>
        <w:t xml:space="preserve">M/XDR-TB. For Georgia, as well as for other countries in the region, </w:t>
      </w:r>
      <w:r w:rsidR="00CB1BF5">
        <w:rPr>
          <w:rFonts w:ascii="Times New Roman" w:hAnsi="Times New Roman" w:cs="Times New Roman"/>
        </w:rPr>
        <w:t>tackling the spread of M/XDR-TB is critical to overall TB control. Increased priority should be given</w:t>
      </w:r>
      <w:r w:rsidRPr="00EE7E38">
        <w:rPr>
          <w:rFonts w:ascii="Times New Roman" w:hAnsi="Times New Roman" w:cs="Times New Roman"/>
        </w:rPr>
        <w:t xml:space="preserve"> to the revision of the TB existing service delivery model by improving the quality of services, further expanding outpatient case management (including that for M/XDR patients) and implementation of patient-centered approaches in TB care. </w:t>
      </w:r>
    </w:p>
    <w:p w14:paraId="775352E4" w14:textId="5A898C3B"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There are several new anti-TB medicines coming to the market that will help improving the management of M/XDR cases; however, their use require</w:t>
      </w:r>
      <w:r w:rsidR="00CB1BF5">
        <w:rPr>
          <w:rFonts w:ascii="Times New Roman" w:hAnsi="Times New Roman" w:cs="Times New Roman"/>
        </w:rPr>
        <w:t>s</w:t>
      </w:r>
      <w:r w:rsidRPr="00EE7E38">
        <w:rPr>
          <w:rFonts w:ascii="Times New Roman" w:hAnsi="Times New Roman" w:cs="Times New Roman"/>
        </w:rPr>
        <w:t xml:space="preserve"> strong systems for patient monitoring, adherence support, drug management and pharmacovigilance, in order to ensure the best patient outcomes and prevent development of resistance to new drugs. </w:t>
      </w:r>
      <w:r w:rsidR="00CB1BF5">
        <w:rPr>
          <w:rFonts w:ascii="Times New Roman" w:hAnsi="Times New Roman" w:cs="Times New Roman"/>
        </w:rPr>
        <w:t>Management</w:t>
      </w:r>
      <w:r w:rsidRPr="00EE7E38">
        <w:rPr>
          <w:rFonts w:ascii="Times New Roman" w:hAnsi="Times New Roman" w:cs="Times New Roman"/>
        </w:rPr>
        <w:t xml:space="preserve"> of HIV-associated TB, preventive TB treatment</w:t>
      </w:r>
      <w:r w:rsidR="00CB1BF5">
        <w:rPr>
          <w:rFonts w:ascii="Times New Roman" w:hAnsi="Times New Roman" w:cs="Times New Roman"/>
        </w:rPr>
        <w:t>,</w:t>
      </w:r>
      <w:r w:rsidRPr="00EE7E38">
        <w:rPr>
          <w:rFonts w:ascii="Times New Roman" w:hAnsi="Times New Roman" w:cs="Times New Roman"/>
        </w:rPr>
        <w:t xml:space="preserve"> and management of comorbidities influencing patient outcomes</w:t>
      </w:r>
      <w:r w:rsidR="00CB1BF5">
        <w:rPr>
          <w:rFonts w:ascii="Times New Roman" w:hAnsi="Times New Roman" w:cs="Times New Roman"/>
        </w:rPr>
        <w:t xml:space="preserve"> also</w:t>
      </w:r>
      <w:r w:rsidRPr="00EE7E38">
        <w:rPr>
          <w:rFonts w:ascii="Times New Roman" w:hAnsi="Times New Roman" w:cs="Times New Roman"/>
        </w:rPr>
        <w:t xml:space="preserve"> need to be given an increased attention.</w:t>
      </w:r>
    </w:p>
    <w:p w14:paraId="529FF208" w14:textId="77777777" w:rsidR="00155B08" w:rsidRPr="00EE7E38" w:rsidRDefault="00155B08" w:rsidP="00835F94">
      <w:pPr>
        <w:widowControl w:val="0"/>
        <w:spacing w:before="120" w:after="120" w:line="240" w:lineRule="auto"/>
        <w:rPr>
          <w:rFonts w:ascii="Times New Roman" w:hAnsi="Times New Roman" w:cs="Times New Roman"/>
          <w:b/>
          <w:bCs/>
        </w:rPr>
      </w:pPr>
      <w:r w:rsidRPr="00EE7E38">
        <w:rPr>
          <w:rFonts w:ascii="Times New Roman" w:hAnsi="Times New Roman" w:cs="Times New Roman"/>
          <w:b/>
          <w:bCs/>
        </w:rPr>
        <w:t>Achievements to Date</w:t>
      </w:r>
    </w:p>
    <w:p w14:paraId="5D150AD3" w14:textId="4273D2C3" w:rsidR="00540B31" w:rsidRPr="00EE7E38" w:rsidRDefault="0084577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WHO</w:t>
      </w:r>
      <w:r w:rsidR="00CB1BF5">
        <w:rPr>
          <w:rFonts w:ascii="Times New Roman" w:hAnsi="Times New Roman" w:cs="Times New Roman"/>
        </w:rPr>
        <w:t>-</w:t>
      </w:r>
      <w:r w:rsidRPr="00EE7E38">
        <w:rPr>
          <w:rFonts w:ascii="Times New Roman" w:hAnsi="Times New Roman" w:cs="Times New Roman"/>
        </w:rPr>
        <w:t xml:space="preserve">recommended </w:t>
      </w:r>
      <w:r w:rsidR="00C37A6A" w:rsidRPr="00EE7E38">
        <w:rPr>
          <w:rFonts w:ascii="Times New Roman" w:hAnsi="Times New Roman" w:cs="Times New Roman"/>
        </w:rPr>
        <w:t>DOTS</w:t>
      </w:r>
      <w:r w:rsidRPr="00EE7E38">
        <w:rPr>
          <w:rFonts w:ascii="Times New Roman" w:hAnsi="Times New Roman" w:cs="Times New Roman"/>
        </w:rPr>
        <w:t xml:space="preserve"> strategy</w:t>
      </w:r>
      <w:r w:rsidR="007F6DF0" w:rsidRPr="00EE7E38">
        <w:rPr>
          <w:rFonts w:ascii="Times New Roman" w:hAnsi="Times New Roman" w:cs="Times New Roman"/>
        </w:rPr>
        <w:t xml:space="preserve"> </w:t>
      </w:r>
      <w:r w:rsidR="00CB1BF5">
        <w:rPr>
          <w:rFonts w:ascii="Times New Roman" w:hAnsi="Times New Roman" w:cs="Times New Roman"/>
        </w:rPr>
        <w:t>has been</w:t>
      </w:r>
      <w:r w:rsidR="005A003D" w:rsidRPr="00EE7E38">
        <w:rPr>
          <w:rFonts w:ascii="Times New Roman" w:hAnsi="Times New Roman" w:cs="Times New Roman"/>
        </w:rPr>
        <w:t xml:space="preserve"> successfully implemented throughout </w:t>
      </w:r>
      <w:r w:rsidR="007F6DF0" w:rsidRPr="00EE7E38">
        <w:rPr>
          <w:rFonts w:ascii="Times New Roman" w:hAnsi="Times New Roman" w:cs="Times New Roman"/>
        </w:rPr>
        <w:t>Georgia</w:t>
      </w:r>
      <w:r w:rsidR="005A003D" w:rsidRPr="00EE7E38">
        <w:rPr>
          <w:rFonts w:ascii="Times New Roman" w:hAnsi="Times New Roman" w:cs="Times New Roman"/>
        </w:rPr>
        <w:t xml:space="preserve">, </w:t>
      </w:r>
      <w:r w:rsidR="007F6DF0" w:rsidRPr="00EE7E38">
        <w:rPr>
          <w:rFonts w:ascii="Times New Roman" w:hAnsi="Times New Roman" w:cs="Times New Roman"/>
        </w:rPr>
        <w:t xml:space="preserve">in both </w:t>
      </w:r>
      <w:r w:rsidR="00CB1BF5">
        <w:rPr>
          <w:rFonts w:ascii="Times New Roman" w:hAnsi="Times New Roman" w:cs="Times New Roman"/>
        </w:rPr>
        <w:t xml:space="preserve">the </w:t>
      </w:r>
      <w:r w:rsidR="007F6DF0" w:rsidRPr="00EE7E38">
        <w:rPr>
          <w:rFonts w:ascii="Times New Roman" w:hAnsi="Times New Roman" w:cs="Times New Roman"/>
        </w:rPr>
        <w:t>civil and</w:t>
      </w:r>
      <w:r w:rsidR="005A003D" w:rsidRPr="00EE7E38">
        <w:rPr>
          <w:rFonts w:ascii="Times New Roman" w:hAnsi="Times New Roman" w:cs="Times New Roman"/>
        </w:rPr>
        <w:t xml:space="preserve"> penitentiary s</w:t>
      </w:r>
      <w:r w:rsidR="007F6DF0" w:rsidRPr="00EE7E38">
        <w:rPr>
          <w:rFonts w:ascii="Times New Roman" w:hAnsi="Times New Roman" w:cs="Times New Roman"/>
        </w:rPr>
        <w:t>ector</w:t>
      </w:r>
      <w:r w:rsidR="00CB1BF5">
        <w:rPr>
          <w:rFonts w:ascii="Times New Roman" w:hAnsi="Times New Roman" w:cs="Times New Roman"/>
        </w:rPr>
        <w:t>s</w:t>
      </w:r>
      <w:r w:rsidR="005A003D" w:rsidRPr="00EE7E38">
        <w:rPr>
          <w:rFonts w:ascii="Times New Roman" w:hAnsi="Times New Roman" w:cs="Times New Roman"/>
        </w:rPr>
        <w:t>.</w:t>
      </w:r>
    </w:p>
    <w:p w14:paraId="0B4D2C67" w14:textId="16995F6D" w:rsidR="00540B31" w:rsidRPr="00EE7E38" w:rsidRDefault="005A003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Uninterrupted supply of quality-assured first-line and second-line anti-TB drugs </w:t>
      </w:r>
      <w:r w:rsidR="00CB1BF5">
        <w:rPr>
          <w:rFonts w:ascii="Times New Roman" w:hAnsi="Times New Roman" w:cs="Times New Roman"/>
        </w:rPr>
        <w:t>has been</w:t>
      </w:r>
      <w:r w:rsidRPr="00EE7E38">
        <w:rPr>
          <w:rFonts w:ascii="Times New Roman" w:hAnsi="Times New Roman" w:cs="Times New Roman"/>
        </w:rPr>
        <w:t xml:space="preserve"> ensured with the Global Fund support, </w:t>
      </w:r>
      <w:r w:rsidR="00CB1BF5">
        <w:rPr>
          <w:rFonts w:ascii="Times New Roman" w:hAnsi="Times New Roman" w:cs="Times New Roman"/>
        </w:rPr>
        <w:t>and a reliable system of TB drug management has been established.</w:t>
      </w:r>
    </w:p>
    <w:p w14:paraId="2AAD268A" w14:textId="59BF9E7A" w:rsidR="00540B31" w:rsidRPr="00EE7E38" w:rsidRDefault="005A003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During the last decade, TB service staff and </w:t>
      </w:r>
      <w:r w:rsidR="00CB1BF5">
        <w:rPr>
          <w:rFonts w:ascii="Times New Roman" w:hAnsi="Times New Roman" w:cs="Times New Roman"/>
        </w:rPr>
        <w:t>select</w:t>
      </w:r>
      <w:r w:rsidR="00D43D9A">
        <w:rPr>
          <w:rFonts w:ascii="Times New Roman" w:hAnsi="Times New Roman" w:cs="Times New Roman"/>
        </w:rPr>
        <w:t xml:space="preserve"> </w:t>
      </w:r>
      <w:r w:rsidRPr="00EE7E38">
        <w:rPr>
          <w:rFonts w:ascii="Times New Roman" w:hAnsi="Times New Roman" w:cs="Times New Roman"/>
        </w:rPr>
        <w:t>PHC providers have been trained and retrained in TB treatment and case management.</w:t>
      </w:r>
    </w:p>
    <w:p w14:paraId="4FAC3BAC" w14:textId="214F263F" w:rsidR="00540B31" w:rsidRPr="00EE7E38" w:rsidRDefault="005A003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Substantial improvements have been attained in treatment outcomes for </w:t>
      </w:r>
      <w:r w:rsidR="00CB1BF5">
        <w:rPr>
          <w:rFonts w:ascii="Times New Roman" w:hAnsi="Times New Roman" w:cs="Times New Roman"/>
        </w:rPr>
        <w:t>drug-</w:t>
      </w:r>
      <w:r w:rsidRPr="00EE7E38">
        <w:rPr>
          <w:rFonts w:ascii="Times New Roman" w:hAnsi="Times New Roman" w:cs="Times New Roman"/>
        </w:rPr>
        <w:t xml:space="preserve">sensitive TB cases, due to, among other factors, strengthened </w:t>
      </w:r>
      <w:r w:rsidR="00CB1BF5">
        <w:rPr>
          <w:rFonts w:ascii="Times New Roman" w:hAnsi="Times New Roman" w:cs="Times New Roman"/>
        </w:rPr>
        <w:t>DOT</w:t>
      </w:r>
      <w:r w:rsidRPr="00EE7E38">
        <w:rPr>
          <w:rFonts w:ascii="Times New Roman" w:hAnsi="Times New Roman" w:cs="Times New Roman"/>
        </w:rPr>
        <w:t xml:space="preserve"> and provision of adherence support. </w:t>
      </w:r>
    </w:p>
    <w:p w14:paraId="1D7A1086" w14:textId="6EEBCAA4" w:rsidR="00540B31" w:rsidRPr="00EE7E38" w:rsidRDefault="005A003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country provides universal access to treatment of MDR-TB cases, including </w:t>
      </w:r>
      <w:r w:rsidR="00CB1BF5">
        <w:rPr>
          <w:rFonts w:ascii="Times New Roman" w:hAnsi="Times New Roman" w:cs="Times New Roman"/>
        </w:rPr>
        <w:t xml:space="preserve">within the </w:t>
      </w:r>
      <w:r w:rsidRPr="00EE7E38">
        <w:rPr>
          <w:rFonts w:ascii="Times New Roman" w:hAnsi="Times New Roman" w:cs="Times New Roman"/>
        </w:rPr>
        <w:t>penitentiary system.</w:t>
      </w:r>
    </w:p>
    <w:p w14:paraId="6ED8B2C1" w14:textId="2C7422AA" w:rsidR="00AA33BE" w:rsidRPr="00EE7E38" w:rsidRDefault="00C37A6A" w:rsidP="007F6DF0">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Georgia is among world pioneers in </w:t>
      </w:r>
      <w:r w:rsidR="00F3772A" w:rsidRPr="00EE7E38">
        <w:rPr>
          <w:rFonts w:ascii="Times New Roman" w:hAnsi="Times New Roman" w:cs="Times New Roman"/>
        </w:rPr>
        <w:t xml:space="preserve">routine </w:t>
      </w:r>
      <w:r w:rsidRPr="00EE7E38">
        <w:rPr>
          <w:rFonts w:ascii="Times New Roman" w:hAnsi="Times New Roman" w:cs="Times New Roman"/>
        </w:rPr>
        <w:t xml:space="preserve">application of newly developed anti-TB drugs (such as </w:t>
      </w:r>
      <w:proofErr w:type="spellStart"/>
      <w:r w:rsidRPr="00EE7E38">
        <w:rPr>
          <w:rFonts w:ascii="Times New Roman" w:hAnsi="Times New Roman" w:cs="Times New Roman"/>
        </w:rPr>
        <w:t>Bedaquiline</w:t>
      </w:r>
      <w:proofErr w:type="spellEnd"/>
      <w:r w:rsidRPr="00EE7E38">
        <w:rPr>
          <w:rFonts w:ascii="Times New Roman" w:hAnsi="Times New Roman" w:cs="Times New Roman"/>
        </w:rPr>
        <w:t>) in treatment of M/XDR cases.</w:t>
      </w:r>
      <w:r w:rsidR="007F6DF0" w:rsidRPr="00EE7E38">
        <w:rPr>
          <w:rFonts w:ascii="Times New Roman" w:hAnsi="Times New Roman" w:cs="Times New Roman"/>
        </w:rPr>
        <w:t xml:space="preserve"> In May 2018, </w:t>
      </w:r>
      <w:proofErr w:type="spellStart"/>
      <w:r w:rsidR="00CB1BF5">
        <w:rPr>
          <w:rFonts w:ascii="Times New Roman" w:hAnsi="Times New Roman" w:cs="Times New Roman"/>
        </w:rPr>
        <w:t>MoLHSA</w:t>
      </w:r>
      <w:proofErr w:type="spellEnd"/>
      <w:r w:rsidR="007F6DF0" w:rsidRPr="00EE7E38">
        <w:rPr>
          <w:rFonts w:ascii="Times New Roman" w:hAnsi="Times New Roman" w:cs="Times New Roman"/>
        </w:rPr>
        <w:t xml:space="preserve"> approved the </w:t>
      </w:r>
      <w:r w:rsidR="00AA33BE" w:rsidRPr="00EE7E38">
        <w:rPr>
          <w:rFonts w:ascii="Times New Roman" w:hAnsi="Times New Roman" w:cs="Times New Roman"/>
        </w:rPr>
        <w:t>National TB Management Guidelines aligned to the latest WHO recommendation on shorter treatment regimens and new anti-TB drugs.</w:t>
      </w:r>
      <w:r w:rsidR="007F6DF0" w:rsidRPr="00EE7E38">
        <w:rPr>
          <w:rFonts w:ascii="Times New Roman" w:hAnsi="Times New Roman" w:cs="Times New Roman"/>
        </w:rPr>
        <w:t xml:space="preserve"> </w:t>
      </w:r>
      <w:r w:rsidR="00AA33BE" w:rsidRPr="00EE7E38">
        <w:rPr>
          <w:rFonts w:ascii="Times New Roman" w:hAnsi="Times New Roman" w:cs="Times New Roman"/>
        </w:rPr>
        <w:t xml:space="preserve">The implementation of the new guideline should </w:t>
      </w:r>
      <w:r w:rsidR="00CB1BF5">
        <w:rPr>
          <w:rFonts w:ascii="Times New Roman" w:hAnsi="Times New Roman" w:cs="Times New Roman"/>
        </w:rPr>
        <w:t>contribute to improved</w:t>
      </w:r>
      <w:r w:rsidR="00AA33BE" w:rsidRPr="00EE7E38">
        <w:rPr>
          <w:rFonts w:ascii="Times New Roman" w:hAnsi="Times New Roman" w:cs="Times New Roman"/>
        </w:rPr>
        <w:t xml:space="preserve"> treatment outcomes. </w:t>
      </w:r>
    </w:p>
    <w:p w14:paraId="0A4E7A4C" w14:textId="06DD9F58" w:rsidR="00AA33BE" w:rsidRPr="00EE7E38" w:rsidRDefault="00AA33BE" w:rsidP="00AA33BE">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In order to ensure safe and effective use of new and repurposed TB drugs, Georgia has been implementing </w:t>
      </w:r>
      <w:r w:rsidR="00CB1BF5">
        <w:rPr>
          <w:rFonts w:ascii="Times New Roman" w:hAnsi="Times New Roman" w:cs="Times New Roman"/>
        </w:rPr>
        <w:t xml:space="preserve">an </w:t>
      </w:r>
      <w:r w:rsidRPr="00EE7E38">
        <w:rPr>
          <w:rFonts w:ascii="Times New Roman" w:hAnsi="Times New Roman" w:cs="Times New Roman"/>
        </w:rPr>
        <w:t>active drug safety monitoring model that has been operationalized by the National Center for Tuberculosis and Lung Diseases. Ministerial decree as of May 17</w:t>
      </w:r>
      <w:r w:rsidRPr="00EE7E38">
        <w:rPr>
          <w:rFonts w:ascii="Times New Roman" w:hAnsi="Times New Roman" w:cs="Times New Roman"/>
          <w:vertAlign w:val="superscript"/>
        </w:rPr>
        <w:t>th</w:t>
      </w:r>
      <w:r w:rsidRPr="00EE7E38">
        <w:rPr>
          <w:rFonts w:ascii="Times New Roman" w:hAnsi="Times New Roman" w:cs="Times New Roman"/>
        </w:rPr>
        <w:t xml:space="preserve"> 2016 defined </w:t>
      </w:r>
      <w:proofErr w:type="spellStart"/>
      <w:r w:rsidRPr="00EE7E38">
        <w:rPr>
          <w:rFonts w:ascii="Times New Roman" w:hAnsi="Times New Roman" w:cs="Times New Roman"/>
        </w:rPr>
        <w:t>aDSM</w:t>
      </w:r>
      <w:proofErr w:type="spellEnd"/>
      <w:r w:rsidRPr="00EE7E38">
        <w:rPr>
          <w:rFonts w:ascii="Times New Roman" w:hAnsi="Times New Roman" w:cs="Times New Roman"/>
        </w:rPr>
        <w:t xml:space="preserve"> related responsibilities. All clinical and laboratory tests recommended for </w:t>
      </w:r>
      <w:proofErr w:type="spellStart"/>
      <w:r w:rsidRPr="00EE7E38">
        <w:rPr>
          <w:rFonts w:ascii="Times New Roman" w:hAnsi="Times New Roman" w:cs="Times New Roman"/>
        </w:rPr>
        <w:t>aDSM</w:t>
      </w:r>
      <w:proofErr w:type="spellEnd"/>
      <w:r w:rsidRPr="00EE7E38">
        <w:rPr>
          <w:rFonts w:ascii="Times New Roman" w:hAnsi="Times New Roman" w:cs="Times New Roman"/>
        </w:rPr>
        <w:t xml:space="preserve"> purposes have been included in the State TB program since 2016. Adherence support services have been improved through introducing counselors and engaging TB patients groups in peer support and health education. These activities are currently funded by the Global Fund.  </w:t>
      </w:r>
    </w:p>
    <w:p w14:paraId="7FB66389" w14:textId="77777777" w:rsidR="005A003D" w:rsidRPr="00EE7E38" w:rsidRDefault="005A003D" w:rsidP="00835F94">
      <w:pPr>
        <w:widowControl w:val="0"/>
        <w:spacing w:before="120" w:after="120" w:line="240" w:lineRule="auto"/>
        <w:rPr>
          <w:rFonts w:ascii="Times New Roman" w:hAnsi="Times New Roman" w:cs="Times New Roman"/>
          <w:b/>
          <w:bCs/>
        </w:rPr>
      </w:pPr>
      <w:r w:rsidRPr="00EE7E38">
        <w:rPr>
          <w:rFonts w:ascii="Times New Roman" w:hAnsi="Times New Roman" w:cs="Times New Roman"/>
          <w:b/>
          <w:bCs/>
        </w:rPr>
        <w:t>Challenges and Gaps</w:t>
      </w:r>
    </w:p>
    <w:p w14:paraId="13158C3D" w14:textId="21E55ABE" w:rsidR="00540B31" w:rsidRPr="00EE7E38" w:rsidRDefault="005A003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While similar to internationally reported average</w:t>
      </w:r>
      <w:r w:rsidR="00CB1BF5">
        <w:rPr>
          <w:rFonts w:ascii="Times New Roman" w:hAnsi="Times New Roman" w:cs="Times New Roman"/>
        </w:rPr>
        <w:t>s</w:t>
      </w:r>
      <w:r w:rsidRPr="00EE7E38">
        <w:rPr>
          <w:rFonts w:ascii="Times New Roman" w:hAnsi="Times New Roman" w:cs="Times New Roman"/>
        </w:rPr>
        <w:t>,</w:t>
      </w:r>
      <w:r w:rsidR="00CB1BF5">
        <w:rPr>
          <w:rFonts w:ascii="Times New Roman" w:hAnsi="Times New Roman" w:cs="Times New Roman"/>
        </w:rPr>
        <w:t xml:space="preserve"> the</w:t>
      </w:r>
      <w:r w:rsidRPr="00EE7E38">
        <w:rPr>
          <w:rFonts w:ascii="Times New Roman" w:hAnsi="Times New Roman" w:cs="Times New Roman"/>
        </w:rPr>
        <w:t xml:space="preserve"> treatment success rate for MDR-TB cases is low (about 50%) and is far below the regionally set target of 75% (for 2015).</w:t>
      </w:r>
    </w:p>
    <w:p w14:paraId="3CB1B13D" w14:textId="7E62A19B" w:rsidR="00540B31" w:rsidRPr="00EE7E38" w:rsidRDefault="00CB1BF5">
      <w:pPr>
        <w:widowControl w:val="0"/>
        <w:numPr>
          <w:ilvl w:val="0"/>
          <w:numId w:val="13"/>
        </w:numPr>
        <w:spacing w:before="120" w:after="120" w:line="240" w:lineRule="auto"/>
        <w:jc w:val="both"/>
        <w:rPr>
          <w:rFonts w:ascii="Times New Roman" w:hAnsi="Times New Roman" w:cs="Times New Roman"/>
        </w:rPr>
      </w:pPr>
      <w:r>
        <w:rPr>
          <w:rFonts w:ascii="Times New Roman" w:hAnsi="Times New Roman" w:cs="Times New Roman"/>
        </w:rPr>
        <w:t>A h</w:t>
      </w:r>
      <w:r w:rsidR="005A003D" w:rsidRPr="00EE7E38">
        <w:rPr>
          <w:rFonts w:ascii="Times New Roman" w:hAnsi="Times New Roman" w:cs="Times New Roman"/>
        </w:rPr>
        <w:t xml:space="preserve">igh level of treatment interruption is the main contributor to unfavorable treatment outcomes in MDR patients, due to poor adherence and high frequency of adverse drug reactions, which are not </w:t>
      </w:r>
      <w:r w:rsidR="005A003D" w:rsidRPr="00EE7E38">
        <w:rPr>
          <w:rFonts w:ascii="Times New Roman" w:hAnsi="Times New Roman" w:cs="Times New Roman"/>
        </w:rPr>
        <w:lastRenderedPageBreak/>
        <w:t xml:space="preserve">properly managed. </w:t>
      </w:r>
    </w:p>
    <w:p w14:paraId="07E94A07" w14:textId="019DA0A7" w:rsidR="00C6296A" w:rsidRPr="00EE7E38" w:rsidRDefault="00DE1A99">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In 2016</w:t>
      </w:r>
      <w:r w:rsidR="00CB1BF5">
        <w:rPr>
          <w:rFonts w:ascii="Times New Roman" w:hAnsi="Times New Roman" w:cs="Times New Roman"/>
        </w:rPr>
        <w:t>,</w:t>
      </w:r>
      <w:r w:rsidRPr="00EE7E38">
        <w:rPr>
          <w:rFonts w:ascii="Times New Roman" w:hAnsi="Times New Roman" w:cs="Times New Roman"/>
        </w:rPr>
        <w:t xml:space="preserve"> </w:t>
      </w:r>
      <w:r w:rsidR="00C6296A" w:rsidRPr="00EE7E38">
        <w:rPr>
          <w:rFonts w:ascii="Times New Roman" w:hAnsi="Times New Roman" w:cs="Times New Roman"/>
        </w:rPr>
        <w:t xml:space="preserve">80% of patients </w:t>
      </w:r>
      <w:r w:rsidRPr="00EE7E38">
        <w:rPr>
          <w:rFonts w:ascii="Times New Roman" w:hAnsi="Times New Roman" w:cs="Times New Roman"/>
        </w:rPr>
        <w:t>with</w:t>
      </w:r>
      <w:r w:rsidR="00C6296A" w:rsidRPr="00EE7E38">
        <w:rPr>
          <w:rFonts w:ascii="Times New Roman" w:hAnsi="Times New Roman" w:cs="Times New Roman"/>
        </w:rPr>
        <w:t xml:space="preserve"> MDR start</w:t>
      </w:r>
      <w:r w:rsidRPr="00EE7E38">
        <w:rPr>
          <w:rFonts w:ascii="Times New Roman" w:hAnsi="Times New Roman" w:cs="Times New Roman"/>
        </w:rPr>
        <w:t>ed</w:t>
      </w:r>
      <w:r w:rsidR="00C6296A" w:rsidRPr="00EE7E38">
        <w:rPr>
          <w:rFonts w:ascii="Times New Roman" w:hAnsi="Times New Roman" w:cs="Times New Roman"/>
        </w:rPr>
        <w:t xml:space="preserve"> treatment at </w:t>
      </w:r>
      <w:r w:rsidR="00CB1BF5">
        <w:rPr>
          <w:rFonts w:ascii="Times New Roman" w:hAnsi="Times New Roman" w:cs="Times New Roman"/>
        </w:rPr>
        <w:t xml:space="preserve">the </w:t>
      </w:r>
      <w:r w:rsidR="00C6296A" w:rsidRPr="00EE7E38">
        <w:rPr>
          <w:rFonts w:ascii="Times New Roman" w:hAnsi="Times New Roman" w:cs="Times New Roman"/>
        </w:rPr>
        <w:t xml:space="preserve">hospital and </w:t>
      </w:r>
      <w:r w:rsidRPr="00EE7E38">
        <w:rPr>
          <w:rFonts w:ascii="Times New Roman" w:hAnsi="Times New Roman" w:cs="Times New Roman"/>
        </w:rPr>
        <w:t xml:space="preserve">stayed there for at least 2 months </w:t>
      </w:r>
      <w:r w:rsidR="00C6296A" w:rsidRPr="00EE7E38">
        <w:rPr>
          <w:rFonts w:ascii="Times New Roman" w:hAnsi="Times New Roman" w:cs="Times New Roman"/>
        </w:rPr>
        <w:t xml:space="preserve">(average length of stay 61 days). </w:t>
      </w:r>
      <w:r w:rsidRPr="00EE7E38">
        <w:rPr>
          <w:rFonts w:ascii="Times New Roman" w:hAnsi="Times New Roman" w:cs="Times New Roman"/>
        </w:rPr>
        <w:t xml:space="preserve">This can partially be explained by </w:t>
      </w:r>
      <w:r w:rsidR="00CB1BF5">
        <w:rPr>
          <w:rFonts w:ascii="Times New Roman" w:hAnsi="Times New Roman" w:cs="Times New Roman"/>
        </w:rPr>
        <w:t>the continued</w:t>
      </w:r>
      <w:r w:rsidR="00CB1BF5" w:rsidRPr="00EE7E38">
        <w:rPr>
          <w:rFonts w:ascii="Times New Roman" w:hAnsi="Times New Roman" w:cs="Times New Roman"/>
        </w:rPr>
        <w:t xml:space="preserve"> </w:t>
      </w:r>
      <w:r w:rsidRPr="00EE7E38">
        <w:rPr>
          <w:rFonts w:ascii="Times New Roman" w:hAnsi="Times New Roman" w:cs="Times New Roman"/>
        </w:rPr>
        <w:t>insufficien</w:t>
      </w:r>
      <w:r w:rsidR="00CB1BF5">
        <w:rPr>
          <w:rFonts w:ascii="Times New Roman" w:hAnsi="Times New Roman" w:cs="Times New Roman"/>
        </w:rPr>
        <w:t>cy of</w:t>
      </w:r>
      <w:r w:rsidRPr="00EE7E38">
        <w:rPr>
          <w:rFonts w:ascii="Times New Roman" w:hAnsi="Times New Roman" w:cs="Times New Roman"/>
        </w:rPr>
        <w:t xml:space="preserve"> outpatient MDR TB treatment. </w:t>
      </w:r>
    </w:p>
    <w:p w14:paraId="1BC9B25B" w14:textId="1728C6E4" w:rsidR="00540B31" w:rsidRPr="00EE7E38" w:rsidRDefault="005A003D">
      <w:pPr>
        <w:widowControl w:val="0"/>
        <w:numPr>
          <w:ilvl w:val="0"/>
          <w:numId w:val="13"/>
        </w:numPr>
        <w:spacing w:before="120" w:after="120" w:line="240" w:lineRule="auto"/>
        <w:jc w:val="both"/>
        <w:rPr>
          <w:rFonts w:ascii="Times New Roman" w:hAnsi="Times New Roman" w:cs="Times New Roman"/>
        </w:rPr>
      </w:pPr>
      <w:r w:rsidRPr="00EE7E38">
        <w:rPr>
          <w:rFonts w:ascii="Times New Roman" w:hAnsi="Times New Roman" w:cs="Times New Roman"/>
        </w:rPr>
        <w:t>Current practices of preventive treatment for latent TB infection are insufficient and need to be scaled up in risk groups, with particular attention to children</w:t>
      </w:r>
      <w:r w:rsidR="00CB1BF5">
        <w:rPr>
          <w:rFonts w:ascii="Times New Roman" w:hAnsi="Times New Roman" w:cs="Times New Roman"/>
        </w:rPr>
        <w:t>,</w:t>
      </w:r>
      <w:r w:rsidRPr="00EE7E38">
        <w:rPr>
          <w:rFonts w:ascii="Times New Roman" w:hAnsi="Times New Roman" w:cs="Times New Roman"/>
        </w:rPr>
        <w:t xml:space="preserve"> contacts of TB cases</w:t>
      </w:r>
      <w:r w:rsidR="00CB1BF5">
        <w:rPr>
          <w:rFonts w:ascii="Times New Roman" w:hAnsi="Times New Roman" w:cs="Times New Roman"/>
        </w:rPr>
        <w:t>,</w:t>
      </w:r>
      <w:r w:rsidRPr="00EE7E38">
        <w:rPr>
          <w:rFonts w:ascii="Times New Roman" w:hAnsi="Times New Roman" w:cs="Times New Roman"/>
        </w:rPr>
        <w:t xml:space="preserve"> and PLHIV. For this purpose, integration and collaboration between specialized TB services, public health services and HIV services requires substantial strengthening. </w:t>
      </w:r>
    </w:p>
    <w:p w14:paraId="23CC0F4C" w14:textId="77777777" w:rsidR="005A003D" w:rsidRPr="00EE7E38" w:rsidRDefault="005A003D" w:rsidP="00835F94">
      <w:pPr>
        <w:widowControl w:val="0"/>
        <w:spacing w:before="120" w:after="120" w:line="240" w:lineRule="auto"/>
        <w:rPr>
          <w:rFonts w:ascii="Times New Roman" w:hAnsi="Times New Roman" w:cs="Times New Roman"/>
          <w:b/>
          <w:bCs/>
        </w:rPr>
      </w:pPr>
      <w:r w:rsidRPr="00EE7E38">
        <w:rPr>
          <w:rFonts w:ascii="Times New Roman" w:hAnsi="Times New Roman" w:cs="Times New Roman"/>
          <w:b/>
          <w:bCs/>
        </w:rPr>
        <w:t>Strategic Interventions</w:t>
      </w:r>
    </w:p>
    <w:p w14:paraId="66739FF6" w14:textId="272F8B88"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Under this Objective, </w:t>
      </w:r>
      <w:r w:rsidR="00D10F31">
        <w:rPr>
          <w:rFonts w:ascii="Times New Roman" w:hAnsi="Times New Roman" w:cs="Times New Roman"/>
        </w:rPr>
        <w:t>six</w:t>
      </w:r>
      <w:r w:rsidRPr="00EE7E38">
        <w:rPr>
          <w:rFonts w:ascii="Times New Roman" w:hAnsi="Times New Roman" w:cs="Times New Roman"/>
        </w:rPr>
        <w:t xml:space="preserve"> Strategic Interventions are proposed</w:t>
      </w:r>
      <w:r w:rsidR="00CB1BF5">
        <w:rPr>
          <w:rFonts w:ascii="Times New Roman" w:hAnsi="Times New Roman" w:cs="Times New Roman"/>
        </w:rPr>
        <w:t xml:space="preserve"> to</w:t>
      </w:r>
      <w:r w:rsidR="00D43D9A">
        <w:rPr>
          <w:rFonts w:ascii="Times New Roman" w:hAnsi="Times New Roman" w:cs="Times New Roman"/>
        </w:rPr>
        <w:t xml:space="preserve"> </w:t>
      </w:r>
      <w:r w:rsidRPr="00EE7E38">
        <w:rPr>
          <w:rFonts w:ascii="Times New Roman" w:hAnsi="Times New Roman" w:cs="Times New Roman"/>
        </w:rPr>
        <w:t>improv</w:t>
      </w:r>
      <w:r w:rsidR="00CB1BF5">
        <w:rPr>
          <w:rFonts w:ascii="Times New Roman" w:hAnsi="Times New Roman" w:cs="Times New Roman"/>
        </w:rPr>
        <w:t>e</w:t>
      </w:r>
      <w:r w:rsidRPr="00EE7E38">
        <w:rPr>
          <w:rFonts w:ascii="Times New Roman" w:hAnsi="Times New Roman" w:cs="Times New Roman"/>
        </w:rPr>
        <w:t xml:space="preserve"> access to and quality of TB treatment. They include</w:t>
      </w:r>
      <w:r w:rsidR="00CB1BF5">
        <w:rPr>
          <w:rFonts w:ascii="Times New Roman" w:hAnsi="Times New Roman" w:cs="Times New Roman"/>
        </w:rPr>
        <w:t>: 1)</w:t>
      </w:r>
      <w:r w:rsidRPr="00EE7E38">
        <w:rPr>
          <w:rFonts w:ascii="Times New Roman" w:hAnsi="Times New Roman" w:cs="Times New Roman"/>
        </w:rPr>
        <w:t xml:space="preserve"> ensuring uninterrupted supply of quality anti-TB drugs and effective drug management; </w:t>
      </w:r>
      <w:r w:rsidR="00CB1BF5">
        <w:rPr>
          <w:rFonts w:ascii="Times New Roman" w:hAnsi="Times New Roman" w:cs="Times New Roman"/>
        </w:rPr>
        <w:t xml:space="preserve">2) </w:t>
      </w:r>
      <w:r w:rsidRPr="00EE7E38">
        <w:rPr>
          <w:rFonts w:ascii="Times New Roman" w:hAnsi="Times New Roman" w:cs="Times New Roman"/>
        </w:rPr>
        <w:t>provision of appropriate patient support for adherence to treatment;</w:t>
      </w:r>
      <w:r w:rsidR="00CB1BF5">
        <w:rPr>
          <w:rFonts w:ascii="Times New Roman" w:hAnsi="Times New Roman" w:cs="Times New Roman"/>
        </w:rPr>
        <w:t xml:space="preserve"> 3)</w:t>
      </w:r>
      <w:r w:rsidRPr="00EE7E38">
        <w:rPr>
          <w:rFonts w:ascii="Times New Roman" w:hAnsi="Times New Roman" w:cs="Times New Roman"/>
        </w:rPr>
        <w:t xml:space="preserve"> ensuring proper treatment monitoring, management of adverse drug reactions and comorbidities; </w:t>
      </w:r>
      <w:r w:rsidR="00CB1BF5">
        <w:rPr>
          <w:rFonts w:ascii="Times New Roman" w:hAnsi="Times New Roman" w:cs="Times New Roman"/>
        </w:rPr>
        <w:t xml:space="preserve">4) </w:t>
      </w:r>
      <w:r w:rsidRPr="00EE7E38">
        <w:rPr>
          <w:rFonts w:ascii="Times New Roman" w:hAnsi="Times New Roman" w:cs="Times New Roman"/>
        </w:rPr>
        <w:t xml:space="preserve">improving infection control; </w:t>
      </w:r>
      <w:r w:rsidR="00D10F31">
        <w:rPr>
          <w:rFonts w:ascii="Times New Roman" w:hAnsi="Times New Roman" w:cs="Times New Roman"/>
        </w:rPr>
        <w:t xml:space="preserve">5) preventive treatment and vaccination against TB; </w:t>
      </w:r>
      <w:r w:rsidRPr="00EE7E38">
        <w:rPr>
          <w:rFonts w:ascii="Times New Roman" w:hAnsi="Times New Roman" w:cs="Times New Roman"/>
        </w:rPr>
        <w:t xml:space="preserve">and </w:t>
      </w:r>
      <w:r w:rsidR="00D10F31">
        <w:rPr>
          <w:rFonts w:ascii="Times New Roman" w:hAnsi="Times New Roman" w:cs="Times New Roman"/>
        </w:rPr>
        <w:t>6</w:t>
      </w:r>
      <w:r w:rsidR="00CB1BF5">
        <w:rPr>
          <w:rFonts w:ascii="Times New Roman" w:hAnsi="Times New Roman" w:cs="Times New Roman"/>
        </w:rPr>
        <w:t xml:space="preserve">) </w:t>
      </w:r>
      <w:r w:rsidRPr="00EE7E38">
        <w:rPr>
          <w:rFonts w:ascii="Times New Roman" w:hAnsi="Times New Roman" w:cs="Times New Roman"/>
        </w:rPr>
        <w:t xml:space="preserve">support to the operations of TB treatment institutions. </w:t>
      </w:r>
    </w:p>
    <w:p w14:paraId="7CCC99E6" w14:textId="77777777" w:rsidR="005A003D" w:rsidRPr="00EE7E38" w:rsidRDefault="005A003D" w:rsidP="00835F94">
      <w:pPr>
        <w:widowControl w:val="0"/>
        <w:spacing w:before="120" w:after="120" w:line="240" w:lineRule="auto"/>
        <w:rPr>
          <w:rFonts w:ascii="Times New Roman" w:hAnsi="Times New Roman" w:cs="Times New Roman"/>
          <w:b/>
        </w:rPr>
      </w:pPr>
      <w:r w:rsidRPr="00EE7E38">
        <w:rPr>
          <w:rFonts w:ascii="Times New Roman" w:hAnsi="Times New Roman" w:cs="Times New Roman"/>
          <w:b/>
        </w:rPr>
        <w:t>2.1</w:t>
      </w:r>
      <w:r w:rsidRPr="00EE7E38">
        <w:rPr>
          <w:rFonts w:ascii="Times New Roman" w:hAnsi="Times New Roman" w:cs="Times New Roman"/>
          <w:b/>
        </w:rPr>
        <w:tab/>
        <w:t>Supply of anti-TB drugs and drug management system</w:t>
      </w:r>
    </w:p>
    <w:p w14:paraId="5038FE38" w14:textId="1CE8E48A"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Securing </w:t>
      </w:r>
      <w:r w:rsidR="00FE12AC">
        <w:rPr>
          <w:rFonts w:ascii="Times New Roman" w:hAnsi="Times New Roman" w:cs="Times New Roman"/>
        </w:rPr>
        <w:t xml:space="preserve">an </w:t>
      </w:r>
      <w:r w:rsidRPr="00EE7E38">
        <w:rPr>
          <w:rFonts w:ascii="Times New Roman" w:hAnsi="Times New Roman" w:cs="Times New Roman"/>
        </w:rPr>
        <w:t xml:space="preserve">uninterrupted supply of drugs for treatment of all forms of TB, including drug-resistant TB, is a crucial task for the </w:t>
      </w:r>
      <w:r w:rsidR="00FE12AC">
        <w:rPr>
          <w:rFonts w:ascii="Times New Roman" w:hAnsi="Times New Roman" w:cs="Times New Roman"/>
        </w:rPr>
        <w:t>NTP</w:t>
      </w:r>
      <w:r w:rsidRPr="00EE7E38">
        <w:rPr>
          <w:rFonts w:ascii="Times New Roman" w:hAnsi="Times New Roman" w:cs="Times New Roman"/>
        </w:rPr>
        <w:t xml:space="preserve">. The country needs to make a substantial effort in ensuring sufficient and sustainable supply of quality anti-TB drugs over the coming years, given the increasing complexity and cost of drug regimens for treatment of patients with advanced resistance and, at the same time, the decreasing level of external support. This Intervention comprises activities </w:t>
      </w:r>
      <w:r w:rsidR="004E5976">
        <w:rPr>
          <w:rFonts w:ascii="Times New Roman" w:hAnsi="Times New Roman" w:cs="Times New Roman"/>
        </w:rPr>
        <w:t>aimed</w:t>
      </w:r>
      <w:r w:rsidR="004E5976" w:rsidRPr="00EE7E38">
        <w:rPr>
          <w:rFonts w:ascii="Times New Roman" w:hAnsi="Times New Roman" w:cs="Times New Roman"/>
        </w:rPr>
        <w:t xml:space="preserve"> </w:t>
      </w:r>
      <w:r w:rsidRPr="00EE7E38">
        <w:rPr>
          <w:rFonts w:ascii="Times New Roman" w:hAnsi="Times New Roman" w:cs="Times New Roman"/>
        </w:rPr>
        <w:t>at maintaining universal access to TB treatment according to the needs, by ensuring availability of TB drugs in sufficient quantities for each category of TB cases, assuring appropriate quality of medicines, and enabling effective drug management system</w:t>
      </w:r>
      <w:r w:rsidR="004E5976">
        <w:rPr>
          <w:rFonts w:ascii="Times New Roman" w:hAnsi="Times New Roman" w:cs="Times New Roman"/>
        </w:rPr>
        <w:t>s</w:t>
      </w:r>
      <w:r w:rsidRPr="00EE7E38">
        <w:rPr>
          <w:rFonts w:ascii="Times New Roman" w:hAnsi="Times New Roman" w:cs="Times New Roman"/>
        </w:rPr>
        <w:t>.</w:t>
      </w:r>
    </w:p>
    <w:p w14:paraId="357D9950" w14:textId="2D94469F"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estimate</w:t>
      </w:r>
      <w:r w:rsidR="004E5976">
        <w:rPr>
          <w:rFonts w:ascii="Times New Roman" w:hAnsi="Times New Roman" w:cs="Times New Roman"/>
        </w:rPr>
        <w:t xml:space="preserve">d need for </w:t>
      </w:r>
      <w:r w:rsidRPr="00EE7E38">
        <w:rPr>
          <w:rFonts w:ascii="Times New Roman" w:hAnsi="Times New Roman" w:cs="Times New Roman"/>
        </w:rPr>
        <w:t xml:space="preserve">anti-TB drugs for the </w:t>
      </w:r>
      <w:r w:rsidR="009E5441" w:rsidRPr="00EE7E38">
        <w:rPr>
          <w:rFonts w:ascii="Times New Roman" w:hAnsi="Times New Roman" w:cs="Times New Roman"/>
        </w:rPr>
        <w:t>four</w:t>
      </w:r>
      <w:r w:rsidRPr="00EE7E38">
        <w:rPr>
          <w:rFonts w:ascii="Times New Roman" w:hAnsi="Times New Roman" w:cs="Times New Roman"/>
        </w:rPr>
        <w:t xml:space="preserve"> years covered by this Plan was developed on the basis of epidemiological forecasts that accounted for several factors: the trends in case notifications; the expected improvements in case detection in the coming years due to planned rollout of rapid diagnostic techniques; the proportions of case categories (new and retreatment cases, bacteriologically confirmed and clinically diagnosed cases), and the prevalence of drug resistant cases by category. </w:t>
      </w:r>
    </w:p>
    <w:p w14:paraId="2E6F6C47" w14:textId="2502B0AF"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results of forecasts for 201</w:t>
      </w:r>
      <w:r w:rsidR="00434A04" w:rsidRPr="00EE7E38">
        <w:rPr>
          <w:rFonts w:ascii="Times New Roman" w:hAnsi="Times New Roman" w:cs="Times New Roman"/>
        </w:rPr>
        <w:t>9</w:t>
      </w:r>
      <w:r w:rsidRPr="00EE7E38">
        <w:rPr>
          <w:rFonts w:ascii="Times New Roman" w:hAnsi="Times New Roman" w:cs="Times New Roman"/>
        </w:rPr>
        <w:t>-202</w:t>
      </w:r>
      <w:r w:rsidR="00434A04" w:rsidRPr="00EE7E38">
        <w:rPr>
          <w:rFonts w:ascii="Times New Roman" w:hAnsi="Times New Roman" w:cs="Times New Roman"/>
        </w:rPr>
        <w:t>2</w:t>
      </w:r>
      <w:r w:rsidRPr="00EE7E38">
        <w:rPr>
          <w:rFonts w:ascii="Times New Roman" w:hAnsi="Times New Roman" w:cs="Times New Roman"/>
        </w:rPr>
        <w:t xml:space="preserve"> are presented in Table </w:t>
      </w:r>
      <w:r w:rsidR="00084062" w:rsidRPr="00EE7E38">
        <w:rPr>
          <w:rFonts w:ascii="Times New Roman" w:hAnsi="Times New Roman" w:cs="Times New Roman"/>
        </w:rPr>
        <w:t>5</w:t>
      </w:r>
      <w:r w:rsidRPr="00EE7E38">
        <w:rPr>
          <w:rFonts w:ascii="Times New Roman" w:hAnsi="Times New Roman" w:cs="Times New Roman"/>
        </w:rPr>
        <w:t>. The estimates include both civilian and peniten</w:t>
      </w:r>
      <w:r w:rsidR="00DE1A99" w:rsidRPr="00EE7E38">
        <w:rPr>
          <w:rFonts w:ascii="Times New Roman" w:hAnsi="Times New Roman" w:cs="Times New Roman"/>
        </w:rPr>
        <w:t xml:space="preserve">tiary sectors. </w:t>
      </w:r>
      <w:r w:rsidRPr="00EE7E38">
        <w:rPr>
          <w:rFonts w:ascii="Times New Roman" w:hAnsi="Times New Roman" w:cs="Times New Roman"/>
        </w:rPr>
        <w:t xml:space="preserve">It is assumed that the annual number of cases will </w:t>
      </w:r>
      <w:r w:rsidR="00DE1A99" w:rsidRPr="00EE7E38">
        <w:rPr>
          <w:rFonts w:ascii="Times New Roman" w:hAnsi="Times New Roman" w:cs="Times New Roman"/>
        </w:rPr>
        <w:t>further decline in 2019-2022</w:t>
      </w:r>
      <w:r w:rsidRPr="00EE7E38">
        <w:rPr>
          <w:rFonts w:ascii="Times New Roman" w:hAnsi="Times New Roman" w:cs="Times New Roman"/>
        </w:rPr>
        <w:t xml:space="preserve">. </w:t>
      </w:r>
      <w:r w:rsidR="004E5976">
        <w:rPr>
          <w:rFonts w:ascii="Times New Roman" w:hAnsi="Times New Roman" w:cs="Times New Roman"/>
        </w:rPr>
        <w:t>Less than</w:t>
      </w:r>
      <w:r w:rsidR="004E5976" w:rsidRPr="00EE7E38">
        <w:rPr>
          <w:rFonts w:ascii="Times New Roman" w:hAnsi="Times New Roman" w:cs="Times New Roman"/>
        </w:rPr>
        <w:t xml:space="preserve"> </w:t>
      </w:r>
      <w:r w:rsidRPr="00EE7E38">
        <w:rPr>
          <w:rFonts w:ascii="Times New Roman" w:hAnsi="Times New Roman" w:cs="Times New Roman"/>
        </w:rPr>
        <w:t>3,</w:t>
      </w:r>
      <w:r w:rsidR="003437A6" w:rsidRPr="00EE7E38">
        <w:rPr>
          <w:rFonts w:ascii="Times New Roman" w:hAnsi="Times New Roman" w:cs="Times New Roman"/>
        </w:rPr>
        <w:t>0</w:t>
      </w:r>
      <w:r w:rsidRPr="00EE7E38">
        <w:rPr>
          <w:rFonts w:ascii="Times New Roman" w:hAnsi="Times New Roman" w:cs="Times New Roman"/>
        </w:rPr>
        <w:t xml:space="preserve">00 </w:t>
      </w:r>
      <w:r w:rsidR="003437A6" w:rsidRPr="00EE7E38">
        <w:rPr>
          <w:rFonts w:ascii="Times New Roman" w:hAnsi="Times New Roman" w:cs="Times New Roman"/>
        </w:rPr>
        <w:t xml:space="preserve">cases are </w:t>
      </w:r>
      <w:r w:rsidR="004E5976" w:rsidRPr="00EE7E38">
        <w:rPr>
          <w:rFonts w:ascii="Times New Roman" w:hAnsi="Times New Roman" w:cs="Times New Roman"/>
        </w:rPr>
        <w:t>e</w:t>
      </w:r>
      <w:r w:rsidR="004E5976">
        <w:rPr>
          <w:rFonts w:ascii="Times New Roman" w:hAnsi="Times New Roman" w:cs="Times New Roman"/>
        </w:rPr>
        <w:t>xpected</w:t>
      </w:r>
      <w:r w:rsidR="004E5976" w:rsidRPr="00EE7E38">
        <w:rPr>
          <w:rFonts w:ascii="Times New Roman" w:hAnsi="Times New Roman" w:cs="Times New Roman"/>
        </w:rPr>
        <w:t xml:space="preserve"> </w:t>
      </w:r>
      <w:r w:rsidRPr="00EE7E38">
        <w:rPr>
          <w:rFonts w:ascii="Times New Roman" w:hAnsi="Times New Roman" w:cs="Times New Roman"/>
        </w:rPr>
        <w:t>in 202</w:t>
      </w:r>
      <w:r w:rsidR="003437A6" w:rsidRPr="00EE7E38">
        <w:rPr>
          <w:rFonts w:ascii="Times New Roman" w:hAnsi="Times New Roman" w:cs="Times New Roman"/>
        </w:rPr>
        <w:t>2 and are expected to come close to 2,500</w:t>
      </w:r>
      <w:r w:rsidRPr="00EE7E38">
        <w:rPr>
          <w:rFonts w:ascii="Times New Roman" w:hAnsi="Times New Roman" w:cs="Times New Roman"/>
        </w:rPr>
        <w:t>. At the same time, the improved case detection strategies and quality of laboratory diagnosis will contribute to higher rates of bacteriological confirmation of TB.</w:t>
      </w:r>
    </w:p>
    <w:p w14:paraId="0399ADF2" w14:textId="77777777" w:rsidR="00317BA1" w:rsidRPr="00EE7E38" w:rsidRDefault="00317BA1" w:rsidP="00317BA1">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00190629"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00190629" w:rsidRPr="00EE7E38">
        <w:rPr>
          <w:rFonts w:ascii="Times New Roman" w:hAnsi="Times New Roman" w:cs="Times New Roman"/>
        </w:rPr>
        <w:fldChar w:fldCharType="separate"/>
      </w:r>
      <w:r w:rsidR="00676B83" w:rsidRPr="00EE7E38">
        <w:rPr>
          <w:rFonts w:ascii="Times New Roman" w:hAnsi="Times New Roman" w:cs="Times New Roman"/>
          <w:noProof/>
        </w:rPr>
        <w:t>4</w:t>
      </w:r>
      <w:r w:rsidR="00190629" w:rsidRPr="00EE7E38">
        <w:rPr>
          <w:rFonts w:ascii="Times New Roman" w:hAnsi="Times New Roman" w:cs="Times New Roman"/>
        </w:rPr>
        <w:fldChar w:fldCharType="end"/>
      </w:r>
      <w:r w:rsidRPr="00EE7E38">
        <w:rPr>
          <w:rFonts w:ascii="Times New Roman" w:hAnsi="Times New Roman" w:cs="Times New Roman"/>
        </w:rPr>
        <w:t>.</w:t>
      </w:r>
      <w:proofErr w:type="gramEnd"/>
      <w:r w:rsidRPr="00EE7E38">
        <w:rPr>
          <w:rFonts w:ascii="Times New Roman" w:hAnsi="Times New Roman" w:cs="Times New Roman"/>
        </w:rPr>
        <w:t xml:space="preserve"> Forecasted number of TB cases in Georgia by category, 2019-2022 (based on 2014-2016 trends)</w:t>
      </w:r>
    </w:p>
    <w:tbl>
      <w:tblPr>
        <w:tblW w:w="490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7"/>
        <w:gridCol w:w="793"/>
        <w:gridCol w:w="793"/>
        <w:gridCol w:w="793"/>
        <w:gridCol w:w="793"/>
        <w:gridCol w:w="793"/>
        <w:gridCol w:w="793"/>
        <w:gridCol w:w="793"/>
        <w:gridCol w:w="793"/>
        <w:gridCol w:w="787"/>
      </w:tblGrid>
      <w:tr w:rsidR="005253D0" w:rsidRPr="00EE7E38" w14:paraId="597F0045" w14:textId="77777777" w:rsidTr="005253D0">
        <w:tc>
          <w:tcPr>
            <w:tcW w:w="1312" w:type="pct"/>
            <w:vAlign w:val="center"/>
          </w:tcPr>
          <w:p w14:paraId="39B2E1B3" w14:textId="77777777" w:rsidR="005253D0" w:rsidRPr="00EE7E38" w:rsidRDefault="005253D0" w:rsidP="00BF785E">
            <w:pPr>
              <w:widowControl w:val="0"/>
              <w:spacing w:before="40" w:after="40" w:line="240" w:lineRule="auto"/>
              <w:jc w:val="center"/>
              <w:rPr>
                <w:rFonts w:ascii="Times New Roman" w:hAnsi="Times New Roman" w:cs="Times New Roman"/>
                <w:b/>
                <w:i/>
                <w:iCs/>
                <w:sz w:val="20"/>
                <w:szCs w:val="20"/>
              </w:rPr>
            </w:pPr>
            <w:r w:rsidRPr="00EE7E38">
              <w:rPr>
                <w:rFonts w:ascii="Times New Roman" w:hAnsi="Times New Roman" w:cs="Times New Roman"/>
                <w:b/>
                <w:i/>
                <w:iCs/>
                <w:sz w:val="20"/>
                <w:szCs w:val="20"/>
              </w:rPr>
              <w:t>Case category</w:t>
            </w:r>
          </w:p>
        </w:tc>
        <w:tc>
          <w:tcPr>
            <w:tcW w:w="410" w:type="pct"/>
          </w:tcPr>
          <w:p w14:paraId="1E896021" w14:textId="77777777" w:rsidR="005253D0" w:rsidRPr="00EE7E38" w:rsidRDefault="005253D0" w:rsidP="00BF785E">
            <w:pPr>
              <w:widowControl w:val="0"/>
              <w:spacing w:before="40" w:after="40" w:line="240" w:lineRule="auto"/>
              <w:jc w:val="center"/>
              <w:rPr>
                <w:rFonts w:ascii="Times New Roman" w:hAnsi="Times New Roman" w:cs="Times New Roman"/>
                <w:b/>
                <w:i/>
                <w:iCs/>
                <w:sz w:val="20"/>
                <w:szCs w:val="20"/>
              </w:rPr>
            </w:pPr>
            <w:r w:rsidRPr="00EE7E38">
              <w:rPr>
                <w:rFonts w:ascii="Times New Roman" w:hAnsi="Times New Roman" w:cs="Times New Roman"/>
                <w:bCs/>
                <w:i/>
                <w:iCs/>
                <w:sz w:val="20"/>
                <w:szCs w:val="20"/>
              </w:rPr>
              <w:t>2014</w:t>
            </w:r>
          </w:p>
        </w:tc>
        <w:tc>
          <w:tcPr>
            <w:tcW w:w="410" w:type="pct"/>
          </w:tcPr>
          <w:p w14:paraId="17398C23" w14:textId="77777777" w:rsidR="005253D0" w:rsidRPr="00EE7E38" w:rsidRDefault="005253D0" w:rsidP="00BF785E">
            <w:pPr>
              <w:widowControl w:val="0"/>
              <w:spacing w:before="40" w:after="40" w:line="240" w:lineRule="auto"/>
              <w:jc w:val="center"/>
              <w:rPr>
                <w:rFonts w:ascii="Times New Roman" w:hAnsi="Times New Roman" w:cs="Times New Roman"/>
                <w:b/>
                <w:i/>
                <w:iCs/>
                <w:sz w:val="20"/>
                <w:szCs w:val="20"/>
              </w:rPr>
            </w:pPr>
            <w:r w:rsidRPr="00EE7E38">
              <w:rPr>
                <w:rFonts w:ascii="Times New Roman" w:hAnsi="Times New Roman" w:cs="Times New Roman"/>
                <w:bCs/>
                <w:i/>
                <w:iCs/>
                <w:sz w:val="20"/>
                <w:szCs w:val="20"/>
              </w:rPr>
              <w:t>2015</w:t>
            </w:r>
          </w:p>
        </w:tc>
        <w:tc>
          <w:tcPr>
            <w:tcW w:w="410" w:type="pct"/>
          </w:tcPr>
          <w:p w14:paraId="15C1CC65" w14:textId="77777777" w:rsidR="005253D0" w:rsidRPr="00EE7E38" w:rsidRDefault="005253D0" w:rsidP="00BF785E">
            <w:pPr>
              <w:widowControl w:val="0"/>
              <w:spacing w:before="40" w:after="40" w:line="240" w:lineRule="auto"/>
              <w:jc w:val="center"/>
              <w:rPr>
                <w:rFonts w:ascii="Times New Roman" w:hAnsi="Times New Roman" w:cs="Times New Roman"/>
                <w:b/>
                <w:i/>
                <w:iCs/>
                <w:sz w:val="20"/>
                <w:szCs w:val="20"/>
              </w:rPr>
            </w:pPr>
            <w:r w:rsidRPr="00EE7E38">
              <w:rPr>
                <w:rFonts w:ascii="Times New Roman" w:hAnsi="Times New Roman" w:cs="Times New Roman"/>
                <w:bCs/>
                <w:i/>
                <w:iCs/>
                <w:sz w:val="20"/>
                <w:szCs w:val="20"/>
              </w:rPr>
              <w:t>2016</w:t>
            </w:r>
          </w:p>
        </w:tc>
        <w:tc>
          <w:tcPr>
            <w:tcW w:w="410" w:type="pct"/>
          </w:tcPr>
          <w:p w14:paraId="46CB0294" w14:textId="77777777" w:rsidR="005253D0" w:rsidRPr="00EE7E38" w:rsidRDefault="005253D0" w:rsidP="00BF785E">
            <w:pPr>
              <w:widowControl w:val="0"/>
              <w:spacing w:before="40" w:after="40" w:line="240" w:lineRule="auto"/>
              <w:jc w:val="center"/>
              <w:rPr>
                <w:rFonts w:ascii="Times New Roman" w:hAnsi="Times New Roman" w:cs="Times New Roman"/>
                <w:b/>
                <w:i/>
                <w:iCs/>
                <w:sz w:val="20"/>
                <w:szCs w:val="20"/>
              </w:rPr>
            </w:pPr>
            <w:r w:rsidRPr="00EE7E38">
              <w:rPr>
                <w:rFonts w:ascii="Times New Roman" w:hAnsi="Times New Roman" w:cs="Times New Roman"/>
                <w:bCs/>
                <w:i/>
                <w:iCs/>
                <w:sz w:val="20"/>
                <w:szCs w:val="20"/>
              </w:rPr>
              <w:t>2017</w:t>
            </w:r>
          </w:p>
        </w:tc>
        <w:tc>
          <w:tcPr>
            <w:tcW w:w="410" w:type="pct"/>
          </w:tcPr>
          <w:p w14:paraId="752EB0F8" w14:textId="77777777" w:rsidR="005253D0" w:rsidRPr="00EE7E38" w:rsidRDefault="005253D0" w:rsidP="00BF785E">
            <w:pPr>
              <w:widowControl w:val="0"/>
              <w:spacing w:before="40" w:after="40" w:line="240" w:lineRule="auto"/>
              <w:jc w:val="center"/>
              <w:rPr>
                <w:rFonts w:ascii="Times New Roman" w:hAnsi="Times New Roman" w:cs="Times New Roman"/>
                <w:b/>
                <w:i/>
                <w:iCs/>
                <w:sz w:val="20"/>
                <w:szCs w:val="20"/>
              </w:rPr>
            </w:pPr>
            <w:r w:rsidRPr="00EE7E38">
              <w:rPr>
                <w:rFonts w:ascii="Times New Roman" w:hAnsi="Times New Roman" w:cs="Times New Roman"/>
                <w:bCs/>
                <w:i/>
                <w:iCs/>
                <w:sz w:val="20"/>
                <w:szCs w:val="20"/>
              </w:rPr>
              <w:t>2018</w:t>
            </w:r>
          </w:p>
        </w:tc>
        <w:tc>
          <w:tcPr>
            <w:tcW w:w="410" w:type="pct"/>
          </w:tcPr>
          <w:p w14:paraId="1B4805B1" w14:textId="77777777" w:rsidR="005253D0" w:rsidRPr="00EE7E38" w:rsidRDefault="005253D0" w:rsidP="00BF785E">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Cs/>
                <w:i/>
                <w:iCs/>
                <w:sz w:val="20"/>
                <w:szCs w:val="20"/>
              </w:rPr>
              <w:t>2019</w:t>
            </w:r>
          </w:p>
        </w:tc>
        <w:tc>
          <w:tcPr>
            <w:tcW w:w="410" w:type="pct"/>
          </w:tcPr>
          <w:p w14:paraId="350F2AD9" w14:textId="77777777" w:rsidR="005253D0" w:rsidRPr="00EE7E38" w:rsidRDefault="005253D0" w:rsidP="00BF785E">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Cs/>
                <w:sz w:val="20"/>
                <w:szCs w:val="20"/>
              </w:rPr>
              <w:t>2020</w:t>
            </w:r>
          </w:p>
        </w:tc>
        <w:tc>
          <w:tcPr>
            <w:tcW w:w="410" w:type="pct"/>
          </w:tcPr>
          <w:p w14:paraId="21EB8E9E" w14:textId="77777777" w:rsidR="005253D0" w:rsidRPr="00EE7E38" w:rsidRDefault="005253D0" w:rsidP="00BF785E">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Cs/>
                <w:sz w:val="20"/>
                <w:szCs w:val="20"/>
              </w:rPr>
              <w:t>2021</w:t>
            </w:r>
          </w:p>
        </w:tc>
        <w:tc>
          <w:tcPr>
            <w:tcW w:w="407" w:type="pct"/>
          </w:tcPr>
          <w:p w14:paraId="64CAF752" w14:textId="77777777" w:rsidR="005253D0" w:rsidRPr="00EE7E38" w:rsidRDefault="005253D0" w:rsidP="00BF785E">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Cs/>
                <w:sz w:val="20"/>
                <w:szCs w:val="20"/>
              </w:rPr>
              <w:t>2022</w:t>
            </w:r>
          </w:p>
        </w:tc>
      </w:tr>
      <w:tr w:rsidR="005253D0" w:rsidRPr="00EE7E38" w14:paraId="4067F2D5" w14:textId="77777777" w:rsidTr="005253D0">
        <w:tc>
          <w:tcPr>
            <w:tcW w:w="1312" w:type="pct"/>
            <w:vAlign w:val="center"/>
          </w:tcPr>
          <w:p w14:paraId="783A3E17" w14:textId="77777777" w:rsidR="005253D0" w:rsidRPr="00EE7E38" w:rsidRDefault="005253D0" w:rsidP="00BF785E">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New pulmonary SS(+)</w:t>
            </w:r>
          </w:p>
        </w:tc>
        <w:tc>
          <w:tcPr>
            <w:tcW w:w="410" w:type="pct"/>
          </w:tcPr>
          <w:p w14:paraId="6D6CEF30"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1142</w:t>
            </w:r>
          </w:p>
        </w:tc>
        <w:tc>
          <w:tcPr>
            <w:tcW w:w="410" w:type="pct"/>
          </w:tcPr>
          <w:p w14:paraId="072107F1"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890</w:t>
            </w:r>
          </w:p>
        </w:tc>
        <w:tc>
          <w:tcPr>
            <w:tcW w:w="410" w:type="pct"/>
          </w:tcPr>
          <w:p w14:paraId="193A53A3"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836</w:t>
            </w:r>
          </w:p>
        </w:tc>
        <w:tc>
          <w:tcPr>
            <w:tcW w:w="410" w:type="pct"/>
          </w:tcPr>
          <w:p w14:paraId="6DA758B2"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784</w:t>
            </w:r>
          </w:p>
        </w:tc>
        <w:tc>
          <w:tcPr>
            <w:tcW w:w="410" w:type="pct"/>
          </w:tcPr>
          <w:p w14:paraId="4802A59E"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748</w:t>
            </w:r>
          </w:p>
        </w:tc>
        <w:tc>
          <w:tcPr>
            <w:tcW w:w="410" w:type="pct"/>
          </w:tcPr>
          <w:p w14:paraId="2898691B"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696</w:t>
            </w:r>
          </w:p>
        </w:tc>
        <w:tc>
          <w:tcPr>
            <w:tcW w:w="410" w:type="pct"/>
          </w:tcPr>
          <w:p w14:paraId="7A04E7F4"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632</w:t>
            </w:r>
          </w:p>
        </w:tc>
        <w:tc>
          <w:tcPr>
            <w:tcW w:w="410" w:type="pct"/>
          </w:tcPr>
          <w:p w14:paraId="29436FDB"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600</w:t>
            </w:r>
          </w:p>
        </w:tc>
        <w:tc>
          <w:tcPr>
            <w:tcW w:w="407" w:type="pct"/>
          </w:tcPr>
          <w:p w14:paraId="1B26F3E9"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571</w:t>
            </w:r>
          </w:p>
        </w:tc>
      </w:tr>
      <w:tr w:rsidR="005253D0" w:rsidRPr="00EE7E38" w14:paraId="58467BD7" w14:textId="77777777" w:rsidTr="005253D0">
        <w:tc>
          <w:tcPr>
            <w:tcW w:w="1312" w:type="pct"/>
            <w:vAlign w:val="center"/>
          </w:tcPr>
          <w:p w14:paraId="6EDBB044" w14:textId="77777777" w:rsidR="005253D0" w:rsidRPr="00EE7E38" w:rsidRDefault="005253D0" w:rsidP="00BF785E">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New pulmonary SS(–)</w:t>
            </w:r>
          </w:p>
        </w:tc>
        <w:tc>
          <w:tcPr>
            <w:tcW w:w="410" w:type="pct"/>
          </w:tcPr>
          <w:p w14:paraId="7D060734"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1,004</w:t>
            </w:r>
          </w:p>
        </w:tc>
        <w:tc>
          <w:tcPr>
            <w:tcW w:w="410" w:type="pct"/>
          </w:tcPr>
          <w:p w14:paraId="6B4F424F"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1,116</w:t>
            </w:r>
          </w:p>
        </w:tc>
        <w:tc>
          <w:tcPr>
            <w:tcW w:w="410" w:type="pct"/>
          </w:tcPr>
          <w:p w14:paraId="5AAFCA9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1,067</w:t>
            </w:r>
          </w:p>
        </w:tc>
        <w:tc>
          <w:tcPr>
            <w:tcW w:w="410" w:type="pct"/>
          </w:tcPr>
          <w:p w14:paraId="24FC8A88"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1,032</w:t>
            </w:r>
          </w:p>
        </w:tc>
        <w:tc>
          <w:tcPr>
            <w:tcW w:w="410" w:type="pct"/>
          </w:tcPr>
          <w:p w14:paraId="075B3E4E"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982</w:t>
            </w:r>
          </w:p>
        </w:tc>
        <w:tc>
          <w:tcPr>
            <w:tcW w:w="410" w:type="pct"/>
          </w:tcPr>
          <w:p w14:paraId="5271E0F8"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951</w:t>
            </w:r>
          </w:p>
        </w:tc>
        <w:tc>
          <w:tcPr>
            <w:tcW w:w="410" w:type="pct"/>
          </w:tcPr>
          <w:p w14:paraId="75D0717E"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935</w:t>
            </w:r>
          </w:p>
        </w:tc>
        <w:tc>
          <w:tcPr>
            <w:tcW w:w="410" w:type="pct"/>
          </w:tcPr>
          <w:p w14:paraId="589EE216"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888</w:t>
            </w:r>
          </w:p>
        </w:tc>
        <w:tc>
          <w:tcPr>
            <w:tcW w:w="407" w:type="pct"/>
          </w:tcPr>
          <w:p w14:paraId="625454CF"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843</w:t>
            </w:r>
          </w:p>
        </w:tc>
      </w:tr>
      <w:tr w:rsidR="005253D0" w:rsidRPr="00EE7E38" w14:paraId="36EBD29C" w14:textId="77777777" w:rsidTr="005253D0">
        <w:tc>
          <w:tcPr>
            <w:tcW w:w="1312" w:type="pct"/>
            <w:vAlign w:val="center"/>
          </w:tcPr>
          <w:p w14:paraId="2309BD80" w14:textId="77777777" w:rsidR="005253D0" w:rsidRPr="00EE7E38" w:rsidRDefault="005253D0" w:rsidP="00BF785E">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New extrapulmonary</w:t>
            </w:r>
          </w:p>
        </w:tc>
        <w:tc>
          <w:tcPr>
            <w:tcW w:w="410" w:type="pct"/>
          </w:tcPr>
          <w:p w14:paraId="47B79B89"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661</w:t>
            </w:r>
          </w:p>
        </w:tc>
        <w:tc>
          <w:tcPr>
            <w:tcW w:w="410" w:type="pct"/>
          </w:tcPr>
          <w:p w14:paraId="69D6ADE9"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616</w:t>
            </w:r>
          </w:p>
        </w:tc>
        <w:tc>
          <w:tcPr>
            <w:tcW w:w="410" w:type="pct"/>
          </w:tcPr>
          <w:p w14:paraId="6BDAA6FF"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562</w:t>
            </w:r>
          </w:p>
        </w:tc>
        <w:tc>
          <w:tcPr>
            <w:tcW w:w="410" w:type="pct"/>
          </w:tcPr>
          <w:p w14:paraId="3E457F4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526</w:t>
            </w:r>
          </w:p>
        </w:tc>
        <w:tc>
          <w:tcPr>
            <w:tcW w:w="410" w:type="pct"/>
          </w:tcPr>
          <w:p w14:paraId="0B31476D"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495</w:t>
            </w:r>
          </w:p>
        </w:tc>
        <w:tc>
          <w:tcPr>
            <w:tcW w:w="410" w:type="pct"/>
          </w:tcPr>
          <w:p w14:paraId="7C8DD8A4"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467</w:t>
            </w:r>
          </w:p>
        </w:tc>
        <w:tc>
          <w:tcPr>
            <w:tcW w:w="410" w:type="pct"/>
          </w:tcPr>
          <w:p w14:paraId="68BD06AF"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441</w:t>
            </w:r>
          </w:p>
        </w:tc>
        <w:tc>
          <w:tcPr>
            <w:tcW w:w="410" w:type="pct"/>
          </w:tcPr>
          <w:p w14:paraId="36B65233"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419</w:t>
            </w:r>
          </w:p>
        </w:tc>
        <w:tc>
          <w:tcPr>
            <w:tcW w:w="407" w:type="pct"/>
          </w:tcPr>
          <w:p w14:paraId="0B7C3437"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397</w:t>
            </w:r>
          </w:p>
        </w:tc>
      </w:tr>
      <w:tr w:rsidR="005253D0" w:rsidRPr="00EE7E38" w14:paraId="26DFB7E6" w14:textId="77777777" w:rsidTr="005253D0">
        <w:tc>
          <w:tcPr>
            <w:tcW w:w="1312" w:type="pct"/>
            <w:vAlign w:val="center"/>
          </w:tcPr>
          <w:p w14:paraId="0FFB8018" w14:textId="77777777" w:rsidR="005253D0" w:rsidRPr="00EE7E38" w:rsidRDefault="005253D0" w:rsidP="00BF785E">
            <w:pPr>
              <w:widowControl w:val="0"/>
              <w:spacing w:before="40" w:after="40" w:line="240" w:lineRule="auto"/>
              <w:rPr>
                <w:rFonts w:ascii="Times New Roman" w:hAnsi="Times New Roman" w:cs="Times New Roman"/>
                <w:b/>
                <w:bCs/>
                <w:sz w:val="20"/>
                <w:szCs w:val="20"/>
              </w:rPr>
            </w:pPr>
            <w:r w:rsidRPr="00EE7E38">
              <w:rPr>
                <w:rFonts w:ascii="Times New Roman" w:hAnsi="Times New Roman" w:cs="Times New Roman"/>
                <w:b/>
                <w:bCs/>
                <w:sz w:val="20"/>
                <w:szCs w:val="20"/>
              </w:rPr>
              <w:t>Sub-total, new cases</w:t>
            </w:r>
          </w:p>
        </w:tc>
        <w:tc>
          <w:tcPr>
            <w:tcW w:w="410" w:type="pct"/>
          </w:tcPr>
          <w:p w14:paraId="3E6DCEE4"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2,807</w:t>
            </w:r>
          </w:p>
        </w:tc>
        <w:tc>
          <w:tcPr>
            <w:tcW w:w="410" w:type="pct"/>
          </w:tcPr>
          <w:p w14:paraId="15A6E72F"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2,622</w:t>
            </w:r>
          </w:p>
        </w:tc>
        <w:tc>
          <w:tcPr>
            <w:tcW w:w="410" w:type="pct"/>
          </w:tcPr>
          <w:p w14:paraId="3EFFAE32"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2,465</w:t>
            </w:r>
          </w:p>
        </w:tc>
        <w:tc>
          <w:tcPr>
            <w:tcW w:w="410" w:type="pct"/>
          </w:tcPr>
          <w:p w14:paraId="71CA8FE0"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2,342</w:t>
            </w:r>
          </w:p>
        </w:tc>
        <w:tc>
          <w:tcPr>
            <w:tcW w:w="410" w:type="pct"/>
          </w:tcPr>
          <w:p w14:paraId="02FE6ACE"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2,225</w:t>
            </w:r>
          </w:p>
        </w:tc>
        <w:tc>
          <w:tcPr>
            <w:tcW w:w="410" w:type="pct"/>
          </w:tcPr>
          <w:p w14:paraId="75541FFF"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2,114</w:t>
            </w:r>
          </w:p>
        </w:tc>
        <w:tc>
          <w:tcPr>
            <w:tcW w:w="410" w:type="pct"/>
          </w:tcPr>
          <w:p w14:paraId="375C7E90"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2008</w:t>
            </w:r>
          </w:p>
        </w:tc>
        <w:tc>
          <w:tcPr>
            <w:tcW w:w="410" w:type="pct"/>
          </w:tcPr>
          <w:p w14:paraId="72702DB4"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1907</w:t>
            </w:r>
          </w:p>
        </w:tc>
        <w:tc>
          <w:tcPr>
            <w:tcW w:w="407" w:type="pct"/>
          </w:tcPr>
          <w:p w14:paraId="549658F6"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1811</w:t>
            </w:r>
          </w:p>
        </w:tc>
      </w:tr>
      <w:tr w:rsidR="005253D0" w:rsidRPr="00EE7E38" w14:paraId="5A7983C3" w14:textId="77777777" w:rsidTr="005253D0">
        <w:tc>
          <w:tcPr>
            <w:tcW w:w="1312" w:type="pct"/>
            <w:vAlign w:val="center"/>
          </w:tcPr>
          <w:p w14:paraId="6F9EC6EC" w14:textId="77777777" w:rsidR="005253D0" w:rsidRPr="00EE7E38" w:rsidRDefault="005253D0" w:rsidP="00BF785E">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Retreatment pulmonary SS(+)</w:t>
            </w:r>
          </w:p>
        </w:tc>
        <w:tc>
          <w:tcPr>
            <w:tcW w:w="410" w:type="pct"/>
          </w:tcPr>
          <w:p w14:paraId="394239CE"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474</w:t>
            </w:r>
          </w:p>
        </w:tc>
        <w:tc>
          <w:tcPr>
            <w:tcW w:w="410" w:type="pct"/>
          </w:tcPr>
          <w:p w14:paraId="3CB0673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408</w:t>
            </w:r>
          </w:p>
        </w:tc>
        <w:tc>
          <w:tcPr>
            <w:tcW w:w="410" w:type="pct"/>
          </w:tcPr>
          <w:p w14:paraId="567522A4"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365</w:t>
            </w:r>
          </w:p>
        </w:tc>
        <w:tc>
          <w:tcPr>
            <w:tcW w:w="410" w:type="pct"/>
          </w:tcPr>
          <w:p w14:paraId="66BED01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332</w:t>
            </w:r>
          </w:p>
        </w:tc>
        <w:tc>
          <w:tcPr>
            <w:tcW w:w="410" w:type="pct"/>
          </w:tcPr>
          <w:p w14:paraId="4142968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318</w:t>
            </w:r>
          </w:p>
        </w:tc>
        <w:tc>
          <w:tcPr>
            <w:tcW w:w="410" w:type="pct"/>
          </w:tcPr>
          <w:p w14:paraId="32961A34"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303</w:t>
            </w:r>
          </w:p>
        </w:tc>
        <w:tc>
          <w:tcPr>
            <w:tcW w:w="410" w:type="pct"/>
          </w:tcPr>
          <w:p w14:paraId="43781036"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289</w:t>
            </w:r>
          </w:p>
        </w:tc>
        <w:tc>
          <w:tcPr>
            <w:tcW w:w="410" w:type="pct"/>
          </w:tcPr>
          <w:p w14:paraId="7012C0DB"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274</w:t>
            </w:r>
          </w:p>
        </w:tc>
        <w:tc>
          <w:tcPr>
            <w:tcW w:w="407" w:type="pct"/>
          </w:tcPr>
          <w:p w14:paraId="1A7D7837"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261</w:t>
            </w:r>
          </w:p>
        </w:tc>
      </w:tr>
      <w:tr w:rsidR="005253D0" w:rsidRPr="00EE7E38" w14:paraId="23074B8B" w14:textId="77777777" w:rsidTr="005253D0">
        <w:tc>
          <w:tcPr>
            <w:tcW w:w="1312" w:type="pct"/>
            <w:vAlign w:val="center"/>
          </w:tcPr>
          <w:p w14:paraId="02C0A902" w14:textId="77777777" w:rsidR="005253D0" w:rsidRPr="00EE7E38" w:rsidRDefault="005253D0" w:rsidP="00BF785E">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Retreatment pulmonary SS(–)</w:t>
            </w:r>
          </w:p>
        </w:tc>
        <w:tc>
          <w:tcPr>
            <w:tcW w:w="410" w:type="pct"/>
          </w:tcPr>
          <w:p w14:paraId="34206B0C"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474</w:t>
            </w:r>
          </w:p>
        </w:tc>
        <w:tc>
          <w:tcPr>
            <w:tcW w:w="410" w:type="pct"/>
          </w:tcPr>
          <w:p w14:paraId="5AB7837A"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504</w:t>
            </w:r>
          </w:p>
        </w:tc>
        <w:tc>
          <w:tcPr>
            <w:tcW w:w="410" w:type="pct"/>
          </w:tcPr>
          <w:p w14:paraId="4D3BC12D"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444</w:t>
            </w:r>
          </w:p>
        </w:tc>
        <w:tc>
          <w:tcPr>
            <w:tcW w:w="410" w:type="pct"/>
          </w:tcPr>
          <w:p w14:paraId="086EBDB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418</w:t>
            </w:r>
          </w:p>
        </w:tc>
        <w:tc>
          <w:tcPr>
            <w:tcW w:w="410" w:type="pct"/>
          </w:tcPr>
          <w:p w14:paraId="1B71755E"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397</w:t>
            </w:r>
          </w:p>
        </w:tc>
        <w:tc>
          <w:tcPr>
            <w:tcW w:w="410" w:type="pct"/>
          </w:tcPr>
          <w:p w14:paraId="6AB06718"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377</w:t>
            </w:r>
          </w:p>
        </w:tc>
        <w:tc>
          <w:tcPr>
            <w:tcW w:w="410" w:type="pct"/>
          </w:tcPr>
          <w:p w14:paraId="0C6FFCA8"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357</w:t>
            </w:r>
          </w:p>
        </w:tc>
        <w:tc>
          <w:tcPr>
            <w:tcW w:w="410" w:type="pct"/>
          </w:tcPr>
          <w:p w14:paraId="3F3C72F4"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340</w:t>
            </w:r>
          </w:p>
        </w:tc>
        <w:tc>
          <w:tcPr>
            <w:tcW w:w="407" w:type="pct"/>
          </w:tcPr>
          <w:p w14:paraId="0D12BDC8"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322</w:t>
            </w:r>
          </w:p>
        </w:tc>
      </w:tr>
      <w:tr w:rsidR="005253D0" w:rsidRPr="00EE7E38" w14:paraId="7B05B605" w14:textId="77777777" w:rsidTr="005253D0">
        <w:tc>
          <w:tcPr>
            <w:tcW w:w="1312" w:type="pct"/>
            <w:vAlign w:val="center"/>
          </w:tcPr>
          <w:p w14:paraId="69E9DB93" w14:textId="77777777" w:rsidR="005253D0" w:rsidRPr="00EE7E38" w:rsidRDefault="005253D0" w:rsidP="00BF785E">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Retreatment extrapulmonary</w:t>
            </w:r>
          </w:p>
        </w:tc>
        <w:tc>
          <w:tcPr>
            <w:tcW w:w="410" w:type="pct"/>
          </w:tcPr>
          <w:p w14:paraId="4B998C90"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95</w:t>
            </w:r>
          </w:p>
        </w:tc>
        <w:tc>
          <w:tcPr>
            <w:tcW w:w="410" w:type="pct"/>
          </w:tcPr>
          <w:p w14:paraId="5CB25B4F"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77</w:t>
            </w:r>
          </w:p>
        </w:tc>
        <w:tc>
          <w:tcPr>
            <w:tcW w:w="410" w:type="pct"/>
          </w:tcPr>
          <w:p w14:paraId="4165CE39"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58</w:t>
            </w:r>
          </w:p>
        </w:tc>
        <w:tc>
          <w:tcPr>
            <w:tcW w:w="410" w:type="pct"/>
          </w:tcPr>
          <w:p w14:paraId="79A54974"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72</w:t>
            </w:r>
          </w:p>
        </w:tc>
        <w:tc>
          <w:tcPr>
            <w:tcW w:w="410" w:type="pct"/>
          </w:tcPr>
          <w:p w14:paraId="54FFE4CB" w14:textId="77777777" w:rsidR="005253D0" w:rsidRPr="00EE7E38" w:rsidRDefault="005253D0" w:rsidP="00BF785E">
            <w:pPr>
              <w:spacing w:before="40" w:after="40" w:line="240" w:lineRule="auto"/>
              <w:jc w:val="center"/>
              <w:rPr>
                <w:rFonts w:ascii="Times New Roman" w:hAnsi="Times New Roman" w:cs="Times New Roman"/>
                <w:sz w:val="20"/>
                <w:szCs w:val="20"/>
              </w:rPr>
            </w:pPr>
            <w:r w:rsidRPr="00EE7E38">
              <w:rPr>
                <w:rFonts w:ascii="Times New Roman" w:hAnsi="Times New Roman" w:cs="Times New Roman"/>
                <w:bCs/>
                <w:sz w:val="20"/>
                <w:szCs w:val="20"/>
              </w:rPr>
              <w:t>66</w:t>
            </w:r>
          </w:p>
        </w:tc>
        <w:tc>
          <w:tcPr>
            <w:tcW w:w="410" w:type="pct"/>
          </w:tcPr>
          <w:p w14:paraId="77F9311C"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62</w:t>
            </w:r>
          </w:p>
        </w:tc>
        <w:tc>
          <w:tcPr>
            <w:tcW w:w="410" w:type="pct"/>
          </w:tcPr>
          <w:p w14:paraId="2DDDF88F"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59</w:t>
            </w:r>
          </w:p>
        </w:tc>
        <w:tc>
          <w:tcPr>
            <w:tcW w:w="410" w:type="pct"/>
          </w:tcPr>
          <w:p w14:paraId="37954351"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56</w:t>
            </w:r>
          </w:p>
        </w:tc>
        <w:tc>
          <w:tcPr>
            <w:tcW w:w="407" w:type="pct"/>
          </w:tcPr>
          <w:p w14:paraId="74444B32" w14:textId="77777777" w:rsidR="005253D0" w:rsidRPr="00EE7E38" w:rsidRDefault="005253D0" w:rsidP="00BF785E">
            <w:pPr>
              <w:spacing w:before="40" w:after="40" w:line="240" w:lineRule="auto"/>
              <w:jc w:val="center"/>
              <w:rPr>
                <w:rFonts w:ascii="Times New Roman" w:hAnsi="Times New Roman" w:cs="Times New Roman"/>
                <w:b/>
                <w:sz w:val="20"/>
                <w:szCs w:val="20"/>
              </w:rPr>
            </w:pPr>
            <w:r w:rsidRPr="00EE7E38">
              <w:rPr>
                <w:rFonts w:ascii="Times New Roman" w:hAnsi="Times New Roman" w:cs="Times New Roman"/>
                <w:bCs/>
                <w:sz w:val="20"/>
                <w:szCs w:val="20"/>
              </w:rPr>
              <w:t>54</w:t>
            </w:r>
          </w:p>
        </w:tc>
      </w:tr>
      <w:tr w:rsidR="005253D0" w:rsidRPr="00EE7E38" w14:paraId="3533C008" w14:textId="77777777" w:rsidTr="005253D0">
        <w:tc>
          <w:tcPr>
            <w:tcW w:w="1312" w:type="pct"/>
            <w:vAlign w:val="center"/>
          </w:tcPr>
          <w:p w14:paraId="2524DD92" w14:textId="77777777" w:rsidR="005253D0" w:rsidRPr="00EE7E38" w:rsidRDefault="005253D0" w:rsidP="00BF785E">
            <w:pPr>
              <w:widowControl w:val="0"/>
              <w:spacing w:before="40" w:after="40" w:line="240" w:lineRule="auto"/>
              <w:rPr>
                <w:rFonts w:ascii="Times New Roman" w:hAnsi="Times New Roman" w:cs="Times New Roman"/>
                <w:b/>
                <w:bCs/>
                <w:sz w:val="20"/>
                <w:szCs w:val="20"/>
              </w:rPr>
            </w:pPr>
            <w:r w:rsidRPr="00EE7E38">
              <w:rPr>
                <w:rFonts w:ascii="Times New Roman" w:hAnsi="Times New Roman" w:cs="Times New Roman"/>
                <w:b/>
                <w:bCs/>
                <w:sz w:val="20"/>
                <w:szCs w:val="20"/>
              </w:rPr>
              <w:t>Sub-total, retreatment cases</w:t>
            </w:r>
          </w:p>
        </w:tc>
        <w:tc>
          <w:tcPr>
            <w:tcW w:w="410" w:type="pct"/>
          </w:tcPr>
          <w:p w14:paraId="1254F858"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1043</w:t>
            </w:r>
          </w:p>
        </w:tc>
        <w:tc>
          <w:tcPr>
            <w:tcW w:w="410" w:type="pct"/>
          </w:tcPr>
          <w:p w14:paraId="60C7F453"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989</w:t>
            </w:r>
          </w:p>
        </w:tc>
        <w:tc>
          <w:tcPr>
            <w:tcW w:w="410" w:type="pct"/>
          </w:tcPr>
          <w:p w14:paraId="71F5025E"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867</w:t>
            </w:r>
          </w:p>
        </w:tc>
        <w:tc>
          <w:tcPr>
            <w:tcW w:w="410" w:type="pct"/>
          </w:tcPr>
          <w:p w14:paraId="5F68D7C4"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822</w:t>
            </w:r>
          </w:p>
        </w:tc>
        <w:tc>
          <w:tcPr>
            <w:tcW w:w="410" w:type="pct"/>
          </w:tcPr>
          <w:p w14:paraId="542A71B6"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781</w:t>
            </w:r>
          </w:p>
        </w:tc>
        <w:tc>
          <w:tcPr>
            <w:tcW w:w="410" w:type="pct"/>
          </w:tcPr>
          <w:p w14:paraId="7B594874"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742</w:t>
            </w:r>
          </w:p>
        </w:tc>
        <w:tc>
          <w:tcPr>
            <w:tcW w:w="410" w:type="pct"/>
          </w:tcPr>
          <w:p w14:paraId="2B3D7537"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705</w:t>
            </w:r>
          </w:p>
        </w:tc>
        <w:tc>
          <w:tcPr>
            <w:tcW w:w="410" w:type="pct"/>
          </w:tcPr>
          <w:p w14:paraId="6FC6882F"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670</w:t>
            </w:r>
          </w:p>
        </w:tc>
        <w:tc>
          <w:tcPr>
            <w:tcW w:w="407" w:type="pct"/>
          </w:tcPr>
          <w:p w14:paraId="2E635EAC"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Cs/>
                <w:sz w:val="20"/>
                <w:szCs w:val="20"/>
              </w:rPr>
              <w:t>637</w:t>
            </w:r>
          </w:p>
        </w:tc>
      </w:tr>
      <w:tr w:rsidR="005253D0" w:rsidRPr="00EE7E38" w14:paraId="5B184D82" w14:textId="77777777" w:rsidTr="005253D0">
        <w:tc>
          <w:tcPr>
            <w:tcW w:w="1312" w:type="pct"/>
            <w:vAlign w:val="center"/>
          </w:tcPr>
          <w:p w14:paraId="1D5ABAB1" w14:textId="77777777" w:rsidR="005253D0" w:rsidRPr="00EE7E38" w:rsidRDefault="005253D0" w:rsidP="00BF785E">
            <w:pPr>
              <w:widowControl w:val="0"/>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rPr>
              <w:t>Total TB cases</w:t>
            </w:r>
          </w:p>
        </w:tc>
        <w:tc>
          <w:tcPr>
            <w:tcW w:w="410" w:type="pct"/>
          </w:tcPr>
          <w:p w14:paraId="3CB8CC3A"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lang w:val="ka-GE"/>
              </w:rPr>
              <w:t>3,850</w:t>
            </w:r>
          </w:p>
        </w:tc>
        <w:tc>
          <w:tcPr>
            <w:tcW w:w="410" w:type="pct"/>
          </w:tcPr>
          <w:p w14:paraId="187FA231"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lang w:val="ka-GE"/>
              </w:rPr>
              <w:t>3,611</w:t>
            </w:r>
          </w:p>
        </w:tc>
        <w:tc>
          <w:tcPr>
            <w:tcW w:w="410" w:type="pct"/>
          </w:tcPr>
          <w:p w14:paraId="737DF276"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lang w:val="ka-GE"/>
              </w:rPr>
              <w:t>3,332</w:t>
            </w:r>
          </w:p>
        </w:tc>
        <w:tc>
          <w:tcPr>
            <w:tcW w:w="410" w:type="pct"/>
          </w:tcPr>
          <w:p w14:paraId="41CB8FB4"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lang w:val="ka-GE"/>
              </w:rPr>
              <w:t>3,164</w:t>
            </w:r>
          </w:p>
        </w:tc>
        <w:tc>
          <w:tcPr>
            <w:tcW w:w="410" w:type="pct"/>
          </w:tcPr>
          <w:p w14:paraId="3954C987"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lang w:val="ka-GE"/>
              </w:rPr>
              <w:t>3,006</w:t>
            </w:r>
          </w:p>
        </w:tc>
        <w:tc>
          <w:tcPr>
            <w:tcW w:w="410" w:type="pct"/>
          </w:tcPr>
          <w:p w14:paraId="04C4116B"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rPr>
              <w:t>2,856</w:t>
            </w:r>
          </w:p>
        </w:tc>
        <w:tc>
          <w:tcPr>
            <w:tcW w:w="410" w:type="pct"/>
          </w:tcPr>
          <w:p w14:paraId="70DCF362"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rPr>
              <w:t>2,713</w:t>
            </w:r>
          </w:p>
        </w:tc>
        <w:tc>
          <w:tcPr>
            <w:tcW w:w="410" w:type="pct"/>
          </w:tcPr>
          <w:p w14:paraId="6771FBAC"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rPr>
              <w:t>2,577</w:t>
            </w:r>
          </w:p>
        </w:tc>
        <w:tc>
          <w:tcPr>
            <w:tcW w:w="407" w:type="pct"/>
          </w:tcPr>
          <w:p w14:paraId="1AD0E61B" w14:textId="77777777" w:rsidR="005253D0" w:rsidRPr="00EE7E38" w:rsidRDefault="005253D0" w:rsidP="00BF785E">
            <w:pPr>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bCs/>
                <w:sz w:val="20"/>
                <w:szCs w:val="20"/>
              </w:rPr>
              <w:t>2,448</w:t>
            </w:r>
          </w:p>
        </w:tc>
      </w:tr>
    </w:tbl>
    <w:p w14:paraId="4E625ACE" w14:textId="6608B8BF" w:rsidR="005A003D" w:rsidRPr="00EE7E38" w:rsidRDefault="004E5976" w:rsidP="00835F94">
      <w:pPr>
        <w:widowControl w:val="0"/>
        <w:spacing w:before="120" w:after="120" w:line="240" w:lineRule="auto"/>
        <w:jc w:val="both"/>
        <w:rPr>
          <w:rFonts w:ascii="Times New Roman" w:hAnsi="Times New Roman" w:cs="Times New Roman"/>
        </w:rPr>
      </w:pPr>
      <w:r>
        <w:rPr>
          <w:rFonts w:ascii="Times New Roman" w:hAnsi="Times New Roman" w:cs="Times New Roman"/>
        </w:rPr>
        <w:lastRenderedPageBreak/>
        <w:t>Table 5</w:t>
      </w:r>
      <w:r w:rsidR="003437A6" w:rsidRPr="00EE7E38">
        <w:rPr>
          <w:rFonts w:ascii="Times New Roman" w:hAnsi="Times New Roman" w:cs="Times New Roman"/>
        </w:rPr>
        <w:t xml:space="preserve"> </w:t>
      </w:r>
      <w:r w:rsidR="005A003D" w:rsidRPr="00EE7E38">
        <w:rPr>
          <w:rFonts w:ascii="Times New Roman" w:hAnsi="Times New Roman" w:cs="Times New Roman"/>
        </w:rPr>
        <w:t xml:space="preserve">presents the estimated countrywide </w:t>
      </w:r>
      <w:r>
        <w:rPr>
          <w:rFonts w:ascii="Times New Roman" w:hAnsi="Times New Roman" w:cs="Times New Roman"/>
        </w:rPr>
        <w:t>need for</w:t>
      </w:r>
      <w:r w:rsidR="005A003D" w:rsidRPr="00EE7E38">
        <w:rPr>
          <w:rFonts w:ascii="Times New Roman" w:hAnsi="Times New Roman" w:cs="Times New Roman"/>
        </w:rPr>
        <w:t xml:space="preserve"> TB treatment (including</w:t>
      </w:r>
      <w:r>
        <w:rPr>
          <w:rFonts w:ascii="Times New Roman" w:hAnsi="Times New Roman" w:cs="Times New Roman"/>
        </w:rPr>
        <w:t xml:space="preserve"> within the</w:t>
      </w:r>
      <w:r w:rsidR="00D43D9A">
        <w:rPr>
          <w:rFonts w:ascii="Times New Roman" w:hAnsi="Times New Roman" w:cs="Times New Roman"/>
        </w:rPr>
        <w:t xml:space="preserve"> </w:t>
      </w:r>
      <w:r w:rsidR="005A003D" w:rsidRPr="00EE7E38">
        <w:rPr>
          <w:rFonts w:ascii="Times New Roman" w:hAnsi="Times New Roman" w:cs="Times New Roman"/>
        </w:rPr>
        <w:t xml:space="preserve">penitentiary sector) by treatment category. This estimate </w:t>
      </w:r>
      <w:r>
        <w:rPr>
          <w:rFonts w:ascii="Times New Roman" w:hAnsi="Times New Roman" w:cs="Times New Roman"/>
        </w:rPr>
        <w:t>takes into account</w:t>
      </w:r>
      <w:r w:rsidR="005A003D" w:rsidRPr="00EE7E38">
        <w:rPr>
          <w:rFonts w:ascii="Times New Roman" w:hAnsi="Times New Roman" w:cs="Times New Roman"/>
        </w:rPr>
        <w:t xml:space="preserve"> the planned increase in coverage by rapid culturing and DST, the forecasted prevalence of drug resistance, as well as the target enrolment rates by category. </w:t>
      </w:r>
    </w:p>
    <w:p w14:paraId="2E425DDD" w14:textId="77777777" w:rsidR="004E1A47" w:rsidRPr="00EE7E38" w:rsidRDefault="004E1A47" w:rsidP="004E1A47">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00190629"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00190629" w:rsidRPr="00EE7E38">
        <w:rPr>
          <w:rFonts w:ascii="Times New Roman" w:hAnsi="Times New Roman" w:cs="Times New Roman"/>
        </w:rPr>
        <w:fldChar w:fldCharType="separate"/>
      </w:r>
      <w:r w:rsidR="00676B83" w:rsidRPr="00EE7E38">
        <w:rPr>
          <w:rFonts w:ascii="Times New Roman" w:hAnsi="Times New Roman" w:cs="Times New Roman"/>
          <w:noProof/>
        </w:rPr>
        <w:t>5</w:t>
      </w:r>
      <w:r w:rsidR="00190629" w:rsidRPr="00EE7E38">
        <w:rPr>
          <w:rFonts w:ascii="Times New Roman" w:hAnsi="Times New Roman" w:cs="Times New Roman"/>
        </w:rPr>
        <w:fldChar w:fldCharType="end"/>
      </w:r>
      <w:r w:rsidRPr="00EE7E38">
        <w:rPr>
          <w:rFonts w:ascii="Times New Roman" w:hAnsi="Times New Roman" w:cs="Times New Roman"/>
        </w:rPr>
        <w:t>.</w:t>
      </w:r>
      <w:proofErr w:type="gramEnd"/>
      <w:r w:rsidRPr="00EE7E38">
        <w:rPr>
          <w:rFonts w:ascii="Times New Roman" w:hAnsi="Times New Roman" w:cs="Times New Roman"/>
        </w:rPr>
        <w:t xml:space="preserve"> Estimated number of TB cases to be enrolled in treatment in Georgia by treatment category, 2019-2022 (Based on baseline-2016 data and epidemiologic trends)</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2"/>
        <w:gridCol w:w="1212"/>
        <w:gridCol w:w="1212"/>
        <w:gridCol w:w="1212"/>
        <w:gridCol w:w="1212"/>
        <w:gridCol w:w="1212"/>
        <w:gridCol w:w="1433"/>
      </w:tblGrid>
      <w:tr w:rsidR="005A003D" w:rsidRPr="00EE7E38" w14:paraId="5CD67B5E" w14:textId="77777777" w:rsidTr="004E1A47">
        <w:tc>
          <w:tcPr>
            <w:tcW w:w="1198" w:type="pct"/>
            <w:vAlign w:val="center"/>
          </w:tcPr>
          <w:p w14:paraId="4317B6A2" w14:textId="77777777" w:rsidR="005A003D" w:rsidRPr="00EE7E38" w:rsidRDefault="005A003D"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Treatment category</w:t>
            </w:r>
          </w:p>
        </w:tc>
        <w:tc>
          <w:tcPr>
            <w:tcW w:w="615" w:type="pct"/>
            <w:vAlign w:val="center"/>
          </w:tcPr>
          <w:p w14:paraId="7FC64C66" w14:textId="77777777" w:rsidR="005A003D" w:rsidRPr="00EE7E38" w:rsidRDefault="005A003D"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2016</w:t>
            </w:r>
            <w:r w:rsidR="004E1A47" w:rsidRPr="00EE7E38">
              <w:rPr>
                <w:rFonts w:ascii="Times New Roman" w:hAnsi="Times New Roman" w:cs="Times New Roman"/>
                <w:b/>
                <w:bCs/>
                <w:i/>
                <w:iCs/>
                <w:sz w:val="20"/>
                <w:szCs w:val="20"/>
              </w:rPr>
              <w:t>-Basilene</w:t>
            </w:r>
          </w:p>
        </w:tc>
        <w:tc>
          <w:tcPr>
            <w:tcW w:w="615" w:type="pct"/>
            <w:vAlign w:val="center"/>
          </w:tcPr>
          <w:p w14:paraId="756DE64E" w14:textId="77777777" w:rsidR="005A003D" w:rsidRPr="00EE7E38" w:rsidRDefault="005A003D"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201</w:t>
            </w:r>
            <w:r w:rsidR="004E1A47" w:rsidRPr="00EE7E38">
              <w:rPr>
                <w:rFonts w:ascii="Times New Roman" w:hAnsi="Times New Roman" w:cs="Times New Roman"/>
                <w:b/>
                <w:bCs/>
                <w:i/>
                <w:iCs/>
                <w:sz w:val="20"/>
                <w:szCs w:val="20"/>
              </w:rPr>
              <w:t>9</w:t>
            </w:r>
          </w:p>
        </w:tc>
        <w:tc>
          <w:tcPr>
            <w:tcW w:w="615" w:type="pct"/>
            <w:vAlign w:val="center"/>
          </w:tcPr>
          <w:p w14:paraId="142924EA" w14:textId="77777777" w:rsidR="005A003D" w:rsidRPr="00EE7E38" w:rsidRDefault="005A003D"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w:t>
            </w:r>
            <w:r w:rsidR="004E1A47" w:rsidRPr="00EE7E38">
              <w:rPr>
                <w:rFonts w:ascii="Times New Roman" w:hAnsi="Times New Roman" w:cs="Times New Roman"/>
                <w:b/>
                <w:bCs/>
                <w:i/>
                <w:iCs/>
                <w:sz w:val="20"/>
                <w:szCs w:val="20"/>
              </w:rPr>
              <w:t>20</w:t>
            </w:r>
          </w:p>
        </w:tc>
        <w:tc>
          <w:tcPr>
            <w:tcW w:w="615" w:type="pct"/>
            <w:vAlign w:val="center"/>
          </w:tcPr>
          <w:p w14:paraId="0979F21D" w14:textId="77777777" w:rsidR="005A003D" w:rsidRPr="00EE7E38" w:rsidRDefault="005A003D"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w:t>
            </w:r>
            <w:r w:rsidR="004E1A47" w:rsidRPr="00EE7E38">
              <w:rPr>
                <w:rFonts w:ascii="Times New Roman" w:hAnsi="Times New Roman" w:cs="Times New Roman"/>
                <w:b/>
                <w:bCs/>
                <w:i/>
                <w:iCs/>
                <w:sz w:val="20"/>
                <w:szCs w:val="20"/>
              </w:rPr>
              <w:t>2</w:t>
            </w:r>
            <w:r w:rsidRPr="00EE7E38">
              <w:rPr>
                <w:rFonts w:ascii="Times New Roman" w:hAnsi="Times New Roman" w:cs="Times New Roman"/>
                <w:b/>
                <w:bCs/>
                <w:i/>
                <w:iCs/>
                <w:sz w:val="20"/>
                <w:szCs w:val="20"/>
              </w:rPr>
              <w:t>1</w:t>
            </w:r>
          </w:p>
        </w:tc>
        <w:tc>
          <w:tcPr>
            <w:tcW w:w="615" w:type="pct"/>
            <w:vAlign w:val="center"/>
          </w:tcPr>
          <w:p w14:paraId="2649F27E" w14:textId="77777777" w:rsidR="005A003D" w:rsidRPr="00EE7E38" w:rsidRDefault="005A003D"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202</w:t>
            </w:r>
            <w:r w:rsidR="004E1A47" w:rsidRPr="00EE7E38">
              <w:rPr>
                <w:rFonts w:ascii="Times New Roman" w:hAnsi="Times New Roman" w:cs="Times New Roman"/>
                <w:b/>
                <w:bCs/>
                <w:i/>
                <w:iCs/>
                <w:sz w:val="20"/>
                <w:szCs w:val="20"/>
              </w:rPr>
              <w:t>2</w:t>
            </w:r>
          </w:p>
        </w:tc>
        <w:tc>
          <w:tcPr>
            <w:tcW w:w="727" w:type="pct"/>
            <w:vAlign w:val="center"/>
          </w:tcPr>
          <w:p w14:paraId="7DE888D6" w14:textId="77777777" w:rsidR="005A003D" w:rsidRPr="00EE7E38" w:rsidRDefault="005A003D" w:rsidP="004E1A47">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Total</w:t>
            </w:r>
          </w:p>
        </w:tc>
      </w:tr>
      <w:tr w:rsidR="004E1A47" w:rsidRPr="00EE7E38" w14:paraId="6698E4FE" w14:textId="77777777" w:rsidTr="004E1A47">
        <w:tc>
          <w:tcPr>
            <w:tcW w:w="1198" w:type="pct"/>
          </w:tcPr>
          <w:p w14:paraId="2B47A848" w14:textId="77777777" w:rsidR="004E1A47" w:rsidRPr="00EE7E38" w:rsidRDefault="004E1A4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First-line treatment</w:t>
            </w:r>
          </w:p>
        </w:tc>
        <w:tc>
          <w:tcPr>
            <w:tcW w:w="615" w:type="pct"/>
          </w:tcPr>
          <w:p w14:paraId="770F918B"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lang w:val="ka-GE"/>
              </w:rPr>
              <w:t>2,770</w:t>
            </w:r>
          </w:p>
        </w:tc>
        <w:tc>
          <w:tcPr>
            <w:tcW w:w="615" w:type="pct"/>
          </w:tcPr>
          <w:p w14:paraId="2B4F74F6"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lang w:val="ka-GE"/>
              </w:rPr>
              <w:t>2,3</w:t>
            </w:r>
            <w:r w:rsidRPr="00EE7E38">
              <w:rPr>
                <w:rFonts w:ascii="Times New Roman" w:hAnsi="Times New Roman" w:cs="Times New Roman"/>
                <w:b/>
                <w:bCs/>
                <w:szCs w:val="20"/>
              </w:rPr>
              <w:t>60</w:t>
            </w:r>
          </w:p>
        </w:tc>
        <w:tc>
          <w:tcPr>
            <w:tcW w:w="615" w:type="pct"/>
          </w:tcPr>
          <w:p w14:paraId="2246D7C3"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2,239</w:t>
            </w:r>
          </w:p>
        </w:tc>
        <w:tc>
          <w:tcPr>
            <w:tcW w:w="615" w:type="pct"/>
          </w:tcPr>
          <w:p w14:paraId="12D017E1"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2,124</w:t>
            </w:r>
          </w:p>
        </w:tc>
        <w:tc>
          <w:tcPr>
            <w:tcW w:w="615" w:type="pct"/>
          </w:tcPr>
          <w:p w14:paraId="5430C384"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2,013</w:t>
            </w:r>
          </w:p>
        </w:tc>
        <w:tc>
          <w:tcPr>
            <w:tcW w:w="727" w:type="pct"/>
          </w:tcPr>
          <w:p w14:paraId="6DC9824E"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szCs w:val="20"/>
              </w:rPr>
              <w:t>8,736</w:t>
            </w:r>
          </w:p>
        </w:tc>
      </w:tr>
      <w:tr w:rsidR="004E1A47" w:rsidRPr="00EE7E38" w14:paraId="7A49F52B" w14:textId="77777777" w:rsidTr="004E1A47">
        <w:tc>
          <w:tcPr>
            <w:tcW w:w="1198" w:type="pct"/>
          </w:tcPr>
          <w:p w14:paraId="1295CB74" w14:textId="77777777" w:rsidR="004E1A47" w:rsidRPr="00EE7E38" w:rsidRDefault="004E1A4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PDR-TB treatment</w:t>
            </w:r>
          </w:p>
        </w:tc>
        <w:tc>
          <w:tcPr>
            <w:tcW w:w="615" w:type="pct"/>
          </w:tcPr>
          <w:p w14:paraId="17AAD931"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131</w:t>
            </w:r>
          </w:p>
        </w:tc>
        <w:tc>
          <w:tcPr>
            <w:tcW w:w="615" w:type="pct"/>
          </w:tcPr>
          <w:p w14:paraId="105ADB2F"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96</w:t>
            </w:r>
          </w:p>
        </w:tc>
        <w:tc>
          <w:tcPr>
            <w:tcW w:w="615" w:type="pct"/>
          </w:tcPr>
          <w:p w14:paraId="08975E43"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84</w:t>
            </w:r>
          </w:p>
        </w:tc>
        <w:tc>
          <w:tcPr>
            <w:tcW w:w="615" w:type="pct"/>
          </w:tcPr>
          <w:p w14:paraId="3207EF0E"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78</w:t>
            </w:r>
          </w:p>
        </w:tc>
        <w:tc>
          <w:tcPr>
            <w:tcW w:w="615" w:type="pct"/>
          </w:tcPr>
          <w:p w14:paraId="756AC732"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72</w:t>
            </w:r>
          </w:p>
        </w:tc>
        <w:tc>
          <w:tcPr>
            <w:tcW w:w="727" w:type="pct"/>
          </w:tcPr>
          <w:p w14:paraId="1C68C493"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szCs w:val="20"/>
              </w:rPr>
              <w:t>330</w:t>
            </w:r>
          </w:p>
        </w:tc>
      </w:tr>
      <w:tr w:rsidR="004E1A47" w:rsidRPr="00EE7E38" w14:paraId="0A1083CB" w14:textId="77777777" w:rsidTr="004E1A47">
        <w:tc>
          <w:tcPr>
            <w:tcW w:w="1198" w:type="pct"/>
          </w:tcPr>
          <w:p w14:paraId="024F748D" w14:textId="77777777" w:rsidR="004E1A47" w:rsidRPr="00EE7E38" w:rsidRDefault="004E1A4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MDR-TB treatment, total</w:t>
            </w:r>
          </w:p>
        </w:tc>
        <w:tc>
          <w:tcPr>
            <w:tcW w:w="615" w:type="pct"/>
          </w:tcPr>
          <w:p w14:paraId="3D36F780"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423</w:t>
            </w:r>
          </w:p>
        </w:tc>
        <w:tc>
          <w:tcPr>
            <w:tcW w:w="615" w:type="pct"/>
          </w:tcPr>
          <w:p w14:paraId="00C1BEC6"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390</w:t>
            </w:r>
          </w:p>
        </w:tc>
        <w:tc>
          <w:tcPr>
            <w:tcW w:w="615" w:type="pct"/>
          </w:tcPr>
          <w:p w14:paraId="23C0712C"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380</w:t>
            </w:r>
          </w:p>
        </w:tc>
        <w:tc>
          <w:tcPr>
            <w:tcW w:w="615" w:type="pct"/>
          </w:tcPr>
          <w:p w14:paraId="28C26427"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367</w:t>
            </w:r>
          </w:p>
        </w:tc>
        <w:tc>
          <w:tcPr>
            <w:tcW w:w="615" w:type="pct"/>
          </w:tcPr>
          <w:p w14:paraId="4488EFDE"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355</w:t>
            </w:r>
          </w:p>
        </w:tc>
        <w:tc>
          <w:tcPr>
            <w:tcW w:w="727" w:type="pct"/>
          </w:tcPr>
          <w:p w14:paraId="5466E29D"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szCs w:val="20"/>
              </w:rPr>
              <w:t>1,138</w:t>
            </w:r>
          </w:p>
        </w:tc>
      </w:tr>
      <w:tr w:rsidR="004E1A47" w:rsidRPr="00EE7E38" w14:paraId="5523DD3D" w14:textId="77777777" w:rsidTr="004E1A47">
        <w:tc>
          <w:tcPr>
            <w:tcW w:w="1198" w:type="pct"/>
          </w:tcPr>
          <w:p w14:paraId="369CC5A8" w14:textId="77777777" w:rsidR="004E1A47" w:rsidRPr="00EE7E38" w:rsidRDefault="004E1A47">
            <w:pPr>
              <w:pStyle w:val="ListParagraph"/>
              <w:widowControl w:val="0"/>
              <w:numPr>
                <w:ilvl w:val="0"/>
                <w:numId w:val="14"/>
              </w:numPr>
              <w:spacing w:before="40" w:after="40" w:line="240" w:lineRule="auto"/>
              <w:ind w:left="424" w:hanging="284"/>
              <w:rPr>
                <w:rFonts w:ascii="Times New Roman" w:hAnsi="Times New Roman" w:cs="Times New Roman"/>
                <w:i/>
                <w:sz w:val="20"/>
                <w:szCs w:val="20"/>
              </w:rPr>
            </w:pPr>
            <w:r w:rsidRPr="00EE7E38">
              <w:rPr>
                <w:rFonts w:ascii="Times New Roman" w:hAnsi="Times New Roman" w:cs="Times New Roman"/>
                <w:i/>
                <w:sz w:val="20"/>
                <w:szCs w:val="20"/>
              </w:rPr>
              <w:t>MDR-TB without resistance to SLDs</w:t>
            </w:r>
          </w:p>
        </w:tc>
        <w:tc>
          <w:tcPr>
            <w:tcW w:w="615" w:type="pct"/>
          </w:tcPr>
          <w:p w14:paraId="37579FBD"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293</w:t>
            </w:r>
          </w:p>
        </w:tc>
        <w:tc>
          <w:tcPr>
            <w:tcW w:w="615" w:type="pct"/>
          </w:tcPr>
          <w:p w14:paraId="3797EA1B"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262</w:t>
            </w:r>
          </w:p>
        </w:tc>
        <w:tc>
          <w:tcPr>
            <w:tcW w:w="615" w:type="pct"/>
          </w:tcPr>
          <w:p w14:paraId="59FCDC7B"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253</w:t>
            </w:r>
          </w:p>
        </w:tc>
        <w:tc>
          <w:tcPr>
            <w:tcW w:w="615" w:type="pct"/>
          </w:tcPr>
          <w:p w14:paraId="54A3503F"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245</w:t>
            </w:r>
          </w:p>
        </w:tc>
        <w:tc>
          <w:tcPr>
            <w:tcW w:w="615" w:type="pct"/>
          </w:tcPr>
          <w:p w14:paraId="184A5A81"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238</w:t>
            </w:r>
          </w:p>
        </w:tc>
        <w:tc>
          <w:tcPr>
            <w:tcW w:w="727" w:type="pct"/>
          </w:tcPr>
          <w:p w14:paraId="777EC3A1" w14:textId="77777777" w:rsidR="004E1A47" w:rsidRPr="00EE7E38" w:rsidRDefault="004E1A47" w:rsidP="004E1A47">
            <w:pPr>
              <w:widowControl w:val="0"/>
              <w:spacing w:before="40" w:after="40" w:line="240" w:lineRule="auto"/>
              <w:jc w:val="center"/>
              <w:rPr>
                <w:rFonts w:ascii="Times New Roman" w:hAnsi="Times New Roman" w:cs="Times New Roman"/>
                <w:b/>
                <w:i/>
                <w:sz w:val="20"/>
                <w:szCs w:val="20"/>
              </w:rPr>
            </w:pPr>
            <w:r w:rsidRPr="00EE7E38">
              <w:rPr>
                <w:rFonts w:ascii="Times New Roman" w:hAnsi="Times New Roman" w:cs="Times New Roman"/>
                <w:b/>
                <w:szCs w:val="20"/>
              </w:rPr>
              <w:t>998</w:t>
            </w:r>
          </w:p>
        </w:tc>
      </w:tr>
      <w:tr w:rsidR="004E1A47" w:rsidRPr="00EE7E38" w14:paraId="62D73552" w14:textId="77777777" w:rsidTr="004E1A47">
        <w:tc>
          <w:tcPr>
            <w:tcW w:w="1198" w:type="pct"/>
          </w:tcPr>
          <w:p w14:paraId="5BEB60C6" w14:textId="77777777" w:rsidR="004E1A47" w:rsidRPr="00EE7E38" w:rsidRDefault="004E1A47">
            <w:pPr>
              <w:pStyle w:val="ListParagraph"/>
              <w:widowControl w:val="0"/>
              <w:numPr>
                <w:ilvl w:val="0"/>
                <w:numId w:val="14"/>
              </w:numPr>
              <w:spacing w:before="40" w:after="40" w:line="240" w:lineRule="auto"/>
              <w:ind w:left="424" w:hanging="284"/>
              <w:rPr>
                <w:rFonts w:ascii="Times New Roman" w:hAnsi="Times New Roman" w:cs="Times New Roman"/>
                <w:i/>
                <w:sz w:val="20"/>
                <w:szCs w:val="20"/>
              </w:rPr>
            </w:pPr>
            <w:r w:rsidRPr="00EE7E38">
              <w:rPr>
                <w:rFonts w:ascii="Times New Roman" w:hAnsi="Times New Roman" w:cs="Times New Roman"/>
                <w:i/>
                <w:sz w:val="20"/>
                <w:szCs w:val="20"/>
              </w:rPr>
              <w:t>MDR-TB, 'pre-XDR'</w:t>
            </w:r>
          </w:p>
        </w:tc>
        <w:tc>
          <w:tcPr>
            <w:tcW w:w="615" w:type="pct"/>
          </w:tcPr>
          <w:p w14:paraId="6FEC702E"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103</w:t>
            </w:r>
          </w:p>
        </w:tc>
        <w:tc>
          <w:tcPr>
            <w:tcW w:w="615" w:type="pct"/>
          </w:tcPr>
          <w:p w14:paraId="5C989643"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100</w:t>
            </w:r>
          </w:p>
        </w:tc>
        <w:tc>
          <w:tcPr>
            <w:tcW w:w="615" w:type="pct"/>
          </w:tcPr>
          <w:p w14:paraId="64C9646D"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99</w:t>
            </w:r>
          </w:p>
        </w:tc>
        <w:tc>
          <w:tcPr>
            <w:tcW w:w="615" w:type="pct"/>
          </w:tcPr>
          <w:p w14:paraId="1D1E8C81"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95</w:t>
            </w:r>
          </w:p>
        </w:tc>
        <w:tc>
          <w:tcPr>
            <w:tcW w:w="615" w:type="pct"/>
          </w:tcPr>
          <w:p w14:paraId="380101B6"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91</w:t>
            </w:r>
          </w:p>
        </w:tc>
        <w:tc>
          <w:tcPr>
            <w:tcW w:w="727" w:type="pct"/>
          </w:tcPr>
          <w:p w14:paraId="19AB7C96" w14:textId="77777777" w:rsidR="004E1A47" w:rsidRPr="00EE7E38" w:rsidRDefault="004E1A47" w:rsidP="004E1A47">
            <w:pPr>
              <w:widowControl w:val="0"/>
              <w:spacing w:before="40" w:after="40" w:line="240" w:lineRule="auto"/>
              <w:jc w:val="center"/>
              <w:rPr>
                <w:rFonts w:ascii="Times New Roman" w:hAnsi="Times New Roman" w:cs="Times New Roman"/>
                <w:b/>
                <w:i/>
                <w:sz w:val="20"/>
                <w:szCs w:val="20"/>
              </w:rPr>
            </w:pPr>
            <w:r w:rsidRPr="00EE7E38">
              <w:rPr>
                <w:rFonts w:ascii="Times New Roman" w:hAnsi="Times New Roman" w:cs="Times New Roman"/>
                <w:b/>
                <w:szCs w:val="20"/>
              </w:rPr>
              <w:t>385</w:t>
            </w:r>
          </w:p>
        </w:tc>
      </w:tr>
      <w:tr w:rsidR="004E1A47" w:rsidRPr="00EE7E38" w14:paraId="416E14D6" w14:textId="77777777" w:rsidTr="004E1A47">
        <w:tc>
          <w:tcPr>
            <w:tcW w:w="1198" w:type="pct"/>
          </w:tcPr>
          <w:p w14:paraId="752578C8" w14:textId="77777777" w:rsidR="004E1A47" w:rsidRPr="00EE7E38" w:rsidRDefault="004E1A47">
            <w:pPr>
              <w:pStyle w:val="ListParagraph"/>
              <w:widowControl w:val="0"/>
              <w:numPr>
                <w:ilvl w:val="0"/>
                <w:numId w:val="14"/>
              </w:numPr>
              <w:spacing w:before="40" w:after="40" w:line="240" w:lineRule="auto"/>
              <w:ind w:left="424" w:hanging="284"/>
              <w:rPr>
                <w:rFonts w:ascii="Times New Roman" w:hAnsi="Times New Roman" w:cs="Times New Roman"/>
                <w:i/>
                <w:sz w:val="20"/>
                <w:szCs w:val="20"/>
              </w:rPr>
            </w:pPr>
            <w:r w:rsidRPr="00EE7E38">
              <w:rPr>
                <w:rFonts w:ascii="Times New Roman" w:hAnsi="Times New Roman" w:cs="Times New Roman"/>
                <w:i/>
                <w:sz w:val="20"/>
                <w:szCs w:val="20"/>
              </w:rPr>
              <w:t>MDR-TB, XDR</w:t>
            </w:r>
          </w:p>
        </w:tc>
        <w:tc>
          <w:tcPr>
            <w:tcW w:w="615" w:type="pct"/>
          </w:tcPr>
          <w:p w14:paraId="3997835F"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27</w:t>
            </w:r>
          </w:p>
        </w:tc>
        <w:tc>
          <w:tcPr>
            <w:tcW w:w="615" w:type="pct"/>
          </w:tcPr>
          <w:p w14:paraId="0497B0F4"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28</w:t>
            </w:r>
          </w:p>
        </w:tc>
        <w:tc>
          <w:tcPr>
            <w:tcW w:w="615" w:type="pct"/>
          </w:tcPr>
          <w:p w14:paraId="4A6C2129"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28</w:t>
            </w:r>
          </w:p>
        </w:tc>
        <w:tc>
          <w:tcPr>
            <w:tcW w:w="615" w:type="pct"/>
          </w:tcPr>
          <w:p w14:paraId="3140F54A"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27</w:t>
            </w:r>
          </w:p>
        </w:tc>
        <w:tc>
          <w:tcPr>
            <w:tcW w:w="615" w:type="pct"/>
          </w:tcPr>
          <w:p w14:paraId="240EF818" w14:textId="77777777" w:rsidR="004E1A47" w:rsidRPr="00EE7E38" w:rsidRDefault="004E1A47" w:rsidP="004E1A47">
            <w:pPr>
              <w:widowControl w:val="0"/>
              <w:spacing w:before="40" w:after="40" w:line="240" w:lineRule="auto"/>
              <w:jc w:val="center"/>
              <w:rPr>
                <w:rFonts w:ascii="Times New Roman" w:hAnsi="Times New Roman" w:cs="Times New Roman"/>
                <w:i/>
                <w:sz w:val="20"/>
                <w:szCs w:val="20"/>
              </w:rPr>
            </w:pPr>
            <w:r w:rsidRPr="00EE7E38">
              <w:rPr>
                <w:rFonts w:ascii="Times New Roman" w:hAnsi="Times New Roman" w:cs="Times New Roman"/>
                <w:b/>
                <w:bCs/>
                <w:szCs w:val="20"/>
              </w:rPr>
              <w:t>26</w:t>
            </w:r>
          </w:p>
        </w:tc>
        <w:tc>
          <w:tcPr>
            <w:tcW w:w="727" w:type="pct"/>
          </w:tcPr>
          <w:p w14:paraId="6D506CE2" w14:textId="77777777" w:rsidR="004E1A47" w:rsidRPr="00EE7E38" w:rsidRDefault="004E1A47" w:rsidP="004E1A47">
            <w:pPr>
              <w:widowControl w:val="0"/>
              <w:spacing w:before="40" w:after="40" w:line="240" w:lineRule="auto"/>
              <w:jc w:val="center"/>
              <w:rPr>
                <w:rFonts w:ascii="Times New Roman" w:hAnsi="Times New Roman" w:cs="Times New Roman"/>
                <w:b/>
                <w:i/>
                <w:sz w:val="20"/>
                <w:szCs w:val="20"/>
              </w:rPr>
            </w:pPr>
            <w:r w:rsidRPr="00EE7E38">
              <w:rPr>
                <w:rFonts w:ascii="Times New Roman" w:hAnsi="Times New Roman" w:cs="Times New Roman"/>
                <w:b/>
                <w:szCs w:val="20"/>
              </w:rPr>
              <w:t>109</w:t>
            </w:r>
          </w:p>
        </w:tc>
      </w:tr>
      <w:tr w:rsidR="004E1A47" w:rsidRPr="00EE7E38" w14:paraId="353AF216" w14:textId="77777777" w:rsidTr="004E1A47">
        <w:tc>
          <w:tcPr>
            <w:tcW w:w="1198" w:type="pct"/>
          </w:tcPr>
          <w:p w14:paraId="37221D99" w14:textId="77777777" w:rsidR="004E1A47" w:rsidRPr="00EE7E38" w:rsidRDefault="004E1A4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Other treatment and palliative care</w:t>
            </w:r>
          </w:p>
        </w:tc>
        <w:tc>
          <w:tcPr>
            <w:tcW w:w="615" w:type="pct"/>
          </w:tcPr>
          <w:p w14:paraId="32D657D7"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8</w:t>
            </w:r>
          </w:p>
        </w:tc>
        <w:tc>
          <w:tcPr>
            <w:tcW w:w="615" w:type="pct"/>
          </w:tcPr>
          <w:p w14:paraId="63F4A41A"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10</w:t>
            </w:r>
          </w:p>
        </w:tc>
        <w:tc>
          <w:tcPr>
            <w:tcW w:w="615" w:type="pct"/>
          </w:tcPr>
          <w:p w14:paraId="3B4860D9"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10</w:t>
            </w:r>
          </w:p>
        </w:tc>
        <w:tc>
          <w:tcPr>
            <w:tcW w:w="615" w:type="pct"/>
          </w:tcPr>
          <w:p w14:paraId="62B831C8"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8</w:t>
            </w:r>
          </w:p>
        </w:tc>
        <w:tc>
          <w:tcPr>
            <w:tcW w:w="615" w:type="pct"/>
          </w:tcPr>
          <w:p w14:paraId="4F5AB466" w14:textId="77777777" w:rsidR="004E1A47" w:rsidRPr="00EE7E38" w:rsidRDefault="004E1A47" w:rsidP="004E1A47">
            <w:pPr>
              <w:widowControl w:val="0"/>
              <w:spacing w:before="40" w:after="40" w:line="240" w:lineRule="auto"/>
              <w:jc w:val="center"/>
              <w:rPr>
                <w:rFonts w:ascii="Times New Roman" w:hAnsi="Times New Roman" w:cs="Times New Roman"/>
                <w:sz w:val="20"/>
                <w:szCs w:val="20"/>
              </w:rPr>
            </w:pPr>
            <w:r w:rsidRPr="00EE7E38">
              <w:rPr>
                <w:rFonts w:ascii="Times New Roman" w:hAnsi="Times New Roman" w:cs="Times New Roman"/>
                <w:b/>
                <w:bCs/>
                <w:szCs w:val="20"/>
              </w:rPr>
              <w:t>8</w:t>
            </w:r>
          </w:p>
        </w:tc>
        <w:tc>
          <w:tcPr>
            <w:tcW w:w="727" w:type="pct"/>
          </w:tcPr>
          <w:p w14:paraId="65C798BA"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szCs w:val="20"/>
              </w:rPr>
              <w:t>36</w:t>
            </w:r>
          </w:p>
        </w:tc>
      </w:tr>
      <w:tr w:rsidR="004E1A47" w:rsidRPr="00EE7E38" w14:paraId="239243A4" w14:textId="77777777" w:rsidTr="004E1A47">
        <w:tc>
          <w:tcPr>
            <w:tcW w:w="1198" w:type="pct"/>
          </w:tcPr>
          <w:p w14:paraId="3165F9A7" w14:textId="77777777" w:rsidR="004E1A47" w:rsidRPr="00EE7E38" w:rsidRDefault="004E1A47" w:rsidP="00835F94">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sz w:val="20"/>
                <w:szCs w:val="20"/>
              </w:rPr>
              <w:t>Total TB cases</w:t>
            </w:r>
          </w:p>
        </w:tc>
        <w:tc>
          <w:tcPr>
            <w:tcW w:w="615" w:type="pct"/>
          </w:tcPr>
          <w:p w14:paraId="30275655"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bCs/>
                <w:szCs w:val="20"/>
              </w:rPr>
              <w:t>3,332</w:t>
            </w:r>
          </w:p>
        </w:tc>
        <w:tc>
          <w:tcPr>
            <w:tcW w:w="615" w:type="pct"/>
          </w:tcPr>
          <w:p w14:paraId="7027CC79"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bCs/>
                <w:szCs w:val="20"/>
              </w:rPr>
              <w:t>2,856</w:t>
            </w:r>
          </w:p>
        </w:tc>
        <w:tc>
          <w:tcPr>
            <w:tcW w:w="615" w:type="pct"/>
          </w:tcPr>
          <w:p w14:paraId="41DC36BE"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bCs/>
                <w:szCs w:val="20"/>
              </w:rPr>
              <w:t>2,713</w:t>
            </w:r>
          </w:p>
        </w:tc>
        <w:tc>
          <w:tcPr>
            <w:tcW w:w="615" w:type="pct"/>
          </w:tcPr>
          <w:p w14:paraId="382CE95F"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bCs/>
                <w:szCs w:val="20"/>
              </w:rPr>
              <w:t>2,577</w:t>
            </w:r>
          </w:p>
        </w:tc>
        <w:tc>
          <w:tcPr>
            <w:tcW w:w="615" w:type="pct"/>
          </w:tcPr>
          <w:p w14:paraId="2E01ACE4" w14:textId="77777777" w:rsidR="004E1A47" w:rsidRPr="00EE7E38" w:rsidRDefault="004E1A47" w:rsidP="004E1A47">
            <w:pPr>
              <w:widowControl w:val="0"/>
              <w:spacing w:before="40" w:after="40" w:line="240" w:lineRule="auto"/>
              <w:jc w:val="center"/>
              <w:rPr>
                <w:rFonts w:ascii="Times New Roman" w:hAnsi="Times New Roman" w:cs="Times New Roman"/>
                <w:b/>
                <w:sz w:val="20"/>
                <w:szCs w:val="20"/>
              </w:rPr>
            </w:pPr>
            <w:r w:rsidRPr="00EE7E38">
              <w:rPr>
                <w:rFonts w:ascii="Times New Roman" w:hAnsi="Times New Roman" w:cs="Times New Roman"/>
                <w:b/>
                <w:bCs/>
                <w:szCs w:val="20"/>
              </w:rPr>
              <w:t>2,448</w:t>
            </w:r>
          </w:p>
        </w:tc>
        <w:tc>
          <w:tcPr>
            <w:tcW w:w="727" w:type="pct"/>
          </w:tcPr>
          <w:p w14:paraId="11527655" w14:textId="77777777" w:rsidR="004E1A47" w:rsidRPr="00EE7E38" w:rsidRDefault="004E1A47" w:rsidP="004E1A47">
            <w:pPr>
              <w:widowControl w:val="0"/>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b/>
                <w:szCs w:val="20"/>
              </w:rPr>
              <w:t>10,594</w:t>
            </w:r>
          </w:p>
        </w:tc>
      </w:tr>
    </w:tbl>
    <w:p w14:paraId="3D39BD39" w14:textId="77777777" w:rsidR="005A003D" w:rsidRPr="00EE7E38" w:rsidRDefault="00DE1A99"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Over the next four years </w:t>
      </w:r>
      <w:r w:rsidR="003918E6" w:rsidRPr="00EE7E38">
        <w:rPr>
          <w:rFonts w:ascii="Times New Roman" w:hAnsi="Times New Roman" w:cs="Times New Roman"/>
        </w:rPr>
        <w:t>(</w:t>
      </w:r>
      <w:r w:rsidR="005A003D" w:rsidRPr="00EE7E38">
        <w:rPr>
          <w:rFonts w:ascii="Times New Roman" w:hAnsi="Times New Roman" w:cs="Times New Roman"/>
        </w:rPr>
        <w:t>201</w:t>
      </w:r>
      <w:r w:rsidR="003437A6" w:rsidRPr="00EE7E38">
        <w:rPr>
          <w:rFonts w:ascii="Times New Roman" w:hAnsi="Times New Roman" w:cs="Times New Roman"/>
        </w:rPr>
        <w:t>9</w:t>
      </w:r>
      <w:r w:rsidR="005A003D" w:rsidRPr="00EE7E38">
        <w:rPr>
          <w:rFonts w:ascii="Times New Roman" w:hAnsi="Times New Roman" w:cs="Times New Roman"/>
        </w:rPr>
        <w:t>-202</w:t>
      </w:r>
      <w:r w:rsidR="003437A6" w:rsidRPr="00EE7E38">
        <w:rPr>
          <w:rFonts w:ascii="Times New Roman" w:hAnsi="Times New Roman" w:cs="Times New Roman"/>
        </w:rPr>
        <w:t>2</w:t>
      </w:r>
      <w:r w:rsidR="003918E6" w:rsidRPr="00EE7E38">
        <w:rPr>
          <w:rFonts w:ascii="Times New Roman" w:hAnsi="Times New Roman" w:cs="Times New Roman"/>
        </w:rPr>
        <w:t>)</w:t>
      </w:r>
      <w:r w:rsidR="005A003D" w:rsidRPr="00EE7E38">
        <w:rPr>
          <w:rFonts w:ascii="Times New Roman" w:hAnsi="Times New Roman" w:cs="Times New Roman"/>
        </w:rPr>
        <w:t xml:space="preserve">, </w:t>
      </w:r>
      <w:r w:rsidR="003918E6" w:rsidRPr="00EE7E38">
        <w:rPr>
          <w:rFonts w:ascii="Times New Roman" w:hAnsi="Times New Roman" w:cs="Times New Roman"/>
        </w:rPr>
        <w:t xml:space="preserve">total </w:t>
      </w:r>
      <w:r w:rsidRPr="00EE7E38">
        <w:rPr>
          <w:rFonts w:ascii="Times New Roman" w:hAnsi="Times New Roman" w:cs="Times New Roman"/>
        </w:rPr>
        <w:t xml:space="preserve">of </w:t>
      </w:r>
      <w:r w:rsidR="005A003D" w:rsidRPr="00EE7E38">
        <w:rPr>
          <w:rFonts w:ascii="Times New Roman" w:hAnsi="Times New Roman" w:cs="Times New Roman"/>
        </w:rPr>
        <w:t>1</w:t>
      </w:r>
      <w:r w:rsidR="003437A6" w:rsidRPr="00EE7E38">
        <w:rPr>
          <w:rFonts w:ascii="Times New Roman" w:hAnsi="Times New Roman" w:cs="Times New Roman"/>
        </w:rPr>
        <w:t>0</w:t>
      </w:r>
      <w:r w:rsidR="005A003D" w:rsidRPr="00EE7E38">
        <w:rPr>
          <w:rFonts w:ascii="Times New Roman" w:hAnsi="Times New Roman" w:cs="Times New Roman"/>
        </w:rPr>
        <w:t>,</w:t>
      </w:r>
      <w:r w:rsidR="003437A6" w:rsidRPr="00EE7E38">
        <w:rPr>
          <w:rFonts w:ascii="Times New Roman" w:hAnsi="Times New Roman" w:cs="Times New Roman"/>
        </w:rPr>
        <w:t>594</w:t>
      </w:r>
      <w:r w:rsidR="005A003D" w:rsidRPr="00EE7E38">
        <w:rPr>
          <w:rFonts w:ascii="Times New Roman" w:hAnsi="Times New Roman" w:cs="Times New Roman"/>
        </w:rPr>
        <w:t xml:space="preserve"> TB cases, all forms, will need anti-TB treatment in Georgia. Out of these, about </w:t>
      </w:r>
      <w:r w:rsidR="003918E6" w:rsidRPr="00EE7E38">
        <w:rPr>
          <w:rFonts w:ascii="Times New Roman" w:hAnsi="Times New Roman" w:cs="Times New Roman"/>
        </w:rPr>
        <w:t>1</w:t>
      </w:r>
      <w:r w:rsidR="005A003D" w:rsidRPr="00EE7E38">
        <w:rPr>
          <w:rFonts w:ascii="Times New Roman" w:hAnsi="Times New Roman" w:cs="Times New Roman"/>
        </w:rPr>
        <w:t>,</w:t>
      </w:r>
      <w:r w:rsidR="003918E6" w:rsidRPr="00EE7E38">
        <w:rPr>
          <w:rFonts w:ascii="Times New Roman" w:hAnsi="Times New Roman" w:cs="Times New Roman"/>
        </w:rPr>
        <w:t>138</w:t>
      </w:r>
      <w:r w:rsidR="005A003D" w:rsidRPr="00EE7E38">
        <w:rPr>
          <w:rFonts w:ascii="Times New Roman" w:hAnsi="Times New Roman" w:cs="Times New Roman"/>
        </w:rPr>
        <w:t xml:space="preserve"> cases are expected to have advanced drug resistance (M/XDR-TB) and will thus require second-line and third-line TB drugs. </w:t>
      </w:r>
    </w:p>
    <w:p w14:paraId="6B1D1AF5" w14:textId="42863B95"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To ensure universal access to TB treatment in the country, the Plan aims at securing </w:t>
      </w:r>
      <w:r w:rsidR="004E5976">
        <w:rPr>
          <w:rFonts w:ascii="Times New Roman" w:hAnsi="Times New Roman" w:cs="Times New Roman"/>
        </w:rPr>
        <w:t xml:space="preserve">an </w:t>
      </w:r>
      <w:r w:rsidRPr="00EE7E38">
        <w:rPr>
          <w:rFonts w:ascii="Times New Roman" w:hAnsi="Times New Roman" w:cs="Times New Roman"/>
        </w:rPr>
        <w:t>uninterrupted supply of all drugs, which are necessary to manage all types of TB cases as estimated above. The objective of TB drug procurement is to purchase quality drugs from reliable suppliers at the best possible prices. The paramount requirement for procurement is to assure quality of medicines, whether they are procured through external channels or nationally.</w:t>
      </w:r>
    </w:p>
    <w:p w14:paraId="56A00E61" w14:textId="6B9DC0A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TB treatment regimens will be administered in line with the latest WHO guidance, in special that for treatment of drug-resistant TB cases</w:t>
      </w:r>
      <w:r w:rsidRPr="00EE7E38">
        <w:rPr>
          <w:rStyle w:val="FootnoteReference"/>
          <w:rFonts w:ascii="Times New Roman" w:hAnsi="Times New Roman" w:cs="Times New Roman"/>
        </w:rPr>
        <w:footnoteReference w:id="28"/>
      </w:r>
      <w:r w:rsidR="004E5976">
        <w:rPr>
          <w:rFonts w:ascii="Times New Roman" w:hAnsi="Times New Roman" w:cs="Times New Roman"/>
        </w:rPr>
        <w:t>.</w:t>
      </w:r>
      <w:r w:rsidRPr="00EE7E38">
        <w:rPr>
          <w:rFonts w:ascii="Times New Roman" w:hAnsi="Times New Roman" w:cs="Times New Roman"/>
        </w:rPr>
        <w:t xml:space="preserve"> </w:t>
      </w:r>
      <w:r w:rsidR="004E5976">
        <w:rPr>
          <w:rFonts w:ascii="Times New Roman" w:hAnsi="Times New Roman" w:cs="Times New Roman"/>
        </w:rPr>
        <w:t>I</w:t>
      </w:r>
      <w:r w:rsidRPr="00EE7E38">
        <w:rPr>
          <w:rFonts w:ascii="Times New Roman" w:hAnsi="Times New Roman" w:cs="Times New Roman"/>
        </w:rPr>
        <w:t xml:space="preserve">n order to accommodate for the new guidance, the National TB Guidelines have been updated accordingly. </w:t>
      </w:r>
    </w:p>
    <w:p w14:paraId="5554964C" w14:textId="4D6AE53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Standard WHO-recommended MDR regimens, for a total treatment duration of 20 months in most instances (out of which, on average 8 months intensive phase that includes an injectable agent), will be administered in patients without resistance to second-line agents, which currently account for about two-thirds of all laboratory-confirmed MDR-TB cases. In cases with resistance to SLDs (‘pre-XDR’ and XDR-TB), the treatment will be extended to 24 months on average. Newly developed anti-TB </w:t>
      </w:r>
      <w:proofErr w:type="gramStart"/>
      <w:r w:rsidRPr="00EE7E38">
        <w:rPr>
          <w:rFonts w:ascii="Times New Roman" w:hAnsi="Times New Roman" w:cs="Times New Roman"/>
        </w:rPr>
        <w:t>drugs</w:t>
      </w:r>
      <w:r w:rsidR="004E5976">
        <w:rPr>
          <w:rFonts w:ascii="Times New Roman" w:hAnsi="Times New Roman" w:cs="Times New Roman"/>
        </w:rPr>
        <w:t>(</w:t>
      </w:r>
      <w:proofErr w:type="spellStart"/>
      <w:proofErr w:type="gramEnd"/>
      <w:r w:rsidRPr="00EE7E38">
        <w:rPr>
          <w:rFonts w:ascii="Times New Roman" w:hAnsi="Times New Roman" w:cs="Times New Roman"/>
        </w:rPr>
        <w:t>Bedaquiline</w:t>
      </w:r>
      <w:proofErr w:type="spellEnd"/>
      <w:r w:rsidRPr="00EE7E38">
        <w:rPr>
          <w:rFonts w:ascii="Times New Roman" w:hAnsi="Times New Roman" w:cs="Times New Roman"/>
        </w:rPr>
        <w:t xml:space="preserve"> and </w:t>
      </w:r>
      <w:proofErr w:type="spellStart"/>
      <w:r w:rsidRPr="00EE7E38">
        <w:rPr>
          <w:rFonts w:ascii="Times New Roman" w:hAnsi="Times New Roman" w:cs="Times New Roman"/>
        </w:rPr>
        <w:t>Delamanid</w:t>
      </w:r>
      <w:proofErr w:type="spellEnd"/>
      <w:r w:rsidR="004E5976">
        <w:rPr>
          <w:rFonts w:ascii="Times New Roman" w:hAnsi="Times New Roman" w:cs="Times New Roman"/>
        </w:rPr>
        <w:t>)</w:t>
      </w:r>
      <w:r w:rsidRPr="00EE7E38">
        <w:rPr>
          <w:rFonts w:ascii="Times New Roman" w:hAnsi="Times New Roman" w:cs="Times New Roman"/>
        </w:rPr>
        <w:t>will be used in M/XDR treatment in accordance to WHO guidance</w:t>
      </w:r>
      <w:r w:rsidRPr="00EE7E38">
        <w:rPr>
          <w:rStyle w:val="FootnoteReference"/>
          <w:rFonts w:ascii="Times New Roman" w:hAnsi="Times New Roman" w:cs="Times New Roman"/>
        </w:rPr>
        <w:footnoteReference w:id="29"/>
      </w:r>
      <w:r w:rsidRPr="00EE7E38">
        <w:rPr>
          <w:rFonts w:ascii="Times New Roman" w:hAnsi="Times New Roman" w:cs="Times New Roman"/>
          <w:vertAlign w:val="superscript"/>
        </w:rPr>
        <w:t>,</w:t>
      </w:r>
      <w:r w:rsidRPr="00EE7E38">
        <w:rPr>
          <w:rStyle w:val="FootnoteReference"/>
          <w:rFonts w:ascii="Times New Roman" w:hAnsi="Times New Roman" w:cs="Times New Roman"/>
        </w:rPr>
        <w:footnoteReference w:id="30"/>
      </w:r>
      <w:r w:rsidRPr="00EE7E38">
        <w:rPr>
          <w:rFonts w:ascii="Times New Roman" w:hAnsi="Times New Roman" w:cs="Times New Roman"/>
        </w:rPr>
        <w:t>.</w:t>
      </w:r>
    </w:p>
    <w:p w14:paraId="2916D381" w14:textId="13DE712D" w:rsidR="00D969E3" w:rsidRPr="00EE7E38" w:rsidRDefault="00D969E3" w:rsidP="00BF785E">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In 2015-2018, </w:t>
      </w:r>
      <w:r w:rsidR="00DE1A99" w:rsidRPr="00EE7E38">
        <w:rPr>
          <w:rFonts w:ascii="Times New Roman" w:hAnsi="Times New Roman" w:cs="Times New Roman"/>
        </w:rPr>
        <w:t xml:space="preserve">first within </w:t>
      </w:r>
      <w:r w:rsidR="00771191">
        <w:rPr>
          <w:rFonts w:ascii="Times New Roman" w:hAnsi="Times New Roman" w:cs="Times New Roman"/>
        </w:rPr>
        <w:t>an</w:t>
      </w:r>
      <w:r w:rsidR="00771191" w:rsidRPr="00EE7E38">
        <w:rPr>
          <w:rFonts w:ascii="Times New Roman" w:hAnsi="Times New Roman" w:cs="Times New Roman"/>
        </w:rPr>
        <w:t xml:space="preserve"> operational</w:t>
      </w:r>
      <w:r w:rsidR="00DE1A99" w:rsidRPr="00EE7E38">
        <w:rPr>
          <w:rFonts w:ascii="Times New Roman" w:hAnsi="Times New Roman" w:cs="Times New Roman"/>
        </w:rPr>
        <w:t xml:space="preserve"> research </w:t>
      </w:r>
      <w:r w:rsidR="00771191">
        <w:rPr>
          <w:rFonts w:ascii="Times New Roman" w:hAnsi="Times New Roman" w:cs="Times New Roman"/>
        </w:rPr>
        <w:t xml:space="preserve">context </w:t>
      </w:r>
      <w:r w:rsidRPr="00EE7E38">
        <w:rPr>
          <w:rFonts w:ascii="Times New Roman" w:hAnsi="Times New Roman" w:cs="Times New Roman"/>
        </w:rPr>
        <w:t xml:space="preserve">(STREAM trial, </w:t>
      </w:r>
      <w:proofErr w:type="spellStart"/>
      <w:r w:rsidRPr="00EE7E38">
        <w:rPr>
          <w:rFonts w:ascii="Times New Roman" w:hAnsi="Times New Roman" w:cs="Times New Roman"/>
        </w:rPr>
        <w:t>EndTB</w:t>
      </w:r>
      <w:proofErr w:type="spellEnd"/>
      <w:r w:rsidRPr="00EE7E38">
        <w:rPr>
          <w:rFonts w:ascii="Times New Roman" w:hAnsi="Times New Roman" w:cs="Times New Roman"/>
        </w:rPr>
        <w:t xml:space="preserve"> Project and TB Alliance trial) and </w:t>
      </w:r>
      <w:r w:rsidR="00DE1A99" w:rsidRPr="00EE7E38">
        <w:rPr>
          <w:rFonts w:ascii="Times New Roman" w:hAnsi="Times New Roman" w:cs="Times New Roman"/>
        </w:rPr>
        <w:t xml:space="preserve">later through programmatic use, NTP </w:t>
      </w:r>
      <w:r w:rsidRPr="00EE7E38">
        <w:rPr>
          <w:rFonts w:ascii="Times New Roman" w:hAnsi="Times New Roman" w:cs="Times New Roman"/>
        </w:rPr>
        <w:t>launched the use of modified short</w:t>
      </w:r>
      <w:r w:rsidR="00DE1A99" w:rsidRPr="00EE7E38">
        <w:rPr>
          <w:rFonts w:ascii="Times New Roman" w:hAnsi="Times New Roman" w:cs="Times New Roman"/>
        </w:rPr>
        <w:t>er treatment</w:t>
      </w:r>
      <w:r w:rsidRPr="00EE7E38">
        <w:rPr>
          <w:rFonts w:ascii="Times New Roman" w:hAnsi="Times New Roman" w:cs="Times New Roman"/>
        </w:rPr>
        <w:t xml:space="preserve"> schemes.</w:t>
      </w:r>
      <w:r w:rsidR="00307B04" w:rsidRPr="00EE7E38">
        <w:rPr>
          <w:rFonts w:ascii="Times New Roman" w:hAnsi="Times New Roman" w:cs="Times New Roman"/>
        </w:rPr>
        <w:t xml:space="preserve"> Such regimens are applied in MDR-TB cases without resistance to SLDs and will last 9-12 months. </w:t>
      </w:r>
      <w:r w:rsidRPr="00EE7E38">
        <w:rPr>
          <w:rFonts w:ascii="Times New Roman" w:hAnsi="Times New Roman" w:cs="Times New Roman"/>
        </w:rPr>
        <w:t xml:space="preserve"> The </w:t>
      </w:r>
      <w:r w:rsidR="00771191">
        <w:rPr>
          <w:rFonts w:ascii="Times New Roman" w:hAnsi="Times New Roman" w:cs="Times New Roman"/>
        </w:rPr>
        <w:t>NTP</w:t>
      </w:r>
      <w:r w:rsidRPr="00EE7E38">
        <w:rPr>
          <w:rFonts w:ascii="Times New Roman" w:hAnsi="Times New Roman" w:cs="Times New Roman"/>
        </w:rPr>
        <w:t xml:space="preserve"> will actively utilize shortened regimens in all appropriate cases in accordance with the National Recommendations of Clinical Practice (Guideline).</w:t>
      </w:r>
      <w:r w:rsidR="00307B04" w:rsidRPr="00EE7E38">
        <w:rPr>
          <w:rStyle w:val="FootnoteReference"/>
          <w:rFonts w:ascii="Times New Roman" w:hAnsi="Times New Roman" w:cs="Times New Roman"/>
        </w:rPr>
        <w:footnoteReference w:id="31"/>
      </w:r>
      <w:r w:rsidRPr="00EE7E38">
        <w:rPr>
          <w:rFonts w:ascii="Times New Roman" w:hAnsi="Times New Roman" w:cs="Times New Roman"/>
        </w:rPr>
        <w:t xml:space="preserve"> Active collaboration and technical assistance from international partners, including WHO and the </w:t>
      </w:r>
      <w:r w:rsidR="004F5E2E" w:rsidRPr="00EE7E38">
        <w:rPr>
          <w:rFonts w:ascii="Times New Roman" w:hAnsi="Times New Roman" w:cs="Times New Roman"/>
        </w:rPr>
        <w:t>Green</w:t>
      </w:r>
      <w:r w:rsidRPr="00EE7E38">
        <w:rPr>
          <w:rFonts w:ascii="Times New Roman" w:hAnsi="Times New Roman" w:cs="Times New Roman"/>
        </w:rPr>
        <w:t xml:space="preserve"> Light Committee will be continued to ensure safe and effective use of new schemes.</w:t>
      </w:r>
    </w:p>
    <w:p w14:paraId="6BBCB2EF" w14:textId="57A88B1C"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For application of shorter MDR regimens, the NTP will ensure that relevant WHO requirements are met in this regard, namely: treatment is approved by the ethics review committee ahead of patient enrolment; treatment is delivered under operational research conditions following international standards to assess the safety and effectiveness of the regimen; and an independent board monitors the implementation and reports </w:t>
      </w:r>
      <w:r w:rsidRPr="00EE7E38">
        <w:rPr>
          <w:rFonts w:ascii="Times New Roman" w:hAnsi="Times New Roman" w:cs="Times New Roman"/>
        </w:rPr>
        <w:lastRenderedPageBreak/>
        <w:t>to WHO. Technical assistance will be sought from the international partners, and appropriate capacity building activities will be conducted, prior the use of short</w:t>
      </w:r>
      <w:r w:rsidR="00771191">
        <w:rPr>
          <w:rFonts w:ascii="Times New Roman" w:hAnsi="Times New Roman" w:cs="Times New Roman"/>
        </w:rPr>
        <w:t>er</w:t>
      </w:r>
      <w:r w:rsidRPr="00EE7E38">
        <w:rPr>
          <w:rFonts w:ascii="Times New Roman" w:hAnsi="Times New Roman" w:cs="Times New Roman"/>
        </w:rPr>
        <w:t xml:space="preserve"> MDR regimens. </w:t>
      </w:r>
    </w:p>
    <w:p w14:paraId="41296812" w14:textId="3858EF0D"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Government of Georgia is committed to ensure </w:t>
      </w:r>
      <w:r w:rsidR="00771191">
        <w:rPr>
          <w:rFonts w:ascii="Times New Roman" w:hAnsi="Times New Roman" w:cs="Times New Roman"/>
        </w:rPr>
        <w:t xml:space="preserve">an </w:t>
      </w:r>
      <w:r w:rsidRPr="00EE7E38">
        <w:rPr>
          <w:rFonts w:ascii="Times New Roman" w:hAnsi="Times New Roman" w:cs="Times New Roman"/>
        </w:rPr>
        <w:t xml:space="preserve">uninterrupted supply of anti-TB drugs for treatment of patients with all forms of TB. The Government will allocate additional financial resources to the </w:t>
      </w:r>
      <w:r w:rsidR="00771191">
        <w:rPr>
          <w:rFonts w:ascii="Times New Roman" w:hAnsi="Times New Roman" w:cs="Times New Roman"/>
        </w:rPr>
        <w:t>NTP</w:t>
      </w:r>
      <w:r w:rsidRPr="00EE7E38">
        <w:rPr>
          <w:rFonts w:ascii="Times New Roman" w:hAnsi="Times New Roman" w:cs="Times New Roman"/>
        </w:rPr>
        <w:t>, which will be sufficient to ensure effective takeover from the Global Fund</w:t>
      </w:r>
      <w:r w:rsidR="00D969E3" w:rsidRPr="00EE7E38">
        <w:rPr>
          <w:rFonts w:ascii="Times New Roman" w:hAnsi="Times New Roman" w:cs="Times New Roman"/>
        </w:rPr>
        <w:t>.</w:t>
      </w:r>
      <w:r w:rsidRPr="00EE7E38">
        <w:rPr>
          <w:rFonts w:ascii="Times New Roman" w:hAnsi="Times New Roman" w:cs="Times New Roman"/>
        </w:rPr>
        <w:t xml:space="preserve"> </w:t>
      </w:r>
      <w:r w:rsidR="002729BC" w:rsidRPr="00EE7E38">
        <w:rPr>
          <w:rFonts w:ascii="Times New Roman" w:hAnsi="Times New Roman" w:cs="Times New Roman"/>
        </w:rPr>
        <w:t>F</w:t>
      </w:r>
      <w:r w:rsidRPr="00EE7E38">
        <w:rPr>
          <w:rFonts w:ascii="Times New Roman" w:hAnsi="Times New Roman" w:cs="Times New Roman"/>
        </w:rPr>
        <w:t>irst-line drugs</w:t>
      </w:r>
      <w:r w:rsidR="002729BC" w:rsidRPr="00EE7E38">
        <w:rPr>
          <w:rFonts w:ascii="Times New Roman" w:hAnsi="Times New Roman" w:cs="Times New Roman"/>
        </w:rPr>
        <w:t xml:space="preserve"> are already fully covered by</w:t>
      </w:r>
      <w:r w:rsidRPr="00EE7E38">
        <w:rPr>
          <w:rFonts w:ascii="Times New Roman" w:hAnsi="Times New Roman" w:cs="Times New Roman"/>
        </w:rPr>
        <w:t xml:space="preserve"> the state budget</w:t>
      </w:r>
      <w:r w:rsidR="002729BC" w:rsidRPr="00EE7E38">
        <w:rPr>
          <w:rFonts w:ascii="Times New Roman" w:hAnsi="Times New Roman" w:cs="Times New Roman"/>
        </w:rPr>
        <w:t>.</w:t>
      </w:r>
      <w:r w:rsidRPr="00EE7E38">
        <w:rPr>
          <w:rFonts w:ascii="Times New Roman" w:hAnsi="Times New Roman" w:cs="Times New Roman"/>
        </w:rPr>
        <w:t xml:space="preserve"> </w:t>
      </w:r>
      <w:r w:rsidR="002729BC" w:rsidRPr="00EE7E38">
        <w:rPr>
          <w:rFonts w:ascii="Times New Roman" w:hAnsi="Times New Roman" w:cs="Times New Roman"/>
        </w:rPr>
        <w:t xml:space="preserve">Public funding for </w:t>
      </w:r>
      <w:r w:rsidRPr="00EE7E38">
        <w:rPr>
          <w:rFonts w:ascii="Times New Roman" w:hAnsi="Times New Roman" w:cs="Times New Roman"/>
        </w:rPr>
        <w:t>second</w:t>
      </w:r>
      <w:r w:rsidR="002729BC" w:rsidRPr="00EE7E38">
        <w:rPr>
          <w:rFonts w:ascii="Times New Roman" w:hAnsi="Times New Roman" w:cs="Times New Roman"/>
        </w:rPr>
        <w:t xml:space="preserve"> and third</w:t>
      </w:r>
      <w:r w:rsidRPr="00EE7E38">
        <w:rPr>
          <w:rFonts w:ascii="Times New Roman" w:hAnsi="Times New Roman" w:cs="Times New Roman"/>
        </w:rPr>
        <w:t>-line drugs</w:t>
      </w:r>
      <w:r w:rsidR="002729BC" w:rsidRPr="00EE7E38">
        <w:rPr>
          <w:rFonts w:ascii="Times New Roman" w:hAnsi="Times New Roman" w:cs="Times New Roman"/>
        </w:rPr>
        <w:t xml:space="preserve"> will gradually increase and will reach 100% by 2022.</w:t>
      </w:r>
      <w:r w:rsidRPr="00EE7E38">
        <w:rPr>
          <w:rFonts w:ascii="Times New Roman" w:hAnsi="Times New Roman" w:cs="Times New Roman"/>
        </w:rPr>
        <w:t xml:space="preserve"> </w:t>
      </w:r>
      <w:r w:rsidR="002729BC" w:rsidRPr="00EE7E38">
        <w:rPr>
          <w:rFonts w:ascii="Times New Roman" w:hAnsi="Times New Roman" w:cs="Times New Roman"/>
        </w:rPr>
        <w:t xml:space="preserve">International </w:t>
      </w:r>
      <w:r w:rsidRPr="00EE7E38">
        <w:rPr>
          <w:rFonts w:ascii="Times New Roman" w:hAnsi="Times New Roman" w:cs="Times New Roman"/>
        </w:rPr>
        <w:t>funding (</w:t>
      </w:r>
      <w:r w:rsidR="00771191">
        <w:rPr>
          <w:rFonts w:ascii="Times New Roman" w:hAnsi="Times New Roman" w:cs="Times New Roman"/>
        </w:rPr>
        <w:t>i.e. Global Fund</w:t>
      </w:r>
      <w:r w:rsidRPr="00EE7E38">
        <w:rPr>
          <w:rFonts w:ascii="Times New Roman" w:hAnsi="Times New Roman" w:cs="Times New Roman"/>
        </w:rPr>
        <w:t>) will still be required for procurement of drugs for DR-TB treatment during the first t</w:t>
      </w:r>
      <w:r w:rsidR="002729BC" w:rsidRPr="00EE7E38">
        <w:rPr>
          <w:rFonts w:ascii="Times New Roman" w:hAnsi="Times New Roman" w:cs="Times New Roman"/>
        </w:rPr>
        <w:t>hree</w:t>
      </w:r>
      <w:r w:rsidRPr="00EE7E38">
        <w:rPr>
          <w:rFonts w:ascii="Times New Roman" w:hAnsi="Times New Roman" w:cs="Times New Roman"/>
        </w:rPr>
        <w:t xml:space="preserve"> years covered by this Plan. In order to purchase drugs of assured quality, the country will make use of the global procurement mechanisms, such as the Global Drug Facility (GDF), which supply drugs from WHO-prequalified manufacturers.</w:t>
      </w:r>
    </w:p>
    <w:p w14:paraId="6C8A4E15" w14:textId="48E9E064" w:rsidR="00307B04" w:rsidRPr="00EE7E38" w:rsidRDefault="005A003D" w:rsidP="00835F94">
      <w:pPr>
        <w:widowControl w:val="0"/>
        <w:spacing w:before="120" w:after="120" w:line="240" w:lineRule="auto"/>
        <w:jc w:val="both"/>
        <w:rPr>
          <w:rFonts w:ascii="Times New Roman" w:hAnsi="Times New Roman" w:cs="Times New Roman"/>
          <w:lang w:val="ka-GE"/>
        </w:rPr>
      </w:pPr>
      <w:r w:rsidRPr="00EE7E38">
        <w:rPr>
          <w:rFonts w:ascii="Times New Roman" w:hAnsi="Times New Roman" w:cs="Times New Roman"/>
        </w:rPr>
        <w:t>To ensure effective drug supply, a set of measures are necessary to strengthen the supply chain and all components of drug management</w:t>
      </w:r>
      <w:r w:rsidR="00771191">
        <w:rPr>
          <w:rFonts w:ascii="Times New Roman" w:hAnsi="Times New Roman" w:cs="Times New Roman"/>
        </w:rPr>
        <w:t>, including</w:t>
      </w:r>
      <w:r w:rsidRPr="00EE7E38">
        <w:rPr>
          <w:rFonts w:ascii="Times New Roman" w:hAnsi="Times New Roman" w:cs="Times New Roman"/>
        </w:rPr>
        <w:t xml:space="preserve"> drug selection, quantification, appropriate procurement methods, supplier selection and qualification, quality assurance, monitoring and supervision.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be responsible for managing supply of anti-TB drugs from all sources in terms of clearing deliveries </w:t>
      </w:r>
      <w:r w:rsidR="00771191">
        <w:rPr>
          <w:rFonts w:ascii="Times New Roman" w:hAnsi="Times New Roman" w:cs="Times New Roman"/>
        </w:rPr>
        <w:t>at the</w:t>
      </w:r>
      <w:r w:rsidRPr="00EE7E38">
        <w:rPr>
          <w:rFonts w:ascii="Times New Roman" w:hAnsi="Times New Roman" w:cs="Times New Roman"/>
        </w:rPr>
        <w:t xml:space="preserve"> port, storage and distribution to the regions</w:t>
      </w:r>
      <w:r w:rsidR="00771191">
        <w:rPr>
          <w:rFonts w:ascii="Times New Roman" w:hAnsi="Times New Roman" w:cs="Times New Roman"/>
        </w:rPr>
        <w:t>.</w:t>
      </w:r>
      <w:r w:rsidRPr="00EE7E38">
        <w:rPr>
          <w:rFonts w:ascii="Times New Roman" w:hAnsi="Times New Roman" w:cs="Times New Roman"/>
        </w:rPr>
        <w:t xml:space="preserve"> </w:t>
      </w:r>
      <w:r w:rsidR="00771191">
        <w:rPr>
          <w:rFonts w:ascii="Times New Roman" w:hAnsi="Times New Roman" w:cs="Times New Roman"/>
        </w:rPr>
        <w:t>T</w:t>
      </w:r>
      <w:r w:rsidRPr="00EE7E38">
        <w:rPr>
          <w:rFonts w:ascii="Times New Roman" w:hAnsi="Times New Roman" w:cs="Times New Roman"/>
        </w:rPr>
        <w:t>he NTP will be responsible for stock management at the central level, ensuring rational use at treatment sites, recording and reporting. The Plan stipulates the need of further management support to ensure a well-functioning TB drug procurement system.</w:t>
      </w:r>
      <w:r w:rsidR="002729BC" w:rsidRPr="00EE7E38">
        <w:rPr>
          <w:rFonts w:ascii="Times New Roman" w:hAnsi="Times New Roman" w:cs="Times New Roman"/>
        </w:rPr>
        <w:t xml:space="preserve"> </w:t>
      </w:r>
    </w:p>
    <w:p w14:paraId="10E269C7" w14:textId="0CBA8276"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Special emphasis will be placed </w:t>
      </w:r>
      <w:r w:rsidR="00E15F04">
        <w:rPr>
          <w:rFonts w:ascii="Times New Roman" w:hAnsi="Times New Roman" w:cs="Times New Roman"/>
        </w:rPr>
        <w:t>on</w:t>
      </w:r>
      <w:r w:rsidRPr="00EE7E38">
        <w:rPr>
          <w:rFonts w:ascii="Times New Roman" w:hAnsi="Times New Roman" w:cs="Times New Roman"/>
        </w:rPr>
        <w:t xml:space="preserve"> improving the pharmacovigilance system for anti-TB drugs, as part of the overall pharmacovigilance system in the country. </w:t>
      </w:r>
      <w:r w:rsidR="00E15F04">
        <w:rPr>
          <w:rFonts w:ascii="Times New Roman" w:hAnsi="Times New Roman" w:cs="Times New Roman"/>
        </w:rPr>
        <w:t>This necessitates</w:t>
      </w:r>
      <w:r w:rsidRPr="00EE7E38">
        <w:rPr>
          <w:rFonts w:ascii="Times New Roman" w:hAnsi="Times New Roman" w:cs="Times New Roman"/>
        </w:rPr>
        <w:t xml:space="preserve"> implementation of routine practices for spontaneous reporting on </w:t>
      </w:r>
      <w:r w:rsidR="00E15F04">
        <w:rPr>
          <w:rFonts w:ascii="Times New Roman" w:hAnsi="Times New Roman" w:cs="Times New Roman"/>
        </w:rPr>
        <w:t>adverse drug reactions (</w:t>
      </w:r>
      <w:r w:rsidRPr="00EE7E38">
        <w:rPr>
          <w:rFonts w:ascii="Times New Roman" w:hAnsi="Times New Roman" w:cs="Times New Roman"/>
        </w:rPr>
        <w:t>ADRs</w:t>
      </w:r>
      <w:r w:rsidR="00E15F04">
        <w:rPr>
          <w:rFonts w:ascii="Times New Roman" w:hAnsi="Times New Roman" w:cs="Times New Roman"/>
        </w:rPr>
        <w:t>)</w:t>
      </w:r>
      <w:r w:rsidRPr="00EE7E38">
        <w:rPr>
          <w:rFonts w:ascii="Times New Roman" w:hAnsi="Times New Roman" w:cs="Times New Roman"/>
        </w:rPr>
        <w:t xml:space="preserve"> by all health care institutions involved in the management of TB cases. Adequate pharmacovigilance, in particular that of newly developed second-line medicines, will allow not only for effective post-marketing surveillance, but will also strengthen NTP capacit</w:t>
      </w:r>
      <w:r w:rsidR="00E15F04">
        <w:rPr>
          <w:rFonts w:ascii="Times New Roman" w:hAnsi="Times New Roman" w:cs="Times New Roman"/>
        </w:rPr>
        <w:t>y</w:t>
      </w:r>
      <w:r w:rsidRPr="00EE7E38">
        <w:rPr>
          <w:rFonts w:ascii="Times New Roman" w:hAnsi="Times New Roman" w:cs="Times New Roman"/>
        </w:rPr>
        <w:t xml:space="preserve"> to improve the management of </w:t>
      </w:r>
      <w:r w:rsidR="00E15F04">
        <w:rPr>
          <w:rFonts w:ascii="Times New Roman" w:hAnsi="Times New Roman" w:cs="Times New Roman"/>
        </w:rPr>
        <w:t>ADRs</w:t>
      </w:r>
      <w:r w:rsidRPr="00EE7E38">
        <w:rPr>
          <w:rFonts w:ascii="Times New Roman" w:hAnsi="Times New Roman" w:cs="Times New Roman"/>
        </w:rPr>
        <w:t xml:space="preserve"> at peripheral service level, thus reducing the risks of treatment interruption and failure because of these reactions. </w:t>
      </w:r>
    </w:p>
    <w:p w14:paraId="5900AB5E"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In collaboration with WHO’s International Drug Monitoring Program</w:t>
      </w:r>
      <w:r w:rsidRPr="00EE7E38">
        <w:rPr>
          <w:rStyle w:val="FootnoteReference"/>
          <w:rFonts w:ascii="Times New Roman" w:hAnsi="Times New Roman" w:cs="Times New Roman"/>
        </w:rPr>
        <w:footnoteReference w:id="32"/>
      </w:r>
      <w:r w:rsidRPr="00EE7E38">
        <w:rPr>
          <w:rFonts w:ascii="Times New Roman" w:hAnsi="Times New Roman" w:cs="Times New Roman"/>
        </w:rPr>
        <w:t xml:space="preserve">,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scale up the application of active pharmacovigilance methods in the TB program. </w:t>
      </w:r>
      <w:r w:rsidR="004F5E2E" w:rsidRPr="00EE7E38">
        <w:rPr>
          <w:rFonts w:ascii="Times New Roman" w:hAnsi="Times New Roman" w:cs="Times New Roman"/>
        </w:rPr>
        <w:t xml:space="preserve">Active drug safety </w:t>
      </w:r>
      <w:r w:rsidR="00307B04" w:rsidRPr="00EE7E38">
        <w:rPr>
          <w:rFonts w:ascii="Times New Roman" w:hAnsi="Times New Roman" w:cs="Times New Roman"/>
        </w:rPr>
        <w:t>monitoring</w:t>
      </w:r>
      <w:r w:rsidR="00307B04" w:rsidRPr="00EE7E38">
        <w:rPr>
          <w:rFonts w:ascii="Times New Roman" w:hAnsi="Times New Roman" w:cs="Times New Roman"/>
          <w:lang w:val="ka-GE"/>
        </w:rPr>
        <w:t xml:space="preserve"> (</w:t>
      </w:r>
      <w:proofErr w:type="spellStart"/>
      <w:r w:rsidR="00307B04" w:rsidRPr="00EE7E38">
        <w:rPr>
          <w:rFonts w:ascii="Times New Roman" w:hAnsi="Times New Roman" w:cs="Times New Roman"/>
        </w:rPr>
        <w:t>aDSM</w:t>
      </w:r>
      <w:proofErr w:type="spellEnd"/>
      <w:r w:rsidR="00307B04" w:rsidRPr="00EE7E38">
        <w:rPr>
          <w:rFonts w:ascii="Times New Roman" w:hAnsi="Times New Roman" w:cs="Times New Roman"/>
        </w:rPr>
        <w:t xml:space="preserve">) </w:t>
      </w:r>
      <w:r w:rsidR="004F5E2E" w:rsidRPr="00EE7E38">
        <w:rPr>
          <w:rFonts w:ascii="Times New Roman" w:hAnsi="Times New Roman" w:cs="Times New Roman"/>
        </w:rPr>
        <w:t xml:space="preserve">will be implemented by all TB service units treating patient with </w:t>
      </w:r>
      <w:r w:rsidRPr="00EE7E38">
        <w:rPr>
          <w:rFonts w:ascii="Times New Roman" w:hAnsi="Times New Roman" w:cs="Times New Roman"/>
        </w:rPr>
        <w:t>new anti-TB drugs (</w:t>
      </w:r>
      <w:proofErr w:type="spellStart"/>
      <w:r w:rsidRPr="00EE7E38">
        <w:rPr>
          <w:rFonts w:ascii="Times New Roman" w:hAnsi="Times New Roman" w:cs="Times New Roman"/>
        </w:rPr>
        <w:t>Bedaquiline</w:t>
      </w:r>
      <w:proofErr w:type="spellEnd"/>
      <w:r w:rsidRPr="00EE7E38">
        <w:rPr>
          <w:rFonts w:ascii="Times New Roman" w:hAnsi="Times New Roman" w:cs="Times New Roman"/>
        </w:rPr>
        <w:t xml:space="preserve"> and </w:t>
      </w:r>
      <w:proofErr w:type="spellStart"/>
      <w:r w:rsidRPr="00EE7E38">
        <w:rPr>
          <w:rFonts w:ascii="Times New Roman" w:hAnsi="Times New Roman" w:cs="Times New Roman"/>
        </w:rPr>
        <w:t>Delamanid</w:t>
      </w:r>
      <w:proofErr w:type="spellEnd"/>
      <w:r w:rsidRPr="00EE7E38">
        <w:rPr>
          <w:rFonts w:ascii="Times New Roman" w:hAnsi="Times New Roman" w:cs="Times New Roman"/>
        </w:rPr>
        <w:t>)</w:t>
      </w:r>
      <w:r w:rsidR="004F5E2E" w:rsidRPr="00EE7E38">
        <w:rPr>
          <w:rFonts w:ascii="Times New Roman" w:hAnsi="Times New Roman" w:cs="Times New Roman"/>
        </w:rPr>
        <w:t>.</w:t>
      </w:r>
    </w:p>
    <w:p w14:paraId="09BB1835"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2F5BFB12" w14:textId="697E956F" w:rsidR="005A003D" w:rsidRPr="00E15F04" w:rsidRDefault="005A003D" w:rsidP="00B241D0">
      <w:pPr>
        <w:widowControl w:val="0"/>
        <w:numPr>
          <w:ilvl w:val="0"/>
          <w:numId w:val="6"/>
        </w:numPr>
        <w:spacing w:before="120" w:after="120" w:line="240" w:lineRule="auto"/>
        <w:jc w:val="both"/>
        <w:rPr>
          <w:rFonts w:ascii="Times New Roman" w:hAnsi="Times New Roman" w:cs="Times New Roman"/>
          <w:b/>
          <w:color w:val="FF0000"/>
        </w:rPr>
      </w:pPr>
      <w:r w:rsidRPr="00EE7E38">
        <w:rPr>
          <w:rFonts w:ascii="Times New Roman" w:hAnsi="Times New Roman" w:cs="Times New Roman"/>
          <w:i/>
          <w:iCs/>
        </w:rPr>
        <w:t xml:space="preserve">Procurement of anti-TB drugs. </w:t>
      </w:r>
      <w:r w:rsidRPr="00EE7E38">
        <w:rPr>
          <w:rFonts w:ascii="Times New Roman" w:hAnsi="Times New Roman" w:cs="Times New Roman"/>
        </w:rPr>
        <w:t xml:space="preserve">TB drugs will be procured for all categories of TB cases: </w:t>
      </w:r>
      <w:r w:rsidR="00E15F04">
        <w:rPr>
          <w:rFonts w:ascii="Times New Roman" w:hAnsi="Times New Roman" w:cs="Times New Roman"/>
        </w:rPr>
        <w:t>drug-</w:t>
      </w:r>
      <w:r w:rsidRPr="00EE7E38">
        <w:rPr>
          <w:rFonts w:ascii="Times New Roman" w:hAnsi="Times New Roman" w:cs="Times New Roman"/>
        </w:rPr>
        <w:t xml:space="preserve">sensitive TB cases, PDR-TB and MDR-TB that include ‘pre-XDR’ and XDR cases. Procurement will be done in quantities sufficient to cover all needs (see Table </w:t>
      </w:r>
      <w:r w:rsidR="00084062" w:rsidRPr="00EE7E38">
        <w:rPr>
          <w:rFonts w:ascii="Times New Roman" w:hAnsi="Times New Roman" w:cs="Times New Roman"/>
        </w:rPr>
        <w:t>6</w:t>
      </w:r>
      <w:r w:rsidRPr="00EE7E38">
        <w:rPr>
          <w:rFonts w:ascii="Times New Roman" w:hAnsi="Times New Roman" w:cs="Times New Roman"/>
        </w:rPr>
        <w:t xml:space="preserve"> above for estimated breakdown by treatment categories) and avoid waiting lists among patients with advanced resistance. The treatment schemes will comply with WHO recommendations, which will be reflected in the new national TB guidelines and further adapted for gradual implementation of modified MDR regimens.</w:t>
      </w:r>
      <w:r w:rsidR="00E15F04">
        <w:rPr>
          <w:rFonts w:ascii="Times New Roman" w:hAnsi="Times New Roman" w:cs="Times New Roman"/>
          <w:b/>
          <w:color w:val="FF0000"/>
        </w:rPr>
        <w:t xml:space="preserve"> </w:t>
      </w:r>
      <w:r w:rsidRPr="00E15F04">
        <w:rPr>
          <w:rFonts w:ascii="Times New Roman" w:hAnsi="Times New Roman" w:cs="Times New Roman"/>
        </w:rPr>
        <w:t xml:space="preserve">Special priority in procurement will be given to </w:t>
      </w:r>
      <w:r w:rsidR="00C53E44">
        <w:rPr>
          <w:rFonts w:ascii="Times New Roman" w:hAnsi="Times New Roman" w:cs="Times New Roman"/>
        </w:rPr>
        <w:t xml:space="preserve">the </w:t>
      </w:r>
      <w:r w:rsidRPr="00E15F04">
        <w:rPr>
          <w:rFonts w:ascii="Times New Roman" w:hAnsi="Times New Roman" w:cs="Times New Roman"/>
        </w:rPr>
        <w:t xml:space="preserve">supply of fixed-dose combinations and pediatric formulations of drugs. The NTP will use newly developed second-line drugs (e.g. </w:t>
      </w:r>
      <w:proofErr w:type="spellStart"/>
      <w:r w:rsidRPr="00E15F04">
        <w:rPr>
          <w:rFonts w:ascii="Times New Roman" w:hAnsi="Times New Roman" w:cs="Times New Roman"/>
        </w:rPr>
        <w:t>Bedaquiline</w:t>
      </w:r>
      <w:proofErr w:type="spellEnd"/>
      <w:r w:rsidRPr="00E15F04">
        <w:rPr>
          <w:rFonts w:ascii="Times New Roman" w:hAnsi="Times New Roman" w:cs="Times New Roman"/>
        </w:rPr>
        <w:t xml:space="preserve"> and </w:t>
      </w:r>
      <w:proofErr w:type="spellStart"/>
      <w:r w:rsidRPr="00E15F04">
        <w:rPr>
          <w:rFonts w:ascii="Times New Roman" w:hAnsi="Times New Roman" w:cs="Times New Roman"/>
        </w:rPr>
        <w:t>Delamanid</w:t>
      </w:r>
      <w:proofErr w:type="spellEnd"/>
      <w:r w:rsidRPr="00E15F04">
        <w:rPr>
          <w:rFonts w:ascii="Times New Roman" w:hAnsi="Times New Roman" w:cs="Times New Roman"/>
        </w:rPr>
        <w:t>) in MDR treatment regimens (in particular, for treating ‘pre-XDR’ and XDR cases), and will strengthen the key functions and processes in the TB drug management system for this purpose.</w:t>
      </w:r>
    </w:p>
    <w:p w14:paraId="76BBB77B" w14:textId="287DF219"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Supply management </w:t>
      </w:r>
      <w:r w:rsidRPr="00EE7E38">
        <w:rPr>
          <w:rFonts w:ascii="Times New Roman" w:hAnsi="Times New Roman" w:cs="Times New Roman"/>
        </w:rPr>
        <w:t xml:space="preserve">activities will be conducted to provide for appropriate coverage of delivery costs, storage/stock management and distribution to the regions and TB treatment delivery sites. </w:t>
      </w:r>
    </w:p>
    <w:p w14:paraId="1A7AD0A3" w14:textId="3632C482"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External technical assistance </w:t>
      </w:r>
      <w:r w:rsidRPr="00EE7E38">
        <w:rPr>
          <w:rFonts w:ascii="Times New Roman" w:hAnsi="Times New Roman" w:cs="Times New Roman"/>
        </w:rPr>
        <w:t xml:space="preserve">will be provided to </w:t>
      </w:r>
      <w:proofErr w:type="spellStart"/>
      <w:r w:rsidRPr="00EE7E38">
        <w:rPr>
          <w:rFonts w:ascii="Times New Roman" w:hAnsi="Times New Roman" w:cs="Times New Roman"/>
        </w:rPr>
        <w:t>MoLHSA</w:t>
      </w:r>
      <w:proofErr w:type="spellEnd"/>
      <w:r w:rsidRPr="00EE7E38">
        <w:rPr>
          <w:rFonts w:ascii="Times New Roman" w:hAnsi="Times New Roman" w:cs="Times New Roman"/>
        </w:rPr>
        <w:t>/State Agency for Regulation of Medical Activities (SARMA) and the NTP in priority problems related to strengthening the national drug management system in view of decentralization of TB care delivery and application of modified treatment regimens for M/XDR-TB. Specific support will be sought for the implementation of active pharmacovigilance methods in line with the contemporary international practices and requirements for the use of new anti-TB drugs.</w:t>
      </w:r>
      <w:r w:rsidR="006977EF" w:rsidRPr="00EE7E38">
        <w:rPr>
          <w:rFonts w:ascii="Times New Roman" w:hAnsi="Times New Roman" w:cs="Times New Roman"/>
        </w:rPr>
        <w:t xml:space="preserve"> </w:t>
      </w:r>
    </w:p>
    <w:p w14:paraId="74A2C6DE" w14:textId="3837BB5C"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National consultants </w:t>
      </w:r>
      <w:r w:rsidRPr="00EE7E38">
        <w:rPr>
          <w:rFonts w:ascii="Times New Roman" w:hAnsi="Times New Roman" w:cs="Times New Roman"/>
        </w:rPr>
        <w:t xml:space="preserve">will support the NTP in the area of TB drug management including provision of training for TB care providers, monitoring of stocks, supervision of drug utilization, recording and </w:t>
      </w:r>
      <w:r w:rsidRPr="00EE7E38">
        <w:rPr>
          <w:rFonts w:ascii="Times New Roman" w:hAnsi="Times New Roman" w:cs="Times New Roman"/>
        </w:rPr>
        <w:lastRenderedPageBreak/>
        <w:t>reporting within the upgraded national TB information system</w:t>
      </w:r>
      <w:r w:rsidR="00C53E44">
        <w:rPr>
          <w:rFonts w:ascii="Times New Roman" w:hAnsi="Times New Roman" w:cs="Times New Roman"/>
        </w:rPr>
        <w:t>,</w:t>
      </w:r>
      <w:r w:rsidRPr="00EE7E38">
        <w:rPr>
          <w:rFonts w:ascii="Times New Roman" w:hAnsi="Times New Roman" w:cs="Times New Roman"/>
        </w:rPr>
        <w:t xml:space="preserve"> and pharmacovigilance.</w:t>
      </w:r>
    </w:p>
    <w:p w14:paraId="23B421B2"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Capacity building in drug management</w:t>
      </w:r>
      <w:r w:rsidRPr="00EE7E38">
        <w:rPr>
          <w:rFonts w:ascii="Times New Roman" w:hAnsi="Times New Roman" w:cs="Times New Roman"/>
        </w:rPr>
        <w:t xml:space="preserve"> will be achieved through international and local training of the NTP management staff and TB service staff, to enable effective implementation of the drug management requirements, with special attention to the application of new anti-TB drugs and management of ADRs.</w:t>
      </w:r>
    </w:p>
    <w:p w14:paraId="507D64A2" w14:textId="54A98C24"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In-country quality assurance of TB drugs. </w:t>
      </w:r>
      <w:r w:rsidRPr="00EE7E38">
        <w:rPr>
          <w:rFonts w:ascii="Times New Roman" w:hAnsi="Times New Roman" w:cs="Times New Roman"/>
        </w:rPr>
        <w:t xml:space="preserve">In line with the international requirements, the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through </w:t>
      </w:r>
      <w:r w:rsidR="00C53E44">
        <w:rPr>
          <w:rFonts w:ascii="Times New Roman" w:hAnsi="Times New Roman" w:cs="Times New Roman"/>
        </w:rPr>
        <w:t>SARMA</w:t>
      </w:r>
      <w:r w:rsidRPr="00EE7E38">
        <w:rPr>
          <w:rFonts w:ascii="Times New Roman" w:hAnsi="Times New Roman" w:cs="Times New Roman"/>
        </w:rPr>
        <w:t xml:space="preserve"> will ensure a functional system for in-country quality control of supplied anti-TB medicines by certified laboratories.</w:t>
      </w:r>
    </w:p>
    <w:p w14:paraId="758A72D0" w14:textId="77777777" w:rsidR="00540B31" w:rsidRPr="00EE7E38" w:rsidRDefault="00DA52B3">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C</w:t>
      </w:r>
      <w:r w:rsidR="006977EF" w:rsidRPr="00EE7E38">
        <w:rPr>
          <w:rFonts w:ascii="Times New Roman" w:hAnsi="Times New Roman" w:cs="Times New Roman"/>
          <w:i/>
        </w:rPr>
        <w:t>linical supervision</w:t>
      </w:r>
      <w:r w:rsidR="006977EF" w:rsidRPr="00EE7E38">
        <w:rPr>
          <w:rFonts w:ascii="Times New Roman" w:hAnsi="Times New Roman" w:cs="Times New Roman"/>
        </w:rPr>
        <w:t xml:space="preserve"> of the implementation of new drugs and treatment regimens for M/XDR-TB </w:t>
      </w:r>
      <w:r w:rsidRPr="00EE7E38">
        <w:rPr>
          <w:rFonts w:ascii="Times New Roman" w:hAnsi="Times New Roman" w:cs="Times New Roman"/>
        </w:rPr>
        <w:t xml:space="preserve">will be supported by </w:t>
      </w:r>
      <w:r w:rsidR="006977EF" w:rsidRPr="00EE7E38">
        <w:rPr>
          <w:rFonts w:ascii="Times New Roman" w:hAnsi="Times New Roman" w:cs="Times New Roman"/>
        </w:rPr>
        <w:t xml:space="preserve">the regular visits of the ‘mobile MDR-TB consilium’ </w:t>
      </w:r>
      <w:r w:rsidRPr="00EE7E38">
        <w:rPr>
          <w:rFonts w:ascii="Times New Roman" w:hAnsi="Times New Roman" w:cs="Times New Roman"/>
        </w:rPr>
        <w:t xml:space="preserve">to </w:t>
      </w:r>
      <w:r w:rsidR="006977EF" w:rsidRPr="00EE7E38">
        <w:rPr>
          <w:rFonts w:ascii="Times New Roman" w:hAnsi="Times New Roman" w:cs="Times New Roman"/>
        </w:rPr>
        <w:t>peripheral TB units, in continuation of the successful practice launched in 2015 within the ongoing TGF project.</w:t>
      </w:r>
    </w:p>
    <w:p w14:paraId="5B639F34" w14:textId="77777777" w:rsidR="005A003D" w:rsidRPr="00EE7E38" w:rsidRDefault="005A003D" w:rsidP="00835F94">
      <w:pPr>
        <w:widowControl w:val="0"/>
        <w:spacing w:before="120" w:after="120" w:line="240" w:lineRule="auto"/>
        <w:rPr>
          <w:rFonts w:ascii="Times New Roman" w:hAnsi="Times New Roman" w:cs="Times New Roman"/>
          <w:b/>
        </w:rPr>
      </w:pPr>
      <w:r w:rsidRPr="00EE7E38">
        <w:rPr>
          <w:rFonts w:ascii="Times New Roman" w:hAnsi="Times New Roman" w:cs="Times New Roman"/>
          <w:b/>
        </w:rPr>
        <w:t>2.2</w:t>
      </w:r>
      <w:r w:rsidRPr="00EE7E38">
        <w:rPr>
          <w:rFonts w:ascii="Times New Roman" w:hAnsi="Times New Roman" w:cs="Times New Roman"/>
          <w:b/>
        </w:rPr>
        <w:tab/>
        <w:t>Patient support to improve adherence to TB treatment</w:t>
      </w:r>
    </w:p>
    <w:p w14:paraId="17DF81A8" w14:textId="7B3F05AD"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outcomes of TB treatment depend on </w:t>
      </w:r>
      <w:r w:rsidR="00C53E44">
        <w:rPr>
          <w:rFonts w:ascii="Times New Roman" w:hAnsi="Times New Roman" w:cs="Times New Roman"/>
        </w:rPr>
        <w:t>patient</w:t>
      </w:r>
      <w:r w:rsidRPr="00EE7E38">
        <w:rPr>
          <w:rFonts w:ascii="Times New Roman" w:hAnsi="Times New Roman" w:cs="Times New Roman"/>
        </w:rPr>
        <w:t xml:space="preserve"> adherence to the</w:t>
      </w:r>
      <w:r w:rsidR="00C53E44">
        <w:rPr>
          <w:rFonts w:ascii="Times New Roman" w:hAnsi="Times New Roman" w:cs="Times New Roman"/>
        </w:rPr>
        <w:t xml:space="preserve"> prescribed</w:t>
      </w:r>
      <w:r w:rsidRPr="00EE7E38">
        <w:rPr>
          <w:rFonts w:ascii="Times New Roman" w:hAnsi="Times New Roman" w:cs="Times New Roman"/>
        </w:rPr>
        <w:t xml:space="preserve"> regimen. Adherence support is therefore a key component of the TB program. It is especially relevant for patients with M/XDR-TB, who need to undergo lengthy (up to two</w:t>
      </w:r>
      <w:r w:rsidR="00C53E44">
        <w:rPr>
          <w:rFonts w:ascii="Times New Roman" w:hAnsi="Times New Roman" w:cs="Times New Roman"/>
        </w:rPr>
        <w:t xml:space="preserve"> </w:t>
      </w:r>
      <w:r w:rsidRPr="00EE7E38">
        <w:rPr>
          <w:rFonts w:ascii="Times New Roman" w:hAnsi="Times New Roman" w:cs="Times New Roman"/>
        </w:rPr>
        <w:t xml:space="preserve">years) treatment, have daily visits to health facilities and often suffer from serious adverse effects caused by TB medicines. In addition, various social and economic factors often prevent patients from completing treatment, such as the need to resume work </w:t>
      </w:r>
      <w:r w:rsidR="00C53E44">
        <w:rPr>
          <w:rFonts w:ascii="Times New Roman" w:hAnsi="Times New Roman" w:cs="Times New Roman"/>
        </w:rPr>
        <w:t>to maintain</w:t>
      </w:r>
      <w:r w:rsidRPr="00EE7E38">
        <w:rPr>
          <w:rFonts w:ascii="Times New Roman" w:hAnsi="Times New Roman" w:cs="Times New Roman"/>
        </w:rPr>
        <w:t xml:space="preserve"> family income.</w:t>
      </w:r>
    </w:p>
    <w:p w14:paraId="747DD5DB" w14:textId="6C5035F4"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 patient-centered approach to TB treatment is instrumental for promoting adherence to the therapy, improve quality of life and relieve suffering. Ensuring proper adherence to the regimen implies </w:t>
      </w:r>
      <w:r w:rsidR="00C53E44">
        <w:rPr>
          <w:rFonts w:ascii="Times New Roman" w:hAnsi="Times New Roman" w:cs="Times New Roman"/>
        </w:rPr>
        <w:t xml:space="preserve">DOT, </w:t>
      </w:r>
      <w:r w:rsidRPr="00EE7E38">
        <w:rPr>
          <w:rFonts w:ascii="Times New Roman" w:hAnsi="Times New Roman" w:cs="Times New Roman"/>
        </w:rPr>
        <w:t>whe</w:t>
      </w:r>
      <w:r w:rsidR="00C53E44">
        <w:rPr>
          <w:rFonts w:ascii="Times New Roman" w:hAnsi="Times New Roman" w:cs="Times New Roman"/>
        </w:rPr>
        <w:t>re</w:t>
      </w:r>
      <w:r w:rsidRPr="00EE7E38">
        <w:rPr>
          <w:rFonts w:ascii="Times New Roman" w:hAnsi="Times New Roman" w:cs="Times New Roman"/>
        </w:rPr>
        <w:t xml:space="preserve"> a treatment supporter closely supervises the intake of TB medicines by the patient. With DOT, ADRs and other complications can be recognized quickly and managed appropriately</w:t>
      </w:r>
      <w:r w:rsidR="00C53E44">
        <w:rPr>
          <w:rFonts w:ascii="Times New Roman" w:hAnsi="Times New Roman" w:cs="Times New Roman"/>
        </w:rPr>
        <w:t xml:space="preserve">. </w:t>
      </w:r>
      <w:proofErr w:type="gramStart"/>
      <w:r w:rsidR="00C53E44">
        <w:rPr>
          <w:rFonts w:ascii="Times New Roman" w:hAnsi="Times New Roman" w:cs="Times New Roman"/>
        </w:rPr>
        <w:t>Needs for additional social support can</w:t>
      </w:r>
      <w:proofErr w:type="gramEnd"/>
      <w:r w:rsidR="00C53E44">
        <w:rPr>
          <w:rFonts w:ascii="Times New Roman" w:hAnsi="Times New Roman" w:cs="Times New Roman"/>
        </w:rPr>
        <w:t xml:space="preserve"> also be promptly identified. </w:t>
      </w:r>
      <w:r w:rsidRPr="00EE7E38">
        <w:rPr>
          <w:rFonts w:ascii="Times New Roman" w:hAnsi="Times New Roman" w:cs="Times New Roman"/>
        </w:rPr>
        <w:t xml:space="preserve"> Individualized patient-centered approaches for ensuring adherence include a flexible mix of health facility- and community-based DOT.</w:t>
      </w:r>
    </w:p>
    <w:p w14:paraId="1A822BDF" w14:textId="5C32CD7F"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Treatment support is a cornerstone of the best practices for TB management. In Georgia, at present adherence support to TB patients is mainly provided through the Global Fund project; the Government covers a </w:t>
      </w:r>
      <w:r w:rsidR="00C53E44">
        <w:rPr>
          <w:rFonts w:ascii="Times New Roman" w:hAnsi="Times New Roman" w:cs="Times New Roman"/>
        </w:rPr>
        <w:t>portion of the</w:t>
      </w:r>
      <w:r w:rsidRPr="00EE7E38">
        <w:rPr>
          <w:rFonts w:ascii="Times New Roman" w:hAnsi="Times New Roman" w:cs="Times New Roman"/>
        </w:rPr>
        <w:t xml:space="preserve"> cash incentives for MDR-TB patients. This Plans </w:t>
      </w:r>
      <w:r w:rsidR="00E26564" w:rsidRPr="00EE7E38">
        <w:rPr>
          <w:rFonts w:ascii="Times New Roman" w:hAnsi="Times New Roman" w:cs="Times New Roman"/>
        </w:rPr>
        <w:t xml:space="preserve">calls for </w:t>
      </w:r>
      <w:r w:rsidRPr="00EE7E38">
        <w:rPr>
          <w:rFonts w:ascii="Times New Roman" w:hAnsi="Times New Roman" w:cs="Times New Roman"/>
        </w:rPr>
        <w:t>sustaining these practices beyond TGF support and further expanding them though implementation of effective patient-centered approaches, which will have impact on adherence and treatment outcomes.</w:t>
      </w:r>
    </w:p>
    <w:p w14:paraId="0ED9C07D" w14:textId="0ADEA9AF"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Expansion of quality outpatient TB treatment, including for drug-resistant cases, is a priority NTP task for the next program period and represents an important step towards implementation of patient-centered care. However, to be successful, it requires comprehensive patient support measures to motivate the patients to accept and adhere to this model, including provision of incentives and enablers to the patients, psychosocial support, enablers </w:t>
      </w:r>
      <w:r w:rsidR="000963A5" w:rsidRPr="00EE7E38">
        <w:rPr>
          <w:rFonts w:ascii="Times New Roman" w:hAnsi="Times New Roman" w:cs="Times New Roman"/>
        </w:rPr>
        <w:t xml:space="preserve">for </w:t>
      </w:r>
      <w:r w:rsidRPr="00EE7E38">
        <w:rPr>
          <w:rFonts w:ascii="Times New Roman" w:hAnsi="Times New Roman" w:cs="Times New Roman"/>
        </w:rPr>
        <w:t>health care</w:t>
      </w:r>
      <w:r w:rsidR="000963A5" w:rsidRPr="00EE7E38">
        <w:rPr>
          <w:rFonts w:ascii="Times New Roman" w:hAnsi="Times New Roman" w:cs="Times New Roman"/>
        </w:rPr>
        <w:t xml:space="preserve"> workers (including PHC staff) </w:t>
      </w:r>
      <w:r w:rsidRPr="00EE7E38">
        <w:rPr>
          <w:rFonts w:ascii="Times New Roman" w:hAnsi="Times New Roman" w:cs="Times New Roman"/>
        </w:rPr>
        <w:t>and innovative approaches such as ‘</w:t>
      </w:r>
      <w:r w:rsidR="00A067AA" w:rsidRPr="00EE7E38">
        <w:rPr>
          <w:rFonts w:ascii="Times New Roman" w:hAnsi="Times New Roman" w:cs="Times New Roman"/>
        </w:rPr>
        <w:t>Video-observed treatment</w:t>
      </w:r>
      <w:r w:rsidRPr="00EE7E38">
        <w:rPr>
          <w:rFonts w:ascii="Times New Roman" w:hAnsi="Times New Roman" w:cs="Times New Roman"/>
        </w:rPr>
        <w:t>’</w:t>
      </w:r>
      <w:r w:rsidR="00C10148" w:rsidRPr="00EE7E38">
        <w:rPr>
          <w:rFonts w:ascii="Times New Roman" w:hAnsi="Times New Roman" w:cs="Times New Roman"/>
        </w:rPr>
        <w:t xml:space="preserve"> (VOT)</w:t>
      </w:r>
      <w:r w:rsidRPr="00EE7E38">
        <w:rPr>
          <w:rFonts w:ascii="Times New Roman" w:hAnsi="Times New Roman" w:cs="Times New Roman"/>
        </w:rPr>
        <w:t xml:space="preserve"> using mobile telephon</w:t>
      </w:r>
      <w:r w:rsidR="00C53E44">
        <w:rPr>
          <w:rFonts w:ascii="Times New Roman" w:hAnsi="Times New Roman" w:cs="Times New Roman"/>
        </w:rPr>
        <w:t>e</w:t>
      </w:r>
      <w:r w:rsidRPr="00EE7E38">
        <w:rPr>
          <w:rFonts w:ascii="Times New Roman" w:hAnsi="Times New Roman" w:cs="Times New Roman"/>
        </w:rPr>
        <w:t xml:space="preserve"> technologies. </w:t>
      </w:r>
    </w:p>
    <w:p w14:paraId="52BA30E8" w14:textId="22C888C5" w:rsidR="005A003D" w:rsidRPr="00EE7E38" w:rsidRDefault="00C53E44" w:rsidP="00835F94">
      <w:pPr>
        <w:widowControl w:val="0"/>
        <w:spacing w:before="120" w:after="120" w:line="240" w:lineRule="auto"/>
        <w:jc w:val="both"/>
        <w:rPr>
          <w:rFonts w:ascii="Times New Roman" w:hAnsi="Times New Roman" w:cs="Times New Roman"/>
        </w:rPr>
      </w:pPr>
      <w:r>
        <w:rPr>
          <w:rFonts w:ascii="Times New Roman" w:hAnsi="Times New Roman" w:cs="Times New Roman"/>
        </w:rPr>
        <w:t>To ensure sustainable takeover from external donors</w:t>
      </w:r>
      <w:r w:rsidR="005A003D" w:rsidRPr="00EE7E38">
        <w:rPr>
          <w:rFonts w:ascii="Times New Roman" w:hAnsi="Times New Roman" w:cs="Times New Roman"/>
        </w:rPr>
        <w:t xml:space="preserve">, the Government will encourage </w:t>
      </w:r>
      <w:r w:rsidR="000963A5" w:rsidRPr="00EE7E38">
        <w:rPr>
          <w:rFonts w:ascii="Times New Roman" w:hAnsi="Times New Roman" w:cs="Times New Roman"/>
        </w:rPr>
        <w:t>an i</w:t>
      </w:r>
      <w:r w:rsidR="005A003D" w:rsidRPr="00EE7E38">
        <w:rPr>
          <w:rFonts w:ascii="Times New Roman" w:hAnsi="Times New Roman" w:cs="Times New Roman"/>
        </w:rPr>
        <w:t xml:space="preserve">ncreasing participation of </w:t>
      </w:r>
      <w:r w:rsidR="0041159C">
        <w:rPr>
          <w:rFonts w:ascii="Times New Roman" w:hAnsi="Times New Roman" w:cs="Times New Roman"/>
        </w:rPr>
        <w:t>NGOs</w:t>
      </w:r>
      <w:r w:rsidR="005A003D" w:rsidRPr="00EE7E38">
        <w:rPr>
          <w:rFonts w:ascii="Times New Roman" w:hAnsi="Times New Roman" w:cs="Times New Roman"/>
        </w:rPr>
        <w:t xml:space="preserve"> and community establishments in the field</w:t>
      </w:r>
      <w:r w:rsidR="000963A5" w:rsidRPr="00EE7E38">
        <w:rPr>
          <w:rFonts w:ascii="Times New Roman" w:hAnsi="Times New Roman" w:cs="Times New Roman"/>
        </w:rPr>
        <w:t xml:space="preserve">. </w:t>
      </w:r>
      <w:r w:rsidR="005A003D" w:rsidRPr="00EE7E38">
        <w:rPr>
          <w:rFonts w:ascii="Times New Roman" w:hAnsi="Times New Roman" w:cs="Times New Roman"/>
        </w:rPr>
        <w:t>The NSP aims at developing mechanisms for financial and programmatic takeover by the Government. It is planned that by the end of 2018, the required set of patient support activities will be covered by domestic resources.</w:t>
      </w:r>
    </w:p>
    <w:p w14:paraId="4BF328A5"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4A6B1F27"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Incentives and enablers for TB patients. </w:t>
      </w:r>
      <w:r w:rsidRPr="00EE7E38">
        <w:rPr>
          <w:rFonts w:ascii="Times New Roman" w:hAnsi="Times New Roman" w:cs="Times New Roman"/>
        </w:rPr>
        <w:t xml:space="preserve">It is aimed to provide incentives to all TB patients on treatment, regardless of the form of disease and treatment regimen, as the key means for strengthening adherence. Based on the ongoing experience, it is planned to continue the practice of monetary incentives to patients in most cases, under strict observation of compliance. Enablers (such as reimbursement of transportation expenses), as well as additional patient support measures (e.g. nutritional supplements) will be considered depending on the individual patient’s medical and social conditions and service delivery context. </w:t>
      </w:r>
    </w:p>
    <w:p w14:paraId="0A96F383" w14:textId="77A45724"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Enablers for health care staff. </w:t>
      </w:r>
      <w:r w:rsidRPr="00EE7E38">
        <w:rPr>
          <w:rFonts w:ascii="Times New Roman" w:hAnsi="Times New Roman" w:cs="Times New Roman"/>
          <w:iCs/>
        </w:rPr>
        <w:t>As</w:t>
      </w:r>
      <w:r w:rsidR="00C53E44">
        <w:rPr>
          <w:rFonts w:ascii="Times New Roman" w:hAnsi="Times New Roman" w:cs="Times New Roman"/>
          <w:iCs/>
        </w:rPr>
        <w:t xml:space="preserve"> some</w:t>
      </w:r>
      <w:r w:rsidR="00D43D9A">
        <w:rPr>
          <w:rFonts w:ascii="Times New Roman" w:hAnsi="Times New Roman" w:cs="Times New Roman"/>
          <w:iCs/>
        </w:rPr>
        <w:t xml:space="preserve"> </w:t>
      </w:r>
      <w:r w:rsidRPr="00EE7E38">
        <w:rPr>
          <w:rFonts w:ascii="Times New Roman" w:hAnsi="Times New Roman" w:cs="Times New Roman"/>
        </w:rPr>
        <w:t xml:space="preserve">TB patients will need to be visited at home by a health worker for drug dispensing and follow-up, additional enablers to caregivers (PHC nurses) will be provided in the form of reimbursement of local transport costs for home visits. Additionally, </w:t>
      </w:r>
      <w:proofErr w:type="spellStart"/>
      <w:r w:rsidRPr="00EE7E38">
        <w:rPr>
          <w:rFonts w:ascii="Times New Roman" w:hAnsi="Times New Roman" w:cs="Times New Roman"/>
          <w:iCs/>
        </w:rPr>
        <w:t>MoLHSA</w:t>
      </w:r>
      <w:proofErr w:type="spellEnd"/>
      <w:r w:rsidRPr="00EE7E38">
        <w:rPr>
          <w:rFonts w:ascii="Times New Roman" w:hAnsi="Times New Roman" w:cs="Times New Roman"/>
          <w:iCs/>
        </w:rPr>
        <w:t xml:space="preserve"> will explore the options for the establishment of </w:t>
      </w:r>
      <w:r w:rsidR="00DF2853" w:rsidRPr="00EE7E38">
        <w:rPr>
          <w:rFonts w:ascii="Times New Roman" w:hAnsi="Times New Roman" w:cs="Times New Roman"/>
          <w:iCs/>
        </w:rPr>
        <w:t>performance</w:t>
      </w:r>
      <w:r w:rsidR="00C10148" w:rsidRPr="00EE7E38">
        <w:rPr>
          <w:rFonts w:ascii="Times New Roman" w:hAnsi="Times New Roman" w:cs="Times New Roman"/>
          <w:iCs/>
        </w:rPr>
        <w:t xml:space="preserve"> </w:t>
      </w:r>
      <w:r w:rsidRPr="00EE7E38">
        <w:rPr>
          <w:rFonts w:ascii="Times New Roman" w:hAnsi="Times New Roman" w:cs="Times New Roman"/>
          <w:iCs/>
        </w:rPr>
        <w:t xml:space="preserve">payments to the staff of the </w:t>
      </w:r>
      <w:r w:rsidRPr="00EE7E38">
        <w:rPr>
          <w:rFonts w:ascii="Times New Roman" w:hAnsi="Times New Roman" w:cs="Times New Roman"/>
          <w:iCs/>
        </w:rPr>
        <w:lastRenderedPageBreak/>
        <w:t xml:space="preserve">specialized TB service and PHC service in relation to TB care (primarily, linked to adherence and successful completion of treatment, in special for full outpatient treatment of M/XDR-TB cases), and integration of these payments </w:t>
      </w:r>
      <w:r w:rsidR="00C53E44">
        <w:rPr>
          <w:rFonts w:ascii="Times New Roman" w:hAnsi="Times New Roman" w:cs="Times New Roman"/>
          <w:iCs/>
        </w:rPr>
        <w:t>into</w:t>
      </w:r>
      <w:r w:rsidRPr="00EE7E38">
        <w:rPr>
          <w:rFonts w:ascii="Times New Roman" w:hAnsi="Times New Roman" w:cs="Times New Roman"/>
          <w:iCs/>
        </w:rPr>
        <w:t xml:space="preserve"> provider payment schemes. </w:t>
      </w:r>
    </w:p>
    <w:p w14:paraId="5C08A1FC" w14:textId="30977ED9"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Psycho</w:t>
      </w:r>
      <w:r w:rsidR="000963A5" w:rsidRPr="00EE7E38">
        <w:rPr>
          <w:rFonts w:ascii="Times New Roman" w:hAnsi="Times New Roman" w:cs="Times New Roman"/>
          <w:i/>
          <w:iCs/>
        </w:rPr>
        <w:t xml:space="preserve">logical and </w:t>
      </w:r>
      <w:r w:rsidRPr="00EE7E38">
        <w:rPr>
          <w:rFonts w:ascii="Times New Roman" w:hAnsi="Times New Roman" w:cs="Times New Roman"/>
          <w:i/>
          <w:iCs/>
        </w:rPr>
        <w:t>social support to TB patients.</w:t>
      </w:r>
      <w:r w:rsidR="0064370F" w:rsidRPr="00EE7E38">
        <w:rPr>
          <w:rFonts w:ascii="Times New Roman" w:hAnsi="Times New Roman" w:cs="Times New Roman"/>
        </w:rPr>
        <w:t xml:space="preserve"> </w:t>
      </w:r>
      <w:r w:rsidRPr="00EE7E38">
        <w:rPr>
          <w:rFonts w:ascii="Times New Roman" w:hAnsi="Times New Roman" w:cs="Times New Roman"/>
          <w:i/>
          <w:iCs/>
        </w:rPr>
        <w:t xml:space="preserve"> </w:t>
      </w:r>
      <w:r w:rsidRPr="00EE7E38">
        <w:rPr>
          <w:rFonts w:ascii="Times New Roman" w:hAnsi="Times New Roman" w:cs="Times New Roman"/>
        </w:rPr>
        <w:t>In appropriate settings, patient support teams, which may include psychologists, social workers and peer-supporters (e.g. former TB patients, family members)</w:t>
      </w:r>
      <w:r w:rsidR="00C53E44">
        <w:rPr>
          <w:rFonts w:ascii="Times New Roman" w:hAnsi="Times New Roman" w:cs="Times New Roman"/>
        </w:rPr>
        <w:t xml:space="preserve"> will be established</w:t>
      </w:r>
      <w:r w:rsidR="00C10148" w:rsidRPr="00EE7E38">
        <w:rPr>
          <w:rFonts w:ascii="Times New Roman" w:hAnsi="Times New Roman" w:cs="Times New Roman"/>
        </w:rPr>
        <w:t xml:space="preserve">. </w:t>
      </w:r>
      <w:r w:rsidR="00C53E44">
        <w:rPr>
          <w:rFonts w:ascii="Times New Roman" w:hAnsi="Times New Roman" w:cs="Times New Roman"/>
        </w:rPr>
        <w:t>A s</w:t>
      </w:r>
      <w:r w:rsidR="00C10148" w:rsidRPr="00EE7E38">
        <w:rPr>
          <w:rFonts w:ascii="Times New Roman" w:hAnsi="Times New Roman" w:cs="Times New Roman"/>
        </w:rPr>
        <w:t xml:space="preserve">imilar intervention was initiated in 2017 with </w:t>
      </w:r>
      <w:r w:rsidR="00C53E44">
        <w:rPr>
          <w:rFonts w:ascii="Times New Roman" w:hAnsi="Times New Roman" w:cs="Times New Roman"/>
        </w:rPr>
        <w:t xml:space="preserve">Global Fund </w:t>
      </w:r>
      <w:r w:rsidR="00C10148" w:rsidRPr="00EE7E38">
        <w:rPr>
          <w:rFonts w:ascii="Times New Roman" w:hAnsi="Times New Roman" w:cs="Times New Roman"/>
        </w:rPr>
        <w:t xml:space="preserve">support. </w:t>
      </w:r>
      <w:r w:rsidR="0064370F" w:rsidRPr="00EE7E38">
        <w:rPr>
          <w:rFonts w:ascii="Times New Roman" w:hAnsi="Times New Roman" w:cs="Times New Roman"/>
        </w:rPr>
        <w:t>These groups</w:t>
      </w:r>
      <w:r w:rsidR="00C10148" w:rsidRPr="00EE7E38">
        <w:rPr>
          <w:rFonts w:ascii="Times New Roman" w:hAnsi="Times New Roman" w:cs="Times New Roman"/>
        </w:rPr>
        <w:t xml:space="preserve"> </w:t>
      </w:r>
      <w:r w:rsidRPr="00EE7E38">
        <w:rPr>
          <w:rFonts w:ascii="Times New Roman" w:hAnsi="Times New Roman" w:cs="Times New Roman"/>
        </w:rPr>
        <w:t>provi</w:t>
      </w:r>
      <w:r w:rsidR="0064370F" w:rsidRPr="00EE7E38">
        <w:rPr>
          <w:rFonts w:ascii="Times New Roman" w:hAnsi="Times New Roman" w:cs="Times New Roman"/>
        </w:rPr>
        <w:t>de</w:t>
      </w:r>
      <w:r w:rsidRPr="00EE7E38">
        <w:rPr>
          <w:rFonts w:ascii="Times New Roman" w:hAnsi="Times New Roman" w:cs="Times New Roman"/>
        </w:rPr>
        <w:t xml:space="preserve"> information, education and psychosocial support to motivate TB patients to complete treatment and address potential risk factors for interruption of the prescribed regimen, with special attention to M/XDR-TB cases and individuals from socially disadvantaged and </w:t>
      </w:r>
      <w:r w:rsidR="0064370F" w:rsidRPr="00EE7E38">
        <w:rPr>
          <w:rFonts w:ascii="Times New Roman" w:hAnsi="Times New Roman" w:cs="Times New Roman"/>
        </w:rPr>
        <w:t>high</w:t>
      </w:r>
      <w:r w:rsidRPr="00EE7E38">
        <w:rPr>
          <w:rFonts w:ascii="Times New Roman" w:hAnsi="Times New Roman" w:cs="Times New Roman"/>
        </w:rPr>
        <w:t xml:space="preserve">-risk groups. </w:t>
      </w:r>
    </w:p>
    <w:p w14:paraId="523B1FA1" w14:textId="35BEE0FB"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Mobile technologies for adherence support. </w:t>
      </w:r>
      <w:r w:rsidRPr="00EE7E38">
        <w:rPr>
          <w:rFonts w:ascii="Times New Roman" w:hAnsi="Times New Roman" w:cs="Times New Roman"/>
          <w:iCs/>
        </w:rPr>
        <w:t>D</w:t>
      </w:r>
      <w:r w:rsidRPr="00EE7E38">
        <w:rPr>
          <w:rFonts w:ascii="Times New Roman" w:hAnsi="Times New Roman" w:cs="Times New Roman"/>
        </w:rPr>
        <w:t>emonstration projects will be carried out in defined settings, which will use mobile telephon</w:t>
      </w:r>
      <w:r w:rsidR="00C53E44">
        <w:rPr>
          <w:rFonts w:ascii="Times New Roman" w:hAnsi="Times New Roman" w:cs="Times New Roman"/>
        </w:rPr>
        <w:t>e</w:t>
      </w:r>
      <w:r w:rsidRPr="00EE7E38">
        <w:rPr>
          <w:rFonts w:ascii="Times New Roman" w:hAnsi="Times New Roman" w:cs="Times New Roman"/>
        </w:rPr>
        <w:t xml:space="preserve"> technologies for strengthening adherence to TB treatment – through consultations, reminders (for drug taking and scheduled visit to specialists), verification of intake, provision of </w:t>
      </w:r>
      <w:r w:rsidR="0064370F" w:rsidRPr="00EE7E38">
        <w:rPr>
          <w:rFonts w:ascii="Times New Roman" w:hAnsi="Times New Roman" w:cs="Times New Roman"/>
        </w:rPr>
        <w:t xml:space="preserve">incentives </w:t>
      </w:r>
      <w:r w:rsidRPr="00EE7E38">
        <w:rPr>
          <w:rFonts w:ascii="Times New Roman" w:hAnsi="Times New Roman" w:cs="Times New Roman"/>
        </w:rPr>
        <w:t>to compliant patients, etc. For this purpose, the NTP will work on mobilizing additional resources through the collaboration international partners as well as with the providers of mobile telephon</w:t>
      </w:r>
      <w:r w:rsidR="00C53E44">
        <w:rPr>
          <w:rFonts w:ascii="Times New Roman" w:hAnsi="Times New Roman" w:cs="Times New Roman"/>
        </w:rPr>
        <w:t>e</w:t>
      </w:r>
      <w:r w:rsidRPr="00EE7E38">
        <w:rPr>
          <w:rFonts w:ascii="Times New Roman" w:hAnsi="Times New Roman" w:cs="Times New Roman"/>
        </w:rPr>
        <w:t xml:space="preserve"> services in Georgia.</w:t>
      </w:r>
    </w:p>
    <w:p w14:paraId="41395096" w14:textId="77777777" w:rsidR="005A003D" w:rsidRPr="00EE7E38" w:rsidRDefault="005A003D"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2.3</w:t>
      </w:r>
      <w:r w:rsidRPr="00EE7E38">
        <w:rPr>
          <w:rFonts w:ascii="Times New Roman" w:hAnsi="Times New Roman" w:cs="Times New Roman"/>
          <w:b/>
        </w:rPr>
        <w:tab/>
        <w:t xml:space="preserve">Treatment monitoring, management of adverse drug reactions and comorbidities </w:t>
      </w:r>
    </w:p>
    <w:p w14:paraId="4ED54FF3" w14:textId="3833DE42"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Close monitoring of patients throughout their anti-TB treatment is essential as it allows </w:t>
      </w:r>
      <w:r w:rsidR="00F831DD">
        <w:rPr>
          <w:rFonts w:ascii="Times New Roman" w:hAnsi="Times New Roman" w:cs="Times New Roman"/>
        </w:rPr>
        <w:t xml:space="preserve">providers </w:t>
      </w:r>
      <w:r w:rsidRPr="00EE7E38">
        <w:rPr>
          <w:rFonts w:ascii="Times New Roman" w:hAnsi="Times New Roman" w:cs="Times New Roman"/>
        </w:rPr>
        <w:t xml:space="preserve">to evaluate the bacteriological and clinical responses and to adjust treatment strategies as necessary, thus providing for better patient outcomes. Bacteriological monitoring includes sputum smear microscopy, culture and DST; these methods will be applied in line with the latest WHO standards for each treatment category, including the targeted use of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in sensitive and poly-resistant TB (PDR-TB) cases and monthly cultures during the whole duration of M/XDR-TB treatment. Bacteriological monitoring provides for timely detection of acquired drug resistance and for relevant adjustment of the treatment regimen.</w:t>
      </w:r>
    </w:p>
    <w:p w14:paraId="686905BA" w14:textId="76C9BB85"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Comprehensive clinical monitoring of patients during anti-TB treatment </w:t>
      </w:r>
      <w:r w:rsidR="00F831DD">
        <w:rPr>
          <w:rFonts w:ascii="Times New Roman" w:hAnsi="Times New Roman" w:cs="Times New Roman"/>
        </w:rPr>
        <w:t>requires</w:t>
      </w:r>
      <w:r w:rsidR="00F831DD" w:rsidRPr="00EE7E38">
        <w:rPr>
          <w:rFonts w:ascii="Times New Roman" w:hAnsi="Times New Roman" w:cs="Times New Roman"/>
        </w:rPr>
        <w:t xml:space="preserve"> </w:t>
      </w:r>
      <w:r w:rsidRPr="00EE7E38">
        <w:rPr>
          <w:rFonts w:ascii="Times New Roman" w:hAnsi="Times New Roman" w:cs="Times New Roman"/>
        </w:rPr>
        <w:t xml:space="preserve">performing of a range of laboratory and other diagnostic investigations, which are necessary, inter alia, to properly detect and manage adverse effects of TB medications. </w:t>
      </w:r>
      <w:r w:rsidR="000E3A84" w:rsidRPr="00EE7E38">
        <w:rPr>
          <w:rFonts w:ascii="Times New Roman" w:hAnsi="Times New Roman" w:cs="Times New Roman"/>
        </w:rPr>
        <w:t>Radiographic investigation (</w:t>
      </w:r>
      <w:proofErr w:type="spellStart"/>
      <w:r w:rsidR="000E3A84" w:rsidRPr="00EE7E38">
        <w:rPr>
          <w:rFonts w:ascii="Times New Roman" w:hAnsi="Times New Roman" w:cs="Times New Roman"/>
        </w:rPr>
        <w:t>e.g</w:t>
      </w:r>
      <w:proofErr w:type="spellEnd"/>
      <w:r w:rsidR="000E3A84" w:rsidRPr="00EE7E38">
        <w:rPr>
          <w:rFonts w:ascii="Times New Roman" w:hAnsi="Times New Roman" w:cs="Times New Roman"/>
        </w:rPr>
        <w:t xml:space="preserve"> </w:t>
      </w:r>
      <w:r w:rsidRPr="00EE7E38">
        <w:rPr>
          <w:rFonts w:ascii="Times New Roman" w:hAnsi="Times New Roman" w:cs="Times New Roman"/>
        </w:rPr>
        <w:t>Chest X-ray) is a useful adjunct in assessing response to treatment, although it is not a substitute for microbiologic evaluation. In patients with extrapulmonary TB and in children, clinical evaluations are often the only available means of assessing the response to treatment.</w:t>
      </w:r>
    </w:p>
    <w:p w14:paraId="200D925B" w14:textId="342BE251" w:rsidR="005A003D" w:rsidRPr="00EE7E38" w:rsidRDefault="00F831DD" w:rsidP="00835F94">
      <w:pPr>
        <w:widowControl w:val="0"/>
        <w:spacing w:before="120" w:after="120" w:line="240" w:lineRule="auto"/>
        <w:jc w:val="both"/>
        <w:rPr>
          <w:rFonts w:ascii="Times New Roman" w:hAnsi="Times New Roman" w:cs="Times New Roman"/>
        </w:rPr>
      </w:pPr>
      <w:r>
        <w:rPr>
          <w:rFonts w:ascii="Times New Roman" w:hAnsi="Times New Roman" w:cs="Times New Roman"/>
        </w:rPr>
        <w:t>ADRs</w:t>
      </w:r>
      <w:r w:rsidR="005A003D" w:rsidRPr="00EE7E38">
        <w:rPr>
          <w:rFonts w:ascii="Times New Roman" w:hAnsi="Times New Roman" w:cs="Times New Roman"/>
        </w:rPr>
        <w:t xml:space="preserve"> are common when administering anti-TB medicines, especially those used for treatment of drug-resistant TB cases. ADRs may lead to very serious and even life-threatening complications and are important contributors to unfavorable treatment results.</w:t>
      </w:r>
      <w:r w:rsidR="000E3A84" w:rsidRPr="00EE7E38">
        <w:rPr>
          <w:rFonts w:ascii="Times New Roman" w:hAnsi="Times New Roman" w:cs="Times New Roman"/>
        </w:rPr>
        <w:t xml:space="preserve"> NTP will </w:t>
      </w:r>
      <w:r w:rsidR="00C10148" w:rsidRPr="00EE7E38">
        <w:rPr>
          <w:rFonts w:ascii="Times New Roman" w:hAnsi="Times New Roman" w:cs="Times New Roman"/>
        </w:rPr>
        <w:t>further strengthen</w:t>
      </w:r>
      <w:r w:rsidR="000E3A84" w:rsidRPr="00EE7E38">
        <w:rPr>
          <w:rFonts w:ascii="Times New Roman" w:hAnsi="Times New Roman" w:cs="Times New Roman"/>
        </w:rPr>
        <w:t xml:space="preserve"> t</w:t>
      </w:r>
      <w:r w:rsidR="005A003D" w:rsidRPr="00EE7E38">
        <w:rPr>
          <w:rFonts w:ascii="Times New Roman" w:hAnsi="Times New Roman" w:cs="Times New Roman"/>
        </w:rPr>
        <w:t xml:space="preserve">he system for early recognition and proper management of ADRs as an important prerequisite for improving the effectiveness of DR-TB treatment, especially taking into account its decentralization and the increasing use of new anti-TB agents. </w:t>
      </w:r>
    </w:p>
    <w:p w14:paraId="43B4621C" w14:textId="129600CA" w:rsidR="005A003D" w:rsidRPr="00EE7E38" w:rsidRDefault="00C10148"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w:t>
      </w:r>
      <w:r w:rsidR="005A003D" w:rsidRPr="00EE7E38">
        <w:rPr>
          <w:rFonts w:ascii="Times New Roman" w:hAnsi="Times New Roman" w:cs="Times New Roman"/>
        </w:rPr>
        <w:t xml:space="preserve"> Government will </w:t>
      </w:r>
      <w:r w:rsidRPr="00EE7E38">
        <w:rPr>
          <w:rFonts w:ascii="Times New Roman" w:hAnsi="Times New Roman" w:cs="Times New Roman"/>
        </w:rPr>
        <w:t xml:space="preserve">continuously </w:t>
      </w:r>
      <w:r w:rsidR="005A003D" w:rsidRPr="00EE7E38">
        <w:rPr>
          <w:rFonts w:ascii="Times New Roman" w:hAnsi="Times New Roman" w:cs="Times New Roman"/>
        </w:rPr>
        <w:t xml:space="preserve">ensure availability of all necessary clinical laboratory tests and other investigations for diagnosing undesired effects of TB drugs, as well as pharmaceuticals to treat ADR-induced morbidities, in accordance </w:t>
      </w:r>
      <w:r w:rsidR="00FC3851">
        <w:rPr>
          <w:rFonts w:ascii="Times New Roman" w:hAnsi="Times New Roman" w:cs="Times New Roman"/>
        </w:rPr>
        <w:t>with</w:t>
      </w:r>
      <w:r w:rsidR="00FC3851" w:rsidRPr="00EE7E38">
        <w:rPr>
          <w:rFonts w:ascii="Times New Roman" w:hAnsi="Times New Roman" w:cs="Times New Roman"/>
        </w:rPr>
        <w:t xml:space="preserve"> </w:t>
      </w:r>
      <w:r w:rsidR="005A003D" w:rsidRPr="00EE7E38">
        <w:rPr>
          <w:rFonts w:ascii="Times New Roman" w:hAnsi="Times New Roman" w:cs="Times New Roman"/>
        </w:rPr>
        <w:t xml:space="preserve">the international evidence and guidance. These tests and drugs will be provided free of charge to all TB patients, regardless the form of disease or setting where the cases are managed. </w:t>
      </w:r>
    </w:p>
    <w:p w14:paraId="7A2496B9" w14:textId="1FA9042D"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Clinical monitoring is also important to diagnose and treat complications related to various comorbidities. In addition to the severity of TB disease, a number of other factors can affect the response to and outcome of treatment, including concomitant illnesses and psychosocial issues. Addressing co-morbid conditions commonly associated with TB decreases treatment </w:t>
      </w:r>
      <w:proofErr w:type="gramStart"/>
      <w:r w:rsidRPr="00EE7E38">
        <w:rPr>
          <w:rFonts w:ascii="Times New Roman" w:hAnsi="Times New Roman" w:cs="Times New Roman"/>
        </w:rPr>
        <w:t>interruption,</w:t>
      </w:r>
      <w:proofErr w:type="gramEnd"/>
      <w:r w:rsidRPr="00EE7E38">
        <w:rPr>
          <w:rFonts w:ascii="Times New Roman" w:hAnsi="Times New Roman" w:cs="Times New Roman"/>
        </w:rPr>
        <w:t xml:space="preserve"> prevents drug resistance, and decreases treatment failures and deaths. This Plan emphasizes the need to reinforce the thorough assessment for co-morbid conditions and other factors that could affect TB treatment response, and provision of appropriate medical services to manage these conditions for ensuring an optimal outcome for each patient. Particular attention will be paid to diseases and conditions known to affect treatment outcome</w:t>
      </w:r>
      <w:r w:rsidR="00FC3851">
        <w:rPr>
          <w:rFonts w:ascii="Times New Roman" w:hAnsi="Times New Roman" w:cs="Times New Roman"/>
        </w:rPr>
        <w:t>, including</w:t>
      </w:r>
      <w:r w:rsidRPr="00EE7E38">
        <w:rPr>
          <w:rFonts w:ascii="Times New Roman" w:hAnsi="Times New Roman" w:cs="Times New Roman"/>
        </w:rPr>
        <w:t xml:space="preserve"> HIV, other immunosuppressive disorders, diabetes mellitus, chronic obstructive pulmonary disease (COPD), malnutrition, alcohol and other substance abuse, and tobacco smoking.</w:t>
      </w:r>
    </w:p>
    <w:p w14:paraId="68B72D24" w14:textId="3211EE11" w:rsidR="005A003D" w:rsidRPr="00EE7E38" w:rsidRDefault="00FC3851" w:rsidP="00835F94">
      <w:pPr>
        <w:widowControl w:val="0"/>
        <w:spacing w:before="120" w:after="120" w:line="240" w:lineRule="auto"/>
        <w:jc w:val="both"/>
        <w:rPr>
          <w:rFonts w:ascii="Times New Roman" w:hAnsi="Times New Roman" w:cs="Times New Roman"/>
        </w:rPr>
      </w:pPr>
      <w:r>
        <w:rPr>
          <w:rFonts w:ascii="Times New Roman" w:hAnsi="Times New Roman" w:cs="Times New Roman"/>
        </w:rPr>
        <w:t>TB</w:t>
      </w:r>
      <w:r w:rsidRPr="00EE7E38">
        <w:rPr>
          <w:rFonts w:ascii="Times New Roman" w:hAnsi="Times New Roman" w:cs="Times New Roman"/>
        </w:rPr>
        <w:t xml:space="preserve"> </w:t>
      </w:r>
      <w:r w:rsidR="005A003D" w:rsidRPr="00EE7E38">
        <w:rPr>
          <w:rFonts w:ascii="Times New Roman" w:hAnsi="Times New Roman" w:cs="Times New Roman"/>
        </w:rPr>
        <w:t xml:space="preserve">is strongly associated with HIV infection. In Georgia, active TB is found in over 16% of individuals </w:t>
      </w:r>
      <w:r w:rsidR="005A003D" w:rsidRPr="00EE7E38">
        <w:rPr>
          <w:rFonts w:ascii="Times New Roman" w:hAnsi="Times New Roman" w:cs="Times New Roman"/>
        </w:rPr>
        <w:lastRenderedPageBreak/>
        <w:t xml:space="preserve">newly diagnosed with HIV, and is the leading cause of death among PLHIV (21.3% overall since the onset of HIV registration in 1989). HIV infection increases the likelihood of progression from infection with </w:t>
      </w:r>
      <w:r w:rsidR="005A003D" w:rsidRPr="00B241D0">
        <w:rPr>
          <w:rFonts w:ascii="Times New Roman" w:hAnsi="Times New Roman" w:cs="Times New Roman"/>
          <w:i/>
        </w:rPr>
        <w:t>M. Tb</w:t>
      </w:r>
      <w:r w:rsidR="005A003D" w:rsidRPr="00EE7E38">
        <w:rPr>
          <w:rFonts w:ascii="Times New Roman" w:hAnsi="Times New Roman" w:cs="Times New Roman"/>
        </w:rPr>
        <w:t xml:space="preserve"> to active TB disease. Although HIV prevalence in the general population of Georgia is low, HIV-infected individuals are always at high risk of TB.</w:t>
      </w:r>
    </w:p>
    <w:p w14:paraId="77743BB8" w14:textId="07C7071B" w:rsidR="00155F47" w:rsidRDefault="005A003D" w:rsidP="00363A07">
      <w:pPr>
        <w:pStyle w:val="Caption"/>
        <w:keepNext/>
        <w:rPr>
          <w:rFonts w:ascii="Times New Roman" w:hAnsi="Times New Roman" w:cs="Times New Roman"/>
          <w:b w:val="0"/>
          <w:bCs w:val="0"/>
          <w:color w:val="auto"/>
          <w:sz w:val="22"/>
          <w:szCs w:val="22"/>
        </w:rPr>
      </w:pPr>
      <w:r w:rsidRPr="00EE7E38">
        <w:rPr>
          <w:rFonts w:ascii="Times New Roman" w:hAnsi="Times New Roman" w:cs="Times New Roman"/>
          <w:b w:val="0"/>
          <w:bCs w:val="0"/>
          <w:color w:val="auto"/>
          <w:sz w:val="22"/>
          <w:szCs w:val="22"/>
        </w:rPr>
        <w:t xml:space="preserve">Intensified TB case finding among PLHIV is described under Objective 1. </w:t>
      </w:r>
      <w:r w:rsidR="00155F47">
        <w:rPr>
          <w:rFonts w:ascii="Times New Roman" w:hAnsi="Times New Roman" w:cs="Times New Roman"/>
          <w:b w:val="0"/>
          <w:bCs w:val="0"/>
          <w:color w:val="auto"/>
          <w:sz w:val="22"/>
          <w:szCs w:val="22"/>
        </w:rPr>
        <w:t>D</w:t>
      </w:r>
      <w:r w:rsidRPr="00EE7E38">
        <w:rPr>
          <w:rFonts w:ascii="Times New Roman" w:hAnsi="Times New Roman" w:cs="Times New Roman"/>
          <w:b w:val="0"/>
          <w:bCs w:val="0"/>
          <w:color w:val="auto"/>
          <w:sz w:val="22"/>
          <w:szCs w:val="22"/>
        </w:rPr>
        <w:t>iagnostic HIV counseling and testing (DCT) will be performed in all TB patients in Georgia at the start of their TB treatment. Special attention will be given to risk groups with higher prevalence of HIV, such as injecting drug users. The NTP will integrate provider-initiated DCT in the routine protocol for the management of TB patients</w:t>
      </w:r>
      <w:r w:rsidR="00DF2853" w:rsidRPr="00EE7E38">
        <w:rPr>
          <w:rFonts w:ascii="Times New Roman" w:hAnsi="Times New Roman" w:cs="Times New Roman"/>
          <w:b w:val="0"/>
          <w:bCs w:val="0"/>
          <w:color w:val="auto"/>
          <w:sz w:val="22"/>
          <w:szCs w:val="22"/>
        </w:rPr>
        <w:t>.</w:t>
      </w:r>
      <w:r w:rsidR="00C10148" w:rsidRPr="00EE7E38">
        <w:rPr>
          <w:rFonts w:ascii="Times New Roman" w:hAnsi="Times New Roman" w:cs="Times New Roman"/>
          <w:b w:val="0"/>
          <w:bCs w:val="0"/>
          <w:color w:val="auto"/>
          <w:sz w:val="22"/>
          <w:szCs w:val="22"/>
        </w:rPr>
        <w:t xml:space="preserve"> </w:t>
      </w:r>
      <w:r w:rsidRPr="00EE7E38">
        <w:rPr>
          <w:rFonts w:ascii="Times New Roman" w:hAnsi="Times New Roman" w:cs="Times New Roman"/>
          <w:b w:val="0"/>
          <w:bCs w:val="0"/>
          <w:color w:val="auto"/>
          <w:sz w:val="22"/>
          <w:szCs w:val="22"/>
        </w:rPr>
        <w:t xml:space="preserve">Rapid serologic HIV tests will be supplied to all inpatient and outpatient medical facilities providing TB treatment, and will be administered by TB service staff. The National AIDS Program (NAP) will be responsible for confirmation of cases detected as HIV-positive at TB units. In cooperation with NAP, the NTP will ensure that rapid tests for Hepatitis B and Hepatitis C are offered to TB patients simultaneously with DCT for HIV. </w:t>
      </w:r>
      <w:r w:rsidR="00C10148" w:rsidRPr="00EE7E38">
        <w:rPr>
          <w:rFonts w:ascii="Times New Roman" w:hAnsi="Times New Roman" w:cs="Times New Roman"/>
          <w:b w:val="0"/>
          <w:bCs w:val="0"/>
          <w:color w:val="auto"/>
          <w:sz w:val="22"/>
          <w:szCs w:val="22"/>
        </w:rPr>
        <w:t>Integrated screening programs for HIV hepatitis C and TB will continue to ensure timely detection and proper management of these diseases</w:t>
      </w:r>
      <w:r w:rsidR="00155F47">
        <w:rPr>
          <w:rFonts w:ascii="Times New Roman" w:hAnsi="Times New Roman" w:cs="Times New Roman"/>
          <w:b w:val="0"/>
          <w:bCs w:val="0"/>
          <w:color w:val="auto"/>
          <w:sz w:val="22"/>
          <w:szCs w:val="22"/>
        </w:rPr>
        <w:t xml:space="preserve">. </w:t>
      </w:r>
      <w:r w:rsidRPr="00EE7E38">
        <w:rPr>
          <w:rFonts w:ascii="Times New Roman" w:hAnsi="Times New Roman" w:cs="Times New Roman"/>
          <w:b w:val="0"/>
          <w:bCs w:val="0"/>
          <w:color w:val="auto"/>
          <w:sz w:val="22"/>
          <w:szCs w:val="22"/>
        </w:rPr>
        <w:t>Access to antiretroviral therapy (ART) will be ensured for all co-infected patients. In line with the latest international standard</w:t>
      </w:r>
      <w:r w:rsidRPr="00B241D0">
        <w:rPr>
          <w:rFonts w:ascii="Times New Roman" w:hAnsi="Times New Roman" w:cs="Times New Roman"/>
          <w:b w:val="0"/>
          <w:bCs w:val="0"/>
          <w:color w:val="auto"/>
          <w:sz w:val="22"/>
          <w:szCs w:val="22"/>
          <w:vertAlign w:val="superscript"/>
        </w:rPr>
        <w:footnoteReference w:id="33"/>
      </w:r>
      <w:r w:rsidRPr="00EE7E38">
        <w:rPr>
          <w:rFonts w:ascii="Times New Roman" w:hAnsi="Times New Roman" w:cs="Times New Roman"/>
          <w:b w:val="0"/>
          <w:bCs w:val="0"/>
          <w:color w:val="auto"/>
          <w:sz w:val="22"/>
          <w:szCs w:val="22"/>
        </w:rPr>
        <w:t>, in TB/HIV patients who have profound immunosuppression, ART will be initiated within two weeks of beginning TB treatment. For all other TB patients co-infected with HIV, ART should be initiated not later than within two months after the start of TB treatment. All TB/HIV patients should receive ART as early as possible as it results in substantial reduction in mortality and AIDS-related morbidity, and improves survival and quality of life of HIV-infected persons. The Plan aims at ensuring universal access to ART for the patients with HIV-associated TB (not less than 90% since the first year of implementation), and it is estimated</w:t>
      </w:r>
      <w:r w:rsidR="00012605" w:rsidRPr="00EE7E38">
        <w:rPr>
          <w:rFonts w:ascii="Times New Roman" w:hAnsi="Times New Roman" w:cs="Times New Roman"/>
          <w:b w:val="0"/>
          <w:bCs w:val="0"/>
          <w:color w:val="auto"/>
          <w:sz w:val="22"/>
          <w:szCs w:val="22"/>
        </w:rPr>
        <w:t xml:space="preserve"> that about </w:t>
      </w:r>
      <w:r w:rsidR="004741ED" w:rsidRPr="00EE7E38">
        <w:rPr>
          <w:rFonts w:ascii="Times New Roman" w:hAnsi="Times New Roman" w:cs="Times New Roman"/>
          <w:b w:val="0"/>
          <w:bCs w:val="0"/>
          <w:color w:val="auto"/>
          <w:sz w:val="22"/>
          <w:szCs w:val="22"/>
        </w:rPr>
        <w:t>55</w:t>
      </w:r>
      <w:r w:rsidR="00D86C6D" w:rsidRPr="00EE7E38">
        <w:rPr>
          <w:rFonts w:ascii="Times New Roman" w:hAnsi="Times New Roman" w:cs="Times New Roman"/>
          <w:b w:val="0"/>
          <w:bCs w:val="0"/>
          <w:color w:val="auto"/>
          <w:sz w:val="22"/>
          <w:szCs w:val="22"/>
        </w:rPr>
        <w:t>0</w:t>
      </w:r>
      <w:r w:rsidRPr="00EE7E38">
        <w:rPr>
          <w:rFonts w:ascii="Times New Roman" w:hAnsi="Times New Roman" w:cs="Times New Roman"/>
          <w:b w:val="0"/>
          <w:bCs w:val="0"/>
          <w:color w:val="auto"/>
          <w:sz w:val="22"/>
          <w:szCs w:val="22"/>
        </w:rPr>
        <w:t xml:space="preserve"> TB/HIV patients will require treatment with antiretroviral drugs during 201</w:t>
      </w:r>
      <w:r w:rsidR="004741ED" w:rsidRPr="00EE7E38">
        <w:rPr>
          <w:rFonts w:ascii="Times New Roman" w:hAnsi="Times New Roman" w:cs="Times New Roman"/>
          <w:b w:val="0"/>
          <w:bCs w:val="0"/>
          <w:color w:val="auto"/>
          <w:sz w:val="22"/>
          <w:szCs w:val="22"/>
        </w:rPr>
        <w:t>9</w:t>
      </w:r>
      <w:r w:rsidRPr="00EE7E38">
        <w:rPr>
          <w:rFonts w:ascii="Times New Roman" w:hAnsi="Times New Roman" w:cs="Times New Roman"/>
          <w:b w:val="0"/>
          <w:bCs w:val="0"/>
          <w:color w:val="auto"/>
          <w:sz w:val="22"/>
          <w:szCs w:val="22"/>
        </w:rPr>
        <w:t>-202</w:t>
      </w:r>
      <w:r w:rsidR="004741ED" w:rsidRPr="00EE7E38">
        <w:rPr>
          <w:rFonts w:ascii="Times New Roman" w:hAnsi="Times New Roman" w:cs="Times New Roman"/>
          <w:b w:val="0"/>
          <w:bCs w:val="0"/>
          <w:color w:val="auto"/>
          <w:sz w:val="22"/>
          <w:szCs w:val="22"/>
        </w:rPr>
        <w:t>2</w:t>
      </w:r>
      <w:r w:rsidRPr="00EE7E38">
        <w:rPr>
          <w:rFonts w:ascii="Times New Roman" w:hAnsi="Times New Roman" w:cs="Times New Roman"/>
          <w:b w:val="0"/>
          <w:bCs w:val="0"/>
          <w:color w:val="auto"/>
          <w:sz w:val="22"/>
          <w:szCs w:val="22"/>
        </w:rPr>
        <w:t xml:space="preserve"> (Table </w:t>
      </w:r>
      <w:r w:rsidR="00C10148" w:rsidRPr="00EE7E38">
        <w:rPr>
          <w:rFonts w:ascii="Times New Roman" w:hAnsi="Times New Roman" w:cs="Times New Roman"/>
          <w:b w:val="0"/>
          <w:bCs w:val="0"/>
          <w:color w:val="auto"/>
          <w:sz w:val="22"/>
          <w:szCs w:val="22"/>
        </w:rPr>
        <w:t>6</w:t>
      </w:r>
      <w:r w:rsidRPr="00EE7E38">
        <w:rPr>
          <w:rFonts w:ascii="Times New Roman" w:hAnsi="Times New Roman" w:cs="Times New Roman"/>
          <w:b w:val="0"/>
          <w:bCs w:val="0"/>
          <w:color w:val="auto"/>
          <w:sz w:val="22"/>
          <w:szCs w:val="22"/>
        </w:rPr>
        <w:t>).</w:t>
      </w:r>
    </w:p>
    <w:p w14:paraId="564BBAAF" w14:textId="4123FE13" w:rsidR="00363A07" w:rsidRPr="00B241D0" w:rsidRDefault="00363A07" w:rsidP="00B241D0">
      <w:pPr>
        <w:pStyle w:val="Caption"/>
      </w:pPr>
      <w:proofErr w:type="gramStart"/>
      <w:r w:rsidRPr="00B241D0">
        <w:t xml:space="preserve">Table </w:t>
      </w:r>
      <w:r w:rsidR="00190629" w:rsidRPr="00B241D0">
        <w:fldChar w:fldCharType="begin"/>
      </w:r>
      <w:r w:rsidRPr="00B241D0">
        <w:instrText xml:space="preserve"> SEQ Table \* ARABIC </w:instrText>
      </w:r>
      <w:r w:rsidR="00190629" w:rsidRPr="00B241D0">
        <w:fldChar w:fldCharType="separate"/>
      </w:r>
      <w:r w:rsidR="00676B83" w:rsidRPr="00B241D0">
        <w:t>6</w:t>
      </w:r>
      <w:r w:rsidR="00190629" w:rsidRPr="00B241D0">
        <w:fldChar w:fldCharType="end"/>
      </w:r>
      <w:r w:rsidRPr="00B241D0">
        <w:t>.</w:t>
      </w:r>
      <w:proofErr w:type="gramEnd"/>
      <w:r w:rsidRPr="00B241D0">
        <w:t xml:space="preserve"> </w:t>
      </w:r>
      <w:proofErr w:type="gramStart"/>
      <w:r w:rsidRPr="00B241D0">
        <w:t xml:space="preserve">Estimated HIV prevalence among TB cases, ART enrolment rates and number of TB/HIV patients </w:t>
      </w:r>
      <w:r w:rsidR="00893357" w:rsidRPr="00B241D0">
        <w:t>to receive ART in Georgia, 2019</w:t>
      </w:r>
      <w:r w:rsidRPr="00B241D0">
        <w:t>-2022</w:t>
      </w:r>
      <w:r w:rsidR="00893357" w:rsidRPr="00B241D0">
        <w:t>.</w:t>
      </w:r>
      <w:proofErr w:type="gramEnd"/>
    </w:p>
    <w:tbl>
      <w:tblPr>
        <w:tblW w:w="461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0"/>
        <w:gridCol w:w="1400"/>
        <w:gridCol w:w="1400"/>
        <w:gridCol w:w="1400"/>
        <w:gridCol w:w="1400"/>
        <w:gridCol w:w="1378"/>
      </w:tblGrid>
      <w:tr w:rsidR="00363A07" w:rsidRPr="00EE7E38" w14:paraId="66F454D1" w14:textId="77777777" w:rsidTr="00363A07">
        <w:tc>
          <w:tcPr>
            <w:tcW w:w="1161" w:type="pct"/>
            <w:vAlign w:val="center"/>
          </w:tcPr>
          <w:p w14:paraId="3245A809" w14:textId="77777777" w:rsidR="00363A07" w:rsidRPr="00EE7E38" w:rsidRDefault="00363A07" w:rsidP="00835F94">
            <w:pPr>
              <w:widowControl w:val="0"/>
              <w:spacing w:before="40" w:after="40" w:line="240" w:lineRule="auto"/>
              <w:rPr>
                <w:rFonts w:ascii="Times New Roman" w:hAnsi="Times New Roman" w:cs="Times New Roman"/>
                <w:b/>
                <w:bCs/>
                <w:i/>
                <w:iCs/>
                <w:sz w:val="20"/>
                <w:szCs w:val="20"/>
              </w:rPr>
            </w:pPr>
          </w:p>
        </w:tc>
        <w:tc>
          <w:tcPr>
            <w:tcW w:w="770" w:type="pct"/>
            <w:vAlign w:val="center"/>
          </w:tcPr>
          <w:p w14:paraId="354C40A7" w14:textId="77777777" w:rsidR="00363A07" w:rsidRPr="00EE7E38" w:rsidRDefault="00363A07"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2019</w:t>
            </w:r>
          </w:p>
        </w:tc>
        <w:tc>
          <w:tcPr>
            <w:tcW w:w="770" w:type="pct"/>
            <w:vAlign w:val="center"/>
          </w:tcPr>
          <w:p w14:paraId="49592946" w14:textId="77777777" w:rsidR="00363A07" w:rsidRPr="00EE7E38" w:rsidRDefault="00363A07"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2020</w:t>
            </w:r>
          </w:p>
        </w:tc>
        <w:tc>
          <w:tcPr>
            <w:tcW w:w="770" w:type="pct"/>
            <w:vAlign w:val="center"/>
          </w:tcPr>
          <w:p w14:paraId="7C913DC4" w14:textId="77777777" w:rsidR="00363A07" w:rsidRPr="00EE7E38" w:rsidRDefault="00363A07"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2021</w:t>
            </w:r>
          </w:p>
        </w:tc>
        <w:tc>
          <w:tcPr>
            <w:tcW w:w="770" w:type="pct"/>
            <w:vAlign w:val="center"/>
          </w:tcPr>
          <w:p w14:paraId="6AFB7226" w14:textId="77777777" w:rsidR="00363A07" w:rsidRPr="00EE7E38" w:rsidRDefault="00363A07"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2022</w:t>
            </w:r>
          </w:p>
        </w:tc>
        <w:tc>
          <w:tcPr>
            <w:tcW w:w="758" w:type="pct"/>
            <w:vAlign w:val="center"/>
          </w:tcPr>
          <w:p w14:paraId="4B571603" w14:textId="77777777" w:rsidR="00363A07" w:rsidRPr="00EE7E38" w:rsidRDefault="00363A07" w:rsidP="00835F94">
            <w:pPr>
              <w:widowControl w:val="0"/>
              <w:spacing w:before="40" w:after="40" w:line="240" w:lineRule="auto"/>
              <w:jc w:val="center"/>
              <w:rPr>
                <w:rFonts w:ascii="Times New Roman" w:hAnsi="Times New Roman" w:cs="Times New Roman"/>
                <w:b/>
                <w:bCs/>
                <w:i/>
                <w:iCs/>
                <w:sz w:val="20"/>
                <w:szCs w:val="20"/>
              </w:rPr>
            </w:pPr>
            <w:r w:rsidRPr="00EE7E38">
              <w:rPr>
                <w:rFonts w:ascii="Times New Roman" w:hAnsi="Times New Roman" w:cs="Times New Roman"/>
                <w:b/>
                <w:bCs/>
                <w:i/>
                <w:iCs/>
                <w:sz w:val="20"/>
                <w:szCs w:val="20"/>
              </w:rPr>
              <w:t>Total 4 years</w:t>
            </w:r>
          </w:p>
        </w:tc>
      </w:tr>
      <w:tr w:rsidR="00363A07" w:rsidRPr="00EE7E38" w14:paraId="782EEEC7" w14:textId="77777777" w:rsidTr="00363A07">
        <w:tc>
          <w:tcPr>
            <w:tcW w:w="1161" w:type="pct"/>
            <w:vAlign w:val="center"/>
          </w:tcPr>
          <w:p w14:paraId="4666CD10" w14:textId="77777777" w:rsidR="00363A07" w:rsidRPr="00EE7E38" w:rsidRDefault="00363A0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Total estimated number of TB cases</w:t>
            </w:r>
          </w:p>
        </w:tc>
        <w:tc>
          <w:tcPr>
            <w:tcW w:w="770" w:type="pct"/>
          </w:tcPr>
          <w:p w14:paraId="70D5B14E" w14:textId="77777777" w:rsidR="00363A07" w:rsidRPr="00EE7E38" w:rsidRDefault="00363A07" w:rsidP="00D86C6D">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2,856</w:t>
            </w:r>
          </w:p>
        </w:tc>
        <w:tc>
          <w:tcPr>
            <w:tcW w:w="770" w:type="pct"/>
          </w:tcPr>
          <w:p w14:paraId="50FFFD03"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2,713</w:t>
            </w:r>
          </w:p>
        </w:tc>
        <w:tc>
          <w:tcPr>
            <w:tcW w:w="770" w:type="pct"/>
          </w:tcPr>
          <w:p w14:paraId="079A49B7"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2,577</w:t>
            </w:r>
          </w:p>
        </w:tc>
        <w:tc>
          <w:tcPr>
            <w:tcW w:w="770" w:type="pct"/>
          </w:tcPr>
          <w:p w14:paraId="450A9AFE"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2,448</w:t>
            </w:r>
          </w:p>
        </w:tc>
        <w:tc>
          <w:tcPr>
            <w:tcW w:w="758" w:type="pct"/>
          </w:tcPr>
          <w:p w14:paraId="42E8CDE0" w14:textId="77777777" w:rsidR="00363A07" w:rsidRPr="00EE7E38" w:rsidRDefault="00363A07" w:rsidP="00D86C6D">
            <w:pPr>
              <w:widowControl w:val="0"/>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sz w:val="20"/>
                <w:szCs w:val="20"/>
              </w:rPr>
              <w:t>10,594</w:t>
            </w:r>
          </w:p>
        </w:tc>
      </w:tr>
      <w:tr w:rsidR="00363A07" w:rsidRPr="00EE7E38" w14:paraId="38BE5FFB" w14:textId="77777777" w:rsidTr="00363A07">
        <w:tc>
          <w:tcPr>
            <w:tcW w:w="1161" w:type="pct"/>
            <w:vAlign w:val="center"/>
          </w:tcPr>
          <w:p w14:paraId="3B8B316B" w14:textId="77777777" w:rsidR="00363A07" w:rsidRPr="00EE7E38" w:rsidRDefault="00363A0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Estimated HIV prevalence among all TB cases, %</w:t>
            </w:r>
          </w:p>
        </w:tc>
        <w:tc>
          <w:tcPr>
            <w:tcW w:w="770" w:type="pct"/>
          </w:tcPr>
          <w:p w14:paraId="65F3A9B7"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4.26%</w:t>
            </w:r>
          </w:p>
        </w:tc>
        <w:tc>
          <w:tcPr>
            <w:tcW w:w="770" w:type="pct"/>
          </w:tcPr>
          <w:p w14:paraId="4FC2B522"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4.52%</w:t>
            </w:r>
          </w:p>
        </w:tc>
        <w:tc>
          <w:tcPr>
            <w:tcW w:w="770" w:type="pct"/>
          </w:tcPr>
          <w:p w14:paraId="7BABC984"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4.79%</w:t>
            </w:r>
          </w:p>
        </w:tc>
        <w:tc>
          <w:tcPr>
            <w:tcW w:w="770" w:type="pct"/>
          </w:tcPr>
          <w:p w14:paraId="085EC9F0"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5.08%</w:t>
            </w:r>
          </w:p>
        </w:tc>
        <w:tc>
          <w:tcPr>
            <w:tcW w:w="758" w:type="pct"/>
          </w:tcPr>
          <w:p w14:paraId="3775AEC4" w14:textId="77777777" w:rsidR="00363A07" w:rsidRPr="00EE7E38" w:rsidRDefault="00363A07" w:rsidP="00835F94">
            <w:pPr>
              <w:widowControl w:val="0"/>
              <w:spacing w:before="40" w:after="40" w:line="240" w:lineRule="auto"/>
              <w:jc w:val="center"/>
              <w:rPr>
                <w:rFonts w:ascii="Times New Roman" w:hAnsi="Times New Roman" w:cs="Times New Roman"/>
                <w:b/>
                <w:bCs/>
                <w:sz w:val="20"/>
                <w:szCs w:val="20"/>
              </w:rPr>
            </w:pPr>
          </w:p>
        </w:tc>
      </w:tr>
      <w:tr w:rsidR="00363A07" w:rsidRPr="00EE7E38" w14:paraId="225138F8" w14:textId="77777777" w:rsidTr="00363A07">
        <w:tc>
          <w:tcPr>
            <w:tcW w:w="1161" w:type="pct"/>
            <w:vAlign w:val="center"/>
          </w:tcPr>
          <w:p w14:paraId="7A7504A9" w14:textId="77777777" w:rsidR="00363A07" w:rsidRPr="00EE7E38" w:rsidRDefault="00363A0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Estimated number of TB/HIV cases</w:t>
            </w:r>
          </w:p>
        </w:tc>
        <w:tc>
          <w:tcPr>
            <w:tcW w:w="770" w:type="pct"/>
          </w:tcPr>
          <w:p w14:paraId="7640B77C"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 xml:space="preserve"> 122 </w:t>
            </w:r>
          </w:p>
        </w:tc>
        <w:tc>
          <w:tcPr>
            <w:tcW w:w="770" w:type="pct"/>
          </w:tcPr>
          <w:p w14:paraId="2BCC060F"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 xml:space="preserve"> 123 </w:t>
            </w:r>
          </w:p>
        </w:tc>
        <w:tc>
          <w:tcPr>
            <w:tcW w:w="770" w:type="pct"/>
          </w:tcPr>
          <w:p w14:paraId="4D114A96"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 xml:space="preserve"> 123 </w:t>
            </w:r>
          </w:p>
        </w:tc>
        <w:tc>
          <w:tcPr>
            <w:tcW w:w="770" w:type="pct"/>
          </w:tcPr>
          <w:p w14:paraId="2B672DDE"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 xml:space="preserve"> 124 </w:t>
            </w:r>
          </w:p>
        </w:tc>
        <w:tc>
          <w:tcPr>
            <w:tcW w:w="758" w:type="pct"/>
          </w:tcPr>
          <w:p w14:paraId="30575B2A" w14:textId="77777777" w:rsidR="00363A07" w:rsidRPr="00EE7E38" w:rsidRDefault="00363A07" w:rsidP="00835F94">
            <w:pPr>
              <w:widowControl w:val="0"/>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sz w:val="20"/>
                <w:szCs w:val="20"/>
              </w:rPr>
              <w:t xml:space="preserve"> 492 </w:t>
            </w:r>
          </w:p>
        </w:tc>
      </w:tr>
      <w:tr w:rsidR="00363A07" w:rsidRPr="00EE7E38" w14:paraId="56281275" w14:textId="77777777" w:rsidTr="00363A07">
        <w:tc>
          <w:tcPr>
            <w:tcW w:w="1161" w:type="pct"/>
            <w:vAlign w:val="center"/>
          </w:tcPr>
          <w:p w14:paraId="21034C5A" w14:textId="77777777" w:rsidR="00363A07" w:rsidRPr="00EE7E38" w:rsidRDefault="00363A0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ART enrolment rate among TB/HIV cases</w:t>
            </w:r>
          </w:p>
        </w:tc>
        <w:tc>
          <w:tcPr>
            <w:tcW w:w="770" w:type="pct"/>
          </w:tcPr>
          <w:p w14:paraId="1694CC66"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94.25%</w:t>
            </w:r>
          </w:p>
        </w:tc>
        <w:tc>
          <w:tcPr>
            <w:tcW w:w="770" w:type="pct"/>
          </w:tcPr>
          <w:p w14:paraId="65722544"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95.00%</w:t>
            </w:r>
          </w:p>
        </w:tc>
        <w:tc>
          <w:tcPr>
            <w:tcW w:w="770" w:type="pct"/>
          </w:tcPr>
          <w:p w14:paraId="670C9517"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95.00%</w:t>
            </w:r>
          </w:p>
        </w:tc>
        <w:tc>
          <w:tcPr>
            <w:tcW w:w="770" w:type="pct"/>
          </w:tcPr>
          <w:p w14:paraId="68C08911"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95.00%</w:t>
            </w:r>
          </w:p>
        </w:tc>
        <w:tc>
          <w:tcPr>
            <w:tcW w:w="758" w:type="pct"/>
          </w:tcPr>
          <w:p w14:paraId="3D5738BA" w14:textId="77777777" w:rsidR="00363A07" w:rsidRPr="00EE7E38" w:rsidRDefault="00363A07" w:rsidP="00835F94">
            <w:pPr>
              <w:widowControl w:val="0"/>
              <w:spacing w:before="40" w:after="40" w:line="240" w:lineRule="auto"/>
              <w:jc w:val="center"/>
              <w:rPr>
                <w:rFonts w:ascii="Times New Roman" w:hAnsi="Times New Roman" w:cs="Times New Roman"/>
                <w:b/>
                <w:bCs/>
                <w:sz w:val="20"/>
                <w:szCs w:val="20"/>
              </w:rPr>
            </w:pPr>
          </w:p>
        </w:tc>
      </w:tr>
      <w:tr w:rsidR="00363A07" w:rsidRPr="00EE7E38" w14:paraId="68F476F1" w14:textId="77777777" w:rsidTr="00363A07">
        <w:tc>
          <w:tcPr>
            <w:tcW w:w="1161" w:type="pct"/>
            <w:vAlign w:val="center"/>
          </w:tcPr>
          <w:p w14:paraId="5A58F901" w14:textId="77777777" w:rsidR="00363A07" w:rsidRPr="00EE7E38" w:rsidRDefault="00363A07" w:rsidP="00835F94">
            <w:pPr>
              <w:widowControl w:val="0"/>
              <w:spacing w:before="40" w:after="40" w:line="240" w:lineRule="auto"/>
              <w:rPr>
                <w:rFonts w:ascii="Times New Roman" w:hAnsi="Times New Roman" w:cs="Times New Roman"/>
                <w:sz w:val="20"/>
                <w:szCs w:val="20"/>
              </w:rPr>
            </w:pPr>
            <w:r w:rsidRPr="00EE7E38">
              <w:rPr>
                <w:rFonts w:ascii="Times New Roman" w:hAnsi="Times New Roman" w:cs="Times New Roman"/>
                <w:sz w:val="20"/>
                <w:szCs w:val="20"/>
              </w:rPr>
              <w:t>Number of TB/HIV patients on ART</w:t>
            </w:r>
          </w:p>
        </w:tc>
        <w:tc>
          <w:tcPr>
            <w:tcW w:w="770" w:type="pct"/>
          </w:tcPr>
          <w:p w14:paraId="225587C9"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130</w:t>
            </w:r>
          </w:p>
        </w:tc>
        <w:tc>
          <w:tcPr>
            <w:tcW w:w="770" w:type="pct"/>
          </w:tcPr>
          <w:p w14:paraId="4646FD7D"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135</w:t>
            </w:r>
          </w:p>
        </w:tc>
        <w:tc>
          <w:tcPr>
            <w:tcW w:w="770" w:type="pct"/>
          </w:tcPr>
          <w:p w14:paraId="2C778B97"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140</w:t>
            </w:r>
          </w:p>
        </w:tc>
        <w:tc>
          <w:tcPr>
            <w:tcW w:w="770" w:type="pct"/>
          </w:tcPr>
          <w:p w14:paraId="0132D7E8" w14:textId="77777777" w:rsidR="00363A07" w:rsidRPr="00EE7E38" w:rsidRDefault="00363A07" w:rsidP="00835F94">
            <w:pPr>
              <w:widowControl w:val="0"/>
              <w:spacing w:before="40" w:after="40" w:line="240" w:lineRule="auto"/>
              <w:jc w:val="center"/>
              <w:rPr>
                <w:rFonts w:ascii="Times New Roman" w:hAnsi="Times New Roman" w:cs="Times New Roman"/>
                <w:bCs/>
                <w:sz w:val="20"/>
                <w:szCs w:val="20"/>
              </w:rPr>
            </w:pPr>
            <w:r w:rsidRPr="00EE7E38">
              <w:rPr>
                <w:rFonts w:ascii="Times New Roman" w:hAnsi="Times New Roman" w:cs="Times New Roman"/>
                <w:sz w:val="20"/>
                <w:szCs w:val="20"/>
              </w:rPr>
              <w:t>145</w:t>
            </w:r>
          </w:p>
        </w:tc>
        <w:tc>
          <w:tcPr>
            <w:tcW w:w="758" w:type="pct"/>
          </w:tcPr>
          <w:p w14:paraId="16918DAA" w14:textId="77777777" w:rsidR="00363A07" w:rsidRPr="00EE7E38" w:rsidRDefault="00363A07" w:rsidP="00835F94">
            <w:pPr>
              <w:widowControl w:val="0"/>
              <w:spacing w:before="40" w:after="40" w:line="240" w:lineRule="auto"/>
              <w:jc w:val="center"/>
              <w:rPr>
                <w:rFonts w:ascii="Times New Roman" w:hAnsi="Times New Roman" w:cs="Times New Roman"/>
                <w:b/>
                <w:bCs/>
                <w:sz w:val="20"/>
                <w:szCs w:val="20"/>
              </w:rPr>
            </w:pPr>
            <w:r w:rsidRPr="00EE7E38">
              <w:rPr>
                <w:rFonts w:ascii="Times New Roman" w:hAnsi="Times New Roman" w:cs="Times New Roman"/>
                <w:sz w:val="20"/>
                <w:szCs w:val="20"/>
                <w:lang w:val="ka-GE"/>
              </w:rPr>
              <w:t>550</w:t>
            </w:r>
          </w:p>
        </w:tc>
      </w:tr>
    </w:tbl>
    <w:p w14:paraId="0583EC22" w14:textId="79683F6B"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composition of TB treatment regimens does not differ between HIV-positive and HIV-negative patients as they must be designed in accordance to the patient’s TB drug resistance profile (see Intervention 2.1 above). However, a number of important issues associated with concomitant therapy for TB and HIV infection are to be considered, including overlapping drug toxicity profiles, drug-drug interactions and potential problems with adherence to multiple medications. Therefore, co-infected patients should be closely monitored to identify </w:t>
      </w:r>
      <w:r w:rsidR="00110362">
        <w:rPr>
          <w:rFonts w:ascii="Times New Roman" w:hAnsi="Times New Roman" w:cs="Times New Roman"/>
        </w:rPr>
        <w:t>ADRs</w:t>
      </w:r>
      <w:r w:rsidRPr="00EE7E38">
        <w:rPr>
          <w:rFonts w:ascii="Times New Roman" w:hAnsi="Times New Roman" w:cs="Times New Roman"/>
        </w:rPr>
        <w:t>. All patients with TB and HIV infection should also receive Cotrimoxazole preventive therapy (CPT) for prevention of opportunistic infections.</w:t>
      </w:r>
    </w:p>
    <w:p w14:paraId="310697CA"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Proper management of TB/HIV co-infection requires effective communication and interaction between TB services and HIV/AIDS services. For this purpose, the NTP and NAP will further collaborate for developing appropriate joint case management protocols and ensuring their implementation by all involved providers. Integration of TB and HIV services has been shown to result in reductions of mortality and higher treatment success rates; it also improves ART enrollment and its early initiation.</w:t>
      </w:r>
    </w:p>
    <w:p w14:paraId="64F9E624" w14:textId="0B23CB1F" w:rsidR="0086000B" w:rsidRPr="00EE7E38" w:rsidRDefault="00C10148"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Co-</w:t>
      </w:r>
      <w:r w:rsidR="0086000B" w:rsidRPr="00EE7E38">
        <w:rPr>
          <w:rFonts w:ascii="Times New Roman" w:hAnsi="Times New Roman" w:cs="Times New Roman"/>
        </w:rPr>
        <w:t xml:space="preserve">management of hepatitis C and </w:t>
      </w:r>
      <w:r w:rsidR="00110362">
        <w:rPr>
          <w:rFonts w:ascii="Times New Roman" w:hAnsi="Times New Roman" w:cs="Times New Roman"/>
        </w:rPr>
        <w:t>TB</w:t>
      </w:r>
      <w:r w:rsidR="00110362" w:rsidRPr="00EE7E38">
        <w:rPr>
          <w:rFonts w:ascii="Times New Roman" w:hAnsi="Times New Roman" w:cs="Times New Roman"/>
        </w:rPr>
        <w:t xml:space="preserve"> </w:t>
      </w:r>
      <w:r w:rsidR="0086000B" w:rsidRPr="00EE7E38">
        <w:rPr>
          <w:rFonts w:ascii="Times New Roman" w:hAnsi="Times New Roman" w:cs="Times New Roman"/>
        </w:rPr>
        <w:t xml:space="preserve">is becoming </w:t>
      </w:r>
      <w:r w:rsidR="00110362">
        <w:rPr>
          <w:rFonts w:ascii="Times New Roman" w:hAnsi="Times New Roman" w:cs="Times New Roman"/>
        </w:rPr>
        <w:t xml:space="preserve">an </w:t>
      </w:r>
      <w:r w:rsidR="0086000B" w:rsidRPr="00EE7E38">
        <w:rPr>
          <w:rFonts w:ascii="Times New Roman" w:hAnsi="Times New Roman" w:cs="Times New Roman"/>
        </w:rPr>
        <w:t>increasingly important issue</w:t>
      </w:r>
      <w:r w:rsidRPr="00EE7E38">
        <w:rPr>
          <w:rFonts w:ascii="Times New Roman" w:hAnsi="Times New Roman" w:cs="Times New Roman"/>
        </w:rPr>
        <w:t xml:space="preserve"> in Georgia</w:t>
      </w:r>
      <w:r w:rsidR="0086000B" w:rsidRPr="00EE7E38">
        <w:rPr>
          <w:rFonts w:ascii="Times New Roman" w:hAnsi="Times New Roman" w:cs="Times New Roman"/>
        </w:rPr>
        <w:t xml:space="preserve">. The National </w:t>
      </w:r>
      <w:r w:rsidR="0086000B" w:rsidRPr="00EE7E38">
        <w:rPr>
          <w:rFonts w:ascii="Times New Roman" w:hAnsi="Times New Roman" w:cs="Times New Roman"/>
        </w:rPr>
        <w:lastRenderedPageBreak/>
        <w:t xml:space="preserve">Tuberculosis Program will work to strengthen the treatment monitoring system and </w:t>
      </w:r>
      <w:r w:rsidRPr="00EE7E38">
        <w:rPr>
          <w:rFonts w:ascii="Times New Roman" w:hAnsi="Times New Roman" w:cs="Times New Roman"/>
        </w:rPr>
        <w:t xml:space="preserve">ensure </w:t>
      </w:r>
      <w:r w:rsidR="0086000B" w:rsidRPr="00EE7E38">
        <w:rPr>
          <w:rFonts w:ascii="Times New Roman" w:hAnsi="Times New Roman" w:cs="Times New Roman"/>
        </w:rPr>
        <w:t>selecti</w:t>
      </w:r>
      <w:r w:rsidRPr="00EE7E38">
        <w:rPr>
          <w:rFonts w:ascii="Times New Roman" w:hAnsi="Times New Roman" w:cs="Times New Roman"/>
        </w:rPr>
        <w:t>on of</w:t>
      </w:r>
      <w:r w:rsidR="0086000B" w:rsidRPr="00EE7E38">
        <w:rPr>
          <w:rFonts w:ascii="Times New Roman" w:hAnsi="Times New Roman" w:cs="Times New Roman"/>
        </w:rPr>
        <w:t xml:space="preserve"> optimal regimens to improve clinical outcomes of patients with </w:t>
      </w:r>
      <w:r w:rsidR="00FA278C">
        <w:rPr>
          <w:rFonts w:ascii="Times New Roman" w:hAnsi="Times New Roman" w:cs="Times New Roman"/>
        </w:rPr>
        <w:t>TB</w:t>
      </w:r>
      <w:r w:rsidR="00FA278C" w:rsidRPr="00EE7E38">
        <w:rPr>
          <w:rFonts w:ascii="Times New Roman" w:hAnsi="Times New Roman" w:cs="Times New Roman"/>
        </w:rPr>
        <w:t xml:space="preserve"> </w:t>
      </w:r>
      <w:r w:rsidR="0086000B" w:rsidRPr="00EE7E38">
        <w:rPr>
          <w:rFonts w:ascii="Times New Roman" w:hAnsi="Times New Roman" w:cs="Times New Roman"/>
        </w:rPr>
        <w:t>and hepatitis C.</w:t>
      </w:r>
    </w:p>
    <w:p w14:paraId="61FED109" w14:textId="1E076B0C"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Because of its high and increasing prevalence in Georgia, diabetes mellitus in relation to TB is a particular concern. Diabetes triples the risk of developing TB and increases the severity of the disease. Conversely, TB can worsen blood glucose control in persons with diabetes. Therefore, TB patients with diabetes require careful clinical management to ensure that optimal care is provided for both diseases. TB patients should be screened for diabetes at the start of their treatment; management of diabetes in patients with TB should be provided in full accordance with the up-to-date clinical standards</w:t>
      </w:r>
      <w:r w:rsidRPr="00EE7E38">
        <w:rPr>
          <w:rStyle w:val="FootnoteReference"/>
          <w:rFonts w:ascii="Times New Roman" w:hAnsi="Times New Roman" w:cs="Times New Roman"/>
        </w:rPr>
        <w:footnoteReference w:id="34"/>
      </w:r>
      <w:r w:rsidRPr="00EE7E38">
        <w:rPr>
          <w:rFonts w:ascii="Times New Roman" w:hAnsi="Times New Roman" w:cs="Times New Roman"/>
        </w:rPr>
        <w:t xml:space="preserve">. </w:t>
      </w:r>
      <w:r w:rsidR="00DF2853" w:rsidRPr="00EE7E38">
        <w:rPr>
          <w:rFonts w:ascii="Times New Roman" w:hAnsi="Times New Roman" w:cs="Times New Roman"/>
        </w:rPr>
        <w:t xml:space="preserve">It is estimated </w:t>
      </w:r>
      <w:r w:rsidRPr="00EE7E38">
        <w:rPr>
          <w:rFonts w:ascii="Times New Roman" w:hAnsi="Times New Roman" w:cs="Times New Roman"/>
        </w:rPr>
        <w:t>that diabetes ca</w:t>
      </w:r>
      <w:r w:rsidR="00756463">
        <w:rPr>
          <w:rFonts w:ascii="Times New Roman" w:hAnsi="Times New Roman" w:cs="Times New Roman"/>
        </w:rPr>
        <w:t>re will be required in up to 1,4</w:t>
      </w:r>
      <w:r w:rsidRPr="00EE7E38">
        <w:rPr>
          <w:rFonts w:ascii="Times New Roman" w:hAnsi="Times New Roman" w:cs="Times New Roman"/>
        </w:rPr>
        <w:t xml:space="preserve">00 TB patients during the </w:t>
      </w:r>
      <w:r w:rsidR="00756463">
        <w:rPr>
          <w:rFonts w:ascii="Times New Roman" w:hAnsi="Times New Roman" w:cs="Times New Roman"/>
        </w:rPr>
        <w:t>strategy implementation period</w:t>
      </w:r>
      <w:r w:rsidRPr="00EE7E38">
        <w:rPr>
          <w:rFonts w:ascii="Times New Roman" w:hAnsi="Times New Roman" w:cs="Times New Roman"/>
        </w:rPr>
        <w:t xml:space="preserve"> </w:t>
      </w:r>
      <w:r w:rsidR="00756463">
        <w:rPr>
          <w:rFonts w:ascii="Times New Roman" w:hAnsi="Times New Roman" w:cs="Times New Roman"/>
        </w:rPr>
        <w:t>2019-2022</w:t>
      </w:r>
      <w:r w:rsidRPr="00EE7E38">
        <w:rPr>
          <w:rFonts w:ascii="Times New Roman" w:hAnsi="Times New Roman" w:cs="Times New Roman"/>
        </w:rPr>
        <w:t xml:space="preserve"> (</w:t>
      </w:r>
      <w:r w:rsidR="00756463">
        <w:rPr>
          <w:rFonts w:ascii="Times New Roman" w:hAnsi="Times New Roman" w:cs="Times New Roman"/>
        </w:rPr>
        <w:t>350</w:t>
      </w:r>
      <w:r w:rsidRPr="00EE7E38">
        <w:rPr>
          <w:rFonts w:ascii="Times New Roman" w:hAnsi="Times New Roman" w:cs="Times New Roman"/>
        </w:rPr>
        <w:t xml:space="preserve"> cases annually). </w:t>
      </w:r>
    </w:p>
    <w:p w14:paraId="07A63DEF" w14:textId="77777777" w:rsidR="005A003D" w:rsidRPr="00EE7E38" w:rsidRDefault="005A003D" w:rsidP="00835F94">
      <w:pPr>
        <w:widowControl w:val="0"/>
        <w:spacing w:before="120" w:after="120" w:line="240" w:lineRule="auto"/>
        <w:jc w:val="both"/>
        <w:rPr>
          <w:rFonts w:ascii="Times New Roman" w:hAnsi="Times New Roman" w:cs="Times New Roman"/>
        </w:rPr>
      </w:pPr>
      <w:proofErr w:type="spellStart"/>
      <w:r w:rsidRPr="00EE7E38">
        <w:rPr>
          <w:rFonts w:ascii="Times New Roman" w:hAnsi="Times New Roman" w:cs="Times New Roman"/>
        </w:rPr>
        <w:t>Macronutritional</w:t>
      </w:r>
      <w:proofErr w:type="spellEnd"/>
      <w:r w:rsidRPr="00EE7E38">
        <w:rPr>
          <w:rFonts w:ascii="Times New Roman" w:hAnsi="Times New Roman" w:cs="Times New Roman"/>
        </w:rPr>
        <w:t xml:space="preserve"> deficiencies are both causes and consequences of TB. All TB patients should have a nutritional assessment at the beginning of and during treatment; and nutritional care should be provided according to the international recommendations</w:t>
      </w:r>
      <w:r w:rsidRPr="00EE7E38">
        <w:rPr>
          <w:rStyle w:val="FootnoteReference"/>
          <w:rFonts w:ascii="Times New Roman" w:hAnsi="Times New Roman" w:cs="Times New Roman"/>
        </w:rPr>
        <w:footnoteReference w:id="35"/>
      </w:r>
      <w:r w:rsidRPr="00EE7E38">
        <w:rPr>
          <w:rFonts w:ascii="Times New Roman" w:hAnsi="Times New Roman" w:cs="Times New Roman"/>
        </w:rPr>
        <w:t xml:space="preserve">. </w:t>
      </w:r>
    </w:p>
    <w:p w14:paraId="0FA2B060" w14:textId="7734297E"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Other diseases and treatments, for example immunosuppressive therapies by corticosteroids and tumor necrosis factor (TNF) alpha-inhibitors, increase the risk of </w:t>
      </w:r>
      <w:r w:rsidR="00A33C34">
        <w:rPr>
          <w:rFonts w:ascii="Times New Roman" w:hAnsi="Times New Roman" w:cs="Times New Roman"/>
        </w:rPr>
        <w:t>TB</w:t>
      </w:r>
      <w:r w:rsidR="00A33C34" w:rsidRPr="00EE7E38">
        <w:rPr>
          <w:rFonts w:ascii="Times New Roman" w:hAnsi="Times New Roman" w:cs="Times New Roman"/>
        </w:rPr>
        <w:t xml:space="preserve"> </w:t>
      </w:r>
      <w:r w:rsidRPr="00EE7E38">
        <w:rPr>
          <w:rFonts w:ascii="Times New Roman" w:hAnsi="Times New Roman" w:cs="Times New Roman"/>
        </w:rPr>
        <w:t>and may alter the clinical features of the disease. Physicians in the general health service need to be aware of the increased risk of TB and be alert for symptoms that may indicate the presence of TB disease in such patients, and isoniazid preventive treatment should be considered if active TB is excluded (see Intervention 2.5 below).</w:t>
      </w:r>
    </w:p>
    <w:p w14:paraId="6F550F57"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2D3A6CD9"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Laboratory supplies for bacteriological tests for treatment monitoring. </w:t>
      </w:r>
      <w:r w:rsidRPr="00EE7E38">
        <w:rPr>
          <w:rFonts w:ascii="Times New Roman" w:hAnsi="Times New Roman" w:cs="Times New Roman"/>
        </w:rPr>
        <w:t xml:space="preserve">Supplies for direct smear microscopy, cultures and DST will be procured in quantities necessary for monitoring treatment progress in all patient groups. </w:t>
      </w:r>
      <w:r w:rsidRPr="00EE7E38">
        <w:rPr>
          <w:rFonts w:ascii="Times New Roman" w:hAnsi="Times New Roman" w:cs="Times New Roman"/>
          <w:u w:val="single"/>
        </w:rPr>
        <w:t>Note</w:t>
      </w:r>
      <w:r w:rsidRPr="00EE7E38">
        <w:rPr>
          <w:rFonts w:ascii="Times New Roman" w:hAnsi="Times New Roman" w:cs="Times New Roman"/>
        </w:rPr>
        <w:t>: these quantities are included in the total number of laboratory tests presented in Intervention 1.</w:t>
      </w:r>
    </w:p>
    <w:p w14:paraId="356E9E91"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Clinical tests for patient monitoring.</w:t>
      </w:r>
      <w:r w:rsidRPr="00EE7E38">
        <w:rPr>
          <w:rFonts w:ascii="Times New Roman" w:hAnsi="Times New Roman" w:cs="Times New Roman"/>
        </w:rPr>
        <w:t xml:space="preserve"> Appropriate clinical investigations (blood chemistry and other clinical laboratory tests, radiography and other investigations) will be ensured for clinical assessment of TB patient</w:t>
      </w:r>
      <w:r w:rsidR="00CB50D1" w:rsidRPr="00EE7E38">
        <w:rPr>
          <w:rFonts w:ascii="Times New Roman" w:hAnsi="Times New Roman" w:cs="Times New Roman"/>
        </w:rPr>
        <w:t>s</w:t>
      </w:r>
      <w:r w:rsidRPr="00EE7E38">
        <w:rPr>
          <w:rFonts w:ascii="Times New Roman" w:hAnsi="Times New Roman" w:cs="Times New Roman"/>
        </w:rPr>
        <w:t xml:space="preserve"> on treatment and recognition and management of ADRs of anti-TB drugs (in particular, second-line drugs). Clinical testing will be performed in accordance to </w:t>
      </w:r>
      <w:r w:rsidR="00CB50D1" w:rsidRPr="00EE7E38">
        <w:rPr>
          <w:rFonts w:ascii="Times New Roman" w:hAnsi="Times New Roman" w:cs="Times New Roman"/>
        </w:rPr>
        <w:t>the national TB treatment guidelines</w:t>
      </w:r>
      <w:r w:rsidR="00DF2853" w:rsidRPr="00EE7E38">
        <w:rPr>
          <w:rFonts w:ascii="Times New Roman" w:hAnsi="Times New Roman" w:cs="Times New Roman"/>
        </w:rPr>
        <w:t xml:space="preserve">, aligned with </w:t>
      </w:r>
      <w:r w:rsidRPr="00EE7E38">
        <w:rPr>
          <w:rFonts w:ascii="Times New Roman" w:hAnsi="Times New Roman" w:cs="Times New Roman"/>
        </w:rPr>
        <w:t>WHO recommendations</w:t>
      </w:r>
      <w:r w:rsidR="00CB50D1" w:rsidRPr="00EE7E38">
        <w:rPr>
          <w:rFonts w:ascii="Times New Roman" w:hAnsi="Times New Roman" w:cs="Times New Roman"/>
        </w:rPr>
        <w:t>.</w:t>
      </w:r>
    </w:p>
    <w:p w14:paraId="6FC6036E" w14:textId="76B00586"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Rapid HIV tests for TB institutions</w:t>
      </w:r>
      <w:r w:rsidRPr="00EE7E38">
        <w:rPr>
          <w:rFonts w:ascii="Times New Roman" w:hAnsi="Times New Roman" w:cs="Times New Roman"/>
        </w:rPr>
        <w:t>. In order to facilitate timely detection and</w:t>
      </w:r>
      <w:r w:rsidR="00D43D9A">
        <w:rPr>
          <w:rFonts w:ascii="Times New Roman" w:hAnsi="Times New Roman" w:cs="Times New Roman"/>
        </w:rPr>
        <w:t xml:space="preserve"> </w:t>
      </w:r>
      <w:r w:rsidRPr="00EE7E38">
        <w:rPr>
          <w:rFonts w:ascii="Times New Roman" w:hAnsi="Times New Roman" w:cs="Times New Roman"/>
        </w:rPr>
        <w:t xml:space="preserve">ensure quality treatment of HIV-associated TB, rapid HIV testing assays will be provided for diagnostic counseling and testing of TB patients for HIV. Rapid tests for Hepatitis B and C will be provided in parallel. </w:t>
      </w:r>
      <w:r w:rsidRPr="00EE7E38">
        <w:rPr>
          <w:rFonts w:ascii="Times New Roman" w:hAnsi="Times New Roman" w:cs="Times New Roman"/>
          <w:u w:val="single"/>
        </w:rPr>
        <w:t>Note</w:t>
      </w:r>
      <w:r w:rsidRPr="00EE7E38">
        <w:rPr>
          <w:rFonts w:ascii="Times New Roman" w:hAnsi="Times New Roman" w:cs="Times New Roman"/>
        </w:rPr>
        <w:t xml:space="preserve">: procurement of confirmatory HIV tests (ELISA, Western Blot) is included under the National Strategic Plan for HIV/AIDS. </w:t>
      </w:r>
    </w:p>
    <w:p w14:paraId="1A7E7C3D" w14:textId="77777777" w:rsidR="00540B31" w:rsidRPr="00EE7E38" w:rsidRDefault="006D2F02">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Training in HIV counselling and testing</w:t>
      </w:r>
      <w:r w:rsidRPr="00EE7E38">
        <w:rPr>
          <w:rFonts w:ascii="Times New Roman" w:hAnsi="Times New Roman" w:cs="Times New Roman"/>
        </w:rPr>
        <w:t xml:space="preserve"> will be offered to TB service staff, with special emphasis on </w:t>
      </w:r>
      <w:r w:rsidR="00F01BCE" w:rsidRPr="00EE7E38">
        <w:rPr>
          <w:rFonts w:ascii="Times New Roman" w:hAnsi="Times New Roman" w:cs="Times New Roman"/>
        </w:rPr>
        <w:t xml:space="preserve">pre and post-test counseling techniques, for positive and negative results and also on </w:t>
      </w:r>
      <w:r w:rsidRPr="00EE7E38">
        <w:rPr>
          <w:rFonts w:ascii="Times New Roman" w:hAnsi="Times New Roman" w:cs="Times New Roman"/>
        </w:rPr>
        <w:t>the WHO-proposed diagnostic approach and the use of rapid HIV test at the point of care.</w:t>
      </w:r>
    </w:p>
    <w:p w14:paraId="0170EB95" w14:textId="6174C16E" w:rsidR="00540B31" w:rsidRPr="00EE7E38" w:rsidRDefault="006D2F02">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Training in TB and diabetes management</w:t>
      </w:r>
      <w:r w:rsidRPr="00EE7E38">
        <w:rPr>
          <w:rFonts w:ascii="Times New Roman" w:hAnsi="Times New Roman" w:cs="Times New Roman"/>
        </w:rPr>
        <w:t xml:space="preserve"> will be provided for TB service staff and endocrinologists in the regions</w:t>
      </w:r>
      <w:r w:rsidR="00F01BCE" w:rsidRPr="00EE7E38">
        <w:rPr>
          <w:rFonts w:ascii="Times New Roman" w:hAnsi="Times New Roman" w:cs="Times New Roman"/>
        </w:rPr>
        <w:t>.</w:t>
      </w:r>
      <w:r w:rsidR="00C10148" w:rsidRPr="00EE7E38">
        <w:rPr>
          <w:rFonts w:ascii="Times New Roman" w:hAnsi="Times New Roman" w:cs="Times New Roman"/>
        </w:rPr>
        <w:t xml:space="preserve"> </w:t>
      </w:r>
      <w:r w:rsidR="00F01BCE" w:rsidRPr="00EE7E38">
        <w:rPr>
          <w:rFonts w:ascii="Times New Roman" w:hAnsi="Times New Roman" w:cs="Times New Roman"/>
        </w:rPr>
        <w:t>Several groups already received this training with Global Fund support. The trainings will continue to increase</w:t>
      </w:r>
      <w:r w:rsidR="00A33C34">
        <w:rPr>
          <w:rFonts w:ascii="Times New Roman" w:hAnsi="Times New Roman" w:cs="Times New Roman"/>
        </w:rPr>
        <w:t xml:space="preserve"> the</w:t>
      </w:r>
      <w:r w:rsidR="00F01BCE" w:rsidRPr="00EE7E38">
        <w:rPr>
          <w:rFonts w:ascii="Times New Roman" w:hAnsi="Times New Roman" w:cs="Times New Roman"/>
        </w:rPr>
        <w:t xml:space="preserve"> coverage of </w:t>
      </w:r>
      <w:r w:rsidR="00A33C34">
        <w:rPr>
          <w:rFonts w:ascii="Times New Roman" w:hAnsi="Times New Roman" w:cs="Times New Roman"/>
        </w:rPr>
        <w:t>relevant providers</w:t>
      </w:r>
      <w:r w:rsidRPr="00EE7E38">
        <w:rPr>
          <w:rFonts w:ascii="Times New Roman" w:hAnsi="Times New Roman" w:cs="Times New Roman"/>
        </w:rPr>
        <w:t xml:space="preserve">. </w:t>
      </w:r>
    </w:p>
    <w:p w14:paraId="640A682D"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Pharmaceuticals for management of adverse drug reactions and comorbidities. </w:t>
      </w:r>
      <w:r w:rsidRPr="00EE7E38">
        <w:rPr>
          <w:rFonts w:ascii="Times New Roman" w:hAnsi="Times New Roman" w:cs="Times New Roman"/>
        </w:rPr>
        <w:t xml:space="preserve">Drugs for management of ADRs arising from anti-TB drugs will be procured for inpatient and outpatient TB treatment sites according to the WHO-recommended list and taking into account the expected type and frequency of side effects of the new drugs, which will be increasingly used in M/XDR treatment schemes. Necessary quantities of insulin, oral anti-diabetic medications and other drugs for management of other common concomitant diseases will also be supplied to TB service facilities. </w:t>
      </w:r>
      <w:r w:rsidRPr="00EE7E38">
        <w:rPr>
          <w:rFonts w:ascii="Times New Roman" w:hAnsi="Times New Roman" w:cs="Times New Roman"/>
          <w:u w:val="single"/>
        </w:rPr>
        <w:t>Note</w:t>
      </w:r>
      <w:r w:rsidRPr="00EE7E38">
        <w:rPr>
          <w:rFonts w:ascii="Times New Roman" w:hAnsi="Times New Roman" w:cs="Times New Roman"/>
        </w:rPr>
        <w:t xml:space="preserve">: procurement of drugs for ART and CPT and tests for monitoring ART therapy will remain the responsibility of the National AIDS Program and is therefore included in the </w:t>
      </w:r>
      <w:r w:rsidR="00F01BCE" w:rsidRPr="00EE7E38">
        <w:rPr>
          <w:rFonts w:ascii="Times New Roman" w:hAnsi="Times New Roman" w:cs="Times New Roman"/>
        </w:rPr>
        <w:t xml:space="preserve">National </w:t>
      </w:r>
      <w:r w:rsidRPr="00EE7E38">
        <w:rPr>
          <w:rFonts w:ascii="Times New Roman" w:hAnsi="Times New Roman" w:cs="Times New Roman"/>
        </w:rPr>
        <w:t xml:space="preserve">HIV </w:t>
      </w:r>
      <w:r w:rsidR="00F01BCE" w:rsidRPr="00EE7E38">
        <w:rPr>
          <w:rFonts w:ascii="Times New Roman" w:hAnsi="Times New Roman" w:cs="Times New Roman"/>
        </w:rPr>
        <w:t>Strategy</w:t>
      </w:r>
      <w:r w:rsidRPr="00EE7E38">
        <w:rPr>
          <w:rFonts w:ascii="Times New Roman" w:hAnsi="Times New Roman" w:cs="Times New Roman"/>
        </w:rPr>
        <w:t>.</w:t>
      </w:r>
    </w:p>
    <w:p w14:paraId="7E4B7743" w14:textId="77777777" w:rsidR="005A003D" w:rsidRPr="00EE7E38" w:rsidRDefault="005A003D"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lastRenderedPageBreak/>
        <w:t>2.4</w:t>
      </w:r>
      <w:r w:rsidRPr="00EE7E38">
        <w:rPr>
          <w:rFonts w:ascii="Times New Roman" w:hAnsi="Times New Roman" w:cs="Times New Roman"/>
          <w:b/>
        </w:rPr>
        <w:tab/>
        <w:t>TB infection control in health care facilities</w:t>
      </w:r>
    </w:p>
    <w:p w14:paraId="302B46BE" w14:textId="572D7A3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High rates of MDR-TB in new patients in Georgia are an indication that MDR organisms are spreading in the community. Transmission of drug-resistant strains is much more likely in health care facilities (especially hospitals) and congregate settings such as prisons. Proper TB infection control and prevention of nosocomial transmission of TB to patients and household members, as well as to medical personnel, are important tasks of the </w:t>
      </w:r>
      <w:r w:rsidR="007C3602">
        <w:rPr>
          <w:rFonts w:ascii="Times New Roman" w:hAnsi="Times New Roman" w:cs="Times New Roman"/>
        </w:rPr>
        <w:t>NTP</w:t>
      </w:r>
      <w:r w:rsidRPr="00EE7E38">
        <w:rPr>
          <w:rFonts w:ascii="Times New Roman" w:hAnsi="Times New Roman" w:cs="Times New Roman"/>
        </w:rPr>
        <w:t xml:space="preserve">, especially in view of the need to improve the scope and quality of programmatic management of drug-resistant TB. </w:t>
      </w:r>
    </w:p>
    <w:p w14:paraId="0745B52D" w14:textId="06B68758"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systemic measures for TB infection control are integrated within the planned reconfiguration of the TB care delivery system. Careful screening of suspects and early identification of patients with TB are of key importance. Diagnostic delays will be minimized by using rapid molecular tests (including rapid DST) and by carrying out diagnostic investigations in parallel rather than in sequence. Rapid diagnosis of TB and DR-TB and determination of resistance profile allow for early initiation of correct treatment regimen according to the patient’s resistance profile, which has proven to </w:t>
      </w:r>
      <w:r w:rsidR="007C3602">
        <w:rPr>
          <w:rFonts w:ascii="Times New Roman" w:hAnsi="Times New Roman" w:cs="Times New Roman"/>
        </w:rPr>
        <w:t>substantially reduce</w:t>
      </w:r>
      <w:r w:rsidRPr="00EE7E38">
        <w:rPr>
          <w:rFonts w:ascii="Times New Roman" w:hAnsi="Times New Roman" w:cs="Times New Roman"/>
        </w:rPr>
        <w:t xml:space="preserve"> infectiousness.</w:t>
      </w:r>
    </w:p>
    <w:p w14:paraId="18444422" w14:textId="0D3AA5AE" w:rsidR="00F6329A"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Georgian NTP will continue avoiding unnecessary and prolonged hospitalizations of TB patients as these escalate the risk of nosocomial transmission of strains and amplification of resistance. Emphasis is therefore placed on further prioritizing full (from day one) outpatient TB case management</w:t>
      </w:r>
      <w:r w:rsidR="007C3602">
        <w:rPr>
          <w:rFonts w:ascii="Times New Roman" w:hAnsi="Times New Roman" w:cs="Times New Roman"/>
        </w:rPr>
        <w:t>,</w:t>
      </w:r>
      <w:r w:rsidRPr="00EE7E38">
        <w:rPr>
          <w:rFonts w:ascii="Times New Roman" w:hAnsi="Times New Roman" w:cs="Times New Roman"/>
        </w:rPr>
        <w:t xml:space="preserve"> including </w:t>
      </w:r>
      <w:r w:rsidR="007C3602">
        <w:rPr>
          <w:rFonts w:ascii="Times New Roman" w:hAnsi="Times New Roman" w:cs="Times New Roman"/>
        </w:rPr>
        <w:t>for</w:t>
      </w:r>
      <w:r w:rsidRPr="00EE7E38">
        <w:rPr>
          <w:rFonts w:ascii="Times New Roman" w:hAnsi="Times New Roman" w:cs="Times New Roman"/>
        </w:rPr>
        <w:t xml:space="preserve"> DR-TB cases. Inpatient TB treatment will be carried out following clear, strictly defined criteria for admission, duration of hospital stay and discharge</w:t>
      </w:r>
      <w:r w:rsidR="00D544AD" w:rsidRPr="00EE7E38">
        <w:rPr>
          <w:rFonts w:ascii="Times New Roman" w:hAnsi="Times New Roman" w:cs="Times New Roman"/>
        </w:rPr>
        <w:t>, which were</w:t>
      </w:r>
      <w:r w:rsidR="00F6329A" w:rsidRPr="00EE7E38">
        <w:rPr>
          <w:rFonts w:ascii="Times New Roman" w:hAnsi="Times New Roman" w:cs="Times New Roman"/>
        </w:rPr>
        <w:t xml:space="preserve"> approved by </w:t>
      </w:r>
      <w:proofErr w:type="spellStart"/>
      <w:r w:rsidR="00F6329A" w:rsidRPr="00EE7E38">
        <w:rPr>
          <w:rFonts w:ascii="Times New Roman" w:hAnsi="Times New Roman" w:cs="Times New Roman"/>
        </w:rPr>
        <w:t>MoLHSA</w:t>
      </w:r>
      <w:proofErr w:type="spellEnd"/>
      <w:r w:rsidR="00F6329A" w:rsidRPr="00EE7E38">
        <w:rPr>
          <w:rFonts w:ascii="Times New Roman" w:hAnsi="Times New Roman" w:cs="Times New Roman"/>
        </w:rPr>
        <w:t xml:space="preserve"> in May 2018</w:t>
      </w:r>
      <w:r w:rsidRPr="00EE7E38">
        <w:rPr>
          <w:rFonts w:ascii="Times New Roman" w:hAnsi="Times New Roman" w:cs="Times New Roman"/>
        </w:rPr>
        <w:t xml:space="preserve">. </w:t>
      </w:r>
    </w:p>
    <w:p w14:paraId="0DF69C74"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implementation of the above strategies will further reduce the risk of TB transmission and is seen as a key requirement for controlling the burden of anti-TB drug resistance.</w:t>
      </w:r>
    </w:p>
    <w:p w14:paraId="48DCC849" w14:textId="069FA888" w:rsidR="001252FA"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international TB care standards include the requirement that each health care facility engaged in TB treatment should implement an appropriate TB infection control plan to minimize possible transmission of </w:t>
      </w:r>
      <w:r w:rsidRPr="00B241D0">
        <w:rPr>
          <w:rFonts w:ascii="Times New Roman" w:hAnsi="Times New Roman" w:cs="Times New Roman"/>
          <w:i/>
        </w:rPr>
        <w:t xml:space="preserve">M. Tb </w:t>
      </w:r>
      <w:r w:rsidRPr="00EE7E38">
        <w:rPr>
          <w:rFonts w:ascii="Times New Roman" w:hAnsi="Times New Roman" w:cs="Times New Roman"/>
        </w:rPr>
        <w:t xml:space="preserve">to patients and health personnel. This Intervention includes activities </w:t>
      </w:r>
      <w:r w:rsidR="00B557DC">
        <w:rPr>
          <w:rFonts w:ascii="Times New Roman" w:hAnsi="Times New Roman" w:cs="Times New Roman"/>
        </w:rPr>
        <w:t>aimed</w:t>
      </w:r>
      <w:r w:rsidRPr="00EE7E38">
        <w:rPr>
          <w:rFonts w:ascii="Times New Roman" w:hAnsi="Times New Roman" w:cs="Times New Roman"/>
        </w:rPr>
        <w:t xml:space="preserve"> at strengthening management capacities of health care institutions at all levels for effective implementation of all three categories of TB infection control measures: administrative controls, environmental controls, and individual protection measures.</w:t>
      </w:r>
    </w:p>
    <w:p w14:paraId="58FC708F"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
        </w:rPr>
      </w:pPr>
      <w:r w:rsidRPr="00EE7E38">
        <w:rPr>
          <w:rFonts w:ascii="Times New Roman" w:hAnsi="Times New Roman" w:cs="Times New Roman"/>
          <w:i/>
        </w:rPr>
        <w:t xml:space="preserve">Administrative controls </w:t>
      </w:r>
      <w:r w:rsidRPr="00EE7E38">
        <w:rPr>
          <w:rFonts w:ascii="Times New Roman" w:hAnsi="Times New Roman" w:cs="Times New Roman"/>
        </w:rPr>
        <w:t>include: triage and separation of TB suspects from other patients in outpatient general health service facilities; physical separation of patient flows through sections of inpatient TB facilities (i.e. potentially infectious patients from non-infectious patients, M/XDR-TB patients from patients with sensitive forms of TB); movement of patients within wards based on treatment progress and bacteriological and clinical improvement (e.g. avoiding placing newly admitted patients in the same room with patients who have been hospitalized for several weeks); separation of TB patients with HIV infection from other TB patients; patient education activities regarding cough etiquette and other measures; provision of appropriate information on TB to health workers and offering them access to regular screening for TB.</w:t>
      </w:r>
    </w:p>
    <w:p w14:paraId="67770832"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 xml:space="preserve">Environmental controls. </w:t>
      </w:r>
      <w:r w:rsidRPr="00EE7E38">
        <w:rPr>
          <w:rFonts w:ascii="Times New Roman" w:hAnsi="Times New Roman" w:cs="Times New Roman"/>
        </w:rPr>
        <w:t>Systematic use of natural ventilation in outpatient and inpatient TB service facilities is given priority. Mechanical negative pressure ventilation will be further used in special areas of reference laboratories. The application of mechanical ventilation in specialized TB hospitals is not advised because of its ineffectiveness in large areas and, in addition, due to difficulties in maintenance and high costs. Additionally, upper level ultraviolet germicidal irradiation (UVGI) devices should be properly placed in patient wards, procedure rooms and other areas with risk of TB transmission.</w:t>
      </w:r>
    </w:p>
    <w:p w14:paraId="5C8255BB"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rPr>
        <w:t xml:space="preserve">Individual protection measures </w:t>
      </w:r>
      <w:r w:rsidRPr="00EE7E38">
        <w:rPr>
          <w:rFonts w:ascii="Times New Roman" w:hAnsi="Times New Roman" w:cs="Times New Roman"/>
        </w:rPr>
        <w:t>include: use of disposable particulate respirators (of certified N95 or FFP2 standards) by health care providers in areas with high risk of TB transmission; systematic use of surgical masks for coughing patients in all facilities.</w:t>
      </w:r>
    </w:p>
    <w:p w14:paraId="0F1FD289"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52DC7EF3" w14:textId="49A7BA9C"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National consultants </w:t>
      </w:r>
      <w:r w:rsidRPr="00EE7E38">
        <w:rPr>
          <w:rFonts w:ascii="Times New Roman" w:hAnsi="Times New Roman" w:cs="Times New Roman"/>
        </w:rPr>
        <w:t xml:space="preserve">in infection control will support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and NCDCPH in the revision and update of the national standards and action plan for TB infection control, taking </w:t>
      </w:r>
      <w:r w:rsidR="002166E9">
        <w:rPr>
          <w:rFonts w:ascii="Times New Roman" w:hAnsi="Times New Roman" w:cs="Times New Roman"/>
        </w:rPr>
        <w:t>into account</w:t>
      </w:r>
      <w:r w:rsidRPr="00EE7E38">
        <w:rPr>
          <w:rFonts w:ascii="Times New Roman" w:hAnsi="Times New Roman" w:cs="Times New Roman"/>
        </w:rPr>
        <w:t xml:space="preserve"> up-to-date international requirements and the planned reconfiguration in the functioning of TB services. They will also assist in the development of infection control plans at institutional level (for inpatient and outpatient facilities), training for staff, and supervision of implementation in respective areas.</w:t>
      </w:r>
    </w:p>
    <w:p w14:paraId="6FFF1E6B"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lastRenderedPageBreak/>
        <w:t xml:space="preserve">Environmental infection control measures. </w:t>
      </w:r>
      <w:r w:rsidRPr="00EE7E38">
        <w:rPr>
          <w:rFonts w:ascii="Times New Roman" w:hAnsi="Times New Roman" w:cs="Times New Roman"/>
        </w:rPr>
        <w:t xml:space="preserve">Upper-room ultraviolet germicidal irradiation (UVGI) devices will be supplied and installed in defined high-risk areas for infection in TB service facilities. </w:t>
      </w:r>
    </w:p>
    <w:p w14:paraId="293EEF86" w14:textId="47082DD7"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Individual infection control measures</w:t>
      </w:r>
      <w:r w:rsidRPr="00EE7E38">
        <w:rPr>
          <w:rFonts w:ascii="Times New Roman" w:hAnsi="Times New Roman" w:cs="Times New Roman"/>
        </w:rPr>
        <w:t xml:space="preserve">. </w:t>
      </w:r>
      <w:r w:rsidR="005111AC" w:rsidRPr="00EE7E38">
        <w:rPr>
          <w:rFonts w:ascii="Times New Roman" w:hAnsi="Times New Roman" w:cs="Times New Roman"/>
        </w:rPr>
        <w:t>With government and Global Fund funding</w:t>
      </w:r>
      <w:r w:rsidR="002166E9">
        <w:rPr>
          <w:rFonts w:ascii="Times New Roman" w:hAnsi="Times New Roman" w:cs="Times New Roman"/>
        </w:rPr>
        <w:t>,</w:t>
      </w:r>
      <w:r w:rsidR="005111AC" w:rsidRPr="00EE7E38">
        <w:rPr>
          <w:rFonts w:ascii="Times New Roman" w:hAnsi="Times New Roman" w:cs="Times New Roman"/>
        </w:rPr>
        <w:t xml:space="preserve"> i</w:t>
      </w:r>
      <w:r w:rsidRPr="00EE7E38">
        <w:rPr>
          <w:rFonts w:ascii="Times New Roman" w:hAnsi="Times New Roman" w:cs="Times New Roman"/>
        </w:rPr>
        <w:t>ndividual protection measures (N95 / FFP2 particulate respirators) will be provided for TB service staff at high risk of infection in the TB treatment institutions, as well as masks for patients (</w:t>
      </w:r>
      <w:r w:rsidR="002166E9">
        <w:rPr>
          <w:rFonts w:ascii="Times New Roman" w:hAnsi="Times New Roman" w:cs="Times New Roman"/>
        </w:rPr>
        <w:t>particularly patients with</w:t>
      </w:r>
      <w:r w:rsidRPr="00EE7E38">
        <w:rPr>
          <w:rFonts w:ascii="Times New Roman" w:hAnsi="Times New Roman" w:cs="Times New Roman"/>
        </w:rPr>
        <w:t xml:space="preserve"> MDR</w:t>
      </w:r>
      <w:r w:rsidR="002166E9">
        <w:rPr>
          <w:rFonts w:ascii="Times New Roman" w:hAnsi="Times New Roman" w:cs="Times New Roman"/>
        </w:rPr>
        <w:t>-TB</w:t>
      </w:r>
      <w:r w:rsidRPr="00EE7E38">
        <w:rPr>
          <w:rFonts w:ascii="Times New Roman" w:hAnsi="Times New Roman" w:cs="Times New Roman"/>
        </w:rPr>
        <w:t xml:space="preserve">) to reduce the risk of nosocomial transmission of TB strains from infectious persons. </w:t>
      </w:r>
    </w:p>
    <w:p w14:paraId="6E77BCDF" w14:textId="77777777" w:rsidR="005A003D" w:rsidRPr="00EE7E38" w:rsidRDefault="005A003D"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2.5</w:t>
      </w:r>
      <w:r w:rsidRPr="00EE7E38">
        <w:rPr>
          <w:rFonts w:ascii="Times New Roman" w:hAnsi="Times New Roman" w:cs="Times New Roman"/>
          <w:b/>
        </w:rPr>
        <w:tab/>
        <w:t>Preventive treatment and vaccination against TB</w:t>
      </w:r>
    </w:p>
    <w:p w14:paraId="0295A503"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Prevention of TB has been identified as an area which requires significant improvement within the Georgian TB program. This Plan aims at improving preventive TB treatment in identified risk groups and maintaining universal coverage of vaccination against TB. Preventive activities will be implemented in accordance to the up-to-date international recommendations, laid down in the </w:t>
      </w:r>
      <w:r w:rsidRPr="00EE7E38">
        <w:rPr>
          <w:rFonts w:ascii="Times New Roman" w:hAnsi="Times New Roman" w:cs="Times New Roman"/>
          <w:i/>
        </w:rPr>
        <w:t>Post-2015 Global Tuberculosis Strategy Framework</w:t>
      </w:r>
      <w:r w:rsidRPr="00EE7E38">
        <w:rPr>
          <w:rFonts w:ascii="Times New Roman" w:hAnsi="Times New Roman" w:cs="Times New Roman"/>
        </w:rPr>
        <w:t xml:space="preserve"> and related technical guidance</w:t>
      </w:r>
      <w:r w:rsidRPr="00EE7E38">
        <w:rPr>
          <w:rStyle w:val="FootnoteReference"/>
          <w:rFonts w:ascii="Times New Roman" w:hAnsi="Times New Roman" w:cs="Times New Roman"/>
        </w:rPr>
        <w:footnoteReference w:id="36"/>
      </w:r>
      <w:r w:rsidRPr="00EE7E38">
        <w:rPr>
          <w:rFonts w:ascii="Times New Roman" w:hAnsi="Times New Roman" w:cs="Times New Roman"/>
          <w:vertAlign w:val="superscript"/>
        </w:rPr>
        <w:t>,</w:t>
      </w:r>
      <w:r w:rsidRPr="00EE7E38">
        <w:rPr>
          <w:rStyle w:val="FootnoteReference"/>
          <w:rFonts w:ascii="Times New Roman" w:hAnsi="Times New Roman" w:cs="Times New Roman"/>
        </w:rPr>
        <w:footnoteReference w:id="37"/>
      </w:r>
      <w:r w:rsidRPr="00EE7E38">
        <w:rPr>
          <w:rFonts w:ascii="Times New Roman" w:hAnsi="Times New Roman" w:cs="Times New Roman"/>
        </w:rPr>
        <w:t xml:space="preserve">. </w:t>
      </w:r>
    </w:p>
    <w:p w14:paraId="41E80A14"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Latent tuberculosis infection (LTBI) is a state of persistent immune response to stimulation by </w:t>
      </w:r>
      <w:r w:rsidRPr="00B241D0">
        <w:rPr>
          <w:rFonts w:ascii="Times New Roman" w:hAnsi="Times New Roman" w:cs="Times New Roman"/>
          <w:i/>
        </w:rPr>
        <w:t>M. Tb</w:t>
      </w:r>
      <w:r w:rsidRPr="00EE7E38">
        <w:rPr>
          <w:rFonts w:ascii="Times New Roman" w:hAnsi="Times New Roman" w:cs="Times New Roman"/>
        </w:rPr>
        <w:t xml:space="preserve"> without evidence of clinically manifested active TB. The infected persons have no symptoms of TB disease and are not infectious, but they are at risk for developing active TB disease. This can be averted by preventive treatment. The most recent analysis of evidence, undertaken by WHO, has shown that administration of LTBI treatment does not increase the risk of drug resistance. Nevertheless, scaling up preventive treatment must be accompanied by a comprehensive systematic screening for active TB disease (see Intervention 1.3 above), as well as by the effective national TB drug resistance surveillance system.</w:t>
      </w:r>
    </w:p>
    <w:p w14:paraId="7DD77EA0" w14:textId="481B3BB5"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Population-wide mass LTBI testing and treatment </w:t>
      </w:r>
      <w:r w:rsidR="007159A1">
        <w:rPr>
          <w:rFonts w:ascii="Times New Roman" w:hAnsi="Times New Roman" w:cs="Times New Roman"/>
        </w:rPr>
        <w:t>is</w:t>
      </w:r>
      <w:r w:rsidR="007159A1" w:rsidRPr="00EE7E38">
        <w:rPr>
          <w:rFonts w:ascii="Times New Roman" w:hAnsi="Times New Roman" w:cs="Times New Roman"/>
        </w:rPr>
        <w:t xml:space="preserve"> </w:t>
      </w:r>
      <w:r w:rsidRPr="00EE7E38">
        <w:rPr>
          <w:rFonts w:ascii="Times New Roman" w:hAnsi="Times New Roman" w:cs="Times New Roman"/>
        </w:rPr>
        <w:t>not feasible due to imperfect tests, potential side effects</w:t>
      </w:r>
      <w:r w:rsidR="007159A1">
        <w:rPr>
          <w:rFonts w:ascii="Times New Roman" w:hAnsi="Times New Roman" w:cs="Times New Roman"/>
        </w:rPr>
        <w:t>,</w:t>
      </w:r>
      <w:r w:rsidRPr="00EE7E38">
        <w:rPr>
          <w:rFonts w:ascii="Times New Roman" w:hAnsi="Times New Roman" w:cs="Times New Roman"/>
        </w:rPr>
        <w:t xml:space="preserve"> and high cost</w:t>
      </w:r>
      <w:r w:rsidR="007159A1">
        <w:rPr>
          <w:rFonts w:ascii="Times New Roman" w:hAnsi="Times New Roman" w:cs="Times New Roman"/>
        </w:rPr>
        <w:t>s</w:t>
      </w:r>
      <w:r w:rsidRPr="00EE7E38">
        <w:rPr>
          <w:rFonts w:ascii="Times New Roman" w:hAnsi="Times New Roman" w:cs="Times New Roman"/>
        </w:rPr>
        <w:t xml:space="preserve">. Therefore, preventive treatment should be administered in population groups in which the risk of progression to active disease significantly exceeds that for the general population. On the basis of the latest evidence and </w:t>
      </w:r>
      <w:r w:rsidR="007159A1">
        <w:rPr>
          <w:rFonts w:ascii="Times New Roman" w:hAnsi="Times New Roman" w:cs="Times New Roman"/>
        </w:rPr>
        <w:t>risk-benefit</w:t>
      </w:r>
      <w:r w:rsidRPr="00EE7E38">
        <w:rPr>
          <w:rFonts w:ascii="Times New Roman" w:hAnsi="Times New Roman" w:cs="Times New Roman"/>
        </w:rPr>
        <w:t xml:space="preserve"> considerations, the following seven groups have been identified for systematic testing and treatment of LTBI in Georgia:</w:t>
      </w:r>
    </w:p>
    <w:p w14:paraId="4F21BD68"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People living with HIV</w:t>
      </w:r>
    </w:p>
    <w:p w14:paraId="5C6C0D3B"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Child and adult contacts of pulmonary TB cases</w:t>
      </w:r>
    </w:p>
    <w:p w14:paraId="38447118"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Persons detained in correctional facilities (prisoners) </w:t>
      </w:r>
    </w:p>
    <w:p w14:paraId="34B36555"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Patients with the following diseases or treatment conditions: silicosis, renal dialysis, treatment with anti-tumor necrosis factor (TNF) inhibitors, and preparation for organ or hematologic transplantation</w:t>
      </w:r>
    </w:p>
    <w:p w14:paraId="61434FE2"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People who inject drugs (PWID)</w:t>
      </w:r>
    </w:p>
    <w:p w14:paraId="6E5C816B"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Health care workers </w:t>
      </w:r>
    </w:p>
    <w:p w14:paraId="6DDDCA6C" w14:textId="77777777" w:rsidR="00540B31" w:rsidRPr="00EE7E38" w:rsidRDefault="005A003D">
      <w:pPr>
        <w:pStyle w:val="ListParagraph"/>
        <w:widowControl w:val="0"/>
        <w:numPr>
          <w:ilvl w:val="0"/>
          <w:numId w:val="15"/>
        </w:numPr>
        <w:spacing w:before="120" w:after="120" w:line="240" w:lineRule="auto"/>
        <w:jc w:val="both"/>
        <w:rPr>
          <w:rFonts w:ascii="Times New Roman" w:hAnsi="Times New Roman" w:cs="Times New Roman"/>
        </w:rPr>
      </w:pPr>
      <w:r w:rsidRPr="00EE7E38">
        <w:rPr>
          <w:rFonts w:ascii="Times New Roman" w:hAnsi="Times New Roman" w:cs="Times New Roman"/>
        </w:rPr>
        <w:t>Immigrants from high TB burden countries</w:t>
      </w:r>
    </w:p>
    <w:p w14:paraId="70AB8871" w14:textId="57CE5E40"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Screening for symptoms among </w:t>
      </w:r>
      <w:r w:rsidR="007159A1">
        <w:rPr>
          <w:rFonts w:ascii="Times New Roman" w:hAnsi="Times New Roman" w:cs="Times New Roman"/>
        </w:rPr>
        <w:t>PLHIV</w:t>
      </w:r>
      <w:r w:rsidRPr="00EE7E38">
        <w:rPr>
          <w:rFonts w:ascii="Times New Roman" w:hAnsi="Times New Roman" w:cs="Times New Roman"/>
        </w:rPr>
        <w:t xml:space="preserve"> is crucial for identifying both active TB cases and persons who should receive preventive therapy. PLHIV who do not have active TB disease at screening, should receive testing for LTBI and, if positive, preventive treatment. The combined use of ART and LTBI therapy significantly reduces the incidence of TB in PLHIV.</w:t>
      </w:r>
    </w:p>
    <w:p w14:paraId="7F9E56F3"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Children (particularly those under the age of five years) are a vulnerable group because of the high likelihood of progressing from latent infection to active TB; they are also more likely to develop disseminated and serious forms of TB disease such as meningitis. For these reasons, testing and treatment for LTBI is indicated in children who are contacts of TB cases, with special attention to children under five years of age.</w:t>
      </w:r>
    </w:p>
    <w:p w14:paraId="787AAAE0" w14:textId="2302B2BD"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Mantoux tuberculin skin test (TST) will be used to detect LTBI in individuals belonging to the above risk groups. </w:t>
      </w:r>
      <w:r w:rsidR="00CA1DDF" w:rsidRPr="00EE7E38">
        <w:rPr>
          <w:rFonts w:ascii="Times New Roman" w:hAnsi="Times New Roman" w:cs="Times New Roman"/>
        </w:rPr>
        <w:t xml:space="preserve">LTBI screening health care providers using </w:t>
      </w:r>
      <w:r w:rsidRPr="00EE7E38">
        <w:rPr>
          <w:rFonts w:ascii="Times New Roman" w:hAnsi="Times New Roman" w:cs="Times New Roman"/>
        </w:rPr>
        <w:t xml:space="preserve">interferon-gamma release assays (IGRA) </w:t>
      </w:r>
      <w:r w:rsidR="00CA1DDF" w:rsidRPr="00EE7E38">
        <w:rPr>
          <w:rFonts w:ascii="Times New Roman" w:hAnsi="Times New Roman" w:cs="Times New Roman"/>
        </w:rPr>
        <w:t>is planned from 2019</w:t>
      </w:r>
      <w:r w:rsidR="00CB1B6D" w:rsidRPr="00EE7E38">
        <w:rPr>
          <w:rFonts w:ascii="Times New Roman" w:hAnsi="Times New Roman" w:cs="Times New Roman"/>
        </w:rPr>
        <w:t xml:space="preserve">. </w:t>
      </w:r>
    </w:p>
    <w:p w14:paraId="14FA444B"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NTP will continue to use the common preventive treatment regimen (Isoniazid for at least 6 months); however the care providers may </w:t>
      </w:r>
      <w:r w:rsidR="00CA1DDF" w:rsidRPr="00EE7E38">
        <w:rPr>
          <w:rFonts w:ascii="Times New Roman" w:hAnsi="Times New Roman" w:cs="Times New Roman"/>
        </w:rPr>
        <w:t xml:space="preserve">consider </w:t>
      </w:r>
      <w:r w:rsidRPr="00EE7E38">
        <w:rPr>
          <w:rFonts w:ascii="Times New Roman" w:hAnsi="Times New Roman" w:cs="Times New Roman"/>
        </w:rPr>
        <w:t>us</w:t>
      </w:r>
      <w:r w:rsidR="00CA1DDF" w:rsidRPr="00EE7E38">
        <w:rPr>
          <w:rFonts w:ascii="Times New Roman" w:hAnsi="Times New Roman" w:cs="Times New Roman"/>
        </w:rPr>
        <w:t>ing</w:t>
      </w:r>
      <w:r w:rsidRPr="00EE7E38">
        <w:rPr>
          <w:rFonts w:ascii="Times New Roman" w:hAnsi="Times New Roman" w:cs="Times New Roman"/>
        </w:rPr>
        <w:t xml:space="preserve"> shorter WHO-recommended regimens for LT</w:t>
      </w:r>
      <w:r w:rsidR="00972582" w:rsidRPr="00EE7E38">
        <w:rPr>
          <w:rFonts w:ascii="Times New Roman" w:hAnsi="Times New Roman" w:cs="Times New Roman"/>
        </w:rPr>
        <w:t>B</w:t>
      </w:r>
      <w:r w:rsidRPr="00EE7E38">
        <w:rPr>
          <w:rFonts w:ascii="Times New Roman" w:hAnsi="Times New Roman" w:cs="Times New Roman"/>
        </w:rPr>
        <w:t xml:space="preserve">I (Isoniazid plus Rifampicin or Rifampicin alone for 3-4 months) because of tolerance or adherence considerations. At the moment, effective evidence-based preventive treatment for contacts of MDR-TB cases is not available. Therefore, emphasis will be placed on thorough clinical assessment of these contacts and their consequent </w:t>
      </w:r>
      <w:r w:rsidRPr="00EE7E38">
        <w:rPr>
          <w:rFonts w:ascii="Times New Roman" w:hAnsi="Times New Roman" w:cs="Times New Roman"/>
        </w:rPr>
        <w:lastRenderedPageBreak/>
        <w:t xml:space="preserve">monitoring for the development of active TB disease for the period of at least two years. </w:t>
      </w:r>
    </w:p>
    <w:p w14:paraId="601AC0E5" w14:textId="77777777" w:rsidR="005A003D" w:rsidRPr="00EE7E38" w:rsidRDefault="005A003D" w:rsidP="00835F94">
      <w:pPr>
        <w:widowControl w:val="0"/>
        <w:spacing w:before="120" w:after="120" w:line="240" w:lineRule="auto"/>
        <w:jc w:val="both"/>
        <w:rPr>
          <w:rFonts w:ascii="Times New Roman" w:hAnsi="Times New Roman" w:cs="Times New Roman"/>
        </w:rPr>
      </w:pP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place special emphasis on reinforcing TB prevention as an essential component of the national TB control program, including its coverage in the universal health care program and allocation of dedicated financial resources. To be effective, LTBI management requires a comprehensive package of activities that includes: identifying and testing eligible individuals; delivering treatment under clinical supervision, ensuring proper adherence and management of adverse events, and establishing monitoring and evaluation of the process. Specialized TB service units will bear the overall responsibility for conducting preventive TB treatment. This will be accomplished in close cooperation with other providers, involved in provision of medical and other services to the abovementioned groups at risk, including public health services under NCDCPH (for investigation of contacts), National AIDS Program (for PLHIV and PWID through outreach harm reduction activities) and penitentiary services (for prisoners).</w:t>
      </w:r>
    </w:p>
    <w:p w14:paraId="7D66EE40" w14:textId="398FCF4F"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During the first two years of the NSP implementation, the NTP will update the existing guidance to accommodate for the expanded scope of TB preventive work and will conduct necessary capacity building activities. Relevant provisions will be incorporated in</w:t>
      </w:r>
      <w:r w:rsidR="007159A1">
        <w:rPr>
          <w:rFonts w:ascii="Times New Roman" w:hAnsi="Times New Roman" w:cs="Times New Roman"/>
        </w:rPr>
        <w:t>to</w:t>
      </w:r>
      <w:r w:rsidRPr="00EE7E38">
        <w:rPr>
          <w:rFonts w:ascii="Times New Roman" w:hAnsi="Times New Roman" w:cs="Times New Roman"/>
        </w:rPr>
        <w:t xml:space="preserve"> the national TB information system </w:t>
      </w:r>
      <w:r w:rsidR="007159A1">
        <w:rPr>
          <w:rFonts w:ascii="Times New Roman" w:hAnsi="Times New Roman" w:cs="Times New Roman"/>
        </w:rPr>
        <w:t>to ensure</w:t>
      </w:r>
      <w:r w:rsidRPr="00EE7E38">
        <w:rPr>
          <w:rFonts w:ascii="Times New Roman" w:hAnsi="Times New Roman" w:cs="Times New Roman"/>
        </w:rPr>
        <w:t xml:space="preserve"> effective monitoring and evaluation of preventive interventions, including development of specific recording and reporting tools, standardized indicators and data capturing mechanisms to inform decision making for program implementation.</w:t>
      </w:r>
    </w:p>
    <w:p w14:paraId="70CEFE04" w14:textId="2C63390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Bacillus </w:t>
      </w:r>
      <w:proofErr w:type="spellStart"/>
      <w:r w:rsidRPr="00EE7E38">
        <w:rPr>
          <w:rFonts w:ascii="Times New Roman" w:hAnsi="Times New Roman" w:cs="Times New Roman"/>
        </w:rPr>
        <w:t>Calmette-Guérin</w:t>
      </w:r>
      <w:proofErr w:type="spellEnd"/>
      <w:r w:rsidRPr="00EE7E38">
        <w:rPr>
          <w:rFonts w:ascii="Times New Roman" w:hAnsi="Times New Roman" w:cs="Times New Roman"/>
        </w:rPr>
        <w:t xml:space="preserve"> (BCG) vaccination prevents disseminated TB disease</w:t>
      </w:r>
      <w:r w:rsidR="007159A1">
        <w:rPr>
          <w:rFonts w:ascii="Times New Roman" w:hAnsi="Times New Roman" w:cs="Times New Roman"/>
        </w:rPr>
        <w:t>,</w:t>
      </w:r>
      <w:r w:rsidRPr="00EE7E38">
        <w:rPr>
          <w:rFonts w:ascii="Times New Roman" w:hAnsi="Times New Roman" w:cs="Times New Roman"/>
        </w:rPr>
        <w:t xml:space="preserve"> including meningitis and </w:t>
      </w:r>
      <w:proofErr w:type="spellStart"/>
      <w:r w:rsidRPr="00EE7E38">
        <w:rPr>
          <w:rFonts w:ascii="Times New Roman" w:hAnsi="Times New Roman" w:cs="Times New Roman"/>
        </w:rPr>
        <w:t>miliary</w:t>
      </w:r>
      <w:proofErr w:type="spellEnd"/>
      <w:r w:rsidRPr="00EE7E38">
        <w:rPr>
          <w:rFonts w:ascii="Times New Roman" w:hAnsi="Times New Roman" w:cs="Times New Roman"/>
        </w:rPr>
        <w:t xml:space="preserve"> TB, which are associated with high mortality in infants and young children. At the same time, the impact of BCG vaccination on transmission of </w:t>
      </w:r>
      <w:proofErr w:type="spellStart"/>
      <w:r w:rsidRPr="00B241D0">
        <w:rPr>
          <w:rFonts w:ascii="Times New Roman" w:hAnsi="Times New Roman" w:cs="Times New Roman"/>
          <w:i/>
        </w:rPr>
        <w:t>M.Tb</w:t>
      </w:r>
      <w:proofErr w:type="spellEnd"/>
      <w:r w:rsidRPr="00EE7E38">
        <w:rPr>
          <w:rFonts w:ascii="Times New Roman" w:hAnsi="Times New Roman" w:cs="Times New Roman"/>
        </w:rPr>
        <w:t xml:space="preserve"> is limited as it does not prevent primary infection or reactivation of latent pulmonary infection, which is the principal source of bacillary spread in the community. Repeated BCG vaccination (re-vaccination) in children and BCG vaccination of adults have no proven benefits and therefore will not be performed.</w:t>
      </w:r>
    </w:p>
    <w:p w14:paraId="4FF3C787"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Georgia will continue to adhere to WHO recommendations on vaccination against TB</w:t>
      </w:r>
      <w:r w:rsidRPr="00EE7E38">
        <w:rPr>
          <w:rStyle w:val="FootnoteReference"/>
          <w:rFonts w:ascii="Times New Roman" w:hAnsi="Times New Roman" w:cs="Times New Roman"/>
        </w:rPr>
        <w:footnoteReference w:id="38"/>
      </w:r>
      <w:proofErr w:type="gramStart"/>
      <w:r w:rsidRPr="00EE7E38">
        <w:rPr>
          <w:rFonts w:ascii="Times New Roman" w:hAnsi="Times New Roman" w:cs="Times New Roman"/>
          <w:vertAlign w:val="superscript"/>
        </w:rPr>
        <w:t>,</w:t>
      </w:r>
      <w:r w:rsidRPr="00EE7E38">
        <w:rPr>
          <w:rStyle w:val="FootnoteReference"/>
          <w:rFonts w:ascii="Times New Roman" w:hAnsi="Times New Roman" w:cs="Times New Roman"/>
        </w:rPr>
        <w:footnoteReference w:id="39"/>
      </w:r>
      <w:r w:rsidRPr="00EE7E38">
        <w:rPr>
          <w:rFonts w:ascii="Times New Roman" w:hAnsi="Times New Roman" w:cs="Times New Roman"/>
        </w:rPr>
        <w:t>.</w:t>
      </w:r>
      <w:proofErr w:type="gramEnd"/>
      <w:r w:rsidRPr="00EE7E38">
        <w:rPr>
          <w:rFonts w:ascii="Times New Roman" w:hAnsi="Times New Roman" w:cs="Times New Roman"/>
        </w:rPr>
        <w:t xml:space="preserve"> Until new and more effective vaccines become available, a single dose of BCG vaccine will be given to all infants as soon as possible after birth. The exceptions are infants who are known to be HIV-infected and infants with unknown HIV status who are born to HIV-infected mothers. In cases where infants have been exposed to TB shortly after birth, BCG vaccination should be delayed until completion of prophylactic isoniazid treatment.</w:t>
      </w:r>
    </w:p>
    <w:p w14:paraId="563A6B6B"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1A37DEDC" w14:textId="77777777" w:rsidR="00540B31" w:rsidRPr="00EE7E38" w:rsidRDefault="005A003D" w:rsidP="00800038">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Development of national LTBI management guidelines. </w:t>
      </w:r>
      <w:r w:rsidRPr="00EE7E38">
        <w:rPr>
          <w:rFonts w:ascii="Times New Roman" w:hAnsi="Times New Roman" w:cs="Times New Roman"/>
          <w:iCs/>
        </w:rPr>
        <w:t>Based on the latest international recommendations, the NTP will develop the national guidance on LTBI testing and preventive treatment, to be carried out in identified risk groups.</w:t>
      </w:r>
      <w:r w:rsidR="00D0703F" w:rsidRPr="00EE7E38">
        <w:rPr>
          <w:rFonts w:ascii="Times New Roman" w:hAnsi="Times New Roman" w:cs="Times New Roman"/>
          <w:iCs/>
        </w:rPr>
        <w:t xml:space="preserve"> </w:t>
      </w:r>
      <w:r w:rsidRPr="00EE7E38">
        <w:rPr>
          <w:rFonts w:ascii="Times New Roman" w:hAnsi="Times New Roman" w:cs="Times New Roman"/>
          <w:i/>
          <w:iCs/>
        </w:rPr>
        <w:t>Training on LTBI management will be provided for health care providers from specialized TB services in the ci</w:t>
      </w:r>
      <w:r w:rsidRPr="00EE7E38">
        <w:rPr>
          <w:rFonts w:ascii="Times New Roman" w:hAnsi="Times New Roman" w:cs="Times New Roman"/>
          <w:iCs/>
        </w:rPr>
        <w:t xml:space="preserve">vilian and penitentiary sector, as well as for the staff from public health services and HIV services. </w:t>
      </w:r>
    </w:p>
    <w:p w14:paraId="6C6D627B"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i/>
          <w:iCs/>
        </w:rPr>
        <w:t xml:space="preserve">Diagnostic tests for LTBI. </w:t>
      </w:r>
      <w:r w:rsidRPr="00EE7E38">
        <w:rPr>
          <w:rFonts w:ascii="Times New Roman" w:hAnsi="Times New Roman" w:cs="Times New Roman"/>
          <w:iCs/>
        </w:rPr>
        <w:t>TST (Mantoux) tests will be procured centrally for te</w:t>
      </w:r>
      <w:r w:rsidRPr="00EE7E38">
        <w:rPr>
          <w:rFonts w:ascii="Times New Roman" w:hAnsi="Times New Roman" w:cs="Times New Roman"/>
          <w:i/>
          <w:iCs/>
        </w:rPr>
        <w:t>s</w:t>
      </w:r>
      <w:r w:rsidRPr="00EE7E38">
        <w:rPr>
          <w:rFonts w:ascii="Times New Roman" w:hAnsi="Times New Roman" w:cs="Times New Roman"/>
        </w:rPr>
        <w:t xml:space="preserve">ting for latent TB infection in defined risk groups. IGRA (interferon-gamma release assay) tests will be </w:t>
      </w:r>
      <w:r w:rsidR="00750436" w:rsidRPr="00EE7E38">
        <w:rPr>
          <w:rFonts w:ascii="Times New Roman" w:hAnsi="Times New Roman" w:cs="Times New Roman"/>
        </w:rPr>
        <w:t xml:space="preserve">procured for targeted testing of health care workers at risk starting </w:t>
      </w:r>
      <w:r w:rsidR="00CB1B6D" w:rsidRPr="00EE7E38">
        <w:rPr>
          <w:rFonts w:ascii="Times New Roman" w:hAnsi="Times New Roman" w:cs="Times New Roman"/>
        </w:rPr>
        <w:t>mid-</w:t>
      </w:r>
      <w:r w:rsidR="00750436" w:rsidRPr="00EE7E38">
        <w:rPr>
          <w:rFonts w:ascii="Times New Roman" w:hAnsi="Times New Roman" w:cs="Times New Roman"/>
        </w:rPr>
        <w:t>201</w:t>
      </w:r>
      <w:r w:rsidR="00800038" w:rsidRPr="00EE7E38">
        <w:rPr>
          <w:rFonts w:ascii="Times New Roman" w:hAnsi="Times New Roman" w:cs="Times New Roman"/>
        </w:rPr>
        <w:t>9</w:t>
      </w:r>
      <w:r w:rsidR="00750436" w:rsidRPr="00EE7E38">
        <w:rPr>
          <w:rFonts w:ascii="Times New Roman" w:hAnsi="Times New Roman" w:cs="Times New Roman"/>
        </w:rPr>
        <w:t xml:space="preserve">. </w:t>
      </w:r>
    </w:p>
    <w:p w14:paraId="3B67EA3E"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Drugs for TB preventive treatment. </w:t>
      </w:r>
      <w:r w:rsidRPr="00EE7E38">
        <w:rPr>
          <w:rFonts w:ascii="Times New Roman" w:hAnsi="Times New Roman" w:cs="Times New Roman"/>
          <w:iCs/>
        </w:rPr>
        <w:t>Isoniazid (and Rifampicin for selected use) will be procured in necessary quantities for the scaled up implementation of preventiv</w:t>
      </w:r>
      <w:r w:rsidR="00750436" w:rsidRPr="00EE7E38">
        <w:rPr>
          <w:rFonts w:ascii="Times New Roman" w:hAnsi="Times New Roman" w:cs="Times New Roman"/>
          <w:iCs/>
        </w:rPr>
        <w:t>e LTBI treatment in risk groups.</w:t>
      </w:r>
    </w:p>
    <w:p w14:paraId="1C92132F"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Procurement of BCG vaccines. </w:t>
      </w:r>
      <w:r w:rsidRPr="00EE7E38">
        <w:rPr>
          <w:rFonts w:ascii="Times New Roman" w:hAnsi="Times New Roman" w:cs="Times New Roman"/>
          <w:iCs/>
        </w:rPr>
        <w:t xml:space="preserve">Centralized procurement of BCG vaccines will be carried out using the state budget funds. The vaccines will be procured from WHO-prequalified manufacturers using the global pooled procurement mechanism (through UNICEF Supply Division), in order to ensure high quality of products and concessionary prices.   </w:t>
      </w:r>
    </w:p>
    <w:p w14:paraId="2AF6B091" w14:textId="77777777" w:rsidR="005A003D" w:rsidRPr="00EE7E38" w:rsidRDefault="005A003D"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2.6</w:t>
      </w:r>
      <w:r w:rsidRPr="00EE7E38">
        <w:rPr>
          <w:rFonts w:ascii="Times New Roman" w:hAnsi="Times New Roman" w:cs="Times New Roman"/>
          <w:b/>
        </w:rPr>
        <w:tab/>
        <w:t>Support to operations of TB treatment institutions</w:t>
      </w:r>
    </w:p>
    <w:p w14:paraId="54E070E2"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This Intervention includes routine support to the operations of TB service institutions, as well as relevant investments as required for ensuring their effective functionality in line with the NTP priorities for the next program period. The plan for investments in TB service infrastructure </w:t>
      </w:r>
      <w:r w:rsidR="0059626D" w:rsidRPr="00EE7E38">
        <w:rPr>
          <w:rFonts w:ascii="Times New Roman" w:hAnsi="Times New Roman" w:cs="Times New Roman"/>
        </w:rPr>
        <w:t>will be developed within the next year</w:t>
      </w:r>
      <w:r w:rsidRPr="00EE7E38">
        <w:rPr>
          <w:rFonts w:ascii="Times New Roman" w:hAnsi="Times New Roman" w:cs="Times New Roman"/>
        </w:rPr>
        <w:t>.</w:t>
      </w:r>
    </w:p>
    <w:p w14:paraId="41576F82" w14:textId="11BF29C7" w:rsidR="00CB1B6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lastRenderedPageBreak/>
        <w:t>While prioritization of outpatient case management is a clear priority, infrastructure rehabilitation will be required in selected inpatient TB facilities to ensure appropriate conditions for patients who need hospitalization</w:t>
      </w:r>
      <w:r w:rsidR="00403BAD">
        <w:rPr>
          <w:rFonts w:ascii="Times New Roman" w:hAnsi="Times New Roman" w:cs="Times New Roman"/>
        </w:rPr>
        <w:t xml:space="preserve"> and improved</w:t>
      </w:r>
      <w:r w:rsidRPr="00EE7E38">
        <w:rPr>
          <w:rFonts w:ascii="Times New Roman" w:hAnsi="Times New Roman" w:cs="Times New Roman"/>
        </w:rPr>
        <w:t xml:space="preserve"> infection control conditions with proper separation of patient flows according to their infectiousness and resistance status. It is also envisaged to establish a facility for palliative care, which will accommodate patients who have failed all available treatment alternatives and will need symptomatic treatment and nursing/social care.</w:t>
      </w:r>
      <w:r w:rsidR="00CB1B6D" w:rsidRPr="00EE7E38">
        <w:rPr>
          <w:rFonts w:ascii="Times New Roman" w:hAnsi="Times New Roman" w:cs="Times New Roman"/>
        </w:rPr>
        <w:t xml:space="preserve"> </w:t>
      </w:r>
    </w:p>
    <w:p w14:paraId="525DAD29" w14:textId="77777777" w:rsidR="005A003D" w:rsidRPr="00EE7E38" w:rsidRDefault="00CB1B6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Adequate infrastructure will be created at currently operational TB treatment facility for </w:t>
      </w:r>
      <w:r w:rsidR="00E3162D" w:rsidRPr="00EE7E38">
        <w:rPr>
          <w:rFonts w:ascii="Times New Roman" w:hAnsi="Times New Roman" w:cs="Times New Roman"/>
        </w:rPr>
        <w:t>patients</w:t>
      </w:r>
      <w:r w:rsidRPr="00EE7E38">
        <w:rPr>
          <w:rFonts w:ascii="Times New Roman" w:hAnsi="Times New Roman" w:cs="Times New Roman"/>
        </w:rPr>
        <w:t xml:space="preserve"> with confirmed</w:t>
      </w:r>
      <w:r w:rsidR="00E3162D" w:rsidRPr="00EE7E38">
        <w:rPr>
          <w:rFonts w:ascii="Times New Roman" w:hAnsi="Times New Roman" w:cs="Times New Roman"/>
        </w:rPr>
        <w:t xml:space="preserve"> who will undergo involuntary treatment/isolation accordin</w:t>
      </w:r>
      <w:r w:rsidRPr="00EE7E38">
        <w:rPr>
          <w:rFonts w:ascii="Times New Roman" w:hAnsi="Times New Roman" w:cs="Times New Roman"/>
        </w:rPr>
        <w:t>g</w:t>
      </w:r>
      <w:r w:rsidR="00E3162D" w:rsidRPr="00EE7E38">
        <w:rPr>
          <w:rFonts w:ascii="Times New Roman" w:hAnsi="Times New Roman" w:cs="Times New Roman"/>
        </w:rPr>
        <w:t xml:space="preserve"> to </w:t>
      </w:r>
      <w:r w:rsidRPr="00EE7E38">
        <w:rPr>
          <w:rFonts w:ascii="Times New Roman" w:hAnsi="Times New Roman" w:cs="Times New Roman"/>
        </w:rPr>
        <w:t>the Georgia TB Control Law adopted in 2015.</w:t>
      </w:r>
      <w:r w:rsidR="00E3162D" w:rsidRPr="00EE7E38">
        <w:rPr>
          <w:rStyle w:val="FootnoteReference"/>
          <w:rFonts w:ascii="Times New Roman" w:hAnsi="Times New Roman" w:cs="Times New Roman"/>
        </w:rPr>
        <w:footnoteReference w:id="40"/>
      </w:r>
      <w:r w:rsidR="006817EC" w:rsidRPr="00EE7E38">
        <w:rPr>
          <w:rFonts w:ascii="Times New Roman" w:hAnsi="Times New Roman" w:cs="Times New Roman"/>
        </w:rPr>
        <w:t>.</w:t>
      </w:r>
    </w:p>
    <w:p w14:paraId="6EC8DD0D" w14:textId="77777777" w:rsidR="005A003D" w:rsidRPr="00EE7E38" w:rsidRDefault="005A003D"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2AD52FCA" w14:textId="77777777" w:rsidR="00540B31" w:rsidRPr="00EE7E38" w:rsidRDefault="00CB1B6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Physical infrastructure strengthening: </w:t>
      </w:r>
      <w:r w:rsidR="00D02D95" w:rsidRPr="00EE7E38">
        <w:rPr>
          <w:rFonts w:ascii="Times New Roman" w:hAnsi="Times New Roman" w:cs="Times New Roman"/>
          <w:iCs/>
        </w:rPr>
        <w:t xml:space="preserve">In 2016-2018, </w:t>
      </w:r>
      <w:proofErr w:type="gramStart"/>
      <w:r w:rsidR="00D02D95" w:rsidRPr="00EE7E38">
        <w:rPr>
          <w:rFonts w:ascii="Times New Roman" w:hAnsi="Times New Roman" w:cs="Times New Roman"/>
          <w:iCs/>
        </w:rPr>
        <w:t>infrastructure of two outpatient facilities have</w:t>
      </w:r>
      <w:proofErr w:type="gramEnd"/>
      <w:r w:rsidR="00D02D95" w:rsidRPr="00EE7E38">
        <w:rPr>
          <w:rFonts w:ascii="Times New Roman" w:hAnsi="Times New Roman" w:cs="Times New Roman"/>
          <w:iCs/>
        </w:rPr>
        <w:t xml:space="preserve"> been developed in Tbilisi with Global Fund support. In order to improve the quality of TB hospital services, during the strategy timeframe, </w:t>
      </w:r>
      <w:r w:rsidRPr="00EE7E38">
        <w:rPr>
          <w:rFonts w:ascii="Times New Roman" w:hAnsi="Times New Roman" w:cs="Times New Roman"/>
          <w:iCs/>
        </w:rPr>
        <w:t>infrastructure</w:t>
      </w:r>
      <w:r w:rsidR="00D02D95" w:rsidRPr="00EE7E38">
        <w:rPr>
          <w:rFonts w:ascii="Times New Roman" w:hAnsi="Times New Roman" w:cs="Times New Roman"/>
          <w:iCs/>
        </w:rPr>
        <w:t xml:space="preserve"> of the National Center for Tuberculosis and Lung Diseases will be improved to ensure compliance with international standards of TB treatment (</w:t>
      </w:r>
      <w:r w:rsidRPr="00EE7E38">
        <w:rPr>
          <w:rFonts w:ascii="Times New Roman" w:hAnsi="Times New Roman" w:cs="Times New Roman"/>
          <w:iCs/>
        </w:rPr>
        <w:t>including</w:t>
      </w:r>
      <w:r w:rsidR="00D02D95" w:rsidRPr="00EE7E38">
        <w:rPr>
          <w:rFonts w:ascii="Times New Roman" w:hAnsi="Times New Roman" w:cs="Times New Roman"/>
          <w:iCs/>
        </w:rPr>
        <w:t xml:space="preserve"> surg</w:t>
      </w:r>
      <w:r w:rsidRPr="00EE7E38">
        <w:rPr>
          <w:rFonts w:ascii="Times New Roman" w:hAnsi="Times New Roman" w:cs="Times New Roman"/>
          <w:iCs/>
        </w:rPr>
        <w:t>ery</w:t>
      </w:r>
      <w:r w:rsidR="00D02D95" w:rsidRPr="00EE7E38">
        <w:rPr>
          <w:rFonts w:ascii="Times New Roman" w:hAnsi="Times New Roman" w:cs="Times New Roman"/>
          <w:iCs/>
        </w:rPr>
        <w:t>).</w:t>
      </w:r>
      <w:r w:rsidR="005A003D" w:rsidRPr="00EE7E38">
        <w:rPr>
          <w:rFonts w:ascii="Times New Roman" w:hAnsi="Times New Roman" w:cs="Times New Roman"/>
          <w:i/>
          <w:iCs/>
        </w:rPr>
        <w:t xml:space="preserve">Medical equipment for TB service institutions. </w:t>
      </w:r>
      <w:r w:rsidR="005A003D" w:rsidRPr="00EE7E38">
        <w:rPr>
          <w:rFonts w:ascii="Times New Roman" w:hAnsi="Times New Roman" w:cs="Times New Roman"/>
          <w:iCs/>
        </w:rPr>
        <w:t>Following a needs and inventory assessment, o</w:t>
      </w:r>
      <w:r w:rsidR="005A003D" w:rsidRPr="00EE7E38">
        <w:rPr>
          <w:rFonts w:ascii="Times New Roman" w:hAnsi="Times New Roman" w:cs="Times New Roman"/>
        </w:rPr>
        <w:t>utdated medical equipment will be replaced by new equipment at public TB inpatient facilities</w:t>
      </w:r>
      <w:r w:rsidR="00E828A0" w:rsidRPr="00EE7E38">
        <w:rPr>
          <w:rFonts w:ascii="Times New Roman" w:hAnsi="Times New Roman" w:cs="Times New Roman"/>
        </w:rPr>
        <w:t>.</w:t>
      </w:r>
    </w:p>
    <w:p w14:paraId="4F9719CB" w14:textId="73620AEF"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Human resources at TB treatment institutions. </w:t>
      </w:r>
      <w:r w:rsidRPr="00EE7E38">
        <w:rPr>
          <w:rFonts w:ascii="Times New Roman" w:hAnsi="Times New Roman" w:cs="Times New Roman"/>
        </w:rPr>
        <w:t xml:space="preserve">Remuneration of staff in inpatient and outpatient TB institutions (including the newly established palliative care facility), with planned increase in salary levels according to the Government plans. </w:t>
      </w:r>
    </w:p>
    <w:p w14:paraId="72C57089" w14:textId="77777777" w:rsidR="00540B31" w:rsidRPr="00EE7E38" w:rsidRDefault="005A003D">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Facility costs at TB treatment institutions. </w:t>
      </w:r>
      <w:r w:rsidRPr="00EE7E38">
        <w:rPr>
          <w:rFonts w:ascii="Times New Roman" w:hAnsi="Times New Roman" w:cs="Times New Roman"/>
        </w:rPr>
        <w:t xml:space="preserve">Coverage of utilities and other costs in inpatient and outpatient TB institutions (including the newly established palliative care facility). </w:t>
      </w:r>
    </w:p>
    <w:p w14:paraId="1B7B3846" w14:textId="77777777" w:rsidR="00C6296A" w:rsidRPr="00EE7E38" w:rsidRDefault="00C6296A" w:rsidP="00C6296A">
      <w:pPr>
        <w:widowControl w:val="0"/>
        <w:spacing w:before="120" w:after="120" w:line="240" w:lineRule="auto"/>
        <w:rPr>
          <w:rFonts w:ascii="Times New Roman" w:hAnsi="Times New Roman" w:cs="Times New Roman"/>
          <w:b/>
          <w:bCs/>
        </w:rPr>
      </w:pPr>
      <w:bookmarkStart w:id="21" w:name="_Toc411586419"/>
      <w:bookmarkStart w:id="22" w:name="_Toc415578940"/>
      <w:r w:rsidRPr="00EE7E38">
        <w:rPr>
          <w:rFonts w:ascii="Times New Roman" w:hAnsi="Times New Roman" w:cs="Times New Roman"/>
          <w:b/>
          <w:bCs/>
        </w:rPr>
        <w:t>Expected Results</w:t>
      </w:r>
    </w:p>
    <w:p w14:paraId="612A9CAF" w14:textId="77777777" w:rsidR="00C6296A" w:rsidRPr="00EE7E38" w:rsidRDefault="00C6296A" w:rsidP="00C6296A">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Implementation of the interventions under this Objective aims at ensuring, by 202</w:t>
      </w:r>
      <w:r w:rsidR="002C511B" w:rsidRPr="00EE7E38">
        <w:rPr>
          <w:rFonts w:ascii="Times New Roman" w:hAnsi="Times New Roman" w:cs="Times New Roman"/>
          <w:lang w:val="ka-GE"/>
        </w:rPr>
        <w:t>2</w:t>
      </w:r>
      <w:r w:rsidRPr="00EE7E38">
        <w:rPr>
          <w:rFonts w:ascii="Times New Roman" w:hAnsi="Times New Roman" w:cs="Times New Roman"/>
        </w:rPr>
        <w:t xml:space="preserve">, universal access to high-quality treatment of all forms of TB, including M/XDR-TB, in Georgia: </w:t>
      </w:r>
    </w:p>
    <w:p w14:paraId="3AC9DBD0" w14:textId="77777777" w:rsidR="00C6296A" w:rsidRPr="00EE7E38" w:rsidRDefault="00C6296A" w:rsidP="00C6296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TB treatment and case management strategies and standards, in particular those for management of drug-resistant TB and HIV-associated TB, are upgraded and implemented according to the up-to-date international recommendations;</w:t>
      </w:r>
    </w:p>
    <w:p w14:paraId="6D02862A" w14:textId="77777777" w:rsidR="00C6296A" w:rsidRPr="00EE7E38" w:rsidRDefault="00C6296A" w:rsidP="00C6296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All diagnosed TB patients, including those with advanced drug-resistant forms of the disease, are provided with appropriate treatment, which is based on resistance status and initiated without delays;</w:t>
      </w:r>
    </w:p>
    <w:p w14:paraId="14E1DDAA" w14:textId="77777777" w:rsidR="00C6296A" w:rsidRPr="00EE7E38" w:rsidRDefault="00C6296A" w:rsidP="00C6296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Uninterrupted supply of quality assured anti-TB drugs (first-line, second-line and third-line drugs), and appropriate systems for drug management are in place, including procurement, storage and distribution, stock management, recording and reporting, management of adverse drugs reactions and pharmacovigilance;</w:t>
      </w:r>
    </w:p>
    <w:p w14:paraId="38018585" w14:textId="77777777" w:rsidR="00C6296A" w:rsidRPr="00EE7E38" w:rsidRDefault="00C6296A" w:rsidP="00C6296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An effective model for TB care delivery model is implemented, which employs patient-centered approaches and is based primarily on outpatient management of TB cases, including those with M/XDR-TB;</w:t>
      </w:r>
    </w:p>
    <w:p w14:paraId="2D6C1316" w14:textId="77777777" w:rsidR="00C6296A" w:rsidRPr="00EE7E38" w:rsidRDefault="00C6296A" w:rsidP="00C6296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Appropriate adherence support (</w:t>
      </w:r>
      <w:r w:rsidR="002C511B" w:rsidRPr="00EE7E38">
        <w:rPr>
          <w:rFonts w:ascii="Times New Roman" w:hAnsi="Times New Roman" w:cs="Times New Roman"/>
        </w:rPr>
        <w:t xml:space="preserve">cash and non-cash </w:t>
      </w:r>
      <w:r w:rsidRPr="00EE7E38">
        <w:rPr>
          <w:rFonts w:ascii="Times New Roman" w:hAnsi="Times New Roman" w:cs="Times New Roman"/>
        </w:rPr>
        <w:t>incentives, enablers and other means) and treatment of co-morbid conditions are provided to all TB patients in need, to ensure compliance to treatment and best patient outcomes;</w:t>
      </w:r>
    </w:p>
    <w:p w14:paraId="26250FAE" w14:textId="77777777" w:rsidR="00C6296A" w:rsidRPr="00EE7E38" w:rsidRDefault="00C6296A" w:rsidP="00C6296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Proper conditions and measures for TB infection control are secured in all inpatient and outpatient TB treatment sites;</w:t>
      </w:r>
    </w:p>
    <w:p w14:paraId="76D75422" w14:textId="77777777" w:rsidR="00CB730B" w:rsidRPr="00EE7E38" w:rsidRDefault="00C6296A" w:rsidP="00D544AD">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Testing for and preventive treatment of latent TB infection is provided to all individuals in need from defined risk groups</w:t>
      </w:r>
      <w:r w:rsidR="00B97D07" w:rsidRPr="00EE7E38">
        <w:rPr>
          <w:rFonts w:ascii="Times New Roman" w:hAnsi="Times New Roman" w:cs="Times New Roman"/>
        </w:rPr>
        <w:t xml:space="preserve"> according to international and national recommendations for LTBI</w:t>
      </w:r>
      <w:r w:rsidRPr="00EE7E38">
        <w:rPr>
          <w:rFonts w:ascii="Times New Roman" w:hAnsi="Times New Roman" w:cs="Times New Roman"/>
        </w:rPr>
        <w:t>.</w:t>
      </w:r>
    </w:p>
    <w:p w14:paraId="3DC398F5" w14:textId="77777777" w:rsidR="00B97D07" w:rsidRPr="00EE7E38" w:rsidRDefault="00B97D07" w:rsidP="00B97D07">
      <w:pPr>
        <w:widowControl w:val="0"/>
        <w:spacing w:before="120" w:after="120" w:line="240" w:lineRule="auto"/>
        <w:ind w:left="720"/>
        <w:jc w:val="both"/>
        <w:rPr>
          <w:rFonts w:ascii="Times New Roman" w:hAnsi="Times New Roman" w:cs="Times New Roman"/>
        </w:rPr>
      </w:pPr>
    </w:p>
    <w:p w14:paraId="13CFCB8B" w14:textId="77777777" w:rsidR="00B97D07" w:rsidRPr="00EE7E38" w:rsidRDefault="00B97D07" w:rsidP="00B97D07">
      <w:pPr>
        <w:widowControl w:val="0"/>
        <w:spacing w:before="120" w:after="120" w:line="240" w:lineRule="auto"/>
        <w:jc w:val="both"/>
        <w:rPr>
          <w:rFonts w:ascii="Times New Roman" w:hAnsi="Times New Roman" w:cs="Times New Roman"/>
        </w:rPr>
      </w:pPr>
    </w:p>
    <w:p w14:paraId="25C0537D" w14:textId="04FC2A0B" w:rsidR="00EC66F1" w:rsidRPr="00EE7E38" w:rsidRDefault="00EC66F1" w:rsidP="00835F94">
      <w:pPr>
        <w:pStyle w:val="Heading2"/>
        <w:keepNext w:val="0"/>
        <w:keepLines w:val="0"/>
        <w:widowControl w:val="0"/>
        <w:spacing w:before="120" w:after="120" w:line="240" w:lineRule="auto"/>
        <w:ind w:left="1560" w:hanging="1560"/>
        <w:rPr>
          <w:rFonts w:ascii="Times New Roman" w:hAnsi="Times New Roman" w:cs="Times New Roman"/>
        </w:rPr>
      </w:pPr>
      <w:bookmarkStart w:id="23" w:name="_Toc517633170"/>
      <w:proofErr w:type="gramStart"/>
      <w:r w:rsidRPr="00EE7E38">
        <w:rPr>
          <w:rFonts w:ascii="Times New Roman" w:hAnsi="Times New Roman" w:cs="Times New Roman"/>
        </w:rPr>
        <w:lastRenderedPageBreak/>
        <w:t>Objective 3.</w:t>
      </w:r>
      <w:proofErr w:type="gramEnd"/>
      <w:r w:rsidRPr="00EE7E38">
        <w:rPr>
          <w:rFonts w:ascii="Times New Roman" w:hAnsi="Times New Roman" w:cs="Times New Roman"/>
        </w:rPr>
        <w:t xml:space="preserve"> </w:t>
      </w:r>
      <w:r w:rsidRPr="00EE7E38">
        <w:rPr>
          <w:rFonts w:ascii="Times New Roman" w:hAnsi="Times New Roman" w:cs="Times New Roman"/>
        </w:rPr>
        <w:tab/>
        <w:t>To enable supportive environment</w:t>
      </w:r>
      <w:r w:rsidR="006C3C49">
        <w:rPr>
          <w:rFonts w:ascii="Times New Roman" w:hAnsi="Times New Roman" w:cs="Times New Roman"/>
        </w:rPr>
        <w:t>s</w:t>
      </w:r>
      <w:r w:rsidRPr="00EE7E38">
        <w:rPr>
          <w:rFonts w:ascii="Times New Roman" w:hAnsi="Times New Roman" w:cs="Times New Roman"/>
        </w:rPr>
        <w:t xml:space="preserve"> and systems for effective TB control</w:t>
      </w:r>
      <w:bookmarkEnd w:id="23"/>
    </w:p>
    <w:bookmarkEnd w:id="21"/>
    <w:bookmarkEnd w:id="22"/>
    <w:p w14:paraId="5E4F9A88" w14:textId="77777777" w:rsidR="00EC66F1" w:rsidRPr="00EE7E38" w:rsidRDefault="00EC66F1" w:rsidP="00835F94">
      <w:pPr>
        <w:widowControl w:val="0"/>
        <w:spacing w:before="120" w:after="120" w:line="240" w:lineRule="auto"/>
        <w:jc w:val="both"/>
        <w:rPr>
          <w:rFonts w:ascii="Times New Roman" w:hAnsi="Times New Roman" w:cs="Times New Roman"/>
          <w:b/>
          <w:bCs/>
        </w:rPr>
      </w:pPr>
      <w:r w:rsidRPr="00EE7E38">
        <w:rPr>
          <w:rFonts w:ascii="Times New Roman" w:hAnsi="Times New Roman" w:cs="Times New Roman"/>
          <w:b/>
          <w:bCs/>
        </w:rPr>
        <w:t>Rationale</w:t>
      </w:r>
    </w:p>
    <w:p w14:paraId="2EE82F1F" w14:textId="568B848E" w:rsidR="00EC66F1" w:rsidRPr="00EE7E38" w:rsidRDefault="00EC66F1" w:rsidP="00835F94">
      <w:pPr>
        <w:widowControl w:val="0"/>
        <w:spacing w:before="120" w:after="120" w:line="240" w:lineRule="auto"/>
        <w:jc w:val="both"/>
        <w:rPr>
          <w:rFonts w:ascii="Times New Roman" w:hAnsi="Times New Roman" w:cs="Times New Roman"/>
          <w:bCs/>
        </w:rPr>
      </w:pPr>
      <w:r w:rsidRPr="00EE7E38">
        <w:rPr>
          <w:rFonts w:ascii="Times New Roman" w:hAnsi="Times New Roman" w:cs="Times New Roman"/>
          <w:bCs/>
        </w:rPr>
        <w:t xml:space="preserve">Addressing broader social and economic determinants will ultimately have a decisive impact </w:t>
      </w:r>
      <w:r w:rsidR="006C3C49">
        <w:rPr>
          <w:rFonts w:ascii="Times New Roman" w:hAnsi="Times New Roman" w:cs="Times New Roman"/>
          <w:bCs/>
        </w:rPr>
        <w:t>on</w:t>
      </w:r>
      <w:r w:rsidR="006C3C49" w:rsidRPr="00EE7E38">
        <w:rPr>
          <w:rFonts w:ascii="Times New Roman" w:hAnsi="Times New Roman" w:cs="Times New Roman"/>
          <w:bCs/>
        </w:rPr>
        <w:t xml:space="preserve"> </w:t>
      </w:r>
      <w:r w:rsidRPr="00EE7E38">
        <w:rPr>
          <w:rFonts w:ascii="Times New Roman" w:hAnsi="Times New Roman" w:cs="Times New Roman"/>
          <w:bCs/>
        </w:rPr>
        <w:t xml:space="preserve">the burden of </w:t>
      </w:r>
      <w:r w:rsidR="006C3C49">
        <w:rPr>
          <w:rFonts w:ascii="Times New Roman" w:hAnsi="Times New Roman" w:cs="Times New Roman"/>
          <w:bCs/>
        </w:rPr>
        <w:t>TB</w:t>
      </w:r>
      <w:r w:rsidRPr="00EE7E38">
        <w:rPr>
          <w:rFonts w:ascii="Times New Roman" w:hAnsi="Times New Roman" w:cs="Times New Roman"/>
          <w:bCs/>
        </w:rPr>
        <w:t xml:space="preserve">. TB care and prevention will continue to benefit from general economic growth, poverty alleviation, enhanced social protection and </w:t>
      </w:r>
      <w:r w:rsidR="006C3C49" w:rsidRPr="00EE7E38">
        <w:rPr>
          <w:rFonts w:ascii="Times New Roman" w:hAnsi="Times New Roman" w:cs="Times New Roman"/>
          <w:bCs/>
        </w:rPr>
        <w:t>reduc</w:t>
      </w:r>
      <w:r w:rsidR="006C3C49">
        <w:rPr>
          <w:rFonts w:ascii="Times New Roman" w:hAnsi="Times New Roman" w:cs="Times New Roman"/>
          <w:bCs/>
        </w:rPr>
        <w:t>ed</w:t>
      </w:r>
      <w:r w:rsidR="006C3C49" w:rsidRPr="00EE7E38">
        <w:rPr>
          <w:rFonts w:ascii="Times New Roman" w:hAnsi="Times New Roman" w:cs="Times New Roman"/>
          <w:bCs/>
        </w:rPr>
        <w:t xml:space="preserve"> </w:t>
      </w:r>
      <w:r w:rsidRPr="00EE7E38">
        <w:rPr>
          <w:rFonts w:ascii="Times New Roman" w:hAnsi="Times New Roman" w:cs="Times New Roman"/>
          <w:bCs/>
        </w:rPr>
        <w:t xml:space="preserve">inequalities. In this regard, </w:t>
      </w:r>
      <w:r w:rsidR="006C3C49">
        <w:rPr>
          <w:rFonts w:ascii="Times New Roman" w:hAnsi="Times New Roman" w:cs="Times New Roman"/>
          <w:bCs/>
        </w:rPr>
        <w:t xml:space="preserve">the </w:t>
      </w:r>
      <w:r w:rsidRPr="00EE7E38">
        <w:rPr>
          <w:rFonts w:ascii="Times New Roman" w:hAnsi="Times New Roman" w:cs="Times New Roman"/>
          <w:bCs/>
          <w:i/>
        </w:rPr>
        <w:t>Post-2015 Global Tuberculosis Strategy Framework</w:t>
      </w:r>
      <w:r w:rsidRPr="00EE7E38">
        <w:rPr>
          <w:rFonts w:ascii="Times New Roman" w:hAnsi="Times New Roman" w:cs="Times New Roman"/>
          <w:bCs/>
        </w:rPr>
        <w:t xml:space="preserve"> (GTSF) calls </w:t>
      </w:r>
      <w:r w:rsidR="006C3C49">
        <w:rPr>
          <w:rFonts w:ascii="Times New Roman" w:hAnsi="Times New Roman" w:cs="Times New Roman"/>
          <w:bCs/>
        </w:rPr>
        <w:t>on countries</w:t>
      </w:r>
      <w:r w:rsidRPr="00EE7E38">
        <w:rPr>
          <w:rFonts w:ascii="Times New Roman" w:hAnsi="Times New Roman" w:cs="Times New Roman"/>
          <w:bCs/>
        </w:rPr>
        <w:t xml:space="preserve"> to pursue ‘health-in-all’ policies through applying multisectoral and multidisciplinary approaches to improving health, which will greatly facilitate effective TB control.</w:t>
      </w:r>
    </w:p>
    <w:p w14:paraId="1C647854" w14:textId="77777777" w:rsidR="00EC66F1" w:rsidRPr="00EE7E38" w:rsidRDefault="00EC66F1" w:rsidP="00835F94">
      <w:pPr>
        <w:widowControl w:val="0"/>
        <w:spacing w:before="120" w:after="120" w:line="240" w:lineRule="auto"/>
        <w:jc w:val="both"/>
        <w:rPr>
          <w:rFonts w:ascii="Times New Roman" w:hAnsi="Times New Roman" w:cs="Times New Roman"/>
          <w:bCs/>
        </w:rPr>
      </w:pPr>
      <w:r w:rsidRPr="00EE7E38">
        <w:rPr>
          <w:rFonts w:ascii="Times New Roman" w:hAnsi="Times New Roman" w:cs="Times New Roman"/>
          <w:bCs/>
        </w:rPr>
        <w:t>At the same time, GTSF emphasizes the need to create supportive environments and specific systems to ensure the attainment of goals and targets of the national TB strategic plans. This requires, first of all, a well-resourced, organized and coordinated health system. TB services are an integral part of the national health system, and sustainable success in TB control needs, therefore, proper alignment within the overall reform processes and strengthening the core health system functions. Appropriate monitoring and evaluation systems need to be in place to assess the progress of TB interventions, which should include all relevant health system aspects.</w:t>
      </w:r>
    </w:p>
    <w:p w14:paraId="5568ED9B" w14:textId="79FFCA64" w:rsidR="00EC66F1" w:rsidRPr="00EE7E38" w:rsidRDefault="00EC66F1" w:rsidP="00835F94">
      <w:pPr>
        <w:widowControl w:val="0"/>
        <w:spacing w:before="120" w:after="120" w:line="240" w:lineRule="auto"/>
        <w:jc w:val="both"/>
        <w:rPr>
          <w:rFonts w:ascii="Times New Roman" w:hAnsi="Times New Roman" w:cs="Times New Roman"/>
          <w:bCs/>
        </w:rPr>
      </w:pPr>
      <w:r w:rsidRPr="00EE7E38">
        <w:rPr>
          <w:rFonts w:ascii="Times New Roman" w:hAnsi="Times New Roman" w:cs="Times New Roman"/>
          <w:bCs/>
        </w:rPr>
        <w:t xml:space="preserve">Implementation of universal health coverage (UHC) policies is presented as one of the key GTSF components. In December 2014, the Government of Georgia approved the </w:t>
      </w:r>
      <w:r w:rsidRPr="00EE7E38">
        <w:rPr>
          <w:rFonts w:ascii="Times New Roman" w:hAnsi="Times New Roman" w:cs="Times New Roman"/>
          <w:bCs/>
          <w:i/>
        </w:rPr>
        <w:t>Georgian Healthcare System State Concept</w:t>
      </w:r>
      <w:r w:rsidRPr="00EE7E38">
        <w:rPr>
          <w:rStyle w:val="FootnoteReference"/>
          <w:rFonts w:ascii="Times New Roman" w:hAnsi="Times New Roman" w:cs="Times New Roman"/>
          <w:bCs/>
        </w:rPr>
        <w:footnoteReference w:id="41"/>
      </w:r>
      <w:r w:rsidRPr="00EE7E38">
        <w:rPr>
          <w:rFonts w:ascii="Times New Roman" w:hAnsi="Times New Roman" w:cs="Times New Roman"/>
          <w:bCs/>
        </w:rPr>
        <w:t>,</w:t>
      </w:r>
      <w:r w:rsidR="006C3C49">
        <w:rPr>
          <w:rFonts w:ascii="Times New Roman" w:hAnsi="Times New Roman" w:cs="Times New Roman"/>
          <w:bCs/>
        </w:rPr>
        <w:t xml:space="preserve"> </w:t>
      </w:r>
      <w:r w:rsidRPr="00EE7E38">
        <w:rPr>
          <w:rFonts w:ascii="Times New Roman" w:hAnsi="Times New Roman" w:cs="Times New Roman"/>
          <w:bCs/>
        </w:rPr>
        <w:t xml:space="preserve">which supports the health-in-all approaches and has UHC as the mainstay for the health system development in the country until 2020. </w:t>
      </w:r>
      <w:r w:rsidR="006C3C49">
        <w:rPr>
          <w:rFonts w:ascii="Times New Roman" w:hAnsi="Times New Roman" w:cs="Times New Roman"/>
          <w:bCs/>
        </w:rPr>
        <w:t xml:space="preserve"> The</w:t>
      </w:r>
      <w:r w:rsidRPr="00EE7E38">
        <w:rPr>
          <w:rFonts w:ascii="Times New Roman" w:hAnsi="Times New Roman" w:cs="Times New Roman"/>
          <w:bCs/>
        </w:rPr>
        <w:t xml:space="preserve"> Concept presents TB control as one of its priorities and calls for improving quality of TB services.</w:t>
      </w:r>
    </w:p>
    <w:p w14:paraId="35702AE7" w14:textId="7EFDA160" w:rsidR="00EC66F1" w:rsidRPr="00EE7E38" w:rsidRDefault="00EC66F1" w:rsidP="00835F94">
      <w:pPr>
        <w:widowControl w:val="0"/>
        <w:spacing w:before="120" w:after="120" w:line="240" w:lineRule="auto"/>
        <w:jc w:val="both"/>
        <w:rPr>
          <w:rFonts w:ascii="Times New Roman" w:hAnsi="Times New Roman" w:cs="Times New Roman"/>
          <w:bCs/>
        </w:rPr>
      </w:pPr>
      <w:r w:rsidRPr="00EE7E38">
        <w:rPr>
          <w:rFonts w:ascii="Times New Roman" w:hAnsi="Times New Roman" w:cs="Times New Roman"/>
          <w:bCs/>
        </w:rPr>
        <w:t>Besides the health system, the role of communities and non-state actors is of high value in implementing patient-centered approaches and addressing the needs of population groups at risk. GTSF calls for building strong and sustainable coalitions for fighting TB that include all stakeholders. Civil society organizations have specific competenc</w:t>
      </w:r>
      <w:r w:rsidR="006C3C49">
        <w:rPr>
          <w:rFonts w:ascii="Times New Roman" w:hAnsi="Times New Roman" w:cs="Times New Roman"/>
          <w:bCs/>
        </w:rPr>
        <w:t>i</w:t>
      </w:r>
      <w:r w:rsidRPr="00EE7E38">
        <w:rPr>
          <w:rFonts w:ascii="Times New Roman" w:hAnsi="Times New Roman" w:cs="Times New Roman"/>
          <w:bCs/>
        </w:rPr>
        <w:t xml:space="preserve">es which should be used by the national program, such as reaching out to vulnerable populations, mobilizing communities, channeling information and framing effective service delivery models. </w:t>
      </w:r>
    </w:p>
    <w:p w14:paraId="2B2AA05C" w14:textId="77777777" w:rsidR="00EC66F1" w:rsidRPr="00EE7E38" w:rsidRDefault="00EC66F1" w:rsidP="00835F94">
      <w:pPr>
        <w:widowControl w:val="0"/>
        <w:spacing w:before="120" w:after="120" w:line="240" w:lineRule="auto"/>
        <w:jc w:val="both"/>
        <w:rPr>
          <w:rFonts w:ascii="Times New Roman" w:hAnsi="Times New Roman" w:cs="Times New Roman"/>
          <w:b/>
          <w:bCs/>
        </w:rPr>
      </w:pPr>
      <w:r w:rsidRPr="00EE7E38">
        <w:rPr>
          <w:rFonts w:ascii="Times New Roman" w:hAnsi="Times New Roman" w:cs="Times New Roman"/>
          <w:bCs/>
        </w:rPr>
        <w:t>TB control strategies and service delivery have to explicitly account for human rights, ethics and equity. TB care and prevention often pose ethical dilemmas, and the NTP needs to address them with due respect to relevant ethical values and globally recognized principles. TB-related research is another component of the supportive environment, which should generate reliable evidence for decision making at all levels.</w:t>
      </w:r>
    </w:p>
    <w:p w14:paraId="1D56A4FE" w14:textId="77777777" w:rsidR="00EC66F1" w:rsidRPr="00EE7E38" w:rsidRDefault="00EC66F1" w:rsidP="00835F94">
      <w:pPr>
        <w:widowControl w:val="0"/>
        <w:spacing w:before="120" w:after="120" w:line="240" w:lineRule="auto"/>
        <w:jc w:val="both"/>
        <w:rPr>
          <w:rFonts w:ascii="Times New Roman" w:hAnsi="Times New Roman" w:cs="Times New Roman"/>
          <w:b/>
          <w:bCs/>
        </w:rPr>
      </w:pPr>
      <w:r w:rsidRPr="00EE7E38">
        <w:rPr>
          <w:rFonts w:ascii="Times New Roman" w:hAnsi="Times New Roman" w:cs="Times New Roman"/>
          <w:b/>
          <w:bCs/>
        </w:rPr>
        <w:t>Achievements to Date</w:t>
      </w:r>
    </w:p>
    <w:p w14:paraId="20046743" w14:textId="65046532" w:rsidR="00540B31" w:rsidRPr="00EE7E38" w:rsidRDefault="00EC66F1" w:rsidP="00E14F60">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increasing commitment of the Government of Georgia to effective TB control is proven by increasing levels of TB expenditures, including </w:t>
      </w:r>
      <w:r w:rsidR="006C3C49">
        <w:rPr>
          <w:rFonts w:ascii="Times New Roman" w:hAnsi="Times New Roman" w:cs="Times New Roman"/>
        </w:rPr>
        <w:t>its goal of taking over a large share of the financing</w:t>
      </w:r>
      <w:r w:rsidRPr="00EE7E38">
        <w:rPr>
          <w:rFonts w:ascii="Times New Roman" w:hAnsi="Times New Roman" w:cs="Times New Roman"/>
        </w:rPr>
        <w:t xml:space="preserve"> from the Global Fund. </w:t>
      </w:r>
    </w:p>
    <w:p w14:paraId="63FA37A6" w14:textId="28E49DCF" w:rsidR="00540B31"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 recently adopted Concept for health care development appropriately prioritizes TB control interventions and their integration in</w:t>
      </w:r>
      <w:r w:rsidR="006C3C49">
        <w:rPr>
          <w:rFonts w:ascii="Times New Roman" w:hAnsi="Times New Roman" w:cs="Times New Roman"/>
        </w:rPr>
        <w:t>to</w:t>
      </w:r>
      <w:r w:rsidRPr="00EE7E38">
        <w:rPr>
          <w:rFonts w:ascii="Times New Roman" w:hAnsi="Times New Roman" w:cs="Times New Roman"/>
        </w:rPr>
        <w:t xml:space="preserve"> the overall process of transformation of the health system. </w:t>
      </w:r>
    </w:p>
    <w:p w14:paraId="1135D1FF" w14:textId="74AB2D91" w:rsidR="00540B31"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Georgian Country Coordination Mechanism (CCM) guides and oversees the country efforts in diseases’ control implemented with the Global Fund support, as well as cooperation between different governmental agencies and partnerships with </w:t>
      </w:r>
      <w:r w:rsidR="0041159C">
        <w:rPr>
          <w:rFonts w:ascii="Times New Roman" w:hAnsi="Times New Roman" w:cs="Times New Roman"/>
        </w:rPr>
        <w:t>NGOs</w:t>
      </w:r>
      <w:r w:rsidRPr="00EE7E38">
        <w:rPr>
          <w:rFonts w:ascii="Times New Roman" w:hAnsi="Times New Roman" w:cs="Times New Roman"/>
        </w:rPr>
        <w:t xml:space="preserve">. </w:t>
      </w:r>
    </w:p>
    <w:p w14:paraId="58C5CC52" w14:textId="6586E0C5" w:rsidR="00540B31"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Traditionally, there has been close and constructive collaboration among the national stakeholders involved in TB control, including</w:t>
      </w:r>
      <w:r w:rsidR="006C3C49">
        <w:rPr>
          <w:rFonts w:ascii="Times New Roman" w:hAnsi="Times New Roman" w:cs="Times New Roman"/>
        </w:rPr>
        <w:t xml:space="preserve"> the</w:t>
      </w:r>
      <w:r w:rsidRPr="00EE7E38">
        <w:rPr>
          <w:rFonts w:ascii="Times New Roman" w:hAnsi="Times New Roman" w:cs="Times New Roman"/>
        </w:rPr>
        <w:t xml:space="preserve"> penitentiary system and HIV/AIDS program. The NTP management and coordination arrangements at the central level were strengthened by the establishment of the National TB Council (NTC) in November 2014.</w:t>
      </w:r>
    </w:p>
    <w:p w14:paraId="373C57D5" w14:textId="52F5687D" w:rsidR="00540B31"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Over the last decade, Georgia has benefitted from intensive and productive cooperation with external partners in the area of TB control: WHO, German Government (GIZ/</w:t>
      </w:r>
      <w:proofErr w:type="spellStart"/>
      <w:r w:rsidRPr="00EE7E38">
        <w:rPr>
          <w:rFonts w:ascii="Times New Roman" w:hAnsi="Times New Roman" w:cs="Times New Roman"/>
        </w:rPr>
        <w:t>KfW</w:t>
      </w:r>
      <w:proofErr w:type="spellEnd"/>
      <w:r w:rsidRPr="00EE7E38">
        <w:rPr>
          <w:rFonts w:ascii="Times New Roman" w:hAnsi="Times New Roman" w:cs="Times New Roman"/>
        </w:rPr>
        <w:t>/GOPA), United States Government/USAID, ICRC, MSF, EXPAND-TB/FIND, and others. The country has successfully implemented the Global Fund TB grants from Rounds 4, 6 and 10</w:t>
      </w:r>
      <w:r w:rsidR="00FA7055" w:rsidRPr="00EE7E38">
        <w:rPr>
          <w:rFonts w:ascii="Times New Roman" w:hAnsi="Times New Roman" w:cs="Times New Roman"/>
        </w:rPr>
        <w:t xml:space="preserve"> </w:t>
      </w:r>
      <w:r w:rsidR="00942710" w:rsidRPr="00EE7E38">
        <w:rPr>
          <w:rFonts w:ascii="Times New Roman" w:hAnsi="Times New Roman" w:cs="Times New Roman"/>
        </w:rPr>
        <w:t xml:space="preserve">as well as a grant under the </w:t>
      </w:r>
      <w:r w:rsidR="006C3C49">
        <w:rPr>
          <w:rFonts w:ascii="Times New Roman" w:hAnsi="Times New Roman" w:cs="Times New Roman"/>
        </w:rPr>
        <w:t>Global Fund</w:t>
      </w:r>
      <w:r w:rsidR="006C3C49" w:rsidRPr="00EE7E38">
        <w:rPr>
          <w:rFonts w:ascii="Times New Roman" w:hAnsi="Times New Roman" w:cs="Times New Roman"/>
        </w:rPr>
        <w:t xml:space="preserve"> </w:t>
      </w:r>
      <w:r w:rsidR="00942710" w:rsidRPr="00EE7E38">
        <w:rPr>
          <w:rFonts w:ascii="Times New Roman" w:hAnsi="Times New Roman" w:cs="Times New Roman"/>
        </w:rPr>
        <w:t>new funding model.</w:t>
      </w:r>
    </w:p>
    <w:p w14:paraId="21024B64" w14:textId="2BB65336" w:rsidR="006B404A" w:rsidRPr="00EE7E38" w:rsidRDefault="00942710" w:rsidP="006B404A">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lastRenderedPageBreak/>
        <w:t xml:space="preserve">Continuous </w:t>
      </w:r>
      <w:r w:rsidR="006C3C49">
        <w:rPr>
          <w:rFonts w:ascii="Times New Roman" w:hAnsi="Times New Roman" w:cs="Times New Roman"/>
        </w:rPr>
        <w:t>p</w:t>
      </w:r>
      <w:r w:rsidR="006B404A" w:rsidRPr="00EE7E38">
        <w:rPr>
          <w:rFonts w:ascii="Times New Roman" w:hAnsi="Times New Roman" w:cs="Times New Roman"/>
        </w:rPr>
        <w:t xml:space="preserve">rofessional development of medical personnel participating in TB </w:t>
      </w:r>
      <w:r w:rsidRPr="00EE7E38">
        <w:rPr>
          <w:rFonts w:ascii="Times New Roman" w:hAnsi="Times New Roman" w:cs="Times New Roman"/>
        </w:rPr>
        <w:t>service</w:t>
      </w:r>
      <w:r w:rsidR="006B404A" w:rsidRPr="00EE7E38">
        <w:rPr>
          <w:rFonts w:ascii="Times New Roman" w:hAnsi="Times New Roman" w:cs="Times New Roman"/>
        </w:rPr>
        <w:t xml:space="preserve"> </w:t>
      </w:r>
      <w:r w:rsidRPr="00EE7E38">
        <w:rPr>
          <w:rFonts w:ascii="Times New Roman" w:hAnsi="Times New Roman" w:cs="Times New Roman"/>
        </w:rPr>
        <w:t xml:space="preserve">has been </w:t>
      </w:r>
      <w:r w:rsidR="006B404A" w:rsidRPr="00EE7E38">
        <w:rPr>
          <w:rFonts w:ascii="Times New Roman" w:hAnsi="Times New Roman" w:cs="Times New Roman"/>
        </w:rPr>
        <w:t xml:space="preserve">supported through </w:t>
      </w:r>
      <w:r w:rsidRPr="00EE7E38">
        <w:rPr>
          <w:rFonts w:ascii="Times New Roman" w:hAnsi="Times New Roman" w:cs="Times New Roman"/>
        </w:rPr>
        <w:t>state and donor financing</w:t>
      </w:r>
      <w:r w:rsidR="006B404A" w:rsidRPr="00EE7E38">
        <w:rPr>
          <w:rFonts w:ascii="Times New Roman" w:hAnsi="Times New Roman" w:cs="Times New Roman"/>
        </w:rPr>
        <w:t xml:space="preserve">. System capabilities are also </w:t>
      </w:r>
      <w:r w:rsidRPr="00EE7E38">
        <w:rPr>
          <w:rFonts w:ascii="Times New Roman" w:hAnsi="Times New Roman" w:cs="Times New Roman"/>
        </w:rPr>
        <w:t>continuously</w:t>
      </w:r>
      <w:r w:rsidR="006B404A" w:rsidRPr="00EE7E38">
        <w:rPr>
          <w:rFonts w:ascii="Times New Roman" w:hAnsi="Times New Roman" w:cs="Times New Roman"/>
        </w:rPr>
        <w:t xml:space="preserve"> strengthened for implementation of innovative methods of treatment and diagnosis.</w:t>
      </w:r>
    </w:p>
    <w:p w14:paraId="7012F9F7" w14:textId="7DA443CA" w:rsidR="00D129EA" w:rsidRPr="00EE7E38" w:rsidRDefault="00942710" w:rsidP="0094271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Involvement of civil society organizations in TB control has been substantial since 2012. </w:t>
      </w:r>
      <w:r w:rsidR="006C3C49">
        <w:rPr>
          <w:rFonts w:ascii="Times New Roman" w:hAnsi="Times New Roman" w:cs="Times New Roman"/>
        </w:rPr>
        <w:t xml:space="preserve">The </w:t>
      </w:r>
      <w:r w:rsidRPr="00EE7E38">
        <w:rPr>
          <w:rFonts w:ascii="Times New Roman" w:hAnsi="Times New Roman" w:cs="Times New Roman"/>
        </w:rPr>
        <w:t xml:space="preserve">USAID Georgia TB Prevention </w:t>
      </w:r>
      <w:r w:rsidR="006C3C49">
        <w:rPr>
          <w:rFonts w:ascii="Times New Roman" w:hAnsi="Times New Roman" w:cs="Times New Roman"/>
        </w:rPr>
        <w:t>P</w:t>
      </w:r>
      <w:r w:rsidRPr="00EE7E38">
        <w:rPr>
          <w:rFonts w:ascii="Times New Roman" w:hAnsi="Times New Roman" w:cs="Times New Roman"/>
        </w:rPr>
        <w:t>roject has supported many community</w:t>
      </w:r>
      <w:r w:rsidR="006C3C49">
        <w:rPr>
          <w:rFonts w:ascii="Times New Roman" w:hAnsi="Times New Roman" w:cs="Times New Roman"/>
        </w:rPr>
        <w:t>-</w:t>
      </w:r>
      <w:r w:rsidRPr="00EE7E38">
        <w:rPr>
          <w:rFonts w:ascii="Times New Roman" w:hAnsi="Times New Roman" w:cs="Times New Roman"/>
        </w:rPr>
        <w:t>based initiative</w:t>
      </w:r>
      <w:r w:rsidR="006C3C49">
        <w:rPr>
          <w:rFonts w:ascii="Times New Roman" w:hAnsi="Times New Roman" w:cs="Times New Roman"/>
        </w:rPr>
        <w:t>s</w:t>
      </w:r>
      <w:r w:rsidRPr="00EE7E38">
        <w:rPr>
          <w:rFonts w:ascii="Times New Roman" w:hAnsi="Times New Roman" w:cs="Times New Roman"/>
        </w:rPr>
        <w:t xml:space="preserve"> aimed at TB awareness raising, treatment adherence support, </w:t>
      </w:r>
      <w:r w:rsidR="006C3C49">
        <w:rPr>
          <w:rFonts w:ascii="Times New Roman" w:hAnsi="Times New Roman" w:cs="Times New Roman"/>
        </w:rPr>
        <w:t xml:space="preserve">and </w:t>
      </w:r>
      <w:r w:rsidRPr="00EE7E38">
        <w:rPr>
          <w:rFonts w:ascii="Times New Roman" w:hAnsi="Times New Roman" w:cs="Times New Roman"/>
        </w:rPr>
        <w:t>TB case detection among high risk groups. These activities will be further exp</w:t>
      </w:r>
      <w:r w:rsidR="006C3C49">
        <w:rPr>
          <w:rFonts w:ascii="Times New Roman" w:hAnsi="Times New Roman" w:cs="Times New Roman"/>
        </w:rPr>
        <w:t>a</w:t>
      </w:r>
      <w:r w:rsidRPr="00EE7E38">
        <w:rPr>
          <w:rFonts w:ascii="Times New Roman" w:hAnsi="Times New Roman" w:cs="Times New Roman"/>
        </w:rPr>
        <w:t>nded to enhance patient</w:t>
      </w:r>
      <w:r w:rsidR="006C3C49">
        <w:rPr>
          <w:rFonts w:ascii="Times New Roman" w:hAnsi="Times New Roman" w:cs="Times New Roman"/>
        </w:rPr>
        <w:t>-</w:t>
      </w:r>
      <w:r w:rsidRPr="00EE7E38">
        <w:rPr>
          <w:rFonts w:ascii="Times New Roman" w:hAnsi="Times New Roman" w:cs="Times New Roman"/>
        </w:rPr>
        <w:t xml:space="preserve">centeredness and achieve better treatment outcomes.  </w:t>
      </w:r>
    </w:p>
    <w:p w14:paraId="230C733E" w14:textId="21C98ECD" w:rsidR="00540B31"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Georgian NTP actively participates in international clinical research projects on TB. </w:t>
      </w:r>
    </w:p>
    <w:p w14:paraId="2FADC467" w14:textId="77777777" w:rsidR="00EC66F1" w:rsidRPr="00EE7E38" w:rsidRDefault="00EC66F1" w:rsidP="00835F94">
      <w:pPr>
        <w:widowControl w:val="0"/>
        <w:spacing w:before="120" w:after="120" w:line="240" w:lineRule="auto"/>
        <w:rPr>
          <w:rFonts w:ascii="Times New Roman" w:hAnsi="Times New Roman" w:cs="Times New Roman"/>
          <w:b/>
          <w:bCs/>
        </w:rPr>
      </w:pPr>
      <w:r w:rsidRPr="00EE7E38">
        <w:rPr>
          <w:rFonts w:ascii="Times New Roman" w:hAnsi="Times New Roman" w:cs="Times New Roman"/>
          <w:b/>
          <w:bCs/>
        </w:rPr>
        <w:t>Challenges and Gaps</w:t>
      </w:r>
    </w:p>
    <w:p w14:paraId="385463B5" w14:textId="4C781009" w:rsidR="006323CE"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w:t>
      </w:r>
      <w:r w:rsidR="00EF3E42" w:rsidRPr="00EE7E38">
        <w:rPr>
          <w:rFonts w:ascii="Times New Roman" w:hAnsi="Times New Roman" w:cs="Times New Roman"/>
        </w:rPr>
        <w:t>major</w:t>
      </w:r>
      <w:r w:rsidRPr="00EE7E38">
        <w:rPr>
          <w:rFonts w:ascii="Times New Roman" w:hAnsi="Times New Roman" w:cs="Times New Roman"/>
        </w:rPr>
        <w:t xml:space="preserve"> challenge </w:t>
      </w:r>
      <w:r w:rsidR="00EF3E42" w:rsidRPr="00EE7E38">
        <w:rPr>
          <w:rFonts w:ascii="Times New Roman" w:hAnsi="Times New Roman" w:cs="Times New Roman"/>
        </w:rPr>
        <w:t xml:space="preserve">that </w:t>
      </w:r>
      <w:r w:rsidR="00544F37">
        <w:rPr>
          <w:rFonts w:ascii="Times New Roman" w:hAnsi="Times New Roman" w:cs="Times New Roman"/>
        </w:rPr>
        <w:t>NTP</w:t>
      </w:r>
      <w:r w:rsidR="00EF3E42" w:rsidRPr="00EE7E38">
        <w:rPr>
          <w:rFonts w:ascii="Times New Roman" w:hAnsi="Times New Roman" w:cs="Times New Roman"/>
        </w:rPr>
        <w:t xml:space="preserve"> faces during this strategy implementation period is maintaining universal access to quality TB prevention, diagnosis, treatment and care services in the context of </w:t>
      </w:r>
      <w:r w:rsidR="00544F37">
        <w:rPr>
          <w:rFonts w:ascii="Times New Roman" w:hAnsi="Times New Roman" w:cs="Times New Roman"/>
        </w:rPr>
        <w:t xml:space="preserve">an </w:t>
      </w:r>
      <w:r w:rsidR="00EF3E42" w:rsidRPr="00EE7E38">
        <w:rPr>
          <w:rFonts w:ascii="Times New Roman" w:hAnsi="Times New Roman" w:cs="Times New Roman"/>
        </w:rPr>
        <w:t>anticipated reduction of donor funding.</w:t>
      </w:r>
    </w:p>
    <w:p w14:paraId="1881EAC0" w14:textId="28813F1D" w:rsidR="006F5E90" w:rsidRPr="00EE7E38" w:rsidRDefault="006323CE"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In the context of anticipated transition from the Global Fund to state financing</w:t>
      </w:r>
      <w:r w:rsidR="00544F37">
        <w:rPr>
          <w:rFonts w:ascii="Times New Roman" w:hAnsi="Times New Roman" w:cs="Times New Roman"/>
        </w:rPr>
        <w:t>,</w:t>
      </w:r>
      <w:r w:rsidRPr="00EE7E38">
        <w:rPr>
          <w:rFonts w:ascii="Times New Roman" w:hAnsi="Times New Roman" w:cs="Times New Roman"/>
        </w:rPr>
        <w:t xml:space="preserve"> </w:t>
      </w:r>
      <w:r w:rsidR="00AF0E37" w:rsidRPr="00EE7E38">
        <w:rPr>
          <w:rFonts w:ascii="Times New Roman" w:hAnsi="Times New Roman" w:cs="Times New Roman"/>
        </w:rPr>
        <w:t>improving efficiency of the system becomes of particular importance. This can be achie</w:t>
      </w:r>
      <w:r w:rsidR="00544F37">
        <w:rPr>
          <w:rFonts w:ascii="Times New Roman" w:hAnsi="Times New Roman" w:cs="Times New Roman"/>
        </w:rPr>
        <w:t>ved by</w:t>
      </w:r>
      <w:r w:rsidR="00AF0E37" w:rsidRPr="00EE7E38">
        <w:rPr>
          <w:rFonts w:ascii="Times New Roman" w:hAnsi="Times New Roman" w:cs="Times New Roman"/>
        </w:rPr>
        <w:t xml:space="preserve"> optimizing </w:t>
      </w:r>
      <w:r w:rsidR="00544F37">
        <w:rPr>
          <w:rFonts w:ascii="Times New Roman" w:hAnsi="Times New Roman" w:cs="Times New Roman"/>
        </w:rPr>
        <w:t xml:space="preserve">the </w:t>
      </w:r>
      <w:r w:rsidR="00AF0E37" w:rsidRPr="00EE7E38">
        <w:rPr>
          <w:rFonts w:ascii="Times New Roman" w:hAnsi="Times New Roman" w:cs="Times New Roman"/>
        </w:rPr>
        <w:t xml:space="preserve">TB service delivery network and strengthening mechanisms for continuous quality improvement. </w:t>
      </w:r>
      <w:r w:rsidR="00EF3E42" w:rsidRPr="00EE7E38">
        <w:rPr>
          <w:rFonts w:ascii="Times New Roman" w:hAnsi="Times New Roman" w:cs="Times New Roman"/>
        </w:rPr>
        <w:t xml:space="preserve">  </w:t>
      </w:r>
    </w:p>
    <w:p w14:paraId="4B1792FA" w14:textId="3BA93AFB"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use of hospital capacities compared to other countries in Eastern Europe and Central Asia is relatively low in Georgia, but the average </w:t>
      </w:r>
      <w:r w:rsidR="00AF0E37" w:rsidRPr="00EE7E38">
        <w:rPr>
          <w:rFonts w:ascii="Times New Roman" w:hAnsi="Times New Roman" w:cs="Times New Roman"/>
        </w:rPr>
        <w:t>length</w:t>
      </w:r>
      <w:r w:rsidRPr="00EE7E38">
        <w:rPr>
          <w:rFonts w:ascii="Times New Roman" w:hAnsi="Times New Roman" w:cs="Times New Roman"/>
        </w:rPr>
        <w:t xml:space="preserve"> of stay for </w:t>
      </w:r>
      <w:r w:rsidR="00544F37">
        <w:rPr>
          <w:rFonts w:ascii="Times New Roman" w:hAnsi="Times New Roman" w:cs="Times New Roman"/>
        </w:rPr>
        <w:t xml:space="preserve">MDR-TB </w:t>
      </w:r>
      <w:r w:rsidRPr="00EE7E38">
        <w:rPr>
          <w:rFonts w:ascii="Times New Roman" w:hAnsi="Times New Roman" w:cs="Times New Roman"/>
        </w:rPr>
        <w:t>is 86 days and widely ranges from 45 to 127 (2016</w:t>
      </w:r>
      <w:r w:rsidR="00544F37">
        <w:rPr>
          <w:rFonts w:ascii="Times New Roman" w:hAnsi="Times New Roman" w:cs="Times New Roman"/>
        </w:rPr>
        <w:t xml:space="preserve"> data</w:t>
      </w:r>
      <w:r w:rsidRPr="00EE7E38">
        <w:rPr>
          <w:rFonts w:ascii="Times New Roman" w:hAnsi="Times New Roman" w:cs="Times New Roman"/>
        </w:rPr>
        <w:t xml:space="preserve">). This can be explained by the absence of uniform hospitalization criteria. </w:t>
      </w:r>
      <w:r w:rsidR="00AF0E37" w:rsidRPr="00EE7E38">
        <w:rPr>
          <w:rFonts w:ascii="Times New Roman" w:hAnsi="Times New Roman" w:cs="Times New Roman"/>
        </w:rPr>
        <w:t>The n</w:t>
      </w:r>
      <w:r w:rsidRPr="00EE7E38">
        <w:rPr>
          <w:rFonts w:ascii="Times New Roman" w:hAnsi="Times New Roman" w:cs="Times New Roman"/>
        </w:rPr>
        <w:t xml:space="preserve">ew National </w:t>
      </w:r>
      <w:r w:rsidR="00AF0E37" w:rsidRPr="00EE7E38">
        <w:rPr>
          <w:rFonts w:ascii="Times New Roman" w:hAnsi="Times New Roman" w:cs="Times New Roman"/>
        </w:rPr>
        <w:t xml:space="preserve">TB Control Guidelines </w:t>
      </w:r>
      <w:r w:rsidRPr="00EE7E38">
        <w:rPr>
          <w:rFonts w:ascii="Times New Roman" w:hAnsi="Times New Roman" w:cs="Times New Roman"/>
        </w:rPr>
        <w:t>based on WHO recommendations</w:t>
      </w:r>
      <w:r w:rsidR="00B241D0">
        <w:rPr>
          <w:rFonts w:ascii="Times New Roman" w:hAnsi="Times New Roman" w:cs="Times New Roman"/>
        </w:rPr>
        <w:t xml:space="preserve"> </w:t>
      </w:r>
      <w:r w:rsidR="00AF0E37" w:rsidRPr="00EE7E38">
        <w:rPr>
          <w:rFonts w:ascii="Times New Roman" w:hAnsi="Times New Roman" w:cs="Times New Roman"/>
        </w:rPr>
        <w:t xml:space="preserve">was </w:t>
      </w:r>
      <w:r w:rsidRPr="00EE7E38">
        <w:rPr>
          <w:rFonts w:ascii="Times New Roman" w:hAnsi="Times New Roman" w:cs="Times New Roman"/>
        </w:rPr>
        <w:t xml:space="preserve">enacted </w:t>
      </w:r>
      <w:r w:rsidR="00AF0E37" w:rsidRPr="00EE7E38">
        <w:rPr>
          <w:rFonts w:ascii="Times New Roman" w:hAnsi="Times New Roman" w:cs="Times New Roman"/>
        </w:rPr>
        <w:t xml:space="preserve">in </w:t>
      </w:r>
      <w:r w:rsidRPr="00EE7E38">
        <w:rPr>
          <w:rFonts w:ascii="Times New Roman" w:hAnsi="Times New Roman" w:cs="Times New Roman"/>
        </w:rPr>
        <w:t>May 2018</w:t>
      </w:r>
      <w:r w:rsidR="00544F37">
        <w:rPr>
          <w:rFonts w:ascii="Times New Roman" w:hAnsi="Times New Roman" w:cs="Times New Roman"/>
        </w:rPr>
        <w:t>, and includes</w:t>
      </w:r>
      <w:r w:rsidRPr="00EE7E38">
        <w:rPr>
          <w:rFonts w:ascii="Times New Roman" w:hAnsi="Times New Roman" w:cs="Times New Roman"/>
        </w:rPr>
        <w:t xml:space="preserve"> already define</w:t>
      </w:r>
      <w:r w:rsidR="00AF0E37" w:rsidRPr="00EE7E38">
        <w:rPr>
          <w:rFonts w:ascii="Times New Roman" w:hAnsi="Times New Roman" w:cs="Times New Roman"/>
        </w:rPr>
        <w:t>d</w:t>
      </w:r>
      <w:r w:rsidRPr="00EE7E38">
        <w:rPr>
          <w:rFonts w:ascii="Times New Roman" w:hAnsi="Times New Roman" w:cs="Times New Roman"/>
        </w:rPr>
        <w:t xml:space="preserve"> hospitalization</w:t>
      </w:r>
      <w:r w:rsidR="00AF0E37" w:rsidRPr="00EE7E38">
        <w:rPr>
          <w:rFonts w:ascii="Times New Roman" w:hAnsi="Times New Roman" w:cs="Times New Roman"/>
        </w:rPr>
        <w:t xml:space="preserve"> and discharge</w:t>
      </w:r>
      <w:r w:rsidRPr="00EE7E38">
        <w:rPr>
          <w:rFonts w:ascii="Times New Roman" w:hAnsi="Times New Roman" w:cs="Times New Roman"/>
        </w:rPr>
        <w:t xml:space="preserve"> criteria.</w:t>
      </w:r>
      <w:r w:rsidR="00AF0E37" w:rsidRPr="00EE7E38">
        <w:rPr>
          <w:rFonts w:ascii="Times New Roman" w:hAnsi="Times New Roman" w:cs="Times New Roman"/>
        </w:rPr>
        <w:t xml:space="preserve"> However, for the full execution of these criteria it is also important to revisit payment mechanisms for hospital services to avoid unjustified hospitalization and prolonged stay. </w:t>
      </w:r>
    </w:p>
    <w:p w14:paraId="626E68BE" w14:textId="21A66FAB" w:rsidR="00AF0E37" w:rsidRPr="00EE7E38" w:rsidRDefault="00AF0E37"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Strengthening public-private partnership in Georgia remains crucial for maintaining and expanding access to TB service. </w:t>
      </w:r>
      <w:r w:rsidR="006150BF" w:rsidRPr="00EE7E38">
        <w:rPr>
          <w:rFonts w:ascii="Times New Roman" w:hAnsi="Times New Roman" w:cs="Times New Roman"/>
        </w:rPr>
        <w:t>Payment mechanisms for private providers should be refined to insure their stable and long</w:t>
      </w:r>
      <w:r w:rsidR="00544F37">
        <w:rPr>
          <w:rFonts w:ascii="Times New Roman" w:hAnsi="Times New Roman" w:cs="Times New Roman"/>
        </w:rPr>
        <w:t>-</w:t>
      </w:r>
      <w:r w:rsidR="006150BF" w:rsidRPr="00EE7E38">
        <w:rPr>
          <w:rFonts w:ascii="Times New Roman" w:hAnsi="Times New Roman" w:cs="Times New Roman"/>
        </w:rPr>
        <w:t xml:space="preserve">term engagement in TB service delivery. </w:t>
      </w:r>
    </w:p>
    <w:p w14:paraId="40B53EC1" w14:textId="0916B91C" w:rsidR="006150BF" w:rsidRPr="00EE7E38" w:rsidRDefault="006150BF"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low reimbursement of physicians and nurses is a major systemic challenge that affects health workers motivation. The challenge is further exaggerated by the fact that </w:t>
      </w:r>
      <w:proofErr w:type="gramStart"/>
      <w:r w:rsidRPr="00EE7E38">
        <w:rPr>
          <w:rFonts w:ascii="Times New Roman" w:hAnsi="Times New Roman" w:cs="Times New Roman"/>
        </w:rPr>
        <w:t>a majority (69.8%) of physicians within the State TB Control Program are</w:t>
      </w:r>
      <w:proofErr w:type="gramEnd"/>
      <w:r w:rsidRPr="00EE7E38">
        <w:rPr>
          <w:rFonts w:ascii="Times New Roman" w:hAnsi="Times New Roman" w:cs="Times New Roman"/>
        </w:rPr>
        <w:t xml:space="preserve"> pre-retirement or retirement age and the influx </w:t>
      </w:r>
      <w:r w:rsidR="00564CFF">
        <w:rPr>
          <w:rFonts w:ascii="Times New Roman" w:hAnsi="Times New Roman" w:cs="Times New Roman"/>
        </w:rPr>
        <w:t>from the</w:t>
      </w:r>
      <w:r w:rsidRPr="00EE7E38">
        <w:rPr>
          <w:rFonts w:ascii="Times New Roman" w:hAnsi="Times New Roman" w:cs="Times New Roman"/>
        </w:rPr>
        <w:t xml:space="preserve"> new cadre of physicians is low. </w:t>
      </w:r>
      <w:r w:rsidRPr="00EE7E38">
        <w:rPr>
          <w:rStyle w:val="FootnoteReference"/>
          <w:rFonts w:ascii="Times New Roman" w:eastAsia="Times New Roman" w:hAnsi="Times New Roman" w:cs="Times New Roman"/>
          <w:lang w:val="ka-GE"/>
        </w:rPr>
        <w:footnoteReference w:id="42"/>
      </w:r>
    </w:p>
    <w:p w14:paraId="04354404" w14:textId="77777777" w:rsidR="006150BF" w:rsidRPr="00EE7E38" w:rsidRDefault="006150BF" w:rsidP="00AF0E37">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role of primary care providers in TB detection and management has yet to be improved. Capacity building of primary care providers is needed constantly to ensure active case finding and quality DOT administration at ambulatory level. </w:t>
      </w:r>
    </w:p>
    <w:p w14:paraId="0A7EEF06" w14:textId="05A9ACC1" w:rsidR="002A4055" w:rsidRPr="00EE7E38" w:rsidRDefault="006150BF" w:rsidP="006150BF">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Efforts are required to support implementation of </w:t>
      </w:r>
      <w:r w:rsidR="00564CFF">
        <w:rPr>
          <w:rFonts w:ascii="Times New Roman" w:hAnsi="Times New Roman" w:cs="Times New Roman"/>
        </w:rPr>
        <w:t xml:space="preserve">the </w:t>
      </w:r>
      <w:r w:rsidRPr="00EE7E38">
        <w:rPr>
          <w:rFonts w:ascii="Times New Roman" w:hAnsi="Times New Roman" w:cs="Times New Roman"/>
        </w:rPr>
        <w:t xml:space="preserve">TB </w:t>
      </w:r>
      <w:r w:rsidR="00564CFF">
        <w:rPr>
          <w:rFonts w:ascii="Times New Roman" w:hAnsi="Times New Roman" w:cs="Times New Roman"/>
        </w:rPr>
        <w:t>C</w:t>
      </w:r>
      <w:r w:rsidRPr="00EE7E38">
        <w:rPr>
          <w:rFonts w:ascii="Times New Roman" w:hAnsi="Times New Roman" w:cs="Times New Roman"/>
        </w:rPr>
        <w:t xml:space="preserve">ontrol </w:t>
      </w:r>
      <w:r w:rsidR="00564CFF">
        <w:rPr>
          <w:rFonts w:ascii="Times New Roman" w:hAnsi="Times New Roman" w:cs="Times New Roman"/>
        </w:rPr>
        <w:t>L</w:t>
      </w:r>
      <w:r w:rsidRPr="00EE7E38">
        <w:rPr>
          <w:rFonts w:ascii="Times New Roman" w:hAnsi="Times New Roman" w:cs="Times New Roman"/>
        </w:rPr>
        <w:t>aw enacted by the parliament of Georgia in 2015. During the upcoming strategy cycle</w:t>
      </w:r>
      <w:r w:rsidR="00564CFF">
        <w:rPr>
          <w:rFonts w:ascii="Times New Roman" w:hAnsi="Times New Roman" w:cs="Times New Roman"/>
        </w:rPr>
        <w:t>,</w:t>
      </w:r>
      <w:r w:rsidRPr="00EE7E38">
        <w:rPr>
          <w:rFonts w:ascii="Times New Roman" w:hAnsi="Times New Roman" w:cs="Times New Roman"/>
        </w:rPr>
        <w:t xml:space="preserve"> particular emphasis will be </w:t>
      </w:r>
      <w:r w:rsidR="00564CFF">
        <w:rPr>
          <w:rFonts w:ascii="Times New Roman" w:hAnsi="Times New Roman" w:cs="Times New Roman"/>
        </w:rPr>
        <w:t>placed on</w:t>
      </w:r>
      <w:r w:rsidRPr="00EE7E38">
        <w:rPr>
          <w:rFonts w:ascii="Times New Roman" w:hAnsi="Times New Roman" w:cs="Times New Roman"/>
        </w:rPr>
        <w:t xml:space="preserve"> enactment of </w:t>
      </w:r>
      <w:r w:rsidR="00564CFF">
        <w:rPr>
          <w:rFonts w:ascii="Times New Roman" w:hAnsi="Times New Roman" w:cs="Times New Roman"/>
        </w:rPr>
        <w:t xml:space="preserve">the </w:t>
      </w:r>
      <w:r w:rsidRPr="00EE7E38">
        <w:rPr>
          <w:rFonts w:ascii="Times New Roman" w:hAnsi="Times New Roman" w:cs="Times New Roman"/>
        </w:rPr>
        <w:t>provision</w:t>
      </w:r>
      <w:r w:rsidR="00564CFF">
        <w:rPr>
          <w:rFonts w:ascii="Times New Roman" w:hAnsi="Times New Roman" w:cs="Times New Roman"/>
        </w:rPr>
        <w:t>s</w:t>
      </w:r>
      <w:r w:rsidRPr="00EE7E38">
        <w:rPr>
          <w:rFonts w:ascii="Times New Roman" w:hAnsi="Times New Roman" w:cs="Times New Roman"/>
        </w:rPr>
        <w:t xml:space="preserve"> of the new la</w:t>
      </w:r>
      <w:r w:rsidR="00564CFF">
        <w:rPr>
          <w:rFonts w:ascii="Times New Roman" w:hAnsi="Times New Roman" w:cs="Times New Roman"/>
        </w:rPr>
        <w:t>w</w:t>
      </w:r>
      <w:r w:rsidRPr="00EE7E38">
        <w:rPr>
          <w:rFonts w:ascii="Times New Roman" w:hAnsi="Times New Roman" w:cs="Times New Roman"/>
        </w:rPr>
        <w:t xml:space="preserve"> supporting TB treatment adherence, </w:t>
      </w:r>
      <w:r w:rsidR="0037051C" w:rsidRPr="00EE7E38">
        <w:rPr>
          <w:rFonts w:ascii="Times New Roman" w:hAnsi="Times New Roman" w:cs="Times New Roman"/>
        </w:rPr>
        <w:t xml:space="preserve">protecting patients’ rights to have unlimited access to high quality service, roles and responsibilities of private facilities as well as public health services in contact investigation, treatment adherence support etc. </w:t>
      </w:r>
    </w:p>
    <w:p w14:paraId="42A47B0B" w14:textId="08DEAE22" w:rsidR="002A4055"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TB-related operational research needs to be intensified to address the functions of the health system in relation to TB control and performance of services (such as financial burden on households in relation to TB care, problems in accessing services, delays on the patient’s pathways, hospital performance</w:t>
      </w:r>
      <w:r w:rsidR="00564CFF">
        <w:rPr>
          <w:rFonts w:ascii="Times New Roman" w:hAnsi="Times New Roman" w:cs="Times New Roman"/>
        </w:rPr>
        <w:t>,</w:t>
      </w:r>
      <w:r w:rsidRPr="00EE7E38">
        <w:rPr>
          <w:rFonts w:ascii="Times New Roman" w:hAnsi="Times New Roman" w:cs="Times New Roman"/>
        </w:rPr>
        <w:t xml:space="preserve"> and service-related risk factors for M/XDR-TB).</w:t>
      </w:r>
    </w:p>
    <w:p w14:paraId="3B1121E0" w14:textId="77777777" w:rsidR="00EC66F1" w:rsidRPr="00EE7E38" w:rsidRDefault="00EC66F1" w:rsidP="00835F94">
      <w:pPr>
        <w:widowControl w:val="0"/>
        <w:spacing w:before="120" w:after="120" w:line="240" w:lineRule="auto"/>
        <w:rPr>
          <w:rFonts w:ascii="Times New Roman" w:hAnsi="Times New Roman" w:cs="Times New Roman"/>
          <w:b/>
          <w:bCs/>
        </w:rPr>
      </w:pPr>
      <w:r w:rsidRPr="00EE7E38">
        <w:rPr>
          <w:rFonts w:ascii="Times New Roman" w:hAnsi="Times New Roman" w:cs="Times New Roman"/>
          <w:b/>
          <w:bCs/>
        </w:rPr>
        <w:t>Strategic Interventions</w:t>
      </w:r>
    </w:p>
    <w:p w14:paraId="1B4D4FCA" w14:textId="66487D38"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Under this Objective, four Strategic Interventions are propose</w:t>
      </w:r>
      <w:r w:rsidR="00A2389E">
        <w:rPr>
          <w:rFonts w:ascii="Times New Roman" w:hAnsi="Times New Roman" w:cs="Times New Roman"/>
        </w:rPr>
        <w:t>d to create</w:t>
      </w:r>
      <w:r w:rsidR="00B241D0">
        <w:rPr>
          <w:rFonts w:ascii="Times New Roman" w:hAnsi="Times New Roman" w:cs="Times New Roman"/>
        </w:rPr>
        <w:t xml:space="preserve"> </w:t>
      </w:r>
      <w:r w:rsidRPr="00EE7E38">
        <w:rPr>
          <w:rFonts w:ascii="Times New Roman" w:hAnsi="Times New Roman" w:cs="Times New Roman"/>
        </w:rPr>
        <w:t>the supportive environment</w:t>
      </w:r>
      <w:r w:rsidR="00A2389E">
        <w:rPr>
          <w:rFonts w:ascii="Times New Roman" w:hAnsi="Times New Roman" w:cs="Times New Roman"/>
        </w:rPr>
        <w:t>s</w:t>
      </w:r>
      <w:r w:rsidRPr="00EE7E38">
        <w:rPr>
          <w:rFonts w:ascii="Times New Roman" w:hAnsi="Times New Roman" w:cs="Times New Roman"/>
        </w:rPr>
        <w:t xml:space="preserve"> and systems for effective implementation of diagnostic and treatment interventions described above. They include</w:t>
      </w:r>
      <w:r w:rsidR="00A2389E">
        <w:rPr>
          <w:rFonts w:ascii="Times New Roman" w:hAnsi="Times New Roman" w:cs="Times New Roman"/>
        </w:rPr>
        <w:t>: 1)</w:t>
      </w:r>
      <w:r w:rsidRPr="00EE7E38">
        <w:rPr>
          <w:rFonts w:ascii="Times New Roman" w:hAnsi="Times New Roman" w:cs="Times New Roman"/>
        </w:rPr>
        <w:t>strengthening key functions and processes in the health care system for TB control</w:t>
      </w:r>
      <w:r w:rsidR="00750436" w:rsidRPr="00EE7E38">
        <w:rPr>
          <w:rFonts w:ascii="Times New Roman" w:hAnsi="Times New Roman" w:cs="Times New Roman"/>
        </w:rPr>
        <w:t xml:space="preserve">; </w:t>
      </w:r>
      <w:r w:rsidR="00A2389E">
        <w:rPr>
          <w:rFonts w:ascii="Times New Roman" w:hAnsi="Times New Roman" w:cs="Times New Roman"/>
        </w:rPr>
        <w:t xml:space="preserve">2) </w:t>
      </w:r>
      <w:r w:rsidR="00750436" w:rsidRPr="00EE7E38">
        <w:rPr>
          <w:rFonts w:ascii="Times New Roman" w:hAnsi="Times New Roman" w:cs="Times New Roman"/>
        </w:rPr>
        <w:t xml:space="preserve">supervision, monitoring and evaluation of the </w:t>
      </w:r>
      <w:r w:rsidR="00A2389E">
        <w:rPr>
          <w:rFonts w:ascii="Times New Roman" w:hAnsi="Times New Roman" w:cs="Times New Roman"/>
        </w:rPr>
        <w:t>NTP</w:t>
      </w:r>
      <w:r w:rsidR="00750436" w:rsidRPr="00EE7E38">
        <w:rPr>
          <w:rFonts w:ascii="Times New Roman" w:hAnsi="Times New Roman" w:cs="Times New Roman"/>
        </w:rPr>
        <w:t xml:space="preserve">; </w:t>
      </w:r>
      <w:r w:rsidR="00A2389E">
        <w:rPr>
          <w:rFonts w:ascii="Times New Roman" w:hAnsi="Times New Roman" w:cs="Times New Roman"/>
        </w:rPr>
        <w:t xml:space="preserve">3) </w:t>
      </w:r>
      <w:r w:rsidRPr="00EE7E38">
        <w:rPr>
          <w:rFonts w:ascii="Times New Roman" w:hAnsi="Times New Roman" w:cs="Times New Roman"/>
        </w:rPr>
        <w:t xml:space="preserve">supporting </w:t>
      </w:r>
      <w:r w:rsidR="00A2389E">
        <w:rPr>
          <w:rFonts w:ascii="Times New Roman" w:hAnsi="Times New Roman" w:cs="Times New Roman"/>
        </w:rPr>
        <w:t xml:space="preserve">advocacy, communication, and social </w:t>
      </w:r>
      <w:r w:rsidR="00A2389E">
        <w:rPr>
          <w:rFonts w:ascii="Times New Roman" w:hAnsi="Times New Roman" w:cs="Times New Roman"/>
        </w:rPr>
        <w:lastRenderedPageBreak/>
        <w:t>mobilization (</w:t>
      </w:r>
      <w:r w:rsidRPr="00EE7E38">
        <w:rPr>
          <w:rFonts w:ascii="Times New Roman" w:hAnsi="Times New Roman" w:cs="Times New Roman"/>
        </w:rPr>
        <w:t>ACSM</w:t>
      </w:r>
      <w:r w:rsidR="00A2389E">
        <w:rPr>
          <w:rFonts w:ascii="Times New Roman" w:hAnsi="Times New Roman" w:cs="Times New Roman"/>
        </w:rPr>
        <w:t>)</w:t>
      </w:r>
      <w:r w:rsidRPr="00EE7E38">
        <w:rPr>
          <w:rFonts w:ascii="Times New Roman" w:hAnsi="Times New Roman" w:cs="Times New Roman"/>
        </w:rPr>
        <w:t xml:space="preserve"> and engagement of civil society</w:t>
      </w:r>
      <w:r w:rsidR="00A2389E">
        <w:rPr>
          <w:rFonts w:ascii="Times New Roman" w:hAnsi="Times New Roman" w:cs="Times New Roman"/>
        </w:rPr>
        <w:t xml:space="preserve">; </w:t>
      </w:r>
      <w:r w:rsidR="00A35B15">
        <w:rPr>
          <w:rFonts w:ascii="Times New Roman" w:hAnsi="Times New Roman" w:cs="Times New Roman"/>
        </w:rPr>
        <w:t xml:space="preserve">and </w:t>
      </w:r>
      <w:r w:rsidR="00A2389E">
        <w:rPr>
          <w:rFonts w:ascii="Times New Roman" w:hAnsi="Times New Roman" w:cs="Times New Roman"/>
        </w:rPr>
        <w:t>4)</w:t>
      </w:r>
      <w:r w:rsidRPr="00EE7E38">
        <w:rPr>
          <w:rFonts w:ascii="Times New Roman" w:hAnsi="Times New Roman" w:cs="Times New Roman"/>
        </w:rPr>
        <w:t xml:space="preserve"> research on priority issues of TB control.</w:t>
      </w:r>
    </w:p>
    <w:p w14:paraId="7FFAC1CF" w14:textId="77777777" w:rsidR="00EC66F1" w:rsidRPr="00EE7E38" w:rsidRDefault="00EC66F1" w:rsidP="00835F94">
      <w:pPr>
        <w:widowControl w:val="0"/>
        <w:spacing w:before="120" w:after="120" w:line="240" w:lineRule="auto"/>
        <w:rPr>
          <w:rFonts w:ascii="Times New Roman" w:hAnsi="Times New Roman" w:cs="Times New Roman"/>
          <w:b/>
        </w:rPr>
      </w:pPr>
      <w:r w:rsidRPr="00EE7E38">
        <w:rPr>
          <w:rFonts w:ascii="Times New Roman" w:hAnsi="Times New Roman" w:cs="Times New Roman"/>
          <w:b/>
        </w:rPr>
        <w:t>3.1</w:t>
      </w:r>
      <w:r w:rsidRPr="00EE7E38">
        <w:rPr>
          <w:rFonts w:ascii="Times New Roman" w:hAnsi="Times New Roman" w:cs="Times New Roman"/>
          <w:b/>
        </w:rPr>
        <w:tab/>
        <w:t>Strengthening core health system functions for TB control</w:t>
      </w:r>
    </w:p>
    <w:p w14:paraId="51EA22B3" w14:textId="1CF67E2E"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In line with the principles and priorities of the Georgian Healthcare System State Concept 2014-2020, the Government will ensure that the needs of TB control are properly integrated in</w:t>
      </w:r>
      <w:r w:rsidR="00DC2A68">
        <w:rPr>
          <w:rFonts w:ascii="Times New Roman" w:hAnsi="Times New Roman" w:cs="Times New Roman"/>
        </w:rPr>
        <w:t>to</w:t>
      </w:r>
      <w:r w:rsidRPr="00EE7E38">
        <w:rPr>
          <w:rFonts w:ascii="Times New Roman" w:hAnsi="Times New Roman" w:cs="Times New Roman"/>
        </w:rPr>
        <w:t xml:space="preserve"> the planned health system transformation process. For this purpose, a set of actions will be undertaken for strengthening the main health system functions in this regard: governance and management, financing and allocation, resource development, and service delivery.</w:t>
      </w:r>
    </w:p>
    <w:p w14:paraId="1E421AA6" w14:textId="77777777" w:rsidR="00EC66F1" w:rsidRPr="00EE7E38" w:rsidRDefault="00EC66F1" w:rsidP="00835F94">
      <w:pPr>
        <w:widowControl w:val="0"/>
        <w:spacing w:before="120" w:after="120" w:line="240" w:lineRule="auto"/>
        <w:jc w:val="both"/>
        <w:rPr>
          <w:rFonts w:ascii="Times New Roman" w:hAnsi="Times New Roman" w:cs="Times New Roman"/>
          <w:b/>
          <w:i/>
        </w:rPr>
      </w:pPr>
      <w:r w:rsidRPr="00EE7E38">
        <w:rPr>
          <w:rFonts w:ascii="Times New Roman" w:hAnsi="Times New Roman" w:cs="Times New Roman"/>
          <w:b/>
          <w:i/>
        </w:rPr>
        <w:t>Governance and management</w:t>
      </w:r>
    </w:p>
    <w:p w14:paraId="6905222D" w14:textId="3753671B"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According to the WHO guidelines</w:t>
      </w:r>
      <w:r w:rsidRPr="00EE7E38">
        <w:rPr>
          <w:rStyle w:val="FootnoteReference"/>
          <w:rFonts w:ascii="Times New Roman" w:hAnsi="Times New Roman" w:cs="Times New Roman"/>
        </w:rPr>
        <w:footnoteReference w:id="43"/>
      </w:r>
      <w:r w:rsidRPr="00EE7E38">
        <w:rPr>
          <w:rFonts w:ascii="Times New Roman" w:hAnsi="Times New Roman" w:cs="Times New Roman"/>
        </w:rPr>
        <w:t>, a national TB control program should embrace the following structures: a central NTP unit (including the national TB reference laboratory); regional coordination units for TB control (including regional laboratories); and health service delivery points (including inpatient facilities and outpatient units, integrated into general health services). Effective governance, program management</w:t>
      </w:r>
      <w:r w:rsidR="00DC2A68">
        <w:rPr>
          <w:rFonts w:ascii="Times New Roman" w:hAnsi="Times New Roman" w:cs="Times New Roman"/>
        </w:rPr>
        <w:t>,</w:t>
      </w:r>
      <w:r w:rsidRPr="00EE7E38">
        <w:rPr>
          <w:rFonts w:ascii="Times New Roman" w:hAnsi="Times New Roman" w:cs="Times New Roman"/>
        </w:rPr>
        <w:t xml:space="preserve"> and coordination between stakeholders and implementers are essential to the success of TB control interventions.</w:t>
      </w:r>
    </w:p>
    <w:p w14:paraId="04FD0A51" w14:textId="4B5E298D" w:rsidR="00EC66F1" w:rsidRPr="00EE7E38" w:rsidRDefault="00EC66F1" w:rsidP="0075043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During the next five-year period covered by the NSP,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apply specific measures to strengthen the governance and management arrangements of the national program. The NSP outlines </w:t>
      </w:r>
      <w:r w:rsidR="00750436" w:rsidRPr="00EE7E38">
        <w:rPr>
          <w:rFonts w:ascii="Times New Roman" w:hAnsi="Times New Roman" w:cs="Times New Roman"/>
        </w:rPr>
        <w:t>two</w:t>
      </w:r>
      <w:r w:rsidRPr="00EE7E38">
        <w:rPr>
          <w:rFonts w:ascii="Times New Roman" w:hAnsi="Times New Roman" w:cs="Times New Roman"/>
        </w:rPr>
        <w:t xml:space="preserve"> priority areas for improving the NTP governance and management for 201</w:t>
      </w:r>
      <w:r w:rsidR="006F5E90" w:rsidRPr="00EE7E38">
        <w:rPr>
          <w:rFonts w:ascii="Times New Roman" w:hAnsi="Times New Roman" w:cs="Times New Roman"/>
        </w:rPr>
        <w:t>9</w:t>
      </w:r>
      <w:r w:rsidRPr="00EE7E38">
        <w:rPr>
          <w:rFonts w:ascii="Times New Roman" w:hAnsi="Times New Roman" w:cs="Times New Roman"/>
        </w:rPr>
        <w:t>-202</w:t>
      </w:r>
      <w:r w:rsidR="006F5E90" w:rsidRPr="00EE7E38">
        <w:rPr>
          <w:rFonts w:ascii="Times New Roman" w:hAnsi="Times New Roman" w:cs="Times New Roman"/>
        </w:rPr>
        <w:t>2</w:t>
      </w:r>
      <w:r w:rsidRPr="00EE7E38">
        <w:rPr>
          <w:rFonts w:ascii="Times New Roman" w:hAnsi="Times New Roman" w:cs="Times New Roman"/>
        </w:rPr>
        <w:t>:</w:t>
      </w:r>
      <w:r w:rsidR="00750436" w:rsidRPr="00EE7E38">
        <w:rPr>
          <w:rFonts w:ascii="Times New Roman" w:hAnsi="Times New Roman" w:cs="Times New Roman"/>
        </w:rPr>
        <w:t xml:space="preserve"> </w:t>
      </w:r>
      <w:r w:rsidR="00DC2A68">
        <w:rPr>
          <w:rFonts w:ascii="Times New Roman" w:hAnsi="Times New Roman" w:cs="Times New Roman"/>
        </w:rPr>
        <w:t xml:space="preserve">1) </w:t>
      </w:r>
      <w:r w:rsidR="00750436" w:rsidRPr="00EE7E38">
        <w:rPr>
          <w:rFonts w:ascii="Times New Roman" w:hAnsi="Times New Roman" w:cs="Times New Roman"/>
        </w:rPr>
        <w:t>s</w:t>
      </w:r>
      <w:r w:rsidRPr="00EE7E38">
        <w:rPr>
          <w:rFonts w:ascii="Times New Roman" w:hAnsi="Times New Roman" w:cs="Times New Roman"/>
        </w:rPr>
        <w:t>trengthening the NTP governance arrangements at the central level;</w:t>
      </w:r>
      <w:r w:rsidR="00750436" w:rsidRPr="00EE7E38">
        <w:rPr>
          <w:rFonts w:ascii="Times New Roman" w:hAnsi="Times New Roman" w:cs="Times New Roman"/>
        </w:rPr>
        <w:t xml:space="preserve"> and </w:t>
      </w:r>
      <w:r w:rsidR="00DC2A68">
        <w:rPr>
          <w:rFonts w:ascii="Times New Roman" w:hAnsi="Times New Roman" w:cs="Times New Roman"/>
        </w:rPr>
        <w:t xml:space="preserve">2) </w:t>
      </w:r>
      <w:r w:rsidR="00750436" w:rsidRPr="00EE7E38">
        <w:rPr>
          <w:rFonts w:ascii="Times New Roman" w:hAnsi="Times New Roman" w:cs="Times New Roman"/>
        </w:rPr>
        <w:t>e</w:t>
      </w:r>
      <w:r w:rsidRPr="00EE7E38">
        <w:rPr>
          <w:rFonts w:ascii="Times New Roman" w:hAnsi="Times New Roman" w:cs="Times New Roman"/>
        </w:rPr>
        <w:t>nsuring harmonization of key legislation and regulati</w:t>
      </w:r>
      <w:r w:rsidR="00750436" w:rsidRPr="00EE7E38">
        <w:rPr>
          <w:rFonts w:ascii="Times New Roman" w:hAnsi="Times New Roman" w:cs="Times New Roman"/>
        </w:rPr>
        <w:t>ons in line with NSP priorities.</w:t>
      </w:r>
    </w:p>
    <w:p w14:paraId="7A818377" w14:textId="511394DE" w:rsidR="002C5147"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 functional NTP central unit is a key requirement for effective implementation of complex TB control interventions. To ensure effective program management and coordination, the arrangements instituted in late 2014</w:t>
      </w:r>
      <w:r w:rsidRPr="00EE7E38">
        <w:rPr>
          <w:rStyle w:val="FootnoteReference"/>
          <w:rFonts w:ascii="Times New Roman" w:hAnsi="Times New Roman" w:cs="Times New Roman"/>
        </w:rPr>
        <w:footnoteReference w:id="44"/>
      </w:r>
      <w:r w:rsidRPr="00EE7E38">
        <w:rPr>
          <w:rFonts w:ascii="Times New Roman" w:hAnsi="Times New Roman" w:cs="Times New Roman"/>
        </w:rPr>
        <w:t xml:space="preserve"> will be operationalized and further developed. The National TB Council (NTC) will act in the capacity of the central coordination body for the </w:t>
      </w:r>
      <w:r w:rsidR="00DC2A68">
        <w:rPr>
          <w:rFonts w:ascii="Times New Roman" w:hAnsi="Times New Roman" w:cs="Times New Roman"/>
        </w:rPr>
        <w:t>NTP</w:t>
      </w:r>
      <w:r w:rsidRPr="00EE7E38">
        <w:rPr>
          <w:rFonts w:ascii="Times New Roman" w:hAnsi="Times New Roman" w:cs="Times New Roman"/>
        </w:rPr>
        <w:t xml:space="preserve">. The NTC will oversee the implementation of this NSP, carry out strategic and operational planning of key activities, support mobilization of required resources for TB control, and facilitate the mainstreaming of legislation, regulations and standards in line with best international practices. The NTC will be responsible for monitoring and evaluating the progress towards achieving the objectives and targets of the national TB response. </w:t>
      </w:r>
    </w:p>
    <w:p w14:paraId="559D555B" w14:textId="77777777" w:rsidR="00C61228"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NTC appoints the National TB Coordinator to be in charge of practical tasks related to NTC operations and all other program implementation issues.</w:t>
      </w:r>
    </w:p>
    <w:p w14:paraId="0FE057E8"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 primary task for the NTC and the National TB Coordinator is to ensure effective cooperation between the four key entities for TB control at the central level: the Country Coordination Mechanism (CCM), the Ministry of Labor, Health and Social Affairs (</w:t>
      </w:r>
      <w:proofErr w:type="spellStart"/>
      <w:r w:rsidRPr="00EE7E38">
        <w:rPr>
          <w:rFonts w:ascii="Times New Roman" w:hAnsi="Times New Roman" w:cs="Times New Roman"/>
        </w:rPr>
        <w:t>MoLHSA</w:t>
      </w:r>
      <w:proofErr w:type="spellEnd"/>
      <w:r w:rsidRPr="00EE7E38">
        <w:rPr>
          <w:rFonts w:ascii="Times New Roman" w:hAnsi="Times New Roman" w:cs="Times New Roman"/>
        </w:rPr>
        <w:t>), the National Center for Disease Control and Public Health (NCDCPH) and the National Center for Tuberculosis and Lung Diseases (NCTLD), as well as to promote appropriate involvement and coordination of other ministries and governmental agencies, private providers of medical services, other non-state actors and international partners.</w:t>
      </w:r>
    </w:p>
    <w:p w14:paraId="2C991C93" w14:textId="7742F55E"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NTC will accord special attention to proper integration of TB control interventions in the civilian and penitentiary sectors, as well as to strengthening the collaboration between TB services and HIV services. For this purpose, the NTC will ensure the effective involvement of the Ministry of Corrections and Legal Advice (MCLA) and the National HIV/AIDS Program (NAP). The functions and responsibilities of key national stakeholder organizations are described in detail in Section </w:t>
      </w:r>
      <w:r w:rsidR="00AF16CE">
        <w:rPr>
          <w:rFonts w:ascii="Times New Roman" w:hAnsi="Times New Roman" w:cs="Times New Roman"/>
        </w:rPr>
        <w:t>4</w:t>
      </w:r>
      <w:r w:rsidRPr="00EE7E38">
        <w:rPr>
          <w:rFonts w:ascii="Times New Roman" w:hAnsi="Times New Roman" w:cs="Times New Roman"/>
        </w:rPr>
        <w:t xml:space="preserve"> below and reflected in the NSP Action Plan.</w:t>
      </w:r>
    </w:p>
    <w:p w14:paraId="08E9FD36" w14:textId="05F8AA42" w:rsidR="001C17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NSP </w:t>
      </w:r>
      <w:r w:rsidR="00C356DF" w:rsidRPr="00EE7E38">
        <w:rPr>
          <w:rFonts w:ascii="Times New Roman" w:hAnsi="Times New Roman" w:cs="Times New Roman"/>
        </w:rPr>
        <w:t xml:space="preserve">envisions that the role of NCDCPH in the </w:t>
      </w:r>
      <w:r w:rsidR="00DC2A68">
        <w:rPr>
          <w:rFonts w:ascii="Times New Roman" w:hAnsi="Times New Roman" w:cs="Times New Roman"/>
        </w:rPr>
        <w:t>NTP</w:t>
      </w:r>
      <w:r w:rsidR="00C356DF" w:rsidRPr="00EE7E38">
        <w:rPr>
          <w:rFonts w:ascii="Times New Roman" w:hAnsi="Times New Roman" w:cs="Times New Roman"/>
        </w:rPr>
        <w:t xml:space="preserve"> will further increase</w:t>
      </w:r>
      <w:r w:rsidR="0088623D" w:rsidRPr="00EE7E38">
        <w:rPr>
          <w:rFonts w:ascii="Times New Roman" w:hAnsi="Times New Roman" w:cs="Times New Roman"/>
        </w:rPr>
        <w:t xml:space="preserve"> over the four-year implementation period</w:t>
      </w:r>
      <w:r w:rsidR="001C17F1" w:rsidRPr="00EE7E38">
        <w:rPr>
          <w:rFonts w:ascii="Times New Roman" w:hAnsi="Times New Roman" w:cs="Times New Roman"/>
        </w:rPr>
        <w:t>. This specifically relat</w:t>
      </w:r>
      <w:r w:rsidR="00DF2853" w:rsidRPr="00EE7E38">
        <w:rPr>
          <w:rFonts w:ascii="Times New Roman" w:hAnsi="Times New Roman" w:cs="Times New Roman"/>
        </w:rPr>
        <w:t xml:space="preserve">es to </w:t>
      </w:r>
      <w:r w:rsidR="00C356DF" w:rsidRPr="00EE7E38">
        <w:rPr>
          <w:rFonts w:ascii="Times New Roman" w:hAnsi="Times New Roman" w:cs="Times New Roman"/>
        </w:rPr>
        <w:t>TB surveillance, diagnosis</w:t>
      </w:r>
      <w:r w:rsidR="001C17F1" w:rsidRPr="00EE7E38">
        <w:rPr>
          <w:rFonts w:ascii="Times New Roman" w:hAnsi="Times New Roman" w:cs="Times New Roman"/>
        </w:rPr>
        <w:t xml:space="preserve"> and program monitoring and evaluation, with the aim of integration within the overall disease surveillance function undertaken by NCDCPH. For this purpose, NCDCPH and NCTLD will develop and implement practical mechanisms for ensuring that the National TB Reference Laboratory (organizationally part of NCTLD) will carry out its central-level methodological and supervisory role in close interaction with NCDCPH network of public health laboratories (ZDLs and LSSs). In addition, NCTLD’s activities related to TB recording and reporting and supervision will be supported by NCDCPH in order to ensure compliance and coordination within the </w:t>
      </w:r>
      <w:r w:rsidR="001C17F1" w:rsidRPr="00EE7E38">
        <w:rPr>
          <w:rFonts w:ascii="Times New Roman" w:hAnsi="Times New Roman" w:cs="Times New Roman"/>
        </w:rPr>
        <w:lastRenderedPageBreak/>
        <w:t xml:space="preserve">overall disease surveillance program. </w:t>
      </w:r>
      <w:r w:rsidRPr="00EE7E38">
        <w:rPr>
          <w:rFonts w:ascii="Times New Roman" w:hAnsi="Times New Roman" w:cs="Times New Roman"/>
        </w:rPr>
        <w:t>Necessary provisions will be introduced in the relevant normative acts to upgrade the NCDCPH statute, staffing schedule and financing, in order to enable the Center to</w:t>
      </w:r>
      <w:r w:rsidR="00B241D0">
        <w:rPr>
          <w:rFonts w:ascii="Times New Roman" w:hAnsi="Times New Roman" w:cs="Times New Roman"/>
        </w:rPr>
        <w:t xml:space="preserve"> </w:t>
      </w:r>
      <w:r w:rsidRPr="00EE7E38">
        <w:rPr>
          <w:rFonts w:ascii="Times New Roman" w:hAnsi="Times New Roman" w:cs="Times New Roman"/>
        </w:rPr>
        <w:t>effectively</w:t>
      </w:r>
      <w:r w:rsidR="00DC2A68">
        <w:rPr>
          <w:rFonts w:ascii="Times New Roman" w:hAnsi="Times New Roman" w:cs="Times New Roman"/>
        </w:rPr>
        <w:t xml:space="preserve"> manage</w:t>
      </w:r>
      <w:r w:rsidRPr="00EE7E38">
        <w:rPr>
          <w:rFonts w:ascii="Times New Roman" w:hAnsi="Times New Roman" w:cs="Times New Roman"/>
        </w:rPr>
        <w:t xml:space="preserve"> the increasing scope and co</w:t>
      </w:r>
      <w:r w:rsidR="001C17F1" w:rsidRPr="00EE7E38">
        <w:rPr>
          <w:rFonts w:ascii="Times New Roman" w:hAnsi="Times New Roman" w:cs="Times New Roman"/>
        </w:rPr>
        <w:t>mplexity of work.</w:t>
      </w:r>
    </w:p>
    <w:p w14:paraId="13A3B0E0"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TB-related provisions will be integrated in the regulations related to universal health coverage and other acts regulating service provision, with special attention to enabling the private health care providers for executing the expected functions in TB control and, on the other hand, to ensuring appropriate oversight and monitoring by the State. Besides system-wide regulations, specific TB guidelines and service protocols will be also upgraded as indicated above. </w:t>
      </w:r>
    </w:p>
    <w:p w14:paraId="09C533F5"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Special emphasis is placed on strengthening the collaboration between the NTP and the National HIV/AIDS Program. Both National Strategic Plans for TB and HIV have been developed in close coordination between the two programs, to ensure appropriate inclusion of collaborative activiti</w:t>
      </w:r>
      <w:r w:rsidR="00835F94" w:rsidRPr="00EE7E38">
        <w:rPr>
          <w:rFonts w:ascii="Times New Roman" w:hAnsi="Times New Roman" w:cs="Times New Roman"/>
        </w:rPr>
        <w:t>es as recommended by WHO and UN</w:t>
      </w:r>
      <w:r w:rsidRPr="00EE7E38">
        <w:rPr>
          <w:rFonts w:ascii="Times New Roman" w:hAnsi="Times New Roman" w:cs="Times New Roman"/>
        </w:rPr>
        <w:t>A</w:t>
      </w:r>
      <w:r w:rsidR="00835F94" w:rsidRPr="00EE7E38">
        <w:rPr>
          <w:rFonts w:ascii="Times New Roman" w:hAnsi="Times New Roman" w:cs="Times New Roman"/>
        </w:rPr>
        <w:t>I</w:t>
      </w:r>
      <w:r w:rsidRPr="00EE7E38">
        <w:rPr>
          <w:rFonts w:ascii="Times New Roman" w:hAnsi="Times New Roman" w:cs="Times New Roman"/>
        </w:rPr>
        <w:t>DS, such as interventions to reduce TB burden in HIV-infected prisoners (‘the Three I’s for HIV/TB’</w:t>
      </w:r>
      <w:r w:rsidRPr="00EE7E38">
        <w:rPr>
          <w:rStyle w:val="FootnoteReference"/>
          <w:rFonts w:ascii="Times New Roman" w:hAnsi="Times New Roman" w:cs="Times New Roman"/>
        </w:rPr>
        <w:footnoteReference w:id="45"/>
      </w:r>
      <w:r w:rsidRPr="00EE7E38">
        <w:rPr>
          <w:rFonts w:ascii="Times New Roman" w:hAnsi="Times New Roman" w:cs="Times New Roman"/>
        </w:rPr>
        <w:t xml:space="preserve">) and administration of ART in patients with HIV-associated TB (see more details under Objectives 1 and 2). National TB and HIV guidelines will be revised accordingly, and all TB/HIV interventions will be implemented in close coordination between the NTP and NAP, including integration of information systems. </w:t>
      </w:r>
    </w:p>
    <w:p w14:paraId="6D66E26B" w14:textId="339902E2" w:rsidR="001D5B8E" w:rsidRPr="00EE7E38" w:rsidRDefault="00EC66F1" w:rsidP="00835F94">
      <w:pPr>
        <w:widowControl w:val="0"/>
        <w:spacing w:before="120" w:after="120" w:line="240" w:lineRule="auto"/>
        <w:jc w:val="both"/>
        <w:rPr>
          <w:rFonts w:ascii="Times New Roman" w:eastAsia="Gungsuh" w:hAnsi="Times New Roman" w:cs="Times New Roman"/>
        </w:rPr>
      </w:pPr>
      <w:r w:rsidRPr="00EE7E38">
        <w:rPr>
          <w:rFonts w:ascii="Times New Roman" w:eastAsia="Gungsuh" w:hAnsi="Times New Roman" w:cs="Times New Roman"/>
        </w:rPr>
        <w:t xml:space="preserve">An important challenge for the NTP is enabling effective program management at </w:t>
      </w:r>
      <w:r w:rsidR="00DC2A68">
        <w:rPr>
          <w:rFonts w:ascii="Times New Roman" w:eastAsia="Gungsuh" w:hAnsi="Times New Roman" w:cs="Times New Roman"/>
        </w:rPr>
        <w:t xml:space="preserve">the </w:t>
      </w:r>
      <w:r w:rsidRPr="00EE7E38">
        <w:rPr>
          <w:rFonts w:ascii="Times New Roman" w:eastAsia="Gungsuh" w:hAnsi="Times New Roman" w:cs="Times New Roman"/>
        </w:rPr>
        <w:t>sub-national (regional and district) level, given the need to decentralize TB case management</w:t>
      </w:r>
      <w:r w:rsidR="00DC2A68">
        <w:rPr>
          <w:rFonts w:ascii="Times New Roman" w:eastAsia="Gungsuh" w:hAnsi="Times New Roman" w:cs="Times New Roman"/>
        </w:rPr>
        <w:t>,</w:t>
      </w:r>
      <w:r w:rsidRPr="00EE7E38">
        <w:rPr>
          <w:rFonts w:ascii="Times New Roman" w:eastAsia="Gungsuh" w:hAnsi="Times New Roman" w:cs="Times New Roman"/>
        </w:rPr>
        <w:t xml:space="preserve"> including promoting full outpatient treatment of TB patients. During the next program period, </w:t>
      </w:r>
      <w:proofErr w:type="spellStart"/>
      <w:r w:rsidRPr="00EE7E38">
        <w:rPr>
          <w:rFonts w:ascii="Times New Roman" w:eastAsia="Gungsuh" w:hAnsi="Times New Roman" w:cs="Times New Roman"/>
        </w:rPr>
        <w:t>MoLHSA</w:t>
      </w:r>
      <w:proofErr w:type="spellEnd"/>
      <w:r w:rsidRPr="00EE7E38">
        <w:rPr>
          <w:rFonts w:ascii="Times New Roman" w:eastAsia="Gungsuh" w:hAnsi="Times New Roman" w:cs="Times New Roman"/>
        </w:rPr>
        <w:t xml:space="preserve"> and NTC will undertake appropriate measures to ensure that reliable program management is in place in the regions, and it is sustained and further developed beyond Global Fund support. </w:t>
      </w:r>
      <w:r w:rsidR="001D5B8E" w:rsidRPr="00EE7E38">
        <w:rPr>
          <w:rFonts w:ascii="Times New Roman" w:eastAsia="Gungsuh" w:hAnsi="Times New Roman" w:cs="Times New Roman"/>
        </w:rPr>
        <w:t xml:space="preserve">In order to ensure effective coordination of TB service delivery in the regions, </w:t>
      </w:r>
      <w:proofErr w:type="spellStart"/>
      <w:r w:rsidR="001D5B8E" w:rsidRPr="00EE7E38">
        <w:rPr>
          <w:rFonts w:ascii="Times New Roman" w:eastAsia="Gungsuh" w:hAnsi="Times New Roman" w:cs="Times New Roman"/>
        </w:rPr>
        <w:t>MoLHSA</w:t>
      </w:r>
      <w:proofErr w:type="spellEnd"/>
      <w:r w:rsidR="001D5B8E" w:rsidRPr="00EE7E38">
        <w:rPr>
          <w:rFonts w:ascii="Times New Roman" w:eastAsia="Gungsuh" w:hAnsi="Times New Roman" w:cs="Times New Roman"/>
        </w:rPr>
        <w:t xml:space="preserve"> will secure appropriate funding support for TB coordinators and additional staff at regional level for supervision, data management support and other tasks in all country regions, as well as, in collaboration with MCLA, in the penitentiary system.</w:t>
      </w:r>
    </w:p>
    <w:p w14:paraId="1F09075A"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i/>
        </w:rPr>
        <w:t>Financing and allocation</w:t>
      </w:r>
    </w:p>
    <w:p w14:paraId="386BD180"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Government of Georgia is committed to secure the increasing and sustainable financing of all essential TB control interventions, outlined in this Plan. The five-year period covered by the NSP is crucial for the national TB response in terms of effective financial takeover from the Global Fund and other external donors.</w:t>
      </w:r>
    </w:p>
    <w:p w14:paraId="1B50F21F"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and NTC will carry out appropriate advocacy activities within the Government to secure sufficient level of TB-related expenditures and reliable allocation mechanisms at all levels of health care. Within the ongoing process of transition to UHC system,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make sure that TB control interventions are properly included in this coverage, taking into account the importance of TB control as a key public health responsibility and the financial vulnerability of clients as the majority of TB patients are at risk of catastrophic expenditures if required to pay a substantial share of costs directly out-of-pocket.</w:t>
      </w:r>
    </w:p>
    <w:p w14:paraId="0B6541D8"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Therefore, diagnostic and treatment interventions for all forms of TB (including M/XDR-TB), as well as adherence support to patients, TB preventive activities and NTP supportive measures (training, supervision, information system, etc.) will be covered under the state budget financing in accordance to the scheme that will be designed and applied by the Government in the coming years. It is stipulated that the package of TB services will increase stepwise and will include all essential needs by the end of NSP period (202</w:t>
      </w:r>
      <w:r w:rsidR="002C5147" w:rsidRPr="00EE7E38">
        <w:rPr>
          <w:rFonts w:ascii="Times New Roman" w:hAnsi="Times New Roman" w:cs="Times New Roman"/>
        </w:rPr>
        <w:t>2</w:t>
      </w:r>
      <w:r w:rsidRPr="00EE7E38">
        <w:rPr>
          <w:rFonts w:ascii="Times New Roman" w:hAnsi="Times New Roman" w:cs="Times New Roman"/>
        </w:rPr>
        <w:t>).The details on financing levels for TB control interventions (with overall funding needs’ estimate, anticipated level of funding and funding gaps) are presented in Section 7.</w:t>
      </w:r>
    </w:p>
    <w:p w14:paraId="469B9FE2" w14:textId="0328681C"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increasing level of Government financial contributions should be complemented by effective and efficient allocation and provider payment mechanisms, which will provide that the funds reach the real patient needs. For this purpose, the methods of payment for TB-related services will be revised by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and the Social Service Agency (SSA) in </w:t>
      </w:r>
      <w:r w:rsidR="00D0703F" w:rsidRPr="00EE7E38">
        <w:rPr>
          <w:rFonts w:ascii="Times New Roman" w:hAnsi="Times New Roman" w:cs="Times New Roman"/>
        </w:rPr>
        <w:t>2019</w:t>
      </w:r>
      <w:r w:rsidRPr="00EE7E38">
        <w:rPr>
          <w:rFonts w:ascii="Times New Roman" w:hAnsi="Times New Roman" w:cs="Times New Roman"/>
        </w:rPr>
        <w:t>, and</w:t>
      </w:r>
      <w:r w:rsidR="00D0703F" w:rsidRPr="00EE7E38">
        <w:rPr>
          <w:rFonts w:ascii="Times New Roman" w:hAnsi="Times New Roman" w:cs="Times New Roman"/>
        </w:rPr>
        <w:t xml:space="preserve"> introduced country-wide</w:t>
      </w:r>
      <w:r w:rsidRPr="00EE7E38">
        <w:rPr>
          <w:rFonts w:ascii="Times New Roman" w:hAnsi="Times New Roman" w:cs="Times New Roman"/>
        </w:rPr>
        <w:t>. The scheme for allocation of state funds will contain appropriate provisions for budget equilibration and subsidies, to ensure sufficient funding for regions and areas with higher disease burden or/and access-to-service issues (e.g. estimated high level of undetected cases). Regarding provider payment mechanisms</w:t>
      </w:r>
      <w:r w:rsidR="00B215FB">
        <w:rPr>
          <w:rFonts w:ascii="Times New Roman" w:hAnsi="Times New Roman" w:cs="Times New Roman"/>
        </w:rPr>
        <w:t>,</w:t>
      </w:r>
      <w:r w:rsidRPr="00EE7E38">
        <w:rPr>
          <w:rFonts w:ascii="Times New Roman" w:hAnsi="Times New Roman" w:cs="Times New Roman"/>
        </w:rPr>
        <w:t xml:space="preserve"> the changes will </w:t>
      </w:r>
      <w:r w:rsidR="00B215FB">
        <w:rPr>
          <w:rFonts w:ascii="Times New Roman" w:hAnsi="Times New Roman" w:cs="Times New Roman"/>
        </w:rPr>
        <w:t xml:space="preserve">be </w:t>
      </w:r>
      <w:r w:rsidRPr="00EE7E38">
        <w:rPr>
          <w:rFonts w:ascii="Times New Roman" w:hAnsi="Times New Roman" w:cs="Times New Roman"/>
        </w:rPr>
        <w:t>tailor</w:t>
      </w:r>
      <w:r w:rsidR="00B215FB">
        <w:rPr>
          <w:rFonts w:ascii="Times New Roman" w:hAnsi="Times New Roman" w:cs="Times New Roman"/>
        </w:rPr>
        <w:t>ed to</w:t>
      </w:r>
      <w:r w:rsidRPr="00EE7E38">
        <w:rPr>
          <w:rFonts w:ascii="Times New Roman" w:hAnsi="Times New Roman" w:cs="Times New Roman"/>
        </w:rPr>
        <w:t xml:space="preserve"> each TB care setting: hospitals, specialized outpatient TB services, as well as PHC</w:t>
      </w:r>
      <w:r w:rsidR="00B215FB">
        <w:rPr>
          <w:rFonts w:ascii="Times New Roman" w:hAnsi="Times New Roman" w:cs="Times New Roman"/>
        </w:rPr>
        <w:t>s</w:t>
      </w:r>
      <w:r w:rsidRPr="00EE7E38">
        <w:rPr>
          <w:rFonts w:ascii="Times New Roman" w:hAnsi="Times New Roman" w:cs="Times New Roman"/>
        </w:rPr>
        <w:t xml:space="preserve"> (</w:t>
      </w:r>
      <w:r w:rsidR="0051102C" w:rsidRPr="00EE7E38">
        <w:rPr>
          <w:rFonts w:ascii="Times New Roman" w:hAnsi="Times New Roman" w:cs="Times New Roman"/>
        </w:rPr>
        <w:t>including</w:t>
      </w:r>
      <w:r w:rsidRPr="00EE7E38">
        <w:rPr>
          <w:rFonts w:ascii="Times New Roman" w:hAnsi="Times New Roman" w:cs="Times New Roman"/>
        </w:rPr>
        <w:t xml:space="preserve"> performance payments </w:t>
      </w:r>
      <w:r w:rsidRPr="00EE7E38">
        <w:rPr>
          <w:rFonts w:ascii="Times New Roman" w:hAnsi="Times New Roman" w:cs="Times New Roman"/>
        </w:rPr>
        <w:lastRenderedPageBreak/>
        <w:t>to PHC providers for TB-related work, such as contacts’ screening, LTBI testing and preventive treatment).</w:t>
      </w:r>
      <w:r w:rsidR="00D0703F" w:rsidRPr="00EE7E38">
        <w:rPr>
          <w:rStyle w:val="FootnoteReference"/>
          <w:rFonts w:ascii="Times New Roman" w:hAnsi="Times New Roman" w:cs="Times New Roman"/>
        </w:rPr>
        <w:t xml:space="preserve"> </w:t>
      </w:r>
      <w:r w:rsidR="00D0703F" w:rsidRPr="00EE7E38">
        <w:rPr>
          <w:rStyle w:val="FootnoteReference"/>
          <w:rFonts w:ascii="Times New Roman" w:hAnsi="Times New Roman" w:cs="Times New Roman"/>
        </w:rPr>
        <w:footnoteReference w:id="46"/>
      </w:r>
      <w:r w:rsidR="00D0703F" w:rsidRPr="00EE7E38">
        <w:rPr>
          <w:rStyle w:val="FootnoteReference"/>
          <w:rFonts w:ascii="Times New Roman" w:hAnsi="Times New Roman" w:cs="Times New Roman"/>
        </w:rPr>
        <w:t xml:space="preserve"> </w:t>
      </w:r>
    </w:p>
    <w:p w14:paraId="5B518594" w14:textId="26008C1E" w:rsidR="00D0703F" w:rsidRPr="00EE7E38" w:rsidRDefault="00EC66F1" w:rsidP="0055254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redesign of provider payment schemes </w:t>
      </w:r>
      <w:r w:rsidR="00B215FB">
        <w:rPr>
          <w:rFonts w:ascii="Times New Roman" w:hAnsi="Times New Roman" w:cs="Times New Roman"/>
        </w:rPr>
        <w:t>will take into account relevant international experience.</w:t>
      </w:r>
    </w:p>
    <w:p w14:paraId="617E6EDB" w14:textId="77777777" w:rsidR="00552543" w:rsidRPr="00EE7E38" w:rsidRDefault="00D0703F" w:rsidP="00552543">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Inpatient TB care payment will be revised by moving from bed-day payments to per case payments (e.g. having two different case payments: DS TB and DR TB) and as mentioned earlier even higher priority should be given in enforcing implementation of admission and discharge criteria. </w:t>
      </w:r>
      <w:r w:rsidR="00DE2A3A" w:rsidRPr="00EE7E38">
        <w:rPr>
          <w:rFonts w:ascii="Times New Roman" w:hAnsi="Times New Roman" w:cs="Times New Roman"/>
        </w:rPr>
        <w:t xml:space="preserve">Alternatively sifting selected hospitals to global budget based payment can also be considered. For primary care providers performance related payment schemes piloted and expanded countrywide in 2019.  </w:t>
      </w:r>
    </w:p>
    <w:p w14:paraId="4A6FBD92" w14:textId="77777777" w:rsidR="00D0703F" w:rsidRPr="00EE7E38" w:rsidRDefault="00D0703F" w:rsidP="00835F94">
      <w:pPr>
        <w:widowControl w:val="0"/>
        <w:spacing w:before="120" w:after="120" w:line="240" w:lineRule="auto"/>
        <w:jc w:val="both"/>
        <w:rPr>
          <w:rFonts w:ascii="Times New Roman" w:hAnsi="Times New Roman" w:cs="Times New Roman"/>
        </w:rPr>
      </w:pPr>
    </w:p>
    <w:p w14:paraId="3BC8671A" w14:textId="77777777" w:rsidR="00ED2082" w:rsidRPr="00EE7E38" w:rsidRDefault="00EC66F1" w:rsidP="00835F94">
      <w:pPr>
        <w:widowControl w:val="0"/>
        <w:spacing w:before="120" w:after="120" w:line="240" w:lineRule="auto"/>
        <w:jc w:val="both"/>
        <w:rPr>
          <w:rFonts w:ascii="Times New Roman" w:hAnsi="Times New Roman" w:cs="Times New Roman"/>
          <w:b/>
          <w:i/>
        </w:rPr>
      </w:pPr>
      <w:r w:rsidRPr="00EE7E38">
        <w:rPr>
          <w:rFonts w:ascii="Times New Roman" w:hAnsi="Times New Roman" w:cs="Times New Roman"/>
          <w:b/>
          <w:i/>
        </w:rPr>
        <w:t>Human resources</w:t>
      </w:r>
    </w:p>
    <w:p w14:paraId="12281ADA" w14:textId="608F201E" w:rsidR="00ED2082" w:rsidRPr="00EE7E38" w:rsidRDefault="00B215FB" w:rsidP="00ED2082">
      <w:pPr>
        <w:widowControl w:val="0"/>
        <w:spacing w:before="120" w:after="120" w:line="240" w:lineRule="auto"/>
        <w:jc w:val="both"/>
        <w:rPr>
          <w:rFonts w:ascii="Times New Roman" w:hAnsi="Times New Roman" w:cs="Times New Roman"/>
        </w:rPr>
      </w:pPr>
      <w:r>
        <w:rPr>
          <w:rFonts w:ascii="Times New Roman" w:hAnsi="Times New Roman" w:cs="Times New Roman"/>
        </w:rPr>
        <w:t xml:space="preserve">From </w:t>
      </w:r>
      <w:r w:rsidR="00ED2082" w:rsidRPr="00EE7E38">
        <w:rPr>
          <w:rFonts w:ascii="Times New Roman" w:hAnsi="Times New Roman" w:cs="Times New Roman"/>
        </w:rPr>
        <w:t>2015-2017</w:t>
      </w:r>
      <w:r>
        <w:rPr>
          <w:rFonts w:ascii="Times New Roman" w:hAnsi="Times New Roman" w:cs="Times New Roman"/>
        </w:rPr>
        <w:t>,</w:t>
      </w:r>
      <w:r w:rsidR="00ED2082" w:rsidRPr="00EE7E38">
        <w:rPr>
          <w:rFonts w:ascii="Times New Roman" w:hAnsi="Times New Roman" w:cs="Times New Roman"/>
        </w:rPr>
        <w:t xml:space="preserve"> </w:t>
      </w:r>
      <w:proofErr w:type="spellStart"/>
      <w:r>
        <w:rPr>
          <w:rFonts w:ascii="Times New Roman" w:hAnsi="Times New Roman" w:cs="Times New Roman"/>
        </w:rPr>
        <w:t>MoLHSA</w:t>
      </w:r>
      <w:proofErr w:type="spellEnd"/>
      <w:r w:rsidR="00ED2082" w:rsidRPr="00EE7E38">
        <w:rPr>
          <w:rFonts w:ascii="Times New Roman" w:hAnsi="Times New Roman" w:cs="Times New Roman"/>
        </w:rPr>
        <w:t xml:space="preserve"> has successfully implemented </w:t>
      </w:r>
      <w:r>
        <w:rPr>
          <w:rFonts w:ascii="Times New Roman" w:hAnsi="Times New Roman" w:cs="Times New Roman"/>
        </w:rPr>
        <w:t xml:space="preserve">the </w:t>
      </w:r>
      <w:r w:rsidR="00ED2082" w:rsidRPr="00EE7E38">
        <w:rPr>
          <w:rFonts w:ascii="Times New Roman" w:hAnsi="Times New Roman" w:cs="Times New Roman"/>
        </w:rPr>
        <w:t xml:space="preserve">professional integration of </w:t>
      </w:r>
      <w:proofErr w:type="spellStart"/>
      <w:r w:rsidR="00DE2A3A" w:rsidRPr="00EE7E38">
        <w:rPr>
          <w:rFonts w:ascii="Times New Roman" w:hAnsi="Times New Roman" w:cs="Times New Roman"/>
        </w:rPr>
        <w:t>phthisiatry</w:t>
      </w:r>
      <w:proofErr w:type="spellEnd"/>
      <w:r w:rsidR="00ED2082" w:rsidRPr="00EE7E38">
        <w:rPr>
          <w:rFonts w:ascii="Times New Roman" w:hAnsi="Times New Roman" w:cs="Times New Roman"/>
        </w:rPr>
        <w:t xml:space="preserve"> in the field of pulmonology. As a result, the full spectrum of </w:t>
      </w:r>
      <w:r>
        <w:rPr>
          <w:rFonts w:ascii="Times New Roman" w:hAnsi="Times New Roman" w:cs="Times New Roman"/>
        </w:rPr>
        <w:t>TB</w:t>
      </w:r>
      <w:r w:rsidRPr="00EE7E38">
        <w:rPr>
          <w:rFonts w:ascii="Times New Roman" w:hAnsi="Times New Roman" w:cs="Times New Roman"/>
        </w:rPr>
        <w:t xml:space="preserve"> </w:t>
      </w:r>
      <w:r w:rsidR="00ED2082" w:rsidRPr="00EE7E38">
        <w:rPr>
          <w:rFonts w:ascii="Times New Roman" w:hAnsi="Times New Roman" w:cs="Times New Roman"/>
        </w:rPr>
        <w:t>competenc</w:t>
      </w:r>
      <w:r>
        <w:rPr>
          <w:rFonts w:ascii="Times New Roman" w:hAnsi="Times New Roman" w:cs="Times New Roman"/>
        </w:rPr>
        <w:t>i</w:t>
      </w:r>
      <w:r w:rsidR="00ED2082" w:rsidRPr="00EE7E38">
        <w:rPr>
          <w:rFonts w:ascii="Times New Roman" w:hAnsi="Times New Roman" w:cs="Times New Roman"/>
        </w:rPr>
        <w:t xml:space="preserve">es was included in the residency programs of the </w:t>
      </w:r>
      <w:proofErr w:type="spellStart"/>
      <w:r w:rsidR="00ED2082" w:rsidRPr="00EE7E38">
        <w:rPr>
          <w:rFonts w:ascii="Times New Roman" w:hAnsi="Times New Roman" w:cs="Times New Roman"/>
        </w:rPr>
        <w:t>phthisiatry</w:t>
      </w:r>
      <w:proofErr w:type="spellEnd"/>
      <w:r w:rsidR="00ED2082" w:rsidRPr="00EE7E38">
        <w:rPr>
          <w:rFonts w:ascii="Times New Roman" w:hAnsi="Times New Roman" w:cs="Times New Roman"/>
        </w:rPr>
        <w:t xml:space="preserve">-pulmonology specialty. In 2017, a short-term </w:t>
      </w:r>
      <w:r w:rsidR="00DE2A3A" w:rsidRPr="00EE7E38">
        <w:rPr>
          <w:rFonts w:ascii="Times New Roman" w:hAnsi="Times New Roman" w:cs="Times New Roman"/>
        </w:rPr>
        <w:t xml:space="preserve">residency </w:t>
      </w:r>
      <w:r w:rsidR="00ED2082" w:rsidRPr="00EE7E38">
        <w:rPr>
          <w:rFonts w:ascii="Times New Roman" w:hAnsi="Times New Roman" w:cs="Times New Roman"/>
        </w:rPr>
        <w:t xml:space="preserve">program </w:t>
      </w:r>
      <w:r w:rsidR="00DE2A3A" w:rsidRPr="00EE7E38">
        <w:rPr>
          <w:rFonts w:ascii="Times New Roman" w:hAnsi="Times New Roman" w:cs="Times New Roman"/>
        </w:rPr>
        <w:t xml:space="preserve">was launched targeted at borderline specialties to have them retrained into </w:t>
      </w:r>
      <w:proofErr w:type="spellStart"/>
      <w:r w:rsidR="00ED2082" w:rsidRPr="00EE7E38">
        <w:rPr>
          <w:rFonts w:ascii="Times New Roman" w:hAnsi="Times New Roman" w:cs="Times New Roman"/>
        </w:rPr>
        <w:t>phthisiatry</w:t>
      </w:r>
      <w:proofErr w:type="spellEnd"/>
      <w:r w:rsidR="00ED2082" w:rsidRPr="00EE7E38">
        <w:rPr>
          <w:rFonts w:ascii="Times New Roman" w:hAnsi="Times New Roman" w:cs="Times New Roman"/>
        </w:rPr>
        <w:t>-pulmo</w:t>
      </w:r>
      <w:r w:rsidR="00DE2A3A" w:rsidRPr="00EE7E38">
        <w:rPr>
          <w:rFonts w:ascii="Times New Roman" w:hAnsi="Times New Roman" w:cs="Times New Roman"/>
        </w:rPr>
        <w:t>nology</w:t>
      </w:r>
      <w:r w:rsidR="00ED2082" w:rsidRPr="00EE7E38">
        <w:rPr>
          <w:rFonts w:ascii="Times New Roman" w:hAnsi="Times New Roman" w:cs="Times New Roman"/>
        </w:rPr>
        <w:t>.</w:t>
      </w:r>
      <w:r w:rsidR="00DE2A3A" w:rsidRPr="00EE7E38">
        <w:rPr>
          <w:rFonts w:ascii="Times New Roman" w:hAnsi="Times New Roman" w:cs="Times New Roman"/>
        </w:rPr>
        <w:t xml:space="preserve"> This short-term residency program that is recognized by </w:t>
      </w:r>
      <w:proofErr w:type="spellStart"/>
      <w:r w:rsidR="00DE2A3A" w:rsidRPr="00EE7E38">
        <w:rPr>
          <w:rFonts w:ascii="Times New Roman" w:hAnsi="Times New Roman" w:cs="Times New Roman"/>
        </w:rPr>
        <w:t>MoLHSA</w:t>
      </w:r>
      <w:proofErr w:type="spellEnd"/>
      <w:r w:rsidR="00DE2A3A" w:rsidRPr="00EE7E38">
        <w:rPr>
          <w:rFonts w:ascii="Times New Roman" w:hAnsi="Times New Roman" w:cs="Times New Roman"/>
        </w:rPr>
        <w:t xml:space="preserve"> and implemented by the faculty of Tbilisi State Medical University will be offered to interested eligible physician</w:t>
      </w:r>
      <w:r>
        <w:rPr>
          <w:rFonts w:ascii="Times New Roman" w:hAnsi="Times New Roman" w:cs="Times New Roman"/>
        </w:rPr>
        <w:t>s</w:t>
      </w:r>
      <w:r w:rsidR="00DE2A3A" w:rsidRPr="00EE7E38">
        <w:rPr>
          <w:rFonts w:ascii="Times New Roman" w:hAnsi="Times New Roman" w:cs="Times New Roman"/>
        </w:rPr>
        <w:t xml:space="preserve"> of borderline specialties. This is an immediate solution to human resource shortage</w:t>
      </w:r>
      <w:r>
        <w:rPr>
          <w:rFonts w:ascii="Times New Roman" w:hAnsi="Times New Roman" w:cs="Times New Roman"/>
        </w:rPr>
        <w:t>s</w:t>
      </w:r>
      <w:r w:rsidR="00DE2A3A" w:rsidRPr="00EE7E38">
        <w:rPr>
          <w:rFonts w:ascii="Times New Roman" w:hAnsi="Times New Roman" w:cs="Times New Roman"/>
        </w:rPr>
        <w:t xml:space="preserve"> for the </w:t>
      </w:r>
      <w:r>
        <w:rPr>
          <w:rFonts w:ascii="Times New Roman" w:hAnsi="Times New Roman" w:cs="Times New Roman"/>
        </w:rPr>
        <w:t>NTP</w:t>
      </w:r>
      <w:r w:rsidR="00DE2A3A" w:rsidRPr="00EE7E38">
        <w:rPr>
          <w:rFonts w:ascii="Times New Roman" w:hAnsi="Times New Roman" w:cs="Times New Roman"/>
        </w:rPr>
        <w:t xml:space="preserve"> in selected areas. </w:t>
      </w:r>
    </w:p>
    <w:p w14:paraId="279ADED6" w14:textId="4D69F8D4" w:rsidR="00ED2082" w:rsidRPr="00EE7E38" w:rsidRDefault="00ED2082" w:rsidP="00ED2082">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Additionally, to ensure compliance with the latest international recommendations</w:t>
      </w:r>
      <w:r w:rsidR="00B215FB">
        <w:rPr>
          <w:rFonts w:ascii="Times New Roman" w:hAnsi="Times New Roman" w:cs="Times New Roman"/>
        </w:rPr>
        <w:t>,</w:t>
      </w:r>
      <w:r w:rsidRPr="00EE7E38">
        <w:rPr>
          <w:rFonts w:ascii="Times New Roman" w:hAnsi="Times New Roman" w:cs="Times New Roman"/>
        </w:rPr>
        <w:t xml:space="preserve"> undergraduate and postgraduate medical education </w:t>
      </w:r>
      <w:r w:rsidR="00DE2A3A" w:rsidRPr="00EE7E38">
        <w:rPr>
          <w:rFonts w:ascii="Times New Roman" w:hAnsi="Times New Roman" w:cs="Times New Roman"/>
        </w:rPr>
        <w:t>curricula</w:t>
      </w:r>
      <w:r w:rsidRPr="00EE7E38">
        <w:rPr>
          <w:rFonts w:ascii="Times New Roman" w:hAnsi="Times New Roman" w:cs="Times New Roman"/>
        </w:rPr>
        <w:t xml:space="preserve"> will be regularly updated. Short-term training courses for</w:t>
      </w:r>
      <w:r w:rsidR="00967545" w:rsidRPr="00EE7E38">
        <w:rPr>
          <w:rFonts w:ascii="Times New Roman" w:hAnsi="Times New Roman" w:cs="Times New Roman"/>
        </w:rPr>
        <w:t xml:space="preserve"> continuous update of TB related skills and competencies will be offered to TB specialists, </w:t>
      </w:r>
      <w:r w:rsidR="00B215FB">
        <w:rPr>
          <w:rFonts w:ascii="Times New Roman" w:hAnsi="Times New Roman" w:cs="Times New Roman"/>
        </w:rPr>
        <w:t>p</w:t>
      </w:r>
      <w:r w:rsidR="00967545" w:rsidRPr="00EE7E38">
        <w:rPr>
          <w:rFonts w:ascii="Times New Roman" w:hAnsi="Times New Roman" w:cs="Times New Roman"/>
        </w:rPr>
        <w:t xml:space="preserve">rimary </w:t>
      </w:r>
      <w:r w:rsidR="00B215FB">
        <w:rPr>
          <w:rFonts w:ascii="Times New Roman" w:hAnsi="Times New Roman" w:cs="Times New Roman"/>
        </w:rPr>
        <w:t>c</w:t>
      </w:r>
      <w:r w:rsidR="00967545" w:rsidRPr="00EE7E38">
        <w:rPr>
          <w:rFonts w:ascii="Times New Roman" w:hAnsi="Times New Roman" w:cs="Times New Roman"/>
        </w:rPr>
        <w:t xml:space="preserve">are </w:t>
      </w:r>
      <w:r w:rsidR="00B215FB">
        <w:rPr>
          <w:rFonts w:ascii="Times New Roman" w:hAnsi="Times New Roman" w:cs="Times New Roman"/>
        </w:rPr>
        <w:t>p</w:t>
      </w:r>
      <w:r w:rsidR="00967545" w:rsidRPr="00EE7E38">
        <w:rPr>
          <w:rFonts w:ascii="Times New Roman" w:hAnsi="Times New Roman" w:cs="Times New Roman"/>
        </w:rPr>
        <w:t xml:space="preserve">roviders and </w:t>
      </w:r>
      <w:r w:rsidR="00B215FB">
        <w:rPr>
          <w:rFonts w:ascii="Times New Roman" w:hAnsi="Times New Roman" w:cs="Times New Roman"/>
        </w:rPr>
        <w:t>p</w:t>
      </w:r>
      <w:r w:rsidR="00967545" w:rsidRPr="00EE7E38">
        <w:rPr>
          <w:rFonts w:ascii="Times New Roman" w:hAnsi="Times New Roman" w:cs="Times New Roman"/>
        </w:rPr>
        <w:t xml:space="preserve">ublic </w:t>
      </w:r>
      <w:r w:rsidR="00B215FB">
        <w:rPr>
          <w:rFonts w:ascii="Times New Roman" w:hAnsi="Times New Roman" w:cs="Times New Roman"/>
        </w:rPr>
        <w:t>h</w:t>
      </w:r>
      <w:r w:rsidR="00967545" w:rsidRPr="00EE7E38">
        <w:rPr>
          <w:rFonts w:ascii="Times New Roman" w:hAnsi="Times New Roman" w:cs="Times New Roman"/>
        </w:rPr>
        <w:t xml:space="preserve">ealth </w:t>
      </w:r>
      <w:r w:rsidR="00B215FB">
        <w:rPr>
          <w:rFonts w:ascii="Times New Roman" w:hAnsi="Times New Roman" w:cs="Times New Roman"/>
        </w:rPr>
        <w:t>w</w:t>
      </w:r>
      <w:r w:rsidR="00967545" w:rsidRPr="00EE7E38">
        <w:rPr>
          <w:rFonts w:ascii="Times New Roman" w:hAnsi="Times New Roman" w:cs="Times New Roman"/>
        </w:rPr>
        <w:t>orkers.</w:t>
      </w:r>
    </w:p>
    <w:p w14:paraId="7B636FB6" w14:textId="29531C81"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Special attention will be paid to improving staff motivation and retention in TB services.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assure that remuneration of staff working in TB services is increased substantially from the current low level, and becomes comparable (or advantageous) compared to other medical specialties. For this purpose,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secure relevant provisions in the service contracts with private health care providers. The increased level of remuneration of TB service staff (for both doctors and nurses) is foreseen in the NSP financial needs estimates and budget forecasts.</w:t>
      </w:r>
    </w:p>
    <w:p w14:paraId="30C18D42" w14:textId="77777777" w:rsidR="00EC66F1" w:rsidRPr="00EE7E38" w:rsidRDefault="00EC66F1" w:rsidP="00835F94">
      <w:pPr>
        <w:widowControl w:val="0"/>
        <w:spacing w:before="120" w:after="120" w:line="240" w:lineRule="auto"/>
        <w:jc w:val="both"/>
        <w:rPr>
          <w:rFonts w:ascii="Times New Roman" w:hAnsi="Times New Roman" w:cs="Times New Roman"/>
          <w:b/>
          <w:i/>
        </w:rPr>
      </w:pPr>
      <w:r w:rsidRPr="00EE7E38">
        <w:rPr>
          <w:rFonts w:ascii="Times New Roman" w:hAnsi="Times New Roman" w:cs="Times New Roman"/>
          <w:b/>
          <w:i/>
        </w:rPr>
        <w:t>Service delivery</w:t>
      </w:r>
    </w:p>
    <w:p w14:paraId="0C54E570" w14:textId="747946EB" w:rsidR="00967545" w:rsidRPr="00EE7E38" w:rsidRDefault="00967545" w:rsidP="00533F5B">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 key focus of this strategy is to support patient-centered TB care model development in Georgia. The following will be undertaken to achieve progress in this direction: </w:t>
      </w:r>
    </w:p>
    <w:p w14:paraId="2FF29F9A" w14:textId="58C27537" w:rsidR="00533F5B" w:rsidRPr="00EE7E38" w:rsidRDefault="00967545" w:rsidP="00967545">
      <w:pPr>
        <w:pStyle w:val="ListParagraph"/>
        <w:widowControl w:val="0"/>
        <w:numPr>
          <w:ilvl w:val="0"/>
          <w:numId w:val="14"/>
        </w:numPr>
        <w:tabs>
          <w:tab w:val="left" w:pos="810"/>
        </w:tabs>
        <w:spacing w:before="120" w:after="120" w:line="240" w:lineRule="auto"/>
        <w:ind w:left="810"/>
        <w:jc w:val="both"/>
        <w:rPr>
          <w:rFonts w:ascii="Times New Roman" w:hAnsi="Times New Roman" w:cs="Times New Roman"/>
        </w:rPr>
      </w:pP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and other partners will support the implementation of TB management guidelines launched in 2018. This guideline details </w:t>
      </w:r>
      <w:r w:rsidR="00533F5B" w:rsidRPr="00EE7E38">
        <w:rPr>
          <w:rFonts w:ascii="Times New Roman" w:hAnsi="Times New Roman" w:cs="Times New Roman"/>
        </w:rPr>
        <w:t>hospitalization criteria and also defines the principles</w:t>
      </w:r>
      <w:r w:rsidRPr="00EE7E38">
        <w:rPr>
          <w:rFonts w:ascii="Times New Roman" w:hAnsi="Times New Roman" w:cs="Times New Roman"/>
        </w:rPr>
        <w:t xml:space="preserve"> for organizing</w:t>
      </w:r>
      <w:r w:rsidR="00533F5B" w:rsidRPr="00EE7E38">
        <w:rPr>
          <w:rFonts w:ascii="Times New Roman" w:hAnsi="Times New Roman" w:cs="Times New Roman"/>
        </w:rPr>
        <w:t xml:space="preserve"> </w:t>
      </w:r>
      <w:r w:rsidR="00B215FB">
        <w:rPr>
          <w:rFonts w:ascii="Times New Roman" w:hAnsi="Times New Roman" w:cs="Times New Roman"/>
        </w:rPr>
        <w:t>TB</w:t>
      </w:r>
      <w:r w:rsidR="00B215FB" w:rsidRPr="00EE7E38">
        <w:rPr>
          <w:rFonts w:ascii="Times New Roman" w:hAnsi="Times New Roman" w:cs="Times New Roman"/>
        </w:rPr>
        <w:t xml:space="preserve"> </w:t>
      </w:r>
      <w:r w:rsidR="00533F5B" w:rsidRPr="00EE7E38">
        <w:rPr>
          <w:rFonts w:ascii="Times New Roman" w:hAnsi="Times New Roman" w:cs="Times New Roman"/>
        </w:rPr>
        <w:t>services at the outpatient level, including the role of community</w:t>
      </w:r>
      <w:r w:rsidR="00B215FB">
        <w:rPr>
          <w:rFonts w:ascii="Times New Roman" w:hAnsi="Times New Roman" w:cs="Times New Roman"/>
        </w:rPr>
        <w:t>-</w:t>
      </w:r>
      <w:r w:rsidRPr="00EE7E38">
        <w:rPr>
          <w:rFonts w:ascii="Times New Roman" w:hAnsi="Times New Roman" w:cs="Times New Roman"/>
        </w:rPr>
        <w:t>based</w:t>
      </w:r>
      <w:r w:rsidR="00533F5B" w:rsidRPr="00EE7E38">
        <w:rPr>
          <w:rFonts w:ascii="Times New Roman" w:hAnsi="Times New Roman" w:cs="Times New Roman"/>
        </w:rPr>
        <w:t xml:space="preserve"> organizations and former patients in peer education and adherence to </w:t>
      </w:r>
      <w:r w:rsidRPr="00EE7E38">
        <w:rPr>
          <w:rFonts w:ascii="Times New Roman" w:hAnsi="Times New Roman" w:cs="Times New Roman"/>
        </w:rPr>
        <w:t>TB and DR TB</w:t>
      </w:r>
      <w:r w:rsidR="00533F5B" w:rsidRPr="00EE7E38">
        <w:rPr>
          <w:rFonts w:ascii="Times New Roman" w:hAnsi="Times New Roman" w:cs="Times New Roman"/>
        </w:rPr>
        <w:t xml:space="preserve"> treatment.</w:t>
      </w:r>
      <w:r w:rsidRPr="00EE7E38">
        <w:rPr>
          <w:rFonts w:ascii="Times New Roman" w:hAnsi="Times New Roman" w:cs="Times New Roman"/>
        </w:rPr>
        <w:t xml:space="preserve"> </w:t>
      </w:r>
    </w:p>
    <w:p w14:paraId="09E1AD57" w14:textId="77777777" w:rsidR="002A4055" w:rsidRPr="00EE7E38" w:rsidRDefault="00967545" w:rsidP="00967545">
      <w:pPr>
        <w:widowControl w:val="0"/>
        <w:numPr>
          <w:ilvl w:val="0"/>
          <w:numId w:val="5"/>
        </w:numPr>
        <w:spacing w:before="120" w:after="120" w:line="240" w:lineRule="auto"/>
        <w:jc w:val="both"/>
        <w:rPr>
          <w:rFonts w:ascii="Times New Roman" w:hAnsi="Times New Roman" w:cs="Times New Roman"/>
        </w:rPr>
      </w:pP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and NCDCPH will work on i</w:t>
      </w:r>
      <w:r w:rsidR="00EC66F1" w:rsidRPr="00EE7E38">
        <w:rPr>
          <w:rFonts w:ascii="Times New Roman" w:hAnsi="Times New Roman" w:cs="Times New Roman"/>
        </w:rPr>
        <w:t>mproving referrals, coordination and other aspects of integration between the levels of care (inpatient care, outpatient specialized care, PHC) and services (such as, TB service and HIV service);</w:t>
      </w:r>
    </w:p>
    <w:p w14:paraId="31C3A6A4" w14:textId="77777777" w:rsidR="002A4055"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Strengthening quality control and quality assurance in TB diagnostic, curative and preventive services at all levels;</w:t>
      </w:r>
    </w:p>
    <w:p w14:paraId="39DCB8B8" w14:textId="77777777" w:rsidR="002A4055" w:rsidRPr="00EE7E38" w:rsidRDefault="00EC66F1">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Diversification of TB care provision aiming at better meeting patients’ needs through application of patient-centered approaches, involvement of communities and non-state actors in adherence support and psychosocial adaptation, and covering special needs such as symptomatic treatment and palliative care. </w:t>
      </w:r>
    </w:p>
    <w:p w14:paraId="63A74E32" w14:textId="221761E4" w:rsidR="00A81E0A" w:rsidRPr="00EE7E38" w:rsidRDefault="00A81E0A" w:rsidP="00A81E0A">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w:t>
      </w:r>
      <w:r w:rsidR="00B215FB">
        <w:rPr>
          <w:rFonts w:ascii="Times New Roman" w:hAnsi="Times New Roman" w:cs="Times New Roman"/>
        </w:rPr>
        <w:t>NTP</w:t>
      </w:r>
      <w:r w:rsidRPr="00EE7E38">
        <w:rPr>
          <w:rFonts w:ascii="Times New Roman" w:hAnsi="Times New Roman" w:cs="Times New Roman"/>
        </w:rPr>
        <w:t xml:space="preserve"> relies on further strengthening public-private partnerships in the delivery of TB-related services to the population. While TB control is an important public health function and the responsibilities for steering, oversight and </w:t>
      </w:r>
      <w:r w:rsidR="003237B4">
        <w:rPr>
          <w:rFonts w:ascii="Times New Roman" w:hAnsi="Times New Roman" w:cs="Times New Roman"/>
        </w:rPr>
        <w:t>monitoring and evaluation (</w:t>
      </w:r>
      <w:r w:rsidRPr="00EE7E38">
        <w:rPr>
          <w:rFonts w:ascii="Times New Roman" w:hAnsi="Times New Roman" w:cs="Times New Roman"/>
        </w:rPr>
        <w:t>M&amp;E</w:t>
      </w:r>
      <w:r w:rsidR="003237B4">
        <w:rPr>
          <w:rFonts w:ascii="Times New Roman" w:hAnsi="Times New Roman" w:cs="Times New Roman"/>
        </w:rPr>
        <w:t>)</w:t>
      </w:r>
      <w:r w:rsidRPr="00EE7E38">
        <w:rPr>
          <w:rFonts w:ascii="Times New Roman" w:hAnsi="Times New Roman" w:cs="Times New Roman"/>
        </w:rPr>
        <w:t xml:space="preserve"> lie with the State and will be exercised by NTC and </w:t>
      </w:r>
      <w:proofErr w:type="spellStart"/>
      <w:r w:rsidRPr="00EE7E38">
        <w:rPr>
          <w:rFonts w:ascii="Times New Roman" w:hAnsi="Times New Roman" w:cs="Times New Roman"/>
        </w:rPr>
        <w:lastRenderedPageBreak/>
        <w:t>MoLHSA</w:t>
      </w:r>
      <w:proofErr w:type="spellEnd"/>
      <w:r w:rsidRPr="00EE7E38">
        <w:rPr>
          <w:rFonts w:ascii="Times New Roman" w:hAnsi="Times New Roman" w:cs="Times New Roman"/>
        </w:rPr>
        <w:t>, private health care providers will remain responsible for the provision of the most of TB diagnostic, curative and preventive services to the population. These services will be provided in close cooperation with relevant public institutions such as NCDCPH and NCTLD.</w:t>
      </w:r>
    </w:p>
    <w:p w14:paraId="246FCED3" w14:textId="580AF9FD" w:rsidR="00A81E0A" w:rsidRPr="00EE7E38" w:rsidRDefault="00EC66F1" w:rsidP="00A81E0A">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Over the next program period, a number of measures are planned to facilitate the provision of TB services by private providers. To uphold universal access to essential TB care in all areas of the country, the tasks and responsibilities of private providers will be formalized in annual service contracts with </w:t>
      </w:r>
      <w:proofErr w:type="spellStart"/>
      <w:r w:rsidRPr="00EE7E38">
        <w:rPr>
          <w:rFonts w:ascii="Times New Roman" w:hAnsi="Times New Roman" w:cs="Times New Roman"/>
        </w:rPr>
        <w:t>MoLHSA</w:t>
      </w:r>
      <w:proofErr w:type="spellEnd"/>
      <w:r w:rsidRPr="00EE7E38">
        <w:rPr>
          <w:rFonts w:ascii="Times New Roman" w:hAnsi="Times New Roman" w:cs="Times New Roman"/>
        </w:rPr>
        <w:t>/SSA. These agreements will stipulate in detail the scope and volume of services to be provided. The payment conditions will be clearly articulated in the contracts, according to the payments methods (see above under financing and allocation). Additionally, the modes of cooperation, related to referrals and other processes, between private medical centers and public institutions (NCDCPH territorial units and laboratories, public hospitals) will be elaborated. The NTP will undertake continuous capacity building of medical staff, quality assurance and program monitoring and evaluation through different means described above (guidelines, training, supervision, etc.).</w:t>
      </w:r>
      <w:r w:rsidR="00A81E0A" w:rsidRPr="00EE7E38">
        <w:rPr>
          <w:rFonts w:ascii="Times New Roman" w:hAnsi="Times New Roman" w:cs="Times New Roman"/>
        </w:rPr>
        <w:t xml:space="preserve"> </w:t>
      </w:r>
    </w:p>
    <w:p w14:paraId="705E3563" w14:textId="77777777" w:rsidR="00825AD6"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During the Plan</w:t>
      </w:r>
      <w:r w:rsidR="00C4066B" w:rsidRPr="00EE7E38">
        <w:rPr>
          <w:rFonts w:ascii="Times New Roman" w:hAnsi="Times New Roman" w:cs="Times New Roman"/>
        </w:rPr>
        <w:t xml:space="preserve"> timeframe</w:t>
      </w:r>
      <w:r w:rsidRPr="00EE7E38">
        <w:rPr>
          <w:rFonts w:ascii="Times New Roman" w:hAnsi="Times New Roman" w:cs="Times New Roman"/>
        </w:rPr>
        <w:t>, the NTP will further prioritize outpatient model of TB care delivery, including treatment of M/XDR-TB cases in ambulatory conditions starting day one.</w:t>
      </w:r>
      <w:r w:rsidR="00825AD6" w:rsidRPr="00EE7E38">
        <w:rPr>
          <w:rFonts w:ascii="Times New Roman" w:hAnsi="Times New Roman" w:cs="Times New Roman"/>
        </w:rPr>
        <w:t xml:space="preserve"> </w:t>
      </w:r>
    </w:p>
    <w:p w14:paraId="693314C4"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For this purpose, all programmatic and financial instruments outlined above will take special account of the need to expand outpatient case management and improve its quality. Appropriate provisions will be included in the guidelines, provider payment schemes, diagnostic approaches at peripheral service level (including the use of </w:t>
      </w:r>
      <w:proofErr w:type="spellStart"/>
      <w:r w:rsidRPr="00EE7E38">
        <w:rPr>
          <w:rFonts w:ascii="Times New Roman" w:hAnsi="Times New Roman" w:cs="Times New Roman"/>
        </w:rPr>
        <w:t>Xpert</w:t>
      </w:r>
      <w:proofErr w:type="spellEnd"/>
      <w:r w:rsidRPr="00EE7E38">
        <w:rPr>
          <w:rFonts w:ascii="Times New Roman" w:hAnsi="Times New Roman" w:cs="Times New Roman"/>
        </w:rPr>
        <w:t xml:space="preserve"> MTB/RIF technology), drug management system including pharmacovigilance and management of ADRs, supervision and recording and reporting system.</w:t>
      </w:r>
    </w:p>
    <w:p w14:paraId="67B0A281"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Taking into account re-emphasis on primary health care level, articulated in the recent health care development Concept, </w:t>
      </w:r>
      <w:r w:rsidR="006A73D7" w:rsidRPr="00EE7E38">
        <w:rPr>
          <w:rFonts w:ascii="Times New Roman" w:hAnsi="Times New Roman" w:cs="Times New Roman"/>
        </w:rPr>
        <w:t xml:space="preserve">contemporary approaches for </w:t>
      </w:r>
      <w:r w:rsidRPr="00EE7E38">
        <w:rPr>
          <w:rFonts w:ascii="Times New Roman" w:hAnsi="Times New Roman" w:cs="Times New Roman"/>
        </w:rPr>
        <w:t xml:space="preserve">TB </w:t>
      </w:r>
      <w:r w:rsidR="006A73D7" w:rsidRPr="00EE7E38">
        <w:rPr>
          <w:rFonts w:ascii="Times New Roman" w:hAnsi="Times New Roman" w:cs="Times New Roman"/>
        </w:rPr>
        <w:t xml:space="preserve">prevention, care and control </w:t>
      </w:r>
      <w:r w:rsidRPr="00EE7E38">
        <w:rPr>
          <w:rFonts w:ascii="Times New Roman" w:hAnsi="Times New Roman" w:cs="Times New Roman"/>
        </w:rPr>
        <w:t xml:space="preserve">will be </w:t>
      </w:r>
      <w:r w:rsidR="006A73D7" w:rsidRPr="00EE7E38">
        <w:rPr>
          <w:rFonts w:ascii="Times New Roman" w:hAnsi="Times New Roman" w:cs="Times New Roman"/>
        </w:rPr>
        <w:t xml:space="preserve">further </w:t>
      </w:r>
      <w:r w:rsidRPr="00EE7E38">
        <w:rPr>
          <w:rFonts w:ascii="Times New Roman" w:hAnsi="Times New Roman" w:cs="Times New Roman"/>
        </w:rPr>
        <w:t>integrated into PHC training curricula, regulations and payment schemes (including motivation and performance payments to PHC providers for successful management of outpatient TB cases).</w:t>
      </w:r>
    </w:p>
    <w:p w14:paraId="7E572000" w14:textId="2FA86272" w:rsidR="00DA3221" w:rsidRPr="00EE7E38" w:rsidRDefault="00E702A4"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It is anticipated that implementation of the above measures will allow for expanding quality outpatient treatment, so that by </w:t>
      </w:r>
      <w:r w:rsidR="003237B4">
        <w:rPr>
          <w:rFonts w:ascii="Times New Roman" w:hAnsi="Times New Roman" w:cs="Times New Roman"/>
        </w:rPr>
        <w:t>the end of</w:t>
      </w:r>
      <w:r w:rsidRPr="00EE7E38">
        <w:rPr>
          <w:rFonts w:ascii="Times New Roman" w:hAnsi="Times New Roman" w:cs="Times New Roman"/>
        </w:rPr>
        <w:t>20</w:t>
      </w:r>
      <w:r w:rsidR="00825AD6" w:rsidRPr="00EE7E38">
        <w:rPr>
          <w:rFonts w:ascii="Times New Roman" w:hAnsi="Times New Roman" w:cs="Times New Roman"/>
        </w:rPr>
        <w:t>22</w:t>
      </w:r>
      <w:r w:rsidRPr="00EE7E38">
        <w:rPr>
          <w:rFonts w:ascii="Times New Roman" w:hAnsi="Times New Roman" w:cs="Times New Roman"/>
        </w:rPr>
        <w:t xml:space="preserve">, </w:t>
      </w:r>
      <w:r w:rsidR="00825AD6" w:rsidRPr="00EE7E38">
        <w:rPr>
          <w:rFonts w:ascii="Times New Roman" w:hAnsi="Times New Roman" w:cs="Times New Roman"/>
        </w:rPr>
        <w:t>75</w:t>
      </w:r>
      <w:r w:rsidRPr="00EE7E38">
        <w:rPr>
          <w:rFonts w:ascii="Times New Roman" w:hAnsi="Times New Roman" w:cs="Times New Roman"/>
        </w:rPr>
        <w:t xml:space="preserve">% of all drug-sensitive and PDR-TB and </w:t>
      </w:r>
      <w:r w:rsidR="009E507B" w:rsidRPr="00EE7E38">
        <w:rPr>
          <w:rFonts w:ascii="Times New Roman" w:hAnsi="Times New Roman" w:cs="Times New Roman"/>
        </w:rPr>
        <w:t>4</w:t>
      </w:r>
      <w:r w:rsidRPr="00EE7E38">
        <w:rPr>
          <w:rFonts w:ascii="Times New Roman" w:hAnsi="Times New Roman" w:cs="Times New Roman"/>
        </w:rPr>
        <w:t xml:space="preserve">0% of M/XDR-TB cases </w:t>
      </w:r>
      <w:r w:rsidR="003237B4">
        <w:rPr>
          <w:rFonts w:ascii="Times New Roman" w:hAnsi="Times New Roman" w:cs="Times New Roman"/>
        </w:rPr>
        <w:t>will be</w:t>
      </w:r>
      <w:r w:rsidR="003237B4" w:rsidRPr="00EE7E38">
        <w:rPr>
          <w:rFonts w:ascii="Times New Roman" w:hAnsi="Times New Roman" w:cs="Times New Roman"/>
        </w:rPr>
        <w:t xml:space="preserve"> </w:t>
      </w:r>
      <w:r w:rsidRPr="00EE7E38">
        <w:rPr>
          <w:rFonts w:ascii="Times New Roman" w:hAnsi="Times New Roman" w:cs="Times New Roman"/>
        </w:rPr>
        <w:t xml:space="preserve">treated without hospitalization. </w:t>
      </w:r>
      <w:r w:rsidR="00EC66F1" w:rsidRPr="00EE7E38">
        <w:rPr>
          <w:rFonts w:ascii="Times New Roman" w:hAnsi="Times New Roman" w:cs="Times New Roman"/>
        </w:rPr>
        <w:t xml:space="preserve">In addition, </w:t>
      </w:r>
      <w:r w:rsidR="003237B4">
        <w:rPr>
          <w:rFonts w:ascii="Times New Roman" w:hAnsi="Times New Roman" w:cs="Times New Roman"/>
        </w:rPr>
        <w:t>by the end of 2022,</w:t>
      </w:r>
      <w:r w:rsidR="009E507B" w:rsidRPr="00EE7E38">
        <w:rPr>
          <w:rFonts w:ascii="Times New Roman" w:hAnsi="Times New Roman" w:cs="Times New Roman"/>
        </w:rPr>
        <w:t xml:space="preserve"> </w:t>
      </w:r>
      <w:r w:rsidR="00EC66F1" w:rsidRPr="00EE7E38">
        <w:rPr>
          <w:rFonts w:ascii="Times New Roman" w:hAnsi="Times New Roman" w:cs="Times New Roman"/>
        </w:rPr>
        <w:t xml:space="preserve">the average length of stay </w:t>
      </w:r>
      <w:r w:rsidR="003237B4">
        <w:rPr>
          <w:rFonts w:ascii="Times New Roman" w:hAnsi="Times New Roman" w:cs="Times New Roman"/>
        </w:rPr>
        <w:t xml:space="preserve">will be reduced </w:t>
      </w:r>
      <w:r w:rsidR="00EC66F1" w:rsidRPr="00EE7E38">
        <w:rPr>
          <w:rFonts w:ascii="Times New Roman" w:hAnsi="Times New Roman" w:cs="Times New Roman"/>
        </w:rPr>
        <w:t xml:space="preserve">by at least </w:t>
      </w:r>
      <w:r w:rsidR="009E507B" w:rsidRPr="00EE7E38">
        <w:rPr>
          <w:rFonts w:ascii="Times New Roman" w:hAnsi="Times New Roman" w:cs="Times New Roman"/>
        </w:rPr>
        <w:t>5</w:t>
      </w:r>
      <w:r w:rsidR="00EC66F1" w:rsidRPr="00EE7E38">
        <w:rPr>
          <w:rFonts w:ascii="Times New Roman" w:hAnsi="Times New Roman" w:cs="Times New Roman"/>
        </w:rPr>
        <w:t xml:space="preserve">0% in </w:t>
      </w:r>
      <w:r w:rsidR="003237B4">
        <w:rPr>
          <w:rFonts w:ascii="Times New Roman" w:hAnsi="Times New Roman" w:cs="Times New Roman"/>
        </w:rPr>
        <w:t>drug-</w:t>
      </w:r>
      <w:r w:rsidR="00EC66F1" w:rsidRPr="00EE7E38">
        <w:rPr>
          <w:rFonts w:ascii="Times New Roman" w:hAnsi="Times New Roman" w:cs="Times New Roman"/>
        </w:rPr>
        <w:t xml:space="preserve">sensitive and PDR cases, </w:t>
      </w:r>
      <w:r w:rsidR="009E507B" w:rsidRPr="00EE7E38">
        <w:rPr>
          <w:rFonts w:ascii="Times New Roman" w:hAnsi="Times New Roman" w:cs="Times New Roman"/>
        </w:rPr>
        <w:t>as well as in</w:t>
      </w:r>
      <w:r w:rsidR="00EC66F1" w:rsidRPr="00EE7E38">
        <w:rPr>
          <w:rFonts w:ascii="Times New Roman" w:hAnsi="Times New Roman" w:cs="Times New Roman"/>
        </w:rPr>
        <w:t xml:space="preserve"> MDR cases. Delivery of TB services close to the patients’ place of residence and </w:t>
      </w:r>
      <w:r w:rsidR="003237B4">
        <w:rPr>
          <w:rFonts w:ascii="Times New Roman" w:hAnsi="Times New Roman" w:cs="Times New Roman"/>
        </w:rPr>
        <w:t xml:space="preserve">in a </w:t>
      </w:r>
      <w:r w:rsidR="00EC66F1" w:rsidRPr="00EE7E38">
        <w:rPr>
          <w:rFonts w:ascii="Times New Roman" w:hAnsi="Times New Roman" w:cs="Times New Roman"/>
        </w:rPr>
        <w:t>community environment is a key component of patient-centered care, which will contribute to better patient outcomes and improvements in the overall health system performance.</w:t>
      </w:r>
    </w:p>
    <w:p w14:paraId="6F73AAD7" w14:textId="44D4B91E" w:rsidR="00DA3221" w:rsidRPr="00EE7E38" w:rsidRDefault="00DA322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NTP will ensure that the TB care delivery system in Georgia is fully capable to address specific aspects of TB treatment, such as treatment of TB in children, extrapulmonary TB and application of surgery. Management of such cases will continue to be carried out in respective departments of the National Center for Tuberculosis and Lung Diseases in Tbilisi, which will receive additional support in terms of staff, infrastructure and technology. The national TB </w:t>
      </w:r>
      <w:r w:rsidR="009E507B" w:rsidRPr="00EE7E38">
        <w:rPr>
          <w:rFonts w:ascii="Times New Roman" w:hAnsi="Times New Roman" w:cs="Times New Roman"/>
        </w:rPr>
        <w:t xml:space="preserve">pediatric </w:t>
      </w:r>
      <w:r w:rsidRPr="00EE7E38">
        <w:rPr>
          <w:rFonts w:ascii="Times New Roman" w:hAnsi="Times New Roman" w:cs="Times New Roman"/>
        </w:rPr>
        <w:t xml:space="preserve">guidelines </w:t>
      </w:r>
      <w:r w:rsidR="009E507B" w:rsidRPr="00EE7E38">
        <w:rPr>
          <w:rFonts w:ascii="Times New Roman" w:hAnsi="Times New Roman" w:cs="Times New Roman"/>
        </w:rPr>
        <w:t>will be</w:t>
      </w:r>
      <w:r w:rsidRPr="00EE7E38">
        <w:rPr>
          <w:rFonts w:ascii="Times New Roman" w:hAnsi="Times New Roman" w:cs="Times New Roman"/>
        </w:rPr>
        <w:t xml:space="preserve"> updated </w:t>
      </w:r>
      <w:r w:rsidR="009E507B" w:rsidRPr="00EE7E38">
        <w:rPr>
          <w:rFonts w:ascii="Times New Roman" w:hAnsi="Times New Roman" w:cs="Times New Roman"/>
        </w:rPr>
        <w:t xml:space="preserve">in 2019 </w:t>
      </w:r>
      <w:r w:rsidRPr="00EE7E38">
        <w:rPr>
          <w:rFonts w:ascii="Times New Roman" w:hAnsi="Times New Roman" w:cs="Times New Roman"/>
        </w:rPr>
        <w:t>to include the most recent evidence for management of pediatric TB cases, including those with drug-resistant forms of disease.</w:t>
      </w:r>
    </w:p>
    <w:p w14:paraId="436DEA46" w14:textId="77777777" w:rsidR="00DA3221" w:rsidRPr="00EE7E38" w:rsidRDefault="00DA322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role of surgery in TB treatment is being re-evaluated, especially in view of its importance in the management of M/XDR-TB cases. In line with the latest evidence and guidance</w:t>
      </w:r>
      <w:r w:rsidRPr="00EE7E38">
        <w:rPr>
          <w:rStyle w:val="FootnoteReference"/>
          <w:rFonts w:ascii="Times New Roman" w:hAnsi="Times New Roman" w:cs="Times New Roman"/>
        </w:rPr>
        <w:footnoteReference w:id="47"/>
      </w:r>
      <w:r w:rsidRPr="00EE7E38">
        <w:rPr>
          <w:rFonts w:ascii="Times New Roman" w:hAnsi="Times New Roman" w:cs="Times New Roman"/>
        </w:rPr>
        <w:t xml:space="preserve">, NCTLD will work on expanding the application of surgery for pulmonary TB according to specific criteria and indications, including localized cavitary forms with continuous excretion of mycobacteria, and for treatment of M/XDR-TB cases in circumstances when complicated clinical conditions and limited therapeutic options (i.e. extensive resistance to TB drugs) will likely lead to treatment failure and death. In such conditions, radical surgical interventions, performed in combination with comprehensive preoperative and postoperative care and appropriate chemotherapy, render for improved treatment results. It is </w:t>
      </w:r>
      <w:r w:rsidR="0059626D" w:rsidRPr="00EE7E38">
        <w:rPr>
          <w:rFonts w:ascii="Times New Roman" w:hAnsi="Times New Roman" w:cs="Times New Roman"/>
        </w:rPr>
        <w:t xml:space="preserve">aimed that the surgical activity </w:t>
      </w:r>
      <w:r w:rsidRPr="00EE7E38">
        <w:rPr>
          <w:rFonts w:ascii="Times New Roman" w:hAnsi="Times New Roman" w:cs="Times New Roman"/>
        </w:rPr>
        <w:t xml:space="preserve">in pulmonary M/XDR-TB cases will increase </w:t>
      </w:r>
      <w:r w:rsidR="0059626D" w:rsidRPr="00EE7E38">
        <w:rPr>
          <w:rFonts w:ascii="Times New Roman" w:hAnsi="Times New Roman" w:cs="Times New Roman"/>
        </w:rPr>
        <w:t xml:space="preserve">during the next five years and </w:t>
      </w:r>
      <w:proofErr w:type="gramStart"/>
      <w:r w:rsidR="0059626D" w:rsidRPr="00EE7E38">
        <w:rPr>
          <w:rFonts w:ascii="Times New Roman" w:hAnsi="Times New Roman" w:cs="Times New Roman"/>
        </w:rPr>
        <w:t>contribute</w:t>
      </w:r>
      <w:proofErr w:type="gramEnd"/>
      <w:r w:rsidR="0059626D" w:rsidRPr="00EE7E38">
        <w:rPr>
          <w:rFonts w:ascii="Times New Roman" w:hAnsi="Times New Roman" w:cs="Times New Roman"/>
        </w:rPr>
        <w:t xml:space="preserve"> to improved patient outcomes in this group of patients. </w:t>
      </w:r>
    </w:p>
    <w:p w14:paraId="6AC1561F" w14:textId="21572663"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Covering special patient needs includes provision of palliative care in those patients who have failed all </w:t>
      </w:r>
      <w:r w:rsidRPr="00EE7E38">
        <w:rPr>
          <w:rFonts w:ascii="Times New Roman" w:hAnsi="Times New Roman" w:cs="Times New Roman"/>
        </w:rPr>
        <w:lastRenderedPageBreak/>
        <w:t xml:space="preserve">available TB treatment alternatives and require symptomatic treatment and nursing/social care. For this purpose, it is planned to establish a palliative care facility </w:t>
      </w:r>
      <w:r w:rsidR="0059626D" w:rsidRPr="00EE7E38">
        <w:rPr>
          <w:rFonts w:ascii="Times New Roman" w:hAnsi="Times New Roman" w:cs="Times New Roman"/>
        </w:rPr>
        <w:t>in the country, following the detailed assessment of needs and identification of additional resources for infrastructure, staff and operational support</w:t>
      </w:r>
      <w:r w:rsidRPr="00EE7E38">
        <w:rPr>
          <w:rFonts w:ascii="Times New Roman" w:hAnsi="Times New Roman" w:cs="Times New Roman"/>
        </w:rPr>
        <w:t xml:space="preserve">. </w:t>
      </w:r>
      <w:r w:rsidR="00413793" w:rsidRPr="00EE7E38">
        <w:rPr>
          <w:rFonts w:ascii="Times New Roman" w:hAnsi="Times New Roman" w:cs="Times New Roman"/>
        </w:rPr>
        <w:t xml:space="preserve">The work will </w:t>
      </w:r>
      <w:r w:rsidR="00A81E0A" w:rsidRPr="00EE7E38">
        <w:rPr>
          <w:rFonts w:ascii="Times New Roman" w:hAnsi="Times New Roman" w:cs="Times New Roman"/>
        </w:rPr>
        <w:t xml:space="preserve">continue to upgrade TB service delivery infrastructure to ensure quality delivery of services. Additional investments in premises and medical equipment will be undertaken based on the in-depth needs assessment. </w:t>
      </w:r>
    </w:p>
    <w:p w14:paraId="1611C32C" w14:textId="77777777" w:rsidR="004923D6" w:rsidRPr="00EE7E38" w:rsidRDefault="004923D6" w:rsidP="004923D6">
      <w:pPr>
        <w:widowControl w:val="0"/>
        <w:spacing w:before="120" w:after="120" w:line="240" w:lineRule="auto"/>
        <w:ind w:left="709" w:hanging="709"/>
        <w:rPr>
          <w:rFonts w:ascii="Times New Roman" w:hAnsi="Times New Roman" w:cs="Times New Roman"/>
          <w:b/>
          <w:i/>
        </w:rPr>
      </w:pPr>
      <w:r w:rsidRPr="00EE7E38">
        <w:rPr>
          <w:rFonts w:ascii="Times New Roman" w:hAnsi="Times New Roman" w:cs="Times New Roman"/>
          <w:b/>
          <w:i/>
        </w:rPr>
        <w:t>Legal and ethical issues in TB control</w:t>
      </w:r>
    </w:p>
    <w:p w14:paraId="427935A4" w14:textId="77777777" w:rsidR="004923D6" w:rsidRPr="00EE7E38" w:rsidRDefault="00D129EA" w:rsidP="004923D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O</w:t>
      </w:r>
      <w:r w:rsidR="004923D6" w:rsidRPr="00EE7E38">
        <w:rPr>
          <w:rFonts w:ascii="Times New Roman" w:hAnsi="Times New Roman" w:cs="Times New Roman"/>
        </w:rPr>
        <w:t>bserving the key ethical principles and values, such as social justice and equity, solidarity, pursuing common good, reciprocity, subsidiarity, participation, transparency and accountability</w:t>
      </w:r>
      <w:r w:rsidRPr="00EE7E38">
        <w:rPr>
          <w:rFonts w:ascii="Times New Roman" w:hAnsi="Times New Roman" w:cs="Times New Roman"/>
        </w:rPr>
        <w:t xml:space="preserve"> is essential </w:t>
      </w:r>
      <w:r w:rsidR="00A81E0A" w:rsidRPr="00EE7E38">
        <w:rPr>
          <w:rFonts w:ascii="Times New Roman" w:hAnsi="Times New Roman" w:cs="Times New Roman"/>
        </w:rPr>
        <w:t>for adequate TB control</w:t>
      </w:r>
      <w:r w:rsidR="004923D6" w:rsidRPr="00EE7E38">
        <w:rPr>
          <w:rFonts w:ascii="Times New Roman" w:hAnsi="Times New Roman" w:cs="Times New Roman"/>
        </w:rPr>
        <w:t>. In line with WHO guidance</w:t>
      </w:r>
      <w:r w:rsidR="004923D6" w:rsidRPr="00EE7E38">
        <w:rPr>
          <w:rStyle w:val="FootnoteReference"/>
          <w:rFonts w:ascii="Times New Roman" w:hAnsi="Times New Roman" w:cs="Times New Roman"/>
        </w:rPr>
        <w:footnoteReference w:id="48"/>
      </w:r>
      <w:r w:rsidR="004923D6" w:rsidRPr="00EE7E38">
        <w:rPr>
          <w:rFonts w:ascii="Times New Roman" w:hAnsi="Times New Roman" w:cs="Times New Roman"/>
        </w:rPr>
        <w:t>, the actions in the area of TB ethics and legal aspects in Georgia during the next five years will address all of the key dimensions, namely the Government’s obligation to provide access to TB services; information, counseling and consent; supporting adherence to TB treatment; the link between the availability of drug susceptibility testing and access to M/XDR-TB treatment; health care workers’ rights and obligations; involuntary isolation and detention; and TB-related research.</w:t>
      </w:r>
    </w:p>
    <w:p w14:paraId="3F0BB96F" w14:textId="00BB3334" w:rsidR="004923D6" w:rsidRPr="00EE7E38" w:rsidRDefault="003550D5" w:rsidP="004923D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According to WHO recommendations, the Law of Georgia on TB Control underlines the Government's commitment to provide access to the TB prevention, diagnostic (investigations) and  management services (including palliative care of a person suffering from tuberculosis), as well as financial access to anti-TB medications. For public health interests, the law allows the involuntary isolation of a patient with communicable form of tuberculosis, as an extreme measure, when all means of compulsory investigations and voluntary involvement of patient in the treatment process </w:t>
      </w:r>
      <w:proofErr w:type="gramStart"/>
      <w:r w:rsidRPr="00EE7E38">
        <w:rPr>
          <w:rFonts w:ascii="Times New Roman" w:hAnsi="Times New Roman" w:cs="Times New Roman"/>
        </w:rPr>
        <w:t>has</w:t>
      </w:r>
      <w:proofErr w:type="gramEnd"/>
      <w:r w:rsidRPr="00EE7E38">
        <w:rPr>
          <w:rFonts w:ascii="Times New Roman" w:hAnsi="Times New Roman" w:cs="Times New Roman"/>
        </w:rPr>
        <w:t xml:space="preserve"> been exhausted and without the use of involuntary isolation measures spread of infection</w:t>
      </w:r>
      <w:r w:rsidR="00A81E0A" w:rsidRPr="00EE7E38">
        <w:rPr>
          <w:rFonts w:ascii="Times New Roman" w:hAnsi="Times New Roman" w:cs="Times New Roman"/>
        </w:rPr>
        <w:t xml:space="preserve">s </w:t>
      </w:r>
      <w:r w:rsidRPr="00EE7E38">
        <w:rPr>
          <w:rFonts w:ascii="Times New Roman" w:hAnsi="Times New Roman" w:cs="Times New Roman"/>
        </w:rPr>
        <w:t>cannot be avoided. To protect public and individual interests, and the right to make informed decision regarding individual's health</w:t>
      </w:r>
      <w:r w:rsidR="009C5D40">
        <w:rPr>
          <w:rFonts w:ascii="Times New Roman" w:hAnsi="Times New Roman" w:cs="Times New Roman"/>
        </w:rPr>
        <w:t xml:space="preserve">, </w:t>
      </w:r>
      <w:proofErr w:type="spellStart"/>
      <w:r w:rsidR="009C5D40">
        <w:rPr>
          <w:rFonts w:ascii="Times New Roman" w:hAnsi="Times New Roman" w:cs="Times New Roman"/>
        </w:rPr>
        <w:t>MoHLSA</w:t>
      </w:r>
      <w:proofErr w:type="spellEnd"/>
      <w:r w:rsidR="00D43D9A">
        <w:rPr>
          <w:rFonts w:ascii="Times New Roman" w:hAnsi="Times New Roman" w:cs="Times New Roman"/>
        </w:rPr>
        <w:t xml:space="preserve"> </w:t>
      </w:r>
      <w:r w:rsidRPr="00EE7E38">
        <w:rPr>
          <w:rFonts w:ascii="Times New Roman" w:hAnsi="Times New Roman" w:cs="Times New Roman"/>
        </w:rPr>
        <w:t xml:space="preserve">with Georgian TB Coalition will work on development and implementation of ethical standards for TB control according to WHO recommendations. The </w:t>
      </w:r>
      <w:r w:rsidR="009C5D40">
        <w:rPr>
          <w:rFonts w:ascii="Times New Roman" w:hAnsi="Times New Roman" w:cs="Times New Roman"/>
        </w:rPr>
        <w:t>NTP</w:t>
      </w:r>
      <w:r w:rsidRPr="00EE7E38">
        <w:rPr>
          <w:rFonts w:ascii="Times New Roman" w:hAnsi="Times New Roman" w:cs="Times New Roman"/>
        </w:rPr>
        <w:t xml:space="preserve"> </w:t>
      </w:r>
      <w:r w:rsidR="00A81E0A" w:rsidRPr="00EE7E38">
        <w:rPr>
          <w:rFonts w:ascii="Times New Roman" w:hAnsi="Times New Roman" w:cs="Times New Roman"/>
        </w:rPr>
        <w:t>will also ensure</w:t>
      </w:r>
      <w:r w:rsidRPr="00EE7E38">
        <w:rPr>
          <w:rFonts w:ascii="Times New Roman" w:hAnsi="Times New Roman" w:cs="Times New Roman"/>
        </w:rPr>
        <w:t xml:space="preserve"> adequate involvement of legal and ethical issues in clinical practice recommendations and training programs.</w:t>
      </w:r>
      <w:r w:rsidR="004923D6" w:rsidRPr="00EE7E38">
        <w:rPr>
          <w:rFonts w:ascii="Times New Roman" w:hAnsi="Times New Roman" w:cs="Times New Roman"/>
        </w:rPr>
        <w:t xml:space="preserve"> </w:t>
      </w:r>
    </w:p>
    <w:p w14:paraId="3FD59D88"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01094BD1" w14:textId="77777777" w:rsidR="002A4055" w:rsidRPr="00EE7E38" w:rsidRDefault="00EC66F1">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External technical assistance </w:t>
      </w:r>
      <w:r w:rsidRPr="00EE7E38">
        <w:rPr>
          <w:rFonts w:ascii="Times New Roman" w:hAnsi="Times New Roman" w:cs="Times New Roman"/>
        </w:rPr>
        <w:t>will be sought in priority areas related to strengthening the health system’s functions for TB control, in particular in revising financing and provider payment mechanisms, human resources planning and medical education, improving TB service delivery with expanding outpatient case management, and strengthening the links to health services’ performance in the national TB information system.</w:t>
      </w:r>
    </w:p>
    <w:p w14:paraId="5CAE497F" w14:textId="41AFC4C3" w:rsidR="002A4055" w:rsidRPr="00EE7E38" w:rsidRDefault="00EC66F1">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National consultants</w:t>
      </w:r>
      <w:r w:rsidRPr="00EE7E38">
        <w:rPr>
          <w:rFonts w:ascii="Times New Roman" w:hAnsi="Times New Roman" w:cs="Times New Roman"/>
        </w:rPr>
        <w:t xml:space="preserve"> will be engaged in practical work on revision/update of the relevant legislative and regulatory documents for improving the health services’ performance for effective TB control, including support to symptomatic treatment / palliative care.</w:t>
      </w:r>
    </w:p>
    <w:p w14:paraId="25466C4C" w14:textId="3A3D0DD4" w:rsidR="002A4055" w:rsidRPr="00EE7E38" w:rsidRDefault="00EC66F1">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International training </w:t>
      </w:r>
      <w:r w:rsidRPr="00EE7E38">
        <w:rPr>
          <w:rFonts w:ascii="Times New Roman" w:hAnsi="Times New Roman" w:cs="Times New Roman"/>
        </w:rPr>
        <w:t xml:space="preserve">and support to attendance of key international TB events abroad (conferences, high-level meetings and consultations) will be provided for NTC and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staff, NTP coordinators and leading TB specialists from both </w:t>
      </w:r>
      <w:r w:rsidR="009C5D40">
        <w:rPr>
          <w:rFonts w:ascii="Times New Roman" w:hAnsi="Times New Roman" w:cs="Times New Roman"/>
        </w:rPr>
        <w:t xml:space="preserve">the </w:t>
      </w:r>
      <w:r w:rsidRPr="00EE7E38">
        <w:rPr>
          <w:rFonts w:ascii="Times New Roman" w:hAnsi="Times New Roman" w:cs="Times New Roman"/>
        </w:rPr>
        <w:t>civilian and penitentiary sectors.</w:t>
      </w:r>
    </w:p>
    <w:p w14:paraId="19B578C7" w14:textId="0F1C4230" w:rsidR="002A4055" w:rsidRPr="00EE7E38" w:rsidRDefault="00EC66F1">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Training of health care managers</w:t>
      </w:r>
      <w:r w:rsidRPr="00EE7E38">
        <w:rPr>
          <w:rFonts w:ascii="Times New Roman" w:hAnsi="Times New Roman" w:cs="Times New Roman"/>
        </w:rPr>
        <w:t xml:space="preserve"> from private provider organizations will be conducted to facilitate the implementation of new approaches and changes for effective TB care delivery.</w:t>
      </w:r>
    </w:p>
    <w:p w14:paraId="61E7239D" w14:textId="77777777" w:rsidR="002A4055" w:rsidRPr="00EE7E38" w:rsidRDefault="00EC66F1">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i/>
          <w:iCs/>
        </w:rPr>
        <w:t xml:space="preserve">Management capacity building </w:t>
      </w:r>
      <w:r w:rsidRPr="00EE7E38">
        <w:rPr>
          <w:rFonts w:ascii="Times New Roman" w:hAnsi="Times New Roman" w:cs="Times New Roman"/>
          <w:iCs/>
        </w:rPr>
        <w:t xml:space="preserve">for the NTP </w:t>
      </w:r>
      <w:r w:rsidRPr="00EE7E38">
        <w:rPr>
          <w:rFonts w:ascii="Times New Roman" w:hAnsi="Times New Roman" w:cs="Times New Roman"/>
        </w:rPr>
        <w:t>will be supported by training of staff of NTP entities at the central and regional level. The training program will focus on managerial aspects to support the planned reorganization of TB service delivery with emphasis on coordination of services across different levels of care, expanding quality treatment in ambulatory conditions and implementation of patient-centered approaches.</w:t>
      </w:r>
    </w:p>
    <w:p w14:paraId="7B4E1626" w14:textId="77777777" w:rsidR="002A4055" w:rsidRPr="00EE7E38" w:rsidRDefault="00956965">
      <w:pPr>
        <w:widowControl w:val="0"/>
        <w:numPr>
          <w:ilvl w:val="0"/>
          <w:numId w:val="6"/>
        </w:numPr>
        <w:spacing w:before="120" w:after="120" w:line="240" w:lineRule="auto"/>
        <w:jc w:val="both"/>
        <w:rPr>
          <w:rFonts w:ascii="Times New Roman" w:hAnsi="Times New Roman" w:cs="Times New Roman"/>
          <w:i/>
          <w:iCs/>
        </w:rPr>
      </w:pPr>
      <w:r w:rsidRPr="00B241D0">
        <w:rPr>
          <w:rFonts w:ascii="Times New Roman" w:hAnsi="Times New Roman" w:cs="Times New Roman"/>
          <w:i/>
          <w:iCs/>
        </w:rPr>
        <w:t>National consultants</w:t>
      </w:r>
      <w:r w:rsidRPr="00EE7E38">
        <w:rPr>
          <w:rFonts w:ascii="Times New Roman" w:hAnsi="Times New Roman" w:cs="Times New Roman"/>
        </w:rPr>
        <w:t xml:space="preserve"> will assist in the organization of policy dialogue and technical discussions among key stakeholders, introducing amendments to the existing laws and development of new legislation and regulations.</w:t>
      </w:r>
    </w:p>
    <w:p w14:paraId="7DB4A105" w14:textId="5C87B00D" w:rsidR="002A4055" w:rsidRPr="00EE7E38" w:rsidRDefault="00956965">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Training in legal/ethical issues </w:t>
      </w:r>
      <w:r w:rsidRPr="00EE7E38">
        <w:rPr>
          <w:rFonts w:ascii="Times New Roman" w:hAnsi="Times New Roman" w:cs="Times New Roman"/>
          <w:iCs/>
        </w:rPr>
        <w:t xml:space="preserve">will be organized in view of the amended legal framework, for </w:t>
      </w:r>
      <w:r w:rsidRPr="00EE7E38">
        <w:rPr>
          <w:rFonts w:ascii="Times New Roman" w:hAnsi="Times New Roman" w:cs="Times New Roman"/>
          <w:iCs/>
        </w:rPr>
        <w:lastRenderedPageBreak/>
        <w:t xml:space="preserve">managers of health care institutions and other relevant medical and non-medical personnel. </w:t>
      </w:r>
    </w:p>
    <w:p w14:paraId="15922857" w14:textId="5C79C0D5" w:rsidR="00794B17" w:rsidRPr="00EE7E38" w:rsidRDefault="00EE324B" w:rsidP="00217373">
      <w:pPr>
        <w:numPr>
          <w:ilvl w:val="0"/>
          <w:numId w:val="6"/>
        </w:numPr>
        <w:spacing w:before="120" w:after="120" w:line="240" w:lineRule="auto"/>
        <w:jc w:val="both"/>
        <w:rPr>
          <w:rFonts w:ascii="Times New Roman" w:eastAsia="SimSun" w:hAnsi="Times New Roman" w:cs="Times New Roman"/>
          <w:lang w:eastAsia="zh-CN"/>
        </w:rPr>
      </w:pPr>
      <w:r w:rsidRPr="00EE7E38">
        <w:rPr>
          <w:rFonts w:ascii="Times New Roman" w:eastAsia="SimSun" w:hAnsi="Times New Roman" w:cs="Times New Roman"/>
          <w:i/>
          <w:lang w:eastAsia="zh-CN"/>
        </w:rPr>
        <w:t>PHC onsite performance appraisal and mentoring.</w:t>
      </w:r>
      <w:r w:rsidR="00794B17" w:rsidRPr="00EE7E38">
        <w:rPr>
          <w:rFonts w:ascii="Times New Roman" w:eastAsia="SimSun" w:hAnsi="Times New Roman" w:cs="Times New Roman"/>
          <w:i/>
          <w:lang w:eastAsia="zh-CN"/>
        </w:rPr>
        <w:t xml:space="preserve"> </w:t>
      </w:r>
      <w:r w:rsidR="0037247E" w:rsidRPr="00EE7E38">
        <w:rPr>
          <w:rFonts w:ascii="Times New Roman" w:eastAsia="SimSun" w:hAnsi="Times New Roman" w:cs="Times New Roman"/>
          <w:lang w:eastAsia="zh-CN"/>
        </w:rPr>
        <w:t xml:space="preserve">During the </w:t>
      </w:r>
      <w:r w:rsidR="00217373" w:rsidRPr="00EE7E38">
        <w:rPr>
          <w:rFonts w:ascii="Times New Roman" w:eastAsia="SimSun" w:hAnsi="Times New Roman" w:cs="Times New Roman"/>
          <w:lang w:eastAsia="zh-CN"/>
        </w:rPr>
        <w:t xml:space="preserve">strategy </w:t>
      </w:r>
      <w:r w:rsidR="00794B17" w:rsidRPr="00EE7E38">
        <w:rPr>
          <w:rFonts w:ascii="Times New Roman" w:eastAsia="SimSun" w:hAnsi="Times New Roman" w:cs="Times New Roman"/>
          <w:lang w:eastAsia="zh-CN"/>
        </w:rPr>
        <w:t xml:space="preserve">period performance </w:t>
      </w:r>
      <w:r w:rsidR="009C5D40" w:rsidRPr="00EE7E38">
        <w:rPr>
          <w:rFonts w:ascii="Times New Roman" w:eastAsia="SimSun" w:hAnsi="Times New Roman" w:cs="Times New Roman"/>
          <w:lang w:eastAsia="zh-CN"/>
        </w:rPr>
        <w:t>appraisal</w:t>
      </w:r>
      <w:r w:rsidR="00794B17" w:rsidRPr="00EE7E38">
        <w:rPr>
          <w:rFonts w:ascii="Times New Roman" w:eastAsia="SimSun" w:hAnsi="Times New Roman" w:cs="Times New Roman"/>
          <w:lang w:eastAsia="zh-CN"/>
        </w:rPr>
        <w:t xml:space="preserve"> and on-site mentoring will be provided to 500 primary care teams which have not received this support since 2016. </w:t>
      </w:r>
    </w:p>
    <w:p w14:paraId="23225E42" w14:textId="28A7F6AF" w:rsidR="002A4055" w:rsidRPr="00EE7E38" w:rsidRDefault="00EE324B" w:rsidP="00217373">
      <w:pPr>
        <w:numPr>
          <w:ilvl w:val="0"/>
          <w:numId w:val="6"/>
        </w:numPr>
        <w:spacing w:before="120" w:after="120" w:line="240" w:lineRule="auto"/>
        <w:jc w:val="both"/>
        <w:rPr>
          <w:rFonts w:ascii="Times New Roman" w:eastAsia="SimSun" w:hAnsi="Times New Roman" w:cs="Times New Roman"/>
          <w:lang w:eastAsia="zh-CN"/>
        </w:rPr>
      </w:pPr>
      <w:proofErr w:type="gramStart"/>
      <w:r w:rsidRPr="00EE7E38">
        <w:rPr>
          <w:rFonts w:ascii="Times New Roman" w:eastAsia="SimSun" w:hAnsi="Times New Roman" w:cs="Times New Roman"/>
          <w:i/>
          <w:lang w:eastAsia="zh-CN"/>
        </w:rPr>
        <w:t>e-Learning</w:t>
      </w:r>
      <w:proofErr w:type="gramEnd"/>
      <w:r w:rsidRPr="00EE7E38">
        <w:rPr>
          <w:rFonts w:ascii="Times New Roman" w:eastAsia="SimSun" w:hAnsi="Times New Roman" w:cs="Times New Roman"/>
          <w:i/>
          <w:lang w:eastAsia="zh-CN"/>
        </w:rPr>
        <w:t xml:space="preserve"> programs.</w:t>
      </w:r>
      <w:r w:rsidR="00D43D9A">
        <w:rPr>
          <w:rFonts w:ascii="Times New Roman" w:eastAsia="SimSun" w:hAnsi="Times New Roman" w:cs="Times New Roman"/>
          <w:i/>
          <w:lang w:eastAsia="zh-CN"/>
        </w:rPr>
        <w:t xml:space="preserve"> </w:t>
      </w:r>
      <w:r w:rsidRPr="00B241D0">
        <w:rPr>
          <w:rFonts w:ascii="Times New Roman" w:eastAsia="SimSun" w:hAnsi="Times New Roman" w:cs="Times New Roman"/>
          <w:lang w:eastAsia="zh-CN"/>
        </w:rPr>
        <w:t>In order to ensure greater</w:t>
      </w:r>
      <w:r w:rsidRPr="00EE7E38">
        <w:rPr>
          <w:rFonts w:ascii="Times New Roman" w:eastAsia="SimSun" w:hAnsi="Times New Roman" w:cs="Times New Roman"/>
          <w:lang w:eastAsia="zh-CN"/>
        </w:rPr>
        <w:t xml:space="preserve"> coverage and regular interaction with training materials for health care workers, The NFP proposes to develop web-based learning courses on various aspects of TB diagnostics and MDR TB management. The availability of computer-based training will create a good opportunity for many Georgian physicians to improve TB related competencies.</w:t>
      </w:r>
      <w:r w:rsidR="00794B17" w:rsidRPr="00EE7E38">
        <w:rPr>
          <w:rFonts w:ascii="Times New Roman" w:eastAsia="SimSun" w:hAnsi="Times New Roman" w:cs="Times New Roman"/>
          <w:lang w:eastAsia="zh-CN"/>
        </w:rPr>
        <w:t xml:space="preserve"> Two electronic modules will be developed with the Global Fund support in 2019-2022. In addition</w:t>
      </w:r>
      <w:r w:rsidR="009C5D40">
        <w:rPr>
          <w:rFonts w:ascii="Times New Roman" w:eastAsia="SimSun" w:hAnsi="Times New Roman" w:cs="Times New Roman"/>
          <w:lang w:eastAsia="zh-CN"/>
        </w:rPr>
        <w:t>,</w:t>
      </w:r>
      <w:r w:rsidR="00794B17" w:rsidRPr="00EE7E38">
        <w:rPr>
          <w:rFonts w:ascii="Times New Roman" w:eastAsia="SimSun" w:hAnsi="Times New Roman" w:cs="Times New Roman"/>
          <w:lang w:eastAsia="zh-CN"/>
        </w:rPr>
        <w:t xml:space="preserve"> NTP will continue using ECHO model for supporting peripheral service delivery points in clinical decision making and improving quality of services they deliver. </w:t>
      </w:r>
      <w:r w:rsidRPr="00EE7E38">
        <w:rPr>
          <w:rFonts w:ascii="Times New Roman" w:eastAsia="SimSun" w:hAnsi="Times New Roman" w:cs="Times New Roman"/>
          <w:lang w:eastAsia="zh-CN"/>
        </w:rPr>
        <w:t xml:space="preserve"> </w:t>
      </w:r>
    </w:p>
    <w:p w14:paraId="7886DCD8" w14:textId="4EAF522B" w:rsidR="002A4055" w:rsidRPr="00EE7E38" w:rsidRDefault="00EE324B">
      <w:pPr>
        <w:numPr>
          <w:ilvl w:val="0"/>
          <w:numId w:val="6"/>
        </w:numPr>
        <w:spacing w:before="120" w:after="120" w:line="240" w:lineRule="auto"/>
        <w:jc w:val="both"/>
        <w:rPr>
          <w:rFonts w:ascii="Times New Roman" w:eastAsia="SimSun" w:hAnsi="Times New Roman" w:cs="Times New Roman"/>
          <w:lang w:eastAsia="zh-CN"/>
        </w:rPr>
      </w:pPr>
      <w:r w:rsidRPr="00EE7E38">
        <w:rPr>
          <w:rFonts w:ascii="Times New Roman" w:eastAsia="SimSun" w:hAnsi="Times New Roman" w:cs="Times New Roman"/>
          <w:i/>
          <w:lang w:eastAsia="zh-CN"/>
        </w:rPr>
        <w:t>Elaborate and support implementation of palliative care model</w:t>
      </w:r>
      <w:r w:rsidRPr="00EE7E38">
        <w:rPr>
          <w:rFonts w:ascii="Times New Roman" w:eastAsia="SimSun" w:hAnsi="Times New Roman" w:cs="Times New Roman"/>
          <w:lang w:eastAsia="zh-CN"/>
        </w:rPr>
        <w:t xml:space="preserve">. Lack of the well functional palliative care model is a major weakness of the NTP in Georgia. This program proposes to support elaboration and implementation of palliative care policy and evidence-based practice model in Georgia through external and local technical assistance, high level workshops, </w:t>
      </w:r>
      <w:proofErr w:type="gramStart"/>
      <w:r w:rsidRPr="00EE7E38">
        <w:rPr>
          <w:rFonts w:ascii="Times New Roman" w:eastAsia="SimSun" w:hAnsi="Times New Roman" w:cs="Times New Roman"/>
          <w:lang w:eastAsia="zh-CN"/>
        </w:rPr>
        <w:t>study</w:t>
      </w:r>
      <w:proofErr w:type="gramEnd"/>
      <w:r w:rsidRPr="00EE7E38">
        <w:rPr>
          <w:rFonts w:ascii="Times New Roman" w:eastAsia="SimSun" w:hAnsi="Times New Roman" w:cs="Times New Roman"/>
          <w:lang w:eastAsia="zh-CN"/>
        </w:rPr>
        <w:t xml:space="preserve"> tours for NTP officials to countries in which the TB palliative care model is well established</w:t>
      </w:r>
      <w:r w:rsidR="009C5D40">
        <w:rPr>
          <w:rFonts w:ascii="Times New Roman" w:eastAsia="SimSun" w:hAnsi="Times New Roman" w:cs="Times New Roman"/>
          <w:lang w:eastAsia="zh-CN"/>
        </w:rPr>
        <w:t>. This activity</w:t>
      </w:r>
      <w:r w:rsidRPr="00EE7E38">
        <w:rPr>
          <w:rFonts w:ascii="Times New Roman" w:eastAsia="SimSun" w:hAnsi="Times New Roman" w:cs="Times New Roman"/>
          <w:lang w:eastAsia="zh-CN"/>
        </w:rPr>
        <w:t xml:space="preserve"> will include local and international </w:t>
      </w:r>
      <w:r w:rsidR="009C5D40">
        <w:rPr>
          <w:rFonts w:ascii="Times New Roman" w:eastAsia="SimSun" w:hAnsi="Times New Roman" w:cs="Times New Roman"/>
          <w:lang w:eastAsia="zh-CN"/>
        </w:rPr>
        <w:t>technical assistance,</w:t>
      </w:r>
      <w:r w:rsidRPr="00EE7E38">
        <w:rPr>
          <w:rFonts w:ascii="Times New Roman" w:eastAsia="SimSun" w:hAnsi="Times New Roman" w:cs="Times New Roman"/>
          <w:lang w:eastAsia="zh-CN"/>
        </w:rPr>
        <w:t xml:space="preserve"> training, high level meetings, </w:t>
      </w:r>
      <w:r w:rsidR="009C5D40">
        <w:rPr>
          <w:rFonts w:ascii="Times New Roman" w:eastAsia="SimSun" w:hAnsi="Times New Roman" w:cs="Times New Roman"/>
          <w:lang w:eastAsia="zh-CN"/>
        </w:rPr>
        <w:t xml:space="preserve">and a </w:t>
      </w:r>
      <w:r w:rsidRPr="00EE7E38">
        <w:rPr>
          <w:rFonts w:ascii="Times New Roman" w:eastAsia="SimSun" w:hAnsi="Times New Roman" w:cs="Times New Roman"/>
          <w:lang w:eastAsia="zh-CN"/>
        </w:rPr>
        <w:t>possible study tour for high level officials.</w:t>
      </w:r>
    </w:p>
    <w:p w14:paraId="68D3469F" w14:textId="3B5A3B30" w:rsidR="002A4055" w:rsidRPr="00EE7E38" w:rsidRDefault="004B76B6">
      <w:pPr>
        <w:numPr>
          <w:ilvl w:val="0"/>
          <w:numId w:val="6"/>
        </w:numPr>
        <w:spacing w:before="120" w:after="120" w:line="240" w:lineRule="auto"/>
        <w:jc w:val="both"/>
        <w:rPr>
          <w:rFonts w:ascii="Times New Roman" w:eastAsia="SimSun" w:hAnsi="Times New Roman" w:cs="Times New Roman"/>
          <w:lang w:eastAsia="zh-CN"/>
        </w:rPr>
      </w:pPr>
      <w:r w:rsidRPr="00EE7E38">
        <w:rPr>
          <w:rFonts w:ascii="Times New Roman" w:eastAsia="SimSun" w:hAnsi="Times New Roman" w:cs="Times New Roman"/>
          <w:i/>
          <w:lang w:eastAsia="zh-CN"/>
        </w:rPr>
        <w:t>Short-term t</w:t>
      </w:r>
      <w:r w:rsidR="00EE324B" w:rsidRPr="00EE7E38">
        <w:rPr>
          <w:rFonts w:ascii="Times New Roman" w:eastAsia="SimSun" w:hAnsi="Times New Roman" w:cs="Times New Roman"/>
          <w:i/>
          <w:lang w:eastAsia="zh-CN"/>
        </w:rPr>
        <w:t>raining programs for physicians in borderline specialties.</w:t>
      </w:r>
      <w:r w:rsidR="00EE324B" w:rsidRPr="00EE7E38">
        <w:rPr>
          <w:rFonts w:ascii="Times New Roman" w:eastAsia="SimSun" w:hAnsi="Times New Roman" w:cs="Times New Roman"/>
          <w:lang w:eastAsia="zh-CN"/>
        </w:rPr>
        <w:t xml:space="preserve"> Building competencies of non-TB specialists in TB detection is important precondition for early case detection and timely referral. Georgian Association for Physiatrists and Pulmonologists. This training will build on experience of USAID TB </w:t>
      </w:r>
      <w:r w:rsidR="009C5D40">
        <w:rPr>
          <w:rFonts w:ascii="Times New Roman" w:eastAsia="SimSun" w:hAnsi="Times New Roman" w:cs="Times New Roman"/>
          <w:lang w:eastAsia="zh-CN"/>
        </w:rPr>
        <w:t>P</w:t>
      </w:r>
      <w:r w:rsidR="00EE324B" w:rsidRPr="00EE7E38">
        <w:rPr>
          <w:rFonts w:ascii="Times New Roman" w:eastAsia="SimSun" w:hAnsi="Times New Roman" w:cs="Times New Roman"/>
          <w:lang w:eastAsia="zh-CN"/>
        </w:rPr>
        <w:t xml:space="preserve">revention </w:t>
      </w:r>
      <w:r w:rsidR="009C5D40">
        <w:rPr>
          <w:rFonts w:ascii="Times New Roman" w:eastAsia="SimSun" w:hAnsi="Times New Roman" w:cs="Times New Roman"/>
          <w:lang w:eastAsia="zh-CN"/>
        </w:rPr>
        <w:t>P</w:t>
      </w:r>
      <w:r w:rsidR="00EE324B" w:rsidRPr="00EE7E38">
        <w:rPr>
          <w:rFonts w:ascii="Times New Roman" w:eastAsia="SimSun" w:hAnsi="Times New Roman" w:cs="Times New Roman"/>
          <w:lang w:eastAsia="zh-CN"/>
        </w:rPr>
        <w:t xml:space="preserve">roject, use already available training resources </w:t>
      </w:r>
      <w:r w:rsidR="00EE324B" w:rsidRPr="00EE7E38">
        <w:rPr>
          <w:rFonts w:ascii="Times New Roman" w:eastAsia="SimSun" w:hAnsi="Times New Roman" w:cs="Times New Roman"/>
          <w:i/>
          <w:lang w:eastAsia="zh-CN"/>
        </w:rPr>
        <w:t xml:space="preserve">and </w:t>
      </w:r>
      <w:r w:rsidR="00EE324B" w:rsidRPr="00EE7E38">
        <w:rPr>
          <w:rFonts w:ascii="Times New Roman" w:eastAsia="SimSun" w:hAnsi="Times New Roman" w:cs="Times New Roman"/>
          <w:lang w:eastAsia="zh-CN"/>
        </w:rPr>
        <w:t>target additional 400 physicians over the 2.5 year period.</w:t>
      </w:r>
    </w:p>
    <w:p w14:paraId="0C494138" w14:textId="7F1DFA9D" w:rsidR="00100A40" w:rsidRPr="00EE7E38" w:rsidRDefault="00100A40" w:rsidP="00100A40">
      <w:pPr>
        <w:numPr>
          <w:ilvl w:val="0"/>
          <w:numId w:val="6"/>
        </w:numPr>
        <w:spacing w:before="120" w:after="120" w:line="240" w:lineRule="auto"/>
        <w:jc w:val="both"/>
        <w:rPr>
          <w:rFonts w:ascii="Times New Roman" w:eastAsia="SimSun" w:hAnsi="Times New Roman" w:cs="Times New Roman"/>
          <w:lang w:eastAsia="zh-CN"/>
        </w:rPr>
      </w:pPr>
      <w:r w:rsidRPr="00B241D0">
        <w:rPr>
          <w:rFonts w:ascii="Times New Roman" w:eastAsia="SimSun" w:hAnsi="Times New Roman" w:cs="Times New Roman"/>
          <w:i/>
          <w:lang w:eastAsia="zh-CN"/>
        </w:rPr>
        <w:t xml:space="preserve">Professional </w:t>
      </w:r>
      <w:r w:rsidR="009C5D40">
        <w:rPr>
          <w:rFonts w:ascii="Times New Roman" w:eastAsia="SimSun" w:hAnsi="Times New Roman" w:cs="Times New Roman"/>
          <w:i/>
          <w:lang w:eastAsia="zh-CN"/>
        </w:rPr>
        <w:t>t</w:t>
      </w:r>
      <w:r w:rsidRPr="00B241D0">
        <w:rPr>
          <w:rFonts w:ascii="Times New Roman" w:eastAsia="SimSun" w:hAnsi="Times New Roman" w:cs="Times New Roman"/>
          <w:i/>
          <w:lang w:eastAsia="zh-CN"/>
        </w:rPr>
        <w:t xml:space="preserve">raining </w:t>
      </w:r>
      <w:r w:rsidR="009C5D40">
        <w:rPr>
          <w:rFonts w:ascii="Times New Roman" w:eastAsia="SimSun" w:hAnsi="Times New Roman" w:cs="Times New Roman"/>
          <w:i/>
          <w:lang w:eastAsia="zh-CN"/>
        </w:rPr>
        <w:t>p</w:t>
      </w:r>
      <w:r w:rsidRPr="00B241D0">
        <w:rPr>
          <w:rFonts w:ascii="Times New Roman" w:eastAsia="SimSun" w:hAnsi="Times New Roman" w:cs="Times New Roman"/>
          <w:i/>
          <w:lang w:eastAsia="zh-CN"/>
        </w:rPr>
        <w:t xml:space="preserve">rograms for </w:t>
      </w:r>
      <w:r w:rsidR="009C5D40">
        <w:rPr>
          <w:rFonts w:ascii="Times New Roman" w:eastAsia="SimSun" w:hAnsi="Times New Roman" w:cs="Times New Roman"/>
          <w:i/>
          <w:lang w:eastAsia="zh-CN"/>
        </w:rPr>
        <w:t xml:space="preserve">physicians in </w:t>
      </w:r>
      <w:r w:rsidRPr="00B241D0">
        <w:rPr>
          <w:rFonts w:ascii="Times New Roman" w:eastAsia="SimSun" w:hAnsi="Times New Roman" w:cs="Times New Roman"/>
          <w:i/>
          <w:lang w:eastAsia="zh-CN"/>
        </w:rPr>
        <w:t xml:space="preserve">borderline </w:t>
      </w:r>
      <w:r w:rsidR="0088623D" w:rsidRPr="00B241D0">
        <w:rPr>
          <w:rFonts w:ascii="Times New Roman" w:eastAsia="SimSun" w:hAnsi="Times New Roman" w:cs="Times New Roman"/>
          <w:i/>
          <w:lang w:eastAsia="zh-CN"/>
        </w:rPr>
        <w:t>specialties</w:t>
      </w:r>
      <w:r w:rsidRPr="00EE7E38">
        <w:rPr>
          <w:rFonts w:ascii="Times New Roman" w:eastAsia="SimSun" w:hAnsi="Times New Roman" w:cs="Times New Roman"/>
          <w:lang w:eastAsia="zh-CN"/>
        </w:rPr>
        <w:t xml:space="preserve">: </w:t>
      </w:r>
      <w:r w:rsidR="00794B17" w:rsidRPr="00EE7E38">
        <w:rPr>
          <w:rFonts w:ascii="Times New Roman" w:eastAsia="SimSun" w:hAnsi="Times New Roman" w:cs="Times New Roman"/>
          <w:lang w:eastAsia="zh-CN"/>
        </w:rPr>
        <w:t xml:space="preserve">In order </w:t>
      </w:r>
      <w:r w:rsidRPr="00EE7E38">
        <w:rPr>
          <w:rFonts w:ascii="Times New Roman" w:eastAsia="SimSun" w:hAnsi="Times New Roman" w:cs="Times New Roman"/>
          <w:lang w:eastAsia="zh-CN"/>
        </w:rPr>
        <w:t xml:space="preserve">to </w:t>
      </w:r>
      <w:r w:rsidR="00794B17" w:rsidRPr="00EE7E38">
        <w:rPr>
          <w:rFonts w:ascii="Times New Roman" w:eastAsia="SimSun" w:hAnsi="Times New Roman" w:cs="Times New Roman"/>
          <w:lang w:eastAsia="zh-CN"/>
        </w:rPr>
        <w:t>address</w:t>
      </w:r>
      <w:r w:rsidRPr="00EE7E38">
        <w:rPr>
          <w:rFonts w:ascii="Times New Roman" w:eastAsia="SimSun" w:hAnsi="Times New Roman" w:cs="Times New Roman"/>
          <w:lang w:eastAsia="zh-CN"/>
        </w:rPr>
        <w:t xml:space="preserve"> current and </w:t>
      </w:r>
      <w:r w:rsidR="00794B17" w:rsidRPr="00EE7E38">
        <w:rPr>
          <w:rFonts w:ascii="Times New Roman" w:eastAsia="SimSun" w:hAnsi="Times New Roman" w:cs="Times New Roman"/>
          <w:lang w:eastAsia="zh-CN"/>
        </w:rPr>
        <w:t xml:space="preserve">anticipated human resource shortage a three-month short term residency program placement will be offered to eligible physician in selected areas. </w:t>
      </w:r>
      <w:r w:rsidR="009C5D40" w:rsidRPr="00EE7E38">
        <w:rPr>
          <w:rFonts w:ascii="Times New Roman" w:eastAsia="SimSun" w:hAnsi="Times New Roman" w:cs="Times New Roman"/>
          <w:lang w:eastAsia="zh-CN"/>
        </w:rPr>
        <w:t>Forty</w:t>
      </w:r>
      <w:r w:rsidR="00794B17" w:rsidRPr="00EE7E38">
        <w:rPr>
          <w:rFonts w:ascii="Times New Roman" w:eastAsia="SimSun" w:hAnsi="Times New Roman" w:cs="Times New Roman"/>
          <w:lang w:eastAsia="zh-CN"/>
        </w:rPr>
        <w:t xml:space="preserve"> doctors will be retrained and certified in </w:t>
      </w:r>
      <w:proofErr w:type="spellStart"/>
      <w:r w:rsidR="00794B17" w:rsidRPr="00EE7E38">
        <w:rPr>
          <w:rFonts w:ascii="Times New Roman" w:eastAsia="SimSun" w:hAnsi="Times New Roman" w:cs="Times New Roman"/>
          <w:lang w:eastAsia="zh-CN"/>
        </w:rPr>
        <w:t>Phtisiatry</w:t>
      </w:r>
      <w:proofErr w:type="spellEnd"/>
      <w:r w:rsidR="00794B17" w:rsidRPr="00EE7E38">
        <w:rPr>
          <w:rFonts w:ascii="Times New Roman" w:eastAsia="SimSun" w:hAnsi="Times New Roman" w:cs="Times New Roman"/>
          <w:lang w:eastAsia="zh-CN"/>
        </w:rPr>
        <w:t>-Pulmonology by 2022</w:t>
      </w:r>
      <w:r w:rsidR="009C5D40">
        <w:rPr>
          <w:rFonts w:ascii="Times New Roman" w:eastAsia="SimSun" w:hAnsi="Times New Roman" w:cs="Times New Roman"/>
          <w:lang w:eastAsia="zh-CN"/>
        </w:rPr>
        <w:t>.</w:t>
      </w:r>
    </w:p>
    <w:p w14:paraId="7157B3B1" w14:textId="3C246228" w:rsidR="002A4055" w:rsidRPr="00EE7E38" w:rsidRDefault="00EE324B">
      <w:pPr>
        <w:numPr>
          <w:ilvl w:val="0"/>
          <w:numId w:val="6"/>
        </w:numPr>
        <w:spacing w:before="120" w:after="120" w:line="240" w:lineRule="auto"/>
        <w:jc w:val="both"/>
        <w:rPr>
          <w:rFonts w:ascii="Times New Roman" w:eastAsia="SimSun" w:hAnsi="Times New Roman" w:cs="Times New Roman"/>
          <w:lang w:eastAsia="zh-CN"/>
        </w:rPr>
      </w:pPr>
      <w:r w:rsidRPr="00EE7E38">
        <w:rPr>
          <w:rFonts w:ascii="Times New Roman" w:eastAsia="SimSun" w:hAnsi="Times New Roman" w:cs="Times New Roman"/>
          <w:i/>
          <w:lang w:eastAsia="zh-CN"/>
        </w:rPr>
        <w:t>Training programs for epidemiologists in various aspects of TB detection and management</w:t>
      </w:r>
      <w:r w:rsidRPr="00EE7E38">
        <w:rPr>
          <w:rFonts w:ascii="Times New Roman" w:eastAsia="SimSun" w:hAnsi="Times New Roman" w:cs="Times New Roman"/>
          <w:lang w:eastAsia="zh-CN"/>
        </w:rPr>
        <w:t xml:space="preserve">. Epidemiologists at public health centers play a key role in contact tracing. It is planned to expand their role to achieve greater involvement in adherence support. </w:t>
      </w:r>
      <w:r w:rsidR="0088623D" w:rsidRPr="00EE7E38">
        <w:rPr>
          <w:rFonts w:ascii="Times New Roman" w:eastAsia="SimSun" w:hAnsi="Times New Roman" w:cs="Times New Roman"/>
          <w:lang w:eastAsia="zh-CN"/>
        </w:rPr>
        <w:t>The strategy intends</w:t>
      </w:r>
      <w:r w:rsidRPr="00EE7E38">
        <w:rPr>
          <w:rFonts w:ascii="Times New Roman" w:eastAsia="SimSun" w:hAnsi="Times New Roman" w:cs="Times New Roman"/>
          <w:lang w:eastAsia="zh-CN"/>
        </w:rPr>
        <w:t xml:space="preserve"> to continuously support capacity building of epidemiologist and organize refresher training course</w:t>
      </w:r>
      <w:r w:rsidR="0088623D" w:rsidRPr="00EE7E38">
        <w:rPr>
          <w:rFonts w:ascii="Times New Roman" w:eastAsia="SimSun" w:hAnsi="Times New Roman" w:cs="Times New Roman"/>
          <w:lang w:eastAsia="zh-CN"/>
        </w:rPr>
        <w:t>s once every two years</w:t>
      </w:r>
      <w:r w:rsidRPr="00EE7E38">
        <w:rPr>
          <w:rFonts w:ascii="Times New Roman" w:eastAsia="SimSun" w:hAnsi="Times New Roman" w:cs="Times New Roman"/>
          <w:lang w:eastAsia="zh-CN"/>
        </w:rPr>
        <w:t xml:space="preserve"> on </w:t>
      </w:r>
      <w:r w:rsidR="009C5D40">
        <w:rPr>
          <w:rFonts w:ascii="Times New Roman" w:eastAsia="SimSun" w:hAnsi="Times New Roman" w:cs="Times New Roman"/>
          <w:lang w:eastAsia="zh-CN"/>
        </w:rPr>
        <w:t xml:space="preserve">the </w:t>
      </w:r>
      <w:r w:rsidRPr="00EE7E38">
        <w:rPr>
          <w:rFonts w:ascii="Times New Roman" w:eastAsia="SimSun" w:hAnsi="Times New Roman" w:cs="Times New Roman"/>
          <w:lang w:eastAsia="zh-CN"/>
        </w:rPr>
        <w:t xml:space="preserve">most important aspects of TB case management in line with their responsibilities. </w:t>
      </w:r>
    </w:p>
    <w:p w14:paraId="4C958FE6" w14:textId="77777777" w:rsidR="00EE324B" w:rsidRPr="00EE7E38" w:rsidRDefault="00EE324B" w:rsidP="00EE324B">
      <w:pPr>
        <w:widowControl w:val="0"/>
        <w:spacing w:before="120" w:after="120" w:line="240" w:lineRule="auto"/>
        <w:ind w:left="720"/>
        <w:jc w:val="both"/>
        <w:rPr>
          <w:rFonts w:ascii="Times New Roman" w:hAnsi="Times New Roman" w:cs="Times New Roman"/>
          <w:i/>
          <w:iCs/>
        </w:rPr>
      </w:pPr>
    </w:p>
    <w:p w14:paraId="20BE5B79" w14:textId="77777777" w:rsidR="00750436" w:rsidRPr="00EE7E38" w:rsidRDefault="00750436" w:rsidP="00750436">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3.2</w:t>
      </w:r>
      <w:r w:rsidRPr="00EE7E38">
        <w:rPr>
          <w:rFonts w:ascii="Times New Roman" w:hAnsi="Times New Roman" w:cs="Times New Roman"/>
          <w:b/>
        </w:rPr>
        <w:tab/>
        <w:t>Supervision, monitoring and evaluation of the National TB Program</w:t>
      </w:r>
    </w:p>
    <w:p w14:paraId="41C80088" w14:textId="5AD65B97" w:rsidR="00750436" w:rsidRPr="00EE7E38" w:rsidRDefault="00750436" w:rsidP="00750436">
      <w:pPr>
        <w:widowControl w:val="0"/>
        <w:spacing w:before="120" w:after="120" w:line="240" w:lineRule="auto"/>
        <w:jc w:val="both"/>
        <w:rPr>
          <w:rFonts w:ascii="Times New Roman" w:hAnsi="Times New Roman" w:cs="Times New Roman"/>
        </w:rPr>
      </w:pPr>
      <w:r w:rsidRPr="00EE7E38">
        <w:rPr>
          <w:rFonts w:ascii="Times New Roman" w:eastAsia="Gungsuh" w:hAnsi="Times New Roman" w:cs="Times New Roman"/>
        </w:rPr>
        <w:t xml:space="preserve">Program supervision, monitoring and evaluation </w:t>
      </w:r>
      <w:proofErr w:type="gramStart"/>
      <w:r w:rsidRPr="00EE7E38">
        <w:rPr>
          <w:rFonts w:ascii="Times New Roman" w:eastAsia="Gungsuh" w:hAnsi="Times New Roman" w:cs="Times New Roman"/>
        </w:rPr>
        <w:t>is</w:t>
      </w:r>
      <w:proofErr w:type="gramEnd"/>
      <w:r w:rsidRPr="00EE7E38">
        <w:rPr>
          <w:rFonts w:ascii="Times New Roman" w:eastAsia="Gungsuh" w:hAnsi="Times New Roman" w:cs="Times New Roman"/>
        </w:rPr>
        <w:t xml:space="preserve"> an essential public health function, and is an integral part of the national program’s governance and management setup. While supportive NTP s</w:t>
      </w:r>
      <w:r w:rsidRPr="00EE7E38">
        <w:rPr>
          <w:rFonts w:ascii="Times New Roman" w:hAnsi="Times New Roman" w:cs="Times New Roman"/>
        </w:rPr>
        <w:t xml:space="preserve">upervision will be maintained as a key instrument for oversight and implementation support, its scope and tasks will be further expanded in the process of taking over from the Global Fund, taking </w:t>
      </w:r>
      <w:r w:rsidR="0036077F">
        <w:rPr>
          <w:rFonts w:ascii="Times New Roman" w:hAnsi="Times New Roman" w:cs="Times New Roman"/>
        </w:rPr>
        <w:t>into account</w:t>
      </w:r>
      <w:r w:rsidRPr="00EE7E38">
        <w:rPr>
          <w:rFonts w:ascii="Times New Roman" w:hAnsi="Times New Roman" w:cs="Times New Roman"/>
        </w:rPr>
        <w:t xml:space="preserve"> the national TB control priorities.</w:t>
      </w:r>
    </w:p>
    <w:p w14:paraId="30C93780" w14:textId="36E7BDB4" w:rsidR="00750436" w:rsidRPr="00EE7E38" w:rsidRDefault="00750436" w:rsidP="0075043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Supervision will cover all aspects related to implementation of TB control interventions outlined by this Plan at the regional, district and institutional level</w:t>
      </w:r>
      <w:r w:rsidR="0036077F">
        <w:rPr>
          <w:rFonts w:ascii="Times New Roman" w:hAnsi="Times New Roman" w:cs="Times New Roman"/>
        </w:rPr>
        <w:t>s</w:t>
      </w:r>
      <w:r w:rsidRPr="00EE7E38">
        <w:rPr>
          <w:rFonts w:ascii="Times New Roman" w:hAnsi="Times New Roman" w:cs="Times New Roman"/>
        </w:rPr>
        <w:t xml:space="preserve">: case detection, diagnostic activities and laboratory support (with separate supervision of rollout of molecular diagnostics at peripheral service level, see Intervention 1.1); screening for active TB among contacts and other risk groups; treatment/case management; patient adherence support and defaulter tracking activities; drug management including pharmacovigilance and management of ADRs; management of comorbidities; LTBI testing and preventive treatment; TB/HIV related activities; and recording and reporting. </w:t>
      </w:r>
    </w:p>
    <w:p w14:paraId="3262F807" w14:textId="41B484C5" w:rsidR="00750436" w:rsidRPr="00EE7E38" w:rsidRDefault="00750436" w:rsidP="0075043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It is planned to continue the current setup for NTP supervision: central supervision visits by NCTLD staff to the regions </w:t>
      </w:r>
      <w:r w:rsidR="0036077F">
        <w:rPr>
          <w:rFonts w:ascii="Times New Roman" w:hAnsi="Times New Roman" w:cs="Times New Roman"/>
        </w:rPr>
        <w:t>two</w:t>
      </w:r>
      <w:r w:rsidRPr="00EE7E38">
        <w:rPr>
          <w:rFonts w:ascii="Times New Roman" w:hAnsi="Times New Roman" w:cs="Times New Roman"/>
        </w:rPr>
        <w:t xml:space="preserve"> times a year, and regional supervision visits to districts within the regions on a quarterly basis. For effectiveness and relevancy of supervision, the checklists and format of reports will be updated to accommodate for NSP requirements and new interventions, ensure delivery of evidence for service </w:t>
      </w:r>
      <w:r w:rsidRPr="00EE7E38">
        <w:rPr>
          <w:rFonts w:ascii="Times New Roman" w:hAnsi="Times New Roman" w:cs="Times New Roman"/>
        </w:rPr>
        <w:lastRenderedPageBreak/>
        <w:t>improvement decisions at the spot, and provide for effective data analyses and evidence generation for decision making at the national level. Importantly, supervis</w:t>
      </w:r>
      <w:r w:rsidR="0036077F">
        <w:rPr>
          <w:rFonts w:ascii="Times New Roman" w:hAnsi="Times New Roman" w:cs="Times New Roman"/>
        </w:rPr>
        <w:t>ors</w:t>
      </w:r>
      <w:r w:rsidRPr="00EE7E38">
        <w:rPr>
          <w:rFonts w:ascii="Times New Roman" w:hAnsi="Times New Roman" w:cs="Times New Roman"/>
        </w:rPr>
        <w:t xml:space="preserve"> will pay increasing attention to service performance through addressing such aspects as delays in diagnosis, referral issues, delays between diagnosis and treatment initiation, etc.</w:t>
      </w:r>
    </w:p>
    <w:p w14:paraId="19D1E5CF" w14:textId="45565EF2" w:rsidR="00794B17" w:rsidRPr="00EE7E38" w:rsidRDefault="00750436" w:rsidP="0075043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national TB information system will be further strengthened. </w:t>
      </w:r>
      <w:r w:rsidR="00BD3843" w:rsidRPr="00EE7E38">
        <w:rPr>
          <w:rFonts w:ascii="Times New Roman" w:hAnsi="Times New Roman" w:cs="Times New Roman"/>
        </w:rPr>
        <w:t xml:space="preserve"> All components of the patient-oriented electronic system</w:t>
      </w:r>
      <w:r w:rsidR="00794B17" w:rsidRPr="00EE7E38">
        <w:rPr>
          <w:rFonts w:ascii="Times New Roman" w:hAnsi="Times New Roman" w:cs="Times New Roman"/>
        </w:rPr>
        <w:t xml:space="preserve"> (developed with the USAID support in 2016)</w:t>
      </w:r>
      <w:r w:rsidR="00BD3843" w:rsidRPr="00EE7E38">
        <w:rPr>
          <w:rFonts w:ascii="Times New Roman" w:hAnsi="Times New Roman" w:cs="Times New Roman"/>
        </w:rPr>
        <w:t xml:space="preserve"> will be fully activated, which will create real-time data collection and analysis. The </w:t>
      </w:r>
      <w:proofErr w:type="spellStart"/>
      <w:r w:rsidR="0036077F">
        <w:rPr>
          <w:rFonts w:ascii="Times New Roman" w:hAnsi="Times New Roman" w:cs="Times New Roman"/>
        </w:rPr>
        <w:t>MoHLSA</w:t>
      </w:r>
      <w:proofErr w:type="spellEnd"/>
      <w:r w:rsidR="00BD3843" w:rsidRPr="00EE7E38">
        <w:rPr>
          <w:rFonts w:ascii="Times New Roman" w:hAnsi="Times New Roman" w:cs="Times New Roman"/>
        </w:rPr>
        <w:t xml:space="preserve"> and the National </w:t>
      </w:r>
      <w:r w:rsidR="00794B17" w:rsidRPr="00EE7E38">
        <w:rPr>
          <w:rFonts w:ascii="Times New Roman" w:hAnsi="Times New Roman" w:cs="Times New Roman"/>
        </w:rPr>
        <w:t>TB Control Council</w:t>
      </w:r>
      <w:r w:rsidR="00BD3843" w:rsidRPr="00EE7E38">
        <w:rPr>
          <w:rFonts w:ascii="Times New Roman" w:hAnsi="Times New Roman" w:cs="Times New Roman"/>
        </w:rPr>
        <w:t xml:space="preserve"> will mobilize resources for technical and administrative support for </w:t>
      </w:r>
      <w:r w:rsidR="0036077F">
        <w:rPr>
          <w:rFonts w:ascii="Times New Roman" w:hAnsi="Times New Roman" w:cs="Times New Roman"/>
        </w:rPr>
        <w:t xml:space="preserve">an </w:t>
      </w:r>
      <w:r w:rsidR="00BD3843" w:rsidRPr="00EE7E38">
        <w:rPr>
          <w:rFonts w:ascii="Times New Roman" w:hAnsi="Times New Roman" w:cs="Times New Roman"/>
        </w:rPr>
        <w:t xml:space="preserve">integrated electronic module. </w:t>
      </w:r>
    </w:p>
    <w:p w14:paraId="2469F1B2" w14:textId="77777777" w:rsidR="00750436" w:rsidRPr="00EE7E38" w:rsidRDefault="00750436" w:rsidP="00750436">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0F69F5AF" w14:textId="77777777" w:rsidR="002A4055" w:rsidRPr="00EE7E38" w:rsidRDefault="00750436">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Support to NTP supervision. </w:t>
      </w:r>
      <w:r w:rsidRPr="00EE7E38">
        <w:rPr>
          <w:rFonts w:ascii="Times New Roman" w:hAnsi="Times New Roman" w:cs="Times New Roman"/>
        </w:rPr>
        <w:t xml:space="preserve">Field monitoring and supervision of program implementation will be further </w:t>
      </w:r>
      <w:r w:rsidR="00681DDA" w:rsidRPr="00EE7E38">
        <w:rPr>
          <w:rFonts w:ascii="Times New Roman" w:hAnsi="Times New Roman" w:cs="Times New Roman"/>
        </w:rPr>
        <w:t>strengthened</w:t>
      </w:r>
      <w:r w:rsidRPr="00EE7E38">
        <w:rPr>
          <w:rFonts w:ascii="Times New Roman" w:hAnsi="Times New Roman" w:cs="Times New Roman"/>
        </w:rPr>
        <w:t xml:space="preserve">. Central supervision visits will be conducted to the country regions twice a year, and regional supervision visits to districts within regions on a quarterly basis. </w:t>
      </w:r>
    </w:p>
    <w:p w14:paraId="6F030101" w14:textId="77777777" w:rsidR="002A4055" w:rsidRPr="00EE7E38" w:rsidRDefault="00750436">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NTP program coordination meetings </w:t>
      </w:r>
      <w:r w:rsidRPr="00EE7E38">
        <w:rPr>
          <w:rFonts w:ascii="Times New Roman" w:hAnsi="Times New Roman" w:cs="Times New Roman"/>
        </w:rPr>
        <w:t xml:space="preserve">will be held at the central level with participation of NTP staff from the regions, to discuss the supervision findings, identify key problems at sites and plan for corrective measures and the next steps. </w:t>
      </w:r>
    </w:p>
    <w:p w14:paraId="614A79AC" w14:textId="77777777" w:rsidR="002A4055" w:rsidRPr="00EE7E38" w:rsidRDefault="00750436">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Upgrade and maintenance of the national electronic TB database. </w:t>
      </w:r>
      <w:r w:rsidRPr="00EE7E38">
        <w:rPr>
          <w:rFonts w:ascii="Times New Roman" w:hAnsi="Times New Roman" w:cs="Times New Roman"/>
        </w:rPr>
        <w:t xml:space="preserve">Technical services </w:t>
      </w:r>
      <w:r w:rsidR="004923D6" w:rsidRPr="00EE7E38">
        <w:rPr>
          <w:rFonts w:ascii="Times New Roman" w:hAnsi="Times New Roman" w:cs="Times New Roman"/>
        </w:rPr>
        <w:t xml:space="preserve">by local consultants </w:t>
      </w:r>
      <w:r w:rsidRPr="00EE7E38">
        <w:rPr>
          <w:rFonts w:ascii="Times New Roman" w:hAnsi="Times New Roman" w:cs="Times New Roman"/>
        </w:rPr>
        <w:t>will be provided in necessary software upgrades and maintenance of the national electronic TB database.</w:t>
      </w:r>
    </w:p>
    <w:p w14:paraId="012AB47F" w14:textId="77777777" w:rsidR="002A4055" w:rsidRPr="00EE7E38" w:rsidRDefault="00750436">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Comprehensive TB program reviews </w:t>
      </w:r>
      <w:r w:rsidR="004923D6" w:rsidRPr="00EE7E38">
        <w:rPr>
          <w:rFonts w:ascii="Times New Roman" w:hAnsi="Times New Roman" w:cs="Times New Roman"/>
        </w:rPr>
        <w:t>are</w:t>
      </w:r>
      <w:r w:rsidRPr="00EE7E38">
        <w:rPr>
          <w:rFonts w:ascii="Times New Roman" w:hAnsi="Times New Roman" w:cs="Times New Roman"/>
        </w:rPr>
        <w:t xml:space="preserve"> conducted by the WHO Regional Office for Europe, in cooperation with other partners, and cover all areas of TB control in the country. </w:t>
      </w:r>
      <w:r w:rsidR="004923D6" w:rsidRPr="00EE7E38">
        <w:rPr>
          <w:rFonts w:ascii="Times New Roman" w:hAnsi="Times New Roman" w:cs="Times New Roman"/>
        </w:rPr>
        <w:t>I</w:t>
      </w:r>
      <w:r w:rsidRPr="00EE7E38">
        <w:rPr>
          <w:rFonts w:ascii="Times New Roman" w:hAnsi="Times New Roman" w:cs="Times New Roman"/>
        </w:rPr>
        <w:t xml:space="preserve">t is planned to have </w:t>
      </w:r>
      <w:r w:rsidR="004923D6" w:rsidRPr="00EE7E38">
        <w:rPr>
          <w:rFonts w:ascii="Times New Roman" w:hAnsi="Times New Roman" w:cs="Times New Roman"/>
        </w:rPr>
        <w:t xml:space="preserve">the next NTP review mission to Georgia in </w:t>
      </w:r>
      <w:r w:rsidR="0098404F" w:rsidRPr="00EE7E38">
        <w:rPr>
          <w:rFonts w:ascii="Times New Roman" w:hAnsi="Times New Roman" w:cs="Times New Roman"/>
        </w:rPr>
        <w:t>late 20</w:t>
      </w:r>
      <w:r w:rsidR="004923D6" w:rsidRPr="00EE7E38">
        <w:rPr>
          <w:rFonts w:ascii="Times New Roman" w:hAnsi="Times New Roman" w:cs="Times New Roman"/>
        </w:rPr>
        <w:t>1</w:t>
      </w:r>
      <w:r w:rsidR="00681DDA" w:rsidRPr="00EE7E38">
        <w:rPr>
          <w:rFonts w:ascii="Times New Roman" w:hAnsi="Times New Roman" w:cs="Times New Roman"/>
        </w:rPr>
        <w:t>9</w:t>
      </w:r>
      <w:r w:rsidRPr="00EE7E38">
        <w:rPr>
          <w:rFonts w:ascii="Times New Roman" w:hAnsi="Times New Roman" w:cs="Times New Roman"/>
        </w:rPr>
        <w:t>.</w:t>
      </w:r>
    </w:p>
    <w:p w14:paraId="5E5B2D06" w14:textId="77777777" w:rsidR="002A4055" w:rsidRPr="00EE7E38" w:rsidRDefault="00EE324B">
      <w:pPr>
        <w:numPr>
          <w:ilvl w:val="0"/>
          <w:numId w:val="6"/>
        </w:numPr>
        <w:spacing w:before="120" w:after="120" w:line="240" w:lineRule="auto"/>
        <w:jc w:val="both"/>
        <w:rPr>
          <w:rFonts w:ascii="Times New Roman" w:eastAsia="SimSun" w:hAnsi="Times New Roman" w:cs="Times New Roman"/>
          <w:b/>
          <w:i/>
          <w:lang w:eastAsia="zh-CN"/>
        </w:rPr>
      </w:pPr>
      <w:r w:rsidRPr="00EE7E38">
        <w:rPr>
          <w:rFonts w:ascii="Times New Roman" w:eastAsia="SimSun" w:hAnsi="Times New Roman" w:cs="Times New Roman"/>
          <w:i/>
          <w:lang w:eastAsia="zh-CN"/>
        </w:rPr>
        <w:t>Cars for public health centers and regional NTP staff.</w:t>
      </w:r>
      <w:r w:rsidRPr="00EE7E38">
        <w:rPr>
          <w:rFonts w:ascii="Times New Roman" w:eastAsia="SimSun" w:hAnsi="Times New Roman" w:cs="Times New Roman"/>
          <w:lang w:eastAsia="zh-CN"/>
        </w:rPr>
        <w:t xml:space="preserve"> Transportation means are essential for the National Tuberculosis Program to ensure safe and timely distribution of drugs and medical supplies and sputum delivery to the laboratory facilities. </w:t>
      </w:r>
      <w:r w:rsidR="00681DDA" w:rsidRPr="00EE7E38">
        <w:rPr>
          <w:rFonts w:ascii="Times New Roman" w:eastAsia="SimSun" w:hAnsi="Times New Roman" w:cs="Times New Roman"/>
          <w:lang w:eastAsia="zh-CN"/>
        </w:rPr>
        <w:t>S</w:t>
      </w:r>
      <w:r w:rsidRPr="00EE7E38">
        <w:rPr>
          <w:rFonts w:ascii="Times New Roman" w:eastAsia="SimSun" w:hAnsi="Times New Roman" w:cs="Times New Roman"/>
          <w:lang w:eastAsia="zh-CN"/>
        </w:rPr>
        <w:t xml:space="preserve">ubstitution of existing cars with the new </w:t>
      </w:r>
      <w:r w:rsidR="00681DDA" w:rsidRPr="00EE7E38">
        <w:rPr>
          <w:rFonts w:ascii="Times New Roman" w:eastAsia="SimSun" w:hAnsi="Times New Roman" w:cs="Times New Roman"/>
          <w:lang w:eastAsia="zh-CN"/>
        </w:rPr>
        <w:t>in Tbilisi and regions was implemented in 2017</w:t>
      </w:r>
      <w:r w:rsidR="00794B17" w:rsidRPr="00EE7E38">
        <w:rPr>
          <w:rFonts w:ascii="Times New Roman" w:eastAsia="SimSun" w:hAnsi="Times New Roman" w:cs="Times New Roman"/>
          <w:lang w:eastAsia="zh-CN"/>
        </w:rPr>
        <w:t>-2018</w:t>
      </w:r>
      <w:r w:rsidR="00681DDA" w:rsidRPr="00EE7E38">
        <w:rPr>
          <w:rFonts w:ascii="Times New Roman" w:eastAsia="SimSun" w:hAnsi="Times New Roman" w:cs="Times New Roman"/>
          <w:lang w:eastAsia="zh-CN"/>
        </w:rPr>
        <w:t xml:space="preserve"> with Global Fund support.</w:t>
      </w:r>
      <w:r w:rsidRPr="00EE7E38">
        <w:rPr>
          <w:rFonts w:ascii="Times New Roman" w:eastAsia="SimSun" w:hAnsi="Times New Roman" w:cs="Times New Roman"/>
          <w:lang w:eastAsia="zh-CN"/>
        </w:rPr>
        <w:t xml:space="preserve"> </w:t>
      </w:r>
      <w:r w:rsidR="00681DDA" w:rsidRPr="00EE7E38">
        <w:rPr>
          <w:rFonts w:ascii="Times New Roman" w:eastAsia="SimSun" w:hAnsi="Times New Roman" w:cs="Times New Roman"/>
          <w:lang w:eastAsia="zh-CN"/>
        </w:rPr>
        <w:t xml:space="preserve">Purchase of </w:t>
      </w:r>
      <w:r w:rsidR="00794B17" w:rsidRPr="00EE7E38">
        <w:rPr>
          <w:rFonts w:ascii="Times New Roman" w:eastAsia="SimSun" w:hAnsi="Times New Roman" w:cs="Times New Roman"/>
          <w:lang w:eastAsia="zh-CN"/>
        </w:rPr>
        <w:t xml:space="preserve">additional cars will be considered based on needs. </w:t>
      </w:r>
    </w:p>
    <w:p w14:paraId="6ADB248E" w14:textId="77777777" w:rsidR="00CB665B" w:rsidRPr="00EE7E38" w:rsidRDefault="00CB665B" w:rsidP="00CB665B">
      <w:pPr>
        <w:spacing w:before="120" w:after="120" w:line="240" w:lineRule="auto"/>
        <w:ind w:left="720"/>
        <w:jc w:val="both"/>
        <w:rPr>
          <w:rFonts w:ascii="Times New Roman" w:eastAsia="SimSun" w:hAnsi="Times New Roman" w:cs="Times New Roman"/>
          <w:b/>
          <w:i/>
          <w:lang w:eastAsia="zh-CN"/>
        </w:rPr>
      </w:pPr>
    </w:p>
    <w:p w14:paraId="74165E09" w14:textId="77777777" w:rsidR="00EC66F1" w:rsidRPr="00EE7E38" w:rsidRDefault="00EC66F1"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3.</w:t>
      </w:r>
      <w:r w:rsidR="00750436" w:rsidRPr="00EE7E38">
        <w:rPr>
          <w:rFonts w:ascii="Times New Roman" w:hAnsi="Times New Roman" w:cs="Times New Roman"/>
          <w:b/>
        </w:rPr>
        <w:t>3</w:t>
      </w:r>
      <w:r w:rsidRPr="00EE7E38">
        <w:rPr>
          <w:rFonts w:ascii="Times New Roman" w:hAnsi="Times New Roman" w:cs="Times New Roman"/>
          <w:b/>
        </w:rPr>
        <w:tab/>
      </w:r>
      <w:r w:rsidR="004923D6" w:rsidRPr="00EE7E38">
        <w:rPr>
          <w:rFonts w:ascii="Times New Roman" w:hAnsi="Times New Roman" w:cs="Times New Roman"/>
          <w:b/>
        </w:rPr>
        <w:t>Civil society engagement, a</w:t>
      </w:r>
      <w:r w:rsidRPr="00EE7E38">
        <w:rPr>
          <w:rFonts w:ascii="Times New Roman" w:hAnsi="Times New Roman" w:cs="Times New Roman"/>
          <w:b/>
        </w:rPr>
        <w:t>dvocacy, communication</w:t>
      </w:r>
      <w:r w:rsidR="004923D6" w:rsidRPr="00EE7E38">
        <w:rPr>
          <w:rFonts w:ascii="Times New Roman" w:hAnsi="Times New Roman" w:cs="Times New Roman"/>
          <w:b/>
        </w:rPr>
        <w:t xml:space="preserve"> and</w:t>
      </w:r>
      <w:r w:rsidRPr="00EE7E38">
        <w:rPr>
          <w:rFonts w:ascii="Times New Roman" w:hAnsi="Times New Roman" w:cs="Times New Roman"/>
          <w:b/>
        </w:rPr>
        <w:t xml:space="preserve"> social mobilization (ACSM) </w:t>
      </w:r>
      <w:r w:rsidR="004923D6" w:rsidRPr="00EE7E38">
        <w:rPr>
          <w:rFonts w:ascii="Times New Roman" w:hAnsi="Times New Roman" w:cs="Times New Roman"/>
          <w:b/>
        </w:rPr>
        <w:t>for TB control</w:t>
      </w:r>
    </w:p>
    <w:p w14:paraId="19226241" w14:textId="1B2384B2" w:rsidR="00EC66F1" w:rsidRPr="00EE7E38" w:rsidRDefault="00EC66F1" w:rsidP="00CB665B">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improvements in TB service delivery require the reinforcement of patient-centered care, which </w:t>
      </w:r>
      <w:r w:rsidR="00807A81">
        <w:rPr>
          <w:rFonts w:ascii="Times New Roman" w:hAnsi="Times New Roman" w:cs="Times New Roman"/>
        </w:rPr>
        <w:t>is particularly relevant</w:t>
      </w:r>
      <w:r w:rsidRPr="00EE7E38">
        <w:rPr>
          <w:rFonts w:ascii="Times New Roman" w:hAnsi="Times New Roman" w:cs="Times New Roman"/>
        </w:rPr>
        <w:t xml:space="preserve"> for the management of drug-resistant TB and</w:t>
      </w:r>
      <w:r w:rsidR="00807A81">
        <w:rPr>
          <w:rFonts w:ascii="Times New Roman" w:hAnsi="Times New Roman" w:cs="Times New Roman"/>
        </w:rPr>
        <w:t xml:space="preserve"> </w:t>
      </w:r>
      <w:r w:rsidRPr="00EE7E38">
        <w:rPr>
          <w:rFonts w:ascii="Times New Roman" w:hAnsi="Times New Roman" w:cs="Times New Roman"/>
        </w:rPr>
        <w:t>for ensuring access to essential interventions for the disadvantaged and at-risk population segments. The Government of Georgia recognizes the need for strengthening the partnerships with the civil society establishments and the involvement of non-state actors as a key prerequisite for the success of the nationwide TB response.</w:t>
      </w:r>
    </w:p>
    <w:p w14:paraId="57200924" w14:textId="19BBCBE1" w:rsidR="006A2697" w:rsidRPr="00EE7E38" w:rsidRDefault="00EC66F1" w:rsidP="00CB665B">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Plan stipulates increased collaboration between the public health services and non-state actors in different aspects of TB control including</w:t>
      </w:r>
      <w:r w:rsidR="0041159C">
        <w:rPr>
          <w:rFonts w:ascii="Times New Roman" w:hAnsi="Times New Roman" w:cs="Times New Roman"/>
        </w:rPr>
        <w:t xml:space="preserve"> ACSM</w:t>
      </w:r>
      <w:r w:rsidRPr="00EE7E38">
        <w:rPr>
          <w:rFonts w:ascii="Times New Roman" w:hAnsi="Times New Roman" w:cs="Times New Roman"/>
        </w:rPr>
        <w:t xml:space="preserve"> for enhanced population knowledge and awareness of TB and reducing TB-related stigma, patient support and follow up for improving adherence to TB treatment, and addressing the needs of vulnerable and high-risk population groups. In this context, NGOs’ participation in TB control in Georgia needs further development. This Intervention aims at implementing patient-centered approaches through fostering the local NGOs’ involvement in TB care. The key component is support to NGO </w:t>
      </w:r>
      <w:r w:rsidR="00805C54" w:rsidRPr="00EE7E38">
        <w:rPr>
          <w:rFonts w:ascii="Times New Roman" w:hAnsi="Times New Roman" w:cs="Times New Roman"/>
        </w:rPr>
        <w:t>projects</w:t>
      </w:r>
      <w:r w:rsidRPr="00EE7E38">
        <w:rPr>
          <w:rFonts w:ascii="Times New Roman" w:hAnsi="Times New Roman" w:cs="Times New Roman"/>
        </w:rPr>
        <w:t>, which will assist in implementing innovative models for ensuring adherence to TB treatment, tailored to the specific local conditions and to the needs of individual patients. The NGO projects are expected to employ a number of common interventions, such as multidisciplinary teams for comprehensive approach to the patient and improved coordination with relevant public and private services; social accompaniment for beneficiaries at high risk of defaulting; and promotion of patient rights and equal access to essential services.</w:t>
      </w:r>
    </w:p>
    <w:p w14:paraId="030B8665" w14:textId="36F0229C" w:rsidR="006A2697" w:rsidRPr="00EE7E38" w:rsidRDefault="006A2697" w:rsidP="00CB665B">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During the strategy cycle, NTP will further support implementation of already piloted successful models (e.g. community based adherence support program for DR TB patients by peers and multidisciplinary team, engagement of Georgia Orthodox Church in TB detection and adherence support, engagement of schools in TB education, media advocacy</w:t>
      </w:r>
      <w:r w:rsidR="00D43D9A">
        <w:rPr>
          <w:rFonts w:ascii="Times New Roman" w:hAnsi="Times New Roman" w:cs="Times New Roman"/>
        </w:rPr>
        <w:t>,</w:t>
      </w:r>
      <w:r w:rsidRPr="00EE7E38">
        <w:rPr>
          <w:rFonts w:ascii="Times New Roman" w:hAnsi="Times New Roman" w:cs="Times New Roman"/>
        </w:rPr>
        <w:t xml:space="preserve"> </w:t>
      </w:r>
      <w:proofErr w:type="spellStart"/>
      <w:r w:rsidRPr="00EE7E38">
        <w:rPr>
          <w:rFonts w:ascii="Times New Roman" w:hAnsi="Times New Roman" w:cs="Times New Roman"/>
        </w:rPr>
        <w:t>etc</w:t>
      </w:r>
      <w:proofErr w:type="spellEnd"/>
      <w:r w:rsidRPr="00EE7E38">
        <w:rPr>
          <w:rFonts w:ascii="Times New Roman" w:hAnsi="Times New Roman" w:cs="Times New Roman"/>
        </w:rPr>
        <w:t xml:space="preserve">). </w:t>
      </w:r>
    </w:p>
    <w:p w14:paraId="6C2F7BC6"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lastRenderedPageBreak/>
        <w:t>Special attention will be paid to facilitating access to TB prevention, diagnosis and care for hard-to-reach groups at high risk, such as prisoners and ex-prisoners, PLHIV, people who inject drugs (PWID) and other risk groups. In these groups but also overall, respect and promotion of TB patients’ rights and medical ethics in TB care should be given priority, in line with the provisions of the international Patient Charter in Tuberculosis Care (PCTC)</w:t>
      </w:r>
      <w:r w:rsidRPr="00EE7E38">
        <w:rPr>
          <w:rStyle w:val="FootnoteReference"/>
          <w:rFonts w:ascii="Times New Roman" w:hAnsi="Times New Roman" w:cs="Times New Roman"/>
        </w:rPr>
        <w:footnoteReference w:id="49"/>
      </w:r>
      <w:r w:rsidRPr="00EE7E38">
        <w:rPr>
          <w:rFonts w:ascii="Times New Roman" w:hAnsi="Times New Roman" w:cs="Times New Roman"/>
        </w:rPr>
        <w:t xml:space="preserve">. In this regard, the NTP will encourage the involvement of NGOs that have experience working with the above population segments, including that in delivering HIV prevention and harm reduction services. </w:t>
      </w:r>
    </w:p>
    <w:p w14:paraId="74AC45C7" w14:textId="31302319" w:rsidR="00596A40" w:rsidRPr="00EE7E38" w:rsidRDefault="006A2697" w:rsidP="00596A40">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Establishment of the Georgia TB Coalition in 2017 should be considered as an important step towards strengthening </w:t>
      </w:r>
      <w:r w:rsidR="00033E65">
        <w:rPr>
          <w:rFonts w:ascii="Times New Roman" w:hAnsi="Times New Roman" w:cs="Times New Roman"/>
        </w:rPr>
        <w:t xml:space="preserve">the platform of civil society organizations </w:t>
      </w:r>
      <w:r w:rsidRPr="00EE7E38">
        <w:rPr>
          <w:rFonts w:ascii="Times New Roman" w:hAnsi="Times New Roman" w:cs="Times New Roman"/>
        </w:rPr>
        <w:t xml:space="preserve">and a predictor for their active involvement in the National TB Response. </w:t>
      </w:r>
      <w:r w:rsidR="00596A40" w:rsidRPr="00EE7E38">
        <w:rPr>
          <w:rFonts w:ascii="Times New Roman" w:hAnsi="Times New Roman" w:cs="Times New Roman"/>
        </w:rPr>
        <w:t xml:space="preserve">The Coalition comprises of more than 20 NGOs and operates as a single platform for TB </w:t>
      </w:r>
      <w:r w:rsidRPr="00EE7E38">
        <w:rPr>
          <w:rFonts w:ascii="Times New Roman" w:hAnsi="Times New Roman" w:cs="Times New Roman"/>
        </w:rPr>
        <w:t>detection, prevention and treatment advocacy</w:t>
      </w:r>
      <w:r w:rsidR="00596A40" w:rsidRPr="00EE7E38">
        <w:rPr>
          <w:rFonts w:ascii="Times New Roman" w:hAnsi="Times New Roman" w:cs="Times New Roman"/>
        </w:rPr>
        <w:t xml:space="preserve">. Its main function is to ensure </w:t>
      </w:r>
      <w:r w:rsidRPr="00EE7E38">
        <w:rPr>
          <w:rFonts w:ascii="Times New Roman" w:hAnsi="Times New Roman" w:cs="Times New Roman"/>
        </w:rPr>
        <w:t xml:space="preserve">adequate reflection of needs of vulnerable groups and TB patients into strategies, programs and specific interventions. In close collaboration with other governmental and non-governmental actors the TB coalition will continue extensive </w:t>
      </w:r>
      <w:r w:rsidR="00DC5A38">
        <w:rPr>
          <w:rFonts w:ascii="Times New Roman" w:hAnsi="Times New Roman" w:cs="Times New Roman"/>
        </w:rPr>
        <w:t>ACSM</w:t>
      </w:r>
      <w:r w:rsidRPr="00EE7E38">
        <w:rPr>
          <w:rFonts w:ascii="Times New Roman" w:hAnsi="Times New Roman" w:cs="Times New Roman"/>
        </w:rPr>
        <w:t xml:space="preserve"> efforts aimed at reducing TB related stigma, stimulating positive health seeking behavior and achieving sustainable access to quality TB services for all in need. </w:t>
      </w:r>
    </w:p>
    <w:p w14:paraId="0FFDD4F6"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17DFA9FA" w14:textId="77777777" w:rsidR="002A4055" w:rsidRPr="00EE7E38" w:rsidRDefault="00EC66F1">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Support to </w:t>
      </w:r>
      <w:r w:rsidR="00596A40" w:rsidRPr="00EE7E38">
        <w:rPr>
          <w:rFonts w:ascii="Times New Roman" w:hAnsi="Times New Roman" w:cs="Times New Roman"/>
          <w:i/>
          <w:iCs/>
        </w:rPr>
        <w:t>Georgian Tuberculosis Coalition</w:t>
      </w:r>
      <w:r w:rsidRPr="00EE7E38">
        <w:rPr>
          <w:rFonts w:ascii="Times New Roman" w:hAnsi="Times New Roman" w:cs="Times New Roman"/>
        </w:rPr>
        <w:t>. The Partnership comprise</w:t>
      </w:r>
      <w:r w:rsidR="00596A40" w:rsidRPr="00EE7E38">
        <w:rPr>
          <w:rFonts w:ascii="Times New Roman" w:hAnsi="Times New Roman" w:cs="Times New Roman"/>
        </w:rPr>
        <w:t>s</w:t>
      </w:r>
      <w:r w:rsidRPr="00EE7E38">
        <w:rPr>
          <w:rFonts w:ascii="Times New Roman" w:hAnsi="Times New Roman" w:cs="Times New Roman"/>
        </w:rPr>
        <w:t xml:space="preserve"> representatives of civil society organizations, which are active in the field of health (including organizations currently providing HIV prevention, care and support services) and/or in working with vulnerable population groups and promoting human and patient rights to access to health and social care. In collaboration with governmental structures and private health care providers, the Partnership will streamline advocacy efforts for effective TB control, develop and promote initiatives aimed at inclusion of people affected by the diseases in decision making related to TB care, and assist in implementing practical tools for involving non-state actors in provision of adherence support and social adaptation services for TB patients as well as the groups at high risk. </w:t>
      </w:r>
    </w:p>
    <w:p w14:paraId="7A888FAB" w14:textId="37460F39" w:rsidR="002A4055" w:rsidRPr="00EE7E38" w:rsidRDefault="00805C54">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NGO projects</w:t>
      </w:r>
      <w:r w:rsidR="00EC66F1" w:rsidRPr="00EE7E38">
        <w:rPr>
          <w:rFonts w:ascii="Times New Roman" w:hAnsi="Times New Roman" w:cs="Times New Roman"/>
          <w:i/>
          <w:iCs/>
        </w:rPr>
        <w:t xml:space="preserve">. </w:t>
      </w:r>
      <w:r w:rsidR="00EC66F1" w:rsidRPr="00EE7E38">
        <w:rPr>
          <w:rFonts w:ascii="Times New Roman" w:hAnsi="Times New Roman" w:cs="Times New Roman"/>
        </w:rPr>
        <w:t xml:space="preserve">It is envisaged that the NGO </w:t>
      </w:r>
      <w:r w:rsidRPr="00EE7E38">
        <w:rPr>
          <w:rFonts w:ascii="Times New Roman" w:hAnsi="Times New Roman" w:cs="Times New Roman"/>
        </w:rPr>
        <w:t>projects</w:t>
      </w:r>
      <w:r w:rsidR="00EC66F1" w:rsidRPr="00EE7E38">
        <w:rPr>
          <w:rFonts w:ascii="Times New Roman" w:hAnsi="Times New Roman" w:cs="Times New Roman"/>
        </w:rPr>
        <w:t xml:space="preserve"> will </w:t>
      </w:r>
      <w:r w:rsidRPr="00EE7E38">
        <w:rPr>
          <w:rFonts w:ascii="Times New Roman" w:hAnsi="Times New Roman" w:cs="Times New Roman"/>
        </w:rPr>
        <w:t xml:space="preserve">target </w:t>
      </w:r>
      <w:r w:rsidR="00EC66F1" w:rsidRPr="00EE7E38">
        <w:rPr>
          <w:rFonts w:ascii="Times New Roman" w:hAnsi="Times New Roman" w:cs="Times New Roman"/>
        </w:rPr>
        <w:t xml:space="preserve">in two main areas: </w:t>
      </w:r>
      <w:r w:rsidR="004B6936">
        <w:rPr>
          <w:rFonts w:ascii="Times New Roman" w:hAnsi="Times New Roman" w:cs="Times New Roman"/>
        </w:rPr>
        <w:t>1</w:t>
      </w:r>
      <w:r w:rsidR="00EC66F1" w:rsidRPr="00EE7E38">
        <w:rPr>
          <w:rFonts w:ascii="Times New Roman" w:hAnsi="Times New Roman" w:cs="Times New Roman"/>
        </w:rPr>
        <w:t>) implementation of innovative approaches in adherence support for TB patients at community level</w:t>
      </w:r>
      <w:r w:rsidR="004B6936">
        <w:rPr>
          <w:rFonts w:ascii="Times New Roman" w:hAnsi="Times New Roman" w:cs="Times New Roman"/>
        </w:rPr>
        <w:t>;</w:t>
      </w:r>
      <w:r w:rsidR="00EC66F1" w:rsidRPr="00EE7E38">
        <w:rPr>
          <w:rFonts w:ascii="Times New Roman" w:hAnsi="Times New Roman" w:cs="Times New Roman"/>
        </w:rPr>
        <w:t xml:space="preserve"> and </w:t>
      </w:r>
      <w:r w:rsidR="004B6936">
        <w:rPr>
          <w:rFonts w:ascii="Times New Roman" w:hAnsi="Times New Roman" w:cs="Times New Roman"/>
        </w:rPr>
        <w:t>2</w:t>
      </w:r>
      <w:r w:rsidR="00EC66F1" w:rsidRPr="00EE7E38">
        <w:rPr>
          <w:rFonts w:ascii="Times New Roman" w:hAnsi="Times New Roman" w:cs="Times New Roman"/>
        </w:rPr>
        <w:t>) support to case detection, case management and prevention among hard-to-reach population groups at risk</w:t>
      </w:r>
      <w:r w:rsidR="004B6936">
        <w:rPr>
          <w:rFonts w:ascii="Times New Roman" w:hAnsi="Times New Roman" w:cs="Times New Roman"/>
        </w:rPr>
        <w:t xml:space="preserve"> </w:t>
      </w:r>
      <w:proofErr w:type="gramStart"/>
      <w:r w:rsidR="004B6936">
        <w:rPr>
          <w:rFonts w:ascii="Times New Roman" w:hAnsi="Times New Roman" w:cs="Times New Roman"/>
        </w:rPr>
        <w:t>(</w:t>
      </w:r>
      <w:r w:rsidR="00EC66F1" w:rsidRPr="00EE7E38">
        <w:rPr>
          <w:rFonts w:ascii="Times New Roman" w:hAnsi="Times New Roman" w:cs="Times New Roman"/>
        </w:rPr>
        <w:t xml:space="preserve"> prisoners</w:t>
      </w:r>
      <w:proofErr w:type="gramEnd"/>
      <w:r w:rsidR="00EC66F1" w:rsidRPr="00EE7E38">
        <w:rPr>
          <w:rFonts w:ascii="Times New Roman" w:hAnsi="Times New Roman" w:cs="Times New Roman"/>
        </w:rPr>
        <w:t xml:space="preserve"> and ex-prisoners, PLHIV and PWID</w:t>
      </w:r>
      <w:r w:rsidR="004B6936">
        <w:rPr>
          <w:rFonts w:ascii="Times New Roman" w:hAnsi="Times New Roman" w:cs="Times New Roman"/>
        </w:rPr>
        <w:t>)</w:t>
      </w:r>
      <w:r w:rsidR="00EC66F1" w:rsidRPr="00EE7E38">
        <w:rPr>
          <w:rFonts w:ascii="Times New Roman" w:hAnsi="Times New Roman" w:cs="Times New Roman"/>
        </w:rPr>
        <w:t xml:space="preserve">. </w:t>
      </w:r>
    </w:p>
    <w:p w14:paraId="63FC87A2" w14:textId="6CAEE03B" w:rsidR="002A4055" w:rsidRPr="00EE7E38" w:rsidRDefault="00EC66F1">
      <w:pPr>
        <w:widowControl w:val="0"/>
        <w:numPr>
          <w:ilvl w:val="1"/>
          <w:numId w:val="6"/>
        </w:numPr>
        <w:spacing w:before="120" w:after="120" w:line="240" w:lineRule="auto"/>
        <w:ind w:left="1134" w:hanging="425"/>
        <w:jc w:val="both"/>
        <w:rPr>
          <w:rFonts w:ascii="Times New Roman" w:hAnsi="Times New Roman" w:cs="Times New Roman"/>
          <w:i/>
          <w:iCs/>
        </w:rPr>
      </w:pPr>
      <w:r w:rsidRPr="00EE7E38">
        <w:rPr>
          <w:rFonts w:ascii="Times New Roman" w:hAnsi="Times New Roman" w:cs="Times New Roman"/>
          <w:u w:val="single"/>
        </w:rPr>
        <w:t xml:space="preserve">NGO </w:t>
      </w:r>
      <w:r w:rsidR="00805C54" w:rsidRPr="00EE7E38">
        <w:rPr>
          <w:rFonts w:ascii="Times New Roman" w:hAnsi="Times New Roman" w:cs="Times New Roman"/>
          <w:u w:val="single"/>
        </w:rPr>
        <w:t>projects</w:t>
      </w:r>
      <w:r w:rsidRPr="00EE7E38">
        <w:rPr>
          <w:rFonts w:ascii="Times New Roman" w:hAnsi="Times New Roman" w:cs="Times New Roman"/>
          <w:u w:val="single"/>
        </w:rPr>
        <w:t xml:space="preserve"> for innovative approaches in adherence support</w:t>
      </w:r>
      <w:r w:rsidRPr="00EE7E38">
        <w:rPr>
          <w:rFonts w:ascii="Times New Roman" w:hAnsi="Times New Roman" w:cs="Times New Roman"/>
        </w:rPr>
        <w:t xml:space="preserve"> will aim at supporting patients within the community environment during ambulatory treatment, with special attention to DR-TB cases. This will be addressed through intensified psychological support, involving families, church and community actors, information/education, following up on referrals and using motivation schemes tailored to individual patient needs. </w:t>
      </w:r>
    </w:p>
    <w:p w14:paraId="69EC3D12" w14:textId="3DD4FAC2" w:rsidR="002A4055" w:rsidRPr="00EE7E38" w:rsidRDefault="00EC66F1">
      <w:pPr>
        <w:widowControl w:val="0"/>
        <w:numPr>
          <w:ilvl w:val="1"/>
          <w:numId w:val="6"/>
        </w:numPr>
        <w:spacing w:before="120" w:after="120" w:line="240" w:lineRule="auto"/>
        <w:ind w:left="1134" w:hanging="425"/>
        <w:jc w:val="both"/>
        <w:rPr>
          <w:rFonts w:ascii="Times New Roman" w:hAnsi="Times New Roman" w:cs="Times New Roman"/>
          <w:i/>
          <w:iCs/>
        </w:rPr>
      </w:pPr>
      <w:r w:rsidRPr="00EE7E38">
        <w:rPr>
          <w:rFonts w:ascii="Times New Roman" w:hAnsi="Times New Roman" w:cs="Times New Roman"/>
          <w:u w:val="single"/>
        </w:rPr>
        <w:t xml:space="preserve">NGO </w:t>
      </w:r>
      <w:r w:rsidR="00805C54" w:rsidRPr="00EE7E38">
        <w:rPr>
          <w:rFonts w:ascii="Times New Roman" w:hAnsi="Times New Roman" w:cs="Times New Roman"/>
          <w:u w:val="single"/>
        </w:rPr>
        <w:t>projects</w:t>
      </w:r>
      <w:r w:rsidRPr="00EE7E38">
        <w:rPr>
          <w:rFonts w:ascii="Times New Roman" w:hAnsi="Times New Roman" w:cs="Times New Roman"/>
          <w:u w:val="single"/>
        </w:rPr>
        <w:t xml:space="preserve"> for case detection, case management and prevention among population groups at risk</w:t>
      </w:r>
      <w:r w:rsidRPr="00EE7E38">
        <w:rPr>
          <w:rFonts w:ascii="Times New Roman" w:hAnsi="Times New Roman" w:cs="Times New Roman"/>
        </w:rPr>
        <w:t xml:space="preserve"> will implement intensified and innovative interventions aimed at improving care-seeking behavior, attendance for diagnosis and compliance to treatment in prisoners and ex-prisoners, PLHIV and PWID. Special emphasis will be placed on strengthening the referrals between different levels of services (including the links between penitentiary and civilian services) social accompaniment, psychological support, involving local public authorities and community leaders, information/education and other means. </w:t>
      </w:r>
    </w:p>
    <w:p w14:paraId="26EFD8F9" w14:textId="77777777" w:rsidR="002A4055" w:rsidRPr="00EE7E38" w:rsidRDefault="00EC66F1">
      <w:pPr>
        <w:widowControl w:val="0"/>
        <w:numPr>
          <w:ilvl w:val="0"/>
          <w:numId w:val="1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National NGO workshops</w:t>
      </w:r>
      <w:r w:rsidRPr="00EE7E38">
        <w:rPr>
          <w:rFonts w:ascii="Times New Roman" w:hAnsi="Times New Roman" w:cs="Times New Roman"/>
        </w:rPr>
        <w:t xml:space="preserve"> on TB control, civil society involvement and community response will be organized, in order to provide a forum for discussing and analyzing the results of the implementation of NGO projects, identifying the potential for further involvement of civil society beyond the Global Fund and other external support through partnerships with public authorities and private sector, and to share innovative experiences.</w:t>
      </w:r>
    </w:p>
    <w:p w14:paraId="5A637E7B" w14:textId="7E713A43" w:rsidR="002A4055" w:rsidRPr="00EE7E38" w:rsidRDefault="004B6936">
      <w:pPr>
        <w:widowControl w:val="0"/>
        <w:numPr>
          <w:ilvl w:val="0"/>
          <w:numId w:val="6"/>
        </w:numPr>
        <w:spacing w:before="120" w:after="120" w:line="240" w:lineRule="auto"/>
        <w:jc w:val="both"/>
        <w:rPr>
          <w:rFonts w:ascii="Times New Roman" w:hAnsi="Times New Roman" w:cs="Times New Roman"/>
        </w:rPr>
      </w:pPr>
      <w:r>
        <w:rPr>
          <w:rFonts w:ascii="Times New Roman" w:hAnsi="Times New Roman" w:cs="Times New Roman"/>
          <w:i/>
          <w:iCs/>
        </w:rPr>
        <w:t xml:space="preserve">A </w:t>
      </w:r>
      <w:r w:rsidR="00EC66F1" w:rsidRPr="00EE7E38">
        <w:rPr>
          <w:rFonts w:ascii="Times New Roman" w:hAnsi="Times New Roman" w:cs="Times New Roman"/>
          <w:i/>
          <w:iCs/>
        </w:rPr>
        <w:t>TB knowledge, attitude and practice (KAP) stud</w:t>
      </w:r>
      <w:r w:rsidR="00805C54" w:rsidRPr="00EE7E38">
        <w:rPr>
          <w:rFonts w:ascii="Times New Roman" w:hAnsi="Times New Roman" w:cs="Times New Roman"/>
          <w:i/>
          <w:iCs/>
        </w:rPr>
        <w:t xml:space="preserve">y </w:t>
      </w:r>
      <w:r w:rsidR="00EC66F1" w:rsidRPr="00EE7E38">
        <w:rPr>
          <w:rFonts w:ascii="Times New Roman" w:hAnsi="Times New Roman" w:cs="Times New Roman"/>
        </w:rPr>
        <w:t xml:space="preserve">will be undertaken </w:t>
      </w:r>
      <w:r w:rsidR="00805C54" w:rsidRPr="00EE7E38">
        <w:rPr>
          <w:rFonts w:ascii="Times New Roman" w:hAnsi="Times New Roman" w:cs="Times New Roman"/>
        </w:rPr>
        <w:t>in 20</w:t>
      </w:r>
      <w:r w:rsidR="00596A40" w:rsidRPr="00EE7E38">
        <w:rPr>
          <w:rFonts w:ascii="Times New Roman" w:hAnsi="Times New Roman" w:cs="Times New Roman"/>
          <w:lang w:val="ka-GE"/>
        </w:rPr>
        <w:t>21</w:t>
      </w:r>
      <w:r w:rsidR="00805C54" w:rsidRPr="00EE7E38">
        <w:rPr>
          <w:rFonts w:ascii="Times New Roman" w:hAnsi="Times New Roman" w:cs="Times New Roman"/>
        </w:rPr>
        <w:t xml:space="preserve"> </w:t>
      </w:r>
      <w:r w:rsidR="00EC66F1" w:rsidRPr="00EE7E38">
        <w:rPr>
          <w:rFonts w:ascii="Times New Roman" w:hAnsi="Times New Roman" w:cs="Times New Roman"/>
        </w:rPr>
        <w:t xml:space="preserve">in different target groups to determine objectives for changing behaviors and advocacy / communication needs, with particular emphasis on M/XDR-TB issues. </w:t>
      </w:r>
      <w:r>
        <w:rPr>
          <w:rFonts w:ascii="Times New Roman" w:hAnsi="Times New Roman" w:cs="Times New Roman"/>
        </w:rPr>
        <w:t>Survey</w:t>
      </w:r>
      <w:r w:rsidR="00EC66F1" w:rsidRPr="00EE7E38">
        <w:rPr>
          <w:rFonts w:ascii="Times New Roman" w:hAnsi="Times New Roman" w:cs="Times New Roman"/>
        </w:rPr>
        <w:t xml:space="preserve"> results will indicate directions for priority actions by the NTP and other partners.</w:t>
      </w:r>
    </w:p>
    <w:p w14:paraId="35F80D1A" w14:textId="77777777" w:rsidR="002A4055" w:rsidRPr="00EE7E38" w:rsidRDefault="00EC66F1">
      <w:pPr>
        <w:widowControl w:val="0"/>
        <w:numPr>
          <w:ilvl w:val="0"/>
          <w:numId w:val="16"/>
        </w:numPr>
        <w:spacing w:before="120" w:after="120" w:line="240" w:lineRule="auto"/>
        <w:jc w:val="both"/>
        <w:rPr>
          <w:rFonts w:ascii="Times New Roman" w:hAnsi="Times New Roman" w:cs="Times New Roman"/>
          <w:i/>
          <w:iCs/>
        </w:rPr>
      </w:pPr>
      <w:r w:rsidRPr="00EE7E38">
        <w:rPr>
          <w:rFonts w:ascii="Times New Roman" w:hAnsi="Times New Roman" w:cs="Times New Roman"/>
          <w:i/>
          <w:iCs/>
        </w:rPr>
        <w:lastRenderedPageBreak/>
        <w:t xml:space="preserve">Production of TB informational and educational materials. </w:t>
      </w:r>
      <w:r w:rsidRPr="00EE7E38">
        <w:rPr>
          <w:rFonts w:ascii="Times New Roman" w:hAnsi="Times New Roman" w:cs="Times New Roman"/>
        </w:rPr>
        <w:t xml:space="preserve">Different types of printed and audiovisual materials will be developed and distributed in health care settings and special settings (e.g. penitentiary facilities) and during various ACSM events. </w:t>
      </w:r>
    </w:p>
    <w:p w14:paraId="081B5ED0" w14:textId="77777777" w:rsidR="002A4055" w:rsidRPr="00EE7E38" w:rsidRDefault="00EC66F1">
      <w:pPr>
        <w:widowControl w:val="0"/>
        <w:numPr>
          <w:ilvl w:val="0"/>
          <w:numId w:val="1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Training and briefings for mass-media </w:t>
      </w:r>
      <w:r w:rsidRPr="00EE7E38">
        <w:rPr>
          <w:rFonts w:ascii="Times New Roman" w:hAnsi="Times New Roman" w:cs="Times New Roman"/>
        </w:rPr>
        <w:t xml:space="preserve">will also be organized with the aim of improving quality of TB-related information to the population, strengthening advocacy and increasing awareness of decision makers, with special emphasis on the planned changes in TB care delivery. </w:t>
      </w:r>
    </w:p>
    <w:p w14:paraId="1D11062A" w14:textId="5E53E661" w:rsidR="002A4055" w:rsidRPr="00EE7E38" w:rsidRDefault="00EC66F1">
      <w:pPr>
        <w:widowControl w:val="0"/>
        <w:numPr>
          <w:ilvl w:val="0"/>
          <w:numId w:val="1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ACSM activities during the World TB Days. </w:t>
      </w:r>
      <w:r w:rsidRPr="00EE7E38">
        <w:rPr>
          <w:rFonts w:ascii="Times New Roman" w:hAnsi="Times New Roman" w:cs="Times New Roman"/>
        </w:rPr>
        <w:t>Various ACSM activities</w:t>
      </w:r>
      <w:r w:rsidR="00805C54" w:rsidRPr="00EE7E38">
        <w:rPr>
          <w:rFonts w:ascii="Times New Roman" w:hAnsi="Times New Roman" w:cs="Times New Roman"/>
        </w:rPr>
        <w:t>, including the organization of a nation-wide conference for TB professionals,</w:t>
      </w:r>
      <w:r w:rsidRPr="00EE7E38">
        <w:rPr>
          <w:rFonts w:ascii="Times New Roman" w:hAnsi="Times New Roman" w:cs="Times New Roman"/>
        </w:rPr>
        <w:t xml:space="preserve"> will be conducted on and around the World TB Day </w:t>
      </w:r>
      <w:r w:rsidR="004B6936">
        <w:rPr>
          <w:rFonts w:ascii="Times New Roman" w:hAnsi="Times New Roman" w:cs="Times New Roman"/>
        </w:rPr>
        <w:t>(</w:t>
      </w:r>
      <w:r w:rsidRPr="00EE7E38">
        <w:rPr>
          <w:rFonts w:ascii="Times New Roman" w:hAnsi="Times New Roman" w:cs="Times New Roman"/>
        </w:rPr>
        <w:t>24 March</w:t>
      </w:r>
      <w:r w:rsidR="004B6936">
        <w:rPr>
          <w:rFonts w:ascii="Times New Roman" w:hAnsi="Times New Roman" w:cs="Times New Roman"/>
        </w:rPr>
        <w:t>)</w:t>
      </w:r>
      <w:r w:rsidRPr="00EE7E38">
        <w:rPr>
          <w:rFonts w:ascii="Times New Roman" w:hAnsi="Times New Roman" w:cs="Times New Roman"/>
        </w:rPr>
        <w:t>, following the topics that are proposed by WHO for each year’s campaign.</w:t>
      </w:r>
    </w:p>
    <w:p w14:paraId="3126405E" w14:textId="77777777" w:rsidR="00EC66F1" w:rsidRPr="00EE7E38" w:rsidRDefault="00EC66F1" w:rsidP="00835F94">
      <w:pPr>
        <w:widowControl w:val="0"/>
        <w:spacing w:before="120" w:after="120" w:line="240" w:lineRule="auto"/>
        <w:ind w:left="709" w:hanging="709"/>
        <w:rPr>
          <w:rFonts w:ascii="Times New Roman" w:hAnsi="Times New Roman" w:cs="Times New Roman"/>
          <w:b/>
        </w:rPr>
      </w:pPr>
      <w:r w:rsidRPr="00EE7E38">
        <w:rPr>
          <w:rFonts w:ascii="Times New Roman" w:hAnsi="Times New Roman" w:cs="Times New Roman"/>
          <w:b/>
        </w:rPr>
        <w:t>3.4</w:t>
      </w:r>
      <w:r w:rsidRPr="00EE7E38">
        <w:rPr>
          <w:rFonts w:ascii="Times New Roman" w:hAnsi="Times New Roman" w:cs="Times New Roman"/>
          <w:b/>
        </w:rPr>
        <w:tab/>
        <w:t xml:space="preserve">Research </w:t>
      </w:r>
      <w:r w:rsidR="000A5F50" w:rsidRPr="00EE7E38">
        <w:rPr>
          <w:rFonts w:ascii="Times New Roman" w:hAnsi="Times New Roman" w:cs="Times New Roman"/>
          <w:b/>
        </w:rPr>
        <w:t>in</w:t>
      </w:r>
      <w:r w:rsidRPr="00EE7E38">
        <w:rPr>
          <w:rFonts w:ascii="Times New Roman" w:hAnsi="Times New Roman" w:cs="Times New Roman"/>
          <w:b/>
        </w:rPr>
        <w:t xml:space="preserve"> priority </w:t>
      </w:r>
      <w:r w:rsidR="000A5F50" w:rsidRPr="00EE7E38">
        <w:rPr>
          <w:rFonts w:ascii="Times New Roman" w:hAnsi="Times New Roman" w:cs="Times New Roman"/>
          <w:b/>
        </w:rPr>
        <w:t xml:space="preserve">areas </w:t>
      </w:r>
      <w:r w:rsidRPr="00EE7E38">
        <w:rPr>
          <w:rFonts w:ascii="Times New Roman" w:hAnsi="Times New Roman" w:cs="Times New Roman"/>
          <w:b/>
        </w:rPr>
        <w:t>of TB control</w:t>
      </w:r>
    </w:p>
    <w:p w14:paraId="23801816"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use of reliable evidence facilitates proper decision making for improved performance of the national TB control program. Well-designed and targeted operational research is a valuable tool for generating such evidence, especially when implementation of innovative and/or system-wide actions is required. This Intervention aims at further developing the national capacities and building experience in modern and robust TB-related research.</w:t>
      </w:r>
    </w:p>
    <w:p w14:paraId="0428D7D7" w14:textId="22179FF0"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NSP stipulates support to two types of research activities: </w:t>
      </w:r>
      <w:r w:rsidR="004B6936">
        <w:rPr>
          <w:rFonts w:ascii="Times New Roman" w:hAnsi="Times New Roman" w:cs="Times New Roman"/>
        </w:rPr>
        <w:t>1</w:t>
      </w:r>
      <w:r w:rsidRPr="00EE7E38">
        <w:rPr>
          <w:rFonts w:ascii="Times New Roman" w:hAnsi="Times New Roman" w:cs="Times New Roman"/>
        </w:rPr>
        <w:t xml:space="preserve">) clinical research, including participation in the international medical research/clinical trials; and </w:t>
      </w:r>
      <w:r w:rsidR="004B6936">
        <w:rPr>
          <w:rFonts w:ascii="Times New Roman" w:hAnsi="Times New Roman" w:cs="Times New Roman"/>
        </w:rPr>
        <w:t>2</w:t>
      </w:r>
      <w:r w:rsidRPr="00EE7E38">
        <w:rPr>
          <w:rFonts w:ascii="Times New Roman" w:hAnsi="Times New Roman" w:cs="Times New Roman"/>
        </w:rPr>
        <w:t xml:space="preserve">) operational research in priority aspects related to implementation of TB control interventions in Georgia. </w:t>
      </w:r>
    </w:p>
    <w:p w14:paraId="2DED1066"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NTP, through the National Center for Tuberculosis and Lung Diseases as the leading national institution for TB expertise and clinical excellence, will work on further developing the links with the international partners and intensify resource mobilization efforts for conducting clinical research related to TB diagnosis and clinical management.</w:t>
      </w:r>
    </w:p>
    <w:p w14:paraId="7A9AE2DB" w14:textId="5D37C915"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Operational research is planned in three main areas: </w:t>
      </w:r>
      <w:r w:rsidR="004B6936">
        <w:rPr>
          <w:rFonts w:ascii="Times New Roman" w:hAnsi="Times New Roman" w:cs="Times New Roman"/>
        </w:rPr>
        <w:t>1</w:t>
      </w:r>
      <w:r w:rsidRPr="00EE7E38">
        <w:rPr>
          <w:rFonts w:ascii="Times New Roman" w:hAnsi="Times New Roman" w:cs="Times New Roman"/>
        </w:rPr>
        <w:t xml:space="preserve">) impact of new strategies and technologies for management of drug-resistant TB; </w:t>
      </w:r>
      <w:r w:rsidR="004B6936">
        <w:rPr>
          <w:rFonts w:ascii="Times New Roman" w:hAnsi="Times New Roman" w:cs="Times New Roman"/>
        </w:rPr>
        <w:t>2</w:t>
      </w:r>
      <w:r w:rsidRPr="00EE7E38">
        <w:rPr>
          <w:rFonts w:ascii="Times New Roman" w:hAnsi="Times New Roman" w:cs="Times New Roman"/>
        </w:rPr>
        <w:t xml:space="preserve">) changes in effectiveness and efficiency of health services provision due to structural and functional reconfiguration in TB care delivery model; and </w:t>
      </w:r>
      <w:r w:rsidR="004B6936">
        <w:rPr>
          <w:rFonts w:ascii="Times New Roman" w:hAnsi="Times New Roman" w:cs="Times New Roman"/>
        </w:rPr>
        <w:t>3</w:t>
      </w:r>
      <w:r w:rsidRPr="00EE7E38">
        <w:rPr>
          <w:rFonts w:ascii="Times New Roman" w:hAnsi="Times New Roman" w:cs="Times New Roman"/>
        </w:rPr>
        <w:t xml:space="preserve">) influence of innovative community-based patient-centered interventions over TB patients’ outcomes, social and economic recovery and beneficiaries’ satisfaction. The findings of these studies will assist the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and other national partners in evidence-based decision making in the key components of TB control, covered by this Plan. </w:t>
      </w:r>
    </w:p>
    <w:p w14:paraId="22FDE88B" w14:textId="77777777" w:rsidR="00EC66F1" w:rsidRPr="00EE7E38" w:rsidRDefault="00EC66F1"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main activities under this Intervention include:</w:t>
      </w:r>
    </w:p>
    <w:p w14:paraId="01CECF14" w14:textId="77777777" w:rsidR="002A4055" w:rsidRPr="00EE7E38" w:rsidRDefault="00EC66F1">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i/>
          <w:iCs/>
        </w:rPr>
        <w:t xml:space="preserve">Clinical research studies </w:t>
      </w:r>
      <w:r w:rsidRPr="00EE7E38">
        <w:rPr>
          <w:rFonts w:ascii="Times New Roman" w:hAnsi="Times New Roman" w:cs="Times New Roman"/>
        </w:rPr>
        <w:t>will be conducted in cooperation with the international partners (WHO, International Union Against Tuberculosis and Lung Disease, and others</w:t>
      </w:r>
      <w:r w:rsidR="00D330B7" w:rsidRPr="00EE7E38">
        <w:rPr>
          <w:rFonts w:ascii="Times New Roman" w:hAnsi="Times New Roman" w:cs="Times New Roman"/>
        </w:rPr>
        <w:t xml:space="preserve"> including </w:t>
      </w:r>
      <w:r w:rsidR="00596A40" w:rsidRPr="00EE7E38">
        <w:rPr>
          <w:rFonts w:ascii="Times New Roman" w:hAnsi="Times New Roman" w:cs="Times New Roman"/>
        </w:rPr>
        <w:t xml:space="preserve">TB Alliance </w:t>
      </w:r>
      <w:r w:rsidR="00D330B7" w:rsidRPr="00EE7E38">
        <w:rPr>
          <w:rFonts w:ascii="Times New Roman" w:hAnsi="Times New Roman" w:cs="Times New Roman"/>
        </w:rPr>
        <w:t xml:space="preserve">the new </w:t>
      </w:r>
      <w:r w:rsidR="0098404F" w:rsidRPr="00EE7E38">
        <w:rPr>
          <w:rFonts w:ascii="Times New Roman" w:hAnsi="Times New Roman" w:cs="Times New Roman"/>
          <w:i/>
        </w:rPr>
        <w:t>end</w:t>
      </w:r>
      <w:r w:rsidR="00FC2E9F" w:rsidRPr="00EE7E38">
        <w:rPr>
          <w:rFonts w:ascii="Times New Roman" w:hAnsi="Times New Roman" w:cs="Times New Roman"/>
          <w:i/>
        </w:rPr>
        <w:t xml:space="preserve"> </w:t>
      </w:r>
      <w:r w:rsidR="00D330B7" w:rsidRPr="00EE7E38">
        <w:rPr>
          <w:rFonts w:ascii="Times New Roman" w:hAnsi="Times New Roman" w:cs="Times New Roman"/>
          <w:i/>
        </w:rPr>
        <w:t>TB</w:t>
      </w:r>
      <w:r w:rsidR="00D330B7" w:rsidRPr="00EE7E38">
        <w:rPr>
          <w:rFonts w:ascii="Times New Roman" w:hAnsi="Times New Roman" w:cs="Times New Roman"/>
        </w:rPr>
        <w:t xml:space="preserve"> project implemented by MSF and Partners in Health</w:t>
      </w:r>
      <w:r w:rsidRPr="00EE7E38">
        <w:rPr>
          <w:rFonts w:ascii="Times New Roman" w:hAnsi="Times New Roman" w:cs="Times New Roman"/>
        </w:rPr>
        <w:t>). These include participation in clinical trials for new drugs (such as STREAM study mentioned under Intervention 2.1 above) and diagnostic technologies and research related to risk factors and co-morbid conditions.</w:t>
      </w:r>
    </w:p>
    <w:p w14:paraId="75EAD6AE" w14:textId="77777777" w:rsidR="002A4055" w:rsidRPr="00EE7E38" w:rsidRDefault="00EC66F1">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i/>
          <w:iCs/>
        </w:rPr>
        <w:t xml:space="preserve">Operational research studies </w:t>
      </w:r>
      <w:r w:rsidRPr="00EE7E38">
        <w:rPr>
          <w:rFonts w:ascii="Times New Roman" w:hAnsi="Times New Roman" w:cs="Times New Roman"/>
        </w:rPr>
        <w:t>will be conducted in priority areas for TB control in the country. The scope of research will be defined depending on the funding available (including external support) and implementation capacities.</w:t>
      </w:r>
    </w:p>
    <w:p w14:paraId="60592808" w14:textId="77777777" w:rsidR="006F5E90" w:rsidRPr="00EE7E38" w:rsidRDefault="006F5E90" w:rsidP="00835F94">
      <w:pPr>
        <w:widowControl w:val="0"/>
        <w:spacing w:before="120" w:after="120" w:line="240" w:lineRule="auto"/>
        <w:jc w:val="center"/>
        <w:rPr>
          <w:rFonts w:ascii="Times New Roman" w:hAnsi="Times New Roman" w:cs="Times New Roman"/>
          <w:i/>
          <w:iCs/>
        </w:rPr>
      </w:pPr>
    </w:p>
    <w:p w14:paraId="5761A7DA" w14:textId="77777777" w:rsidR="006F5E90" w:rsidRPr="00EE7E38" w:rsidRDefault="006F5E90" w:rsidP="006F5E90">
      <w:pPr>
        <w:widowControl w:val="0"/>
        <w:spacing w:before="120" w:after="120" w:line="240" w:lineRule="auto"/>
        <w:rPr>
          <w:rFonts w:ascii="Times New Roman" w:hAnsi="Times New Roman" w:cs="Times New Roman"/>
          <w:b/>
          <w:bCs/>
          <w:i/>
          <w:iCs/>
        </w:rPr>
      </w:pPr>
      <w:r w:rsidRPr="00EE7E38">
        <w:rPr>
          <w:rFonts w:ascii="Times New Roman" w:hAnsi="Times New Roman" w:cs="Times New Roman"/>
          <w:b/>
          <w:bCs/>
          <w:i/>
          <w:iCs/>
        </w:rPr>
        <w:t>Expected Results</w:t>
      </w:r>
    </w:p>
    <w:p w14:paraId="58713414" w14:textId="7B1149E9" w:rsidR="006F5E90" w:rsidRPr="00EE7E38" w:rsidRDefault="006F5E90" w:rsidP="006F5E90">
      <w:pPr>
        <w:widowControl w:val="0"/>
        <w:spacing w:before="120" w:after="120" w:line="240" w:lineRule="auto"/>
        <w:jc w:val="both"/>
        <w:rPr>
          <w:rFonts w:ascii="Times New Roman" w:hAnsi="Times New Roman" w:cs="Times New Roman"/>
        </w:rPr>
      </w:pPr>
      <w:r w:rsidRPr="00EE7E38">
        <w:rPr>
          <w:rFonts w:ascii="Times New Roman" w:hAnsi="Times New Roman" w:cs="Times New Roman"/>
          <w:i/>
          <w:iCs/>
        </w:rPr>
        <w:t>Implementa</w:t>
      </w:r>
      <w:r w:rsidRPr="00EE7E38">
        <w:rPr>
          <w:rFonts w:ascii="Times New Roman" w:hAnsi="Times New Roman" w:cs="Times New Roman"/>
        </w:rPr>
        <w:t>tion of the interventions under this Objective aims at ensuring, by 202</w:t>
      </w:r>
      <w:r w:rsidR="00756463">
        <w:rPr>
          <w:rFonts w:ascii="Times New Roman" w:hAnsi="Times New Roman" w:cs="Times New Roman"/>
        </w:rPr>
        <w:t>2</w:t>
      </w:r>
      <w:r w:rsidRPr="00EE7E38">
        <w:rPr>
          <w:rFonts w:ascii="Times New Roman" w:hAnsi="Times New Roman" w:cs="Times New Roman"/>
        </w:rPr>
        <w:t xml:space="preserve"> that appropriate environment</w:t>
      </w:r>
      <w:r w:rsidR="004B6936">
        <w:rPr>
          <w:rFonts w:ascii="Times New Roman" w:hAnsi="Times New Roman" w:cs="Times New Roman"/>
        </w:rPr>
        <w:t>s</w:t>
      </w:r>
      <w:r w:rsidR="00D43D9A">
        <w:rPr>
          <w:rFonts w:ascii="Times New Roman" w:hAnsi="Times New Roman" w:cs="Times New Roman"/>
        </w:rPr>
        <w:t xml:space="preserve"> </w:t>
      </w:r>
      <w:r w:rsidRPr="00EE7E38">
        <w:rPr>
          <w:rFonts w:ascii="Times New Roman" w:hAnsi="Times New Roman" w:cs="Times New Roman"/>
        </w:rPr>
        <w:t xml:space="preserve">and systems are in place to effectively provide for universal access to high quality patient-centered TB control interventions in Georgia, including: </w:t>
      </w:r>
    </w:p>
    <w:p w14:paraId="09E7D3F6" w14:textId="77777777"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National TB Program has effective management capacities at the central and regional level and undertakes the required range of functions, with appropriate financial coverage by the state; </w:t>
      </w:r>
    </w:p>
    <w:p w14:paraId="1DBB3F0A" w14:textId="77777777"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 state financing of TB control interventions is sufficient to cover the needs, and the takeover from external donors is completed;</w:t>
      </w:r>
    </w:p>
    <w:p w14:paraId="336E1EBA" w14:textId="77777777"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 xml:space="preserve">The regulations and norms for the health care services support the implementation of the integrated patient-centered model of TB care delivery, which is reliant on outpatient case management with </w:t>
      </w:r>
      <w:r w:rsidRPr="00EE7E38">
        <w:rPr>
          <w:rFonts w:ascii="Times New Roman" w:hAnsi="Times New Roman" w:cs="Times New Roman"/>
        </w:rPr>
        <w:lastRenderedPageBreak/>
        <w:t>proper PHC involvement, demonstrates improved performance of TB institutions, and ensures appropriate quality of services;</w:t>
      </w:r>
    </w:p>
    <w:p w14:paraId="229D92F9" w14:textId="77777777"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 system for TB recording and reporting, monitoring and evaluation is upgraded in line with the international requirements and national health system’s needs, and provides reliable evidence for decision-making;</w:t>
      </w:r>
    </w:p>
    <w:p w14:paraId="121C264A" w14:textId="77777777"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Civil society role in TB control is increased through increased involvement in innovative community-based interventions, which are increasingly sustained by domestic funding;</w:t>
      </w:r>
    </w:p>
    <w:p w14:paraId="5CF59177" w14:textId="77777777" w:rsidR="006F5E90" w:rsidRPr="00EE7E38" w:rsidRDefault="006F5E90" w:rsidP="006F5E90">
      <w:pPr>
        <w:widowControl w:val="0"/>
        <w:numPr>
          <w:ilvl w:val="0"/>
          <w:numId w:val="5"/>
        </w:numPr>
        <w:spacing w:before="120" w:after="120" w:line="240" w:lineRule="auto"/>
        <w:jc w:val="both"/>
        <w:rPr>
          <w:rFonts w:ascii="Times New Roman" w:hAnsi="Times New Roman" w:cs="Times New Roman"/>
        </w:rPr>
      </w:pPr>
      <w:r w:rsidRPr="00EE7E38">
        <w:rPr>
          <w:rFonts w:ascii="Times New Roman" w:hAnsi="Times New Roman" w:cs="Times New Roman"/>
        </w:rPr>
        <w:t>The national legal framework in relation to TB is expanded and harmonized with the international law, and provides for proper realization of the obligations by the State, and rights and responsibilities of patients and health care providers.</w:t>
      </w:r>
    </w:p>
    <w:p w14:paraId="53DA5EFE" w14:textId="2789FACD" w:rsidR="002A4055" w:rsidRPr="00EE7E38" w:rsidRDefault="0071773E">
      <w:pPr>
        <w:pStyle w:val="Heading1"/>
        <w:keepNext w:val="0"/>
        <w:keepLines w:val="0"/>
        <w:widowControl w:val="0"/>
        <w:numPr>
          <w:ilvl w:val="0"/>
          <w:numId w:val="1"/>
        </w:numPr>
        <w:rPr>
          <w:rFonts w:ascii="Times New Roman" w:hAnsi="Times New Roman" w:cs="Times New Roman"/>
        </w:rPr>
      </w:pPr>
      <w:bookmarkStart w:id="24" w:name="_Toc411586420"/>
      <w:bookmarkStart w:id="25" w:name="_Toc517633171"/>
      <w:r w:rsidRPr="00EE7E38">
        <w:rPr>
          <w:rFonts w:ascii="Times New Roman" w:hAnsi="Times New Roman" w:cs="Times New Roman"/>
        </w:rPr>
        <w:t xml:space="preserve">Implementation </w:t>
      </w:r>
      <w:r w:rsidR="004B6936">
        <w:rPr>
          <w:rFonts w:ascii="Times New Roman" w:hAnsi="Times New Roman" w:cs="Times New Roman"/>
        </w:rPr>
        <w:t>R</w:t>
      </w:r>
      <w:r w:rsidRPr="00EE7E38">
        <w:rPr>
          <w:rFonts w:ascii="Times New Roman" w:hAnsi="Times New Roman" w:cs="Times New Roman"/>
        </w:rPr>
        <w:t>esponsibilities</w:t>
      </w:r>
      <w:bookmarkEnd w:id="24"/>
      <w:bookmarkEnd w:id="25"/>
    </w:p>
    <w:p w14:paraId="7B7B0B2A" w14:textId="532C9CE4"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scope of work required to achieve the NSP goal and targets calls for effective governance, coordination and </w:t>
      </w:r>
      <w:r w:rsidR="00C47AB2" w:rsidRPr="00EE7E38">
        <w:rPr>
          <w:rFonts w:ascii="Times New Roman" w:hAnsi="Times New Roman" w:cs="Times New Roman"/>
        </w:rPr>
        <w:t xml:space="preserve">implementation </w:t>
      </w:r>
      <w:r w:rsidRPr="00EE7E38">
        <w:rPr>
          <w:rFonts w:ascii="Times New Roman" w:hAnsi="Times New Roman" w:cs="Times New Roman"/>
        </w:rPr>
        <w:t xml:space="preserve">arrangements. A key principle </w:t>
      </w:r>
      <w:r w:rsidR="00C47AB2" w:rsidRPr="00EE7E38">
        <w:rPr>
          <w:rFonts w:ascii="Times New Roman" w:hAnsi="Times New Roman" w:cs="Times New Roman"/>
        </w:rPr>
        <w:t xml:space="preserve">for the </w:t>
      </w:r>
      <w:r w:rsidRPr="00EE7E38">
        <w:rPr>
          <w:rFonts w:ascii="Times New Roman" w:hAnsi="Times New Roman" w:cs="Times New Roman"/>
        </w:rPr>
        <w:t xml:space="preserve">Plan realization is the promotion of participatory and multisectoral approach to the program planning, implementation, monitoring and evaluation. In line with </w:t>
      </w:r>
      <w:r w:rsidR="00C47AB2" w:rsidRPr="00EE7E38">
        <w:rPr>
          <w:rFonts w:ascii="Times New Roman" w:hAnsi="Times New Roman" w:cs="Times New Roman"/>
        </w:rPr>
        <w:t xml:space="preserve">global and regional guidance, </w:t>
      </w:r>
      <w:r w:rsidRPr="00EE7E38">
        <w:rPr>
          <w:rFonts w:ascii="Times New Roman" w:hAnsi="Times New Roman" w:cs="Times New Roman"/>
        </w:rPr>
        <w:t>the Plan foresees full engagement of different government agencies, non-state actors as well as international partners in this process.</w:t>
      </w:r>
    </w:p>
    <w:p w14:paraId="3A6842BE"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bCs/>
        </w:rPr>
        <w:t>National partnerships</w:t>
      </w:r>
    </w:p>
    <w:p w14:paraId="4CD54FDC"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This document provides a basis for legislative and normative acts, operational plans, technical </w:t>
      </w:r>
      <w:r w:rsidR="00C47AB2" w:rsidRPr="00EE7E38">
        <w:rPr>
          <w:rFonts w:ascii="Times New Roman" w:hAnsi="Times New Roman" w:cs="Times New Roman"/>
        </w:rPr>
        <w:t xml:space="preserve">guidelines </w:t>
      </w:r>
      <w:r w:rsidRPr="00EE7E38">
        <w:rPr>
          <w:rFonts w:ascii="Times New Roman" w:hAnsi="Times New Roman" w:cs="Times New Roman"/>
        </w:rPr>
        <w:t xml:space="preserve">and other relevant documentation to follow, which will form a sound implementation framework delineating explicit roles and responsibilities of the involved partners and facilitating effective multisectoral and multidisciplinary actions. The implementation of </w:t>
      </w:r>
      <w:r w:rsidR="00C47AB2" w:rsidRPr="00EE7E38">
        <w:rPr>
          <w:rFonts w:ascii="Times New Roman" w:hAnsi="Times New Roman" w:cs="Times New Roman"/>
        </w:rPr>
        <w:t xml:space="preserve">the </w:t>
      </w:r>
      <w:r w:rsidRPr="00EE7E38">
        <w:rPr>
          <w:rFonts w:ascii="Times New Roman" w:hAnsi="Times New Roman" w:cs="Times New Roman"/>
        </w:rPr>
        <w:t>Strategic Interventions presented above will build on the su</w:t>
      </w:r>
      <w:r w:rsidR="00C47AB2" w:rsidRPr="00EE7E38">
        <w:rPr>
          <w:rFonts w:ascii="Times New Roman" w:hAnsi="Times New Roman" w:cs="Times New Roman"/>
        </w:rPr>
        <w:t>ccessful practices and will aim</w:t>
      </w:r>
      <w:r w:rsidR="006A2697" w:rsidRPr="00EE7E38">
        <w:rPr>
          <w:rFonts w:ascii="Times New Roman" w:hAnsi="Times New Roman" w:cs="Times New Roman"/>
        </w:rPr>
        <w:t xml:space="preserve"> </w:t>
      </w:r>
      <w:r w:rsidR="00C47AB2" w:rsidRPr="00EE7E38">
        <w:rPr>
          <w:rFonts w:ascii="Times New Roman" w:hAnsi="Times New Roman" w:cs="Times New Roman"/>
        </w:rPr>
        <w:t xml:space="preserve">at </w:t>
      </w:r>
      <w:r w:rsidRPr="00EE7E38">
        <w:rPr>
          <w:rFonts w:ascii="Times New Roman" w:hAnsi="Times New Roman" w:cs="Times New Roman"/>
        </w:rPr>
        <w:t>creating new and strengthening the existing partnerships for effective TB control.</w:t>
      </w:r>
    </w:p>
    <w:p w14:paraId="2E6586C9" w14:textId="77777777" w:rsidR="002A4055" w:rsidRPr="00EE7E38" w:rsidRDefault="00C47AB2">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iCs/>
        </w:rPr>
        <w:t xml:space="preserve">The </w:t>
      </w:r>
      <w:r w:rsidRPr="00EE7E38">
        <w:rPr>
          <w:rFonts w:ascii="Times New Roman" w:hAnsi="Times New Roman" w:cs="Times New Roman"/>
          <w:b/>
          <w:i/>
          <w:iCs/>
        </w:rPr>
        <w:t>National TB Council (NTC)</w:t>
      </w:r>
      <w:r w:rsidRPr="00EE7E38">
        <w:rPr>
          <w:rFonts w:ascii="Times New Roman" w:hAnsi="Times New Roman" w:cs="Times New Roman"/>
          <w:iCs/>
        </w:rPr>
        <w:t xml:space="preserve"> is the coordination body for the national TB program at the central level; it will oversee the NSP implementation, carry out strategic and operational planning, engage in mobilization of additional domestic and external resources for TB control, and facilitate the mainstreaming of legislation, regulations and standards in the field. The NTC will monitor and evaluate the progress towards achieving the NSP objectives and targets, and will be in charge of other practical tasks related to the NSP implementation.</w:t>
      </w:r>
    </w:p>
    <w:p w14:paraId="07F09B06" w14:textId="77777777" w:rsidR="002A4055" w:rsidRPr="00EE7E38" w:rsidRDefault="00EE3756">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rPr>
        <w:t xml:space="preserve">The </w:t>
      </w:r>
      <w:r w:rsidRPr="00EE7E38">
        <w:rPr>
          <w:rFonts w:ascii="Times New Roman" w:hAnsi="Times New Roman" w:cs="Times New Roman"/>
          <w:b/>
          <w:i/>
        </w:rPr>
        <w:t xml:space="preserve">Country Coordination Mechanism (CCM) for HIV/AIDS, Tuberculosis and Malaria </w:t>
      </w:r>
      <w:r w:rsidRPr="00EE7E38">
        <w:rPr>
          <w:rFonts w:ascii="Times New Roman" w:hAnsi="Times New Roman" w:cs="Times New Roman"/>
        </w:rPr>
        <w:t>will continue to facilitate horizontal links and participatory governance of TB control program, through active participation of the governmental partners (</w:t>
      </w:r>
      <w:proofErr w:type="spellStart"/>
      <w:r w:rsidRPr="00EE7E38">
        <w:rPr>
          <w:rFonts w:ascii="Times New Roman" w:hAnsi="Times New Roman" w:cs="Times New Roman"/>
        </w:rPr>
        <w:t>MoLHSA</w:t>
      </w:r>
      <w:proofErr w:type="spellEnd"/>
      <w:r w:rsidRPr="00EE7E38">
        <w:rPr>
          <w:rFonts w:ascii="Times New Roman" w:hAnsi="Times New Roman" w:cs="Times New Roman"/>
        </w:rPr>
        <w:t>, other ministries and governmental bodies), external development assistance agencies as well as the civil society, while continuing to undertake a special function to obtain additional support from the Global Fund and oversee its implementation.</w:t>
      </w:r>
    </w:p>
    <w:p w14:paraId="3477EC07" w14:textId="77777777" w:rsidR="002A4055" w:rsidRPr="00EE7E38" w:rsidRDefault="00C47AB2">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rPr>
        <w:t>The</w:t>
      </w:r>
      <w:r w:rsidRPr="00EE7E38">
        <w:rPr>
          <w:rFonts w:ascii="Times New Roman" w:hAnsi="Times New Roman" w:cs="Times New Roman"/>
          <w:b/>
          <w:bCs/>
          <w:i/>
          <w:iCs/>
        </w:rPr>
        <w:t xml:space="preserve"> Ministry of Labor, Health</w:t>
      </w:r>
      <w:r w:rsidRPr="00EE7E38">
        <w:rPr>
          <w:rFonts w:ascii="Times New Roman" w:hAnsi="Times New Roman" w:cs="Times New Roman"/>
          <w:b/>
          <w:i/>
        </w:rPr>
        <w:t xml:space="preserve"> and Social Affairs (</w:t>
      </w:r>
      <w:proofErr w:type="spellStart"/>
      <w:r w:rsidRPr="00EE7E38">
        <w:rPr>
          <w:rFonts w:ascii="Times New Roman" w:hAnsi="Times New Roman" w:cs="Times New Roman"/>
          <w:b/>
          <w:i/>
        </w:rPr>
        <w:t>MoLHSA</w:t>
      </w:r>
      <w:proofErr w:type="spellEnd"/>
      <w:r w:rsidRPr="00EE7E38">
        <w:rPr>
          <w:rFonts w:ascii="Times New Roman" w:hAnsi="Times New Roman" w:cs="Times New Roman"/>
          <w:b/>
          <w:i/>
        </w:rPr>
        <w:t xml:space="preserve">) </w:t>
      </w:r>
      <w:r w:rsidRPr="00EE7E38">
        <w:rPr>
          <w:rFonts w:ascii="Times New Roman" w:hAnsi="Times New Roman" w:cs="Times New Roman"/>
        </w:rPr>
        <w:t xml:space="preserve">will undertake the overall state leadership and governance for the NSP implementation, strategic planning, development of relevant legislation and regulations, human resource policies, advocacy and resource mobilization for TB control. </w:t>
      </w:r>
      <w:r w:rsidRPr="00EE7E38">
        <w:rPr>
          <w:rFonts w:ascii="Times New Roman" w:hAnsi="Times New Roman" w:cs="Times New Roman"/>
          <w:iCs/>
        </w:rPr>
        <w:t xml:space="preserve">A key task for both the NTC and </w:t>
      </w:r>
      <w:proofErr w:type="spellStart"/>
      <w:r w:rsidRPr="00EE7E38">
        <w:rPr>
          <w:rFonts w:ascii="Times New Roman" w:hAnsi="Times New Roman" w:cs="Times New Roman"/>
          <w:iCs/>
        </w:rPr>
        <w:t>MoLHSA</w:t>
      </w:r>
      <w:proofErr w:type="spellEnd"/>
      <w:r w:rsidRPr="00EE7E38">
        <w:rPr>
          <w:rFonts w:ascii="Times New Roman" w:hAnsi="Times New Roman" w:cs="Times New Roman"/>
          <w:iCs/>
        </w:rPr>
        <w:t xml:space="preserve"> is ensuring effective cooperation and coordination between the key government agencies for TB control at the central level: the National Center for Disease Control and Public Health (NCDCPH) and the National Center for Tuberculosis and Lung Diseases (NCTLD), as well promoting appropriate involvement of other ministries and governmental agencies, private providers of medical services, other non-state actors and international partners. </w:t>
      </w:r>
    </w:p>
    <w:p w14:paraId="77A6A0E1" w14:textId="227E8C45" w:rsidR="002A4055" w:rsidRPr="00EE7E38" w:rsidRDefault="00EE3756">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rPr>
        <w:t xml:space="preserve">The </w:t>
      </w:r>
      <w:r w:rsidR="00BB060B" w:rsidRPr="00EE7E38">
        <w:rPr>
          <w:rFonts w:ascii="Times New Roman" w:hAnsi="Times New Roman" w:cs="Times New Roman"/>
          <w:b/>
          <w:i/>
        </w:rPr>
        <w:t>National Center for Disease Control and Public Health (NCDCPH)</w:t>
      </w:r>
      <w:r w:rsidR="00BB060B" w:rsidRPr="00EE7E38">
        <w:rPr>
          <w:rFonts w:ascii="Times New Roman" w:hAnsi="Times New Roman" w:cs="Times New Roman"/>
        </w:rPr>
        <w:t xml:space="preserve">, a legal entity under public law (LEPL) accountable to </w:t>
      </w:r>
      <w:proofErr w:type="spellStart"/>
      <w:r w:rsidR="00BB060B" w:rsidRPr="00EE7E38">
        <w:rPr>
          <w:rFonts w:ascii="Times New Roman" w:hAnsi="Times New Roman" w:cs="Times New Roman"/>
        </w:rPr>
        <w:t>MoLHSA</w:t>
      </w:r>
      <w:proofErr w:type="spellEnd"/>
      <w:r w:rsidR="00BB060B" w:rsidRPr="00EE7E38">
        <w:rPr>
          <w:rFonts w:ascii="Times New Roman" w:hAnsi="Times New Roman" w:cs="Times New Roman"/>
        </w:rPr>
        <w:t xml:space="preserve">, will further increase its involvement in TB control, in particular in the areas of </w:t>
      </w:r>
      <w:r w:rsidRPr="00EE7E38">
        <w:rPr>
          <w:rFonts w:ascii="Times New Roman" w:hAnsi="Times New Roman" w:cs="Times New Roman"/>
        </w:rPr>
        <w:t xml:space="preserve">TB surveillance, </w:t>
      </w:r>
      <w:r w:rsidR="00BB060B" w:rsidRPr="00EE7E38">
        <w:rPr>
          <w:rFonts w:ascii="Times New Roman" w:hAnsi="Times New Roman" w:cs="Times New Roman"/>
        </w:rPr>
        <w:t xml:space="preserve">management of the public health laboratories’ network providing </w:t>
      </w:r>
      <w:r w:rsidRPr="00EE7E38">
        <w:rPr>
          <w:rFonts w:ascii="Times New Roman" w:hAnsi="Times New Roman" w:cs="Times New Roman"/>
        </w:rPr>
        <w:t>diagnosis</w:t>
      </w:r>
      <w:r w:rsidR="00BB060B" w:rsidRPr="00EE7E38">
        <w:rPr>
          <w:rFonts w:ascii="Times New Roman" w:hAnsi="Times New Roman" w:cs="Times New Roman"/>
        </w:rPr>
        <w:t xml:space="preserve"> of TB,</w:t>
      </w:r>
      <w:r w:rsidR="00D43D9A">
        <w:rPr>
          <w:rFonts w:ascii="Times New Roman" w:hAnsi="Times New Roman" w:cs="Times New Roman"/>
        </w:rPr>
        <w:t xml:space="preserve"> </w:t>
      </w:r>
      <w:r w:rsidR="00BB060B" w:rsidRPr="00EE7E38">
        <w:rPr>
          <w:rFonts w:ascii="Times New Roman" w:hAnsi="Times New Roman" w:cs="Times New Roman"/>
        </w:rPr>
        <w:t xml:space="preserve">and </w:t>
      </w:r>
      <w:r w:rsidRPr="00EE7E38">
        <w:rPr>
          <w:rFonts w:ascii="Times New Roman" w:hAnsi="Times New Roman" w:cs="Times New Roman"/>
        </w:rPr>
        <w:t>program monitoring and evaluation</w:t>
      </w:r>
      <w:r w:rsidR="00BB060B" w:rsidRPr="00EE7E38">
        <w:rPr>
          <w:rFonts w:ascii="Times New Roman" w:hAnsi="Times New Roman" w:cs="Times New Roman"/>
        </w:rPr>
        <w:t xml:space="preserve">. NCDCPH will continue to serve </w:t>
      </w:r>
      <w:r w:rsidR="00BB060B" w:rsidRPr="00EE7E38">
        <w:rPr>
          <w:rFonts w:ascii="Times New Roman" w:hAnsi="Times New Roman" w:cs="Times New Roman"/>
        </w:rPr>
        <w:lastRenderedPageBreak/>
        <w:t>as the Principal Recipient for the Global Fund grants, including the forthcoming new TB grant</w:t>
      </w:r>
      <w:r w:rsidR="00F85984" w:rsidRPr="00EE7E38">
        <w:rPr>
          <w:rFonts w:ascii="Times New Roman" w:hAnsi="Times New Roman" w:cs="Times New Roman"/>
        </w:rPr>
        <w:t xml:space="preserve"> in 2019-2022</w:t>
      </w:r>
      <w:r w:rsidR="006A2697" w:rsidRPr="00EE7E38">
        <w:rPr>
          <w:rFonts w:ascii="Times New Roman" w:hAnsi="Times New Roman" w:cs="Times New Roman"/>
        </w:rPr>
        <w:t>.</w:t>
      </w:r>
    </w:p>
    <w:p w14:paraId="4E76DDDC" w14:textId="77777777" w:rsidR="002A4055" w:rsidRPr="00EE7E38" w:rsidRDefault="00BB060B">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rPr>
        <w:t xml:space="preserve">The </w:t>
      </w:r>
      <w:r w:rsidRPr="00EE7E38">
        <w:rPr>
          <w:rFonts w:ascii="Times New Roman" w:hAnsi="Times New Roman" w:cs="Times New Roman"/>
          <w:b/>
          <w:i/>
        </w:rPr>
        <w:t xml:space="preserve">National Center for Tuberculosis and Lung Diseases (NCTLD) </w:t>
      </w:r>
      <w:r w:rsidRPr="00EE7E38">
        <w:rPr>
          <w:rFonts w:ascii="Times New Roman" w:hAnsi="Times New Roman" w:cs="Times New Roman"/>
        </w:rPr>
        <w:t xml:space="preserve">is a central-level public institution </w:t>
      </w:r>
      <w:r w:rsidR="00B067B7" w:rsidRPr="00EE7E38">
        <w:rPr>
          <w:rFonts w:ascii="Times New Roman" w:hAnsi="Times New Roman" w:cs="Times New Roman"/>
        </w:rPr>
        <w:t>and the national excellence center for TB clinical management. Besides providing treatment of TB cases, NCTLD will continue to carry out its methodological and supervisory functions for specialized TB services countrywide, which involve development of guidelines and protocols, capacity building of medical personnel, and monitoring of quality of services including field supervision and routine recording and reporting on TB.</w:t>
      </w:r>
      <w:r w:rsidR="00B067B7" w:rsidRPr="00EE7E38">
        <w:rPr>
          <w:rFonts w:ascii="Times New Roman" w:hAnsi="Times New Roman" w:cs="Times New Roman"/>
          <w:iCs/>
        </w:rPr>
        <w:t xml:space="preserve"> T</w:t>
      </w:r>
      <w:r w:rsidR="00EE3756" w:rsidRPr="00EE7E38">
        <w:rPr>
          <w:rFonts w:ascii="Times New Roman" w:hAnsi="Times New Roman" w:cs="Times New Roman"/>
        </w:rPr>
        <w:t>he National TB Reference Laboratory (</w:t>
      </w:r>
      <w:r w:rsidR="00B067B7" w:rsidRPr="00EE7E38">
        <w:rPr>
          <w:rFonts w:ascii="Times New Roman" w:hAnsi="Times New Roman" w:cs="Times New Roman"/>
        </w:rPr>
        <w:t xml:space="preserve">currently </w:t>
      </w:r>
      <w:r w:rsidR="00EE3756" w:rsidRPr="00EE7E38">
        <w:rPr>
          <w:rFonts w:ascii="Times New Roman" w:hAnsi="Times New Roman" w:cs="Times New Roman"/>
        </w:rPr>
        <w:t xml:space="preserve">part of NCTLD) will </w:t>
      </w:r>
      <w:r w:rsidR="00B067B7" w:rsidRPr="00EE7E38">
        <w:rPr>
          <w:rFonts w:ascii="Times New Roman" w:hAnsi="Times New Roman" w:cs="Times New Roman"/>
        </w:rPr>
        <w:t xml:space="preserve">undertake its functions in TB diagnosis in </w:t>
      </w:r>
      <w:r w:rsidR="00EE3756" w:rsidRPr="00EE7E38">
        <w:rPr>
          <w:rFonts w:ascii="Times New Roman" w:hAnsi="Times New Roman" w:cs="Times New Roman"/>
        </w:rPr>
        <w:t xml:space="preserve">close interaction with NCDCPH </w:t>
      </w:r>
      <w:r w:rsidR="00B067B7" w:rsidRPr="00EE7E38">
        <w:rPr>
          <w:rFonts w:ascii="Times New Roman" w:hAnsi="Times New Roman" w:cs="Times New Roman"/>
        </w:rPr>
        <w:t>laboratory network</w:t>
      </w:r>
      <w:r w:rsidR="00EE3756" w:rsidRPr="00EE7E38">
        <w:rPr>
          <w:rFonts w:ascii="Times New Roman" w:hAnsi="Times New Roman" w:cs="Times New Roman"/>
        </w:rPr>
        <w:t xml:space="preserve">. </w:t>
      </w:r>
    </w:p>
    <w:p w14:paraId="412A2028" w14:textId="77777777" w:rsidR="002A4055" w:rsidRPr="00EE7E38" w:rsidRDefault="00B067B7">
      <w:pPr>
        <w:widowControl w:val="0"/>
        <w:numPr>
          <w:ilvl w:val="0"/>
          <w:numId w:val="6"/>
        </w:numPr>
        <w:spacing w:before="120" w:after="120" w:line="240" w:lineRule="auto"/>
        <w:jc w:val="both"/>
        <w:rPr>
          <w:rFonts w:ascii="Times New Roman" w:hAnsi="Times New Roman" w:cs="Times New Roman"/>
          <w:iCs/>
        </w:rPr>
      </w:pPr>
      <w:r w:rsidRPr="00EE7E38">
        <w:rPr>
          <w:rFonts w:ascii="Times New Roman" w:hAnsi="Times New Roman" w:cs="Times New Roman"/>
        </w:rPr>
        <w:t xml:space="preserve">The </w:t>
      </w:r>
      <w:r w:rsidRPr="00EE7E38">
        <w:rPr>
          <w:rFonts w:ascii="Times New Roman" w:hAnsi="Times New Roman" w:cs="Times New Roman"/>
          <w:b/>
          <w:i/>
        </w:rPr>
        <w:t>Ministry of Corrections (</w:t>
      </w:r>
      <w:proofErr w:type="spellStart"/>
      <w:r w:rsidRPr="00EE7E38">
        <w:rPr>
          <w:rFonts w:ascii="Times New Roman" w:hAnsi="Times New Roman" w:cs="Times New Roman"/>
          <w:b/>
          <w:i/>
        </w:rPr>
        <w:t>M</w:t>
      </w:r>
      <w:r w:rsidR="0062568A" w:rsidRPr="00EE7E38">
        <w:rPr>
          <w:rFonts w:ascii="Times New Roman" w:hAnsi="Times New Roman" w:cs="Times New Roman"/>
          <w:b/>
          <w:i/>
        </w:rPr>
        <w:t>o</w:t>
      </w:r>
      <w:r w:rsidRPr="00EE7E38">
        <w:rPr>
          <w:rFonts w:ascii="Times New Roman" w:hAnsi="Times New Roman" w:cs="Times New Roman"/>
          <w:b/>
          <w:i/>
        </w:rPr>
        <w:t>C</w:t>
      </w:r>
      <w:proofErr w:type="spellEnd"/>
      <w:r w:rsidRPr="00EE7E38">
        <w:rPr>
          <w:rFonts w:ascii="Times New Roman" w:hAnsi="Times New Roman" w:cs="Times New Roman"/>
          <w:b/>
          <w:i/>
        </w:rPr>
        <w:t>)</w:t>
      </w:r>
      <w:r w:rsidRPr="00EE7E38">
        <w:rPr>
          <w:rFonts w:ascii="Times New Roman" w:hAnsi="Times New Roman" w:cs="Times New Roman"/>
        </w:rPr>
        <w:t xml:space="preserve"> is responsible for the implementation of TB control interventions in the penitentiary system and will ensure their full integration and coordination within the overall national program. Under NTC stewardship, MCLA and </w:t>
      </w:r>
      <w:proofErr w:type="spellStart"/>
      <w:r w:rsidRPr="00EE7E38">
        <w:rPr>
          <w:rFonts w:ascii="Times New Roman" w:hAnsi="Times New Roman" w:cs="Times New Roman"/>
        </w:rPr>
        <w:t>MoLHSA</w:t>
      </w:r>
      <w:proofErr w:type="spellEnd"/>
      <w:r w:rsidRPr="00EE7E38">
        <w:rPr>
          <w:rFonts w:ascii="Times New Roman" w:hAnsi="Times New Roman" w:cs="Times New Roman"/>
        </w:rPr>
        <w:t xml:space="preserve"> will further develop their collaboration in TB control that will include joint planning </w:t>
      </w:r>
      <w:r w:rsidR="00244DEA" w:rsidRPr="00EE7E38">
        <w:rPr>
          <w:rFonts w:ascii="Times New Roman" w:hAnsi="Times New Roman" w:cs="Times New Roman"/>
        </w:rPr>
        <w:t xml:space="preserve">of interventions and development of regulations providing for further strengthening the collaboration between the civilian and penitentiary health care services. </w:t>
      </w:r>
    </w:p>
    <w:p w14:paraId="08207334" w14:textId="77777777" w:rsidR="002A4055" w:rsidRPr="00EE7E38" w:rsidRDefault="00244DEA">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b/>
          <w:i/>
        </w:rPr>
        <w:t>The Infectious Diseases, AIDS and Clinical Immunology Research Center (IDACIRC)</w:t>
      </w:r>
      <w:r w:rsidRPr="00EE7E38">
        <w:rPr>
          <w:rFonts w:ascii="Times New Roman" w:hAnsi="Times New Roman" w:cs="Times New Roman"/>
        </w:rPr>
        <w:t xml:space="preserve">, in its capacity of the central unit for the National HIV/AIDS Program (NAP), will closely cooperate with the NTP to ensure effective implementation of activities aimed at improving the management of HIV-associated TB, which have been included in both TB and HIV National Strategic Plans. </w:t>
      </w:r>
      <w:r w:rsidRPr="00EE7E38">
        <w:rPr>
          <w:rFonts w:ascii="Times New Roman" w:hAnsi="Times New Roman" w:cs="Times New Roman"/>
          <w:iCs/>
        </w:rPr>
        <w:t xml:space="preserve">Special emphasis will be placed on the </w:t>
      </w:r>
      <w:r w:rsidR="00EC05E1" w:rsidRPr="00EE7E38">
        <w:rPr>
          <w:rFonts w:ascii="Times New Roman" w:hAnsi="Times New Roman" w:cs="Times New Roman"/>
          <w:iCs/>
        </w:rPr>
        <w:t>coordinated revision of n</w:t>
      </w:r>
      <w:r w:rsidRPr="00EE7E38">
        <w:rPr>
          <w:rFonts w:ascii="Times New Roman" w:hAnsi="Times New Roman" w:cs="Times New Roman"/>
        </w:rPr>
        <w:t>ational TB and HIV guidelines</w:t>
      </w:r>
      <w:r w:rsidR="00EC05E1" w:rsidRPr="00EE7E38">
        <w:rPr>
          <w:rFonts w:ascii="Times New Roman" w:hAnsi="Times New Roman" w:cs="Times New Roman"/>
        </w:rPr>
        <w:t xml:space="preserve">, </w:t>
      </w:r>
      <w:r w:rsidRPr="00EE7E38">
        <w:rPr>
          <w:rFonts w:ascii="Times New Roman" w:hAnsi="Times New Roman" w:cs="Times New Roman"/>
        </w:rPr>
        <w:t>integration of information systems</w:t>
      </w:r>
      <w:r w:rsidR="00EC05E1" w:rsidRPr="00EE7E38">
        <w:rPr>
          <w:rFonts w:ascii="Times New Roman" w:hAnsi="Times New Roman" w:cs="Times New Roman"/>
        </w:rPr>
        <w:t xml:space="preserve"> and enabling conditions for appropriate integration of </w:t>
      </w:r>
      <w:r w:rsidRPr="00EE7E38">
        <w:rPr>
          <w:rFonts w:ascii="Times New Roman" w:hAnsi="Times New Roman" w:cs="Times New Roman"/>
        </w:rPr>
        <w:t xml:space="preserve">TB and HIV services </w:t>
      </w:r>
      <w:r w:rsidR="00EC05E1" w:rsidRPr="00EE7E38">
        <w:rPr>
          <w:rFonts w:ascii="Times New Roman" w:hAnsi="Times New Roman" w:cs="Times New Roman"/>
        </w:rPr>
        <w:t>at the central, regional and district levels.</w:t>
      </w:r>
    </w:p>
    <w:p w14:paraId="5FF04F1B" w14:textId="0BCD685C" w:rsidR="002A4055" w:rsidRPr="00EE7E38" w:rsidRDefault="004E11B0">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rPr>
        <w:t>The</w:t>
      </w:r>
      <w:r w:rsidR="00AF4742" w:rsidRPr="00EE7E38">
        <w:rPr>
          <w:rFonts w:ascii="Times New Roman" w:hAnsi="Times New Roman" w:cs="Times New Roman"/>
        </w:rPr>
        <w:t xml:space="preserve"> </w:t>
      </w:r>
      <w:r w:rsidRPr="00EE7E38">
        <w:rPr>
          <w:rFonts w:ascii="Times New Roman" w:hAnsi="Times New Roman" w:cs="Times New Roman"/>
          <w:b/>
          <w:bCs/>
          <w:i/>
          <w:iCs/>
        </w:rPr>
        <w:t xml:space="preserve">Ministries of </w:t>
      </w:r>
      <w:r w:rsidR="00321AB6" w:rsidRPr="00EE7E38">
        <w:rPr>
          <w:rFonts w:ascii="Times New Roman" w:hAnsi="Times New Roman" w:cs="Times New Roman"/>
          <w:b/>
          <w:bCs/>
          <w:i/>
          <w:iCs/>
        </w:rPr>
        <w:t xml:space="preserve">Economy and Sustainable Development, </w:t>
      </w:r>
      <w:r w:rsidRPr="00EE7E38">
        <w:rPr>
          <w:rFonts w:ascii="Times New Roman" w:hAnsi="Times New Roman" w:cs="Times New Roman"/>
          <w:b/>
          <w:bCs/>
          <w:i/>
          <w:iCs/>
        </w:rPr>
        <w:t xml:space="preserve">Finance, </w:t>
      </w:r>
      <w:r w:rsidR="00657CF4" w:rsidRPr="00EE7E38">
        <w:rPr>
          <w:rFonts w:ascii="Times New Roman" w:hAnsi="Times New Roman" w:cs="Times New Roman"/>
          <w:b/>
          <w:bCs/>
          <w:i/>
          <w:iCs/>
        </w:rPr>
        <w:t xml:space="preserve">Education and Science, Regional Development and Infrastructure </w:t>
      </w:r>
      <w:r w:rsidRPr="00EE7E38">
        <w:rPr>
          <w:rFonts w:ascii="Times New Roman" w:hAnsi="Times New Roman" w:cs="Times New Roman"/>
          <w:bCs/>
          <w:iCs/>
        </w:rPr>
        <w:t xml:space="preserve">and other </w:t>
      </w:r>
      <w:r w:rsidR="009301C5" w:rsidRPr="00EE7E38">
        <w:rPr>
          <w:rFonts w:ascii="Times New Roman" w:hAnsi="Times New Roman" w:cs="Times New Roman"/>
          <w:bCs/>
          <w:iCs/>
        </w:rPr>
        <w:t xml:space="preserve">central and local </w:t>
      </w:r>
      <w:r w:rsidRPr="00EE7E38">
        <w:rPr>
          <w:rFonts w:ascii="Times New Roman" w:hAnsi="Times New Roman" w:cs="Times New Roman"/>
          <w:bCs/>
          <w:iCs/>
        </w:rPr>
        <w:t>government bodies</w:t>
      </w:r>
      <w:r w:rsidR="00AF4742" w:rsidRPr="00EE7E38">
        <w:rPr>
          <w:rFonts w:ascii="Times New Roman" w:hAnsi="Times New Roman" w:cs="Times New Roman"/>
          <w:bCs/>
          <w:iCs/>
        </w:rPr>
        <w:t xml:space="preserve"> </w:t>
      </w:r>
      <w:r w:rsidRPr="00EE7E38">
        <w:rPr>
          <w:rFonts w:ascii="Times New Roman" w:hAnsi="Times New Roman" w:cs="Times New Roman"/>
        </w:rPr>
        <w:t xml:space="preserve">will support </w:t>
      </w:r>
      <w:proofErr w:type="spellStart"/>
      <w:r w:rsidRPr="00EE7E38">
        <w:rPr>
          <w:rFonts w:ascii="Times New Roman" w:hAnsi="Times New Roman" w:cs="Times New Roman"/>
        </w:rPr>
        <w:t>M</w:t>
      </w:r>
      <w:r w:rsidR="00657CF4" w:rsidRPr="00EE7E38">
        <w:rPr>
          <w:rFonts w:ascii="Times New Roman" w:hAnsi="Times New Roman" w:cs="Times New Roman"/>
        </w:rPr>
        <w:t>oLHSA</w:t>
      </w:r>
      <w:proofErr w:type="spellEnd"/>
      <w:r w:rsidR="00657CF4" w:rsidRPr="00EE7E38">
        <w:rPr>
          <w:rFonts w:ascii="Times New Roman" w:hAnsi="Times New Roman" w:cs="Times New Roman"/>
        </w:rPr>
        <w:t xml:space="preserve"> </w:t>
      </w:r>
      <w:r w:rsidRPr="00EE7E38">
        <w:rPr>
          <w:rFonts w:ascii="Times New Roman" w:hAnsi="Times New Roman" w:cs="Times New Roman"/>
        </w:rPr>
        <w:t xml:space="preserve">in legal matters, ensuring prioritized and appropriate financing of health care interventions including those for TB control, institutional development, </w:t>
      </w:r>
      <w:r w:rsidR="00657CF4" w:rsidRPr="00EE7E38">
        <w:rPr>
          <w:rFonts w:ascii="Times New Roman" w:hAnsi="Times New Roman" w:cs="Times New Roman"/>
        </w:rPr>
        <w:t xml:space="preserve">TB-related </w:t>
      </w:r>
      <w:r w:rsidRPr="00EE7E38">
        <w:rPr>
          <w:rFonts w:ascii="Times New Roman" w:hAnsi="Times New Roman" w:cs="Times New Roman"/>
        </w:rPr>
        <w:t>information</w:t>
      </w:r>
      <w:r w:rsidR="00657CF4" w:rsidRPr="00EE7E38">
        <w:rPr>
          <w:rFonts w:ascii="Times New Roman" w:hAnsi="Times New Roman" w:cs="Times New Roman"/>
        </w:rPr>
        <w:t>al</w:t>
      </w:r>
      <w:r w:rsidRPr="00EE7E38">
        <w:rPr>
          <w:rFonts w:ascii="Times New Roman" w:hAnsi="Times New Roman" w:cs="Times New Roman"/>
        </w:rPr>
        <w:t xml:space="preserve"> and education</w:t>
      </w:r>
      <w:r w:rsidR="00657CF4" w:rsidRPr="00EE7E38">
        <w:rPr>
          <w:rFonts w:ascii="Times New Roman" w:hAnsi="Times New Roman" w:cs="Times New Roman"/>
        </w:rPr>
        <w:t>al</w:t>
      </w:r>
      <w:r w:rsidRPr="00EE7E38">
        <w:rPr>
          <w:rFonts w:ascii="Times New Roman" w:hAnsi="Times New Roman" w:cs="Times New Roman"/>
        </w:rPr>
        <w:t xml:space="preserve"> activities and other relevant issues.</w:t>
      </w:r>
      <w:r w:rsidR="00465B2D">
        <w:rPr>
          <w:rFonts w:ascii="Times New Roman" w:hAnsi="Times New Roman" w:cs="Times New Roman"/>
        </w:rPr>
        <w:t xml:space="preserve">  </w:t>
      </w:r>
      <w:r w:rsidR="005C70CA" w:rsidRPr="00EE7E38">
        <w:rPr>
          <w:rFonts w:ascii="Times New Roman" w:hAnsi="Times New Roman" w:cs="Times New Roman"/>
        </w:rPr>
        <w:t xml:space="preserve">During the next NSP period, the NTC, CCM and </w:t>
      </w:r>
      <w:proofErr w:type="spellStart"/>
      <w:r w:rsidR="005C70CA" w:rsidRPr="00EE7E38">
        <w:rPr>
          <w:rFonts w:ascii="Times New Roman" w:hAnsi="Times New Roman" w:cs="Times New Roman"/>
        </w:rPr>
        <w:t>MoLHSA</w:t>
      </w:r>
      <w:proofErr w:type="spellEnd"/>
      <w:r w:rsidR="005C70CA" w:rsidRPr="00EE7E38">
        <w:rPr>
          <w:rFonts w:ascii="Times New Roman" w:hAnsi="Times New Roman" w:cs="Times New Roman"/>
        </w:rPr>
        <w:t xml:space="preserve"> will place priority emphasis on advocacy activities with the governmental partners, aiming at enabling an effective and coordinated multisectoral response to TB epidemic.</w:t>
      </w:r>
    </w:p>
    <w:p w14:paraId="2117A803" w14:textId="1AA5D806" w:rsidR="002A4055" w:rsidRPr="00EE7E38" w:rsidRDefault="004E11B0" w:rsidP="00F85984">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rPr>
        <w:t>Implementation of priority activities, outline</w:t>
      </w:r>
      <w:r w:rsidR="009301C5" w:rsidRPr="00EE7E38">
        <w:rPr>
          <w:rFonts w:ascii="Times New Roman" w:hAnsi="Times New Roman" w:cs="Times New Roman"/>
        </w:rPr>
        <w:t>d</w:t>
      </w:r>
      <w:r w:rsidRPr="00EE7E38">
        <w:rPr>
          <w:rFonts w:ascii="Times New Roman" w:hAnsi="Times New Roman" w:cs="Times New Roman"/>
        </w:rPr>
        <w:t xml:space="preserve"> in the Plan, relies on </w:t>
      </w:r>
      <w:r w:rsidR="009301C5" w:rsidRPr="00EE7E38">
        <w:rPr>
          <w:rFonts w:ascii="Times New Roman" w:hAnsi="Times New Roman" w:cs="Times New Roman"/>
        </w:rPr>
        <w:t xml:space="preserve">the </w:t>
      </w:r>
      <w:r w:rsidRPr="00EE7E38">
        <w:rPr>
          <w:rFonts w:ascii="Times New Roman" w:hAnsi="Times New Roman" w:cs="Times New Roman"/>
        </w:rPr>
        <w:t xml:space="preserve">close </w:t>
      </w:r>
      <w:r w:rsidR="009301C5" w:rsidRPr="00EE7E38">
        <w:rPr>
          <w:rFonts w:ascii="Times New Roman" w:hAnsi="Times New Roman" w:cs="Times New Roman"/>
        </w:rPr>
        <w:t xml:space="preserve">involvement of the </w:t>
      </w:r>
      <w:r w:rsidRPr="00EE7E38">
        <w:rPr>
          <w:rFonts w:ascii="Times New Roman" w:hAnsi="Times New Roman" w:cs="Times New Roman"/>
          <w:b/>
          <w:i/>
        </w:rPr>
        <w:t>medical education institutions</w:t>
      </w:r>
      <w:r w:rsidRPr="00EE7E38">
        <w:rPr>
          <w:rFonts w:ascii="Times New Roman" w:hAnsi="Times New Roman" w:cs="Times New Roman"/>
        </w:rPr>
        <w:t xml:space="preserve">, which are expected to play an important role in generating </w:t>
      </w:r>
      <w:r w:rsidR="009301C5" w:rsidRPr="00EE7E38">
        <w:rPr>
          <w:rFonts w:ascii="Times New Roman" w:hAnsi="Times New Roman" w:cs="Times New Roman"/>
        </w:rPr>
        <w:t xml:space="preserve">scientific </w:t>
      </w:r>
      <w:r w:rsidRPr="00EE7E38">
        <w:rPr>
          <w:rFonts w:ascii="Times New Roman" w:hAnsi="Times New Roman" w:cs="Times New Roman"/>
        </w:rPr>
        <w:t>evidence</w:t>
      </w:r>
      <w:r w:rsidR="009301C5" w:rsidRPr="00EE7E38">
        <w:rPr>
          <w:rFonts w:ascii="Times New Roman" w:hAnsi="Times New Roman" w:cs="Times New Roman"/>
        </w:rPr>
        <w:t>, graduate education</w:t>
      </w:r>
      <w:r w:rsidRPr="00EE7E38">
        <w:rPr>
          <w:rFonts w:ascii="Times New Roman" w:hAnsi="Times New Roman" w:cs="Times New Roman"/>
        </w:rPr>
        <w:t xml:space="preserve"> and continuous capacity development </w:t>
      </w:r>
      <w:r w:rsidR="009301C5" w:rsidRPr="00EE7E38">
        <w:rPr>
          <w:rFonts w:ascii="Times New Roman" w:hAnsi="Times New Roman" w:cs="Times New Roman"/>
        </w:rPr>
        <w:t xml:space="preserve">of the </w:t>
      </w:r>
      <w:r w:rsidRPr="00EE7E38">
        <w:rPr>
          <w:rFonts w:ascii="Times New Roman" w:hAnsi="Times New Roman" w:cs="Times New Roman"/>
        </w:rPr>
        <w:t xml:space="preserve">health care </w:t>
      </w:r>
      <w:r w:rsidR="009301C5" w:rsidRPr="00EE7E38">
        <w:rPr>
          <w:rFonts w:ascii="Times New Roman" w:hAnsi="Times New Roman" w:cs="Times New Roman"/>
        </w:rPr>
        <w:t>staff</w:t>
      </w:r>
      <w:r w:rsidRPr="00EE7E38">
        <w:rPr>
          <w:rFonts w:ascii="Times New Roman" w:hAnsi="Times New Roman" w:cs="Times New Roman"/>
        </w:rPr>
        <w:t xml:space="preserve">. </w:t>
      </w:r>
      <w:r w:rsidRPr="00EE7E38">
        <w:rPr>
          <w:rFonts w:ascii="Times New Roman" w:hAnsi="Times New Roman" w:cs="Times New Roman"/>
          <w:b/>
          <w:i/>
        </w:rPr>
        <w:t xml:space="preserve">National TB </w:t>
      </w:r>
      <w:r w:rsidR="00AF4742" w:rsidRPr="00EE7E38">
        <w:rPr>
          <w:rFonts w:ascii="Times New Roman" w:hAnsi="Times New Roman" w:cs="Times New Roman"/>
          <w:b/>
          <w:i/>
        </w:rPr>
        <w:t>Coalition</w:t>
      </w:r>
      <w:r w:rsidRPr="00EE7E38">
        <w:rPr>
          <w:rFonts w:ascii="Times New Roman" w:hAnsi="Times New Roman" w:cs="Times New Roman"/>
        </w:rPr>
        <w:t xml:space="preserve"> serve</w:t>
      </w:r>
      <w:r w:rsidR="00AF4742" w:rsidRPr="00EE7E38">
        <w:rPr>
          <w:rFonts w:ascii="Times New Roman" w:hAnsi="Times New Roman" w:cs="Times New Roman"/>
        </w:rPr>
        <w:t>s</w:t>
      </w:r>
      <w:r w:rsidRPr="00EE7E38">
        <w:rPr>
          <w:rFonts w:ascii="Times New Roman" w:hAnsi="Times New Roman" w:cs="Times New Roman"/>
        </w:rPr>
        <w:t xml:space="preserve"> as a platform for fostering the involvement of different non-state actors (including civil society organizations, associations of patients and health professionals) in TB control activities in the country. The Plan is reliant </w:t>
      </w:r>
      <w:r w:rsidR="009301C5" w:rsidRPr="00EE7E38">
        <w:rPr>
          <w:rFonts w:ascii="Times New Roman" w:hAnsi="Times New Roman" w:cs="Times New Roman"/>
        </w:rPr>
        <w:t xml:space="preserve">on the </w:t>
      </w:r>
      <w:r w:rsidRPr="00EE7E38">
        <w:rPr>
          <w:rFonts w:ascii="Times New Roman" w:hAnsi="Times New Roman" w:cs="Times New Roman"/>
        </w:rPr>
        <w:t xml:space="preserve">increasing participation of </w:t>
      </w:r>
      <w:r w:rsidRPr="00EE7E38">
        <w:rPr>
          <w:rFonts w:ascii="Times New Roman" w:hAnsi="Times New Roman" w:cs="Times New Roman"/>
          <w:b/>
          <w:i/>
        </w:rPr>
        <w:t>non-governmental organizations</w:t>
      </w:r>
      <w:r w:rsidRPr="00EE7E38">
        <w:rPr>
          <w:rFonts w:ascii="Times New Roman" w:hAnsi="Times New Roman" w:cs="Times New Roman"/>
        </w:rPr>
        <w:t xml:space="preserve"> in TB control </w:t>
      </w:r>
      <w:r w:rsidR="009301C5" w:rsidRPr="00EE7E38">
        <w:rPr>
          <w:rFonts w:ascii="Times New Roman" w:hAnsi="Times New Roman" w:cs="Times New Roman"/>
        </w:rPr>
        <w:t>activities</w:t>
      </w:r>
      <w:r w:rsidRPr="00EE7E38">
        <w:rPr>
          <w:rFonts w:ascii="Times New Roman" w:hAnsi="Times New Roman" w:cs="Times New Roman"/>
        </w:rPr>
        <w:t xml:space="preserve">, specifically </w:t>
      </w:r>
      <w:r w:rsidR="009301C5" w:rsidRPr="00EE7E38">
        <w:rPr>
          <w:rFonts w:ascii="Times New Roman" w:hAnsi="Times New Roman" w:cs="Times New Roman"/>
        </w:rPr>
        <w:t xml:space="preserve">in those </w:t>
      </w:r>
      <w:r w:rsidRPr="00EE7E38">
        <w:rPr>
          <w:rFonts w:ascii="Times New Roman" w:hAnsi="Times New Roman" w:cs="Times New Roman"/>
        </w:rPr>
        <w:t xml:space="preserve">aimed at promoting patient-centered care and addressing the needs of vulnerable and high-risk population groups. </w:t>
      </w:r>
    </w:p>
    <w:p w14:paraId="23952F77" w14:textId="77777777" w:rsidR="004E11B0" w:rsidRPr="00EE7E38" w:rsidRDefault="004E11B0" w:rsidP="00835F94">
      <w:pPr>
        <w:widowControl w:val="0"/>
        <w:spacing w:before="120" w:after="120" w:line="240" w:lineRule="auto"/>
        <w:jc w:val="both"/>
        <w:rPr>
          <w:rFonts w:ascii="Times New Roman" w:hAnsi="Times New Roman" w:cs="Times New Roman"/>
          <w:i/>
          <w:iCs/>
        </w:rPr>
      </w:pPr>
      <w:r w:rsidRPr="00EE7E38">
        <w:rPr>
          <w:rFonts w:ascii="Times New Roman" w:hAnsi="Times New Roman" w:cs="Times New Roman"/>
          <w:b/>
          <w:bCs/>
        </w:rPr>
        <w:t>External support</w:t>
      </w:r>
    </w:p>
    <w:p w14:paraId="2D4AC0CC"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Financial and programmatic support from international donors and development assistance partners has been instrumental in the area of TB control in </w:t>
      </w:r>
      <w:r w:rsidR="00310789" w:rsidRPr="00EE7E38">
        <w:rPr>
          <w:rFonts w:ascii="Times New Roman" w:hAnsi="Times New Roman" w:cs="Times New Roman"/>
        </w:rPr>
        <w:t xml:space="preserve">Georgia. </w:t>
      </w:r>
      <w:r w:rsidRPr="00EE7E38">
        <w:rPr>
          <w:rFonts w:ascii="Times New Roman" w:hAnsi="Times New Roman" w:cs="Times New Roman"/>
        </w:rPr>
        <w:t xml:space="preserve">While the Government is committed to increasingly allocate financial, human and other resources for strengthening TB control interventions, the country will still be in need of external </w:t>
      </w:r>
      <w:r w:rsidR="00310789" w:rsidRPr="00EE7E38">
        <w:rPr>
          <w:rFonts w:ascii="Times New Roman" w:hAnsi="Times New Roman" w:cs="Times New Roman"/>
        </w:rPr>
        <w:t xml:space="preserve">support in the field of TB control </w:t>
      </w:r>
      <w:r w:rsidRPr="00EE7E38">
        <w:rPr>
          <w:rFonts w:ascii="Times New Roman" w:hAnsi="Times New Roman" w:cs="Times New Roman"/>
        </w:rPr>
        <w:t xml:space="preserve">during the coming years. </w:t>
      </w:r>
      <w:r w:rsidR="00310789" w:rsidRPr="00EE7E38">
        <w:rPr>
          <w:rFonts w:ascii="Times New Roman" w:hAnsi="Times New Roman" w:cs="Times New Roman"/>
        </w:rPr>
        <w:t xml:space="preserve">The NSP </w:t>
      </w:r>
      <w:r w:rsidRPr="00EE7E38">
        <w:rPr>
          <w:rFonts w:ascii="Times New Roman" w:hAnsi="Times New Roman" w:cs="Times New Roman"/>
        </w:rPr>
        <w:t xml:space="preserve">therefore relies on further streamlining </w:t>
      </w:r>
      <w:r w:rsidR="00310789" w:rsidRPr="00EE7E38">
        <w:rPr>
          <w:rFonts w:ascii="Times New Roman" w:hAnsi="Times New Roman" w:cs="Times New Roman"/>
        </w:rPr>
        <w:t xml:space="preserve">the external assistance </w:t>
      </w:r>
      <w:r w:rsidRPr="00EE7E38">
        <w:rPr>
          <w:rFonts w:ascii="Times New Roman" w:hAnsi="Times New Roman" w:cs="Times New Roman"/>
        </w:rPr>
        <w:t xml:space="preserve">to meet </w:t>
      </w:r>
      <w:r w:rsidR="00310789" w:rsidRPr="00EE7E38">
        <w:rPr>
          <w:rFonts w:ascii="Times New Roman" w:hAnsi="Times New Roman" w:cs="Times New Roman"/>
        </w:rPr>
        <w:t xml:space="preserve">its </w:t>
      </w:r>
      <w:r w:rsidRPr="00EE7E38">
        <w:rPr>
          <w:rFonts w:ascii="Times New Roman" w:hAnsi="Times New Roman" w:cs="Times New Roman"/>
        </w:rPr>
        <w:t>objectives and targets</w:t>
      </w:r>
      <w:r w:rsidR="00310789" w:rsidRPr="00EE7E38">
        <w:rPr>
          <w:rFonts w:ascii="Times New Roman" w:hAnsi="Times New Roman" w:cs="Times New Roman"/>
        </w:rPr>
        <w:t xml:space="preserve">. </w:t>
      </w:r>
      <w:r w:rsidRPr="00EE7E38">
        <w:rPr>
          <w:rFonts w:ascii="Times New Roman" w:hAnsi="Times New Roman" w:cs="Times New Roman"/>
        </w:rPr>
        <w:t>The key international partners include:</w:t>
      </w:r>
    </w:p>
    <w:p w14:paraId="27D32069" w14:textId="77777777" w:rsidR="00C97C57" w:rsidRPr="00EE7E38" w:rsidRDefault="004E11B0" w:rsidP="005D6045">
      <w:pPr>
        <w:widowControl w:val="0"/>
        <w:numPr>
          <w:ilvl w:val="0"/>
          <w:numId w:val="6"/>
        </w:numPr>
        <w:spacing w:before="120" w:after="120" w:line="240" w:lineRule="auto"/>
        <w:jc w:val="both"/>
        <w:rPr>
          <w:rFonts w:ascii="Times New Roman" w:hAnsi="Times New Roman" w:cs="Times New Roman"/>
        </w:rPr>
      </w:pPr>
      <w:r w:rsidRPr="00EE7E38">
        <w:rPr>
          <w:rFonts w:ascii="Times New Roman" w:hAnsi="Times New Roman" w:cs="Times New Roman"/>
          <w:b/>
          <w:bCs/>
          <w:i/>
          <w:iCs/>
        </w:rPr>
        <w:t>The Global Fund to Fight AIDS, Tuberculosis and Malaria (TGF)</w:t>
      </w:r>
      <w:r w:rsidRPr="00EE7E38">
        <w:rPr>
          <w:rFonts w:ascii="Times New Roman" w:hAnsi="Times New Roman" w:cs="Times New Roman"/>
        </w:rPr>
        <w:t xml:space="preserve">. The ongoing </w:t>
      </w:r>
      <w:r w:rsidR="00310789" w:rsidRPr="00EE7E38">
        <w:rPr>
          <w:rFonts w:ascii="Times New Roman" w:hAnsi="Times New Roman" w:cs="Times New Roman"/>
        </w:rPr>
        <w:t xml:space="preserve">TB </w:t>
      </w:r>
      <w:r w:rsidRPr="00EE7E38">
        <w:rPr>
          <w:rFonts w:ascii="Times New Roman" w:hAnsi="Times New Roman" w:cs="Times New Roman"/>
        </w:rPr>
        <w:t>project (</w:t>
      </w:r>
      <w:r w:rsidR="001255AC" w:rsidRPr="00EE7E38">
        <w:rPr>
          <w:rFonts w:ascii="Times New Roman" w:hAnsi="Times New Roman" w:cs="Times New Roman"/>
        </w:rPr>
        <w:t xml:space="preserve">grant GEO-T-NCDC) </w:t>
      </w:r>
      <w:r w:rsidR="00AF4742" w:rsidRPr="00EE7E38">
        <w:rPr>
          <w:rFonts w:ascii="Times New Roman" w:hAnsi="Times New Roman" w:cs="Times New Roman"/>
        </w:rPr>
        <w:t xml:space="preserve">under New Funding Model </w:t>
      </w:r>
      <w:r w:rsidRPr="00EE7E38">
        <w:rPr>
          <w:rFonts w:ascii="Times New Roman" w:hAnsi="Times New Roman" w:cs="Times New Roman"/>
        </w:rPr>
        <w:t>will be completed in 201</w:t>
      </w:r>
      <w:r w:rsidR="00AF4742" w:rsidRPr="00EE7E38">
        <w:rPr>
          <w:rFonts w:ascii="Times New Roman" w:hAnsi="Times New Roman" w:cs="Times New Roman"/>
        </w:rPr>
        <w:t>9</w:t>
      </w:r>
      <w:r w:rsidRPr="00EE7E38">
        <w:rPr>
          <w:rFonts w:ascii="Times New Roman" w:hAnsi="Times New Roman" w:cs="Times New Roman"/>
        </w:rPr>
        <w:t xml:space="preserve">. </w:t>
      </w:r>
      <w:r w:rsidR="001255AC" w:rsidRPr="00EE7E38">
        <w:rPr>
          <w:rFonts w:ascii="Times New Roman" w:hAnsi="Times New Roman" w:cs="Times New Roman"/>
        </w:rPr>
        <w:t xml:space="preserve">The National Center for Disease Control and Public Health is the </w:t>
      </w:r>
      <w:r w:rsidRPr="00EE7E38">
        <w:rPr>
          <w:rFonts w:ascii="Times New Roman" w:hAnsi="Times New Roman" w:cs="Times New Roman"/>
        </w:rPr>
        <w:t>Principal Recipient</w:t>
      </w:r>
      <w:r w:rsidR="00AF4742" w:rsidRPr="00EE7E38">
        <w:rPr>
          <w:rFonts w:ascii="Times New Roman" w:hAnsi="Times New Roman" w:cs="Times New Roman"/>
        </w:rPr>
        <w:t xml:space="preserve"> </w:t>
      </w:r>
      <w:r w:rsidRPr="00EE7E38">
        <w:rPr>
          <w:rFonts w:ascii="Times New Roman" w:hAnsi="Times New Roman" w:cs="Times New Roman"/>
        </w:rPr>
        <w:t>of the grant</w:t>
      </w:r>
      <w:r w:rsidR="001255AC" w:rsidRPr="00EE7E38">
        <w:rPr>
          <w:rFonts w:ascii="Times New Roman" w:hAnsi="Times New Roman" w:cs="Times New Roman"/>
        </w:rPr>
        <w:t xml:space="preserve"> funds</w:t>
      </w:r>
      <w:r w:rsidRPr="00EE7E38">
        <w:rPr>
          <w:rFonts w:ascii="Times New Roman" w:hAnsi="Times New Roman" w:cs="Times New Roman"/>
        </w:rPr>
        <w:t>.</w:t>
      </w:r>
      <w:r w:rsidR="00AF4742" w:rsidRPr="00EE7E38">
        <w:rPr>
          <w:rFonts w:ascii="Times New Roman" w:hAnsi="Times New Roman" w:cs="Times New Roman"/>
        </w:rPr>
        <w:t xml:space="preserve"> </w:t>
      </w:r>
      <w:r w:rsidRPr="00EE7E38">
        <w:rPr>
          <w:rFonts w:ascii="Times New Roman" w:hAnsi="Times New Roman" w:cs="Times New Roman"/>
        </w:rPr>
        <w:t xml:space="preserve">In </w:t>
      </w:r>
      <w:r w:rsidR="00AF4742" w:rsidRPr="00EE7E38">
        <w:rPr>
          <w:rFonts w:ascii="Times New Roman" w:hAnsi="Times New Roman" w:cs="Times New Roman"/>
        </w:rPr>
        <w:t xml:space="preserve">August </w:t>
      </w:r>
      <w:r w:rsidRPr="00EE7E38">
        <w:rPr>
          <w:rFonts w:ascii="Times New Roman" w:hAnsi="Times New Roman" w:cs="Times New Roman"/>
        </w:rPr>
        <w:t>20</w:t>
      </w:r>
      <w:r w:rsidR="00AF4742" w:rsidRPr="00EE7E38">
        <w:rPr>
          <w:rFonts w:ascii="Times New Roman" w:hAnsi="Times New Roman" w:cs="Times New Roman"/>
        </w:rPr>
        <w:t>18</w:t>
      </w:r>
      <w:r w:rsidRPr="00EE7E38">
        <w:rPr>
          <w:rFonts w:ascii="Times New Roman" w:hAnsi="Times New Roman" w:cs="Times New Roman"/>
        </w:rPr>
        <w:t xml:space="preserve">, the </w:t>
      </w:r>
      <w:r w:rsidR="001255AC" w:rsidRPr="00EE7E38">
        <w:rPr>
          <w:rFonts w:ascii="Times New Roman" w:hAnsi="Times New Roman" w:cs="Times New Roman"/>
        </w:rPr>
        <w:t xml:space="preserve">CCM will </w:t>
      </w:r>
      <w:r w:rsidRPr="00EE7E38">
        <w:rPr>
          <w:rFonts w:ascii="Times New Roman" w:hAnsi="Times New Roman" w:cs="Times New Roman"/>
        </w:rPr>
        <w:t xml:space="preserve">apply for a </w:t>
      </w:r>
      <w:r w:rsidR="00AF4742" w:rsidRPr="00EE7E38">
        <w:rPr>
          <w:rFonts w:ascii="Times New Roman" w:hAnsi="Times New Roman" w:cs="Times New Roman"/>
        </w:rPr>
        <w:t xml:space="preserve">follow-up </w:t>
      </w:r>
      <w:r w:rsidRPr="00EE7E38">
        <w:rPr>
          <w:rFonts w:ascii="Times New Roman" w:hAnsi="Times New Roman" w:cs="Times New Roman"/>
        </w:rPr>
        <w:t>grant within TGF’s New Funding M</w:t>
      </w:r>
      <w:r w:rsidR="001255AC" w:rsidRPr="00EE7E38">
        <w:rPr>
          <w:rFonts w:ascii="Times New Roman" w:hAnsi="Times New Roman" w:cs="Times New Roman"/>
        </w:rPr>
        <w:t xml:space="preserve">odel </w:t>
      </w:r>
      <w:r w:rsidRPr="00EE7E38">
        <w:rPr>
          <w:rFonts w:ascii="Times New Roman" w:hAnsi="Times New Roman" w:cs="Times New Roman"/>
        </w:rPr>
        <w:t xml:space="preserve">(NFM). The NFM application will cover </w:t>
      </w:r>
      <w:r w:rsidR="001255AC" w:rsidRPr="00EE7E38">
        <w:rPr>
          <w:rFonts w:ascii="Times New Roman" w:hAnsi="Times New Roman" w:cs="Times New Roman"/>
        </w:rPr>
        <w:t>201</w:t>
      </w:r>
      <w:r w:rsidR="00AF4742" w:rsidRPr="00EE7E38">
        <w:rPr>
          <w:rFonts w:ascii="Times New Roman" w:hAnsi="Times New Roman" w:cs="Times New Roman"/>
        </w:rPr>
        <w:t>9</w:t>
      </w:r>
      <w:r w:rsidR="001255AC" w:rsidRPr="00EE7E38">
        <w:rPr>
          <w:rFonts w:ascii="Times New Roman" w:hAnsi="Times New Roman" w:cs="Times New Roman"/>
        </w:rPr>
        <w:t xml:space="preserve"> –20</w:t>
      </w:r>
      <w:r w:rsidR="00AF4742" w:rsidRPr="00EE7E38">
        <w:rPr>
          <w:rFonts w:ascii="Times New Roman" w:hAnsi="Times New Roman" w:cs="Times New Roman"/>
        </w:rPr>
        <w:t>22 period</w:t>
      </w:r>
      <w:r w:rsidR="001255AC" w:rsidRPr="00EE7E38">
        <w:rPr>
          <w:rFonts w:ascii="Times New Roman" w:hAnsi="Times New Roman" w:cs="Times New Roman"/>
        </w:rPr>
        <w:t xml:space="preserve"> </w:t>
      </w:r>
      <w:r w:rsidRPr="00EE7E38">
        <w:rPr>
          <w:rFonts w:ascii="Times New Roman" w:hAnsi="Times New Roman" w:cs="Times New Roman"/>
        </w:rPr>
        <w:t>and will include interventions, for which domestic financing are</w:t>
      </w:r>
      <w:r w:rsidR="00AF4742" w:rsidRPr="00EE7E38">
        <w:rPr>
          <w:rFonts w:ascii="Times New Roman" w:hAnsi="Times New Roman" w:cs="Times New Roman"/>
        </w:rPr>
        <w:t xml:space="preserve"> not sufficient and also capacity building to improve efficiency of TB measures and assure its sustainability.</w:t>
      </w:r>
      <w:r w:rsidR="00AF4742" w:rsidRPr="00EE7E38" w:rsidDel="00AF4742">
        <w:rPr>
          <w:rFonts w:ascii="Times New Roman" w:hAnsi="Times New Roman" w:cs="Times New Roman"/>
        </w:rPr>
        <w:t xml:space="preserve"> </w:t>
      </w:r>
    </w:p>
    <w:p w14:paraId="698F2EDD" w14:textId="77777777" w:rsidR="00C97C57" w:rsidRPr="00EE7E38" w:rsidRDefault="004E11B0">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b/>
          <w:bCs/>
          <w:i/>
          <w:iCs/>
        </w:rPr>
        <w:lastRenderedPageBreak/>
        <w:t>The United States’ Agency for International Development (USAID)</w:t>
      </w:r>
      <w:r w:rsidRPr="00EE7E38">
        <w:rPr>
          <w:rFonts w:ascii="Times New Roman" w:hAnsi="Times New Roman" w:cs="Times New Roman"/>
        </w:rPr>
        <w:t xml:space="preserve">. Over the last decade, USAID has been a key partner to the Government in strengthening </w:t>
      </w:r>
      <w:r w:rsidR="001A76A8" w:rsidRPr="00EE7E38">
        <w:rPr>
          <w:rFonts w:ascii="Times New Roman" w:hAnsi="Times New Roman" w:cs="Times New Roman"/>
        </w:rPr>
        <w:t xml:space="preserve">the </w:t>
      </w:r>
      <w:r w:rsidRPr="00EE7E38">
        <w:rPr>
          <w:rFonts w:ascii="Times New Roman" w:hAnsi="Times New Roman" w:cs="Times New Roman"/>
        </w:rPr>
        <w:t xml:space="preserve">TB control program in the country. </w:t>
      </w:r>
      <w:r w:rsidR="005D6045" w:rsidRPr="00EE7E38">
        <w:rPr>
          <w:rFonts w:ascii="Times New Roman" w:hAnsi="Times New Roman" w:cs="Times New Roman"/>
          <w:iCs/>
        </w:rPr>
        <w:t xml:space="preserve">Further </w:t>
      </w:r>
      <w:r w:rsidR="002D771C" w:rsidRPr="00EE7E38">
        <w:rPr>
          <w:rFonts w:ascii="Times New Roman" w:hAnsi="Times New Roman" w:cs="Times New Roman"/>
          <w:iCs/>
        </w:rPr>
        <w:t>support</w:t>
      </w:r>
      <w:r w:rsidR="005D6045" w:rsidRPr="00EE7E38">
        <w:rPr>
          <w:rFonts w:ascii="Times New Roman" w:hAnsi="Times New Roman" w:cs="Times New Roman"/>
          <w:iCs/>
        </w:rPr>
        <w:t xml:space="preserve"> in</w:t>
      </w:r>
      <w:r w:rsidR="002D771C" w:rsidRPr="00EE7E38">
        <w:rPr>
          <w:rFonts w:ascii="Times New Roman" w:hAnsi="Times New Roman" w:cs="Times New Roman"/>
          <w:iCs/>
        </w:rPr>
        <w:t xml:space="preserve"> the provision of strategic guidance and technical assistan</w:t>
      </w:r>
      <w:r w:rsidR="002D771C" w:rsidRPr="00EE7E38">
        <w:rPr>
          <w:rFonts w:ascii="Times New Roman" w:hAnsi="Times New Roman" w:cs="Times New Roman"/>
          <w:b/>
          <w:bCs/>
          <w:i/>
          <w:iCs/>
        </w:rPr>
        <w:t xml:space="preserve">ce by a Tuberculosis Advisor to </w:t>
      </w:r>
      <w:proofErr w:type="spellStart"/>
      <w:r w:rsidR="002D771C" w:rsidRPr="00EE7E38">
        <w:rPr>
          <w:rFonts w:ascii="Times New Roman" w:hAnsi="Times New Roman" w:cs="Times New Roman"/>
          <w:b/>
          <w:bCs/>
          <w:i/>
          <w:iCs/>
        </w:rPr>
        <w:t>MoLHSA</w:t>
      </w:r>
      <w:proofErr w:type="spellEnd"/>
      <w:r w:rsidR="002D771C" w:rsidRPr="00EE7E38">
        <w:rPr>
          <w:rFonts w:ascii="Times New Roman" w:hAnsi="Times New Roman" w:cs="Times New Roman"/>
          <w:b/>
          <w:bCs/>
          <w:i/>
          <w:iCs/>
        </w:rPr>
        <w:t xml:space="preserve"> and NCDCPH</w:t>
      </w:r>
      <w:r w:rsidR="005D6045" w:rsidRPr="00EE7E38">
        <w:rPr>
          <w:rFonts w:ascii="Times New Roman" w:hAnsi="Times New Roman" w:cs="Times New Roman"/>
          <w:b/>
          <w:bCs/>
          <w:i/>
          <w:iCs/>
        </w:rPr>
        <w:t xml:space="preserve"> from USAID is expected</w:t>
      </w:r>
      <w:r w:rsidR="002D771C" w:rsidRPr="00EE7E38">
        <w:rPr>
          <w:rFonts w:ascii="Times New Roman" w:hAnsi="Times New Roman" w:cs="Times New Roman"/>
          <w:b/>
          <w:bCs/>
          <w:i/>
          <w:iCs/>
        </w:rPr>
        <w:t xml:space="preserve">. </w:t>
      </w:r>
      <w:r w:rsidR="00C97C57" w:rsidRPr="00EE7E38">
        <w:rPr>
          <w:rFonts w:ascii="Times New Roman" w:hAnsi="Times New Roman" w:cs="Times New Roman"/>
          <w:b/>
          <w:bCs/>
          <w:i/>
          <w:iCs/>
        </w:rPr>
        <w:t>In addition</w:t>
      </w:r>
      <w:r w:rsidR="005D6045" w:rsidRPr="00EE7E38">
        <w:rPr>
          <w:rFonts w:ascii="Times New Roman" w:hAnsi="Times New Roman" w:cs="Times New Roman"/>
        </w:rPr>
        <w:t xml:space="preserve">, Georgia will still have access to the technical assistance within </w:t>
      </w:r>
      <w:proofErr w:type="spellStart"/>
      <w:r w:rsidR="005D6045" w:rsidRPr="00EE7E38">
        <w:rPr>
          <w:rFonts w:ascii="Times New Roman" w:hAnsi="Times New Roman" w:cs="Times New Roman"/>
        </w:rPr>
        <w:t>Bedaquiline</w:t>
      </w:r>
      <w:proofErr w:type="spellEnd"/>
      <w:r w:rsidR="005D6045" w:rsidRPr="00EE7E38">
        <w:rPr>
          <w:rFonts w:ascii="Times New Roman" w:hAnsi="Times New Roman" w:cs="Times New Roman"/>
        </w:rPr>
        <w:t xml:space="preserve"> donation program which USAID implements in </w:t>
      </w:r>
      <w:r w:rsidR="00857E25" w:rsidRPr="00EE7E38">
        <w:rPr>
          <w:rFonts w:ascii="Times New Roman" w:hAnsi="Times New Roman" w:cs="Times New Roman"/>
        </w:rPr>
        <w:t>collaboration with Stop TB Partnership</w:t>
      </w:r>
      <w:r w:rsidR="00C97C57" w:rsidRPr="00EE7E38">
        <w:rPr>
          <w:rFonts w:ascii="Times New Roman" w:hAnsi="Times New Roman" w:cs="Times New Roman"/>
        </w:rPr>
        <w:t xml:space="preserve"> (at least during the first year of the Strategy implementation)</w:t>
      </w:r>
      <w:r w:rsidR="005D6045" w:rsidRPr="00EE7E38">
        <w:rPr>
          <w:rFonts w:ascii="Times New Roman" w:hAnsi="Times New Roman" w:cs="Times New Roman"/>
        </w:rPr>
        <w:t>.</w:t>
      </w:r>
    </w:p>
    <w:p w14:paraId="3505C281"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b/>
          <w:i/>
          <w:iCs/>
        </w:rPr>
        <w:t>The World Health Organization</w:t>
      </w:r>
      <w:r w:rsidR="00835F94" w:rsidRPr="00EE7E38">
        <w:rPr>
          <w:rFonts w:ascii="Times New Roman" w:hAnsi="Times New Roman" w:cs="Times New Roman"/>
          <w:b/>
          <w:i/>
          <w:iCs/>
        </w:rPr>
        <w:t xml:space="preserve"> (WHO)</w:t>
      </w:r>
      <w:r w:rsidRPr="00EE7E38">
        <w:rPr>
          <w:rFonts w:ascii="Times New Roman" w:hAnsi="Times New Roman" w:cs="Times New Roman"/>
          <w:iCs/>
        </w:rPr>
        <w:t xml:space="preserve"> through its Regional Office for Europe and Country Office in </w:t>
      </w:r>
      <w:r w:rsidR="002D771C" w:rsidRPr="00EE7E38">
        <w:rPr>
          <w:rFonts w:ascii="Times New Roman" w:hAnsi="Times New Roman" w:cs="Times New Roman"/>
          <w:iCs/>
        </w:rPr>
        <w:t>Georgia</w:t>
      </w:r>
      <w:r w:rsidRPr="00EE7E38">
        <w:rPr>
          <w:rFonts w:ascii="Times New Roman" w:hAnsi="Times New Roman" w:cs="Times New Roman"/>
          <w:iCs/>
        </w:rPr>
        <w:t xml:space="preserve"> will continue to be the key partner </w:t>
      </w:r>
      <w:r w:rsidR="002D771C" w:rsidRPr="00EE7E38">
        <w:rPr>
          <w:rFonts w:ascii="Times New Roman" w:hAnsi="Times New Roman" w:cs="Times New Roman"/>
          <w:iCs/>
        </w:rPr>
        <w:t xml:space="preserve">of the national program </w:t>
      </w:r>
      <w:r w:rsidRPr="00EE7E38">
        <w:rPr>
          <w:rFonts w:ascii="Times New Roman" w:hAnsi="Times New Roman" w:cs="Times New Roman"/>
          <w:iCs/>
        </w:rPr>
        <w:t xml:space="preserve">in all priority developments and initiatives related to TB control in </w:t>
      </w:r>
      <w:r w:rsidR="002D771C" w:rsidRPr="00EE7E38">
        <w:rPr>
          <w:rFonts w:ascii="Times New Roman" w:hAnsi="Times New Roman" w:cs="Times New Roman"/>
          <w:iCs/>
        </w:rPr>
        <w:t>the country</w:t>
      </w:r>
      <w:r w:rsidR="00D967F8" w:rsidRPr="00EE7E38">
        <w:rPr>
          <w:rFonts w:ascii="Times New Roman" w:hAnsi="Times New Roman" w:cs="Times New Roman"/>
          <w:iCs/>
        </w:rPr>
        <w:t xml:space="preserve">. In particular, WHO is expected to </w:t>
      </w:r>
      <w:r w:rsidRPr="00EE7E38">
        <w:rPr>
          <w:rFonts w:ascii="Times New Roman" w:hAnsi="Times New Roman" w:cs="Times New Roman"/>
          <w:iCs/>
        </w:rPr>
        <w:t>carr</w:t>
      </w:r>
      <w:r w:rsidRPr="00EE7E38">
        <w:rPr>
          <w:rFonts w:ascii="Times New Roman" w:hAnsi="Times New Roman" w:cs="Times New Roman"/>
          <w:i/>
          <w:iCs/>
        </w:rPr>
        <w:t>y</w:t>
      </w:r>
      <w:r w:rsidRPr="00EE7E38">
        <w:rPr>
          <w:rFonts w:ascii="Times New Roman" w:hAnsi="Times New Roman" w:cs="Times New Roman"/>
        </w:rPr>
        <w:t xml:space="preserve"> out monitoring and evaluation of </w:t>
      </w:r>
      <w:r w:rsidR="00D967F8" w:rsidRPr="00EE7E38">
        <w:rPr>
          <w:rFonts w:ascii="Times New Roman" w:hAnsi="Times New Roman" w:cs="Times New Roman"/>
        </w:rPr>
        <w:t xml:space="preserve">the NSP </w:t>
      </w:r>
      <w:proofErr w:type="gramStart"/>
      <w:r w:rsidRPr="00EE7E38">
        <w:rPr>
          <w:rFonts w:ascii="Times New Roman" w:hAnsi="Times New Roman" w:cs="Times New Roman"/>
        </w:rPr>
        <w:t>implementation</w:t>
      </w:r>
      <w:r w:rsidR="00D967F8" w:rsidRPr="00EE7E38">
        <w:rPr>
          <w:rFonts w:ascii="Times New Roman" w:hAnsi="Times New Roman" w:cs="Times New Roman"/>
        </w:rPr>
        <w:t>.</w:t>
      </w:r>
      <w:proofErr w:type="gramEnd"/>
    </w:p>
    <w:p w14:paraId="3903B01F"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rPr>
      </w:pPr>
      <w:r w:rsidRPr="00EE7E38">
        <w:rPr>
          <w:rFonts w:ascii="Times New Roman" w:hAnsi="Times New Roman" w:cs="Times New Roman"/>
          <w:b/>
          <w:bCs/>
          <w:i/>
          <w:iCs/>
        </w:rPr>
        <w:t>Other</w:t>
      </w:r>
      <w:r w:rsidR="00857E25" w:rsidRPr="00EE7E38">
        <w:rPr>
          <w:rFonts w:ascii="Times New Roman" w:hAnsi="Times New Roman" w:cs="Times New Roman"/>
          <w:b/>
          <w:bCs/>
          <w:i/>
          <w:iCs/>
        </w:rPr>
        <w:t xml:space="preserve"> </w:t>
      </w:r>
      <w:r w:rsidRPr="00EE7E38">
        <w:rPr>
          <w:rFonts w:ascii="Times New Roman" w:hAnsi="Times New Roman" w:cs="Times New Roman"/>
          <w:b/>
          <w:bCs/>
          <w:i/>
          <w:iCs/>
        </w:rPr>
        <w:t>external partners</w:t>
      </w:r>
      <w:r w:rsidRPr="00EE7E38">
        <w:rPr>
          <w:rFonts w:ascii="Times New Roman" w:hAnsi="Times New Roman" w:cs="Times New Roman"/>
        </w:rPr>
        <w:t xml:space="preserve">. To ensure achievement of the national TB control goal and targets, the </w:t>
      </w:r>
      <w:r w:rsidR="00D967F8" w:rsidRPr="00EE7E38">
        <w:rPr>
          <w:rFonts w:ascii="Times New Roman" w:hAnsi="Times New Roman" w:cs="Times New Roman"/>
        </w:rPr>
        <w:t xml:space="preserve">NTC, CCM and </w:t>
      </w:r>
      <w:proofErr w:type="spellStart"/>
      <w:r w:rsidR="00D967F8" w:rsidRPr="00EE7E38">
        <w:rPr>
          <w:rFonts w:ascii="Times New Roman" w:hAnsi="Times New Roman" w:cs="Times New Roman"/>
        </w:rPr>
        <w:t>MoLHSA</w:t>
      </w:r>
      <w:proofErr w:type="spellEnd"/>
      <w:r w:rsidR="00D967F8" w:rsidRPr="00EE7E38">
        <w:rPr>
          <w:rFonts w:ascii="Times New Roman" w:hAnsi="Times New Roman" w:cs="Times New Roman"/>
        </w:rPr>
        <w:t xml:space="preserve"> </w:t>
      </w:r>
      <w:r w:rsidRPr="00EE7E38">
        <w:rPr>
          <w:rFonts w:ascii="Times New Roman" w:hAnsi="Times New Roman" w:cs="Times New Roman"/>
        </w:rPr>
        <w:t xml:space="preserve">will undertake further resource mobilization efforts with other </w:t>
      </w:r>
      <w:r w:rsidR="00D967F8" w:rsidRPr="00EE7E38">
        <w:rPr>
          <w:rFonts w:ascii="Times New Roman" w:hAnsi="Times New Roman" w:cs="Times New Roman"/>
        </w:rPr>
        <w:t xml:space="preserve">potential </w:t>
      </w:r>
      <w:r w:rsidRPr="00EE7E38">
        <w:rPr>
          <w:rFonts w:ascii="Times New Roman" w:hAnsi="Times New Roman" w:cs="Times New Roman"/>
        </w:rPr>
        <w:t xml:space="preserve">external partners to ensure </w:t>
      </w:r>
      <w:r w:rsidR="00D967F8" w:rsidRPr="00EE7E38">
        <w:rPr>
          <w:rFonts w:ascii="Times New Roman" w:hAnsi="Times New Roman" w:cs="Times New Roman"/>
        </w:rPr>
        <w:t xml:space="preserve">appropriate </w:t>
      </w:r>
      <w:r w:rsidRPr="00EE7E38">
        <w:rPr>
          <w:rFonts w:ascii="Times New Roman" w:hAnsi="Times New Roman" w:cs="Times New Roman"/>
        </w:rPr>
        <w:t xml:space="preserve">coverage </w:t>
      </w:r>
      <w:r w:rsidR="00D967F8" w:rsidRPr="00EE7E38">
        <w:rPr>
          <w:rFonts w:ascii="Times New Roman" w:hAnsi="Times New Roman" w:cs="Times New Roman"/>
        </w:rPr>
        <w:t xml:space="preserve">of </w:t>
      </w:r>
      <w:r w:rsidRPr="00EE7E38">
        <w:rPr>
          <w:rFonts w:ascii="Times New Roman" w:hAnsi="Times New Roman" w:cs="Times New Roman"/>
        </w:rPr>
        <w:t xml:space="preserve">priority </w:t>
      </w:r>
      <w:r w:rsidR="00D967F8" w:rsidRPr="00EE7E38">
        <w:rPr>
          <w:rFonts w:ascii="Times New Roman" w:hAnsi="Times New Roman" w:cs="Times New Roman"/>
        </w:rPr>
        <w:t>interventions</w:t>
      </w:r>
      <w:r w:rsidRPr="00EE7E38">
        <w:rPr>
          <w:rFonts w:ascii="Times New Roman" w:hAnsi="Times New Roman" w:cs="Times New Roman"/>
        </w:rPr>
        <w:t xml:space="preserve">, especially those related to </w:t>
      </w:r>
      <w:r w:rsidR="00D967F8" w:rsidRPr="00EE7E38">
        <w:rPr>
          <w:rFonts w:ascii="Times New Roman" w:hAnsi="Times New Roman" w:cs="Times New Roman"/>
        </w:rPr>
        <w:t>M/XDR-TB diagnosis and treatment, health system strengthening and TB-related research.</w:t>
      </w:r>
    </w:p>
    <w:p w14:paraId="5D886642" w14:textId="77777777" w:rsidR="004E11B0" w:rsidRPr="00EE7E38" w:rsidRDefault="004E11B0" w:rsidP="00835F94">
      <w:pPr>
        <w:widowControl w:val="0"/>
        <w:spacing w:before="120" w:after="120" w:line="240" w:lineRule="auto"/>
        <w:jc w:val="both"/>
        <w:rPr>
          <w:rFonts w:ascii="Times New Roman" w:hAnsi="Times New Roman" w:cs="Times New Roman"/>
          <w:i/>
          <w:iCs/>
        </w:rPr>
      </w:pPr>
      <w:r w:rsidRPr="00EE7E38">
        <w:rPr>
          <w:rFonts w:ascii="Times New Roman" w:hAnsi="Times New Roman" w:cs="Times New Roman"/>
          <w:b/>
          <w:bCs/>
        </w:rPr>
        <w:t>Technical assistance</w:t>
      </w:r>
    </w:p>
    <w:p w14:paraId="54C7D960" w14:textId="77777777" w:rsidR="004E11B0" w:rsidRPr="00EE7E38" w:rsidRDefault="004E11B0" w:rsidP="00835F94">
      <w:pPr>
        <w:widowControl w:val="0"/>
        <w:spacing w:before="120" w:after="120" w:line="240" w:lineRule="auto"/>
        <w:jc w:val="both"/>
        <w:rPr>
          <w:rFonts w:ascii="Times New Roman" w:hAnsi="Times New Roman" w:cs="Times New Roman"/>
          <w:i/>
          <w:iCs/>
        </w:rPr>
      </w:pPr>
      <w:r w:rsidRPr="00EE7E38">
        <w:rPr>
          <w:rFonts w:ascii="Times New Roman" w:hAnsi="Times New Roman" w:cs="Times New Roman"/>
        </w:rPr>
        <w:t>Despite substantial progress in capacity development during the last</w:t>
      </w:r>
      <w:r w:rsidR="00E32F60" w:rsidRPr="00EE7E38">
        <w:rPr>
          <w:rFonts w:ascii="Times New Roman" w:hAnsi="Times New Roman" w:cs="Times New Roman"/>
        </w:rPr>
        <w:t xml:space="preserve"> decade,</w:t>
      </w:r>
      <w:r w:rsidRPr="00EE7E38">
        <w:rPr>
          <w:rFonts w:ascii="Times New Roman" w:hAnsi="Times New Roman" w:cs="Times New Roman"/>
        </w:rPr>
        <w:t xml:space="preserve"> the </w:t>
      </w:r>
      <w:r w:rsidR="00E32F60" w:rsidRPr="00EE7E38">
        <w:rPr>
          <w:rFonts w:ascii="Times New Roman" w:hAnsi="Times New Roman" w:cs="Times New Roman"/>
        </w:rPr>
        <w:t xml:space="preserve">Georgian </w:t>
      </w:r>
      <w:r w:rsidRPr="00EE7E38">
        <w:rPr>
          <w:rFonts w:ascii="Times New Roman" w:hAnsi="Times New Roman" w:cs="Times New Roman"/>
        </w:rPr>
        <w:t xml:space="preserve">NTP remains in need of technical support in the implementation of TB control interventions, especially in view of </w:t>
      </w:r>
      <w:r w:rsidR="00E32F60" w:rsidRPr="00EE7E38">
        <w:rPr>
          <w:rFonts w:ascii="Times New Roman" w:hAnsi="Times New Roman" w:cs="Times New Roman"/>
        </w:rPr>
        <w:t xml:space="preserve">the </w:t>
      </w:r>
      <w:r w:rsidRPr="00EE7E38">
        <w:rPr>
          <w:rFonts w:ascii="Times New Roman" w:hAnsi="Times New Roman" w:cs="Times New Roman"/>
        </w:rPr>
        <w:t>recent changes in the international polic</w:t>
      </w:r>
      <w:r w:rsidR="00E32F60" w:rsidRPr="00EE7E38">
        <w:rPr>
          <w:rFonts w:ascii="Times New Roman" w:hAnsi="Times New Roman" w:cs="Times New Roman"/>
        </w:rPr>
        <w:t xml:space="preserve">ies, </w:t>
      </w:r>
      <w:r w:rsidRPr="00EE7E38">
        <w:rPr>
          <w:rFonts w:ascii="Times New Roman" w:hAnsi="Times New Roman" w:cs="Times New Roman"/>
        </w:rPr>
        <w:t>guidance and technologies, which are to be implemented to achieve universal access to needed services, in particular those related to diagnosis, treatment and care for drug-resistant forms of TB.</w:t>
      </w:r>
    </w:p>
    <w:p w14:paraId="11EB2B31" w14:textId="77777777" w:rsidR="004E11B0" w:rsidRPr="00EE7E38" w:rsidRDefault="004E11B0" w:rsidP="00835F94">
      <w:pPr>
        <w:widowControl w:val="0"/>
        <w:spacing w:before="120" w:after="120" w:line="240" w:lineRule="auto"/>
        <w:jc w:val="both"/>
        <w:rPr>
          <w:rFonts w:ascii="Times New Roman" w:hAnsi="Times New Roman" w:cs="Times New Roman"/>
          <w:i/>
          <w:iCs/>
        </w:rPr>
      </w:pPr>
      <w:r w:rsidRPr="00EE7E38">
        <w:rPr>
          <w:rFonts w:ascii="Times New Roman" w:hAnsi="Times New Roman" w:cs="Times New Roman"/>
        </w:rPr>
        <w:t xml:space="preserve">This Plan outlined the needs in technical support, which will be provided in three main formats. </w:t>
      </w:r>
      <w:r w:rsidRPr="00EE7E38">
        <w:rPr>
          <w:rFonts w:ascii="Times New Roman" w:hAnsi="Times New Roman" w:cs="Times New Roman"/>
          <w:i/>
        </w:rPr>
        <w:t xml:space="preserve">External technical assistance </w:t>
      </w:r>
      <w:r w:rsidRPr="00EE7E38">
        <w:rPr>
          <w:rFonts w:ascii="Times New Roman" w:hAnsi="Times New Roman" w:cs="Times New Roman"/>
        </w:rPr>
        <w:t xml:space="preserve">will </w:t>
      </w:r>
      <w:r w:rsidR="00E32F60" w:rsidRPr="00EE7E38">
        <w:rPr>
          <w:rFonts w:ascii="Times New Roman" w:hAnsi="Times New Roman" w:cs="Times New Roman"/>
        </w:rPr>
        <w:t xml:space="preserve">be </w:t>
      </w:r>
      <w:r w:rsidRPr="00EE7E38">
        <w:rPr>
          <w:rFonts w:ascii="Times New Roman" w:hAnsi="Times New Roman" w:cs="Times New Roman"/>
        </w:rPr>
        <w:t xml:space="preserve">carried out by international experts and will be </w:t>
      </w:r>
      <w:r w:rsidR="00E32F60" w:rsidRPr="00EE7E38">
        <w:rPr>
          <w:rFonts w:ascii="Times New Roman" w:hAnsi="Times New Roman" w:cs="Times New Roman"/>
        </w:rPr>
        <w:t xml:space="preserve">procured through competitive bidding or </w:t>
      </w:r>
      <w:r w:rsidRPr="00EE7E38">
        <w:rPr>
          <w:rFonts w:ascii="Times New Roman" w:hAnsi="Times New Roman" w:cs="Times New Roman"/>
        </w:rPr>
        <w:t xml:space="preserve">sought from the </w:t>
      </w:r>
      <w:r w:rsidR="00E32F60" w:rsidRPr="00EE7E38">
        <w:rPr>
          <w:rFonts w:ascii="Times New Roman" w:hAnsi="Times New Roman" w:cs="Times New Roman"/>
        </w:rPr>
        <w:t xml:space="preserve">external </w:t>
      </w:r>
      <w:r w:rsidRPr="00EE7E38">
        <w:rPr>
          <w:rFonts w:ascii="Times New Roman" w:hAnsi="Times New Roman" w:cs="Times New Roman"/>
        </w:rPr>
        <w:t>partner</w:t>
      </w:r>
      <w:r w:rsidR="00E32F60" w:rsidRPr="00EE7E38">
        <w:rPr>
          <w:rFonts w:ascii="Times New Roman" w:hAnsi="Times New Roman" w:cs="Times New Roman"/>
        </w:rPr>
        <w:t xml:space="preserve"> agencies</w:t>
      </w:r>
      <w:r w:rsidRPr="00EE7E38">
        <w:rPr>
          <w:rFonts w:ascii="Times New Roman" w:hAnsi="Times New Roman" w:cs="Times New Roman"/>
        </w:rPr>
        <w:t xml:space="preserve"> according to their mandate and field of expertise. </w:t>
      </w:r>
      <w:r w:rsidRPr="00EE7E38">
        <w:rPr>
          <w:rFonts w:ascii="Times New Roman" w:hAnsi="Times New Roman" w:cs="Times New Roman"/>
          <w:i/>
        </w:rPr>
        <w:t>Technical Working Groups (TWGs)</w:t>
      </w:r>
      <w:r w:rsidRPr="00EE7E38">
        <w:rPr>
          <w:rFonts w:ascii="Times New Roman" w:hAnsi="Times New Roman" w:cs="Times New Roman"/>
        </w:rPr>
        <w:t xml:space="preserve"> will be established in selected areas of TB control to develop appropriate legislative and regulatory frameworks and guidance, which will enable the implementation of </w:t>
      </w:r>
      <w:r w:rsidR="00E32F60" w:rsidRPr="00EE7E38">
        <w:rPr>
          <w:rFonts w:ascii="Times New Roman" w:hAnsi="Times New Roman" w:cs="Times New Roman"/>
        </w:rPr>
        <w:t xml:space="preserve">the </w:t>
      </w:r>
      <w:r w:rsidRPr="00EE7E38">
        <w:rPr>
          <w:rFonts w:ascii="Times New Roman" w:hAnsi="Times New Roman" w:cs="Times New Roman"/>
        </w:rPr>
        <w:t>international standards of TB care in the country</w:t>
      </w:r>
      <w:r w:rsidR="00E32F60" w:rsidRPr="00EE7E38">
        <w:rPr>
          <w:rFonts w:ascii="Times New Roman" w:hAnsi="Times New Roman" w:cs="Times New Roman"/>
        </w:rPr>
        <w:t>, as well as will assist in streamlining the health system and other national processes</w:t>
      </w:r>
      <w:r w:rsidRPr="00EE7E38">
        <w:rPr>
          <w:rFonts w:ascii="Times New Roman" w:hAnsi="Times New Roman" w:cs="Times New Roman"/>
        </w:rPr>
        <w:t xml:space="preserve">. </w:t>
      </w:r>
      <w:r w:rsidR="0062568A" w:rsidRPr="00EE7E38">
        <w:rPr>
          <w:rFonts w:ascii="Times New Roman" w:hAnsi="Times New Roman" w:cs="Times New Roman"/>
        </w:rPr>
        <w:t>A</w:t>
      </w:r>
      <w:r w:rsidRPr="00EE7E38">
        <w:rPr>
          <w:rFonts w:ascii="Times New Roman" w:hAnsi="Times New Roman" w:cs="Times New Roman"/>
        </w:rPr>
        <w:t xml:space="preserve"> number of </w:t>
      </w:r>
      <w:r w:rsidRPr="00EE7E38">
        <w:rPr>
          <w:rFonts w:ascii="Times New Roman" w:hAnsi="Times New Roman" w:cs="Times New Roman"/>
          <w:i/>
        </w:rPr>
        <w:t xml:space="preserve">national consultants </w:t>
      </w:r>
      <w:r w:rsidRPr="00EE7E38">
        <w:rPr>
          <w:rFonts w:ascii="Times New Roman" w:hAnsi="Times New Roman" w:cs="Times New Roman"/>
        </w:rPr>
        <w:t xml:space="preserve">will be employed to undertake specific technical tasks and to assist </w:t>
      </w:r>
      <w:r w:rsidR="00E32F60" w:rsidRPr="00EE7E38">
        <w:rPr>
          <w:rFonts w:ascii="Times New Roman" w:hAnsi="Times New Roman" w:cs="Times New Roman"/>
        </w:rPr>
        <w:t>i</w:t>
      </w:r>
      <w:r w:rsidRPr="00EE7E38">
        <w:rPr>
          <w:rFonts w:ascii="Times New Roman" w:hAnsi="Times New Roman" w:cs="Times New Roman"/>
        </w:rPr>
        <w:t xml:space="preserve">n facilitating and overseeing implementation. </w:t>
      </w:r>
    </w:p>
    <w:p w14:paraId="05E4BF2F" w14:textId="675D1CE5" w:rsidR="004E11B0" w:rsidRPr="00EE7E38" w:rsidRDefault="00465B2D" w:rsidP="00835F94">
      <w:pPr>
        <w:widowControl w:val="0"/>
        <w:spacing w:before="120" w:after="120" w:line="240" w:lineRule="auto"/>
        <w:jc w:val="both"/>
        <w:rPr>
          <w:rFonts w:ascii="Times New Roman" w:hAnsi="Times New Roman" w:cs="Times New Roman"/>
        </w:rPr>
      </w:pPr>
      <w:r>
        <w:rPr>
          <w:rFonts w:ascii="Times New Roman" w:hAnsi="Times New Roman" w:cs="Times New Roman"/>
        </w:rPr>
        <w:t>Table 7</w:t>
      </w:r>
      <w:r w:rsidR="004E11B0" w:rsidRPr="00EE7E38">
        <w:rPr>
          <w:rFonts w:ascii="Times New Roman" w:hAnsi="Times New Roman" w:cs="Times New Roman"/>
        </w:rPr>
        <w:t xml:space="preserve"> below summarizes the technical assistance activities included in the Plan, by Intervention and type of support</w:t>
      </w:r>
      <w:r w:rsidR="00E32F60" w:rsidRPr="00EE7E38">
        <w:rPr>
          <w:rFonts w:ascii="Times New Roman" w:hAnsi="Times New Roman" w:cs="Times New Roman"/>
        </w:rPr>
        <w:t>.</w:t>
      </w:r>
    </w:p>
    <w:p w14:paraId="33873362" w14:textId="77777777" w:rsidR="00857E25" w:rsidRPr="00EE7E38" w:rsidRDefault="00857E25" w:rsidP="00857E25">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Pr="00EE7E38">
        <w:rPr>
          <w:rFonts w:ascii="Times New Roman" w:hAnsi="Times New Roman" w:cs="Times New Roman"/>
        </w:rPr>
        <w:fldChar w:fldCharType="separate"/>
      </w:r>
      <w:r w:rsidR="00676B83" w:rsidRPr="00EE7E38">
        <w:rPr>
          <w:rFonts w:ascii="Times New Roman" w:hAnsi="Times New Roman" w:cs="Times New Roman"/>
          <w:noProof/>
        </w:rPr>
        <w:t>7</w:t>
      </w:r>
      <w:r w:rsidRPr="00EE7E38">
        <w:rPr>
          <w:rFonts w:ascii="Times New Roman" w:hAnsi="Times New Roman" w:cs="Times New Roman"/>
        </w:rPr>
        <w:fldChar w:fldCharType="end"/>
      </w:r>
      <w:r w:rsidRPr="00EE7E38">
        <w:rPr>
          <w:rFonts w:ascii="Times New Roman" w:hAnsi="Times New Roman" w:cs="Times New Roman"/>
        </w:rPr>
        <w:t>.</w:t>
      </w:r>
      <w:proofErr w:type="gramEnd"/>
      <w:r w:rsidRPr="00EE7E38">
        <w:rPr>
          <w:rFonts w:ascii="Times New Roman" w:hAnsi="Times New Roman" w:cs="Times New Roman"/>
        </w:rPr>
        <w:t xml:space="preserve"> Technical assistance activities (external consultancies, technical working groups and national consultants) for 2019-2022, by NSP Strategic Intervention</w:t>
      </w:r>
    </w:p>
    <w:tbl>
      <w:tblPr>
        <w:tblStyle w:val="TableGrid"/>
        <w:tblW w:w="9889" w:type="dxa"/>
        <w:tblLayout w:type="fixed"/>
        <w:tblLook w:val="04A0" w:firstRow="1" w:lastRow="0" w:firstColumn="1" w:lastColumn="0" w:noHBand="0" w:noVBand="1"/>
      </w:tblPr>
      <w:tblGrid>
        <w:gridCol w:w="534"/>
        <w:gridCol w:w="5386"/>
        <w:gridCol w:w="1323"/>
        <w:gridCol w:w="1323"/>
        <w:gridCol w:w="1323"/>
      </w:tblGrid>
      <w:tr w:rsidR="00E32F60" w:rsidRPr="00EE7E38" w14:paraId="36D383C7" w14:textId="77777777" w:rsidTr="00E32F60">
        <w:trPr>
          <w:tblHeader/>
        </w:trPr>
        <w:tc>
          <w:tcPr>
            <w:tcW w:w="534" w:type="dxa"/>
            <w:vAlign w:val="center"/>
          </w:tcPr>
          <w:p w14:paraId="64CB111D" w14:textId="77777777" w:rsidR="004E11B0" w:rsidRPr="00EE7E38" w:rsidRDefault="004E11B0"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No.</w:t>
            </w:r>
          </w:p>
        </w:tc>
        <w:tc>
          <w:tcPr>
            <w:tcW w:w="5386" w:type="dxa"/>
            <w:vAlign w:val="center"/>
          </w:tcPr>
          <w:p w14:paraId="5D5C6F8F" w14:textId="77777777" w:rsidR="004E11B0" w:rsidRPr="00EE7E38" w:rsidRDefault="0062568A"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Intervention</w:t>
            </w:r>
          </w:p>
        </w:tc>
        <w:tc>
          <w:tcPr>
            <w:tcW w:w="1323" w:type="dxa"/>
            <w:vAlign w:val="center"/>
          </w:tcPr>
          <w:p w14:paraId="3E309B9D" w14:textId="77777777" w:rsidR="004E11B0" w:rsidRPr="00EE7E38" w:rsidRDefault="004E11B0"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External technical assistance</w:t>
            </w:r>
          </w:p>
        </w:tc>
        <w:tc>
          <w:tcPr>
            <w:tcW w:w="1323" w:type="dxa"/>
            <w:vAlign w:val="center"/>
          </w:tcPr>
          <w:p w14:paraId="69CEA7A1" w14:textId="77777777" w:rsidR="004E11B0" w:rsidRPr="00EE7E38" w:rsidRDefault="004E11B0"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Technical Working Groups</w:t>
            </w:r>
          </w:p>
        </w:tc>
        <w:tc>
          <w:tcPr>
            <w:tcW w:w="1323" w:type="dxa"/>
            <w:vAlign w:val="center"/>
          </w:tcPr>
          <w:p w14:paraId="3801C446" w14:textId="77777777" w:rsidR="004E11B0" w:rsidRPr="00EE7E38" w:rsidRDefault="004E11B0"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National consultants</w:t>
            </w:r>
          </w:p>
        </w:tc>
      </w:tr>
      <w:tr w:rsidR="00E32F60" w:rsidRPr="00EE7E38" w14:paraId="2DADF2D1" w14:textId="77777777" w:rsidTr="00E32F60">
        <w:tc>
          <w:tcPr>
            <w:tcW w:w="534" w:type="dxa"/>
          </w:tcPr>
          <w:p w14:paraId="6B7334AB"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1.1</w:t>
            </w:r>
          </w:p>
        </w:tc>
        <w:tc>
          <w:tcPr>
            <w:tcW w:w="5386" w:type="dxa"/>
          </w:tcPr>
          <w:p w14:paraId="3DB879FC"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 xml:space="preserve">Rollout of </w:t>
            </w:r>
            <w:proofErr w:type="spellStart"/>
            <w:r w:rsidRPr="00EE7E38">
              <w:rPr>
                <w:rFonts w:ascii="Times New Roman" w:hAnsi="Times New Roman" w:cs="Times New Roman"/>
                <w:sz w:val="20"/>
                <w:szCs w:val="20"/>
              </w:rPr>
              <w:t>Xpert</w:t>
            </w:r>
            <w:proofErr w:type="spellEnd"/>
            <w:r w:rsidRPr="00EE7E38">
              <w:rPr>
                <w:rFonts w:ascii="Times New Roman" w:hAnsi="Times New Roman" w:cs="Times New Roman"/>
                <w:sz w:val="20"/>
                <w:szCs w:val="20"/>
              </w:rPr>
              <w:t xml:space="preserve"> MTB/RIF technology</w:t>
            </w:r>
          </w:p>
        </w:tc>
        <w:tc>
          <w:tcPr>
            <w:tcW w:w="1323" w:type="dxa"/>
            <w:vAlign w:val="center"/>
          </w:tcPr>
          <w:p w14:paraId="692C87BE"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6C608400"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4DB4D721"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3676EBAA" w14:textId="77777777" w:rsidTr="00E32F60">
        <w:tc>
          <w:tcPr>
            <w:tcW w:w="534" w:type="dxa"/>
          </w:tcPr>
          <w:p w14:paraId="05491000"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1.2</w:t>
            </w:r>
          </w:p>
        </w:tc>
        <w:tc>
          <w:tcPr>
            <w:tcW w:w="5386" w:type="dxa"/>
          </w:tcPr>
          <w:p w14:paraId="5EF77BD5"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TB diagnostic investigations at regional and national level</w:t>
            </w:r>
          </w:p>
        </w:tc>
        <w:tc>
          <w:tcPr>
            <w:tcW w:w="1323" w:type="dxa"/>
            <w:vAlign w:val="center"/>
          </w:tcPr>
          <w:p w14:paraId="57567E2F"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2C33A8D1"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54E0284D"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69EF8F3F" w14:textId="77777777" w:rsidTr="00E32F60">
        <w:tc>
          <w:tcPr>
            <w:tcW w:w="534" w:type="dxa"/>
          </w:tcPr>
          <w:p w14:paraId="0B3B9C7F"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1.3</w:t>
            </w:r>
          </w:p>
        </w:tc>
        <w:tc>
          <w:tcPr>
            <w:tcW w:w="5386" w:type="dxa"/>
          </w:tcPr>
          <w:p w14:paraId="08EF6F69"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Contacts’ investigation, screening and active case finding for TB among high-risk groups including people living with HIV</w:t>
            </w:r>
          </w:p>
        </w:tc>
        <w:tc>
          <w:tcPr>
            <w:tcW w:w="1323" w:type="dxa"/>
            <w:vAlign w:val="center"/>
          </w:tcPr>
          <w:p w14:paraId="6491B641"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4509D4C6"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25347EC2"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756AE130" w14:textId="77777777" w:rsidTr="00E32F60">
        <w:tc>
          <w:tcPr>
            <w:tcW w:w="534" w:type="dxa"/>
          </w:tcPr>
          <w:p w14:paraId="26575BA0"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2.1</w:t>
            </w:r>
          </w:p>
        </w:tc>
        <w:tc>
          <w:tcPr>
            <w:tcW w:w="5386" w:type="dxa"/>
          </w:tcPr>
          <w:p w14:paraId="0062C6A5"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Supply of anti-TB drugs and drug management system</w:t>
            </w:r>
          </w:p>
        </w:tc>
        <w:tc>
          <w:tcPr>
            <w:tcW w:w="1323" w:type="dxa"/>
            <w:vAlign w:val="center"/>
          </w:tcPr>
          <w:p w14:paraId="686B6049"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7A59C123"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6053442A"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23A64B1C" w14:textId="77777777" w:rsidTr="00E32F60">
        <w:tc>
          <w:tcPr>
            <w:tcW w:w="534" w:type="dxa"/>
          </w:tcPr>
          <w:p w14:paraId="204DD7CA"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2.2</w:t>
            </w:r>
          </w:p>
        </w:tc>
        <w:tc>
          <w:tcPr>
            <w:tcW w:w="5386" w:type="dxa"/>
          </w:tcPr>
          <w:p w14:paraId="655C22D8"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Patient support to improve adherence to TB treatment</w:t>
            </w:r>
          </w:p>
        </w:tc>
        <w:tc>
          <w:tcPr>
            <w:tcW w:w="1323" w:type="dxa"/>
            <w:vAlign w:val="center"/>
          </w:tcPr>
          <w:p w14:paraId="1AB196BB"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29F04ABE"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02702774"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77E11394" w14:textId="77777777" w:rsidTr="00E32F60">
        <w:tc>
          <w:tcPr>
            <w:tcW w:w="534" w:type="dxa"/>
          </w:tcPr>
          <w:p w14:paraId="3D9C2CF8"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2.3</w:t>
            </w:r>
          </w:p>
        </w:tc>
        <w:tc>
          <w:tcPr>
            <w:tcW w:w="5386" w:type="dxa"/>
          </w:tcPr>
          <w:p w14:paraId="2B75EEA0"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 xml:space="preserve">Treatment monitoring, management of adverse drug reactions and comorbidities </w:t>
            </w:r>
          </w:p>
        </w:tc>
        <w:tc>
          <w:tcPr>
            <w:tcW w:w="1323" w:type="dxa"/>
            <w:vAlign w:val="center"/>
          </w:tcPr>
          <w:p w14:paraId="6650435E"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303565C9"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0B8E946F"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282CA7D1" w14:textId="77777777" w:rsidTr="00E32F60">
        <w:tc>
          <w:tcPr>
            <w:tcW w:w="534" w:type="dxa"/>
          </w:tcPr>
          <w:p w14:paraId="10B909E2"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2.4</w:t>
            </w:r>
          </w:p>
        </w:tc>
        <w:tc>
          <w:tcPr>
            <w:tcW w:w="5386" w:type="dxa"/>
          </w:tcPr>
          <w:p w14:paraId="25BCD2FC"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TB infection control in health care facilities</w:t>
            </w:r>
          </w:p>
        </w:tc>
        <w:tc>
          <w:tcPr>
            <w:tcW w:w="1323" w:type="dxa"/>
            <w:vAlign w:val="center"/>
          </w:tcPr>
          <w:p w14:paraId="57F6C3A5"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30BC7054"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482E02C2"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71051964" w14:textId="77777777" w:rsidTr="00E32F60">
        <w:tc>
          <w:tcPr>
            <w:tcW w:w="534" w:type="dxa"/>
          </w:tcPr>
          <w:p w14:paraId="542EC083"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2.5</w:t>
            </w:r>
          </w:p>
        </w:tc>
        <w:tc>
          <w:tcPr>
            <w:tcW w:w="5386" w:type="dxa"/>
          </w:tcPr>
          <w:p w14:paraId="209C3549"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Preventive treatment and vaccination against TB</w:t>
            </w:r>
          </w:p>
        </w:tc>
        <w:tc>
          <w:tcPr>
            <w:tcW w:w="1323" w:type="dxa"/>
            <w:vAlign w:val="center"/>
          </w:tcPr>
          <w:p w14:paraId="23B5073D"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72E38134"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1CE0A420"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6CB611B3" w14:textId="77777777" w:rsidTr="00E32F60">
        <w:tc>
          <w:tcPr>
            <w:tcW w:w="534" w:type="dxa"/>
          </w:tcPr>
          <w:p w14:paraId="6BAC1340"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3.1</w:t>
            </w:r>
          </w:p>
        </w:tc>
        <w:tc>
          <w:tcPr>
            <w:tcW w:w="5386" w:type="dxa"/>
          </w:tcPr>
          <w:p w14:paraId="436B7D41"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Strengthening core health system functions for TB control</w:t>
            </w:r>
          </w:p>
        </w:tc>
        <w:tc>
          <w:tcPr>
            <w:tcW w:w="1323" w:type="dxa"/>
            <w:vAlign w:val="center"/>
          </w:tcPr>
          <w:p w14:paraId="0DB0FBF6"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59BEBB92"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052EBA84"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44E95829" w14:textId="77777777" w:rsidTr="00E32F60">
        <w:tc>
          <w:tcPr>
            <w:tcW w:w="534" w:type="dxa"/>
          </w:tcPr>
          <w:p w14:paraId="1FD1DF43"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3.2</w:t>
            </w:r>
          </w:p>
        </w:tc>
        <w:tc>
          <w:tcPr>
            <w:tcW w:w="5386" w:type="dxa"/>
          </w:tcPr>
          <w:p w14:paraId="516EE215"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Advocacy, communication, social mobilization (ACSM) and civil society engagement for TB control</w:t>
            </w:r>
          </w:p>
        </w:tc>
        <w:tc>
          <w:tcPr>
            <w:tcW w:w="1323" w:type="dxa"/>
            <w:vAlign w:val="center"/>
          </w:tcPr>
          <w:p w14:paraId="25E42A2E"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3D32E56D"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649861B5"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r w:rsidR="00E32F60" w:rsidRPr="00EE7E38" w14:paraId="443D2249" w14:textId="77777777" w:rsidTr="00E32F60">
        <w:tc>
          <w:tcPr>
            <w:tcW w:w="534" w:type="dxa"/>
          </w:tcPr>
          <w:p w14:paraId="46E7FCF4"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3.3</w:t>
            </w:r>
          </w:p>
        </w:tc>
        <w:tc>
          <w:tcPr>
            <w:tcW w:w="5386" w:type="dxa"/>
          </w:tcPr>
          <w:p w14:paraId="4CDFF13C" w14:textId="77777777" w:rsidR="00E32F60" w:rsidRPr="00EE7E38" w:rsidRDefault="00E32F60" w:rsidP="00835F94">
            <w:pPr>
              <w:widowControl w:val="0"/>
              <w:spacing w:before="40" w:after="40"/>
              <w:rPr>
                <w:rFonts w:ascii="Times New Roman" w:hAnsi="Times New Roman" w:cs="Times New Roman"/>
                <w:sz w:val="20"/>
                <w:szCs w:val="20"/>
              </w:rPr>
            </w:pPr>
            <w:r w:rsidRPr="00EE7E38">
              <w:rPr>
                <w:rFonts w:ascii="Times New Roman" w:hAnsi="Times New Roman" w:cs="Times New Roman"/>
                <w:sz w:val="20"/>
                <w:szCs w:val="20"/>
              </w:rPr>
              <w:t>Addressing legal and ethical issues in TB control</w:t>
            </w:r>
          </w:p>
        </w:tc>
        <w:tc>
          <w:tcPr>
            <w:tcW w:w="1323" w:type="dxa"/>
            <w:vAlign w:val="center"/>
          </w:tcPr>
          <w:p w14:paraId="46366768" w14:textId="77777777" w:rsidR="00E32F60" w:rsidRPr="00EE7E38" w:rsidRDefault="00E32F60" w:rsidP="00835F94">
            <w:pPr>
              <w:widowControl w:val="0"/>
              <w:spacing w:before="40" w:after="40"/>
              <w:jc w:val="center"/>
              <w:rPr>
                <w:rFonts w:ascii="Times New Roman" w:hAnsi="Times New Roman" w:cs="Times New Roman"/>
                <w:sz w:val="20"/>
                <w:szCs w:val="20"/>
              </w:rPr>
            </w:pPr>
          </w:p>
        </w:tc>
        <w:tc>
          <w:tcPr>
            <w:tcW w:w="1323" w:type="dxa"/>
            <w:vAlign w:val="center"/>
          </w:tcPr>
          <w:p w14:paraId="3029EE1A"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c>
          <w:tcPr>
            <w:tcW w:w="1323" w:type="dxa"/>
            <w:vAlign w:val="center"/>
          </w:tcPr>
          <w:p w14:paraId="53A035CF" w14:textId="77777777" w:rsidR="00E32F60" w:rsidRPr="00EE7E38" w:rsidRDefault="00E32F60" w:rsidP="00835F94">
            <w:pPr>
              <w:widowControl w:val="0"/>
              <w:spacing w:before="40" w:after="40"/>
              <w:jc w:val="center"/>
              <w:rPr>
                <w:rFonts w:ascii="Times New Roman" w:hAnsi="Times New Roman" w:cs="Times New Roman"/>
                <w:sz w:val="20"/>
                <w:szCs w:val="20"/>
              </w:rPr>
            </w:pPr>
            <w:r w:rsidRPr="00EE7E38">
              <w:rPr>
                <w:rFonts w:ascii="Times New Roman" w:hAnsi="Times New Roman" w:cs="Times New Roman"/>
                <w:sz w:val="20"/>
                <w:szCs w:val="20"/>
              </w:rPr>
              <w:t>X</w:t>
            </w:r>
          </w:p>
        </w:tc>
      </w:tr>
    </w:tbl>
    <w:p w14:paraId="78592D6C" w14:textId="458A7D61" w:rsidR="002A4055" w:rsidRPr="00EE7E38" w:rsidRDefault="0071773E">
      <w:pPr>
        <w:pStyle w:val="Heading1"/>
        <w:keepNext w:val="0"/>
        <w:keepLines w:val="0"/>
        <w:widowControl w:val="0"/>
        <w:numPr>
          <w:ilvl w:val="0"/>
          <w:numId w:val="1"/>
        </w:numPr>
        <w:rPr>
          <w:rFonts w:ascii="Times New Roman" w:hAnsi="Times New Roman" w:cs="Times New Roman"/>
        </w:rPr>
      </w:pPr>
      <w:bookmarkStart w:id="26" w:name="_Toc411586421"/>
      <w:bookmarkStart w:id="27" w:name="_Toc517633172"/>
      <w:r w:rsidRPr="00EE7E38">
        <w:rPr>
          <w:rFonts w:ascii="Times New Roman" w:hAnsi="Times New Roman" w:cs="Times New Roman"/>
        </w:rPr>
        <w:lastRenderedPageBreak/>
        <w:t xml:space="preserve">Financing of TB </w:t>
      </w:r>
      <w:r w:rsidR="00465B2D">
        <w:rPr>
          <w:rFonts w:ascii="Times New Roman" w:hAnsi="Times New Roman" w:cs="Times New Roman"/>
        </w:rPr>
        <w:t>C</w:t>
      </w:r>
      <w:r w:rsidRPr="00EE7E38">
        <w:rPr>
          <w:rFonts w:ascii="Times New Roman" w:hAnsi="Times New Roman" w:cs="Times New Roman"/>
        </w:rPr>
        <w:t xml:space="preserve">ontrol </w:t>
      </w:r>
      <w:r w:rsidR="00465B2D">
        <w:rPr>
          <w:rFonts w:ascii="Times New Roman" w:hAnsi="Times New Roman" w:cs="Times New Roman"/>
        </w:rPr>
        <w:t>I</w:t>
      </w:r>
      <w:r w:rsidRPr="00EE7E38">
        <w:rPr>
          <w:rFonts w:ascii="Times New Roman" w:hAnsi="Times New Roman" w:cs="Times New Roman"/>
        </w:rPr>
        <w:t>nterventions</w:t>
      </w:r>
      <w:bookmarkEnd w:id="26"/>
      <w:bookmarkEnd w:id="27"/>
    </w:p>
    <w:p w14:paraId="10307F73" w14:textId="0AA857C4"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This section summarizes the estimates of the </w:t>
      </w:r>
      <w:r w:rsidR="008F67D1" w:rsidRPr="00EE7E38">
        <w:rPr>
          <w:rFonts w:ascii="Times New Roman" w:hAnsi="Times New Roman" w:cs="Times New Roman"/>
        </w:rPr>
        <w:t xml:space="preserve">Government funding of TB control activities, contribution of external partners as well as the estimates of the </w:t>
      </w:r>
      <w:r w:rsidRPr="00EE7E38">
        <w:rPr>
          <w:rFonts w:ascii="Times New Roman" w:hAnsi="Times New Roman" w:cs="Times New Roman"/>
        </w:rPr>
        <w:t>total TB program needs</w:t>
      </w:r>
      <w:r w:rsidR="008F67D1" w:rsidRPr="00EE7E38">
        <w:rPr>
          <w:rFonts w:ascii="Times New Roman" w:hAnsi="Times New Roman" w:cs="Times New Roman"/>
        </w:rPr>
        <w:t xml:space="preserve"> and </w:t>
      </w:r>
      <w:r w:rsidRPr="00EE7E38">
        <w:rPr>
          <w:rFonts w:ascii="Times New Roman" w:hAnsi="Times New Roman" w:cs="Times New Roman"/>
        </w:rPr>
        <w:t xml:space="preserve">the funding gap for implementation of priority TB control interventions, outlined above in the document. </w:t>
      </w:r>
      <w:r w:rsidR="008F67D1" w:rsidRPr="00EE7E38">
        <w:rPr>
          <w:rFonts w:ascii="Times New Roman" w:hAnsi="Times New Roman" w:cs="Times New Roman"/>
        </w:rPr>
        <w:t>The actual expenditures are presented for</w:t>
      </w:r>
      <w:r w:rsidR="00C97C57" w:rsidRPr="00EE7E38">
        <w:rPr>
          <w:rFonts w:ascii="Times New Roman" w:hAnsi="Times New Roman" w:cs="Times New Roman"/>
        </w:rPr>
        <w:t xml:space="preserve"> the last five years (2012-2016</w:t>
      </w:r>
      <w:r w:rsidR="008F67D1" w:rsidRPr="00EE7E38">
        <w:rPr>
          <w:rFonts w:ascii="Times New Roman" w:hAnsi="Times New Roman" w:cs="Times New Roman"/>
        </w:rPr>
        <w:t xml:space="preserve">), while </w:t>
      </w:r>
      <w:r w:rsidRPr="00EE7E38">
        <w:rPr>
          <w:rFonts w:ascii="Times New Roman" w:hAnsi="Times New Roman" w:cs="Times New Roman"/>
        </w:rPr>
        <w:t xml:space="preserve">detailed </w:t>
      </w:r>
      <w:r w:rsidR="008F67D1" w:rsidRPr="00EE7E38">
        <w:rPr>
          <w:rFonts w:ascii="Times New Roman" w:hAnsi="Times New Roman" w:cs="Times New Roman"/>
        </w:rPr>
        <w:t xml:space="preserve">estimates </w:t>
      </w:r>
      <w:r w:rsidRPr="00EE7E38">
        <w:rPr>
          <w:rFonts w:ascii="Times New Roman" w:hAnsi="Times New Roman" w:cs="Times New Roman"/>
        </w:rPr>
        <w:t>were made for the first three</w:t>
      </w:r>
      <w:r w:rsidR="00C97C57" w:rsidRPr="00EE7E38">
        <w:rPr>
          <w:rFonts w:ascii="Times New Roman" w:hAnsi="Times New Roman" w:cs="Times New Roman"/>
        </w:rPr>
        <w:t xml:space="preserve"> years covered by the Plan (2019-2022</w:t>
      </w:r>
      <w:r w:rsidRPr="00EE7E38">
        <w:rPr>
          <w:rFonts w:ascii="Times New Roman" w:hAnsi="Times New Roman" w:cs="Times New Roman"/>
        </w:rPr>
        <w:t xml:space="preserve">). The financial forecast for the remaining </w:t>
      </w:r>
      <w:r w:rsidR="00660AA8" w:rsidRPr="00EE7E38">
        <w:rPr>
          <w:rFonts w:ascii="Times New Roman" w:hAnsi="Times New Roman" w:cs="Times New Roman"/>
        </w:rPr>
        <w:t>two</w:t>
      </w:r>
      <w:r w:rsidRPr="00EE7E38">
        <w:rPr>
          <w:rFonts w:ascii="Times New Roman" w:hAnsi="Times New Roman" w:cs="Times New Roman"/>
        </w:rPr>
        <w:t xml:space="preserve"> years will be performed at the time of </w:t>
      </w:r>
      <w:r w:rsidR="00465B2D">
        <w:rPr>
          <w:rFonts w:ascii="Times New Roman" w:hAnsi="Times New Roman" w:cs="Times New Roman"/>
        </w:rPr>
        <w:t>mid</w:t>
      </w:r>
      <w:r w:rsidRPr="00EE7E38">
        <w:rPr>
          <w:rFonts w:ascii="Times New Roman" w:hAnsi="Times New Roman" w:cs="Times New Roman"/>
        </w:rPr>
        <w:t xml:space="preserve">-term review of the implementation of the Plan. </w:t>
      </w:r>
    </w:p>
    <w:p w14:paraId="2F9611F4" w14:textId="77777777" w:rsidR="00C97C57" w:rsidRPr="00EE7E38" w:rsidRDefault="007E5FC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bCs/>
        </w:rPr>
        <w:t>Government funding</w:t>
      </w:r>
    </w:p>
    <w:p w14:paraId="2B3B99CE" w14:textId="77777777" w:rsidR="007E5FC2" w:rsidRPr="00EE7E38" w:rsidRDefault="007E5FC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National Health Accounts (NHA) of Georgia </w:t>
      </w:r>
      <w:proofErr w:type="gramStart"/>
      <w:r w:rsidRPr="00EE7E38">
        <w:rPr>
          <w:rFonts w:ascii="Times New Roman" w:hAnsi="Times New Roman" w:cs="Times New Roman"/>
        </w:rPr>
        <w:t>estimate</w:t>
      </w:r>
      <w:proofErr w:type="gramEnd"/>
      <w:r w:rsidRPr="00EE7E38">
        <w:rPr>
          <w:rFonts w:ascii="Times New Roman" w:hAnsi="Times New Roman" w:cs="Times New Roman"/>
        </w:rPr>
        <w:t xml:space="preserve"> that the total health expenditures (from all sources) were GEL 2.</w:t>
      </w:r>
      <w:r w:rsidR="007D5EEA" w:rsidRPr="00EE7E38">
        <w:rPr>
          <w:rFonts w:ascii="Times New Roman" w:hAnsi="Times New Roman" w:cs="Times New Roman"/>
        </w:rPr>
        <w:t>7</w:t>
      </w:r>
      <w:r w:rsidRPr="00EE7E38">
        <w:rPr>
          <w:rFonts w:ascii="Times New Roman" w:hAnsi="Times New Roman" w:cs="Times New Roman"/>
        </w:rPr>
        <w:t>9 billion (about USD 1.</w:t>
      </w:r>
      <w:r w:rsidR="007D5EEA" w:rsidRPr="00EE7E38">
        <w:rPr>
          <w:rFonts w:ascii="Times New Roman" w:hAnsi="Times New Roman" w:cs="Times New Roman"/>
        </w:rPr>
        <w:t>4</w:t>
      </w:r>
      <w:r w:rsidRPr="00EE7E38">
        <w:rPr>
          <w:rFonts w:ascii="Times New Roman" w:hAnsi="Times New Roman" w:cs="Times New Roman"/>
        </w:rPr>
        <w:t xml:space="preserve"> billion) in 201</w:t>
      </w:r>
      <w:r w:rsidR="007D5EEA" w:rsidRPr="00EE7E38">
        <w:rPr>
          <w:rFonts w:ascii="Times New Roman" w:hAnsi="Times New Roman" w:cs="Times New Roman"/>
        </w:rPr>
        <w:t>6</w:t>
      </w:r>
      <w:r w:rsidRPr="00EE7E38">
        <w:rPr>
          <w:rFonts w:ascii="Times New Roman" w:hAnsi="Times New Roman" w:cs="Times New Roman"/>
        </w:rPr>
        <w:t xml:space="preserve">. Out of these, </w:t>
      </w:r>
      <w:r w:rsidR="007D5EEA" w:rsidRPr="00EE7E38">
        <w:rPr>
          <w:rFonts w:ascii="Times New Roman" w:hAnsi="Times New Roman" w:cs="Times New Roman"/>
        </w:rPr>
        <w:t xml:space="preserve">despite decline trend (66.9% in 2013 to 56.9% in 2022) </w:t>
      </w:r>
      <w:r w:rsidR="00E702A4" w:rsidRPr="00EE7E38">
        <w:rPr>
          <w:rFonts w:ascii="Times New Roman" w:hAnsi="Times New Roman" w:cs="Times New Roman"/>
        </w:rPr>
        <w:t>direct out-of-pocket payments by patients / households</w:t>
      </w:r>
      <w:r w:rsidR="00C97C57" w:rsidRPr="00EE7E38">
        <w:rPr>
          <w:rFonts w:ascii="Times New Roman" w:hAnsi="Times New Roman" w:cs="Times New Roman"/>
        </w:rPr>
        <w:t xml:space="preserve"> </w:t>
      </w:r>
      <w:r w:rsidR="00E702A4" w:rsidRPr="00EE7E38">
        <w:rPr>
          <w:rFonts w:ascii="Times New Roman" w:hAnsi="Times New Roman" w:cs="Times New Roman"/>
        </w:rPr>
        <w:t>represent</w:t>
      </w:r>
      <w:r w:rsidR="007D5EEA" w:rsidRPr="00EE7E38">
        <w:rPr>
          <w:rFonts w:ascii="Times New Roman" w:hAnsi="Times New Roman" w:cs="Times New Roman"/>
        </w:rPr>
        <w:t>ed</w:t>
      </w:r>
      <w:r w:rsidR="00E702A4" w:rsidRPr="00EE7E38">
        <w:rPr>
          <w:rFonts w:ascii="Times New Roman" w:hAnsi="Times New Roman" w:cs="Times New Roman"/>
        </w:rPr>
        <w:t xml:space="preserve"> </w:t>
      </w:r>
      <w:r w:rsidRPr="00EE7E38">
        <w:rPr>
          <w:rFonts w:ascii="Times New Roman" w:hAnsi="Times New Roman" w:cs="Times New Roman"/>
        </w:rPr>
        <w:t>the largest share, followed by the state budget (</w:t>
      </w:r>
      <w:r w:rsidR="007D5EEA" w:rsidRPr="00EE7E38">
        <w:rPr>
          <w:rFonts w:ascii="Times New Roman" w:hAnsi="Times New Roman" w:cs="Times New Roman"/>
        </w:rPr>
        <w:t>3</w:t>
      </w:r>
      <w:r w:rsidRPr="00EE7E38">
        <w:rPr>
          <w:rFonts w:ascii="Times New Roman" w:hAnsi="Times New Roman" w:cs="Times New Roman"/>
        </w:rPr>
        <w:t>8%), private health insurance (6%), other domestic sources (2.4%) and external aid (</w:t>
      </w:r>
      <w:r w:rsidR="007D5EEA" w:rsidRPr="00EE7E38">
        <w:rPr>
          <w:rFonts w:ascii="Times New Roman" w:hAnsi="Times New Roman" w:cs="Times New Roman"/>
        </w:rPr>
        <w:t>1.1</w:t>
      </w:r>
      <w:r w:rsidRPr="00EE7E38">
        <w:rPr>
          <w:rFonts w:ascii="Times New Roman" w:hAnsi="Times New Roman" w:cs="Times New Roman"/>
        </w:rPr>
        <w:t xml:space="preserve">%). </w:t>
      </w:r>
    </w:p>
    <w:p w14:paraId="28883759" w14:textId="77777777" w:rsidR="002C1388" w:rsidRPr="00EE7E38" w:rsidRDefault="007E5FC2" w:rsidP="00297792">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Regarding the total state expenditures in the health sector, there has been a considerable and steady increase in the government health funding during the last years; between 2012 and 201</w:t>
      </w:r>
      <w:r w:rsidR="007D5EEA" w:rsidRPr="00EE7E38">
        <w:rPr>
          <w:rFonts w:ascii="Times New Roman" w:hAnsi="Times New Roman" w:cs="Times New Roman"/>
        </w:rPr>
        <w:t>6</w:t>
      </w:r>
      <w:r w:rsidRPr="00EE7E38">
        <w:rPr>
          <w:rFonts w:ascii="Times New Roman" w:hAnsi="Times New Roman" w:cs="Times New Roman"/>
        </w:rPr>
        <w:t>, this level increased from GEL 4</w:t>
      </w:r>
      <w:r w:rsidR="00297792" w:rsidRPr="00EE7E38">
        <w:rPr>
          <w:rFonts w:ascii="Times New Roman" w:hAnsi="Times New Roman" w:cs="Times New Roman"/>
        </w:rPr>
        <w:t>50</w:t>
      </w:r>
      <w:r w:rsidRPr="00EE7E38">
        <w:rPr>
          <w:rFonts w:ascii="Times New Roman" w:hAnsi="Times New Roman" w:cs="Times New Roman"/>
        </w:rPr>
        <w:t>.</w:t>
      </w:r>
      <w:r w:rsidR="00297792" w:rsidRPr="00EE7E38">
        <w:rPr>
          <w:rFonts w:ascii="Times New Roman" w:hAnsi="Times New Roman" w:cs="Times New Roman"/>
        </w:rPr>
        <w:t>3</w:t>
      </w:r>
      <w:r w:rsidRPr="00EE7E38">
        <w:rPr>
          <w:rFonts w:ascii="Times New Roman" w:hAnsi="Times New Roman" w:cs="Times New Roman"/>
        </w:rPr>
        <w:t xml:space="preserve"> million to GEL </w:t>
      </w:r>
      <w:r w:rsidR="00297792" w:rsidRPr="00EE7E38">
        <w:rPr>
          <w:rFonts w:ascii="Times New Roman" w:hAnsi="Times New Roman" w:cs="Times New Roman"/>
        </w:rPr>
        <w:t>1.06</w:t>
      </w:r>
      <w:r w:rsidRPr="00EE7E38">
        <w:rPr>
          <w:rFonts w:ascii="Times New Roman" w:hAnsi="Times New Roman" w:cs="Times New Roman"/>
        </w:rPr>
        <w:t xml:space="preserve"> </w:t>
      </w:r>
      <w:r w:rsidR="00297792" w:rsidRPr="00EE7E38">
        <w:rPr>
          <w:rFonts w:ascii="Times New Roman" w:hAnsi="Times New Roman" w:cs="Times New Roman"/>
        </w:rPr>
        <w:t xml:space="preserve">billion </w:t>
      </w:r>
      <w:r w:rsidRPr="00EE7E38">
        <w:rPr>
          <w:rFonts w:ascii="Times New Roman" w:hAnsi="Times New Roman" w:cs="Times New Roman"/>
        </w:rPr>
        <w:t>(</w:t>
      </w:r>
      <w:r w:rsidR="00297792" w:rsidRPr="00EE7E38">
        <w:rPr>
          <w:rFonts w:ascii="Times New Roman" w:hAnsi="Times New Roman" w:cs="Times New Roman"/>
        </w:rPr>
        <w:t xml:space="preserve">2.3 fold </w:t>
      </w:r>
      <w:r w:rsidRPr="00EE7E38">
        <w:rPr>
          <w:rFonts w:ascii="Times New Roman" w:hAnsi="Times New Roman" w:cs="Times New Roman"/>
        </w:rPr>
        <w:t>increase).</w:t>
      </w:r>
      <w:r w:rsidR="00297792" w:rsidRPr="00EE7E38">
        <w:rPr>
          <w:rFonts w:ascii="Times New Roman" w:hAnsi="Times New Roman" w:cs="Times New Roman"/>
        </w:rPr>
        <w:t xml:space="preserve"> </w:t>
      </w:r>
    </w:p>
    <w:p w14:paraId="0CC01E10" w14:textId="7F7AB93A" w:rsidR="00297792" w:rsidRPr="00EE7E38" w:rsidRDefault="00297792" w:rsidP="00297792">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Table </w:t>
      </w:r>
      <w:r w:rsidR="00C97C57" w:rsidRPr="00EE7E38">
        <w:rPr>
          <w:rFonts w:ascii="Times New Roman" w:hAnsi="Times New Roman" w:cs="Times New Roman"/>
        </w:rPr>
        <w:t>8</w:t>
      </w:r>
      <w:r w:rsidRPr="00EE7E38">
        <w:rPr>
          <w:rFonts w:ascii="Times New Roman" w:hAnsi="Times New Roman" w:cs="Times New Roman"/>
        </w:rPr>
        <w:t xml:space="preserve"> shows that the total </w:t>
      </w:r>
      <w:r w:rsidR="00705B36" w:rsidRPr="00EE7E38">
        <w:rPr>
          <w:rFonts w:ascii="Times New Roman" w:hAnsi="Times New Roman" w:cs="Times New Roman"/>
        </w:rPr>
        <w:t>expenditures</w:t>
      </w:r>
      <w:r w:rsidRPr="00EE7E38">
        <w:rPr>
          <w:rFonts w:ascii="Times New Roman" w:hAnsi="Times New Roman" w:cs="Times New Roman"/>
        </w:rPr>
        <w:t xml:space="preserve"> </w:t>
      </w:r>
      <w:r w:rsidR="00705B36" w:rsidRPr="00EE7E38">
        <w:rPr>
          <w:rFonts w:ascii="Times New Roman" w:hAnsi="Times New Roman" w:cs="Times New Roman"/>
        </w:rPr>
        <w:t>d</w:t>
      </w:r>
      <w:r w:rsidRPr="00EE7E38">
        <w:rPr>
          <w:rFonts w:ascii="Times New Roman" w:hAnsi="Times New Roman" w:cs="Times New Roman"/>
        </w:rPr>
        <w:t xml:space="preserve">irectly related to tuberculosis control in Georgia (from all sources) increased from </w:t>
      </w:r>
      <w:r w:rsidR="00D906B2">
        <w:rPr>
          <w:rFonts w:ascii="Times New Roman" w:hAnsi="Times New Roman" w:cs="Times New Roman"/>
        </w:rPr>
        <w:t xml:space="preserve">21.4 million </w:t>
      </w:r>
      <w:proofErr w:type="gramStart"/>
      <w:r w:rsidR="00D906B2">
        <w:rPr>
          <w:rFonts w:ascii="Times New Roman" w:hAnsi="Times New Roman" w:cs="Times New Roman"/>
        </w:rPr>
        <w:t>GEL</w:t>
      </w:r>
      <w:proofErr w:type="gramEnd"/>
      <w:r w:rsidR="00D906B2">
        <w:rPr>
          <w:rFonts w:ascii="Times New Roman" w:hAnsi="Times New Roman" w:cs="Times New Roman"/>
        </w:rPr>
        <w:t xml:space="preserve"> in 2012 to 29.9 million GEL in 2016 (39</w:t>
      </w:r>
      <w:r w:rsidRPr="00EE7E38">
        <w:rPr>
          <w:rFonts w:ascii="Times New Roman" w:hAnsi="Times New Roman" w:cs="Times New Roman"/>
        </w:rPr>
        <w:t xml:space="preserve">%). State financing increased from 10.9 million </w:t>
      </w:r>
      <w:proofErr w:type="gramStart"/>
      <w:r w:rsidRPr="00EE7E38">
        <w:rPr>
          <w:rFonts w:ascii="Times New Roman" w:hAnsi="Times New Roman" w:cs="Times New Roman"/>
        </w:rPr>
        <w:t>GEL</w:t>
      </w:r>
      <w:proofErr w:type="gramEnd"/>
      <w:r w:rsidRPr="00EE7E38">
        <w:rPr>
          <w:rFonts w:ascii="Times New Roman" w:hAnsi="Times New Roman" w:cs="Times New Roman"/>
        </w:rPr>
        <w:t xml:space="preserve"> in 2012 to 13.68 million GEL in 2016 (65.7%). During the period from 2012 to 2016, the amount of out-of</w:t>
      </w:r>
      <w:r w:rsidR="00465B2D">
        <w:rPr>
          <w:rFonts w:ascii="Times New Roman" w:hAnsi="Times New Roman" w:cs="Times New Roman"/>
        </w:rPr>
        <w:t>-</w:t>
      </w:r>
      <w:r w:rsidRPr="00EE7E38">
        <w:rPr>
          <w:rFonts w:ascii="Times New Roman" w:hAnsi="Times New Roman" w:cs="Times New Roman"/>
        </w:rPr>
        <w:t xml:space="preserve">pocket payments was halved and its share </w:t>
      </w:r>
      <w:r w:rsidR="00465B2D">
        <w:rPr>
          <w:rFonts w:ascii="Times New Roman" w:hAnsi="Times New Roman" w:cs="Times New Roman"/>
        </w:rPr>
        <w:t>of</w:t>
      </w:r>
      <w:r w:rsidRPr="00EE7E38">
        <w:rPr>
          <w:rFonts w:ascii="Times New Roman" w:hAnsi="Times New Roman" w:cs="Times New Roman"/>
        </w:rPr>
        <w:t xml:space="preserve"> expenditures decreased </w:t>
      </w:r>
      <w:r w:rsidR="00465B2D">
        <w:rPr>
          <w:rFonts w:ascii="Times New Roman" w:hAnsi="Times New Roman" w:cs="Times New Roman"/>
        </w:rPr>
        <w:t xml:space="preserve">to less than </w:t>
      </w:r>
      <w:r w:rsidR="00D43D9A">
        <w:rPr>
          <w:rFonts w:ascii="Times New Roman" w:hAnsi="Times New Roman" w:cs="Times New Roman"/>
        </w:rPr>
        <w:t>one-third of 2012 levels</w:t>
      </w:r>
      <w:r w:rsidRPr="00EE7E38">
        <w:rPr>
          <w:rFonts w:ascii="Times New Roman" w:hAnsi="Times New Roman" w:cs="Times New Roman"/>
        </w:rPr>
        <w:t>.</w:t>
      </w:r>
    </w:p>
    <w:p w14:paraId="414DFF4A" w14:textId="77777777" w:rsidR="00297792" w:rsidRPr="00EE7E38" w:rsidRDefault="00297792" w:rsidP="00297792">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Pr="00EE7E38">
        <w:rPr>
          <w:rFonts w:ascii="Times New Roman" w:hAnsi="Times New Roman" w:cs="Times New Roman"/>
        </w:rPr>
        <w:fldChar w:fldCharType="separate"/>
      </w:r>
      <w:r w:rsidR="00676B83" w:rsidRPr="00EE7E38">
        <w:rPr>
          <w:rFonts w:ascii="Times New Roman" w:hAnsi="Times New Roman" w:cs="Times New Roman"/>
          <w:noProof/>
        </w:rPr>
        <w:t>8</w:t>
      </w:r>
      <w:r w:rsidRPr="00EE7E38">
        <w:rPr>
          <w:rFonts w:ascii="Times New Roman" w:hAnsi="Times New Roman" w:cs="Times New Roman"/>
        </w:rPr>
        <w:fldChar w:fldCharType="end"/>
      </w:r>
      <w:r w:rsidRPr="00EE7E38">
        <w:rPr>
          <w:rFonts w:ascii="Times New Roman" w:hAnsi="Times New Roman" w:cs="Times New Roman"/>
        </w:rPr>
        <w:t>.</w:t>
      </w:r>
      <w:proofErr w:type="gramEnd"/>
      <w:r w:rsidRPr="00EE7E38">
        <w:rPr>
          <w:rFonts w:ascii="Times New Roman" w:hAnsi="Times New Roman" w:cs="Times New Roman"/>
        </w:rPr>
        <w:t xml:space="preserve"> Total expenditures on TB control in Georgia by source, 2012-2016, GEL</w:t>
      </w:r>
    </w:p>
    <w:tbl>
      <w:tblPr>
        <w:tblStyle w:val="TableGrid"/>
        <w:tblW w:w="9918" w:type="dxa"/>
        <w:tblLayout w:type="fixed"/>
        <w:tblLook w:val="04A0" w:firstRow="1" w:lastRow="0" w:firstColumn="1" w:lastColumn="0" w:noHBand="0" w:noVBand="1"/>
      </w:tblPr>
      <w:tblGrid>
        <w:gridCol w:w="1638"/>
        <w:gridCol w:w="990"/>
        <w:gridCol w:w="1080"/>
        <w:gridCol w:w="900"/>
        <w:gridCol w:w="900"/>
        <w:gridCol w:w="990"/>
        <w:gridCol w:w="630"/>
        <w:gridCol w:w="630"/>
        <w:gridCol w:w="720"/>
        <w:gridCol w:w="720"/>
        <w:gridCol w:w="720"/>
      </w:tblGrid>
      <w:tr w:rsidR="00FA038A" w:rsidRPr="00EE7E38" w14:paraId="50F8801C" w14:textId="77777777" w:rsidTr="00705B36">
        <w:trPr>
          <w:tblHeader/>
        </w:trPr>
        <w:tc>
          <w:tcPr>
            <w:tcW w:w="1638" w:type="dxa"/>
            <w:vMerge w:val="restart"/>
            <w:vAlign w:val="center"/>
          </w:tcPr>
          <w:p w14:paraId="68478B8D" w14:textId="77777777" w:rsidR="00FA038A" w:rsidRPr="00EE7E38" w:rsidRDefault="00FA038A" w:rsidP="00835F94">
            <w:pPr>
              <w:widowControl w:val="0"/>
              <w:spacing w:before="40" w:after="40" w:line="276" w:lineRule="auto"/>
              <w:jc w:val="center"/>
              <w:rPr>
                <w:rFonts w:ascii="Times New Roman" w:hAnsi="Times New Roman" w:cs="Times New Roman"/>
                <w:b/>
                <w:i/>
                <w:sz w:val="18"/>
                <w:szCs w:val="18"/>
              </w:rPr>
            </w:pPr>
            <w:r w:rsidRPr="00EE7E38">
              <w:rPr>
                <w:rFonts w:ascii="Times New Roman" w:hAnsi="Times New Roman" w:cs="Times New Roman"/>
                <w:b/>
                <w:i/>
                <w:sz w:val="18"/>
                <w:szCs w:val="18"/>
              </w:rPr>
              <w:t>Source of funding</w:t>
            </w:r>
          </w:p>
        </w:tc>
        <w:tc>
          <w:tcPr>
            <w:tcW w:w="4860" w:type="dxa"/>
            <w:gridSpan w:val="5"/>
            <w:vAlign w:val="center"/>
          </w:tcPr>
          <w:p w14:paraId="1BC19FFA" w14:textId="77777777" w:rsidR="00FA038A" w:rsidRPr="00EE7E38" w:rsidRDefault="00FA038A"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Total Expenditure on TB Control, GEL</w:t>
            </w:r>
          </w:p>
        </w:tc>
        <w:tc>
          <w:tcPr>
            <w:tcW w:w="3420" w:type="dxa"/>
            <w:gridSpan w:val="5"/>
            <w:vAlign w:val="center"/>
          </w:tcPr>
          <w:p w14:paraId="6E23080B" w14:textId="77777777" w:rsidR="00FA038A" w:rsidRPr="00EE7E38" w:rsidRDefault="00FA038A" w:rsidP="00835F94">
            <w:pPr>
              <w:widowControl w:val="0"/>
              <w:spacing w:before="40" w:after="40"/>
              <w:jc w:val="center"/>
              <w:rPr>
                <w:rFonts w:ascii="Times New Roman" w:hAnsi="Times New Roman" w:cs="Times New Roman"/>
                <w:b/>
                <w:i/>
                <w:sz w:val="18"/>
                <w:szCs w:val="18"/>
              </w:rPr>
            </w:pPr>
            <w:r w:rsidRPr="00EE7E38">
              <w:rPr>
                <w:rFonts w:ascii="Times New Roman" w:hAnsi="Times New Roman" w:cs="Times New Roman"/>
                <w:b/>
                <w:i/>
                <w:sz w:val="18"/>
                <w:szCs w:val="18"/>
              </w:rPr>
              <w:t>Share in total Expenditure</w:t>
            </w:r>
          </w:p>
        </w:tc>
      </w:tr>
      <w:tr w:rsidR="00FA038A" w:rsidRPr="00EE7E38" w14:paraId="295F2038" w14:textId="77777777" w:rsidTr="00705B36">
        <w:trPr>
          <w:tblHeader/>
        </w:trPr>
        <w:tc>
          <w:tcPr>
            <w:tcW w:w="1638" w:type="dxa"/>
            <w:vMerge/>
            <w:vAlign w:val="center"/>
          </w:tcPr>
          <w:p w14:paraId="6857A496" w14:textId="77777777" w:rsidR="00FA038A" w:rsidRPr="00EE7E38" w:rsidRDefault="00FA038A" w:rsidP="00835F94">
            <w:pPr>
              <w:widowControl w:val="0"/>
              <w:spacing w:before="40" w:after="40" w:line="276" w:lineRule="auto"/>
              <w:jc w:val="center"/>
              <w:rPr>
                <w:rFonts w:ascii="Times New Roman" w:hAnsi="Times New Roman" w:cs="Times New Roman"/>
                <w:b/>
                <w:i/>
                <w:sz w:val="18"/>
                <w:szCs w:val="18"/>
              </w:rPr>
            </w:pPr>
          </w:p>
        </w:tc>
        <w:tc>
          <w:tcPr>
            <w:tcW w:w="990" w:type="dxa"/>
            <w:vAlign w:val="center"/>
          </w:tcPr>
          <w:p w14:paraId="0551F659" w14:textId="77777777" w:rsidR="00FA038A" w:rsidRPr="00EE7E38" w:rsidRDefault="00FA038A" w:rsidP="00835F94">
            <w:pPr>
              <w:widowControl w:val="0"/>
              <w:spacing w:before="40" w:after="40" w:line="276" w:lineRule="auto"/>
              <w:jc w:val="center"/>
              <w:rPr>
                <w:rFonts w:ascii="Times New Roman" w:hAnsi="Times New Roman" w:cs="Times New Roman"/>
                <w:b/>
                <w:i/>
                <w:sz w:val="14"/>
                <w:szCs w:val="18"/>
              </w:rPr>
            </w:pPr>
            <w:r w:rsidRPr="00EE7E38">
              <w:rPr>
                <w:rFonts w:ascii="Times New Roman" w:hAnsi="Times New Roman" w:cs="Times New Roman"/>
                <w:b/>
                <w:i/>
                <w:sz w:val="14"/>
                <w:szCs w:val="18"/>
              </w:rPr>
              <w:t>2012</w:t>
            </w:r>
          </w:p>
        </w:tc>
        <w:tc>
          <w:tcPr>
            <w:tcW w:w="1080" w:type="dxa"/>
            <w:vAlign w:val="center"/>
          </w:tcPr>
          <w:p w14:paraId="34645E5E" w14:textId="77777777" w:rsidR="00FA038A" w:rsidRPr="00EE7E38" w:rsidRDefault="00FA038A" w:rsidP="00835F94">
            <w:pPr>
              <w:widowControl w:val="0"/>
              <w:spacing w:before="40" w:after="40" w:line="276" w:lineRule="auto"/>
              <w:jc w:val="center"/>
              <w:rPr>
                <w:rFonts w:ascii="Times New Roman" w:hAnsi="Times New Roman" w:cs="Times New Roman"/>
                <w:b/>
                <w:i/>
                <w:sz w:val="14"/>
                <w:szCs w:val="18"/>
              </w:rPr>
            </w:pPr>
            <w:r w:rsidRPr="00EE7E38">
              <w:rPr>
                <w:rFonts w:ascii="Times New Roman" w:hAnsi="Times New Roman" w:cs="Times New Roman"/>
                <w:b/>
                <w:i/>
                <w:sz w:val="14"/>
                <w:szCs w:val="18"/>
              </w:rPr>
              <w:t>2013</w:t>
            </w:r>
          </w:p>
        </w:tc>
        <w:tc>
          <w:tcPr>
            <w:tcW w:w="900" w:type="dxa"/>
            <w:vAlign w:val="center"/>
          </w:tcPr>
          <w:p w14:paraId="0985122B" w14:textId="77777777" w:rsidR="00FA038A" w:rsidRPr="00EE7E38" w:rsidRDefault="00FA038A" w:rsidP="00835F94">
            <w:pPr>
              <w:widowControl w:val="0"/>
              <w:spacing w:before="40" w:after="40" w:line="276" w:lineRule="auto"/>
              <w:jc w:val="center"/>
              <w:rPr>
                <w:rFonts w:ascii="Times New Roman" w:hAnsi="Times New Roman" w:cs="Times New Roman"/>
                <w:b/>
                <w:i/>
                <w:sz w:val="14"/>
                <w:szCs w:val="18"/>
              </w:rPr>
            </w:pPr>
            <w:r w:rsidRPr="00EE7E38">
              <w:rPr>
                <w:rFonts w:ascii="Times New Roman" w:hAnsi="Times New Roman" w:cs="Times New Roman"/>
                <w:b/>
                <w:i/>
                <w:sz w:val="14"/>
                <w:szCs w:val="18"/>
              </w:rPr>
              <w:t>2014</w:t>
            </w:r>
          </w:p>
        </w:tc>
        <w:tc>
          <w:tcPr>
            <w:tcW w:w="900" w:type="dxa"/>
            <w:vAlign w:val="center"/>
          </w:tcPr>
          <w:p w14:paraId="5116C32D" w14:textId="77777777" w:rsidR="00FA038A" w:rsidRPr="00EE7E38" w:rsidRDefault="00FA038A" w:rsidP="00835F94">
            <w:pPr>
              <w:widowControl w:val="0"/>
              <w:spacing w:before="40" w:after="40"/>
              <w:jc w:val="center"/>
              <w:rPr>
                <w:rFonts w:ascii="Times New Roman" w:hAnsi="Times New Roman" w:cs="Times New Roman"/>
                <w:b/>
                <w:i/>
                <w:sz w:val="14"/>
                <w:szCs w:val="18"/>
              </w:rPr>
            </w:pPr>
            <w:r w:rsidRPr="00EE7E38">
              <w:rPr>
                <w:rFonts w:ascii="Times New Roman" w:eastAsia="Times New Roman" w:hAnsi="Times New Roman" w:cs="Times New Roman"/>
                <w:b/>
                <w:bCs/>
                <w:sz w:val="14"/>
                <w:szCs w:val="18"/>
                <w:lang w:val="ka-GE"/>
              </w:rPr>
              <w:t>2015</w:t>
            </w:r>
          </w:p>
        </w:tc>
        <w:tc>
          <w:tcPr>
            <w:tcW w:w="990" w:type="dxa"/>
            <w:vAlign w:val="center"/>
          </w:tcPr>
          <w:p w14:paraId="714A8118" w14:textId="77777777" w:rsidR="00FA038A" w:rsidRPr="00EE7E38" w:rsidRDefault="00FA038A" w:rsidP="00835F94">
            <w:pPr>
              <w:widowControl w:val="0"/>
              <w:spacing w:before="40" w:after="40"/>
              <w:jc w:val="center"/>
              <w:rPr>
                <w:rFonts w:ascii="Times New Roman" w:hAnsi="Times New Roman" w:cs="Times New Roman"/>
                <w:b/>
                <w:i/>
                <w:sz w:val="14"/>
                <w:szCs w:val="18"/>
              </w:rPr>
            </w:pPr>
            <w:r w:rsidRPr="00EE7E38">
              <w:rPr>
                <w:rFonts w:ascii="Times New Roman" w:eastAsia="Times New Roman" w:hAnsi="Times New Roman" w:cs="Times New Roman"/>
                <w:b/>
                <w:bCs/>
                <w:sz w:val="14"/>
                <w:szCs w:val="18"/>
                <w:lang w:val="ka-GE"/>
              </w:rPr>
              <w:t>2016</w:t>
            </w:r>
          </w:p>
        </w:tc>
        <w:tc>
          <w:tcPr>
            <w:tcW w:w="630" w:type="dxa"/>
            <w:vAlign w:val="center"/>
          </w:tcPr>
          <w:p w14:paraId="52475733" w14:textId="77777777" w:rsidR="00FA038A" w:rsidRPr="00EE7E38" w:rsidRDefault="00FA038A" w:rsidP="00835F94">
            <w:pPr>
              <w:widowControl w:val="0"/>
              <w:spacing w:before="40" w:after="40" w:line="276" w:lineRule="auto"/>
              <w:jc w:val="center"/>
              <w:rPr>
                <w:rFonts w:ascii="Times New Roman" w:hAnsi="Times New Roman" w:cs="Times New Roman"/>
                <w:b/>
                <w:i/>
                <w:sz w:val="14"/>
                <w:szCs w:val="18"/>
              </w:rPr>
            </w:pPr>
            <w:r w:rsidRPr="00EE7E38">
              <w:rPr>
                <w:rFonts w:ascii="Times New Roman" w:hAnsi="Times New Roman" w:cs="Times New Roman"/>
                <w:b/>
                <w:i/>
                <w:sz w:val="14"/>
                <w:szCs w:val="18"/>
              </w:rPr>
              <w:t>2012</w:t>
            </w:r>
          </w:p>
        </w:tc>
        <w:tc>
          <w:tcPr>
            <w:tcW w:w="630" w:type="dxa"/>
            <w:vAlign w:val="center"/>
          </w:tcPr>
          <w:p w14:paraId="15E92582" w14:textId="77777777" w:rsidR="00FA038A" w:rsidRPr="00EE7E38" w:rsidRDefault="00FA038A" w:rsidP="00835F94">
            <w:pPr>
              <w:widowControl w:val="0"/>
              <w:spacing w:before="40" w:after="40" w:line="276" w:lineRule="auto"/>
              <w:jc w:val="center"/>
              <w:rPr>
                <w:rFonts w:ascii="Times New Roman" w:hAnsi="Times New Roman" w:cs="Times New Roman"/>
                <w:b/>
                <w:i/>
                <w:sz w:val="14"/>
                <w:szCs w:val="18"/>
              </w:rPr>
            </w:pPr>
            <w:r w:rsidRPr="00EE7E38">
              <w:rPr>
                <w:rFonts w:ascii="Times New Roman" w:hAnsi="Times New Roman" w:cs="Times New Roman"/>
                <w:b/>
                <w:i/>
                <w:sz w:val="14"/>
                <w:szCs w:val="18"/>
              </w:rPr>
              <w:t>2013</w:t>
            </w:r>
          </w:p>
        </w:tc>
        <w:tc>
          <w:tcPr>
            <w:tcW w:w="720" w:type="dxa"/>
            <w:vAlign w:val="center"/>
          </w:tcPr>
          <w:p w14:paraId="2C50A7DF" w14:textId="77777777" w:rsidR="00FA038A" w:rsidRPr="00EE7E38" w:rsidRDefault="00FA038A" w:rsidP="00835F94">
            <w:pPr>
              <w:widowControl w:val="0"/>
              <w:spacing w:before="40" w:after="40" w:line="276" w:lineRule="auto"/>
              <w:jc w:val="center"/>
              <w:rPr>
                <w:rFonts w:ascii="Times New Roman" w:hAnsi="Times New Roman" w:cs="Times New Roman"/>
                <w:b/>
                <w:i/>
                <w:sz w:val="14"/>
                <w:szCs w:val="18"/>
              </w:rPr>
            </w:pPr>
            <w:r w:rsidRPr="00EE7E38">
              <w:rPr>
                <w:rFonts w:ascii="Times New Roman" w:hAnsi="Times New Roman" w:cs="Times New Roman"/>
                <w:b/>
                <w:i/>
                <w:sz w:val="14"/>
                <w:szCs w:val="18"/>
              </w:rPr>
              <w:t>2014</w:t>
            </w:r>
          </w:p>
        </w:tc>
        <w:tc>
          <w:tcPr>
            <w:tcW w:w="720" w:type="dxa"/>
            <w:vAlign w:val="center"/>
          </w:tcPr>
          <w:p w14:paraId="2D44DFF8" w14:textId="77777777" w:rsidR="00FA038A" w:rsidRPr="00EE7E38" w:rsidRDefault="00FA038A" w:rsidP="00835F94">
            <w:pPr>
              <w:widowControl w:val="0"/>
              <w:spacing w:before="40" w:after="40"/>
              <w:jc w:val="center"/>
              <w:rPr>
                <w:rFonts w:ascii="Times New Roman" w:hAnsi="Times New Roman" w:cs="Times New Roman"/>
                <w:b/>
                <w:i/>
                <w:sz w:val="14"/>
                <w:szCs w:val="18"/>
              </w:rPr>
            </w:pPr>
            <w:r w:rsidRPr="00EE7E38">
              <w:rPr>
                <w:rFonts w:ascii="Times New Roman" w:eastAsia="Times New Roman" w:hAnsi="Times New Roman" w:cs="Times New Roman"/>
                <w:b/>
                <w:bCs/>
                <w:sz w:val="14"/>
                <w:szCs w:val="18"/>
                <w:lang w:val="en-GB"/>
              </w:rPr>
              <w:t>2015</w:t>
            </w:r>
          </w:p>
        </w:tc>
        <w:tc>
          <w:tcPr>
            <w:tcW w:w="720" w:type="dxa"/>
            <w:vAlign w:val="center"/>
          </w:tcPr>
          <w:p w14:paraId="4650EB49" w14:textId="77777777" w:rsidR="00FA038A" w:rsidRPr="00EE7E38" w:rsidRDefault="00FA038A" w:rsidP="00835F94">
            <w:pPr>
              <w:widowControl w:val="0"/>
              <w:spacing w:before="40" w:after="40"/>
              <w:jc w:val="center"/>
              <w:rPr>
                <w:rFonts w:ascii="Times New Roman" w:hAnsi="Times New Roman" w:cs="Times New Roman"/>
                <w:b/>
                <w:i/>
                <w:sz w:val="14"/>
                <w:szCs w:val="18"/>
              </w:rPr>
            </w:pPr>
            <w:r w:rsidRPr="00EE7E38">
              <w:rPr>
                <w:rFonts w:ascii="Times New Roman" w:eastAsia="Times New Roman" w:hAnsi="Times New Roman" w:cs="Times New Roman"/>
                <w:b/>
                <w:bCs/>
                <w:sz w:val="14"/>
                <w:szCs w:val="18"/>
                <w:lang w:val="en-GB"/>
              </w:rPr>
              <w:t>2016</w:t>
            </w:r>
          </w:p>
        </w:tc>
      </w:tr>
      <w:tr w:rsidR="00FA038A" w:rsidRPr="00EE7E38" w14:paraId="5115CB39" w14:textId="77777777" w:rsidTr="00D906B2">
        <w:tc>
          <w:tcPr>
            <w:tcW w:w="1638" w:type="dxa"/>
            <w:vAlign w:val="center"/>
          </w:tcPr>
          <w:p w14:paraId="4163CFDF" w14:textId="77777777" w:rsidR="00FA038A" w:rsidRPr="00EE7E38" w:rsidRDefault="00FA038A" w:rsidP="00835F94">
            <w:pPr>
              <w:widowControl w:val="0"/>
              <w:spacing w:before="40" w:after="40"/>
              <w:rPr>
                <w:rFonts w:ascii="Times New Roman" w:hAnsi="Times New Roman" w:cs="Times New Roman"/>
                <w:sz w:val="18"/>
                <w:szCs w:val="18"/>
              </w:rPr>
            </w:pPr>
            <w:r w:rsidRPr="00EE7E38">
              <w:rPr>
                <w:rFonts w:ascii="Times New Roman" w:hAnsi="Times New Roman" w:cs="Times New Roman"/>
                <w:sz w:val="18"/>
                <w:szCs w:val="18"/>
              </w:rPr>
              <w:t>Government spending</w:t>
            </w:r>
          </w:p>
        </w:tc>
        <w:tc>
          <w:tcPr>
            <w:tcW w:w="990" w:type="dxa"/>
            <w:vAlign w:val="center"/>
          </w:tcPr>
          <w:p w14:paraId="2D2A7B73"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10,916,438</w:t>
            </w:r>
          </w:p>
        </w:tc>
        <w:tc>
          <w:tcPr>
            <w:tcW w:w="1080" w:type="dxa"/>
            <w:vAlign w:val="center"/>
          </w:tcPr>
          <w:p w14:paraId="51CEB1A9"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14,532,049</w:t>
            </w:r>
          </w:p>
        </w:tc>
        <w:tc>
          <w:tcPr>
            <w:tcW w:w="900" w:type="dxa"/>
            <w:vAlign w:val="center"/>
          </w:tcPr>
          <w:p w14:paraId="018273CB"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15,855,729</w:t>
            </w:r>
          </w:p>
        </w:tc>
        <w:tc>
          <w:tcPr>
            <w:tcW w:w="900" w:type="dxa"/>
            <w:vAlign w:val="center"/>
          </w:tcPr>
          <w:p w14:paraId="04A0EC98"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13,912,649</w:t>
            </w:r>
          </w:p>
        </w:tc>
        <w:tc>
          <w:tcPr>
            <w:tcW w:w="990" w:type="dxa"/>
            <w:vAlign w:val="center"/>
          </w:tcPr>
          <w:p w14:paraId="2CA13F64"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15,210,272</w:t>
            </w:r>
          </w:p>
        </w:tc>
        <w:tc>
          <w:tcPr>
            <w:tcW w:w="630" w:type="dxa"/>
            <w:vAlign w:val="center"/>
          </w:tcPr>
          <w:p w14:paraId="410998D5"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51%</w:t>
            </w:r>
          </w:p>
        </w:tc>
        <w:tc>
          <w:tcPr>
            <w:tcW w:w="630" w:type="dxa"/>
            <w:vAlign w:val="center"/>
          </w:tcPr>
          <w:p w14:paraId="2838F218"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54%</w:t>
            </w:r>
          </w:p>
        </w:tc>
        <w:tc>
          <w:tcPr>
            <w:tcW w:w="720" w:type="dxa"/>
            <w:vAlign w:val="center"/>
          </w:tcPr>
          <w:p w14:paraId="2BAC4242"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57%</w:t>
            </w:r>
          </w:p>
        </w:tc>
        <w:tc>
          <w:tcPr>
            <w:tcW w:w="720" w:type="dxa"/>
            <w:vAlign w:val="center"/>
          </w:tcPr>
          <w:p w14:paraId="0A76B905"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58%</w:t>
            </w:r>
          </w:p>
        </w:tc>
        <w:tc>
          <w:tcPr>
            <w:tcW w:w="720" w:type="dxa"/>
            <w:vAlign w:val="center"/>
          </w:tcPr>
          <w:p w14:paraId="07A49C88" w14:textId="77777777" w:rsidR="00FA038A" w:rsidRPr="00EE7E38" w:rsidRDefault="00FA038A" w:rsidP="00D906B2">
            <w:pPr>
              <w:widowControl w:val="0"/>
              <w:spacing w:before="40" w:after="40"/>
              <w:jc w:val="center"/>
              <w:rPr>
                <w:rFonts w:ascii="Times New Roman" w:hAnsi="Times New Roman" w:cs="Times New Roman"/>
                <w:sz w:val="14"/>
                <w:szCs w:val="18"/>
              </w:rPr>
            </w:pPr>
            <w:r w:rsidRPr="00D906B2">
              <w:rPr>
                <w:rFonts w:ascii="Times New Roman" w:hAnsi="Times New Roman" w:cs="Times New Roman"/>
                <w:sz w:val="14"/>
                <w:szCs w:val="18"/>
              </w:rPr>
              <w:t>51%</w:t>
            </w:r>
          </w:p>
        </w:tc>
      </w:tr>
      <w:tr w:rsidR="00FA038A" w:rsidRPr="00EE7E38" w14:paraId="79A94AC5" w14:textId="77777777" w:rsidTr="00D906B2">
        <w:tc>
          <w:tcPr>
            <w:tcW w:w="1638" w:type="dxa"/>
            <w:vAlign w:val="center"/>
          </w:tcPr>
          <w:p w14:paraId="4C221DED" w14:textId="77777777" w:rsidR="00FA038A" w:rsidRPr="00EE7E38" w:rsidRDefault="00FA038A" w:rsidP="00835F94">
            <w:pPr>
              <w:widowControl w:val="0"/>
              <w:spacing w:before="40" w:after="40"/>
              <w:rPr>
                <w:rFonts w:ascii="Times New Roman" w:hAnsi="Times New Roman" w:cs="Times New Roman"/>
                <w:sz w:val="18"/>
                <w:szCs w:val="18"/>
              </w:rPr>
            </w:pPr>
            <w:r w:rsidRPr="00EE7E38">
              <w:rPr>
                <w:rFonts w:ascii="Times New Roman" w:hAnsi="Times New Roman" w:cs="Times New Roman"/>
                <w:sz w:val="18"/>
                <w:szCs w:val="18"/>
              </w:rPr>
              <w:t>External funding</w:t>
            </w:r>
          </w:p>
        </w:tc>
        <w:tc>
          <w:tcPr>
            <w:tcW w:w="990" w:type="dxa"/>
            <w:vAlign w:val="center"/>
          </w:tcPr>
          <w:p w14:paraId="53E2ED3B"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9,196,993</w:t>
            </w:r>
          </w:p>
        </w:tc>
        <w:tc>
          <w:tcPr>
            <w:tcW w:w="1080" w:type="dxa"/>
            <w:vAlign w:val="center"/>
          </w:tcPr>
          <w:p w14:paraId="43B3CBFF"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11,069,433</w:t>
            </w:r>
          </w:p>
        </w:tc>
        <w:tc>
          <w:tcPr>
            <w:tcW w:w="900" w:type="dxa"/>
            <w:vAlign w:val="center"/>
          </w:tcPr>
          <w:p w14:paraId="63A5CE20"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10,720,171</w:t>
            </w:r>
          </w:p>
        </w:tc>
        <w:tc>
          <w:tcPr>
            <w:tcW w:w="900" w:type="dxa"/>
            <w:vAlign w:val="center"/>
          </w:tcPr>
          <w:p w14:paraId="6AE18F51"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9,110,401.9</w:t>
            </w:r>
          </w:p>
        </w:tc>
        <w:tc>
          <w:tcPr>
            <w:tcW w:w="990" w:type="dxa"/>
            <w:vAlign w:val="center"/>
          </w:tcPr>
          <w:p w14:paraId="6A4413A1" w14:textId="77777777" w:rsidR="00FA038A" w:rsidRPr="00EE7E38" w:rsidRDefault="00705B36"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14,126,455</w:t>
            </w:r>
          </w:p>
        </w:tc>
        <w:tc>
          <w:tcPr>
            <w:tcW w:w="630" w:type="dxa"/>
            <w:vAlign w:val="center"/>
          </w:tcPr>
          <w:p w14:paraId="50B1F568"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43%</w:t>
            </w:r>
          </w:p>
        </w:tc>
        <w:tc>
          <w:tcPr>
            <w:tcW w:w="630" w:type="dxa"/>
            <w:vAlign w:val="center"/>
          </w:tcPr>
          <w:p w14:paraId="56208287"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41%</w:t>
            </w:r>
          </w:p>
        </w:tc>
        <w:tc>
          <w:tcPr>
            <w:tcW w:w="720" w:type="dxa"/>
            <w:vAlign w:val="center"/>
          </w:tcPr>
          <w:p w14:paraId="383C5687"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38%</w:t>
            </w:r>
          </w:p>
        </w:tc>
        <w:tc>
          <w:tcPr>
            <w:tcW w:w="720" w:type="dxa"/>
            <w:vAlign w:val="center"/>
          </w:tcPr>
          <w:p w14:paraId="7DD03894"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38%</w:t>
            </w:r>
          </w:p>
        </w:tc>
        <w:tc>
          <w:tcPr>
            <w:tcW w:w="720" w:type="dxa"/>
            <w:vAlign w:val="center"/>
          </w:tcPr>
          <w:p w14:paraId="3817872B"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eastAsia="Times New Roman" w:hAnsi="Times New Roman" w:cs="Times New Roman"/>
                <w:sz w:val="14"/>
                <w:szCs w:val="18"/>
                <w:lang w:val="ka-GE"/>
              </w:rPr>
              <w:t>475</w:t>
            </w:r>
          </w:p>
        </w:tc>
      </w:tr>
      <w:tr w:rsidR="00FA038A" w:rsidRPr="00EE7E38" w14:paraId="070E8675" w14:textId="77777777" w:rsidTr="00D906B2">
        <w:tc>
          <w:tcPr>
            <w:tcW w:w="1638" w:type="dxa"/>
            <w:vAlign w:val="center"/>
          </w:tcPr>
          <w:p w14:paraId="6EA652B6" w14:textId="77777777" w:rsidR="00FA038A" w:rsidRPr="00EE7E38" w:rsidRDefault="00FA038A" w:rsidP="00835F94">
            <w:pPr>
              <w:widowControl w:val="0"/>
              <w:spacing w:before="40" w:after="40"/>
              <w:rPr>
                <w:rFonts w:ascii="Times New Roman" w:hAnsi="Times New Roman" w:cs="Times New Roman"/>
                <w:sz w:val="18"/>
                <w:szCs w:val="18"/>
              </w:rPr>
            </w:pPr>
            <w:r w:rsidRPr="00EE7E38">
              <w:rPr>
                <w:rFonts w:ascii="Times New Roman" w:hAnsi="Times New Roman" w:cs="Times New Roman"/>
                <w:sz w:val="18"/>
                <w:szCs w:val="18"/>
              </w:rPr>
              <w:t>Out-of-pocket payments</w:t>
            </w:r>
          </w:p>
        </w:tc>
        <w:tc>
          <w:tcPr>
            <w:tcW w:w="990" w:type="dxa"/>
            <w:vAlign w:val="center"/>
          </w:tcPr>
          <w:p w14:paraId="7DC006BA"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1,352,698</w:t>
            </w:r>
          </w:p>
        </w:tc>
        <w:tc>
          <w:tcPr>
            <w:tcW w:w="1080" w:type="dxa"/>
            <w:vAlign w:val="center"/>
          </w:tcPr>
          <w:p w14:paraId="4ACEFC17"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1,385,163</w:t>
            </w:r>
          </w:p>
        </w:tc>
        <w:tc>
          <w:tcPr>
            <w:tcW w:w="900" w:type="dxa"/>
            <w:vAlign w:val="center"/>
          </w:tcPr>
          <w:p w14:paraId="01A9D534"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1,412,866</w:t>
            </w:r>
          </w:p>
        </w:tc>
        <w:tc>
          <w:tcPr>
            <w:tcW w:w="900" w:type="dxa"/>
            <w:vAlign w:val="center"/>
          </w:tcPr>
          <w:p w14:paraId="6B64CD02"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874,120</w:t>
            </w:r>
          </w:p>
        </w:tc>
        <w:tc>
          <w:tcPr>
            <w:tcW w:w="990" w:type="dxa"/>
            <w:vAlign w:val="center"/>
          </w:tcPr>
          <w:p w14:paraId="1519AA82"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630,902</w:t>
            </w:r>
          </w:p>
        </w:tc>
        <w:tc>
          <w:tcPr>
            <w:tcW w:w="630" w:type="dxa"/>
            <w:vAlign w:val="center"/>
          </w:tcPr>
          <w:p w14:paraId="14AF0815"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6%</w:t>
            </w:r>
          </w:p>
        </w:tc>
        <w:tc>
          <w:tcPr>
            <w:tcW w:w="630" w:type="dxa"/>
            <w:vAlign w:val="center"/>
          </w:tcPr>
          <w:p w14:paraId="19D5D2B7"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5%</w:t>
            </w:r>
          </w:p>
        </w:tc>
        <w:tc>
          <w:tcPr>
            <w:tcW w:w="720" w:type="dxa"/>
            <w:vAlign w:val="center"/>
          </w:tcPr>
          <w:p w14:paraId="3B017C17"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5%</w:t>
            </w:r>
          </w:p>
        </w:tc>
        <w:tc>
          <w:tcPr>
            <w:tcW w:w="720" w:type="dxa"/>
            <w:vAlign w:val="center"/>
          </w:tcPr>
          <w:p w14:paraId="43024E61"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hAnsi="Times New Roman" w:cs="Times New Roman"/>
                <w:sz w:val="14"/>
                <w:szCs w:val="18"/>
              </w:rPr>
              <w:t>4%</w:t>
            </w:r>
          </w:p>
        </w:tc>
        <w:tc>
          <w:tcPr>
            <w:tcW w:w="720" w:type="dxa"/>
            <w:vAlign w:val="center"/>
          </w:tcPr>
          <w:p w14:paraId="4A85B8C7" w14:textId="77777777" w:rsidR="00FA038A" w:rsidRPr="00EE7E38" w:rsidRDefault="00FA038A" w:rsidP="00D906B2">
            <w:pPr>
              <w:widowControl w:val="0"/>
              <w:spacing w:before="40" w:after="40"/>
              <w:jc w:val="center"/>
              <w:rPr>
                <w:rFonts w:ascii="Times New Roman" w:hAnsi="Times New Roman" w:cs="Times New Roman"/>
                <w:sz w:val="14"/>
                <w:szCs w:val="18"/>
              </w:rPr>
            </w:pPr>
            <w:r w:rsidRPr="00EE7E38">
              <w:rPr>
                <w:rFonts w:ascii="Times New Roman" w:eastAsia="Times New Roman" w:hAnsi="Times New Roman" w:cs="Times New Roman"/>
                <w:sz w:val="14"/>
                <w:szCs w:val="18"/>
                <w:lang w:val="ka-GE"/>
              </w:rPr>
              <w:t>2%</w:t>
            </w:r>
          </w:p>
        </w:tc>
      </w:tr>
      <w:tr w:rsidR="00FA038A" w:rsidRPr="00EE7E38" w14:paraId="75F3EBD3" w14:textId="77777777" w:rsidTr="00705B36">
        <w:tc>
          <w:tcPr>
            <w:tcW w:w="1638" w:type="dxa"/>
            <w:vAlign w:val="center"/>
          </w:tcPr>
          <w:p w14:paraId="5348FA03" w14:textId="77777777" w:rsidR="00FA038A" w:rsidRPr="00EE7E38" w:rsidRDefault="00FA038A" w:rsidP="00835F94">
            <w:pPr>
              <w:widowControl w:val="0"/>
              <w:spacing w:before="40" w:after="40"/>
              <w:jc w:val="center"/>
              <w:rPr>
                <w:rFonts w:ascii="Times New Roman" w:hAnsi="Times New Roman" w:cs="Times New Roman"/>
                <w:b/>
                <w:bCs/>
                <w:sz w:val="18"/>
                <w:szCs w:val="18"/>
              </w:rPr>
            </w:pPr>
            <w:r w:rsidRPr="00EE7E38">
              <w:rPr>
                <w:rFonts w:ascii="Times New Roman" w:hAnsi="Times New Roman" w:cs="Times New Roman"/>
                <w:b/>
                <w:bCs/>
                <w:sz w:val="18"/>
                <w:szCs w:val="18"/>
              </w:rPr>
              <w:t>Total</w:t>
            </w:r>
          </w:p>
        </w:tc>
        <w:tc>
          <w:tcPr>
            <w:tcW w:w="990" w:type="dxa"/>
            <w:vAlign w:val="center"/>
          </w:tcPr>
          <w:p w14:paraId="31AC382E"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b/>
                <w:bCs/>
                <w:sz w:val="14"/>
                <w:szCs w:val="18"/>
              </w:rPr>
              <w:t>21,466,129</w:t>
            </w:r>
          </w:p>
        </w:tc>
        <w:tc>
          <w:tcPr>
            <w:tcW w:w="1080" w:type="dxa"/>
            <w:vAlign w:val="center"/>
          </w:tcPr>
          <w:p w14:paraId="36F4168D"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b/>
                <w:bCs/>
                <w:sz w:val="14"/>
                <w:szCs w:val="18"/>
              </w:rPr>
              <w:t>26,986,645</w:t>
            </w:r>
          </w:p>
        </w:tc>
        <w:tc>
          <w:tcPr>
            <w:tcW w:w="900" w:type="dxa"/>
            <w:vAlign w:val="center"/>
          </w:tcPr>
          <w:p w14:paraId="4D11F0E5"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b/>
                <w:bCs/>
                <w:sz w:val="14"/>
                <w:szCs w:val="18"/>
              </w:rPr>
              <w:t>27,988,766</w:t>
            </w:r>
          </w:p>
        </w:tc>
        <w:tc>
          <w:tcPr>
            <w:tcW w:w="900" w:type="dxa"/>
          </w:tcPr>
          <w:p w14:paraId="44535A95"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23,897,171</w:t>
            </w:r>
          </w:p>
        </w:tc>
        <w:tc>
          <w:tcPr>
            <w:tcW w:w="990" w:type="dxa"/>
          </w:tcPr>
          <w:p w14:paraId="4CC6D45B"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29,967,630</w:t>
            </w:r>
          </w:p>
        </w:tc>
        <w:tc>
          <w:tcPr>
            <w:tcW w:w="630" w:type="dxa"/>
          </w:tcPr>
          <w:p w14:paraId="02CD72D1"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100%</w:t>
            </w:r>
          </w:p>
        </w:tc>
        <w:tc>
          <w:tcPr>
            <w:tcW w:w="630" w:type="dxa"/>
          </w:tcPr>
          <w:p w14:paraId="1EBA618B"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100%</w:t>
            </w:r>
          </w:p>
        </w:tc>
        <w:tc>
          <w:tcPr>
            <w:tcW w:w="720" w:type="dxa"/>
          </w:tcPr>
          <w:p w14:paraId="6F3CCC04"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100%</w:t>
            </w:r>
          </w:p>
        </w:tc>
        <w:tc>
          <w:tcPr>
            <w:tcW w:w="720" w:type="dxa"/>
          </w:tcPr>
          <w:p w14:paraId="0A6BA0FB"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100%</w:t>
            </w:r>
          </w:p>
        </w:tc>
        <w:tc>
          <w:tcPr>
            <w:tcW w:w="720" w:type="dxa"/>
          </w:tcPr>
          <w:p w14:paraId="5E0B6378" w14:textId="77777777" w:rsidR="00FA038A" w:rsidRPr="00EE7E38" w:rsidRDefault="00FA038A" w:rsidP="00705B36">
            <w:pPr>
              <w:widowControl w:val="0"/>
              <w:spacing w:before="40" w:after="40"/>
              <w:jc w:val="center"/>
              <w:rPr>
                <w:rFonts w:ascii="Times New Roman" w:hAnsi="Times New Roman" w:cs="Times New Roman"/>
                <w:b/>
                <w:bCs/>
                <w:sz w:val="14"/>
                <w:szCs w:val="18"/>
              </w:rPr>
            </w:pPr>
            <w:r w:rsidRPr="00EE7E38">
              <w:rPr>
                <w:rFonts w:ascii="Times New Roman" w:hAnsi="Times New Roman" w:cs="Times New Roman"/>
                <w:sz w:val="14"/>
                <w:szCs w:val="18"/>
              </w:rPr>
              <w:t>100%</w:t>
            </w:r>
          </w:p>
        </w:tc>
      </w:tr>
    </w:tbl>
    <w:p w14:paraId="29AAF9CF" w14:textId="6581665D" w:rsidR="007E5FC2" w:rsidRPr="00EE7E38" w:rsidRDefault="007E5FC2"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government expenditure on TB-related services per one TB case (all forms) increased from GEL 2,194 in 2012 to GEL 4,</w:t>
      </w:r>
      <w:r w:rsidR="00893357" w:rsidRPr="00EE7E38">
        <w:rPr>
          <w:rFonts w:ascii="Times New Roman" w:hAnsi="Times New Roman" w:cs="Times New Roman"/>
        </w:rPr>
        <w:t>569</w:t>
      </w:r>
      <w:r w:rsidRPr="00EE7E38">
        <w:rPr>
          <w:rFonts w:ascii="Times New Roman" w:hAnsi="Times New Roman" w:cs="Times New Roman"/>
        </w:rPr>
        <w:t xml:space="preserve"> in 2</w:t>
      </w:r>
      <w:r w:rsidR="00893357" w:rsidRPr="00EE7E38">
        <w:rPr>
          <w:rFonts w:ascii="Times New Roman" w:hAnsi="Times New Roman" w:cs="Times New Roman"/>
        </w:rPr>
        <w:t>016</w:t>
      </w:r>
      <w:r w:rsidRPr="00EE7E38">
        <w:rPr>
          <w:rFonts w:ascii="Times New Roman" w:hAnsi="Times New Roman" w:cs="Times New Roman"/>
        </w:rPr>
        <w:t xml:space="preserve"> (in USD equivale</w:t>
      </w:r>
      <w:r w:rsidR="00893357" w:rsidRPr="00EE7E38">
        <w:rPr>
          <w:rFonts w:ascii="Times New Roman" w:hAnsi="Times New Roman" w:cs="Times New Roman"/>
        </w:rPr>
        <w:t>nts, from USD 1,329 to USD 1942.6</w:t>
      </w:r>
      <w:r w:rsidRPr="00EE7E38">
        <w:rPr>
          <w:rStyle w:val="FootnoteReference"/>
          <w:rFonts w:ascii="Times New Roman" w:hAnsi="Times New Roman" w:cs="Times New Roman"/>
        </w:rPr>
        <w:footnoteReference w:id="50"/>
      </w:r>
      <w:r w:rsidRPr="00EE7E38">
        <w:rPr>
          <w:rFonts w:ascii="Times New Roman" w:hAnsi="Times New Roman" w:cs="Times New Roman"/>
        </w:rPr>
        <w:t xml:space="preserve">). Table </w:t>
      </w:r>
      <w:r w:rsidR="00465B2D">
        <w:rPr>
          <w:rFonts w:ascii="Times New Roman" w:hAnsi="Times New Roman" w:cs="Times New Roman"/>
        </w:rPr>
        <w:t>9</w:t>
      </w:r>
      <w:r w:rsidR="00465B2D" w:rsidRPr="00EE7E38">
        <w:rPr>
          <w:rFonts w:ascii="Times New Roman" w:hAnsi="Times New Roman" w:cs="Times New Roman"/>
        </w:rPr>
        <w:t xml:space="preserve"> </w:t>
      </w:r>
      <w:r w:rsidRPr="00EE7E38">
        <w:rPr>
          <w:rFonts w:ascii="Times New Roman" w:hAnsi="Times New Roman" w:cs="Times New Roman"/>
        </w:rPr>
        <w:t xml:space="preserve">presents the structure of the government TB spending by function/budget category. The highest share of funds is spent on curative services; within this category, expenditures on inpatient curative care still prevail over those on outpatient care. By item, the highest share of funds is spent on staff salaries, followed by indirect costs, food for inpatients, and laboratory and diagnostic services. </w:t>
      </w:r>
    </w:p>
    <w:p w14:paraId="1F3E534B" w14:textId="77777777" w:rsidR="007E5FC2" w:rsidRPr="00EE7E38" w:rsidRDefault="007E5FC2" w:rsidP="00835F94">
      <w:pPr>
        <w:pStyle w:val="Caption"/>
        <w:widowControl w:val="0"/>
        <w:spacing w:before="120" w:after="120"/>
        <w:contextualSpacing/>
        <w:jc w:val="center"/>
        <w:rPr>
          <w:rFonts w:ascii="Times New Roman" w:hAnsi="Times New Roman" w:cs="Times New Roman"/>
          <w:color w:val="auto"/>
          <w:szCs w:val="20"/>
        </w:rPr>
      </w:pPr>
    </w:p>
    <w:p w14:paraId="350E1699" w14:textId="77777777" w:rsidR="00A6499D" w:rsidRPr="00EE7E38" w:rsidRDefault="00A6499D" w:rsidP="00A6499D">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Pr="00EE7E38">
        <w:rPr>
          <w:rFonts w:ascii="Times New Roman" w:hAnsi="Times New Roman" w:cs="Times New Roman"/>
        </w:rPr>
        <w:fldChar w:fldCharType="begin"/>
      </w:r>
      <w:r w:rsidRPr="00EE7E38">
        <w:rPr>
          <w:rFonts w:ascii="Times New Roman" w:hAnsi="Times New Roman" w:cs="Times New Roman"/>
        </w:rPr>
        <w:instrText xml:space="preserve"> SEQ Table \* ARABIC </w:instrText>
      </w:r>
      <w:r w:rsidRPr="00EE7E38">
        <w:rPr>
          <w:rFonts w:ascii="Times New Roman" w:hAnsi="Times New Roman" w:cs="Times New Roman"/>
        </w:rPr>
        <w:fldChar w:fldCharType="separate"/>
      </w:r>
      <w:r w:rsidR="00676B83" w:rsidRPr="00EE7E38">
        <w:rPr>
          <w:rFonts w:ascii="Times New Roman" w:hAnsi="Times New Roman" w:cs="Times New Roman"/>
          <w:noProof/>
        </w:rPr>
        <w:t>9</w:t>
      </w:r>
      <w:r w:rsidRPr="00EE7E38">
        <w:rPr>
          <w:rFonts w:ascii="Times New Roman" w:hAnsi="Times New Roman" w:cs="Times New Roman"/>
        </w:rPr>
        <w:fldChar w:fldCharType="end"/>
      </w:r>
      <w:r w:rsidRPr="00EE7E38">
        <w:rPr>
          <w:rFonts w:ascii="Times New Roman" w:hAnsi="Times New Roman" w:cs="Times New Roman"/>
        </w:rPr>
        <w:t>.</w:t>
      </w:r>
      <w:proofErr w:type="gramEnd"/>
      <w:r w:rsidRPr="00EE7E38">
        <w:rPr>
          <w:rFonts w:ascii="Times New Roman" w:hAnsi="Times New Roman" w:cs="Times New Roman"/>
        </w:rPr>
        <w:t xml:space="preserve"> Government expenditures on TB control in Georgia by function, 2012-2016, GEL</w:t>
      </w:r>
    </w:p>
    <w:tbl>
      <w:tblPr>
        <w:tblW w:w="8722" w:type="dxa"/>
        <w:tblInd w:w="103" w:type="dxa"/>
        <w:tblLook w:val="04A0" w:firstRow="1" w:lastRow="0" w:firstColumn="1" w:lastColumn="0" w:noHBand="0" w:noVBand="1"/>
      </w:tblPr>
      <w:tblGrid>
        <w:gridCol w:w="751"/>
        <w:gridCol w:w="2092"/>
        <w:gridCol w:w="1026"/>
        <w:gridCol w:w="1396"/>
        <w:gridCol w:w="1242"/>
        <w:gridCol w:w="1161"/>
        <w:gridCol w:w="1161"/>
      </w:tblGrid>
      <w:tr w:rsidR="00893357" w:rsidRPr="00EE7E38" w14:paraId="7997D69D" w14:textId="77777777" w:rsidTr="00893357">
        <w:trPr>
          <w:trHeight w:val="36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C7D1"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F4F8DC5"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Function / category</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9FE8752"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2012</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649A3CF0"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2013</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0C20AF76"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2014</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0766"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2015</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3240C379"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2016</w:t>
            </w:r>
          </w:p>
        </w:tc>
      </w:tr>
      <w:tr w:rsidR="00893357" w:rsidRPr="00EE7E38" w14:paraId="52E7DE6F" w14:textId="77777777" w:rsidTr="00893357">
        <w:trPr>
          <w:trHeight w:val="360"/>
        </w:trPr>
        <w:tc>
          <w:tcPr>
            <w:tcW w:w="751" w:type="dxa"/>
            <w:tcBorders>
              <w:top w:val="nil"/>
              <w:left w:val="single" w:sz="4" w:space="0" w:color="auto"/>
              <w:bottom w:val="single" w:sz="4" w:space="0" w:color="auto"/>
              <w:right w:val="single" w:sz="4" w:space="0" w:color="auto"/>
            </w:tcBorders>
            <w:shd w:val="clear" w:color="000000" w:fill="B7DEE8"/>
            <w:noWrap/>
            <w:vAlign w:val="center"/>
            <w:hideMark/>
          </w:tcPr>
          <w:p w14:paraId="5111472F"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w:t>
            </w:r>
          </w:p>
        </w:tc>
        <w:tc>
          <w:tcPr>
            <w:tcW w:w="2092" w:type="dxa"/>
            <w:tcBorders>
              <w:top w:val="nil"/>
              <w:left w:val="nil"/>
              <w:bottom w:val="single" w:sz="4" w:space="0" w:color="auto"/>
              <w:right w:val="single" w:sz="4" w:space="0" w:color="auto"/>
            </w:tcBorders>
            <w:shd w:val="clear" w:color="000000" w:fill="B7DEE8"/>
            <w:vAlign w:val="center"/>
            <w:hideMark/>
          </w:tcPr>
          <w:p w14:paraId="1EE4C38C"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Curative care</w:t>
            </w:r>
          </w:p>
        </w:tc>
        <w:tc>
          <w:tcPr>
            <w:tcW w:w="942" w:type="dxa"/>
            <w:tcBorders>
              <w:top w:val="nil"/>
              <w:left w:val="nil"/>
              <w:bottom w:val="single" w:sz="4" w:space="0" w:color="auto"/>
              <w:right w:val="single" w:sz="4" w:space="0" w:color="auto"/>
            </w:tcBorders>
            <w:shd w:val="clear" w:color="000000" w:fill="B7DEE8"/>
            <w:noWrap/>
            <w:vAlign w:val="center"/>
            <w:hideMark/>
          </w:tcPr>
          <w:p w14:paraId="492E93C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7,950,144</w:t>
            </w:r>
          </w:p>
        </w:tc>
        <w:tc>
          <w:tcPr>
            <w:tcW w:w="1396" w:type="dxa"/>
            <w:tcBorders>
              <w:top w:val="nil"/>
              <w:left w:val="nil"/>
              <w:bottom w:val="single" w:sz="4" w:space="0" w:color="auto"/>
              <w:right w:val="single" w:sz="4" w:space="0" w:color="auto"/>
            </w:tcBorders>
            <w:shd w:val="clear" w:color="000000" w:fill="B7DEE8"/>
            <w:noWrap/>
            <w:vAlign w:val="center"/>
            <w:hideMark/>
          </w:tcPr>
          <w:p w14:paraId="1AE8CCF5"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9,734,125</w:t>
            </w:r>
          </w:p>
        </w:tc>
        <w:tc>
          <w:tcPr>
            <w:tcW w:w="1242" w:type="dxa"/>
            <w:tcBorders>
              <w:top w:val="nil"/>
              <w:left w:val="nil"/>
              <w:bottom w:val="single" w:sz="4" w:space="0" w:color="auto"/>
              <w:right w:val="single" w:sz="4" w:space="0" w:color="auto"/>
            </w:tcBorders>
            <w:shd w:val="clear" w:color="000000" w:fill="B7DEE8"/>
            <w:noWrap/>
            <w:vAlign w:val="center"/>
            <w:hideMark/>
          </w:tcPr>
          <w:p w14:paraId="700B904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8,986,948</w:t>
            </w:r>
          </w:p>
        </w:tc>
        <w:tc>
          <w:tcPr>
            <w:tcW w:w="1154" w:type="dxa"/>
            <w:tcBorders>
              <w:top w:val="single" w:sz="4" w:space="0" w:color="auto"/>
              <w:left w:val="nil"/>
              <w:bottom w:val="single" w:sz="4" w:space="0" w:color="auto"/>
              <w:right w:val="single" w:sz="4" w:space="0" w:color="auto"/>
            </w:tcBorders>
            <w:shd w:val="clear" w:color="000000" w:fill="B7DEE8"/>
            <w:noWrap/>
            <w:vAlign w:val="center"/>
            <w:hideMark/>
          </w:tcPr>
          <w:p w14:paraId="06AB7D6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10,962,725</w:t>
            </w:r>
          </w:p>
        </w:tc>
        <w:tc>
          <w:tcPr>
            <w:tcW w:w="1145" w:type="dxa"/>
            <w:tcBorders>
              <w:top w:val="single" w:sz="4" w:space="0" w:color="auto"/>
              <w:left w:val="nil"/>
              <w:bottom w:val="single" w:sz="4" w:space="0" w:color="auto"/>
              <w:right w:val="single" w:sz="4" w:space="0" w:color="auto"/>
            </w:tcBorders>
            <w:shd w:val="clear" w:color="000000" w:fill="B7DEE8"/>
            <w:noWrap/>
            <w:vAlign w:val="center"/>
            <w:hideMark/>
          </w:tcPr>
          <w:p w14:paraId="7BF7223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12,798,987</w:t>
            </w:r>
          </w:p>
        </w:tc>
      </w:tr>
      <w:tr w:rsidR="00893357" w:rsidRPr="00EE7E38" w14:paraId="007BDD2B" w14:textId="77777777" w:rsidTr="00893357">
        <w:trPr>
          <w:trHeight w:val="360"/>
        </w:trPr>
        <w:tc>
          <w:tcPr>
            <w:tcW w:w="751" w:type="dxa"/>
            <w:tcBorders>
              <w:top w:val="nil"/>
              <w:left w:val="single" w:sz="4" w:space="0" w:color="auto"/>
              <w:bottom w:val="single" w:sz="4" w:space="0" w:color="auto"/>
              <w:right w:val="single" w:sz="4" w:space="0" w:color="auto"/>
            </w:tcBorders>
            <w:shd w:val="clear" w:color="000000" w:fill="FDE9D9"/>
            <w:noWrap/>
            <w:vAlign w:val="center"/>
            <w:hideMark/>
          </w:tcPr>
          <w:p w14:paraId="244D3559"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w:t>
            </w:r>
          </w:p>
        </w:tc>
        <w:tc>
          <w:tcPr>
            <w:tcW w:w="2092" w:type="dxa"/>
            <w:tcBorders>
              <w:top w:val="nil"/>
              <w:left w:val="nil"/>
              <w:bottom w:val="single" w:sz="4" w:space="0" w:color="auto"/>
              <w:right w:val="single" w:sz="4" w:space="0" w:color="auto"/>
            </w:tcBorders>
            <w:shd w:val="clear" w:color="000000" w:fill="FDE9D9"/>
            <w:vAlign w:val="center"/>
            <w:hideMark/>
          </w:tcPr>
          <w:p w14:paraId="410455D3"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Inpatient curative care</w:t>
            </w:r>
          </w:p>
        </w:tc>
        <w:tc>
          <w:tcPr>
            <w:tcW w:w="942" w:type="dxa"/>
            <w:tcBorders>
              <w:top w:val="nil"/>
              <w:left w:val="nil"/>
              <w:bottom w:val="single" w:sz="4" w:space="0" w:color="auto"/>
              <w:right w:val="single" w:sz="4" w:space="0" w:color="auto"/>
            </w:tcBorders>
            <w:shd w:val="clear" w:color="000000" w:fill="FDE9D9"/>
            <w:noWrap/>
            <w:vAlign w:val="center"/>
            <w:hideMark/>
          </w:tcPr>
          <w:p w14:paraId="5E5D45D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5,066,755</w:t>
            </w:r>
          </w:p>
        </w:tc>
        <w:tc>
          <w:tcPr>
            <w:tcW w:w="1396" w:type="dxa"/>
            <w:tcBorders>
              <w:top w:val="nil"/>
              <w:left w:val="nil"/>
              <w:bottom w:val="single" w:sz="4" w:space="0" w:color="auto"/>
              <w:right w:val="single" w:sz="4" w:space="0" w:color="auto"/>
            </w:tcBorders>
            <w:shd w:val="clear" w:color="000000" w:fill="FDE9D9"/>
            <w:noWrap/>
            <w:vAlign w:val="center"/>
            <w:hideMark/>
          </w:tcPr>
          <w:p w14:paraId="3B4DEA5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5,840,470</w:t>
            </w:r>
          </w:p>
        </w:tc>
        <w:tc>
          <w:tcPr>
            <w:tcW w:w="1242" w:type="dxa"/>
            <w:tcBorders>
              <w:top w:val="nil"/>
              <w:left w:val="nil"/>
              <w:bottom w:val="single" w:sz="4" w:space="0" w:color="auto"/>
              <w:right w:val="single" w:sz="4" w:space="0" w:color="auto"/>
            </w:tcBorders>
            <w:shd w:val="clear" w:color="000000" w:fill="FDE9D9"/>
            <w:noWrap/>
            <w:vAlign w:val="center"/>
            <w:hideMark/>
          </w:tcPr>
          <w:p w14:paraId="3723777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5,673,707</w:t>
            </w:r>
          </w:p>
        </w:tc>
        <w:tc>
          <w:tcPr>
            <w:tcW w:w="1154" w:type="dxa"/>
            <w:tcBorders>
              <w:top w:val="nil"/>
              <w:left w:val="nil"/>
              <w:bottom w:val="single" w:sz="4" w:space="0" w:color="auto"/>
              <w:right w:val="single" w:sz="4" w:space="0" w:color="auto"/>
            </w:tcBorders>
            <w:shd w:val="clear" w:color="000000" w:fill="FDE9D9"/>
            <w:noWrap/>
            <w:vAlign w:val="center"/>
            <w:hideMark/>
          </w:tcPr>
          <w:p w14:paraId="66AA55E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8,229,175</w:t>
            </w:r>
          </w:p>
        </w:tc>
        <w:tc>
          <w:tcPr>
            <w:tcW w:w="1145" w:type="dxa"/>
            <w:tcBorders>
              <w:top w:val="nil"/>
              <w:left w:val="nil"/>
              <w:bottom w:val="single" w:sz="4" w:space="0" w:color="auto"/>
              <w:right w:val="single" w:sz="4" w:space="0" w:color="auto"/>
            </w:tcBorders>
            <w:shd w:val="clear" w:color="000000" w:fill="FDE9D9"/>
            <w:noWrap/>
            <w:vAlign w:val="center"/>
            <w:hideMark/>
          </w:tcPr>
          <w:p w14:paraId="2FAFA5E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9,792,633</w:t>
            </w:r>
          </w:p>
        </w:tc>
      </w:tr>
      <w:tr w:rsidR="00893357" w:rsidRPr="00EE7E38" w14:paraId="7C6402D6"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2AE07D16"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1.1.1</w:t>
            </w:r>
          </w:p>
        </w:tc>
        <w:tc>
          <w:tcPr>
            <w:tcW w:w="2092" w:type="dxa"/>
            <w:tcBorders>
              <w:top w:val="nil"/>
              <w:left w:val="nil"/>
              <w:bottom w:val="single" w:sz="4" w:space="0" w:color="auto"/>
              <w:right w:val="single" w:sz="4" w:space="0" w:color="auto"/>
            </w:tcBorders>
            <w:shd w:val="clear" w:color="auto" w:fill="auto"/>
            <w:vAlign w:val="center"/>
            <w:hideMark/>
          </w:tcPr>
          <w:p w14:paraId="012B6CE5"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Staff salaries</w:t>
            </w:r>
          </w:p>
        </w:tc>
        <w:tc>
          <w:tcPr>
            <w:tcW w:w="942" w:type="dxa"/>
            <w:tcBorders>
              <w:top w:val="nil"/>
              <w:left w:val="nil"/>
              <w:bottom w:val="single" w:sz="4" w:space="0" w:color="auto"/>
              <w:right w:val="single" w:sz="4" w:space="0" w:color="auto"/>
            </w:tcBorders>
            <w:shd w:val="clear" w:color="auto" w:fill="auto"/>
            <w:noWrap/>
            <w:vAlign w:val="center"/>
            <w:hideMark/>
          </w:tcPr>
          <w:p w14:paraId="79FD392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1,657,298</w:t>
            </w:r>
          </w:p>
        </w:tc>
        <w:tc>
          <w:tcPr>
            <w:tcW w:w="1396" w:type="dxa"/>
            <w:tcBorders>
              <w:top w:val="nil"/>
              <w:left w:val="nil"/>
              <w:bottom w:val="single" w:sz="4" w:space="0" w:color="auto"/>
              <w:right w:val="single" w:sz="4" w:space="0" w:color="auto"/>
            </w:tcBorders>
            <w:shd w:val="clear" w:color="auto" w:fill="auto"/>
            <w:noWrap/>
            <w:vAlign w:val="center"/>
            <w:hideMark/>
          </w:tcPr>
          <w:p w14:paraId="0285CEC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1,700,463</w:t>
            </w:r>
          </w:p>
        </w:tc>
        <w:tc>
          <w:tcPr>
            <w:tcW w:w="1242" w:type="dxa"/>
            <w:tcBorders>
              <w:top w:val="nil"/>
              <w:left w:val="nil"/>
              <w:bottom w:val="single" w:sz="4" w:space="0" w:color="auto"/>
              <w:right w:val="single" w:sz="4" w:space="0" w:color="auto"/>
            </w:tcBorders>
            <w:shd w:val="clear" w:color="auto" w:fill="auto"/>
            <w:noWrap/>
            <w:vAlign w:val="center"/>
            <w:hideMark/>
          </w:tcPr>
          <w:p w14:paraId="625B0BB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1,521,718</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CB695"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2,133,942.00 </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035559D5"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2,539,369.00 </w:t>
            </w:r>
          </w:p>
        </w:tc>
      </w:tr>
      <w:tr w:rsidR="00893357" w:rsidRPr="00EE7E38" w14:paraId="6855A04B"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23CDD05F"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1.1.2</w:t>
            </w:r>
          </w:p>
        </w:tc>
        <w:tc>
          <w:tcPr>
            <w:tcW w:w="2092" w:type="dxa"/>
            <w:tcBorders>
              <w:top w:val="nil"/>
              <w:left w:val="nil"/>
              <w:bottom w:val="single" w:sz="4" w:space="0" w:color="auto"/>
              <w:right w:val="single" w:sz="4" w:space="0" w:color="auto"/>
            </w:tcBorders>
            <w:shd w:val="clear" w:color="auto" w:fill="auto"/>
            <w:vAlign w:val="center"/>
            <w:hideMark/>
          </w:tcPr>
          <w:p w14:paraId="29BF8409"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Ancillary drugs and supplies</w:t>
            </w:r>
          </w:p>
        </w:tc>
        <w:tc>
          <w:tcPr>
            <w:tcW w:w="942" w:type="dxa"/>
            <w:tcBorders>
              <w:top w:val="nil"/>
              <w:left w:val="nil"/>
              <w:bottom w:val="single" w:sz="4" w:space="0" w:color="auto"/>
              <w:right w:val="single" w:sz="4" w:space="0" w:color="auto"/>
            </w:tcBorders>
            <w:shd w:val="clear" w:color="auto" w:fill="auto"/>
            <w:noWrap/>
            <w:vAlign w:val="center"/>
            <w:hideMark/>
          </w:tcPr>
          <w:p w14:paraId="33391799"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245,325</w:t>
            </w:r>
          </w:p>
        </w:tc>
        <w:tc>
          <w:tcPr>
            <w:tcW w:w="1396" w:type="dxa"/>
            <w:tcBorders>
              <w:top w:val="nil"/>
              <w:left w:val="nil"/>
              <w:bottom w:val="single" w:sz="4" w:space="0" w:color="auto"/>
              <w:right w:val="single" w:sz="4" w:space="0" w:color="auto"/>
            </w:tcBorders>
            <w:shd w:val="clear" w:color="auto" w:fill="auto"/>
            <w:noWrap/>
            <w:vAlign w:val="center"/>
            <w:hideMark/>
          </w:tcPr>
          <w:p w14:paraId="304B299E"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288,539</w:t>
            </w:r>
          </w:p>
        </w:tc>
        <w:tc>
          <w:tcPr>
            <w:tcW w:w="1242" w:type="dxa"/>
            <w:tcBorders>
              <w:top w:val="nil"/>
              <w:left w:val="nil"/>
              <w:bottom w:val="single" w:sz="4" w:space="0" w:color="auto"/>
              <w:right w:val="single" w:sz="4" w:space="0" w:color="auto"/>
            </w:tcBorders>
            <w:shd w:val="clear" w:color="auto" w:fill="auto"/>
            <w:noWrap/>
            <w:vAlign w:val="center"/>
            <w:hideMark/>
          </w:tcPr>
          <w:p w14:paraId="4E884E7E"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296,720</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5E38052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349,615.00 </w:t>
            </w:r>
          </w:p>
        </w:tc>
        <w:tc>
          <w:tcPr>
            <w:tcW w:w="1145" w:type="dxa"/>
            <w:tcBorders>
              <w:top w:val="nil"/>
              <w:left w:val="nil"/>
              <w:bottom w:val="single" w:sz="4" w:space="0" w:color="auto"/>
              <w:right w:val="single" w:sz="4" w:space="0" w:color="auto"/>
            </w:tcBorders>
            <w:shd w:val="clear" w:color="auto" w:fill="auto"/>
            <w:noWrap/>
            <w:vAlign w:val="bottom"/>
            <w:hideMark/>
          </w:tcPr>
          <w:p w14:paraId="262B5B2D"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416,038.00 </w:t>
            </w:r>
          </w:p>
        </w:tc>
      </w:tr>
      <w:tr w:rsidR="00893357" w:rsidRPr="00EE7E38" w14:paraId="7F46D435"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37F33A02"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1.1.3</w:t>
            </w:r>
          </w:p>
        </w:tc>
        <w:tc>
          <w:tcPr>
            <w:tcW w:w="2092" w:type="dxa"/>
            <w:tcBorders>
              <w:top w:val="nil"/>
              <w:left w:val="nil"/>
              <w:bottom w:val="single" w:sz="4" w:space="0" w:color="auto"/>
              <w:right w:val="single" w:sz="4" w:space="0" w:color="auto"/>
            </w:tcBorders>
            <w:shd w:val="clear" w:color="auto" w:fill="auto"/>
            <w:vAlign w:val="center"/>
            <w:hideMark/>
          </w:tcPr>
          <w:p w14:paraId="090533A0"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Laboratory and </w:t>
            </w:r>
            <w:r w:rsidRPr="00893357">
              <w:rPr>
                <w:rFonts w:ascii="Times New Roman" w:hAnsi="Times New Roman" w:cs="Times New Roman"/>
                <w:b/>
                <w:i/>
                <w:sz w:val="18"/>
                <w:szCs w:val="18"/>
              </w:rPr>
              <w:lastRenderedPageBreak/>
              <w:t>diagnostic services</w:t>
            </w:r>
          </w:p>
        </w:tc>
        <w:tc>
          <w:tcPr>
            <w:tcW w:w="942" w:type="dxa"/>
            <w:tcBorders>
              <w:top w:val="nil"/>
              <w:left w:val="nil"/>
              <w:bottom w:val="single" w:sz="4" w:space="0" w:color="auto"/>
              <w:right w:val="single" w:sz="4" w:space="0" w:color="auto"/>
            </w:tcBorders>
            <w:shd w:val="clear" w:color="auto" w:fill="auto"/>
            <w:noWrap/>
            <w:vAlign w:val="center"/>
            <w:hideMark/>
          </w:tcPr>
          <w:p w14:paraId="279A2CE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lastRenderedPageBreak/>
              <w:t>463,476</w:t>
            </w:r>
          </w:p>
        </w:tc>
        <w:tc>
          <w:tcPr>
            <w:tcW w:w="1396" w:type="dxa"/>
            <w:tcBorders>
              <w:top w:val="nil"/>
              <w:left w:val="nil"/>
              <w:bottom w:val="single" w:sz="4" w:space="0" w:color="auto"/>
              <w:right w:val="single" w:sz="4" w:space="0" w:color="auto"/>
            </w:tcBorders>
            <w:shd w:val="clear" w:color="auto" w:fill="auto"/>
            <w:noWrap/>
            <w:vAlign w:val="center"/>
            <w:hideMark/>
          </w:tcPr>
          <w:p w14:paraId="60B8B6F0"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725,121</w:t>
            </w:r>
          </w:p>
        </w:tc>
        <w:tc>
          <w:tcPr>
            <w:tcW w:w="1242" w:type="dxa"/>
            <w:tcBorders>
              <w:top w:val="nil"/>
              <w:left w:val="nil"/>
              <w:bottom w:val="single" w:sz="4" w:space="0" w:color="auto"/>
              <w:right w:val="single" w:sz="4" w:space="0" w:color="auto"/>
            </w:tcBorders>
            <w:shd w:val="clear" w:color="auto" w:fill="auto"/>
            <w:noWrap/>
            <w:vAlign w:val="center"/>
            <w:hideMark/>
          </w:tcPr>
          <w:p w14:paraId="294EF10D"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702,143</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54824DB9"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w:t>
            </w:r>
            <w:r w:rsidRPr="00893357">
              <w:rPr>
                <w:rFonts w:ascii="Times New Roman" w:hAnsi="Times New Roman" w:cs="Times New Roman"/>
                <w:b/>
                <w:i/>
                <w:sz w:val="18"/>
                <w:szCs w:val="18"/>
              </w:rPr>
              <w:lastRenderedPageBreak/>
              <w:t xml:space="preserve">733,246.00 </w:t>
            </w:r>
          </w:p>
        </w:tc>
        <w:tc>
          <w:tcPr>
            <w:tcW w:w="1145" w:type="dxa"/>
            <w:tcBorders>
              <w:top w:val="nil"/>
              <w:left w:val="nil"/>
              <w:bottom w:val="single" w:sz="4" w:space="0" w:color="auto"/>
              <w:right w:val="single" w:sz="4" w:space="0" w:color="auto"/>
            </w:tcBorders>
            <w:shd w:val="clear" w:color="auto" w:fill="auto"/>
            <w:noWrap/>
            <w:vAlign w:val="bottom"/>
            <w:hideMark/>
          </w:tcPr>
          <w:p w14:paraId="25EC8F6B"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lastRenderedPageBreak/>
              <w:t xml:space="preserve">                         </w:t>
            </w:r>
            <w:r w:rsidRPr="00893357">
              <w:rPr>
                <w:rFonts w:ascii="Times New Roman" w:hAnsi="Times New Roman" w:cs="Times New Roman"/>
                <w:b/>
                <w:i/>
                <w:sz w:val="18"/>
                <w:szCs w:val="18"/>
              </w:rPr>
              <w:lastRenderedPageBreak/>
              <w:t xml:space="preserve">872,555.00 </w:t>
            </w:r>
          </w:p>
        </w:tc>
      </w:tr>
      <w:tr w:rsidR="00893357" w:rsidRPr="00EE7E38" w14:paraId="33CA134B"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5B47FB60"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lastRenderedPageBreak/>
              <w:t>1.1.4</w:t>
            </w:r>
          </w:p>
        </w:tc>
        <w:tc>
          <w:tcPr>
            <w:tcW w:w="2092" w:type="dxa"/>
            <w:tcBorders>
              <w:top w:val="nil"/>
              <w:left w:val="nil"/>
              <w:bottom w:val="single" w:sz="4" w:space="0" w:color="auto"/>
              <w:right w:val="single" w:sz="4" w:space="0" w:color="auto"/>
            </w:tcBorders>
            <w:shd w:val="clear" w:color="auto" w:fill="auto"/>
            <w:vAlign w:val="center"/>
            <w:hideMark/>
          </w:tcPr>
          <w:p w14:paraId="7383711B"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Psycho-social rehabilitation</w:t>
            </w:r>
          </w:p>
        </w:tc>
        <w:tc>
          <w:tcPr>
            <w:tcW w:w="942" w:type="dxa"/>
            <w:tcBorders>
              <w:top w:val="nil"/>
              <w:left w:val="nil"/>
              <w:bottom w:val="single" w:sz="4" w:space="0" w:color="auto"/>
              <w:right w:val="single" w:sz="4" w:space="0" w:color="auto"/>
            </w:tcBorders>
            <w:shd w:val="clear" w:color="auto" w:fill="auto"/>
            <w:noWrap/>
            <w:vAlign w:val="center"/>
            <w:hideMark/>
          </w:tcPr>
          <w:p w14:paraId="149713D8"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396" w:type="dxa"/>
            <w:tcBorders>
              <w:top w:val="nil"/>
              <w:left w:val="nil"/>
              <w:bottom w:val="single" w:sz="4" w:space="0" w:color="auto"/>
              <w:right w:val="single" w:sz="4" w:space="0" w:color="auto"/>
            </w:tcBorders>
            <w:shd w:val="clear" w:color="auto" w:fill="auto"/>
            <w:noWrap/>
            <w:vAlign w:val="center"/>
            <w:hideMark/>
          </w:tcPr>
          <w:p w14:paraId="02E102D7"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242" w:type="dxa"/>
            <w:tcBorders>
              <w:top w:val="nil"/>
              <w:left w:val="nil"/>
              <w:bottom w:val="single" w:sz="4" w:space="0" w:color="auto"/>
              <w:right w:val="single" w:sz="4" w:space="0" w:color="auto"/>
            </w:tcBorders>
            <w:shd w:val="clear" w:color="auto" w:fill="auto"/>
            <w:noWrap/>
            <w:vAlign w:val="center"/>
            <w:hideMark/>
          </w:tcPr>
          <w:p w14:paraId="0D369C85"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4,172</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031F4675"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145" w:type="dxa"/>
            <w:tcBorders>
              <w:top w:val="nil"/>
              <w:left w:val="nil"/>
              <w:bottom w:val="single" w:sz="4" w:space="0" w:color="auto"/>
              <w:right w:val="single" w:sz="4" w:space="0" w:color="auto"/>
            </w:tcBorders>
            <w:shd w:val="clear" w:color="auto" w:fill="auto"/>
            <w:noWrap/>
            <w:vAlign w:val="bottom"/>
            <w:hideMark/>
          </w:tcPr>
          <w:p w14:paraId="61DE9A15"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w:t>
            </w:r>
          </w:p>
        </w:tc>
      </w:tr>
      <w:tr w:rsidR="00893357" w:rsidRPr="00EE7E38" w14:paraId="307AE2E6"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6A52EAE7"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1.1.5</w:t>
            </w:r>
          </w:p>
        </w:tc>
        <w:tc>
          <w:tcPr>
            <w:tcW w:w="2092" w:type="dxa"/>
            <w:tcBorders>
              <w:top w:val="nil"/>
              <w:left w:val="nil"/>
              <w:bottom w:val="single" w:sz="4" w:space="0" w:color="auto"/>
              <w:right w:val="single" w:sz="4" w:space="0" w:color="auto"/>
            </w:tcBorders>
            <w:shd w:val="clear" w:color="auto" w:fill="auto"/>
            <w:vAlign w:val="center"/>
            <w:hideMark/>
          </w:tcPr>
          <w:p w14:paraId="0A0A84C6"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Food for patients</w:t>
            </w:r>
          </w:p>
        </w:tc>
        <w:tc>
          <w:tcPr>
            <w:tcW w:w="942" w:type="dxa"/>
            <w:tcBorders>
              <w:top w:val="nil"/>
              <w:left w:val="nil"/>
              <w:bottom w:val="single" w:sz="4" w:space="0" w:color="auto"/>
              <w:right w:val="single" w:sz="4" w:space="0" w:color="auto"/>
            </w:tcBorders>
            <w:shd w:val="clear" w:color="auto" w:fill="auto"/>
            <w:noWrap/>
            <w:vAlign w:val="center"/>
            <w:hideMark/>
          </w:tcPr>
          <w:p w14:paraId="5094662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604,930</w:t>
            </w:r>
          </w:p>
        </w:tc>
        <w:tc>
          <w:tcPr>
            <w:tcW w:w="1396" w:type="dxa"/>
            <w:tcBorders>
              <w:top w:val="nil"/>
              <w:left w:val="nil"/>
              <w:bottom w:val="single" w:sz="4" w:space="0" w:color="auto"/>
              <w:right w:val="single" w:sz="4" w:space="0" w:color="auto"/>
            </w:tcBorders>
            <w:shd w:val="clear" w:color="auto" w:fill="auto"/>
            <w:noWrap/>
            <w:vAlign w:val="center"/>
            <w:hideMark/>
          </w:tcPr>
          <w:p w14:paraId="681F2E1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391,636</w:t>
            </w:r>
          </w:p>
        </w:tc>
        <w:tc>
          <w:tcPr>
            <w:tcW w:w="1242" w:type="dxa"/>
            <w:tcBorders>
              <w:top w:val="nil"/>
              <w:left w:val="nil"/>
              <w:bottom w:val="single" w:sz="4" w:space="0" w:color="auto"/>
              <w:right w:val="single" w:sz="4" w:space="0" w:color="auto"/>
            </w:tcBorders>
            <w:shd w:val="clear" w:color="auto" w:fill="auto"/>
            <w:noWrap/>
            <w:vAlign w:val="center"/>
            <w:hideMark/>
          </w:tcPr>
          <w:p w14:paraId="0F393A3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305,384</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217A6F5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523,457.00 </w:t>
            </w:r>
          </w:p>
        </w:tc>
        <w:tc>
          <w:tcPr>
            <w:tcW w:w="1145" w:type="dxa"/>
            <w:tcBorders>
              <w:top w:val="nil"/>
              <w:left w:val="nil"/>
              <w:bottom w:val="single" w:sz="4" w:space="0" w:color="auto"/>
              <w:right w:val="single" w:sz="4" w:space="0" w:color="auto"/>
            </w:tcBorders>
            <w:shd w:val="clear" w:color="auto" w:fill="auto"/>
            <w:noWrap/>
            <w:vAlign w:val="bottom"/>
            <w:hideMark/>
          </w:tcPr>
          <w:p w14:paraId="710D90DA"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622,908.00 </w:t>
            </w:r>
          </w:p>
        </w:tc>
      </w:tr>
      <w:tr w:rsidR="00893357" w:rsidRPr="00EE7E38" w14:paraId="6219ED7E"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755F5403"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1.1.6</w:t>
            </w:r>
          </w:p>
        </w:tc>
        <w:tc>
          <w:tcPr>
            <w:tcW w:w="2092" w:type="dxa"/>
            <w:tcBorders>
              <w:top w:val="nil"/>
              <w:left w:val="nil"/>
              <w:bottom w:val="single" w:sz="4" w:space="0" w:color="auto"/>
              <w:right w:val="single" w:sz="4" w:space="0" w:color="auto"/>
            </w:tcBorders>
            <w:shd w:val="clear" w:color="auto" w:fill="auto"/>
            <w:vAlign w:val="center"/>
            <w:hideMark/>
          </w:tcPr>
          <w:p w14:paraId="6526FBB6"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Indirect costs</w:t>
            </w:r>
          </w:p>
        </w:tc>
        <w:tc>
          <w:tcPr>
            <w:tcW w:w="942" w:type="dxa"/>
            <w:tcBorders>
              <w:top w:val="nil"/>
              <w:left w:val="nil"/>
              <w:bottom w:val="single" w:sz="4" w:space="0" w:color="auto"/>
              <w:right w:val="single" w:sz="4" w:space="0" w:color="auto"/>
            </w:tcBorders>
            <w:shd w:val="clear" w:color="auto" w:fill="auto"/>
            <w:noWrap/>
            <w:vAlign w:val="center"/>
            <w:hideMark/>
          </w:tcPr>
          <w:p w14:paraId="23936271"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1,423,563</w:t>
            </w:r>
          </w:p>
        </w:tc>
        <w:tc>
          <w:tcPr>
            <w:tcW w:w="1396" w:type="dxa"/>
            <w:tcBorders>
              <w:top w:val="nil"/>
              <w:left w:val="nil"/>
              <w:bottom w:val="single" w:sz="4" w:space="0" w:color="auto"/>
              <w:right w:val="single" w:sz="4" w:space="0" w:color="auto"/>
            </w:tcBorders>
            <w:shd w:val="clear" w:color="auto" w:fill="auto"/>
            <w:noWrap/>
            <w:vAlign w:val="center"/>
            <w:hideMark/>
          </w:tcPr>
          <w:p w14:paraId="68343D0D"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1,642,955</w:t>
            </w:r>
          </w:p>
        </w:tc>
        <w:tc>
          <w:tcPr>
            <w:tcW w:w="1242" w:type="dxa"/>
            <w:tcBorders>
              <w:top w:val="nil"/>
              <w:left w:val="nil"/>
              <w:bottom w:val="single" w:sz="4" w:space="0" w:color="auto"/>
              <w:right w:val="single" w:sz="4" w:space="0" w:color="auto"/>
            </w:tcBorders>
            <w:shd w:val="clear" w:color="auto" w:fill="auto"/>
            <w:noWrap/>
            <w:vAlign w:val="center"/>
            <w:hideMark/>
          </w:tcPr>
          <w:p w14:paraId="3716F7C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1,878,165</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072DA31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3,776,879.00 </w:t>
            </w:r>
          </w:p>
        </w:tc>
        <w:tc>
          <w:tcPr>
            <w:tcW w:w="1145" w:type="dxa"/>
            <w:tcBorders>
              <w:top w:val="nil"/>
              <w:left w:val="nil"/>
              <w:bottom w:val="single" w:sz="4" w:space="0" w:color="auto"/>
              <w:right w:val="single" w:sz="4" w:space="0" w:color="auto"/>
            </w:tcBorders>
            <w:shd w:val="clear" w:color="auto" w:fill="auto"/>
            <w:noWrap/>
            <w:vAlign w:val="bottom"/>
            <w:hideMark/>
          </w:tcPr>
          <w:p w14:paraId="7CD713A7"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4,494,447.00 </w:t>
            </w:r>
          </w:p>
        </w:tc>
      </w:tr>
      <w:tr w:rsidR="00893357" w:rsidRPr="00EE7E38" w14:paraId="50E36287"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17B8F67C"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1.1.7</w:t>
            </w:r>
          </w:p>
        </w:tc>
        <w:tc>
          <w:tcPr>
            <w:tcW w:w="2092" w:type="dxa"/>
            <w:tcBorders>
              <w:top w:val="nil"/>
              <w:left w:val="nil"/>
              <w:bottom w:val="single" w:sz="4" w:space="0" w:color="auto"/>
              <w:right w:val="single" w:sz="4" w:space="0" w:color="auto"/>
            </w:tcBorders>
            <w:shd w:val="clear" w:color="auto" w:fill="auto"/>
            <w:vAlign w:val="center"/>
            <w:hideMark/>
          </w:tcPr>
          <w:p w14:paraId="2DD4A241"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Unspecified expenses</w:t>
            </w:r>
          </w:p>
        </w:tc>
        <w:tc>
          <w:tcPr>
            <w:tcW w:w="942" w:type="dxa"/>
            <w:tcBorders>
              <w:top w:val="nil"/>
              <w:left w:val="nil"/>
              <w:bottom w:val="single" w:sz="4" w:space="0" w:color="auto"/>
              <w:right w:val="single" w:sz="4" w:space="0" w:color="auto"/>
            </w:tcBorders>
            <w:shd w:val="clear" w:color="auto" w:fill="auto"/>
            <w:noWrap/>
            <w:vAlign w:val="center"/>
            <w:hideMark/>
          </w:tcPr>
          <w:p w14:paraId="51615BB9"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672,163</w:t>
            </w:r>
          </w:p>
        </w:tc>
        <w:tc>
          <w:tcPr>
            <w:tcW w:w="1396" w:type="dxa"/>
            <w:tcBorders>
              <w:top w:val="nil"/>
              <w:left w:val="nil"/>
              <w:bottom w:val="single" w:sz="4" w:space="0" w:color="auto"/>
              <w:right w:val="single" w:sz="4" w:space="0" w:color="auto"/>
            </w:tcBorders>
            <w:shd w:val="clear" w:color="auto" w:fill="auto"/>
            <w:noWrap/>
            <w:vAlign w:val="center"/>
            <w:hideMark/>
          </w:tcPr>
          <w:p w14:paraId="1F08A65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1,091,756</w:t>
            </w:r>
          </w:p>
        </w:tc>
        <w:tc>
          <w:tcPr>
            <w:tcW w:w="1242" w:type="dxa"/>
            <w:tcBorders>
              <w:top w:val="nil"/>
              <w:left w:val="nil"/>
              <w:bottom w:val="single" w:sz="4" w:space="0" w:color="auto"/>
              <w:right w:val="single" w:sz="4" w:space="0" w:color="auto"/>
            </w:tcBorders>
            <w:shd w:val="clear" w:color="auto" w:fill="auto"/>
            <w:noWrap/>
            <w:vAlign w:val="center"/>
            <w:hideMark/>
          </w:tcPr>
          <w:p w14:paraId="29E150A9"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965,405</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43E03810"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712,036.00 </w:t>
            </w:r>
          </w:p>
        </w:tc>
        <w:tc>
          <w:tcPr>
            <w:tcW w:w="1145" w:type="dxa"/>
            <w:tcBorders>
              <w:top w:val="nil"/>
              <w:left w:val="nil"/>
              <w:bottom w:val="single" w:sz="4" w:space="0" w:color="auto"/>
              <w:right w:val="single" w:sz="4" w:space="0" w:color="auto"/>
            </w:tcBorders>
            <w:shd w:val="clear" w:color="auto" w:fill="auto"/>
            <w:noWrap/>
            <w:vAlign w:val="bottom"/>
            <w:hideMark/>
          </w:tcPr>
          <w:p w14:paraId="0BD3A165"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847,316.00 </w:t>
            </w:r>
          </w:p>
        </w:tc>
      </w:tr>
      <w:tr w:rsidR="00893357" w:rsidRPr="00EE7E38" w14:paraId="2ACBC8EA" w14:textId="77777777" w:rsidTr="00893357">
        <w:trPr>
          <w:trHeight w:val="315"/>
        </w:trPr>
        <w:tc>
          <w:tcPr>
            <w:tcW w:w="751" w:type="dxa"/>
            <w:tcBorders>
              <w:top w:val="nil"/>
              <w:left w:val="single" w:sz="4" w:space="0" w:color="auto"/>
              <w:bottom w:val="single" w:sz="4" w:space="0" w:color="auto"/>
              <w:right w:val="single" w:sz="4" w:space="0" w:color="auto"/>
            </w:tcBorders>
            <w:shd w:val="clear" w:color="000000" w:fill="FDE9D9"/>
            <w:noWrap/>
            <w:vAlign w:val="center"/>
            <w:hideMark/>
          </w:tcPr>
          <w:p w14:paraId="3E47AFC8"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w:t>
            </w:r>
          </w:p>
        </w:tc>
        <w:tc>
          <w:tcPr>
            <w:tcW w:w="2092" w:type="dxa"/>
            <w:tcBorders>
              <w:top w:val="nil"/>
              <w:left w:val="nil"/>
              <w:bottom w:val="single" w:sz="4" w:space="0" w:color="auto"/>
              <w:right w:val="single" w:sz="4" w:space="0" w:color="auto"/>
            </w:tcBorders>
            <w:shd w:val="clear" w:color="000000" w:fill="FDE9D9"/>
            <w:vAlign w:val="center"/>
            <w:hideMark/>
          </w:tcPr>
          <w:p w14:paraId="5F2F6438"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Outpatient curative care</w:t>
            </w:r>
          </w:p>
        </w:tc>
        <w:tc>
          <w:tcPr>
            <w:tcW w:w="942" w:type="dxa"/>
            <w:tcBorders>
              <w:top w:val="nil"/>
              <w:left w:val="nil"/>
              <w:bottom w:val="single" w:sz="4" w:space="0" w:color="auto"/>
              <w:right w:val="single" w:sz="4" w:space="0" w:color="auto"/>
            </w:tcBorders>
            <w:shd w:val="clear" w:color="000000" w:fill="FDE9D9"/>
            <w:noWrap/>
            <w:vAlign w:val="center"/>
            <w:hideMark/>
          </w:tcPr>
          <w:p w14:paraId="3824AD0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2,883,389</w:t>
            </w:r>
          </w:p>
        </w:tc>
        <w:tc>
          <w:tcPr>
            <w:tcW w:w="1396" w:type="dxa"/>
            <w:tcBorders>
              <w:top w:val="nil"/>
              <w:left w:val="nil"/>
              <w:bottom w:val="single" w:sz="4" w:space="0" w:color="auto"/>
              <w:right w:val="single" w:sz="4" w:space="0" w:color="auto"/>
            </w:tcBorders>
            <w:shd w:val="clear" w:color="000000" w:fill="FDE9D9"/>
            <w:noWrap/>
            <w:vAlign w:val="center"/>
            <w:hideMark/>
          </w:tcPr>
          <w:p w14:paraId="720DF87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3,893,655</w:t>
            </w:r>
          </w:p>
        </w:tc>
        <w:tc>
          <w:tcPr>
            <w:tcW w:w="1242" w:type="dxa"/>
            <w:tcBorders>
              <w:top w:val="nil"/>
              <w:left w:val="nil"/>
              <w:bottom w:val="single" w:sz="4" w:space="0" w:color="auto"/>
              <w:right w:val="single" w:sz="4" w:space="0" w:color="auto"/>
            </w:tcBorders>
            <w:shd w:val="clear" w:color="000000" w:fill="FDE9D9"/>
            <w:noWrap/>
            <w:vAlign w:val="center"/>
            <w:hideMark/>
          </w:tcPr>
          <w:p w14:paraId="1D011BA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3,313,241</w:t>
            </w:r>
          </w:p>
        </w:tc>
        <w:tc>
          <w:tcPr>
            <w:tcW w:w="1154" w:type="dxa"/>
            <w:tcBorders>
              <w:top w:val="single" w:sz="4" w:space="0" w:color="auto"/>
              <w:left w:val="nil"/>
              <w:bottom w:val="single" w:sz="4" w:space="0" w:color="auto"/>
              <w:right w:val="single" w:sz="4" w:space="0" w:color="auto"/>
            </w:tcBorders>
            <w:shd w:val="clear" w:color="000000" w:fill="FDE9D9"/>
            <w:noWrap/>
            <w:vAlign w:val="center"/>
            <w:hideMark/>
          </w:tcPr>
          <w:p w14:paraId="4E8DF72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2,733,550.00 </w:t>
            </w:r>
          </w:p>
        </w:tc>
        <w:tc>
          <w:tcPr>
            <w:tcW w:w="1145" w:type="dxa"/>
            <w:tcBorders>
              <w:top w:val="single" w:sz="4" w:space="0" w:color="auto"/>
              <w:left w:val="nil"/>
              <w:bottom w:val="single" w:sz="4" w:space="0" w:color="auto"/>
              <w:right w:val="single" w:sz="4" w:space="0" w:color="auto"/>
            </w:tcBorders>
            <w:shd w:val="clear" w:color="000000" w:fill="FDE9D9"/>
            <w:noWrap/>
            <w:vAlign w:val="center"/>
            <w:hideMark/>
          </w:tcPr>
          <w:p w14:paraId="37509E0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3,006,354.00 </w:t>
            </w:r>
          </w:p>
        </w:tc>
      </w:tr>
      <w:tr w:rsidR="00893357" w:rsidRPr="00EE7E38" w14:paraId="7AD2B23F"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66E78655"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1.3.1</w:t>
            </w:r>
          </w:p>
        </w:tc>
        <w:tc>
          <w:tcPr>
            <w:tcW w:w="2092" w:type="dxa"/>
            <w:tcBorders>
              <w:top w:val="nil"/>
              <w:left w:val="nil"/>
              <w:bottom w:val="single" w:sz="4" w:space="0" w:color="auto"/>
              <w:right w:val="single" w:sz="4" w:space="0" w:color="auto"/>
            </w:tcBorders>
            <w:shd w:val="clear" w:color="auto" w:fill="auto"/>
            <w:vAlign w:val="center"/>
            <w:hideMark/>
          </w:tcPr>
          <w:p w14:paraId="5B19561A"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Rural PHC providers (rural doctors DOT)</w:t>
            </w:r>
          </w:p>
        </w:tc>
        <w:tc>
          <w:tcPr>
            <w:tcW w:w="942" w:type="dxa"/>
            <w:tcBorders>
              <w:top w:val="nil"/>
              <w:left w:val="nil"/>
              <w:bottom w:val="single" w:sz="4" w:space="0" w:color="auto"/>
              <w:right w:val="single" w:sz="4" w:space="0" w:color="auto"/>
            </w:tcBorders>
            <w:shd w:val="clear" w:color="auto" w:fill="auto"/>
            <w:noWrap/>
            <w:vAlign w:val="center"/>
            <w:hideMark/>
          </w:tcPr>
          <w:p w14:paraId="7608FA8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102,000</w:t>
            </w:r>
          </w:p>
        </w:tc>
        <w:tc>
          <w:tcPr>
            <w:tcW w:w="1396" w:type="dxa"/>
            <w:tcBorders>
              <w:top w:val="nil"/>
              <w:left w:val="nil"/>
              <w:bottom w:val="single" w:sz="4" w:space="0" w:color="auto"/>
              <w:right w:val="single" w:sz="4" w:space="0" w:color="auto"/>
            </w:tcBorders>
            <w:shd w:val="clear" w:color="auto" w:fill="auto"/>
            <w:noWrap/>
            <w:vAlign w:val="center"/>
            <w:hideMark/>
          </w:tcPr>
          <w:p w14:paraId="517F4FF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112,800</w:t>
            </w:r>
          </w:p>
        </w:tc>
        <w:tc>
          <w:tcPr>
            <w:tcW w:w="1242" w:type="dxa"/>
            <w:tcBorders>
              <w:top w:val="nil"/>
              <w:left w:val="nil"/>
              <w:bottom w:val="single" w:sz="4" w:space="0" w:color="auto"/>
              <w:right w:val="single" w:sz="4" w:space="0" w:color="auto"/>
            </w:tcBorders>
            <w:shd w:val="clear" w:color="auto" w:fill="auto"/>
            <w:noWrap/>
            <w:vAlign w:val="center"/>
            <w:hideMark/>
          </w:tcPr>
          <w:p w14:paraId="1C2C0250"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148,800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17E65"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142,620.00 </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3A3ABF89"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136,809.00 </w:t>
            </w:r>
          </w:p>
        </w:tc>
      </w:tr>
      <w:tr w:rsidR="00893357" w:rsidRPr="00EE7E38" w14:paraId="475496BF" w14:textId="77777777" w:rsidTr="00893357">
        <w:trPr>
          <w:trHeight w:val="6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00D2608"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1.3.3</w:t>
            </w:r>
          </w:p>
        </w:tc>
        <w:tc>
          <w:tcPr>
            <w:tcW w:w="2092" w:type="dxa"/>
            <w:tcBorders>
              <w:top w:val="nil"/>
              <w:left w:val="nil"/>
              <w:bottom w:val="single" w:sz="4" w:space="0" w:color="auto"/>
              <w:right w:val="single" w:sz="4" w:space="0" w:color="auto"/>
            </w:tcBorders>
            <w:shd w:val="clear" w:color="auto" w:fill="auto"/>
            <w:vAlign w:val="center"/>
            <w:hideMark/>
          </w:tcPr>
          <w:p w14:paraId="1378C039"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Outpatient specialist care (includes urban PHC providers DOT) </w:t>
            </w:r>
          </w:p>
        </w:tc>
        <w:tc>
          <w:tcPr>
            <w:tcW w:w="942" w:type="dxa"/>
            <w:tcBorders>
              <w:top w:val="nil"/>
              <w:left w:val="nil"/>
              <w:bottom w:val="single" w:sz="4" w:space="0" w:color="auto"/>
              <w:right w:val="single" w:sz="4" w:space="0" w:color="auto"/>
            </w:tcBorders>
            <w:shd w:val="clear" w:color="auto" w:fill="auto"/>
            <w:noWrap/>
            <w:vAlign w:val="center"/>
            <w:hideMark/>
          </w:tcPr>
          <w:p w14:paraId="1A7310D8"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2,781,389</w:t>
            </w:r>
          </w:p>
        </w:tc>
        <w:tc>
          <w:tcPr>
            <w:tcW w:w="1396" w:type="dxa"/>
            <w:tcBorders>
              <w:top w:val="nil"/>
              <w:left w:val="nil"/>
              <w:bottom w:val="single" w:sz="4" w:space="0" w:color="auto"/>
              <w:right w:val="single" w:sz="4" w:space="0" w:color="auto"/>
            </w:tcBorders>
            <w:shd w:val="clear" w:color="auto" w:fill="auto"/>
            <w:noWrap/>
            <w:vAlign w:val="center"/>
            <w:hideMark/>
          </w:tcPr>
          <w:p w14:paraId="4B59F033"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3,780,855</w:t>
            </w:r>
          </w:p>
        </w:tc>
        <w:tc>
          <w:tcPr>
            <w:tcW w:w="1242" w:type="dxa"/>
            <w:tcBorders>
              <w:top w:val="nil"/>
              <w:left w:val="nil"/>
              <w:bottom w:val="single" w:sz="4" w:space="0" w:color="auto"/>
              <w:right w:val="single" w:sz="4" w:space="0" w:color="auto"/>
            </w:tcBorders>
            <w:shd w:val="clear" w:color="auto" w:fill="auto"/>
            <w:noWrap/>
            <w:vAlign w:val="center"/>
            <w:hideMark/>
          </w:tcPr>
          <w:p w14:paraId="5460B1F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3,164,441</w:t>
            </w:r>
          </w:p>
        </w:tc>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1C98CF90"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2,590,930.00 </w:t>
            </w:r>
          </w:p>
        </w:tc>
        <w:tc>
          <w:tcPr>
            <w:tcW w:w="1145" w:type="dxa"/>
            <w:tcBorders>
              <w:top w:val="nil"/>
              <w:left w:val="nil"/>
              <w:bottom w:val="single" w:sz="4" w:space="0" w:color="auto"/>
              <w:right w:val="single" w:sz="4" w:space="0" w:color="auto"/>
            </w:tcBorders>
            <w:shd w:val="clear" w:color="auto" w:fill="auto"/>
            <w:noWrap/>
            <w:vAlign w:val="center"/>
            <w:hideMark/>
          </w:tcPr>
          <w:p w14:paraId="2D5F97F0"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2,869,545.00 </w:t>
            </w:r>
          </w:p>
        </w:tc>
      </w:tr>
      <w:tr w:rsidR="00893357" w:rsidRPr="00EE7E38" w14:paraId="54729D02"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1327FEF2"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1.3.3.2</w:t>
            </w:r>
          </w:p>
        </w:tc>
        <w:tc>
          <w:tcPr>
            <w:tcW w:w="2092" w:type="dxa"/>
            <w:tcBorders>
              <w:top w:val="nil"/>
              <w:left w:val="nil"/>
              <w:bottom w:val="single" w:sz="4" w:space="0" w:color="auto"/>
              <w:right w:val="single" w:sz="4" w:space="0" w:color="auto"/>
            </w:tcBorders>
            <w:shd w:val="clear" w:color="auto" w:fill="auto"/>
            <w:vAlign w:val="center"/>
            <w:hideMark/>
          </w:tcPr>
          <w:p w14:paraId="006C506D" w14:textId="77777777" w:rsidR="00893357" w:rsidRPr="00893357" w:rsidRDefault="00893357" w:rsidP="00893357">
            <w:pPr>
              <w:widowControl w:val="0"/>
              <w:spacing w:before="20" w:after="20" w:line="240" w:lineRule="auto"/>
              <w:ind w:firstLineChars="200" w:firstLine="361"/>
              <w:rPr>
                <w:rFonts w:ascii="Times New Roman" w:hAnsi="Times New Roman" w:cs="Times New Roman"/>
                <w:b/>
                <w:i/>
                <w:sz w:val="18"/>
                <w:szCs w:val="18"/>
              </w:rPr>
            </w:pPr>
            <w:r w:rsidRPr="00893357">
              <w:rPr>
                <w:rFonts w:ascii="Times New Roman" w:hAnsi="Times New Roman" w:cs="Times New Roman"/>
                <w:b/>
                <w:i/>
                <w:sz w:val="18"/>
                <w:szCs w:val="18"/>
              </w:rPr>
              <w:t>Laboratory diagnostic services</w:t>
            </w:r>
          </w:p>
        </w:tc>
        <w:tc>
          <w:tcPr>
            <w:tcW w:w="942" w:type="dxa"/>
            <w:tcBorders>
              <w:top w:val="nil"/>
              <w:left w:val="nil"/>
              <w:bottom w:val="single" w:sz="4" w:space="0" w:color="auto"/>
              <w:right w:val="single" w:sz="4" w:space="0" w:color="auto"/>
            </w:tcBorders>
            <w:shd w:val="clear" w:color="auto" w:fill="auto"/>
            <w:noWrap/>
            <w:vAlign w:val="center"/>
            <w:hideMark/>
          </w:tcPr>
          <w:p w14:paraId="56561626"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1,198,284</w:t>
            </w:r>
          </w:p>
        </w:tc>
        <w:tc>
          <w:tcPr>
            <w:tcW w:w="1396" w:type="dxa"/>
            <w:tcBorders>
              <w:top w:val="nil"/>
              <w:left w:val="nil"/>
              <w:bottom w:val="single" w:sz="4" w:space="0" w:color="auto"/>
              <w:right w:val="single" w:sz="4" w:space="0" w:color="auto"/>
            </w:tcBorders>
            <w:shd w:val="clear" w:color="auto" w:fill="auto"/>
            <w:noWrap/>
            <w:vAlign w:val="center"/>
            <w:hideMark/>
          </w:tcPr>
          <w:p w14:paraId="3F9CA49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1,763,951</w:t>
            </w:r>
          </w:p>
        </w:tc>
        <w:tc>
          <w:tcPr>
            <w:tcW w:w="1242" w:type="dxa"/>
            <w:tcBorders>
              <w:top w:val="nil"/>
              <w:left w:val="nil"/>
              <w:bottom w:val="single" w:sz="4" w:space="0" w:color="auto"/>
              <w:right w:val="single" w:sz="4" w:space="0" w:color="auto"/>
            </w:tcBorders>
            <w:shd w:val="clear" w:color="auto" w:fill="auto"/>
            <w:noWrap/>
            <w:vAlign w:val="center"/>
            <w:hideMark/>
          </w:tcPr>
          <w:p w14:paraId="77642D8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1,678,611</w:t>
            </w:r>
          </w:p>
        </w:tc>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59332546"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1,033,995.00 </w:t>
            </w:r>
          </w:p>
        </w:tc>
        <w:tc>
          <w:tcPr>
            <w:tcW w:w="1145" w:type="dxa"/>
            <w:tcBorders>
              <w:top w:val="nil"/>
              <w:left w:val="nil"/>
              <w:bottom w:val="single" w:sz="4" w:space="0" w:color="auto"/>
              <w:right w:val="single" w:sz="4" w:space="0" w:color="auto"/>
            </w:tcBorders>
            <w:shd w:val="clear" w:color="auto" w:fill="auto"/>
            <w:noWrap/>
            <w:vAlign w:val="center"/>
            <w:hideMark/>
          </w:tcPr>
          <w:p w14:paraId="1A29E63E"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1,190,238.00 </w:t>
            </w:r>
          </w:p>
        </w:tc>
      </w:tr>
      <w:tr w:rsidR="00893357" w:rsidRPr="00EE7E38" w14:paraId="7D356BE6"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4BFE3051"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1.3.3.4</w:t>
            </w:r>
          </w:p>
        </w:tc>
        <w:tc>
          <w:tcPr>
            <w:tcW w:w="2092" w:type="dxa"/>
            <w:tcBorders>
              <w:top w:val="nil"/>
              <w:left w:val="nil"/>
              <w:bottom w:val="single" w:sz="4" w:space="0" w:color="auto"/>
              <w:right w:val="single" w:sz="4" w:space="0" w:color="auto"/>
            </w:tcBorders>
            <w:shd w:val="clear" w:color="auto" w:fill="auto"/>
            <w:vAlign w:val="center"/>
            <w:hideMark/>
          </w:tcPr>
          <w:p w14:paraId="71905E0D" w14:textId="77777777" w:rsidR="00893357" w:rsidRPr="00893357" w:rsidRDefault="00893357" w:rsidP="00893357">
            <w:pPr>
              <w:widowControl w:val="0"/>
              <w:spacing w:before="20" w:after="20" w:line="240" w:lineRule="auto"/>
              <w:ind w:firstLineChars="200" w:firstLine="361"/>
              <w:rPr>
                <w:rFonts w:ascii="Times New Roman" w:hAnsi="Times New Roman" w:cs="Times New Roman"/>
                <w:b/>
                <w:i/>
                <w:sz w:val="18"/>
                <w:szCs w:val="18"/>
              </w:rPr>
            </w:pPr>
            <w:r w:rsidRPr="00893357">
              <w:rPr>
                <w:rFonts w:ascii="Times New Roman" w:hAnsi="Times New Roman" w:cs="Times New Roman"/>
                <w:b/>
                <w:i/>
                <w:sz w:val="18"/>
                <w:szCs w:val="18"/>
              </w:rPr>
              <w:t>Ancillary drugs and supplies</w:t>
            </w:r>
          </w:p>
        </w:tc>
        <w:tc>
          <w:tcPr>
            <w:tcW w:w="942" w:type="dxa"/>
            <w:tcBorders>
              <w:top w:val="nil"/>
              <w:left w:val="nil"/>
              <w:bottom w:val="single" w:sz="4" w:space="0" w:color="auto"/>
              <w:right w:val="single" w:sz="4" w:space="0" w:color="auto"/>
            </w:tcBorders>
            <w:shd w:val="clear" w:color="auto" w:fill="auto"/>
            <w:noWrap/>
            <w:vAlign w:val="center"/>
            <w:hideMark/>
          </w:tcPr>
          <w:p w14:paraId="4A7515A1"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133,488</w:t>
            </w:r>
          </w:p>
        </w:tc>
        <w:tc>
          <w:tcPr>
            <w:tcW w:w="1396" w:type="dxa"/>
            <w:tcBorders>
              <w:top w:val="nil"/>
              <w:left w:val="nil"/>
              <w:bottom w:val="single" w:sz="4" w:space="0" w:color="auto"/>
              <w:right w:val="single" w:sz="4" w:space="0" w:color="auto"/>
            </w:tcBorders>
            <w:shd w:val="clear" w:color="auto" w:fill="auto"/>
            <w:noWrap/>
            <w:vAlign w:val="center"/>
            <w:hideMark/>
          </w:tcPr>
          <w:p w14:paraId="08CB938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56,635</w:t>
            </w:r>
          </w:p>
        </w:tc>
        <w:tc>
          <w:tcPr>
            <w:tcW w:w="1242" w:type="dxa"/>
            <w:tcBorders>
              <w:top w:val="nil"/>
              <w:left w:val="nil"/>
              <w:bottom w:val="single" w:sz="4" w:space="0" w:color="auto"/>
              <w:right w:val="single" w:sz="4" w:space="0" w:color="auto"/>
            </w:tcBorders>
            <w:shd w:val="clear" w:color="auto" w:fill="auto"/>
            <w:noWrap/>
            <w:vAlign w:val="center"/>
            <w:hideMark/>
          </w:tcPr>
          <w:p w14:paraId="04E7C4A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12,054</w:t>
            </w:r>
          </w:p>
        </w:tc>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4A6F8133"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12,631.00 </w:t>
            </w:r>
          </w:p>
        </w:tc>
        <w:tc>
          <w:tcPr>
            <w:tcW w:w="1145" w:type="dxa"/>
            <w:tcBorders>
              <w:top w:val="nil"/>
              <w:left w:val="nil"/>
              <w:bottom w:val="single" w:sz="4" w:space="0" w:color="auto"/>
              <w:right w:val="single" w:sz="4" w:space="0" w:color="auto"/>
            </w:tcBorders>
            <w:shd w:val="clear" w:color="auto" w:fill="auto"/>
            <w:noWrap/>
            <w:vAlign w:val="center"/>
            <w:hideMark/>
          </w:tcPr>
          <w:p w14:paraId="32BC4F27"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13,624.00 </w:t>
            </w:r>
          </w:p>
        </w:tc>
      </w:tr>
      <w:tr w:rsidR="00893357" w:rsidRPr="00EE7E38" w14:paraId="4D171064"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5794381"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1.3.3.5</w:t>
            </w:r>
          </w:p>
        </w:tc>
        <w:tc>
          <w:tcPr>
            <w:tcW w:w="2092" w:type="dxa"/>
            <w:tcBorders>
              <w:top w:val="nil"/>
              <w:left w:val="nil"/>
              <w:bottom w:val="single" w:sz="4" w:space="0" w:color="auto"/>
              <w:right w:val="single" w:sz="4" w:space="0" w:color="auto"/>
            </w:tcBorders>
            <w:shd w:val="clear" w:color="auto" w:fill="auto"/>
            <w:vAlign w:val="center"/>
            <w:hideMark/>
          </w:tcPr>
          <w:p w14:paraId="181F638A" w14:textId="77777777" w:rsidR="00893357" w:rsidRPr="00893357" w:rsidRDefault="00893357" w:rsidP="00893357">
            <w:pPr>
              <w:widowControl w:val="0"/>
              <w:spacing w:before="20" w:after="20" w:line="240" w:lineRule="auto"/>
              <w:ind w:firstLineChars="200" w:firstLine="361"/>
              <w:rPr>
                <w:rFonts w:ascii="Times New Roman" w:hAnsi="Times New Roman" w:cs="Times New Roman"/>
                <w:b/>
                <w:i/>
                <w:sz w:val="18"/>
                <w:szCs w:val="18"/>
              </w:rPr>
            </w:pPr>
            <w:r w:rsidRPr="00893357">
              <w:rPr>
                <w:rFonts w:ascii="Times New Roman" w:hAnsi="Times New Roman" w:cs="Times New Roman"/>
                <w:b/>
                <w:i/>
                <w:sz w:val="18"/>
                <w:szCs w:val="18"/>
              </w:rPr>
              <w:t>Staff salaries</w:t>
            </w:r>
          </w:p>
        </w:tc>
        <w:tc>
          <w:tcPr>
            <w:tcW w:w="942" w:type="dxa"/>
            <w:tcBorders>
              <w:top w:val="nil"/>
              <w:left w:val="nil"/>
              <w:bottom w:val="single" w:sz="4" w:space="0" w:color="auto"/>
              <w:right w:val="single" w:sz="4" w:space="0" w:color="auto"/>
            </w:tcBorders>
            <w:shd w:val="clear" w:color="auto" w:fill="auto"/>
            <w:noWrap/>
            <w:vAlign w:val="center"/>
            <w:hideMark/>
          </w:tcPr>
          <w:p w14:paraId="073A570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913,904</w:t>
            </w:r>
          </w:p>
        </w:tc>
        <w:tc>
          <w:tcPr>
            <w:tcW w:w="1396" w:type="dxa"/>
            <w:tcBorders>
              <w:top w:val="nil"/>
              <w:left w:val="nil"/>
              <w:bottom w:val="single" w:sz="4" w:space="0" w:color="auto"/>
              <w:right w:val="single" w:sz="4" w:space="0" w:color="auto"/>
            </w:tcBorders>
            <w:shd w:val="clear" w:color="auto" w:fill="auto"/>
            <w:noWrap/>
            <w:vAlign w:val="center"/>
            <w:hideMark/>
          </w:tcPr>
          <w:p w14:paraId="6429CD0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1,191,128</w:t>
            </w:r>
          </w:p>
        </w:tc>
        <w:tc>
          <w:tcPr>
            <w:tcW w:w="1242" w:type="dxa"/>
            <w:tcBorders>
              <w:top w:val="nil"/>
              <w:left w:val="nil"/>
              <w:bottom w:val="single" w:sz="4" w:space="0" w:color="auto"/>
              <w:right w:val="single" w:sz="4" w:space="0" w:color="auto"/>
            </w:tcBorders>
            <w:shd w:val="clear" w:color="auto" w:fill="auto"/>
            <w:noWrap/>
            <w:vAlign w:val="center"/>
            <w:hideMark/>
          </w:tcPr>
          <w:p w14:paraId="32AC9BA8"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1,184,302</w:t>
            </w:r>
          </w:p>
        </w:tc>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22DC4264"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1,240,977.00 </w:t>
            </w:r>
          </w:p>
        </w:tc>
        <w:tc>
          <w:tcPr>
            <w:tcW w:w="1145" w:type="dxa"/>
            <w:tcBorders>
              <w:top w:val="nil"/>
              <w:left w:val="nil"/>
              <w:bottom w:val="single" w:sz="4" w:space="0" w:color="auto"/>
              <w:right w:val="single" w:sz="4" w:space="0" w:color="auto"/>
            </w:tcBorders>
            <w:shd w:val="clear" w:color="auto" w:fill="auto"/>
            <w:noWrap/>
            <w:vAlign w:val="center"/>
            <w:hideMark/>
          </w:tcPr>
          <w:p w14:paraId="76EBBF4E"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1,338,515.00 </w:t>
            </w:r>
          </w:p>
        </w:tc>
      </w:tr>
      <w:tr w:rsidR="00893357" w:rsidRPr="00EE7E38" w14:paraId="1D1CE185" w14:textId="77777777" w:rsidTr="00893357">
        <w:trPr>
          <w:trHeight w:val="31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8DCAC51"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1.3.3.6</w:t>
            </w:r>
          </w:p>
        </w:tc>
        <w:tc>
          <w:tcPr>
            <w:tcW w:w="2092" w:type="dxa"/>
            <w:tcBorders>
              <w:top w:val="nil"/>
              <w:left w:val="nil"/>
              <w:bottom w:val="single" w:sz="4" w:space="0" w:color="auto"/>
              <w:right w:val="single" w:sz="4" w:space="0" w:color="auto"/>
            </w:tcBorders>
            <w:shd w:val="clear" w:color="auto" w:fill="auto"/>
            <w:vAlign w:val="center"/>
            <w:hideMark/>
          </w:tcPr>
          <w:p w14:paraId="14CB46B1" w14:textId="77777777" w:rsidR="00893357" w:rsidRPr="00893357" w:rsidRDefault="00893357" w:rsidP="00893357">
            <w:pPr>
              <w:widowControl w:val="0"/>
              <w:spacing w:before="20" w:after="20" w:line="240" w:lineRule="auto"/>
              <w:ind w:firstLineChars="200" w:firstLine="361"/>
              <w:rPr>
                <w:rFonts w:ascii="Times New Roman" w:hAnsi="Times New Roman" w:cs="Times New Roman"/>
                <w:b/>
                <w:i/>
                <w:sz w:val="18"/>
                <w:szCs w:val="18"/>
              </w:rPr>
            </w:pPr>
            <w:r w:rsidRPr="00893357">
              <w:rPr>
                <w:rFonts w:ascii="Times New Roman" w:hAnsi="Times New Roman" w:cs="Times New Roman"/>
                <w:b/>
                <w:i/>
                <w:sz w:val="18"/>
                <w:szCs w:val="18"/>
              </w:rPr>
              <w:t>Indirect costs</w:t>
            </w:r>
          </w:p>
        </w:tc>
        <w:tc>
          <w:tcPr>
            <w:tcW w:w="942" w:type="dxa"/>
            <w:tcBorders>
              <w:top w:val="nil"/>
              <w:left w:val="nil"/>
              <w:bottom w:val="single" w:sz="4" w:space="0" w:color="auto"/>
              <w:right w:val="single" w:sz="4" w:space="0" w:color="auto"/>
            </w:tcBorders>
            <w:shd w:val="clear" w:color="auto" w:fill="auto"/>
            <w:noWrap/>
            <w:vAlign w:val="center"/>
            <w:hideMark/>
          </w:tcPr>
          <w:p w14:paraId="5563AEA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535,713</w:t>
            </w:r>
          </w:p>
        </w:tc>
        <w:tc>
          <w:tcPr>
            <w:tcW w:w="1396" w:type="dxa"/>
            <w:tcBorders>
              <w:top w:val="nil"/>
              <w:left w:val="nil"/>
              <w:bottom w:val="single" w:sz="4" w:space="0" w:color="auto"/>
              <w:right w:val="single" w:sz="4" w:space="0" w:color="auto"/>
            </w:tcBorders>
            <w:shd w:val="clear" w:color="auto" w:fill="auto"/>
            <w:noWrap/>
            <w:vAlign w:val="center"/>
            <w:hideMark/>
          </w:tcPr>
          <w:p w14:paraId="6C30C311"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769,141</w:t>
            </w:r>
          </w:p>
        </w:tc>
        <w:tc>
          <w:tcPr>
            <w:tcW w:w="1242" w:type="dxa"/>
            <w:tcBorders>
              <w:top w:val="nil"/>
              <w:left w:val="nil"/>
              <w:bottom w:val="single" w:sz="4" w:space="0" w:color="auto"/>
              <w:right w:val="single" w:sz="4" w:space="0" w:color="auto"/>
            </w:tcBorders>
            <w:shd w:val="clear" w:color="auto" w:fill="auto"/>
            <w:noWrap/>
            <w:vAlign w:val="center"/>
            <w:hideMark/>
          </w:tcPr>
          <w:p w14:paraId="25B84110"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289,474</w:t>
            </w:r>
          </w:p>
        </w:tc>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28A4CD38"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303,327.00 </w:t>
            </w:r>
          </w:p>
        </w:tc>
        <w:tc>
          <w:tcPr>
            <w:tcW w:w="1145" w:type="dxa"/>
            <w:tcBorders>
              <w:top w:val="nil"/>
              <w:left w:val="nil"/>
              <w:bottom w:val="single" w:sz="4" w:space="0" w:color="auto"/>
              <w:right w:val="single" w:sz="4" w:space="0" w:color="auto"/>
            </w:tcBorders>
            <w:shd w:val="clear" w:color="auto" w:fill="auto"/>
            <w:noWrap/>
            <w:vAlign w:val="center"/>
            <w:hideMark/>
          </w:tcPr>
          <w:p w14:paraId="55619EFB"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                         327,168.00 </w:t>
            </w:r>
          </w:p>
        </w:tc>
      </w:tr>
      <w:tr w:rsidR="00893357" w:rsidRPr="00EE7E38" w14:paraId="26F0F40D" w14:textId="77777777" w:rsidTr="00893357">
        <w:trPr>
          <w:trHeight w:val="315"/>
        </w:trPr>
        <w:tc>
          <w:tcPr>
            <w:tcW w:w="751" w:type="dxa"/>
            <w:tcBorders>
              <w:top w:val="nil"/>
              <w:left w:val="single" w:sz="4" w:space="0" w:color="auto"/>
              <w:bottom w:val="single" w:sz="4" w:space="0" w:color="auto"/>
              <w:right w:val="single" w:sz="4" w:space="0" w:color="auto"/>
            </w:tcBorders>
            <w:shd w:val="clear" w:color="000000" w:fill="B7DEE8"/>
            <w:noWrap/>
            <w:vAlign w:val="center"/>
            <w:hideMark/>
          </w:tcPr>
          <w:p w14:paraId="78047917"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5</w:t>
            </w:r>
          </w:p>
        </w:tc>
        <w:tc>
          <w:tcPr>
            <w:tcW w:w="2092" w:type="dxa"/>
            <w:tcBorders>
              <w:top w:val="nil"/>
              <w:left w:val="nil"/>
              <w:bottom w:val="single" w:sz="4" w:space="0" w:color="auto"/>
              <w:right w:val="single" w:sz="4" w:space="0" w:color="auto"/>
            </w:tcBorders>
            <w:shd w:val="clear" w:color="000000" w:fill="B7DEE8"/>
            <w:vAlign w:val="center"/>
            <w:hideMark/>
          </w:tcPr>
          <w:p w14:paraId="5EA65606"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Medical Goods</w:t>
            </w:r>
          </w:p>
        </w:tc>
        <w:tc>
          <w:tcPr>
            <w:tcW w:w="942" w:type="dxa"/>
            <w:tcBorders>
              <w:top w:val="nil"/>
              <w:left w:val="nil"/>
              <w:bottom w:val="single" w:sz="4" w:space="0" w:color="auto"/>
              <w:right w:val="single" w:sz="4" w:space="0" w:color="auto"/>
            </w:tcBorders>
            <w:shd w:val="clear" w:color="000000" w:fill="B7DEE8"/>
            <w:noWrap/>
            <w:vAlign w:val="center"/>
            <w:hideMark/>
          </w:tcPr>
          <w:p w14:paraId="2E3F08F6"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136,601</w:t>
            </w:r>
          </w:p>
        </w:tc>
        <w:tc>
          <w:tcPr>
            <w:tcW w:w="1396" w:type="dxa"/>
            <w:tcBorders>
              <w:top w:val="nil"/>
              <w:left w:val="nil"/>
              <w:bottom w:val="single" w:sz="4" w:space="0" w:color="auto"/>
              <w:right w:val="single" w:sz="4" w:space="0" w:color="auto"/>
            </w:tcBorders>
            <w:shd w:val="clear" w:color="000000" w:fill="B7DEE8"/>
            <w:noWrap/>
            <w:vAlign w:val="center"/>
            <w:hideMark/>
          </w:tcPr>
          <w:p w14:paraId="4347849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216,607</w:t>
            </w:r>
          </w:p>
        </w:tc>
        <w:tc>
          <w:tcPr>
            <w:tcW w:w="1242" w:type="dxa"/>
            <w:tcBorders>
              <w:top w:val="nil"/>
              <w:left w:val="nil"/>
              <w:bottom w:val="single" w:sz="4" w:space="0" w:color="auto"/>
              <w:right w:val="single" w:sz="4" w:space="0" w:color="auto"/>
            </w:tcBorders>
            <w:shd w:val="clear" w:color="000000" w:fill="B7DEE8"/>
            <w:noWrap/>
            <w:vAlign w:val="center"/>
            <w:hideMark/>
          </w:tcPr>
          <w:p w14:paraId="29B713D7"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241,633</w:t>
            </w:r>
          </w:p>
        </w:tc>
        <w:tc>
          <w:tcPr>
            <w:tcW w:w="1154" w:type="dxa"/>
            <w:tcBorders>
              <w:top w:val="single" w:sz="4" w:space="0" w:color="auto"/>
              <w:left w:val="nil"/>
              <w:bottom w:val="single" w:sz="4" w:space="0" w:color="auto"/>
              <w:right w:val="single" w:sz="4" w:space="0" w:color="auto"/>
            </w:tcBorders>
            <w:shd w:val="clear" w:color="000000" w:fill="B7DEE8"/>
            <w:noWrap/>
            <w:vAlign w:val="center"/>
            <w:hideMark/>
          </w:tcPr>
          <w:p w14:paraId="6F80D74D"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379,200.00 </w:t>
            </w:r>
          </w:p>
        </w:tc>
        <w:tc>
          <w:tcPr>
            <w:tcW w:w="1145" w:type="dxa"/>
            <w:tcBorders>
              <w:top w:val="single" w:sz="4" w:space="0" w:color="auto"/>
              <w:left w:val="nil"/>
              <w:bottom w:val="single" w:sz="4" w:space="0" w:color="auto"/>
              <w:right w:val="single" w:sz="4" w:space="0" w:color="auto"/>
            </w:tcBorders>
            <w:shd w:val="clear" w:color="000000" w:fill="B7DEE8"/>
            <w:noWrap/>
            <w:vAlign w:val="center"/>
            <w:hideMark/>
          </w:tcPr>
          <w:p w14:paraId="3CD087A7"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392,561.00 </w:t>
            </w:r>
          </w:p>
        </w:tc>
      </w:tr>
      <w:tr w:rsidR="00893357" w:rsidRPr="00EE7E38" w14:paraId="2D21366A" w14:textId="77777777" w:rsidTr="00893357">
        <w:trPr>
          <w:trHeight w:val="315"/>
        </w:trPr>
        <w:tc>
          <w:tcPr>
            <w:tcW w:w="751" w:type="dxa"/>
            <w:tcBorders>
              <w:top w:val="nil"/>
              <w:left w:val="single" w:sz="4" w:space="0" w:color="auto"/>
              <w:bottom w:val="single" w:sz="4" w:space="0" w:color="auto"/>
              <w:right w:val="single" w:sz="4" w:space="0" w:color="auto"/>
            </w:tcBorders>
            <w:shd w:val="clear" w:color="000000" w:fill="B7DEE8"/>
            <w:noWrap/>
            <w:vAlign w:val="center"/>
            <w:hideMark/>
          </w:tcPr>
          <w:p w14:paraId="04CF5D29"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6</w:t>
            </w:r>
          </w:p>
        </w:tc>
        <w:tc>
          <w:tcPr>
            <w:tcW w:w="2092" w:type="dxa"/>
            <w:tcBorders>
              <w:top w:val="nil"/>
              <w:left w:val="nil"/>
              <w:bottom w:val="single" w:sz="4" w:space="0" w:color="auto"/>
              <w:right w:val="single" w:sz="4" w:space="0" w:color="auto"/>
            </w:tcBorders>
            <w:shd w:val="clear" w:color="000000" w:fill="B7DEE8"/>
            <w:vAlign w:val="center"/>
            <w:hideMark/>
          </w:tcPr>
          <w:p w14:paraId="2235977B"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Preventive care</w:t>
            </w:r>
          </w:p>
        </w:tc>
        <w:tc>
          <w:tcPr>
            <w:tcW w:w="942" w:type="dxa"/>
            <w:tcBorders>
              <w:top w:val="nil"/>
              <w:left w:val="nil"/>
              <w:bottom w:val="single" w:sz="4" w:space="0" w:color="auto"/>
              <w:right w:val="single" w:sz="4" w:space="0" w:color="auto"/>
            </w:tcBorders>
            <w:shd w:val="clear" w:color="000000" w:fill="B7DEE8"/>
            <w:noWrap/>
            <w:vAlign w:val="center"/>
            <w:hideMark/>
          </w:tcPr>
          <w:p w14:paraId="7D011C40"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0</w:t>
            </w:r>
          </w:p>
        </w:tc>
        <w:tc>
          <w:tcPr>
            <w:tcW w:w="1396" w:type="dxa"/>
            <w:tcBorders>
              <w:top w:val="nil"/>
              <w:left w:val="nil"/>
              <w:bottom w:val="single" w:sz="4" w:space="0" w:color="auto"/>
              <w:right w:val="single" w:sz="4" w:space="0" w:color="auto"/>
            </w:tcBorders>
            <w:shd w:val="clear" w:color="000000" w:fill="B7DEE8"/>
            <w:noWrap/>
            <w:vAlign w:val="center"/>
            <w:hideMark/>
          </w:tcPr>
          <w:p w14:paraId="2EA5C9E6"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60,466</w:t>
            </w:r>
          </w:p>
        </w:tc>
        <w:tc>
          <w:tcPr>
            <w:tcW w:w="1242" w:type="dxa"/>
            <w:tcBorders>
              <w:top w:val="nil"/>
              <w:left w:val="nil"/>
              <w:bottom w:val="single" w:sz="4" w:space="0" w:color="auto"/>
              <w:right w:val="single" w:sz="4" w:space="0" w:color="auto"/>
            </w:tcBorders>
            <w:shd w:val="clear" w:color="000000" w:fill="B7DEE8"/>
            <w:noWrap/>
            <w:vAlign w:val="center"/>
            <w:hideMark/>
          </w:tcPr>
          <w:p w14:paraId="293F3FC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36,353</w:t>
            </w:r>
          </w:p>
        </w:tc>
        <w:tc>
          <w:tcPr>
            <w:tcW w:w="1154" w:type="dxa"/>
            <w:tcBorders>
              <w:top w:val="nil"/>
              <w:left w:val="nil"/>
              <w:bottom w:val="single" w:sz="4" w:space="0" w:color="auto"/>
              <w:right w:val="single" w:sz="4" w:space="0" w:color="auto"/>
            </w:tcBorders>
            <w:shd w:val="clear" w:color="000000" w:fill="B7DEE8"/>
            <w:noWrap/>
            <w:vAlign w:val="center"/>
            <w:hideMark/>
          </w:tcPr>
          <w:p w14:paraId="7A7E196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372,153.00 </w:t>
            </w:r>
          </w:p>
        </w:tc>
        <w:tc>
          <w:tcPr>
            <w:tcW w:w="1145" w:type="dxa"/>
            <w:tcBorders>
              <w:top w:val="nil"/>
              <w:left w:val="nil"/>
              <w:bottom w:val="single" w:sz="4" w:space="0" w:color="auto"/>
              <w:right w:val="single" w:sz="4" w:space="0" w:color="auto"/>
            </w:tcBorders>
            <w:shd w:val="clear" w:color="000000" w:fill="B7DEE8"/>
            <w:noWrap/>
            <w:vAlign w:val="center"/>
            <w:hideMark/>
          </w:tcPr>
          <w:p w14:paraId="52A20832"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489,353.00 </w:t>
            </w:r>
          </w:p>
        </w:tc>
      </w:tr>
      <w:tr w:rsidR="00893357" w:rsidRPr="00EE7E38" w14:paraId="5DE21134" w14:textId="77777777" w:rsidTr="00893357">
        <w:trPr>
          <w:trHeight w:val="315"/>
        </w:trPr>
        <w:tc>
          <w:tcPr>
            <w:tcW w:w="751" w:type="dxa"/>
            <w:tcBorders>
              <w:top w:val="nil"/>
              <w:left w:val="single" w:sz="4" w:space="0" w:color="auto"/>
              <w:bottom w:val="single" w:sz="4" w:space="0" w:color="auto"/>
              <w:right w:val="single" w:sz="4" w:space="0" w:color="auto"/>
            </w:tcBorders>
            <w:shd w:val="clear" w:color="000000" w:fill="FDE9D9"/>
            <w:noWrap/>
            <w:vAlign w:val="center"/>
            <w:hideMark/>
          </w:tcPr>
          <w:p w14:paraId="6E314896"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6.4</w:t>
            </w:r>
          </w:p>
        </w:tc>
        <w:tc>
          <w:tcPr>
            <w:tcW w:w="2092" w:type="dxa"/>
            <w:tcBorders>
              <w:top w:val="nil"/>
              <w:left w:val="nil"/>
              <w:bottom w:val="single" w:sz="4" w:space="0" w:color="auto"/>
              <w:right w:val="single" w:sz="4" w:space="0" w:color="auto"/>
            </w:tcBorders>
            <w:shd w:val="clear" w:color="000000" w:fill="FDE9D9"/>
            <w:vAlign w:val="center"/>
            <w:hideMark/>
          </w:tcPr>
          <w:p w14:paraId="73BA98A7"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 xml:space="preserve">Healthy condition monitoring </w:t>
            </w:r>
            <w:proofErr w:type="spellStart"/>
            <w:r w:rsidRPr="00893357">
              <w:rPr>
                <w:rFonts w:ascii="Times New Roman" w:hAnsi="Times New Roman" w:cs="Times New Roman"/>
                <w:b/>
                <w:i/>
                <w:sz w:val="18"/>
                <w:szCs w:val="18"/>
              </w:rPr>
              <w:t>programmes</w:t>
            </w:r>
            <w:proofErr w:type="spellEnd"/>
          </w:p>
        </w:tc>
        <w:tc>
          <w:tcPr>
            <w:tcW w:w="942" w:type="dxa"/>
            <w:tcBorders>
              <w:top w:val="nil"/>
              <w:left w:val="nil"/>
              <w:bottom w:val="single" w:sz="4" w:space="0" w:color="auto"/>
              <w:right w:val="single" w:sz="4" w:space="0" w:color="auto"/>
            </w:tcBorders>
            <w:shd w:val="clear" w:color="000000" w:fill="FDE9D9"/>
            <w:noWrap/>
            <w:vAlign w:val="center"/>
            <w:hideMark/>
          </w:tcPr>
          <w:p w14:paraId="587F29BD"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396" w:type="dxa"/>
            <w:tcBorders>
              <w:top w:val="nil"/>
              <w:left w:val="nil"/>
              <w:bottom w:val="single" w:sz="4" w:space="0" w:color="auto"/>
              <w:right w:val="single" w:sz="4" w:space="0" w:color="auto"/>
            </w:tcBorders>
            <w:shd w:val="clear" w:color="000000" w:fill="FDE9D9"/>
            <w:noWrap/>
            <w:vAlign w:val="center"/>
            <w:hideMark/>
          </w:tcPr>
          <w:p w14:paraId="2171273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60,466</w:t>
            </w:r>
          </w:p>
        </w:tc>
        <w:tc>
          <w:tcPr>
            <w:tcW w:w="1242" w:type="dxa"/>
            <w:tcBorders>
              <w:top w:val="nil"/>
              <w:left w:val="nil"/>
              <w:bottom w:val="single" w:sz="4" w:space="0" w:color="auto"/>
              <w:right w:val="single" w:sz="4" w:space="0" w:color="auto"/>
            </w:tcBorders>
            <w:shd w:val="clear" w:color="000000" w:fill="FDE9D9"/>
            <w:noWrap/>
            <w:vAlign w:val="center"/>
            <w:hideMark/>
          </w:tcPr>
          <w:p w14:paraId="0CFAC7A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36,353</w:t>
            </w:r>
          </w:p>
        </w:tc>
        <w:tc>
          <w:tcPr>
            <w:tcW w:w="1154" w:type="dxa"/>
            <w:tcBorders>
              <w:top w:val="nil"/>
              <w:left w:val="nil"/>
              <w:bottom w:val="single" w:sz="4" w:space="0" w:color="auto"/>
              <w:right w:val="single" w:sz="4" w:space="0" w:color="auto"/>
            </w:tcBorders>
            <w:shd w:val="clear" w:color="000000" w:fill="FDE9D9"/>
            <w:noWrap/>
            <w:vAlign w:val="center"/>
            <w:hideMark/>
          </w:tcPr>
          <w:p w14:paraId="0BCABEA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36,353.00 </w:t>
            </w:r>
          </w:p>
        </w:tc>
        <w:tc>
          <w:tcPr>
            <w:tcW w:w="1145" w:type="dxa"/>
            <w:tcBorders>
              <w:top w:val="nil"/>
              <w:left w:val="nil"/>
              <w:bottom w:val="single" w:sz="4" w:space="0" w:color="auto"/>
              <w:right w:val="single" w:sz="4" w:space="0" w:color="auto"/>
            </w:tcBorders>
            <w:shd w:val="clear" w:color="000000" w:fill="FDE9D9"/>
            <w:noWrap/>
            <w:vAlign w:val="center"/>
            <w:hideMark/>
          </w:tcPr>
          <w:p w14:paraId="7C016DE6"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36,353.00 </w:t>
            </w:r>
          </w:p>
        </w:tc>
      </w:tr>
      <w:tr w:rsidR="00893357" w:rsidRPr="00EE7E38" w14:paraId="660A0E37" w14:textId="77777777" w:rsidTr="00893357">
        <w:trPr>
          <w:trHeight w:val="315"/>
        </w:trPr>
        <w:tc>
          <w:tcPr>
            <w:tcW w:w="75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44BAF373"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6.9.</w:t>
            </w:r>
          </w:p>
        </w:tc>
        <w:tc>
          <w:tcPr>
            <w:tcW w:w="2092" w:type="dxa"/>
            <w:tcBorders>
              <w:top w:val="single" w:sz="4" w:space="0" w:color="auto"/>
              <w:left w:val="nil"/>
              <w:bottom w:val="single" w:sz="4" w:space="0" w:color="auto"/>
              <w:right w:val="single" w:sz="4" w:space="0" w:color="auto"/>
            </w:tcBorders>
            <w:shd w:val="clear" w:color="000000" w:fill="FDE9D9"/>
            <w:vAlign w:val="center"/>
            <w:hideMark/>
          </w:tcPr>
          <w:p w14:paraId="531A4A68"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Other not classified</w:t>
            </w:r>
          </w:p>
        </w:tc>
        <w:tc>
          <w:tcPr>
            <w:tcW w:w="942" w:type="dxa"/>
            <w:tcBorders>
              <w:top w:val="single" w:sz="4" w:space="0" w:color="auto"/>
              <w:left w:val="nil"/>
              <w:bottom w:val="single" w:sz="4" w:space="0" w:color="auto"/>
              <w:right w:val="single" w:sz="4" w:space="0" w:color="auto"/>
            </w:tcBorders>
            <w:shd w:val="clear" w:color="000000" w:fill="FDE9D9"/>
            <w:noWrap/>
            <w:vAlign w:val="center"/>
            <w:hideMark/>
          </w:tcPr>
          <w:p w14:paraId="32A56A7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396" w:type="dxa"/>
            <w:tcBorders>
              <w:top w:val="single" w:sz="4" w:space="0" w:color="auto"/>
              <w:left w:val="nil"/>
              <w:bottom w:val="single" w:sz="4" w:space="0" w:color="auto"/>
              <w:right w:val="single" w:sz="4" w:space="0" w:color="auto"/>
            </w:tcBorders>
            <w:shd w:val="clear" w:color="000000" w:fill="FDE9D9"/>
            <w:noWrap/>
            <w:vAlign w:val="center"/>
            <w:hideMark/>
          </w:tcPr>
          <w:p w14:paraId="0EF36780"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242" w:type="dxa"/>
            <w:tcBorders>
              <w:top w:val="single" w:sz="4" w:space="0" w:color="auto"/>
              <w:left w:val="nil"/>
              <w:bottom w:val="single" w:sz="4" w:space="0" w:color="auto"/>
              <w:right w:val="single" w:sz="4" w:space="0" w:color="auto"/>
            </w:tcBorders>
            <w:shd w:val="clear" w:color="000000" w:fill="FDE9D9"/>
            <w:noWrap/>
            <w:vAlign w:val="center"/>
            <w:hideMark/>
          </w:tcPr>
          <w:p w14:paraId="2AD6596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154" w:type="dxa"/>
            <w:tcBorders>
              <w:top w:val="single" w:sz="4" w:space="0" w:color="auto"/>
              <w:left w:val="nil"/>
              <w:bottom w:val="single" w:sz="4" w:space="0" w:color="auto"/>
              <w:right w:val="single" w:sz="4" w:space="0" w:color="auto"/>
            </w:tcBorders>
            <w:shd w:val="clear" w:color="000000" w:fill="FDE9D9"/>
            <w:noWrap/>
            <w:vAlign w:val="center"/>
            <w:hideMark/>
          </w:tcPr>
          <w:p w14:paraId="7C310F05"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335,800.00 </w:t>
            </w:r>
          </w:p>
        </w:tc>
        <w:tc>
          <w:tcPr>
            <w:tcW w:w="1145" w:type="dxa"/>
            <w:tcBorders>
              <w:top w:val="single" w:sz="4" w:space="0" w:color="auto"/>
              <w:left w:val="nil"/>
              <w:bottom w:val="single" w:sz="4" w:space="0" w:color="auto"/>
              <w:right w:val="single" w:sz="4" w:space="0" w:color="auto"/>
            </w:tcBorders>
            <w:shd w:val="clear" w:color="000000" w:fill="FDE9D9"/>
            <w:noWrap/>
            <w:vAlign w:val="center"/>
            <w:hideMark/>
          </w:tcPr>
          <w:p w14:paraId="011A390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xml:space="preserve">                         453,000.00 </w:t>
            </w:r>
          </w:p>
        </w:tc>
      </w:tr>
      <w:tr w:rsidR="00893357" w:rsidRPr="00EE7E38" w14:paraId="349ED995" w14:textId="77777777" w:rsidTr="00893357">
        <w:trPr>
          <w:trHeight w:val="555"/>
        </w:trPr>
        <w:tc>
          <w:tcPr>
            <w:tcW w:w="751"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2AD043ED"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7</w:t>
            </w:r>
          </w:p>
        </w:tc>
        <w:tc>
          <w:tcPr>
            <w:tcW w:w="2092" w:type="dxa"/>
            <w:tcBorders>
              <w:top w:val="single" w:sz="4" w:space="0" w:color="auto"/>
              <w:left w:val="nil"/>
              <w:bottom w:val="single" w:sz="4" w:space="0" w:color="auto"/>
              <w:right w:val="single" w:sz="4" w:space="0" w:color="auto"/>
            </w:tcBorders>
            <w:shd w:val="clear" w:color="000000" w:fill="B7DEE8"/>
            <w:vAlign w:val="center"/>
            <w:hideMark/>
          </w:tcPr>
          <w:p w14:paraId="12CAA847"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Governance and health system financing administration</w:t>
            </w:r>
          </w:p>
        </w:tc>
        <w:tc>
          <w:tcPr>
            <w:tcW w:w="942" w:type="dxa"/>
            <w:tcBorders>
              <w:top w:val="single" w:sz="4" w:space="0" w:color="auto"/>
              <w:left w:val="nil"/>
              <w:bottom w:val="single" w:sz="4" w:space="0" w:color="auto"/>
              <w:right w:val="single" w:sz="4" w:space="0" w:color="auto"/>
            </w:tcBorders>
            <w:shd w:val="clear" w:color="000000" w:fill="B7DEE8"/>
            <w:noWrap/>
            <w:vAlign w:val="center"/>
            <w:hideMark/>
          </w:tcPr>
          <w:p w14:paraId="03A662B8"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396" w:type="dxa"/>
            <w:tcBorders>
              <w:top w:val="single" w:sz="4" w:space="0" w:color="auto"/>
              <w:left w:val="nil"/>
              <w:bottom w:val="single" w:sz="4" w:space="0" w:color="auto"/>
              <w:right w:val="single" w:sz="4" w:space="0" w:color="auto"/>
            </w:tcBorders>
            <w:shd w:val="clear" w:color="000000" w:fill="B7DEE8"/>
            <w:noWrap/>
            <w:vAlign w:val="center"/>
            <w:hideMark/>
          </w:tcPr>
          <w:p w14:paraId="2125E5C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1242" w:type="dxa"/>
            <w:tcBorders>
              <w:top w:val="single" w:sz="4" w:space="0" w:color="auto"/>
              <w:left w:val="nil"/>
              <w:bottom w:val="single" w:sz="4" w:space="0" w:color="auto"/>
              <w:right w:val="single" w:sz="4" w:space="0" w:color="auto"/>
            </w:tcBorders>
            <w:shd w:val="clear" w:color="000000" w:fill="B7DEE8"/>
            <w:noWrap/>
            <w:vAlign w:val="center"/>
            <w:hideMark/>
          </w:tcPr>
          <w:p w14:paraId="45ED5205"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142,184</w:t>
            </w:r>
          </w:p>
        </w:tc>
        <w:tc>
          <w:tcPr>
            <w:tcW w:w="1154" w:type="dxa"/>
            <w:tcBorders>
              <w:top w:val="single" w:sz="4" w:space="0" w:color="auto"/>
              <w:left w:val="nil"/>
              <w:bottom w:val="single" w:sz="4" w:space="0" w:color="auto"/>
              <w:right w:val="single" w:sz="4" w:space="0" w:color="auto"/>
            </w:tcBorders>
            <w:shd w:val="clear" w:color="000000" w:fill="B7DEE8"/>
            <w:noWrap/>
            <w:vAlign w:val="center"/>
            <w:hideMark/>
          </w:tcPr>
          <w:p w14:paraId="3C706947"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171,000</w:t>
            </w:r>
          </w:p>
        </w:tc>
        <w:tc>
          <w:tcPr>
            <w:tcW w:w="1145" w:type="dxa"/>
            <w:tcBorders>
              <w:top w:val="single" w:sz="4" w:space="0" w:color="auto"/>
              <w:left w:val="nil"/>
              <w:bottom w:val="single" w:sz="4" w:space="0" w:color="auto"/>
              <w:right w:val="single" w:sz="4" w:space="0" w:color="auto"/>
            </w:tcBorders>
            <w:shd w:val="clear" w:color="000000" w:fill="B7DEE8"/>
            <w:noWrap/>
            <w:vAlign w:val="center"/>
            <w:hideMark/>
          </w:tcPr>
          <w:p w14:paraId="3F838C01"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 </w:t>
            </w:r>
          </w:p>
        </w:tc>
      </w:tr>
      <w:tr w:rsidR="00893357" w:rsidRPr="00EE7E38" w14:paraId="151FB635" w14:textId="77777777" w:rsidTr="00893357">
        <w:trPr>
          <w:trHeight w:val="315"/>
        </w:trPr>
        <w:tc>
          <w:tcPr>
            <w:tcW w:w="751" w:type="dxa"/>
            <w:tcBorders>
              <w:top w:val="nil"/>
              <w:left w:val="single" w:sz="4" w:space="0" w:color="auto"/>
              <w:bottom w:val="single" w:sz="4" w:space="0" w:color="auto"/>
              <w:right w:val="single" w:sz="4" w:space="0" w:color="auto"/>
            </w:tcBorders>
            <w:shd w:val="clear" w:color="000000" w:fill="B7DEE8"/>
            <w:noWrap/>
            <w:vAlign w:val="center"/>
            <w:hideMark/>
          </w:tcPr>
          <w:p w14:paraId="4D0DED17"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8</w:t>
            </w:r>
          </w:p>
        </w:tc>
        <w:tc>
          <w:tcPr>
            <w:tcW w:w="2092" w:type="dxa"/>
            <w:tcBorders>
              <w:top w:val="nil"/>
              <w:left w:val="nil"/>
              <w:bottom w:val="single" w:sz="4" w:space="0" w:color="auto"/>
              <w:right w:val="single" w:sz="4" w:space="0" w:color="auto"/>
            </w:tcBorders>
            <w:shd w:val="clear" w:color="000000" w:fill="B7DEE8"/>
            <w:vAlign w:val="center"/>
            <w:hideMark/>
          </w:tcPr>
          <w:p w14:paraId="2A4D5B88"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Capital investments</w:t>
            </w:r>
          </w:p>
        </w:tc>
        <w:tc>
          <w:tcPr>
            <w:tcW w:w="942" w:type="dxa"/>
            <w:tcBorders>
              <w:top w:val="nil"/>
              <w:left w:val="nil"/>
              <w:bottom w:val="single" w:sz="4" w:space="0" w:color="auto"/>
              <w:right w:val="single" w:sz="4" w:space="0" w:color="auto"/>
            </w:tcBorders>
            <w:shd w:val="clear" w:color="000000" w:fill="B7DEE8"/>
            <w:noWrap/>
            <w:vAlign w:val="center"/>
            <w:hideMark/>
          </w:tcPr>
          <w:p w14:paraId="74BD3184"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2,829,694</w:t>
            </w:r>
          </w:p>
        </w:tc>
        <w:tc>
          <w:tcPr>
            <w:tcW w:w="1396" w:type="dxa"/>
            <w:tcBorders>
              <w:top w:val="nil"/>
              <w:left w:val="nil"/>
              <w:bottom w:val="single" w:sz="4" w:space="0" w:color="auto"/>
              <w:right w:val="single" w:sz="4" w:space="0" w:color="auto"/>
            </w:tcBorders>
            <w:shd w:val="clear" w:color="000000" w:fill="B7DEE8"/>
            <w:noWrap/>
            <w:vAlign w:val="center"/>
            <w:hideMark/>
          </w:tcPr>
          <w:p w14:paraId="19218F3D"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4,520,851</w:t>
            </w:r>
          </w:p>
        </w:tc>
        <w:tc>
          <w:tcPr>
            <w:tcW w:w="1242" w:type="dxa"/>
            <w:tcBorders>
              <w:top w:val="nil"/>
              <w:left w:val="nil"/>
              <w:bottom w:val="single" w:sz="4" w:space="0" w:color="auto"/>
              <w:right w:val="single" w:sz="4" w:space="0" w:color="auto"/>
            </w:tcBorders>
            <w:shd w:val="clear" w:color="000000" w:fill="B7DEE8"/>
            <w:noWrap/>
            <w:vAlign w:val="center"/>
            <w:hideMark/>
          </w:tcPr>
          <w:p w14:paraId="3780DB6C"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6,448,611</w:t>
            </w:r>
          </w:p>
        </w:tc>
        <w:tc>
          <w:tcPr>
            <w:tcW w:w="1154" w:type="dxa"/>
            <w:tcBorders>
              <w:top w:val="nil"/>
              <w:left w:val="nil"/>
              <w:bottom w:val="single" w:sz="4" w:space="0" w:color="auto"/>
              <w:right w:val="single" w:sz="4" w:space="0" w:color="auto"/>
            </w:tcBorders>
            <w:shd w:val="clear" w:color="000000" w:fill="B7DEE8"/>
            <w:noWrap/>
            <w:vAlign w:val="center"/>
            <w:hideMark/>
          </w:tcPr>
          <w:p w14:paraId="656E83E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498,200</w:t>
            </w:r>
          </w:p>
        </w:tc>
        <w:tc>
          <w:tcPr>
            <w:tcW w:w="1145" w:type="dxa"/>
            <w:tcBorders>
              <w:top w:val="nil"/>
              <w:left w:val="nil"/>
              <w:bottom w:val="single" w:sz="4" w:space="0" w:color="auto"/>
              <w:right w:val="single" w:sz="4" w:space="0" w:color="auto"/>
            </w:tcBorders>
            <w:shd w:val="clear" w:color="000000" w:fill="B7DEE8"/>
            <w:noWrap/>
            <w:vAlign w:val="center"/>
            <w:hideMark/>
          </w:tcPr>
          <w:p w14:paraId="5BC7A55D"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1,529,371</w:t>
            </w:r>
          </w:p>
        </w:tc>
      </w:tr>
      <w:tr w:rsidR="00893357" w:rsidRPr="00EE7E38" w14:paraId="3179B2CB" w14:textId="77777777" w:rsidTr="00893357">
        <w:trPr>
          <w:trHeight w:val="458"/>
        </w:trPr>
        <w:tc>
          <w:tcPr>
            <w:tcW w:w="751" w:type="dxa"/>
            <w:tcBorders>
              <w:top w:val="nil"/>
              <w:left w:val="single" w:sz="4" w:space="0" w:color="auto"/>
              <w:bottom w:val="single" w:sz="4" w:space="0" w:color="auto"/>
              <w:right w:val="single" w:sz="4" w:space="0" w:color="auto"/>
            </w:tcBorders>
            <w:shd w:val="clear" w:color="000000" w:fill="C4D79B"/>
            <w:noWrap/>
            <w:vAlign w:val="center"/>
            <w:hideMark/>
          </w:tcPr>
          <w:p w14:paraId="7C9DC56C" w14:textId="77777777" w:rsidR="00893357" w:rsidRPr="00893357" w:rsidRDefault="00893357" w:rsidP="00893357">
            <w:pPr>
              <w:widowControl w:val="0"/>
              <w:spacing w:before="20" w:after="20" w:line="240" w:lineRule="auto"/>
              <w:jc w:val="center"/>
              <w:rPr>
                <w:rFonts w:ascii="Times New Roman" w:hAnsi="Times New Roman" w:cs="Times New Roman"/>
                <w:b/>
                <w:i/>
                <w:sz w:val="18"/>
                <w:szCs w:val="18"/>
              </w:rPr>
            </w:pPr>
            <w:r w:rsidRPr="00893357">
              <w:rPr>
                <w:rFonts w:ascii="Times New Roman" w:hAnsi="Times New Roman" w:cs="Times New Roman"/>
                <w:b/>
                <w:i/>
                <w:sz w:val="18"/>
                <w:szCs w:val="18"/>
              </w:rPr>
              <w:t> </w:t>
            </w:r>
          </w:p>
        </w:tc>
        <w:tc>
          <w:tcPr>
            <w:tcW w:w="2092" w:type="dxa"/>
            <w:tcBorders>
              <w:top w:val="nil"/>
              <w:left w:val="nil"/>
              <w:bottom w:val="single" w:sz="4" w:space="0" w:color="auto"/>
              <w:right w:val="single" w:sz="4" w:space="0" w:color="auto"/>
            </w:tcBorders>
            <w:shd w:val="clear" w:color="000000" w:fill="C4D79B"/>
            <w:noWrap/>
            <w:vAlign w:val="center"/>
            <w:hideMark/>
          </w:tcPr>
          <w:p w14:paraId="4BABCCF3" w14:textId="77777777" w:rsidR="00893357" w:rsidRPr="00893357" w:rsidRDefault="00893357" w:rsidP="00893357">
            <w:pPr>
              <w:widowControl w:val="0"/>
              <w:spacing w:before="20" w:after="20" w:line="240" w:lineRule="auto"/>
              <w:rPr>
                <w:rFonts w:ascii="Times New Roman" w:hAnsi="Times New Roman" w:cs="Times New Roman"/>
                <w:b/>
                <w:i/>
                <w:sz w:val="18"/>
                <w:szCs w:val="18"/>
              </w:rPr>
            </w:pPr>
            <w:r w:rsidRPr="00893357">
              <w:rPr>
                <w:rFonts w:ascii="Times New Roman" w:hAnsi="Times New Roman" w:cs="Times New Roman"/>
                <w:b/>
                <w:i/>
                <w:sz w:val="18"/>
                <w:szCs w:val="18"/>
              </w:rPr>
              <w:t>Total</w:t>
            </w:r>
          </w:p>
        </w:tc>
        <w:tc>
          <w:tcPr>
            <w:tcW w:w="942" w:type="dxa"/>
            <w:tcBorders>
              <w:top w:val="nil"/>
              <w:left w:val="nil"/>
              <w:bottom w:val="single" w:sz="4" w:space="0" w:color="auto"/>
              <w:right w:val="single" w:sz="4" w:space="0" w:color="auto"/>
            </w:tcBorders>
            <w:shd w:val="clear" w:color="000000" w:fill="C4D79B"/>
            <w:noWrap/>
            <w:vAlign w:val="center"/>
            <w:hideMark/>
          </w:tcPr>
          <w:p w14:paraId="18E264E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10,916,439</w:t>
            </w:r>
          </w:p>
        </w:tc>
        <w:tc>
          <w:tcPr>
            <w:tcW w:w="1396" w:type="dxa"/>
            <w:tcBorders>
              <w:top w:val="nil"/>
              <w:left w:val="nil"/>
              <w:bottom w:val="single" w:sz="4" w:space="0" w:color="auto"/>
              <w:right w:val="single" w:sz="4" w:space="0" w:color="auto"/>
            </w:tcBorders>
            <w:shd w:val="clear" w:color="000000" w:fill="C4D79B"/>
            <w:noWrap/>
            <w:vAlign w:val="center"/>
            <w:hideMark/>
          </w:tcPr>
          <w:p w14:paraId="4046284B"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14,532,049</w:t>
            </w:r>
          </w:p>
        </w:tc>
        <w:tc>
          <w:tcPr>
            <w:tcW w:w="1242" w:type="dxa"/>
            <w:tcBorders>
              <w:top w:val="nil"/>
              <w:left w:val="nil"/>
              <w:bottom w:val="single" w:sz="4" w:space="0" w:color="auto"/>
              <w:right w:val="single" w:sz="4" w:space="0" w:color="auto"/>
            </w:tcBorders>
            <w:shd w:val="clear" w:color="000000" w:fill="C4D79B"/>
            <w:noWrap/>
            <w:vAlign w:val="center"/>
            <w:hideMark/>
          </w:tcPr>
          <w:p w14:paraId="5E84A36E"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15,855,729</w:t>
            </w:r>
          </w:p>
        </w:tc>
        <w:tc>
          <w:tcPr>
            <w:tcW w:w="1154" w:type="dxa"/>
            <w:tcBorders>
              <w:top w:val="nil"/>
              <w:left w:val="nil"/>
              <w:bottom w:val="single" w:sz="4" w:space="0" w:color="auto"/>
              <w:right w:val="single" w:sz="4" w:space="0" w:color="auto"/>
            </w:tcBorders>
            <w:shd w:val="clear" w:color="000000" w:fill="C4D79B"/>
            <w:noWrap/>
            <w:vAlign w:val="center"/>
            <w:hideMark/>
          </w:tcPr>
          <w:p w14:paraId="217E992A"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13,912,649</w:t>
            </w:r>
          </w:p>
        </w:tc>
        <w:tc>
          <w:tcPr>
            <w:tcW w:w="1145" w:type="dxa"/>
            <w:tcBorders>
              <w:top w:val="nil"/>
              <w:left w:val="nil"/>
              <w:bottom w:val="single" w:sz="4" w:space="0" w:color="auto"/>
              <w:right w:val="single" w:sz="4" w:space="0" w:color="auto"/>
            </w:tcBorders>
            <w:shd w:val="clear" w:color="000000" w:fill="C4D79B"/>
            <w:noWrap/>
            <w:vAlign w:val="center"/>
            <w:hideMark/>
          </w:tcPr>
          <w:p w14:paraId="10C6B0CF" w14:textId="77777777" w:rsidR="00893357" w:rsidRPr="00893357" w:rsidRDefault="00893357" w:rsidP="00893357">
            <w:pPr>
              <w:widowControl w:val="0"/>
              <w:spacing w:before="20" w:after="20" w:line="240" w:lineRule="auto"/>
              <w:jc w:val="right"/>
              <w:rPr>
                <w:rFonts w:ascii="Times New Roman" w:hAnsi="Times New Roman" w:cs="Times New Roman"/>
                <w:b/>
                <w:i/>
                <w:sz w:val="18"/>
                <w:szCs w:val="18"/>
              </w:rPr>
            </w:pPr>
            <w:r w:rsidRPr="00893357">
              <w:rPr>
                <w:rFonts w:ascii="Times New Roman" w:hAnsi="Times New Roman" w:cs="Times New Roman"/>
                <w:b/>
                <w:i/>
                <w:sz w:val="18"/>
                <w:szCs w:val="18"/>
              </w:rPr>
              <w:t>15,210,272</w:t>
            </w:r>
          </w:p>
        </w:tc>
      </w:tr>
    </w:tbl>
    <w:p w14:paraId="24CCD510" w14:textId="70C6FBEA" w:rsidR="008247D4" w:rsidRPr="00EE7E38" w:rsidRDefault="00FA038A"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br w:type="textWrapping" w:clear="all"/>
      </w:r>
      <w:r w:rsidR="007E5FC2" w:rsidRPr="00EE7E38">
        <w:rPr>
          <w:rFonts w:ascii="Times New Roman" w:hAnsi="Times New Roman" w:cs="Times New Roman"/>
        </w:rPr>
        <w:t xml:space="preserve">Similar to calculations of the </w:t>
      </w:r>
      <w:r w:rsidR="008F67D1" w:rsidRPr="00EE7E38">
        <w:rPr>
          <w:rFonts w:ascii="Times New Roman" w:hAnsi="Times New Roman" w:cs="Times New Roman"/>
        </w:rPr>
        <w:t xml:space="preserve">TB control financial </w:t>
      </w:r>
      <w:r w:rsidR="007E5FC2" w:rsidRPr="00EE7E38">
        <w:rPr>
          <w:rFonts w:ascii="Times New Roman" w:hAnsi="Times New Roman" w:cs="Times New Roman"/>
        </w:rPr>
        <w:t xml:space="preserve">needs (see Table </w:t>
      </w:r>
      <w:r w:rsidR="00E1163D" w:rsidRPr="00EE7E38">
        <w:rPr>
          <w:rFonts w:ascii="Times New Roman" w:hAnsi="Times New Roman" w:cs="Times New Roman"/>
        </w:rPr>
        <w:t>11</w:t>
      </w:r>
      <w:r w:rsidR="008F67D1" w:rsidRPr="00EE7E38">
        <w:rPr>
          <w:rFonts w:ascii="Times New Roman" w:hAnsi="Times New Roman" w:cs="Times New Roman"/>
        </w:rPr>
        <w:t xml:space="preserve"> below</w:t>
      </w:r>
      <w:r w:rsidR="007E5FC2" w:rsidRPr="00EE7E38">
        <w:rPr>
          <w:rFonts w:ascii="Times New Roman" w:hAnsi="Times New Roman" w:cs="Times New Roman"/>
        </w:rPr>
        <w:t xml:space="preserve">), the </w:t>
      </w:r>
      <w:r w:rsidR="008F67D1" w:rsidRPr="00EE7E38">
        <w:rPr>
          <w:rFonts w:ascii="Times New Roman" w:hAnsi="Times New Roman" w:cs="Times New Roman"/>
        </w:rPr>
        <w:t xml:space="preserve">figures for the </w:t>
      </w:r>
      <w:r w:rsidR="007E5FC2" w:rsidRPr="00EE7E38">
        <w:rPr>
          <w:rFonts w:ascii="Times New Roman" w:hAnsi="Times New Roman" w:cs="Times New Roman"/>
        </w:rPr>
        <w:t xml:space="preserve">state budget expenditure do not </w:t>
      </w:r>
      <w:r w:rsidR="008F67D1" w:rsidRPr="00EE7E38">
        <w:rPr>
          <w:rFonts w:ascii="Times New Roman" w:hAnsi="Times New Roman" w:cs="Times New Roman"/>
        </w:rPr>
        <w:t xml:space="preserve">account for a part of </w:t>
      </w:r>
      <w:r w:rsidR="0059626D" w:rsidRPr="00EE7E38">
        <w:rPr>
          <w:rFonts w:ascii="Times New Roman" w:hAnsi="Times New Roman" w:cs="Times New Roman"/>
        </w:rPr>
        <w:t xml:space="preserve">expenditures at </w:t>
      </w:r>
      <w:r w:rsidR="008F67D1" w:rsidRPr="00EE7E38">
        <w:rPr>
          <w:rFonts w:ascii="Times New Roman" w:hAnsi="Times New Roman" w:cs="Times New Roman"/>
        </w:rPr>
        <w:t xml:space="preserve">the </w:t>
      </w:r>
      <w:r w:rsidR="007E5FC2" w:rsidRPr="00EE7E38">
        <w:rPr>
          <w:rFonts w:ascii="Times New Roman" w:hAnsi="Times New Roman" w:cs="Times New Roman"/>
        </w:rPr>
        <w:t>general health service institutions</w:t>
      </w:r>
      <w:r w:rsidR="008F67D1" w:rsidRPr="00EE7E38">
        <w:rPr>
          <w:rFonts w:ascii="Times New Roman" w:hAnsi="Times New Roman" w:cs="Times New Roman"/>
        </w:rPr>
        <w:t>,</w:t>
      </w:r>
      <w:r w:rsidR="007E5FC2" w:rsidRPr="00EE7E38">
        <w:rPr>
          <w:rFonts w:ascii="Times New Roman" w:hAnsi="Times New Roman" w:cs="Times New Roman"/>
        </w:rPr>
        <w:t xml:space="preserve"> that may be </w:t>
      </w:r>
      <w:r w:rsidR="007E5FC2" w:rsidRPr="00756463">
        <w:rPr>
          <w:rFonts w:ascii="Times New Roman" w:hAnsi="Times New Roman" w:cs="Times New Roman"/>
        </w:rPr>
        <w:t>apportioned for TB-related activities</w:t>
      </w:r>
      <w:r w:rsidR="008F67D1" w:rsidRPr="00756463">
        <w:rPr>
          <w:rFonts w:ascii="Times New Roman" w:hAnsi="Times New Roman" w:cs="Times New Roman"/>
        </w:rPr>
        <w:t xml:space="preserve"> at specialized outpatient facilities and rural PHC units</w:t>
      </w:r>
      <w:r w:rsidR="007E5FC2" w:rsidRPr="00756463">
        <w:rPr>
          <w:rFonts w:ascii="Times New Roman" w:hAnsi="Times New Roman" w:cs="Times New Roman"/>
        </w:rPr>
        <w:t>. This contribution may</w:t>
      </w:r>
      <w:r w:rsidR="00E1163D" w:rsidRPr="00756463">
        <w:rPr>
          <w:rFonts w:ascii="Times New Roman" w:hAnsi="Times New Roman" w:cs="Times New Roman"/>
        </w:rPr>
        <w:t xml:space="preserve"> </w:t>
      </w:r>
      <w:r w:rsidR="007E5FC2" w:rsidRPr="00756463">
        <w:rPr>
          <w:rFonts w:ascii="Times New Roman" w:hAnsi="Times New Roman" w:cs="Times New Roman"/>
        </w:rPr>
        <w:t xml:space="preserve">add up to </w:t>
      </w:r>
      <w:r w:rsidR="008F67D1" w:rsidRPr="00756463">
        <w:rPr>
          <w:rFonts w:ascii="Times New Roman" w:hAnsi="Times New Roman" w:cs="Times New Roman"/>
        </w:rPr>
        <w:t>1</w:t>
      </w:r>
      <w:r w:rsidR="0059626D" w:rsidRPr="00756463">
        <w:rPr>
          <w:rFonts w:ascii="Times New Roman" w:hAnsi="Times New Roman" w:cs="Times New Roman"/>
        </w:rPr>
        <w:t>3</w:t>
      </w:r>
      <w:r w:rsidR="008F67D1" w:rsidRPr="00756463">
        <w:rPr>
          <w:rFonts w:ascii="Times New Roman" w:hAnsi="Times New Roman" w:cs="Times New Roman"/>
        </w:rPr>
        <w:t xml:space="preserve">% </w:t>
      </w:r>
      <w:r w:rsidR="007E5FC2" w:rsidRPr="00756463">
        <w:rPr>
          <w:rFonts w:ascii="Times New Roman" w:hAnsi="Times New Roman" w:cs="Times New Roman"/>
        </w:rPr>
        <w:t xml:space="preserve">on top of the </w:t>
      </w:r>
      <w:r w:rsidR="008247D4" w:rsidRPr="00756463">
        <w:rPr>
          <w:rFonts w:ascii="Times New Roman" w:hAnsi="Times New Roman" w:cs="Times New Roman"/>
        </w:rPr>
        <w:t xml:space="preserve">figures for outpatient </w:t>
      </w:r>
      <w:r w:rsidR="007E5FC2" w:rsidRPr="00756463">
        <w:rPr>
          <w:rFonts w:ascii="Times New Roman" w:hAnsi="Times New Roman" w:cs="Times New Roman"/>
        </w:rPr>
        <w:t>public expenditures for TB control above (for 201</w:t>
      </w:r>
      <w:r w:rsidR="00756463" w:rsidRPr="00756463">
        <w:rPr>
          <w:rFonts w:ascii="Times New Roman" w:hAnsi="Times New Roman" w:cs="Times New Roman"/>
        </w:rPr>
        <w:t>6</w:t>
      </w:r>
      <w:r w:rsidR="007E5FC2" w:rsidRPr="00756463">
        <w:rPr>
          <w:rFonts w:ascii="Times New Roman" w:hAnsi="Times New Roman" w:cs="Times New Roman"/>
        </w:rPr>
        <w:t xml:space="preserve">, about </w:t>
      </w:r>
      <w:r w:rsidR="008F67D1" w:rsidRPr="00756463">
        <w:rPr>
          <w:rFonts w:ascii="Times New Roman" w:hAnsi="Times New Roman" w:cs="Times New Roman"/>
        </w:rPr>
        <w:t xml:space="preserve">GEL </w:t>
      </w:r>
      <w:r w:rsidR="00756463" w:rsidRPr="00756463">
        <w:rPr>
          <w:rFonts w:ascii="Times New Roman" w:hAnsi="Times New Roman" w:cs="Times New Roman"/>
        </w:rPr>
        <w:t>500</w:t>
      </w:r>
      <w:r w:rsidR="008247D4" w:rsidRPr="00756463">
        <w:rPr>
          <w:rFonts w:ascii="Times New Roman" w:hAnsi="Times New Roman" w:cs="Times New Roman"/>
        </w:rPr>
        <w:t xml:space="preserve">,000 </w:t>
      </w:r>
      <w:r w:rsidR="007E5FC2" w:rsidRPr="00756463">
        <w:rPr>
          <w:rFonts w:ascii="Times New Roman" w:hAnsi="Times New Roman" w:cs="Times New Roman"/>
        </w:rPr>
        <w:t xml:space="preserve">or </w:t>
      </w:r>
      <w:r w:rsidR="008247D4" w:rsidRPr="00756463">
        <w:rPr>
          <w:rFonts w:ascii="Times New Roman" w:hAnsi="Times New Roman" w:cs="Times New Roman"/>
        </w:rPr>
        <w:t xml:space="preserve">about </w:t>
      </w:r>
      <w:r w:rsidR="007E5FC2" w:rsidRPr="00756463">
        <w:rPr>
          <w:rFonts w:ascii="Times New Roman" w:hAnsi="Times New Roman" w:cs="Times New Roman"/>
        </w:rPr>
        <w:t xml:space="preserve">USD </w:t>
      </w:r>
      <w:r w:rsidR="00756463" w:rsidRPr="00756463">
        <w:rPr>
          <w:rFonts w:ascii="Times New Roman" w:hAnsi="Times New Roman" w:cs="Times New Roman"/>
        </w:rPr>
        <w:t>204086</w:t>
      </w:r>
      <w:r w:rsidR="008247D4" w:rsidRPr="00EE7E38">
        <w:rPr>
          <w:rFonts w:ascii="Times New Roman" w:hAnsi="Times New Roman" w:cs="Times New Roman"/>
        </w:rPr>
        <w:t xml:space="preserve">). </w:t>
      </w:r>
    </w:p>
    <w:p w14:paraId="61168CF2" w14:textId="77777777" w:rsidR="006B121B" w:rsidRPr="00EE7E38" w:rsidRDefault="006B121B"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bCs/>
        </w:rPr>
        <w:t>External funding</w:t>
      </w:r>
    </w:p>
    <w:p w14:paraId="3929FA5A" w14:textId="40FA65F4" w:rsidR="0055611C" w:rsidRDefault="006B121B"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External financial support to TB control in </w:t>
      </w:r>
      <w:r w:rsidR="00641B54" w:rsidRPr="00EE7E38">
        <w:rPr>
          <w:rFonts w:ascii="Times New Roman" w:hAnsi="Times New Roman" w:cs="Times New Roman"/>
        </w:rPr>
        <w:t xml:space="preserve">Georgia has been </w:t>
      </w:r>
      <w:r w:rsidRPr="00EE7E38">
        <w:rPr>
          <w:rFonts w:ascii="Times New Roman" w:hAnsi="Times New Roman" w:cs="Times New Roman"/>
        </w:rPr>
        <w:t xml:space="preserve">substantial </w:t>
      </w:r>
      <w:r w:rsidR="00641B54" w:rsidRPr="00EE7E38">
        <w:rPr>
          <w:rFonts w:ascii="Times New Roman" w:hAnsi="Times New Roman" w:cs="Times New Roman"/>
        </w:rPr>
        <w:t xml:space="preserve">and </w:t>
      </w:r>
      <w:r w:rsidRPr="00EE7E38">
        <w:rPr>
          <w:rFonts w:ascii="Times New Roman" w:hAnsi="Times New Roman" w:cs="Times New Roman"/>
        </w:rPr>
        <w:t>has important</w:t>
      </w:r>
      <w:r w:rsidR="00641B54" w:rsidRPr="00EE7E38">
        <w:rPr>
          <w:rFonts w:ascii="Times New Roman" w:hAnsi="Times New Roman" w:cs="Times New Roman"/>
        </w:rPr>
        <w:t>ly</w:t>
      </w:r>
      <w:r w:rsidRPr="00EE7E38">
        <w:rPr>
          <w:rFonts w:ascii="Times New Roman" w:hAnsi="Times New Roman" w:cs="Times New Roman"/>
        </w:rPr>
        <w:t xml:space="preserve"> </w:t>
      </w:r>
      <w:r w:rsidR="00465B2D" w:rsidRPr="00EE7E38">
        <w:rPr>
          <w:rFonts w:ascii="Times New Roman" w:hAnsi="Times New Roman" w:cs="Times New Roman"/>
        </w:rPr>
        <w:t>contribut</w:t>
      </w:r>
      <w:r w:rsidR="00465B2D">
        <w:rPr>
          <w:rFonts w:ascii="Times New Roman" w:hAnsi="Times New Roman" w:cs="Times New Roman"/>
        </w:rPr>
        <w:t>ed</w:t>
      </w:r>
      <w:r w:rsidR="00465B2D" w:rsidRPr="00EE7E38">
        <w:rPr>
          <w:rFonts w:ascii="Times New Roman" w:hAnsi="Times New Roman" w:cs="Times New Roman"/>
        </w:rPr>
        <w:t xml:space="preserve"> </w:t>
      </w:r>
      <w:r w:rsidRPr="00EE7E38">
        <w:rPr>
          <w:rFonts w:ascii="Times New Roman" w:hAnsi="Times New Roman" w:cs="Times New Roman"/>
        </w:rPr>
        <w:t xml:space="preserve">to the strengthening of the </w:t>
      </w:r>
      <w:r w:rsidR="00465B2D">
        <w:rPr>
          <w:rFonts w:ascii="Times New Roman" w:hAnsi="Times New Roman" w:cs="Times New Roman"/>
        </w:rPr>
        <w:t>NTP</w:t>
      </w:r>
      <w:r w:rsidR="00641B54" w:rsidRPr="00EE7E38">
        <w:rPr>
          <w:rFonts w:ascii="Times New Roman" w:hAnsi="Times New Roman" w:cs="Times New Roman"/>
        </w:rPr>
        <w:t xml:space="preserve">. Over the last five years, however, the number of externally supported programs and projects and the size of external funding contributions to TB control have decreased. </w:t>
      </w:r>
      <w:r w:rsidR="00210858" w:rsidRPr="00EE7E38">
        <w:rPr>
          <w:rFonts w:ascii="Times New Roman" w:hAnsi="Times New Roman" w:cs="Times New Roman"/>
        </w:rPr>
        <w:t xml:space="preserve">Currently, the main international partners in the area of TB control are the Global Fund to Fight AIDS, Tuberculosis and Malaria (TGF), the United States’ Government/USAID, WHO and </w:t>
      </w:r>
      <w:proofErr w:type="spellStart"/>
      <w:r w:rsidR="00210858" w:rsidRPr="00EE7E38">
        <w:rPr>
          <w:rFonts w:ascii="Times New Roman" w:hAnsi="Times New Roman" w:cs="Times New Roman"/>
        </w:rPr>
        <w:t>Médecins</w:t>
      </w:r>
      <w:proofErr w:type="spellEnd"/>
      <w:r w:rsidR="00210858" w:rsidRPr="00EE7E38">
        <w:rPr>
          <w:rFonts w:ascii="Times New Roman" w:hAnsi="Times New Roman" w:cs="Times New Roman"/>
        </w:rPr>
        <w:t xml:space="preserve"> Sans </w:t>
      </w:r>
      <w:proofErr w:type="spellStart"/>
      <w:r w:rsidR="00210858" w:rsidRPr="00EE7E38">
        <w:rPr>
          <w:rFonts w:ascii="Times New Roman" w:hAnsi="Times New Roman" w:cs="Times New Roman"/>
        </w:rPr>
        <w:t>Frontières</w:t>
      </w:r>
      <w:proofErr w:type="spellEnd"/>
      <w:r w:rsidR="00210858" w:rsidRPr="00EE7E38">
        <w:rPr>
          <w:rFonts w:ascii="Times New Roman" w:hAnsi="Times New Roman" w:cs="Times New Roman"/>
        </w:rPr>
        <w:t xml:space="preserve"> (MSF) France. </w:t>
      </w:r>
      <w:r w:rsidR="00E1163D" w:rsidRPr="00EE7E38">
        <w:rPr>
          <w:rFonts w:ascii="Times New Roman" w:hAnsi="Times New Roman" w:cs="Times New Roman"/>
        </w:rPr>
        <w:t>Table 10</w:t>
      </w:r>
      <w:r w:rsidR="0055611C" w:rsidRPr="00EE7E38">
        <w:rPr>
          <w:rFonts w:ascii="Times New Roman" w:hAnsi="Times New Roman" w:cs="Times New Roman"/>
        </w:rPr>
        <w:t xml:space="preserve"> gives the breakdown of TB-related funding support by these agencies for 2012-2014.</w:t>
      </w:r>
    </w:p>
    <w:p w14:paraId="3D0A1E58" w14:textId="77777777" w:rsidR="00D906B2" w:rsidRDefault="00D906B2" w:rsidP="00835F94">
      <w:pPr>
        <w:widowControl w:val="0"/>
        <w:spacing w:before="120" w:after="120" w:line="240" w:lineRule="auto"/>
        <w:jc w:val="both"/>
        <w:rPr>
          <w:rFonts w:ascii="Times New Roman" w:hAnsi="Times New Roman" w:cs="Times New Roman"/>
        </w:rPr>
      </w:pPr>
    </w:p>
    <w:p w14:paraId="483ADF2C" w14:textId="77777777" w:rsidR="00D906B2" w:rsidRDefault="00D906B2" w:rsidP="00835F94">
      <w:pPr>
        <w:widowControl w:val="0"/>
        <w:spacing w:before="120" w:after="120" w:line="240" w:lineRule="auto"/>
        <w:jc w:val="both"/>
        <w:rPr>
          <w:rFonts w:ascii="Times New Roman" w:hAnsi="Times New Roman" w:cs="Times New Roman"/>
        </w:rPr>
      </w:pPr>
    </w:p>
    <w:p w14:paraId="15908696" w14:textId="77777777" w:rsidR="00D906B2" w:rsidRPr="00EE7E38" w:rsidRDefault="00D906B2" w:rsidP="00835F94">
      <w:pPr>
        <w:widowControl w:val="0"/>
        <w:spacing w:before="120" w:after="120" w:line="240" w:lineRule="auto"/>
        <w:jc w:val="both"/>
        <w:rPr>
          <w:rFonts w:ascii="Times New Roman" w:hAnsi="Times New Roman" w:cs="Times New Roman"/>
        </w:rPr>
      </w:pPr>
    </w:p>
    <w:p w14:paraId="1A7631C1" w14:textId="77777777" w:rsidR="0055611C" w:rsidRPr="00EE7E38" w:rsidRDefault="0055611C" w:rsidP="00835F94">
      <w:pPr>
        <w:pStyle w:val="Caption"/>
        <w:widowControl w:val="0"/>
        <w:spacing w:before="120" w:after="120"/>
        <w:contextualSpacing/>
        <w:jc w:val="center"/>
        <w:rPr>
          <w:rFonts w:ascii="Times New Roman" w:hAnsi="Times New Roman" w:cs="Times New Roman"/>
          <w:color w:val="auto"/>
          <w:szCs w:val="20"/>
        </w:rPr>
      </w:pPr>
      <w:proofErr w:type="gramStart"/>
      <w:r w:rsidRPr="00EE7E38">
        <w:rPr>
          <w:rFonts w:ascii="Times New Roman" w:hAnsi="Times New Roman" w:cs="Times New Roman"/>
          <w:color w:val="auto"/>
          <w:szCs w:val="20"/>
        </w:rPr>
        <w:lastRenderedPageBreak/>
        <w:t xml:space="preserve">Table </w:t>
      </w:r>
      <w:r w:rsidR="00E1163D" w:rsidRPr="00EE7E38">
        <w:rPr>
          <w:rFonts w:ascii="Times New Roman" w:hAnsi="Times New Roman" w:cs="Times New Roman"/>
          <w:color w:val="auto"/>
          <w:szCs w:val="20"/>
        </w:rPr>
        <w:t>10</w:t>
      </w:r>
      <w:r w:rsidRPr="00EE7E38">
        <w:rPr>
          <w:rFonts w:ascii="Times New Roman" w:hAnsi="Times New Roman" w:cs="Times New Roman"/>
          <w:color w:val="auto"/>
          <w:szCs w:val="20"/>
        </w:rPr>
        <w:t>.</w:t>
      </w:r>
      <w:proofErr w:type="gramEnd"/>
      <w:r w:rsidRPr="00EE7E38">
        <w:rPr>
          <w:rFonts w:ascii="Times New Roman" w:hAnsi="Times New Roman" w:cs="Times New Roman"/>
          <w:color w:val="auto"/>
          <w:szCs w:val="20"/>
        </w:rPr>
        <w:t xml:space="preserve"> External funding contributions to TB control in Geor</w:t>
      </w:r>
      <w:r w:rsidR="00E1163D" w:rsidRPr="00EE7E38">
        <w:rPr>
          <w:rFonts w:ascii="Times New Roman" w:hAnsi="Times New Roman" w:cs="Times New Roman"/>
          <w:color w:val="auto"/>
          <w:szCs w:val="20"/>
        </w:rPr>
        <w:t>gia, by agency, 2012-2016</w:t>
      </w:r>
      <w:r w:rsidRPr="00EE7E38">
        <w:rPr>
          <w:rFonts w:ascii="Times New Roman" w:hAnsi="Times New Roman" w:cs="Times New Roman"/>
          <w:color w:val="auto"/>
          <w:szCs w:val="20"/>
        </w:rPr>
        <w:t>, USD</w:t>
      </w:r>
    </w:p>
    <w:tbl>
      <w:tblPr>
        <w:tblStyle w:val="TableGrid"/>
        <w:tblW w:w="9738" w:type="dxa"/>
        <w:tblLayout w:type="fixed"/>
        <w:tblLook w:val="04A0" w:firstRow="1" w:lastRow="0" w:firstColumn="1" w:lastColumn="0" w:noHBand="0" w:noVBand="1"/>
      </w:tblPr>
      <w:tblGrid>
        <w:gridCol w:w="3618"/>
        <w:gridCol w:w="1170"/>
        <w:gridCol w:w="1260"/>
        <w:gridCol w:w="1170"/>
        <w:gridCol w:w="1260"/>
        <w:gridCol w:w="1260"/>
      </w:tblGrid>
      <w:tr w:rsidR="00A6499D" w:rsidRPr="00EE7E38" w14:paraId="422BDD30" w14:textId="77777777" w:rsidTr="00B10BF5">
        <w:tc>
          <w:tcPr>
            <w:tcW w:w="3618" w:type="dxa"/>
            <w:vAlign w:val="center"/>
          </w:tcPr>
          <w:p w14:paraId="435F7189" w14:textId="77777777" w:rsidR="00A6499D" w:rsidRPr="00EE7E38" w:rsidRDefault="00A6499D" w:rsidP="00835F94">
            <w:pPr>
              <w:widowControl w:val="0"/>
              <w:spacing w:before="60" w:after="60"/>
              <w:jc w:val="center"/>
              <w:rPr>
                <w:rFonts w:ascii="Times New Roman" w:hAnsi="Times New Roman" w:cs="Times New Roman"/>
                <w:i/>
                <w:sz w:val="20"/>
                <w:szCs w:val="20"/>
              </w:rPr>
            </w:pPr>
            <w:r w:rsidRPr="00EE7E38">
              <w:rPr>
                <w:rFonts w:ascii="Times New Roman" w:hAnsi="Times New Roman" w:cs="Times New Roman"/>
                <w:i/>
                <w:sz w:val="20"/>
                <w:szCs w:val="20"/>
              </w:rPr>
              <w:t>Agency</w:t>
            </w:r>
          </w:p>
        </w:tc>
        <w:tc>
          <w:tcPr>
            <w:tcW w:w="1170" w:type="dxa"/>
            <w:vAlign w:val="center"/>
          </w:tcPr>
          <w:p w14:paraId="3F9365FE" w14:textId="77777777" w:rsidR="00A6499D" w:rsidRPr="00EE7E38" w:rsidRDefault="00A6499D" w:rsidP="00835F94">
            <w:pPr>
              <w:widowControl w:val="0"/>
              <w:spacing w:before="60" w:after="60"/>
              <w:jc w:val="center"/>
              <w:rPr>
                <w:rFonts w:ascii="Times New Roman" w:hAnsi="Times New Roman" w:cs="Times New Roman"/>
                <w:i/>
                <w:sz w:val="20"/>
                <w:szCs w:val="20"/>
              </w:rPr>
            </w:pPr>
            <w:r w:rsidRPr="00EE7E38">
              <w:rPr>
                <w:rFonts w:ascii="Times New Roman" w:hAnsi="Times New Roman" w:cs="Times New Roman"/>
                <w:i/>
                <w:sz w:val="20"/>
                <w:szCs w:val="20"/>
              </w:rPr>
              <w:t>2012</w:t>
            </w:r>
          </w:p>
        </w:tc>
        <w:tc>
          <w:tcPr>
            <w:tcW w:w="1260" w:type="dxa"/>
            <w:vAlign w:val="center"/>
          </w:tcPr>
          <w:p w14:paraId="14BC9738" w14:textId="77777777" w:rsidR="00A6499D" w:rsidRPr="00EE7E38" w:rsidRDefault="00A6499D" w:rsidP="00835F94">
            <w:pPr>
              <w:widowControl w:val="0"/>
              <w:spacing w:before="60" w:after="60"/>
              <w:jc w:val="center"/>
              <w:rPr>
                <w:rFonts w:ascii="Times New Roman" w:hAnsi="Times New Roman" w:cs="Times New Roman"/>
                <w:i/>
                <w:sz w:val="20"/>
                <w:szCs w:val="20"/>
              </w:rPr>
            </w:pPr>
            <w:r w:rsidRPr="00EE7E38">
              <w:rPr>
                <w:rFonts w:ascii="Times New Roman" w:hAnsi="Times New Roman" w:cs="Times New Roman"/>
                <w:i/>
                <w:sz w:val="20"/>
                <w:szCs w:val="20"/>
              </w:rPr>
              <w:t>2013</w:t>
            </w:r>
          </w:p>
        </w:tc>
        <w:tc>
          <w:tcPr>
            <w:tcW w:w="1170" w:type="dxa"/>
            <w:vAlign w:val="center"/>
          </w:tcPr>
          <w:p w14:paraId="2201FFEF" w14:textId="77777777" w:rsidR="00A6499D" w:rsidRPr="00EE7E38" w:rsidRDefault="00A6499D" w:rsidP="00835F94">
            <w:pPr>
              <w:widowControl w:val="0"/>
              <w:spacing w:before="60" w:after="60"/>
              <w:jc w:val="center"/>
              <w:rPr>
                <w:rFonts w:ascii="Times New Roman" w:hAnsi="Times New Roman" w:cs="Times New Roman"/>
                <w:i/>
                <w:sz w:val="20"/>
                <w:szCs w:val="20"/>
              </w:rPr>
            </w:pPr>
            <w:r w:rsidRPr="00EE7E38">
              <w:rPr>
                <w:rFonts w:ascii="Times New Roman" w:hAnsi="Times New Roman" w:cs="Times New Roman"/>
                <w:i/>
                <w:sz w:val="20"/>
                <w:szCs w:val="20"/>
              </w:rPr>
              <w:t>2014</w:t>
            </w:r>
          </w:p>
        </w:tc>
        <w:tc>
          <w:tcPr>
            <w:tcW w:w="1260" w:type="dxa"/>
          </w:tcPr>
          <w:p w14:paraId="41C43D54" w14:textId="77777777" w:rsidR="00A6499D" w:rsidRPr="00EE7E38" w:rsidRDefault="00A6499D" w:rsidP="00835F94">
            <w:pPr>
              <w:widowControl w:val="0"/>
              <w:spacing w:before="60" w:after="60"/>
              <w:jc w:val="center"/>
              <w:rPr>
                <w:rFonts w:ascii="Times New Roman" w:hAnsi="Times New Roman" w:cs="Times New Roman"/>
                <w:i/>
                <w:sz w:val="20"/>
                <w:szCs w:val="20"/>
              </w:rPr>
            </w:pPr>
            <w:r w:rsidRPr="00EE7E38">
              <w:rPr>
                <w:rFonts w:ascii="Times New Roman" w:hAnsi="Times New Roman" w:cs="Times New Roman"/>
                <w:i/>
                <w:sz w:val="20"/>
                <w:szCs w:val="20"/>
                <w:lang w:val="ka-GE"/>
              </w:rPr>
              <w:t>2015</w:t>
            </w:r>
          </w:p>
        </w:tc>
        <w:tc>
          <w:tcPr>
            <w:tcW w:w="1260" w:type="dxa"/>
          </w:tcPr>
          <w:p w14:paraId="2071A0A0" w14:textId="77777777" w:rsidR="00A6499D" w:rsidRPr="00EE7E38" w:rsidRDefault="00A6499D" w:rsidP="00835F94">
            <w:pPr>
              <w:widowControl w:val="0"/>
              <w:spacing w:before="60" w:after="60"/>
              <w:jc w:val="center"/>
              <w:rPr>
                <w:rFonts w:ascii="Times New Roman" w:hAnsi="Times New Roman" w:cs="Times New Roman"/>
                <w:i/>
                <w:sz w:val="20"/>
                <w:szCs w:val="20"/>
              </w:rPr>
            </w:pPr>
            <w:r w:rsidRPr="00EE7E38">
              <w:rPr>
                <w:rFonts w:ascii="Times New Roman" w:hAnsi="Times New Roman" w:cs="Times New Roman"/>
                <w:i/>
                <w:sz w:val="20"/>
                <w:szCs w:val="20"/>
                <w:lang w:val="ka-GE"/>
              </w:rPr>
              <w:t>2016</w:t>
            </w:r>
          </w:p>
        </w:tc>
      </w:tr>
      <w:tr w:rsidR="00B10BF5" w:rsidRPr="00EE7E38" w14:paraId="3FB7111F" w14:textId="77777777" w:rsidTr="00B10BF5">
        <w:tc>
          <w:tcPr>
            <w:tcW w:w="3618" w:type="dxa"/>
          </w:tcPr>
          <w:p w14:paraId="27D143B8" w14:textId="77777777" w:rsidR="00B10BF5" w:rsidRPr="00EE7E38" w:rsidRDefault="00B10BF5" w:rsidP="00835F94">
            <w:pPr>
              <w:widowControl w:val="0"/>
              <w:spacing w:before="60" w:after="60"/>
              <w:rPr>
                <w:rFonts w:ascii="Times New Roman" w:hAnsi="Times New Roman" w:cs="Times New Roman"/>
                <w:sz w:val="20"/>
                <w:szCs w:val="20"/>
              </w:rPr>
            </w:pPr>
            <w:r w:rsidRPr="00EE7E38">
              <w:rPr>
                <w:rFonts w:ascii="Times New Roman" w:hAnsi="Times New Roman" w:cs="Times New Roman"/>
                <w:sz w:val="20"/>
                <w:szCs w:val="20"/>
              </w:rPr>
              <w:t>The Global Fund to Fight AIDS, Tuberculosis and Malaria (TGF)</w:t>
            </w:r>
          </w:p>
        </w:tc>
        <w:tc>
          <w:tcPr>
            <w:tcW w:w="1170" w:type="dxa"/>
          </w:tcPr>
          <w:p w14:paraId="221FB60C"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$4,716,862 </w:t>
            </w:r>
          </w:p>
        </w:tc>
        <w:tc>
          <w:tcPr>
            <w:tcW w:w="1260" w:type="dxa"/>
          </w:tcPr>
          <w:p w14:paraId="3597B9C9"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$5,078,692 </w:t>
            </w:r>
          </w:p>
        </w:tc>
        <w:tc>
          <w:tcPr>
            <w:tcW w:w="1170" w:type="dxa"/>
          </w:tcPr>
          <w:p w14:paraId="18BF1C2E"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$5,210,719 </w:t>
            </w:r>
          </w:p>
        </w:tc>
        <w:tc>
          <w:tcPr>
            <w:tcW w:w="1260" w:type="dxa"/>
          </w:tcPr>
          <w:p w14:paraId="76A8C11D"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$1,568,939 </w:t>
            </w:r>
          </w:p>
        </w:tc>
        <w:tc>
          <w:tcPr>
            <w:tcW w:w="1260" w:type="dxa"/>
          </w:tcPr>
          <w:p w14:paraId="43055C69"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$2,924,564 </w:t>
            </w:r>
          </w:p>
        </w:tc>
      </w:tr>
      <w:tr w:rsidR="00B10BF5" w:rsidRPr="00EE7E38" w14:paraId="288F64EA" w14:textId="77777777" w:rsidTr="00B10BF5">
        <w:tc>
          <w:tcPr>
            <w:tcW w:w="3618" w:type="dxa"/>
          </w:tcPr>
          <w:p w14:paraId="6D189818" w14:textId="77777777" w:rsidR="00B10BF5" w:rsidRPr="00EE7E38" w:rsidRDefault="00B10BF5" w:rsidP="00835F94">
            <w:pPr>
              <w:widowControl w:val="0"/>
              <w:spacing w:before="60" w:after="60"/>
              <w:rPr>
                <w:rFonts w:ascii="Times New Roman" w:hAnsi="Times New Roman" w:cs="Times New Roman"/>
                <w:sz w:val="20"/>
                <w:szCs w:val="20"/>
              </w:rPr>
            </w:pPr>
            <w:r w:rsidRPr="00EE7E38">
              <w:rPr>
                <w:rFonts w:ascii="Times New Roman" w:hAnsi="Times New Roman" w:cs="Times New Roman"/>
                <w:sz w:val="20"/>
                <w:szCs w:val="20"/>
              </w:rPr>
              <w:t>United States Agency for International Development (USAID)</w:t>
            </w:r>
          </w:p>
        </w:tc>
        <w:tc>
          <w:tcPr>
            <w:tcW w:w="1170" w:type="dxa"/>
          </w:tcPr>
          <w:p w14:paraId="638FB5A5"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$349,265 </w:t>
            </w:r>
          </w:p>
        </w:tc>
        <w:tc>
          <w:tcPr>
            <w:tcW w:w="1260" w:type="dxa"/>
          </w:tcPr>
          <w:p w14:paraId="1B386E8F"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$1,060,012 </w:t>
            </w:r>
          </w:p>
        </w:tc>
        <w:tc>
          <w:tcPr>
            <w:tcW w:w="1170" w:type="dxa"/>
          </w:tcPr>
          <w:p w14:paraId="5EF621D7"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$857,716 </w:t>
            </w:r>
          </w:p>
        </w:tc>
        <w:tc>
          <w:tcPr>
            <w:tcW w:w="1260" w:type="dxa"/>
          </w:tcPr>
          <w:p w14:paraId="237D104C"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$921,238 </w:t>
            </w:r>
          </w:p>
        </w:tc>
        <w:tc>
          <w:tcPr>
            <w:tcW w:w="1260" w:type="dxa"/>
          </w:tcPr>
          <w:p w14:paraId="0FE6E943"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$571,606 </w:t>
            </w:r>
          </w:p>
        </w:tc>
      </w:tr>
      <w:tr w:rsidR="00B10BF5" w:rsidRPr="00EE7E38" w14:paraId="0468C867" w14:textId="77777777" w:rsidTr="00B10BF5">
        <w:tc>
          <w:tcPr>
            <w:tcW w:w="3618" w:type="dxa"/>
          </w:tcPr>
          <w:p w14:paraId="201F39FB" w14:textId="77777777" w:rsidR="00B10BF5" w:rsidRPr="00EE7E38" w:rsidRDefault="00B10BF5" w:rsidP="00835F94">
            <w:pPr>
              <w:widowControl w:val="0"/>
              <w:spacing w:before="60" w:after="60"/>
              <w:rPr>
                <w:rFonts w:ascii="Times New Roman" w:hAnsi="Times New Roman" w:cs="Times New Roman"/>
                <w:sz w:val="20"/>
                <w:szCs w:val="20"/>
              </w:rPr>
            </w:pPr>
            <w:r w:rsidRPr="00EE7E38">
              <w:rPr>
                <w:rFonts w:ascii="Times New Roman" w:hAnsi="Times New Roman" w:cs="Times New Roman"/>
                <w:sz w:val="20"/>
                <w:szCs w:val="20"/>
              </w:rPr>
              <w:t>World Health Organization (WHO)</w:t>
            </w:r>
          </w:p>
        </w:tc>
        <w:tc>
          <w:tcPr>
            <w:tcW w:w="1170" w:type="dxa"/>
          </w:tcPr>
          <w:p w14:paraId="690004E8"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$12,002 </w:t>
            </w:r>
          </w:p>
        </w:tc>
        <w:tc>
          <w:tcPr>
            <w:tcW w:w="1260" w:type="dxa"/>
          </w:tcPr>
          <w:p w14:paraId="40C9375C"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$11,124 </w:t>
            </w:r>
          </w:p>
        </w:tc>
        <w:tc>
          <w:tcPr>
            <w:tcW w:w="1170" w:type="dxa"/>
          </w:tcPr>
          <w:p w14:paraId="025DA0AA"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$9,740 </w:t>
            </w:r>
          </w:p>
        </w:tc>
        <w:tc>
          <w:tcPr>
            <w:tcW w:w="1260" w:type="dxa"/>
          </w:tcPr>
          <w:p w14:paraId="5CE93DDF"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$657 </w:t>
            </w:r>
          </w:p>
        </w:tc>
        <w:tc>
          <w:tcPr>
            <w:tcW w:w="1260" w:type="dxa"/>
          </w:tcPr>
          <w:p w14:paraId="7AF782FB"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$851 </w:t>
            </w:r>
          </w:p>
        </w:tc>
      </w:tr>
      <w:tr w:rsidR="00B10BF5" w:rsidRPr="00EE7E38" w14:paraId="74570D35" w14:textId="77777777" w:rsidTr="00B10BF5">
        <w:tc>
          <w:tcPr>
            <w:tcW w:w="3618" w:type="dxa"/>
          </w:tcPr>
          <w:p w14:paraId="42DCDC94" w14:textId="77777777" w:rsidR="00B10BF5" w:rsidRPr="00EE7E38" w:rsidRDefault="00B10BF5" w:rsidP="00835F94">
            <w:pPr>
              <w:widowControl w:val="0"/>
              <w:spacing w:before="60" w:after="60"/>
              <w:rPr>
                <w:rFonts w:ascii="Times New Roman" w:hAnsi="Times New Roman" w:cs="Times New Roman"/>
                <w:sz w:val="20"/>
                <w:szCs w:val="20"/>
              </w:rPr>
            </w:pPr>
            <w:proofErr w:type="spellStart"/>
            <w:r w:rsidRPr="00EE7E38">
              <w:rPr>
                <w:rFonts w:ascii="Times New Roman" w:hAnsi="Times New Roman" w:cs="Times New Roman"/>
                <w:sz w:val="20"/>
                <w:szCs w:val="20"/>
              </w:rPr>
              <w:t>Médecins</w:t>
            </w:r>
            <w:proofErr w:type="spellEnd"/>
            <w:r w:rsidRPr="00EE7E38">
              <w:rPr>
                <w:rFonts w:ascii="Times New Roman" w:hAnsi="Times New Roman" w:cs="Times New Roman"/>
                <w:sz w:val="20"/>
                <w:szCs w:val="20"/>
              </w:rPr>
              <w:t xml:space="preserve"> Sans </w:t>
            </w:r>
            <w:proofErr w:type="spellStart"/>
            <w:r w:rsidRPr="00EE7E38">
              <w:rPr>
                <w:rFonts w:ascii="Times New Roman" w:hAnsi="Times New Roman" w:cs="Times New Roman"/>
                <w:sz w:val="20"/>
                <w:szCs w:val="20"/>
              </w:rPr>
              <w:t>Frontières</w:t>
            </w:r>
            <w:proofErr w:type="spellEnd"/>
            <w:r w:rsidRPr="00EE7E38">
              <w:rPr>
                <w:rFonts w:ascii="Times New Roman" w:hAnsi="Times New Roman" w:cs="Times New Roman"/>
                <w:sz w:val="20"/>
                <w:szCs w:val="20"/>
              </w:rPr>
              <w:t xml:space="preserve"> (MSF)</w:t>
            </w:r>
          </w:p>
        </w:tc>
        <w:tc>
          <w:tcPr>
            <w:tcW w:w="1170" w:type="dxa"/>
          </w:tcPr>
          <w:p w14:paraId="2E06E658"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$492,429 </w:t>
            </w:r>
          </w:p>
        </w:tc>
        <w:tc>
          <w:tcPr>
            <w:tcW w:w="1260" w:type="dxa"/>
          </w:tcPr>
          <w:p w14:paraId="59BF89DF"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$506,476 </w:t>
            </w:r>
          </w:p>
        </w:tc>
        <w:tc>
          <w:tcPr>
            <w:tcW w:w="1170" w:type="dxa"/>
          </w:tcPr>
          <w:p w14:paraId="241909ED"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$868,055 </w:t>
            </w:r>
          </w:p>
        </w:tc>
        <w:tc>
          <w:tcPr>
            <w:tcW w:w="1260" w:type="dxa"/>
          </w:tcPr>
          <w:p w14:paraId="6F9EA1BC"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$1,429,081 </w:t>
            </w:r>
          </w:p>
        </w:tc>
        <w:tc>
          <w:tcPr>
            <w:tcW w:w="1260" w:type="dxa"/>
          </w:tcPr>
          <w:p w14:paraId="33AFA4EE" w14:textId="77777777" w:rsidR="00B10BF5" w:rsidRPr="00EE7E38" w:rsidRDefault="00B10BF5" w:rsidP="00EE7E38">
            <w:pPr>
              <w:rPr>
                <w:rFonts w:ascii="Times New Roman" w:hAnsi="Times New Roman" w:cs="Times New Roman"/>
                <w:sz w:val="20"/>
                <w:szCs w:val="20"/>
              </w:rPr>
            </w:pPr>
            <w:r w:rsidRPr="00EE7E38">
              <w:rPr>
                <w:rFonts w:ascii="Times New Roman" w:hAnsi="Times New Roman" w:cs="Times New Roman"/>
                <w:sz w:val="20"/>
                <w:szCs w:val="20"/>
              </w:rPr>
              <w:t xml:space="preserve"> $2,299,994 </w:t>
            </w:r>
          </w:p>
        </w:tc>
      </w:tr>
      <w:tr w:rsidR="00B10BF5" w:rsidRPr="00EE7E38" w14:paraId="6CD17BEA" w14:textId="77777777" w:rsidTr="00B10BF5">
        <w:tc>
          <w:tcPr>
            <w:tcW w:w="3618" w:type="dxa"/>
          </w:tcPr>
          <w:p w14:paraId="4AA2A6C9" w14:textId="77777777" w:rsidR="00B10BF5" w:rsidRPr="00EE7E38" w:rsidRDefault="00B10BF5" w:rsidP="00835F94">
            <w:pPr>
              <w:widowControl w:val="0"/>
              <w:spacing w:before="60" w:after="60"/>
              <w:jc w:val="center"/>
              <w:rPr>
                <w:rFonts w:ascii="Times New Roman" w:hAnsi="Times New Roman" w:cs="Times New Roman"/>
                <w:b/>
                <w:bCs/>
                <w:sz w:val="20"/>
                <w:szCs w:val="20"/>
              </w:rPr>
            </w:pPr>
            <w:r w:rsidRPr="00EE7E38">
              <w:rPr>
                <w:rFonts w:ascii="Times New Roman" w:hAnsi="Times New Roman" w:cs="Times New Roman"/>
                <w:b/>
                <w:bCs/>
                <w:sz w:val="20"/>
                <w:szCs w:val="20"/>
              </w:rPr>
              <w:t>Total</w:t>
            </w:r>
          </w:p>
        </w:tc>
        <w:tc>
          <w:tcPr>
            <w:tcW w:w="1170" w:type="dxa"/>
          </w:tcPr>
          <w:p w14:paraId="5CE542A9" w14:textId="77777777" w:rsidR="00B10BF5" w:rsidRPr="00EE7E38" w:rsidRDefault="00B10BF5" w:rsidP="00B10BF5">
            <w:pPr>
              <w:widowControl w:val="0"/>
              <w:spacing w:before="60" w:after="60"/>
              <w:jc w:val="center"/>
              <w:rPr>
                <w:rFonts w:ascii="Times New Roman" w:hAnsi="Times New Roman" w:cs="Times New Roman"/>
                <w:i/>
                <w:sz w:val="20"/>
                <w:szCs w:val="20"/>
                <w:lang w:val="ka-GE"/>
              </w:rPr>
            </w:pPr>
            <w:r w:rsidRPr="00EE7E38">
              <w:rPr>
                <w:rFonts w:ascii="Times New Roman" w:hAnsi="Times New Roman" w:cs="Times New Roman"/>
                <w:i/>
                <w:sz w:val="20"/>
                <w:szCs w:val="20"/>
                <w:lang w:val="ka-GE"/>
              </w:rPr>
              <w:t xml:space="preserve"> $5,570,558 </w:t>
            </w:r>
          </w:p>
        </w:tc>
        <w:tc>
          <w:tcPr>
            <w:tcW w:w="1260" w:type="dxa"/>
          </w:tcPr>
          <w:p w14:paraId="623B3ED6" w14:textId="77777777" w:rsidR="00B10BF5" w:rsidRPr="00EE7E38" w:rsidRDefault="00B10BF5" w:rsidP="00B10BF5">
            <w:pPr>
              <w:widowControl w:val="0"/>
              <w:spacing w:before="60" w:after="60"/>
              <w:jc w:val="center"/>
              <w:rPr>
                <w:rFonts w:ascii="Times New Roman" w:hAnsi="Times New Roman" w:cs="Times New Roman"/>
                <w:i/>
                <w:sz w:val="20"/>
                <w:szCs w:val="20"/>
                <w:lang w:val="ka-GE"/>
              </w:rPr>
            </w:pPr>
            <w:r w:rsidRPr="00EE7E38">
              <w:rPr>
                <w:rFonts w:ascii="Times New Roman" w:hAnsi="Times New Roman" w:cs="Times New Roman"/>
                <w:i/>
                <w:sz w:val="20"/>
                <w:szCs w:val="20"/>
                <w:lang w:val="ka-GE"/>
              </w:rPr>
              <w:t xml:space="preserve"> $6,656,304 </w:t>
            </w:r>
          </w:p>
        </w:tc>
        <w:tc>
          <w:tcPr>
            <w:tcW w:w="1170" w:type="dxa"/>
          </w:tcPr>
          <w:p w14:paraId="15E671BC" w14:textId="77777777" w:rsidR="00B10BF5" w:rsidRPr="00EE7E38" w:rsidRDefault="00B10BF5" w:rsidP="00B10BF5">
            <w:pPr>
              <w:widowControl w:val="0"/>
              <w:spacing w:before="60" w:after="60"/>
              <w:jc w:val="center"/>
              <w:rPr>
                <w:rFonts w:ascii="Times New Roman" w:hAnsi="Times New Roman" w:cs="Times New Roman"/>
                <w:i/>
                <w:sz w:val="20"/>
                <w:szCs w:val="20"/>
                <w:lang w:val="ka-GE"/>
              </w:rPr>
            </w:pPr>
            <w:r w:rsidRPr="00EE7E38">
              <w:rPr>
                <w:rFonts w:ascii="Times New Roman" w:hAnsi="Times New Roman" w:cs="Times New Roman"/>
                <w:i/>
                <w:sz w:val="20"/>
                <w:szCs w:val="20"/>
                <w:lang w:val="ka-GE"/>
              </w:rPr>
              <w:t xml:space="preserve"> $6,946,230 </w:t>
            </w:r>
          </w:p>
        </w:tc>
        <w:tc>
          <w:tcPr>
            <w:tcW w:w="1260" w:type="dxa"/>
          </w:tcPr>
          <w:p w14:paraId="44A5F28B" w14:textId="77777777" w:rsidR="00B10BF5" w:rsidRPr="00EE7E38" w:rsidRDefault="00B10BF5" w:rsidP="00B10BF5">
            <w:pPr>
              <w:widowControl w:val="0"/>
              <w:spacing w:before="60" w:after="60"/>
              <w:jc w:val="center"/>
              <w:rPr>
                <w:rFonts w:ascii="Times New Roman" w:hAnsi="Times New Roman" w:cs="Times New Roman"/>
                <w:i/>
                <w:sz w:val="20"/>
                <w:szCs w:val="20"/>
                <w:lang w:val="ka-GE"/>
              </w:rPr>
            </w:pPr>
            <w:r w:rsidRPr="00EE7E38">
              <w:rPr>
                <w:rFonts w:ascii="Times New Roman" w:hAnsi="Times New Roman" w:cs="Times New Roman"/>
                <w:i/>
                <w:sz w:val="20"/>
                <w:szCs w:val="20"/>
                <w:lang w:val="ka-GE"/>
              </w:rPr>
              <w:t xml:space="preserve"> $3,919,915 </w:t>
            </w:r>
          </w:p>
        </w:tc>
        <w:tc>
          <w:tcPr>
            <w:tcW w:w="1260" w:type="dxa"/>
          </w:tcPr>
          <w:p w14:paraId="2D568FA5" w14:textId="77777777" w:rsidR="00B10BF5" w:rsidRPr="00EE7E38" w:rsidRDefault="00B10BF5" w:rsidP="00B10BF5">
            <w:pPr>
              <w:widowControl w:val="0"/>
              <w:spacing w:before="60" w:after="60"/>
              <w:jc w:val="center"/>
              <w:rPr>
                <w:rFonts w:ascii="Times New Roman" w:hAnsi="Times New Roman" w:cs="Times New Roman"/>
                <w:i/>
                <w:sz w:val="20"/>
                <w:szCs w:val="20"/>
                <w:lang w:val="ka-GE"/>
              </w:rPr>
            </w:pPr>
            <w:r w:rsidRPr="00EE7E38">
              <w:rPr>
                <w:rFonts w:ascii="Times New Roman" w:hAnsi="Times New Roman" w:cs="Times New Roman"/>
                <w:i/>
                <w:sz w:val="20"/>
                <w:szCs w:val="20"/>
                <w:lang w:val="ka-GE"/>
              </w:rPr>
              <w:t xml:space="preserve"> $5,797,015 </w:t>
            </w:r>
          </w:p>
        </w:tc>
      </w:tr>
    </w:tbl>
    <w:p w14:paraId="3B8BAB15" w14:textId="77777777" w:rsidR="00774202" w:rsidRPr="00EE7E38" w:rsidRDefault="00DF36D4" w:rsidP="00835F94">
      <w:pPr>
        <w:widowControl w:val="0"/>
        <w:spacing w:before="120" w:after="120" w:line="240" w:lineRule="auto"/>
        <w:jc w:val="both"/>
        <w:rPr>
          <w:rFonts w:ascii="Times New Roman" w:hAnsi="Times New Roman" w:cs="Times New Roman"/>
        </w:rPr>
      </w:pPr>
      <w:r w:rsidRPr="00756463">
        <w:rPr>
          <w:rFonts w:ascii="Times New Roman" w:hAnsi="Times New Roman" w:cs="Times New Roman"/>
        </w:rPr>
        <w:t>The share of direct external contributions</w:t>
      </w:r>
      <w:r w:rsidR="00A256C1" w:rsidRPr="00756463">
        <w:rPr>
          <w:rFonts w:ascii="Times New Roman" w:hAnsi="Times New Roman" w:cs="Times New Roman"/>
        </w:rPr>
        <w:t>, within the total estimated allocations to TB control in the country,</w:t>
      </w:r>
      <w:r w:rsidRPr="00756463">
        <w:rPr>
          <w:rFonts w:ascii="Times New Roman" w:hAnsi="Times New Roman" w:cs="Times New Roman"/>
        </w:rPr>
        <w:t xml:space="preserve"> has decreased from 4</w:t>
      </w:r>
      <w:r w:rsidR="00C12E93" w:rsidRPr="00756463">
        <w:rPr>
          <w:rFonts w:ascii="Times New Roman" w:hAnsi="Times New Roman" w:cs="Times New Roman"/>
        </w:rPr>
        <w:t>9</w:t>
      </w:r>
      <w:r w:rsidRPr="00756463">
        <w:rPr>
          <w:rFonts w:ascii="Times New Roman" w:hAnsi="Times New Roman" w:cs="Times New Roman"/>
        </w:rPr>
        <w:t xml:space="preserve">% in 2012 to </w:t>
      </w:r>
      <w:r w:rsidR="00C12E93" w:rsidRPr="00756463">
        <w:rPr>
          <w:rFonts w:ascii="Times New Roman" w:hAnsi="Times New Roman" w:cs="Times New Roman"/>
        </w:rPr>
        <w:t>30</w:t>
      </w:r>
      <w:r w:rsidRPr="00756463">
        <w:rPr>
          <w:rFonts w:ascii="Times New Roman" w:hAnsi="Times New Roman" w:cs="Times New Roman"/>
        </w:rPr>
        <w:t>% in 201</w:t>
      </w:r>
      <w:r w:rsidR="00C12E93" w:rsidRPr="00756463">
        <w:rPr>
          <w:rFonts w:ascii="Times New Roman" w:hAnsi="Times New Roman" w:cs="Times New Roman"/>
        </w:rPr>
        <w:t>6</w:t>
      </w:r>
      <w:r w:rsidRPr="00756463">
        <w:rPr>
          <w:rFonts w:ascii="Times New Roman" w:hAnsi="Times New Roman" w:cs="Times New Roman"/>
        </w:rPr>
        <w:t>. Currently, the Global Fund is the main ext</w:t>
      </w:r>
      <w:r w:rsidR="00774202" w:rsidRPr="00756463">
        <w:rPr>
          <w:rFonts w:ascii="Times New Roman" w:hAnsi="Times New Roman" w:cs="Times New Roman"/>
        </w:rPr>
        <w:t xml:space="preserve">ernal source </w:t>
      </w:r>
      <w:r w:rsidRPr="00756463">
        <w:rPr>
          <w:rFonts w:ascii="Times New Roman" w:hAnsi="Times New Roman" w:cs="Times New Roman"/>
        </w:rPr>
        <w:t xml:space="preserve">of funding, </w:t>
      </w:r>
      <w:r w:rsidR="00C12E93" w:rsidRPr="00756463">
        <w:rPr>
          <w:rFonts w:ascii="Times New Roman" w:hAnsi="Times New Roman" w:cs="Times New Roman"/>
        </w:rPr>
        <w:t xml:space="preserve">accounting for 58% of overall </w:t>
      </w:r>
      <w:r w:rsidRPr="00756463">
        <w:rPr>
          <w:rFonts w:ascii="Times New Roman" w:hAnsi="Times New Roman" w:cs="Times New Roman"/>
        </w:rPr>
        <w:t>international funding support in the field of TB control</w:t>
      </w:r>
      <w:r w:rsidR="00774202" w:rsidRPr="00756463">
        <w:rPr>
          <w:rFonts w:ascii="Times New Roman" w:hAnsi="Times New Roman" w:cs="Times New Roman"/>
        </w:rPr>
        <w:t xml:space="preserve"> </w:t>
      </w:r>
      <w:r w:rsidR="00C12E93" w:rsidRPr="00756463">
        <w:rPr>
          <w:rFonts w:ascii="Times New Roman" w:hAnsi="Times New Roman" w:cs="Times New Roman"/>
        </w:rPr>
        <w:t xml:space="preserve">in </w:t>
      </w:r>
      <w:r w:rsidR="00774202" w:rsidRPr="00756463">
        <w:rPr>
          <w:rFonts w:ascii="Times New Roman" w:hAnsi="Times New Roman" w:cs="Times New Roman"/>
        </w:rPr>
        <w:t>2012-201</w:t>
      </w:r>
      <w:r w:rsidR="00C12E93" w:rsidRPr="00756463">
        <w:rPr>
          <w:rFonts w:ascii="Times New Roman" w:hAnsi="Times New Roman" w:cs="Times New Roman"/>
        </w:rPr>
        <w:t>6</w:t>
      </w:r>
      <w:r w:rsidRPr="00756463">
        <w:rPr>
          <w:rFonts w:ascii="Times New Roman" w:hAnsi="Times New Roman" w:cs="Times New Roman"/>
        </w:rPr>
        <w:t>.</w:t>
      </w:r>
      <w:r w:rsidRPr="00EE7E38">
        <w:rPr>
          <w:rFonts w:ascii="Times New Roman" w:hAnsi="Times New Roman" w:cs="Times New Roman"/>
        </w:rPr>
        <w:t xml:space="preserve"> </w:t>
      </w:r>
      <w:r w:rsidR="00A256C1" w:rsidRPr="00EE7E38">
        <w:rPr>
          <w:rFonts w:ascii="Times New Roman" w:hAnsi="Times New Roman" w:cs="Times New Roman"/>
        </w:rPr>
        <w:t>Regarding the nature of assistance, according to NHA data, over half of the external TB-related support in 201</w:t>
      </w:r>
      <w:r w:rsidR="00C12E93" w:rsidRPr="00EE7E38">
        <w:rPr>
          <w:rFonts w:ascii="Times New Roman" w:hAnsi="Times New Roman" w:cs="Times New Roman"/>
        </w:rPr>
        <w:t>6</w:t>
      </w:r>
      <w:r w:rsidR="00A256C1" w:rsidRPr="00EE7E38">
        <w:rPr>
          <w:rFonts w:ascii="Times New Roman" w:hAnsi="Times New Roman" w:cs="Times New Roman"/>
        </w:rPr>
        <w:t xml:space="preserve"> (5</w:t>
      </w:r>
      <w:r w:rsidR="00C12E93" w:rsidRPr="00EE7E38">
        <w:rPr>
          <w:rFonts w:ascii="Times New Roman" w:hAnsi="Times New Roman" w:cs="Times New Roman"/>
        </w:rPr>
        <w:t>6</w:t>
      </w:r>
      <w:r w:rsidR="00A256C1" w:rsidRPr="00EE7E38">
        <w:rPr>
          <w:rFonts w:ascii="Times New Roman" w:hAnsi="Times New Roman" w:cs="Times New Roman"/>
        </w:rPr>
        <w:t>%) went to the supply of medical goods (TB drugs and other medical consumables), followed by various support classified under health system governance, administration and financing</w:t>
      </w:r>
      <w:r w:rsidR="00774202" w:rsidRPr="00EE7E38">
        <w:rPr>
          <w:rFonts w:ascii="Times New Roman" w:hAnsi="Times New Roman" w:cs="Times New Roman"/>
        </w:rPr>
        <w:t xml:space="preserve"> (2</w:t>
      </w:r>
      <w:r w:rsidR="00C12E93" w:rsidRPr="00EE7E38">
        <w:rPr>
          <w:rFonts w:ascii="Times New Roman" w:hAnsi="Times New Roman" w:cs="Times New Roman"/>
        </w:rPr>
        <w:t>8</w:t>
      </w:r>
      <w:r w:rsidR="00774202" w:rsidRPr="00EE7E38">
        <w:rPr>
          <w:rFonts w:ascii="Times New Roman" w:hAnsi="Times New Roman" w:cs="Times New Roman"/>
        </w:rPr>
        <w:t>%)</w:t>
      </w:r>
      <w:r w:rsidR="00A256C1" w:rsidRPr="00EE7E38">
        <w:rPr>
          <w:rFonts w:ascii="Times New Roman" w:hAnsi="Times New Roman" w:cs="Times New Roman"/>
        </w:rPr>
        <w:t>.</w:t>
      </w:r>
    </w:p>
    <w:p w14:paraId="782F0DD5"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bCs/>
        </w:rPr>
        <w:t>Funding needs estimate</w:t>
      </w:r>
    </w:p>
    <w:p w14:paraId="40328FFA" w14:textId="30F22570"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For the purposes of this strategic planning document, financial needs estimates were performed for </w:t>
      </w:r>
      <w:r w:rsidR="00660AA8" w:rsidRPr="00EE7E38">
        <w:rPr>
          <w:rFonts w:ascii="Times New Roman" w:hAnsi="Times New Roman" w:cs="Times New Roman"/>
        </w:rPr>
        <w:t xml:space="preserve">each of the </w:t>
      </w:r>
      <w:r w:rsidRPr="00EE7E38">
        <w:rPr>
          <w:rFonts w:ascii="Times New Roman" w:hAnsi="Times New Roman" w:cs="Times New Roman"/>
        </w:rPr>
        <w:t>Strategic Interventions</w:t>
      </w:r>
      <w:r w:rsidR="00660AA8" w:rsidRPr="00EE7E38">
        <w:rPr>
          <w:rFonts w:ascii="Times New Roman" w:hAnsi="Times New Roman" w:cs="Times New Roman"/>
        </w:rPr>
        <w:t xml:space="preserve">, presented above per </w:t>
      </w:r>
      <w:r w:rsidRPr="00EE7E38">
        <w:rPr>
          <w:rFonts w:ascii="Times New Roman" w:hAnsi="Times New Roman" w:cs="Times New Roman"/>
        </w:rPr>
        <w:t>Objective</w:t>
      </w:r>
      <w:r w:rsidR="00660AA8" w:rsidRPr="00EE7E38">
        <w:rPr>
          <w:rFonts w:ascii="Times New Roman" w:hAnsi="Times New Roman" w:cs="Times New Roman"/>
        </w:rPr>
        <w:t>,</w:t>
      </w:r>
      <w:r w:rsidRPr="00EE7E38">
        <w:rPr>
          <w:rFonts w:ascii="Times New Roman" w:hAnsi="Times New Roman" w:cs="Times New Roman"/>
        </w:rPr>
        <w:t xml:space="preserve"> for </w:t>
      </w:r>
      <w:r w:rsidR="00A56F1B">
        <w:rPr>
          <w:rFonts w:ascii="Times New Roman" w:hAnsi="Times New Roman" w:cs="Times New Roman"/>
        </w:rPr>
        <w:t xml:space="preserve">the </w:t>
      </w:r>
      <w:r w:rsidR="00006D9F" w:rsidRPr="00EE7E38">
        <w:rPr>
          <w:rFonts w:ascii="Times New Roman" w:hAnsi="Times New Roman" w:cs="Times New Roman"/>
        </w:rPr>
        <w:t>entire four</w:t>
      </w:r>
      <w:r w:rsidR="00660AA8" w:rsidRPr="00EE7E38">
        <w:rPr>
          <w:rFonts w:ascii="Times New Roman" w:hAnsi="Times New Roman" w:cs="Times New Roman"/>
        </w:rPr>
        <w:t xml:space="preserve"> years covered by the Plan (201</w:t>
      </w:r>
      <w:r w:rsidR="00006D9F" w:rsidRPr="00EE7E38">
        <w:rPr>
          <w:rFonts w:ascii="Times New Roman" w:hAnsi="Times New Roman" w:cs="Times New Roman"/>
        </w:rPr>
        <w:t>9</w:t>
      </w:r>
      <w:r w:rsidR="00660AA8" w:rsidRPr="00EE7E38">
        <w:rPr>
          <w:rFonts w:ascii="Times New Roman" w:hAnsi="Times New Roman" w:cs="Times New Roman"/>
        </w:rPr>
        <w:t>-20</w:t>
      </w:r>
      <w:r w:rsidR="00006D9F" w:rsidRPr="00EE7E38">
        <w:rPr>
          <w:rFonts w:ascii="Times New Roman" w:hAnsi="Times New Roman" w:cs="Times New Roman"/>
        </w:rPr>
        <w:t>22</w:t>
      </w:r>
      <w:r w:rsidRPr="00EE7E38">
        <w:rPr>
          <w:rFonts w:ascii="Times New Roman" w:hAnsi="Times New Roman" w:cs="Times New Roman"/>
        </w:rPr>
        <w:t xml:space="preserve">). The total estimated need of funding for TB control for this period is about USD </w:t>
      </w:r>
      <w:r w:rsidR="00B10BF5" w:rsidRPr="00EE7E38">
        <w:rPr>
          <w:rFonts w:ascii="Times New Roman" w:hAnsi="Times New Roman" w:cs="Times New Roman"/>
        </w:rPr>
        <w:t>53.6</w:t>
      </w:r>
      <w:r w:rsidR="00006D9F" w:rsidRPr="00EE7E38">
        <w:rPr>
          <w:rFonts w:ascii="Times New Roman" w:hAnsi="Times New Roman" w:cs="Times New Roman"/>
        </w:rPr>
        <w:t xml:space="preserve"> </w:t>
      </w:r>
      <w:r w:rsidRPr="00EE7E38">
        <w:rPr>
          <w:rFonts w:ascii="Times New Roman" w:hAnsi="Times New Roman" w:cs="Times New Roman"/>
        </w:rPr>
        <w:t>million. The table below presents the breakdown of the estimated needs by Objective and Intervention.</w:t>
      </w:r>
    </w:p>
    <w:p w14:paraId="6ECA3D5D" w14:textId="77777777" w:rsidR="004E11B0" w:rsidRPr="00EE7E38" w:rsidRDefault="004E11B0" w:rsidP="00835F94">
      <w:pPr>
        <w:pStyle w:val="Caption"/>
        <w:widowControl w:val="0"/>
        <w:spacing w:before="120" w:after="120"/>
        <w:contextualSpacing/>
        <w:jc w:val="center"/>
        <w:rPr>
          <w:rFonts w:ascii="Times New Roman" w:hAnsi="Times New Roman" w:cs="Times New Roman"/>
          <w:color w:val="auto"/>
          <w:szCs w:val="20"/>
        </w:rPr>
      </w:pPr>
      <w:proofErr w:type="gramStart"/>
      <w:r w:rsidRPr="00EE7E38">
        <w:rPr>
          <w:rFonts w:ascii="Times New Roman" w:hAnsi="Times New Roman" w:cs="Times New Roman"/>
          <w:color w:val="auto"/>
          <w:szCs w:val="20"/>
        </w:rPr>
        <w:t xml:space="preserve">Table </w:t>
      </w:r>
      <w:r w:rsidR="00190629" w:rsidRPr="00EE7E38">
        <w:rPr>
          <w:rFonts w:ascii="Times New Roman" w:hAnsi="Times New Roman" w:cs="Times New Roman"/>
          <w:color w:val="auto"/>
          <w:szCs w:val="20"/>
        </w:rPr>
        <w:fldChar w:fldCharType="begin"/>
      </w:r>
      <w:r w:rsidRPr="00EE7E38">
        <w:rPr>
          <w:rFonts w:ascii="Times New Roman" w:hAnsi="Times New Roman" w:cs="Times New Roman"/>
          <w:color w:val="auto"/>
          <w:szCs w:val="20"/>
        </w:rPr>
        <w:instrText xml:space="preserve"> SEQ Table \* ARABIC </w:instrText>
      </w:r>
      <w:r w:rsidR="00190629" w:rsidRPr="00EE7E38">
        <w:rPr>
          <w:rFonts w:ascii="Times New Roman" w:hAnsi="Times New Roman" w:cs="Times New Roman"/>
          <w:color w:val="auto"/>
          <w:szCs w:val="20"/>
        </w:rPr>
        <w:fldChar w:fldCharType="separate"/>
      </w:r>
      <w:r w:rsidR="00676B83" w:rsidRPr="00EE7E38">
        <w:rPr>
          <w:rFonts w:ascii="Times New Roman" w:hAnsi="Times New Roman" w:cs="Times New Roman"/>
          <w:noProof/>
          <w:color w:val="auto"/>
          <w:szCs w:val="20"/>
        </w:rPr>
        <w:t>11</w:t>
      </w:r>
      <w:r w:rsidR="00190629" w:rsidRPr="00EE7E38">
        <w:rPr>
          <w:rFonts w:ascii="Times New Roman" w:hAnsi="Times New Roman" w:cs="Times New Roman"/>
          <w:color w:val="auto"/>
          <w:szCs w:val="20"/>
        </w:rPr>
        <w:fldChar w:fldCharType="end"/>
      </w:r>
      <w:r w:rsidRPr="00EE7E38">
        <w:rPr>
          <w:rFonts w:ascii="Times New Roman" w:hAnsi="Times New Roman" w:cs="Times New Roman"/>
          <w:color w:val="auto"/>
          <w:szCs w:val="20"/>
        </w:rPr>
        <w:t>.</w:t>
      </w:r>
      <w:proofErr w:type="gramEnd"/>
      <w:r w:rsidRPr="00EE7E38">
        <w:rPr>
          <w:rFonts w:ascii="Times New Roman" w:hAnsi="Times New Roman" w:cs="Times New Roman"/>
          <w:color w:val="auto"/>
          <w:szCs w:val="20"/>
        </w:rPr>
        <w:t xml:space="preserve"> Estimate of financial needs for implementation of TB control activities in </w:t>
      </w:r>
      <w:r w:rsidR="000E351E" w:rsidRPr="00EE7E38">
        <w:rPr>
          <w:rFonts w:ascii="Times New Roman" w:hAnsi="Times New Roman" w:cs="Times New Roman"/>
          <w:color w:val="auto"/>
          <w:szCs w:val="20"/>
        </w:rPr>
        <w:t>Georgia</w:t>
      </w:r>
    </w:p>
    <w:p w14:paraId="5FA106EE" w14:textId="77777777" w:rsidR="004E11B0" w:rsidRPr="00EE7E38" w:rsidRDefault="00B10BF5" w:rsidP="00835F94">
      <w:pPr>
        <w:pStyle w:val="Caption"/>
        <w:widowControl w:val="0"/>
        <w:spacing w:before="120" w:after="120"/>
        <w:contextualSpacing/>
        <w:jc w:val="center"/>
        <w:rPr>
          <w:rFonts w:ascii="Times New Roman" w:hAnsi="Times New Roman" w:cs="Times New Roman"/>
          <w:color w:val="auto"/>
          <w:szCs w:val="20"/>
        </w:rPr>
      </w:pPr>
      <w:proofErr w:type="gramStart"/>
      <w:r w:rsidRPr="00EE7E38">
        <w:rPr>
          <w:rFonts w:ascii="Times New Roman" w:hAnsi="Times New Roman" w:cs="Times New Roman"/>
          <w:color w:val="auto"/>
          <w:szCs w:val="20"/>
        </w:rPr>
        <w:t>for</w:t>
      </w:r>
      <w:proofErr w:type="gramEnd"/>
      <w:r w:rsidRPr="00EE7E38">
        <w:rPr>
          <w:rFonts w:ascii="Times New Roman" w:hAnsi="Times New Roman" w:cs="Times New Roman"/>
          <w:color w:val="auto"/>
          <w:szCs w:val="20"/>
        </w:rPr>
        <w:t xml:space="preserve"> 4</w:t>
      </w:r>
      <w:r w:rsidR="004E11B0" w:rsidRPr="00EE7E38">
        <w:rPr>
          <w:rFonts w:ascii="Times New Roman" w:hAnsi="Times New Roman" w:cs="Times New Roman"/>
          <w:color w:val="auto"/>
          <w:szCs w:val="20"/>
        </w:rPr>
        <w:t xml:space="preserve"> years 201</w:t>
      </w:r>
      <w:r w:rsidR="00E1163D" w:rsidRPr="00EE7E38">
        <w:rPr>
          <w:rFonts w:ascii="Times New Roman" w:hAnsi="Times New Roman" w:cs="Times New Roman"/>
          <w:color w:val="auto"/>
          <w:szCs w:val="20"/>
        </w:rPr>
        <w:t>9-2022</w:t>
      </w:r>
      <w:r w:rsidR="004E11B0" w:rsidRPr="00EE7E38">
        <w:rPr>
          <w:rFonts w:ascii="Times New Roman" w:hAnsi="Times New Roman" w:cs="Times New Roman"/>
          <w:color w:val="auto"/>
          <w:szCs w:val="20"/>
        </w:rPr>
        <w:t>, by NSP Objective and Strategic Intervention, USD</w:t>
      </w:r>
    </w:p>
    <w:p w14:paraId="3F93B2E6" w14:textId="77777777" w:rsidR="00006D9F" w:rsidRPr="00EE7E38" w:rsidRDefault="00006D9F" w:rsidP="00006D9F">
      <w:pPr>
        <w:pStyle w:val="Caption"/>
        <w:keepNext/>
        <w:rPr>
          <w:rFonts w:ascii="Times New Roman" w:hAnsi="Times New Roman" w:cs="Times New Roman"/>
        </w:rPr>
      </w:pPr>
    </w:p>
    <w:tbl>
      <w:tblPr>
        <w:tblStyle w:val="TableGrid"/>
        <w:tblW w:w="9396" w:type="dxa"/>
        <w:tblLayout w:type="fixed"/>
        <w:tblLook w:val="04A0" w:firstRow="1" w:lastRow="0" w:firstColumn="1" w:lastColumn="0" w:noHBand="0" w:noVBand="1"/>
      </w:tblPr>
      <w:tblGrid>
        <w:gridCol w:w="534"/>
        <w:gridCol w:w="2994"/>
        <w:gridCol w:w="1170"/>
        <w:gridCol w:w="1170"/>
        <w:gridCol w:w="1260"/>
        <w:gridCol w:w="1134"/>
        <w:gridCol w:w="1134"/>
      </w:tblGrid>
      <w:tr w:rsidR="00006D9F" w:rsidRPr="00EE7E38" w14:paraId="1B0B0D3C" w14:textId="77777777" w:rsidTr="00B10BF5">
        <w:trPr>
          <w:tblHeader/>
        </w:trPr>
        <w:tc>
          <w:tcPr>
            <w:tcW w:w="534" w:type="dxa"/>
            <w:vAlign w:val="center"/>
          </w:tcPr>
          <w:p w14:paraId="2043049D" w14:textId="77777777" w:rsidR="00006D9F" w:rsidRPr="00EE7E38" w:rsidRDefault="00006D9F" w:rsidP="00835F94">
            <w:pPr>
              <w:widowControl w:val="0"/>
              <w:spacing w:before="20" w:after="20" w:line="276" w:lineRule="auto"/>
              <w:jc w:val="center"/>
              <w:rPr>
                <w:rFonts w:ascii="Times New Roman" w:hAnsi="Times New Roman" w:cs="Times New Roman"/>
                <w:b/>
                <w:i/>
                <w:sz w:val="16"/>
                <w:szCs w:val="20"/>
              </w:rPr>
            </w:pPr>
            <w:r w:rsidRPr="00EE7E38">
              <w:rPr>
                <w:rFonts w:ascii="Times New Roman" w:hAnsi="Times New Roman" w:cs="Times New Roman"/>
                <w:b/>
                <w:i/>
                <w:sz w:val="16"/>
                <w:szCs w:val="20"/>
              </w:rPr>
              <w:t>No.</w:t>
            </w:r>
          </w:p>
        </w:tc>
        <w:tc>
          <w:tcPr>
            <w:tcW w:w="2994" w:type="dxa"/>
            <w:vAlign w:val="center"/>
          </w:tcPr>
          <w:p w14:paraId="4614B375" w14:textId="77777777" w:rsidR="00006D9F" w:rsidRPr="00EE7E38" w:rsidRDefault="00006D9F" w:rsidP="00835F94">
            <w:pPr>
              <w:widowControl w:val="0"/>
              <w:spacing w:before="20" w:after="20" w:line="276" w:lineRule="auto"/>
              <w:jc w:val="center"/>
              <w:rPr>
                <w:rFonts w:ascii="Times New Roman" w:hAnsi="Times New Roman" w:cs="Times New Roman"/>
                <w:b/>
                <w:i/>
                <w:sz w:val="16"/>
                <w:szCs w:val="20"/>
              </w:rPr>
            </w:pPr>
            <w:r w:rsidRPr="00EE7E38">
              <w:rPr>
                <w:rFonts w:ascii="Times New Roman" w:hAnsi="Times New Roman" w:cs="Times New Roman"/>
                <w:b/>
                <w:i/>
                <w:sz w:val="16"/>
                <w:szCs w:val="20"/>
              </w:rPr>
              <w:t>Objective / Strategic Intervention</w:t>
            </w:r>
          </w:p>
        </w:tc>
        <w:tc>
          <w:tcPr>
            <w:tcW w:w="1170" w:type="dxa"/>
            <w:vAlign w:val="center"/>
          </w:tcPr>
          <w:p w14:paraId="233560BA" w14:textId="77777777" w:rsidR="00006D9F" w:rsidRPr="00EE7E38" w:rsidRDefault="00006D9F" w:rsidP="00835F94">
            <w:pPr>
              <w:widowControl w:val="0"/>
              <w:spacing w:before="20" w:after="20" w:line="276" w:lineRule="auto"/>
              <w:jc w:val="center"/>
              <w:rPr>
                <w:rFonts w:ascii="Times New Roman" w:hAnsi="Times New Roman" w:cs="Times New Roman"/>
                <w:b/>
                <w:i/>
                <w:sz w:val="18"/>
                <w:szCs w:val="20"/>
              </w:rPr>
            </w:pPr>
            <w:r w:rsidRPr="00EE7E38">
              <w:rPr>
                <w:rFonts w:ascii="Times New Roman" w:hAnsi="Times New Roman" w:cs="Times New Roman"/>
                <w:b/>
                <w:i/>
                <w:sz w:val="18"/>
                <w:szCs w:val="20"/>
              </w:rPr>
              <w:t>2019</w:t>
            </w:r>
          </w:p>
        </w:tc>
        <w:tc>
          <w:tcPr>
            <w:tcW w:w="1170" w:type="dxa"/>
            <w:vAlign w:val="center"/>
          </w:tcPr>
          <w:p w14:paraId="51CC9583" w14:textId="77777777" w:rsidR="00006D9F" w:rsidRPr="00EE7E38" w:rsidRDefault="00006D9F" w:rsidP="00835F94">
            <w:pPr>
              <w:widowControl w:val="0"/>
              <w:spacing w:before="20" w:after="20" w:line="276" w:lineRule="auto"/>
              <w:jc w:val="center"/>
              <w:rPr>
                <w:rFonts w:ascii="Times New Roman" w:hAnsi="Times New Roman" w:cs="Times New Roman"/>
                <w:b/>
                <w:i/>
                <w:sz w:val="18"/>
                <w:szCs w:val="20"/>
              </w:rPr>
            </w:pPr>
            <w:r w:rsidRPr="00EE7E38">
              <w:rPr>
                <w:rFonts w:ascii="Times New Roman" w:hAnsi="Times New Roman" w:cs="Times New Roman"/>
                <w:b/>
                <w:i/>
                <w:sz w:val="18"/>
                <w:szCs w:val="20"/>
              </w:rPr>
              <w:t>2020</w:t>
            </w:r>
          </w:p>
        </w:tc>
        <w:tc>
          <w:tcPr>
            <w:tcW w:w="1260" w:type="dxa"/>
            <w:vAlign w:val="center"/>
          </w:tcPr>
          <w:p w14:paraId="3090A98B" w14:textId="77777777" w:rsidR="00006D9F" w:rsidRPr="00EE7E38" w:rsidRDefault="00006D9F" w:rsidP="00835F94">
            <w:pPr>
              <w:widowControl w:val="0"/>
              <w:spacing w:before="20" w:after="20" w:line="276" w:lineRule="auto"/>
              <w:jc w:val="center"/>
              <w:rPr>
                <w:rFonts w:ascii="Times New Roman" w:hAnsi="Times New Roman" w:cs="Times New Roman"/>
                <w:b/>
                <w:i/>
                <w:sz w:val="18"/>
                <w:szCs w:val="20"/>
              </w:rPr>
            </w:pPr>
            <w:r w:rsidRPr="00EE7E38">
              <w:rPr>
                <w:rFonts w:ascii="Times New Roman" w:hAnsi="Times New Roman" w:cs="Times New Roman"/>
                <w:b/>
                <w:i/>
                <w:sz w:val="18"/>
                <w:szCs w:val="20"/>
              </w:rPr>
              <w:t>2021</w:t>
            </w:r>
          </w:p>
        </w:tc>
        <w:tc>
          <w:tcPr>
            <w:tcW w:w="1134" w:type="dxa"/>
          </w:tcPr>
          <w:p w14:paraId="38C50300" w14:textId="77777777" w:rsidR="00006D9F" w:rsidRPr="00EE7E38" w:rsidRDefault="00006D9F" w:rsidP="00835F94">
            <w:pPr>
              <w:widowControl w:val="0"/>
              <w:spacing w:before="20" w:after="20"/>
              <w:jc w:val="center"/>
              <w:rPr>
                <w:rFonts w:ascii="Times New Roman" w:hAnsi="Times New Roman" w:cs="Times New Roman"/>
                <w:b/>
                <w:i/>
                <w:sz w:val="18"/>
                <w:szCs w:val="20"/>
              </w:rPr>
            </w:pPr>
            <w:r w:rsidRPr="00EE7E38">
              <w:rPr>
                <w:rFonts w:ascii="Times New Roman" w:hAnsi="Times New Roman" w:cs="Times New Roman"/>
                <w:b/>
                <w:i/>
                <w:sz w:val="18"/>
                <w:szCs w:val="20"/>
              </w:rPr>
              <w:t>2022</w:t>
            </w:r>
          </w:p>
        </w:tc>
        <w:tc>
          <w:tcPr>
            <w:tcW w:w="1134" w:type="dxa"/>
            <w:vAlign w:val="center"/>
          </w:tcPr>
          <w:p w14:paraId="7910F81B" w14:textId="77777777" w:rsidR="00006D9F" w:rsidRPr="00EE7E38" w:rsidRDefault="00006D9F" w:rsidP="00835F94">
            <w:pPr>
              <w:widowControl w:val="0"/>
              <w:spacing w:before="20" w:after="20" w:line="276" w:lineRule="auto"/>
              <w:jc w:val="center"/>
              <w:rPr>
                <w:rFonts w:ascii="Times New Roman" w:hAnsi="Times New Roman" w:cs="Times New Roman"/>
                <w:b/>
                <w:i/>
                <w:sz w:val="18"/>
                <w:szCs w:val="20"/>
              </w:rPr>
            </w:pPr>
            <w:r w:rsidRPr="00EE7E38">
              <w:rPr>
                <w:rFonts w:ascii="Times New Roman" w:hAnsi="Times New Roman" w:cs="Times New Roman"/>
                <w:b/>
                <w:i/>
                <w:sz w:val="18"/>
                <w:szCs w:val="20"/>
              </w:rPr>
              <w:t xml:space="preserve">Total </w:t>
            </w:r>
            <w:r w:rsidRPr="00EE7E38">
              <w:rPr>
                <w:rFonts w:ascii="Times New Roman" w:hAnsi="Times New Roman" w:cs="Times New Roman"/>
                <w:b/>
                <w:i/>
                <w:sz w:val="18"/>
                <w:szCs w:val="20"/>
              </w:rPr>
              <w:br/>
              <w:t>2019-2022</w:t>
            </w:r>
          </w:p>
        </w:tc>
      </w:tr>
      <w:tr w:rsidR="00B10BF5" w:rsidRPr="00EE7E38" w14:paraId="1538BCB2" w14:textId="77777777" w:rsidTr="00B10BF5">
        <w:tc>
          <w:tcPr>
            <w:tcW w:w="534" w:type="dxa"/>
            <w:shd w:val="clear" w:color="auto" w:fill="BFBFBF" w:themeFill="background1" w:themeFillShade="BF"/>
          </w:tcPr>
          <w:p w14:paraId="12078028" w14:textId="77777777" w:rsidR="00B10BF5" w:rsidRPr="00EE7E38" w:rsidRDefault="00B10BF5" w:rsidP="00835F94">
            <w:pPr>
              <w:widowControl w:val="0"/>
              <w:spacing w:before="20" w:after="20"/>
              <w:jc w:val="center"/>
              <w:rPr>
                <w:rFonts w:ascii="Times New Roman" w:hAnsi="Times New Roman" w:cs="Times New Roman"/>
                <w:b/>
                <w:bCs/>
                <w:sz w:val="16"/>
                <w:szCs w:val="20"/>
              </w:rPr>
            </w:pPr>
            <w:r w:rsidRPr="00EE7E38">
              <w:rPr>
                <w:rFonts w:ascii="Times New Roman" w:hAnsi="Times New Roman" w:cs="Times New Roman"/>
                <w:b/>
                <w:bCs/>
                <w:sz w:val="16"/>
                <w:szCs w:val="20"/>
              </w:rPr>
              <w:t>1</w:t>
            </w:r>
          </w:p>
        </w:tc>
        <w:tc>
          <w:tcPr>
            <w:tcW w:w="2994" w:type="dxa"/>
            <w:shd w:val="clear" w:color="auto" w:fill="BFBFBF" w:themeFill="background1" w:themeFillShade="BF"/>
          </w:tcPr>
          <w:p w14:paraId="44CC2B57" w14:textId="77777777" w:rsidR="00B10BF5" w:rsidRPr="00EE7E38" w:rsidRDefault="00B10BF5" w:rsidP="00835F94">
            <w:pPr>
              <w:widowControl w:val="0"/>
              <w:spacing w:before="20" w:after="20"/>
              <w:rPr>
                <w:rFonts w:ascii="Times New Roman" w:hAnsi="Times New Roman" w:cs="Times New Roman"/>
                <w:b/>
                <w:bCs/>
                <w:sz w:val="16"/>
                <w:szCs w:val="20"/>
              </w:rPr>
            </w:pPr>
            <w:r w:rsidRPr="00EE7E38">
              <w:rPr>
                <w:rFonts w:ascii="Times New Roman" w:hAnsi="Times New Roman" w:cs="Times New Roman"/>
                <w:b/>
                <w:bCs/>
                <w:sz w:val="16"/>
                <w:szCs w:val="20"/>
              </w:rPr>
              <w:t>To provide universal access to early and quality diagnosis of all forms of TB including M/XDR-TB</w:t>
            </w:r>
          </w:p>
        </w:tc>
        <w:tc>
          <w:tcPr>
            <w:tcW w:w="1170" w:type="dxa"/>
            <w:shd w:val="clear" w:color="auto" w:fill="BFBFBF" w:themeFill="background1" w:themeFillShade="BF"/>
          </w:tcPr>
          <w:p w14:paraId="67A773E8" w14:textId="77777777" w:rsidR="00B10BF5" w:rsidRPr="00EE7E38" w:rsidRDefault="00B10BF5" w:rsidP="00EE7E38">
            <w:pPr>
              <w:rPr>
                <w:rFonts w:ascii="Times New Roman" w:hAnsi="Times New Roman" w:cs="Times New Roman"/>
                <w:b/>
                <w:sz w:val="18"/>
                <w:szCs w:val="20"/>
              </w:rPr>
            </w:pPr>
            <w:r w:rsidRPr="00EE7E38">
              <w:rPr>
                <w:rFonts w:ascii="Times New Roman" w:hAnsi="Times New Roman" w:cs="Times New Roman"/>
                <w:b/>
                <w:sz w:val="18"/>
                <w:szCs w:val="20"/>
              </w:rPr>
              <w:t>3,294,455</w:t>
            </w:r>
          </w:p>
        </w:tc>
        <w:tc>
          <w:tcPr>
            <w:tcW w:w="1170" w:type="dxa"/>
            <w:shd w:val="clear" w:color="auto" w:fill="BFBFBF" w:themeFill="background1" w:themeFillShade="BF"/>
          </w:tcPr>
          <w:p w14:paraId="1E167A2D" w14:textId="77777777" w:rsidR="00B10BF5" w:rsidRPr="00EE7E38" w:rsidRDefault="00B10BF5" w:rsidP="00EE7E38">
            <w:pPr>
              <w:rPr>
                <w:rFonts w:ascii="Times New Roman" w:hAnsi="Times New Roman" w:cs="Times New Roman"/>
                <w:b/>
                <w:sz w:val="18"/>
                <w:szCs w:val="20"/>
              </w:rPr>
            </w:pPr>
            <w:r w:rsidRPr="00EE7E38">
              <w:rPr>
                <w:rFonts w:ascii="Times New Roman" w:hAnsi="Times New Roman" w:cs="Times New Roman"/>
                <w:b/>
                <w:sz w:val="18"/>
                <w:szCs w:val="20"/>
              </w:rPr>
              <w:t>2,902,810</w:t>
            </w:r>
          </w:p>
        </w:tc>
        <w:tc>
          <w:tcPr>
            <w:tcW w:w="1260" w:type="dxa"/>
            <w:shd w:val="clear" w:color="auto" w:fill="BFBFBF" w:themeFill="background1" w:themeFillShade="BF"/>
          </w:tcPr>
          <w:p w14:paraId="5F59E397" w14:textId="77777777" w:rsidR="00B10BF5" w:rsidRPr="00EE7E38" w:rsidRDefault="00B10BF5" w:rsidP="00EE7E38">
            <w:pPr>
              <w:rPr>
                <w:rFonts w:ascii="Times New Roman" w:hAnsi="Times New Roman" w:cs="Times New Roman"/>
                <w:b/>
                <w:sz w:val="18"/>
                <w:szCs w:val="20"/>
              </w:rPr>
            </w:pPr>
            <w:r w:rsidRPr="00EE7E38">
              <w:rPr>
                <w:rFonts w:ascii="Times New Roman" w:hAnsi="Times New Roman" w:cs="Times New Roman"/>
                <w:b/>
                <w:sz w:val="18"/>
                <w:szCs w:val="20"/>
              </w:rPr>
              <w:t>3,000,312</w:t>
            </w:r>
          </w:p>
        </w:tc>
        <w:tc>
          <w:tcPr>
            <w:tcW w:w="1134" w:type="dxa"/>
            <w:shd w:val="clear" w:color="auto" w:fill="BFBFBF" w:themeFill="background1" w:themeFillShade="BF"/>
          </w:tcPr>
          <w:p w14:paraId="167D107E" w14:textId="77777777" w:rsidR="00B10BF5" w:rsidRPr="00EE7E38" w:rsidRDefault="00B10BF5" w:rsidP="00EE7E38">
            <w:pPr>
              <w:rPr>
                <w:rFonts w:ascii="Times New Roman" w:hAnsi="Times New Roman" w:cs="Times New Roman"/>
                <w:b/>
                <w:sz w:val="18"/>
                <w:szCs w:val="20"/>
              </w:rPr>
            </w:pPr>
            <w:r w:rsidRPr="00EE7E38">
              <w:rPr>
                <w:rFonts w:ascii="Times New Roman" w:hAnsi="Times New Roman" w:cs="Times New Roman"/>
                <w:b/>
                <w:sz w:val="18"/>
                <w:szCs w:val="20"/>
              </w:rPr>
              <w:t>3,073,254</w:t>
            </w:r>
          </w:p>
        </w:tc>
        <w:tc>
          <w:tcPr>
            <w:tcW w:w="1134" w:type="dxa"/>
            <w:shd w:val="clear" w:color="auto" w:fill="BFBFBF" w:themeFill="background1" w:themeFillShade="BF"/>
          </w:tcPr>
          <w:p w14:paraId="56EE762F" w14:textId="77777777" w:rsidR="00B10BF5" w:rsidRPr="00EE7E38" w:rsidRDefault="00B10BF5" w:rsidP="00EE7E38">
            <w:pPr>
              <w:rPr>
                <w:rFonts w:ascii="Times New Roman" w:hAnsi="Times New Roman" w:cs="Times New Roman"/>
                <w:b/>
                <w:sz w:val="18"/>
                <w:szCs w:val="20"/>
              </w:rPr>
            </w:pPr>
            <w:r w:rsidRPr="00EE7E38">
              <w:rPr>
                <w:rFonts w:ascii="Times New Roman" w:hAnsi="Times New Roman" w:cs="Times New Roman"/>
                <w:b/>
                <w:sz w:val="18"/>
                <w:szCs w:val="20"/>
              </w:rPr>
              <w:t>12,270,830</w:t>
            </w:r>
          </w:p>
        </w:tc>
      </w:tr>
      <w:tr w:rsidR="00B10BF5" w:rsidRPr="00EE7E38" w14:paraId="5E6E485E" w14:textId="77777777" w:rsidTr="00B10BF5">
        <w:tc>
          <w:tcPr>
            <w:tcW w:w="534" w:type="dxa"/>
            <w:shd w:val="clear" w:color="auto" w:fill="auto"/>
          </w:tcPr>
          <w:p w14:paraId="3CABC76A"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1.1</w:t>
            </w:r>
          </w:p>
        </w:tc>
        <w:tc>
          <w:tcPr>
            <w:tcW w:w="2994" w:type="dxa"/>
            <w:shd w:val="clear" w:color="auto" w:fill="auto"/>
          </w:tcPr>
          <w:p w14:paraId="250E03AD"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 xml:space="preserve">Rollout of </w:t>
            </w:r>
            <w:proofErr w:type="spellStart"/>
            <w:r w:rsidRPr="00EE7E38">
              <w:rPr>
                <w:rFonts w:ascii="Times New Roman" w:hAnsi="Times New Roman" w:cs="Times New Roman"/>
                <w:bCs/>
                <w:sz w:val="16"/>
                <w:szCs w:val="20"/>
              </w:rPr>
              <w:t>Xpert</w:t>
            </w:r>
            <w:proofErr w:type="spellEnd"/>
            <w:r w:rsidRPr="00EE7E38">
              <w:rPr>
                <w:rFonts w:ascii="Times New Roman" w:hAnsi="Times New Roman" w:cs="Times New Roman"/>
                <w:bCs/>
                <w:sz w:val="16"/>
                <w:szCs w:val="20"/>
              </w:rPr>
              <w:t xml:space="preserve"> MTB/RIF technology</w:t>
            </w:r>
          </w:p>
        </w:tc>
        <w:tc>
          <w:tcPr>
            <w:tcW w:w="1170" w:type="dxa"/>
            <w:shd w:val="clear" w:color="auto" w:fill="auto"/>
          </w:tcPr>
          <w:p w14:paraId="25AFD95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464,424</w:t>
            </w:r>
          </w:p>
        </w:tc>
        <w:tc>
          <w:tcPr>
            <w:tcW w:w="1170" w:type="dxa"/>
            <w:shd w:val="clear" w:color="auto" w:fill="auto"/>
          </w:tcPr>
          <w:p w14:paraId="6631C21C"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464,424</w:t>
            </w:r>
          </w:p>
        </w:tc>
        <w:tc>
          <w:tcPr>
            <w:tcW w:w="1260" w:type="dxa"/>
            <w:shd w:val="clear" w:color="auto" w:fill="auto"/>
          </w:tcPr>
          <w:p w14:paraId="1DF08E6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464,424</w:t>
            </w:r>
          </w:p>
        </w:tc>
        <w:tc>
          <w:tcPr>
            <w:tcW w:w="1134" w:type="dxa"/>
          </w:tcPr>
          <w:p w14:paraId="3093E447"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464,424</w:t>
            </w:r>
          </w:p>
        </w:tc>
        <w:tc>
          <w:tcPr>
            <w:tcW w:w="1134" w:type="dxa"/>
            <w:shd w:val="clear" w:color="auto" w:fill="auto"/>
          </w:tcPr>
          <w:p w14:paraId="34A94FFC"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1,857,695</w:t>
            </w:r>
          </w:p>
        </w:tc>
      </w:tr>
      <w:tr w:rsidR="00B10BF5" w:rsidRPr="00EE7E38" w14:paraId="25D5CE52" w14:textId="77777777" w:rsidTr="00B10BF5">
        <w:tc>
          <w:tcPr>
            <w:tcW w:w="534" w:type="dxa"/>
            <w:shd w:val="clear" w:color="auto" w:fill="auto"/>
          </w:tcPr>
          <w:p w14:paraId="47DB2579"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1.2</w:t>
            </w:r>
          </w:p>
        </w:tc>
        <w:tc>
          <w:tcPr>
            <w:tcW w:w="2994" w:type="dxa"/>
            <w:shd w:val="clear" w:color="auto" w:fill="auto"/>
          </w:tcPr>
          <w:p w14:paraId="3D397F4E"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TB diagnostic investigations at regional and national level</w:t>
            </w:r>
          </w:p>
        </w:tc>
        <w:tc>
          <w:tcPr>
            <w:tcW w:w="1170" w:type="dxa"/>
            <w:shd w:val="clear" w:color="auto" w:fill="auto"/>
          </w:tcPr>
          <w:p w14:paraId="61D59FD6"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1,068,644</w:t>
            </w:r>
          </w:p>
        </w:tc>
        <w:tc>
          <w:tcPr>
            <w:tcW w:w="1170" w:type="dxa"/>
            <w:shd w:val="clear" w:color="auto" w:fill="auto"/>
          </w:tcPr>
          <w:p w14:paraId="5B61C00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554,172</w:t>
            </w:r>
          </w:p>
        </w:tc>
        <w:tc>
          <w:tcPr>
            <w:tcW w:w="1260" w:type="dxa"/>
            <w:shd w:val="clear" w:color="auto" w:fill="auto"/>
          </w:tcPr>
          <w:p w14:paraId="50111DAB"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544,263</w:t>
            </w:r>
          </w:p>
        </w:tc>
        <w:tc>
          <w:tcPr>
            <w:tcW w:w="1134" w:type="dxa"/>
          </w:tcPr>
          <w:p w14:paraId="3BAC016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524,684</w:t>
            </w:r>
          </w:p>
        </w:tc>
        <w:tc>
          <w:tcPr>
            <w:tcW w:w="1134" w:type="dxa"/>
            <w:shd w:val="clear" w:color="auto" w:fill="auto"/>
          </w:tcPr>
          <w:p w14:paraId="50BE0BC1"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2,691,763</w:t>
            </w:r>
          </w:p>
        </w:tc>
      </w:tr>
      <w:tr w:rsidR="00B10BF5" w:rsidRPr="00EE7E38" w14:paraId="0BC6DE2E" w14:textId="77777777" w:rsidTr="00B10BF5">
        <w:tc>
          <w:tcPr>
            <w:tcW w:w="534" w:type="dxa"/>
            <w:shd w:val="clear" w:color="auto" w:fill="auto"/>
          </w:tcPr>
          <w:p w14:paraId="1658E626"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1.3</w:t>
            </w:r>
          </w:p>
        </w:tc>
        <w:tc>
          <w:tcPr>
            <w:tcW w:w="2994" w:type="dxa"/>
            <w:shd w:val="clear" w:color="auto" w:fill="auto"/>
          </w:tcPr>
          <w:p w14:paraId="6B8208C8"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Contacts’ investigation, screening and active case finding for TB among high-risk groups including people living with HIV</w:t>
            </w:r>
          </w:p>
        </w:tc>
        <w:tc>
          <w:tcPr>
            <w:tcW w:w="1170" w:type="dxa"/>
            <w:shd w:val="clear" w:color="auto" w:fill="auto"/>
          </w:tcPr>
          <w:p w14:paraId="7697DDB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80,000</w:t>
            </w:r>
          </w:p>
        </w:tc>
        <w:tc>
          <w:tcPr>
            <w:tcW w:w="1170" w:type="dxa"/>
            <w:shd w:val="clear" w:color="auto" w:fill="auto"/>
          </w:tcPr>
          <w:p w14:paraId="3B216F1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80,000</w:t>
            </w:r>
          </w:p>
        </w:tc>
        <w:tc>
          <w:tcPr>
            <w:tcW w:w="1260" w:type="dxa"/>
            <w:shd w:val="clear" w:color="auto" w:fill="auto"/>
          </w:tcPr>
          <w:p w14:paraId="0CB00626"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97,200</w:t>
            </w:r>
          </w:p>
        </w:tc>
        <w:tc>
          <w:tcPr>
            <w:tcW w:w="1134" w:type="dxa"/>
          </w:tcPr>
          <w:p w14:paraId="57E8A124"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95,000</w:t>
            </w:r>
          </w:p>
        </w:tc>
        <w:tc>
          <w:tcPr>
            <w:tcW w:w="1134" w:type="dxa"/>
            <w:shd w:val="clear" w:color="auto" w:fill="auto"/>
          </w:tcPr>
          <w:p w14:paraId="127ACAE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352,200</w:t>
            </w:r>
          </w:p>
        </w:tc>
      </w:tr>
      <w:tr w:rsidR="00B10BF5" w:rsidRPr="00EE7E38" w14:paraId="6DB05D94" w14:textId="77777777" w:rsidTr="00B10BF5">
        <w:tc>
          <w:tcPr>
            <w:tcW w:w="534" w:type="dxa"/>
            <w:shd w:val="clear" w:color="auto" w:fill="auto"/>
          </w:tcPr>
          <w:p w14:paraId="67465184"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1.4</w:t>
            </w:r>
          </w:p>
        </w:tc>
        <w:tc>
          <w:tcPr>
            <w:tcW w:w="2994" w:type="dxa"/>
            <w:shd w:val="clear" w:color="auto" w:fill="auto"/>
          </w:tcPr>
          <w:p w14:paraId="0FB227BF"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Support to operations of the laboratory network</w:t>
            </w:r>
          </w:p>
        </w:tc>
        <w:tc>
          <w:tcPr>
            <w:tcW w:w="1170" w:type="dxa"/>
            <w:shd w:val="clear" w:color="auto" w:fill="auto"/>
          </w:tcPr>
          <w:p w14:paraId="40AB885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1,681,387</w:t>
            </w:r>
          </w:p>
        </w:tc>
        <w:tc>
          <w:tcPr>
            <w:tcW w:w="1170" w:type="dxa"/>
            <w:shd w:val="clear" w:color="auto" w:fill="auto"/>
          </w:tcPr>
          <w:p w14:paraId="0F9AC6DB"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1,804,214</w:t>
            </w:r>
          </w:p>
        </w:tc>
        <w:tc>
          <w:tcPr>
            <w:tcW w:w="1260" w:type="dxa"/>
            <w:shd w:val="clear" w:color="auto" w:fill="auto"/>
          </w:tcPr>
          <w:p w14:paraId="3FCB7116"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1,894,425</w:t>
            </w:r>
          </w:p>
        </w:tc>
        <w:tc>
          <w:tcPr>
            <w:tcW w:w="1134" w:type="dxa"/>
          </w:tcPr>
          <w:p w14:paraId="7ABE354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1,989,146</w:t>
            </w:r>
          </w:p>
        </w:tc>
        <w:tc>
          <w:tcPr>
            <w:tcW w:w="1134" w:type="dxa"/>
            <w:shd w:val="clear" w:color="auto" w:fill="auto"/>
          </w:tcPr>
          <w:p w14:paraId="6E0FC2C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7,369,172</w:t>
            </w:r>
          </w:p>
        </w:tc>
      </w:tr>
      <w:tr w:rsidR="00B10BF5" w:rsidRPr="00EE7E38" w14:paraId="1C7E1F6E" w14:textId="77777777" w:rsidTr="00B10BF5">
        <w:tc>
          <w:tcPr>
            <w:tcW w:w="534" w:type="dxa"/>
            <w:shd w:val="clear" w:color="auto" w:fill="BFBFBF" w:themeFill="background1" w:themeFillShade="BF"/>
          </w:tcPr>
          <w:p w14:paraId="2202D866"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w:t>
            </w:r>
          </w:p>
        </w:tc>
        <w:tc>
          <w:tcPr>
            <w:tcW w:w="2994" w:type="dxa"/>
            <w:shd w:val="clear" w:color="auto" w:fill="BFBFBF" w:themeFill="background1" w:themeFillShade="BF"/>
          </w:tcPr>
          <w:p w14:paraId="62348E9B"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To provide universal access to quality treatment of all forms of TB including M/XDR-TB with appropriate patient support</w:t>
            </w:r>
          </w:p>
        </w:tc>
        <w:tc>
          <w:tcPr>
            <w:tcW w:w="1170" w:type="dxa"/>
            <w:shd w:val="clear" w:color="auto" w:fill="BFBFBF" w:themeFill="background1" w:themeFillShade="BF"/>
          </w:tcPr>
          <w:p w14:paraId="154FAA1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7,571,760</w:t>
            </w:r>
          </w:p>
        </w:tc>
        <w:tc>
          <w:tcPr>
            <w:tcW w:w="1170" w:type="dxa"/>
            <w:shd w:val="clear" w:color="auto" w:fill="BFBFBF" w:themeFill="background1" w:themeFillShade="BF"/>
          </w:tcPr>
          <w:p w14:paraId="2C3C659B"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7,851,108</w:t>
            </w:r>
          </w:p>
        </w:tc>
        <w:tc>
          <w:tcPr>
            <w:tcW w:w="1260" w:type="dxa"/>
            <w:shd w:val="clear" w:color="auto" w:fill="BFBFBF" w:themeFill="background1" w:themeFillShade="BF"/>
          </w:tcPr>
          <w:p w14:paraId="2412C8D2"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8,018,449</w:t>
            </w:r>
          </w:p>
        </w:tc>
        <w:tc>
          <w:tcPr>
            <w:tcW w:w="1134" w:type="dxa"/>
            <w:shd w:val="clear" w:color="auto" w:fill="BFBFBF" w:themeFill="background1" w:themeFillShade="BF"/>
          </w:tcPr>
          <w:p w14:paraId="7FAEEE2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8,126,418</w:t>
            </w:r>
          </w:p>
        </w:tc>
        <w:tc>
          <w:tcPr>
            <w:tcW w:w="1134" w:type="dxa"/>
            <w:shd w:val="clear" w:color="auto" w:fill="BFBFBF" w:themeFill="background1" w:themeFillShade="BF"/>
          </w:tcPr>
          <w:p w14:paraId="74F2AA59"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31,567,735</w:t>
            </w:r>
          </w:p>
        </w:tc>
      </w:tr>
      <w:tr w:rsidR="00B10BF5" w:rsidRPr="00EE7E38" w14:paraId="691F0CE8" w14:textId="77777777" w:rsidTr="00B10BF5">
        <w:tc>
          <w:tcPr>
            <w:tcW w:w="534" w:type="dxa"/>
            <w:shd w:val="clear" w:color="auto" w:fill="auto"/>
          </w:tcPr>
          <w:p w14:paraId="2D88859F"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2.1</w:t>
            </w:r>
          </w:p>
        </w:tc>
        <w:tc>
          <w:tcPr>
            <w:tcW w:w="2994" w:type="dxa"/>
            <w:shd w:val="clear" w:color="auto" w:fill="auto"/>
          </w:tcPr>
          <w:p w14:paraId="697AE340"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Supply of anti-TB drugs and drug management system</w:t>
            </w:r>
          </w:p>
        </w:tc>
        <w:tc>
          <w:tcPr>
            <w:tcW w:w="1170" w:type="dxa"/>
            <w:shd w:val="clear" w:color="auto" w:fill="auto"/>
          </w:tcPr>
          <w:p w14:paraId="2A6CFAD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1,225,452</w:t>
            </w:r>
          </w:p>
        </w:tc>
        <w:tc>
          <w:tcPr>
            <w:tcW w:w="1170" w:type="dxa"/>
            <w:shd w:val="clear" w:color="auto" w:fill="auto"/>
          </w:tcPr>
          <w:p w14:paraId="31DF2BB2"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1,219,519</w:t>
            </w:r>
          </w:p>
        </w:tc>
        <w:tc>
          <w:tcPr>
            <w:tcW w:w="1260" w:type="dxa"/>
            <w:shd w:val="clear" w:color="auto" w:fill="auto"/>
          </w:tcPr>
          <w:p w14:paraId="599C2A99"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1,199,401</w:t>
            </w:r>
          </w:p>
        </w:tc>
        <w:tc>
          <w:tcPr>
            <w:tcW w:w="1134" w:type="dxa"/>
          </w:tcPr>
          <w:p w14:paraId="571B0EB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1,185,924</w:t>
            </w:r>
          </w:p>
        </w:tc>
        <w:tc>
          <w:tcPr>
            <w:tcW w:w="1134" w:type="dxa"/>
            <w:shd w:val="clear" w:color="auto" w:fill="auto"/>
          </w:tcPr>
          <w:p w14:paraId="44115CB9"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4,830,296</w:t>
            </w:r>
          </w:p>
        </w:tc>
      </w:tr>
      <w:tr w:rsidR="00B10BF5" w:rsidRPr="00EE7E38" w14:paraId="72AA32F0" w14:textId="77777777" w:rsidTr="00B10BF5">
        <w:tc>
          <w:tcPr>
            <w:tcW w:w="534" w:type="dxa"/>
            <w:shd w:val="clear" w:color="auto" w:fill="auto"/>
          </w:tcPr>
          <w:p w14:paraId="673F091B"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2.2</w:t>
            </w:r>
          </w:p>
        </w:tc>
        <w:tc>
          <w:tcPr>
            <w:tcW w:w="2994" w:type="dxa"/>
            <w:shd w:val="clear" w:color="auto" w:fill="auto"/>
          </w:tcPr>
          <w:p w14:paraId="784D2F11"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Patient support to improve adherence to TB treatment</w:t>
            </w:r>
          </w:p>
        </w:tc>
        <w:tc>
          <w:tcPr>
            <w:tcW w:w="1170" w:type="dxa"/>
            <w:shd w:val="clear" w:color="auto" w:fill="auto"/>
          </w:tcPr>
          <w:p w14:paraId="44138C59"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1,009,049</w:t>
            </w:r>
          </w:p>
        </w:tc>
        <w:tc>
          <w:tcPr>
            <w:tcW w:w="1170" w:type="dxa"/>
            <w:shd w:val="clear" w:color="auto" w:fill="auto"/>
          </w:tcPr>
          <w:p w14:paraId="3CFBFED6"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1,000,332</w:t>
            </w:r>
          </w:p>
        </w:tc>
        <w:tc>
          <w:tcPr>
            <w:tcW w:w="1260" w:type="dxa"/>
            <w:shd w:val="clear" w:color="auto" w:fill="auto"/>
          </w:tcPr>
          <w:p w14:paraId="2A6C1CAE"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989,149</w:t>
            </w:r>
          </w:p>
        </w:tc>
        <w:tc>
          <w:tcPr>
            <w:tcW w:w="1134" w:type="dxa"/>
          </w:tcPr>
          <w:p w14:paraId="1094F6E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980,020</w:t>
            </w:r>
          </w:p>
        </w:tc>
        <w:tc>
          <w:tcPr>
            <w:tcW w:w="1134" w:type="dxa"/>
            <w:shd w:val="clear" w:color="auto" w:fill="auto"/>
          </w:tcPr>
          <w:p w14:paraId="3DD0145E"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3,978,551</w:t>
            </w:r>
          </w:p>
        </w:tc>
      </w:tr>
      <w:tr w:rsidR="00B10BF5" w:rsidRPr="00EE7E38" w14:paraId="07D35D5F" w14:textId="77777777" w:rsidTr="00B10BF5">
        <w:tc>
          <w:tcPr>
            <w:tcW w:w="534" w:type="dxa"/>
            <w:shd w:val="clear" w:color="auto" w:fill="auto"/>
          </w:tcPr>
          <w:p w14:paraId="06710465"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2.3</w:t>
            </w:r>
          </w:p>
        </w:tc>
        <w:tc>
          <w:tcPr>
            <w:tcW w:w="2994" w:type="dxa"/>
            <w:shd w:val="clear" w:color="auto" w:fill="auto"/>
          </w:tcPr>
          <w:p w14:paraId="38C25D0D"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Treatment monitoring, management of adverse drug reactions and comorbidities</w:t>
            </w:r>
          </w:p>
        </w:tc>
        <w:tc>
          <w:tcPr>
            <w:tcW w:w="1170" w:type="dxa"/>
            <w:shd w:val="clear" w:color="auto" w:fill="auto"/>
          </w:tcPr>
          <w:p w14:paraId="137884B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236,467</w:t>
            </w:r>
          </w:p>
        </w:tc>
        <w:tc>
          <w:tcPr>
            <w:tcW w:w="1170" w:type="dxa"/>
            <w:shd w:val="clear" w:color="auto" w:fill="auto"/>
          </w:tcPr>
          <w:p w14:paraId="1187C416"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228,898</w:t>
            </w:r>
          </w:p>
        </w:tc>
        <w:tc>
          <w:tcPr>
            <w:tcW w:w="1260" w:type="dxa"/>
            <w:shd w:val="clear" w:color="auto" w:fill="auto"/>
          </w:tcPr>
          <w:p w14:paraId="207A398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228,634</w:t>
            </w:r>
          </w:p>
        </w:tc>
        <w:tc>
          <w:tcPr>
            <w:tcW w:w="1134" w:type="dxa"/>
          </w:tcPr>
          <w:p w14:paraId="0BFE29CB"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220,783</w:t>
            </w:r>
          </w:p>
        </w:tc>
        <w:tc>
          <w:tcPr>
            <w:tcW w:w="1134" w:type="dxa"/>
            <w:shd w:val="clear" w:color="auto" w:fill="auto"/>
          </w:tcPr>
          <w:p w14:paraId="30960F3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914,781</w:t>
            </w:r>
          </w:p>
        </w:tc>
      </w:tr>
      <w:tr w:rsidR="00B10BF5" w:rsidRPr="00EE7E38" w14:paraId="0CDC607D" w14:textId="77777777" w:rsidTr="00B10BF5">
        <w:tc>
          <w:tcPr>
            <w:tcW w:w="534" w:type="dxa"/>
            <w:shd w:val="clear" w:color="auto" w:fill="auto"/>
          </w:tcPr>
          <w:p w14:paraId="52B1C08E"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2.4</w:t>
            </w:r>
          </w:p>
        </w:tc>
        <w:tc>
          <w:tcPr>
            <w:tcW w:w="2994" w:type="dxa"/>
            <w:shd w:val="clear" w:color="auto" w:fill="auto"/>
          </w:tcPr>
          <w:p w14:paraId="0834E686"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TB infection control in health care facilities</w:t>
            </w:r>
          </w:p>
        </w:tc>
        <w:tc>
          <w:tcPr>
            <w:tcW w:w="1170" w:type="dxa"/>
            <w:shd w:val="clear" w:color="auto" w:fill="auto"/>
          </w:tcPr>
          <w:p w14:paraId="707C5B79"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24,672</w:t>
            </w:r>
          </w:p>
        </w:tc>
        <w:tc>
          <w:tcPr>
            <w:tcW w:w="1170" w:type="dxa"/>
            <w:shd w:val="clear" w:color="auto" w:fill="auto"/>
          </w:tcPr>
          <w:p w14:paraId="6DCE250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24,672</w:t>
            </w:r>
          </w:p>
        </w:tc>
        <w:tc>
          <w:tcPr>
            <w:tcW w:w="1260" w:type="dxa"/>
            <w:shd w:val="clear" w:color="auto" w:fill="auto"/>
          </w:tcPr>
          <w:p w14:paraId="186F189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24,672</w:t>
            </w:r>
          </w:p>
        </w:tc>
        <w:tc>
          <w:tcPr>
            <w:tcW w:w="1134" w:type="dxa"/>
          </w:tcPr>
          <w:p w14:paraId="790F48B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24,672</w:t>
            </w:r>
          </w:p>
        </w:tc>
        <w:tc>
          <w:tcPr>
            <w:tcW w:w="1134" w:type="dxa"/>
            <w:shd w:val="clear" w:color="auto" w:fill="auto"/>
          </w:tcPr>
          <w:p w14:paraId="5A65C250"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98,688</w:t>
            </w:r>
          </w:p>
        </w:tc>
      </w:tr>
      <w:tr w:rsidR="00B10BF5" w:rsidRPr="00EE7E38" w14:paraId="1612464D" w14:textId="77777777" w:rsidTr="00B10BF5">
        <w:tc>
          <w:tcPr>
            <w:tcW w:w="534" w:type="dxa"/>
            <w:shd w:val="clear" w:color="auto" w:fill="auto"/>
          </w:tcPr>
          <w:p w14:paraId="7D6E64B0"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2.5</w:t>
            </w:r>
          </w:p>
        </w:tc>
        <w:tc>
          <w:tcPr>
            <w:tcW w:w="2994" w:type="dxa"/>
            <w:shd w:val="clear" w:color="auto" w:fill="auto"/>
          </w:tcPr>
          <w:p w14:paraId="0F19A682"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Preventive treatment and vaccination against TB</w:t>
            </w:r>
          </w:p>
        </w:tc>
        <w:tc>
          <w:tcPr>
            <w:tcW w:w="1170" w:type="dxa"/>
            <w:shd w:val="clear" w:color="auto" w:fill="auto"/>
          </w:tcPr>
          <w:p w14:paraId="6615725C"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142,984</w:t>
            </w:r>
          </w:p>
        </w:tc>
        <w:tc>
          <w:tcPr>
            <w:tcW w:w="1170" w:type="dxa"/>
            <w:shd w:val="clear" w:color="auto" w:fill="auto"/>
          </w:tcPr>
          <w:p w14:paraId="5FD128E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128,455</w:t>
            </w:r>
          </w:p>
        </w:tc>
        <w:tc>
          <w:tcPr>
            <w:tcW w:w="1260" w:type="dxa"/>
            <w:shd w:val="clear" w:color="auto" w:fill="auto"/>
          </w:tcPr>
          <w:p w14:paraId="761B454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149,882</w:t>
            </w:r>
          </w:p>
        </w:tc>
        <w:tc>
          <w:tcPr>
            <w:tcW w:w="1134" w:type="dxa"/>
          </w:tcPr>
          <w:p w14:paraId="0F3E0F2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128,051</w:t>
            </w:r>
          </w:p>
        </w:tc>
        <w:tc>
          <w:tcPr>
            <w:tcW w:w="1134" w:type="dxa"/>
            <w:shd w:val="clear" w:color="auto" w:fill="auto"/>
          </w:tcPr>
          <w:p w14:paraId="5AD770E1"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549,371</w:t>
            </w:r>
          </w:p>
        </w:tc>
      </w:tr>
      <w:tr w:rsidR="00B10BF5" w:rsidRPr="00EE7E38" w14:paraId="5C71D9A8" w14:textId="77777777" w:rsidTr="00B10BF5">
        <w:tc>
          <w:tcPr>
            <w:tcW w:w="534" w:type="dxa"/>
            <w:shd w:val="clear" w:color="auto" w:fill="auto"/>
          </w:tcPr>
          <w:p w14:paraId="561FB44A"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2.6</w:t>
            </w:r>
          </w:p>
        </w:tc>
        <w:tc>
          <w:tcPr>
            <w:tcW w:w="2994" w:type="dxa"/>
            <w:shd w:val="clear" w:color="auto" w:fill="auto"/>
          </w:tcPr>
          <w:p w14:paraId="19545D31"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Support to operations of TB treatment institutions</w:t>
            </w:r>
          </w:p>
        </w:tc>
        <w:tc>
          <w:tcPr>
            <w:tcW w:w="1170" w:type="dxa"/>
            <w:shd w:val="clear" w:color="auto" w:fill="auto"/>
          </w:tcPr>
          <w:p w14:paraId="5487E044"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4,933,136</w:t>
            </w:r>
          </w:p>
        </w:tc>
        <w:tc>
          <w:tcPr>
            <w:tcW w:w="1170" w:type="dxa"/>
            <w:shd w:val="clear" w:color="auto" w:fill="auto"/>
          </w:tcPr>
          <w:p w14:paraId="7BB364C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5,249,231</w:t>
            </w:r>
          </w:p>
        </w:tc>
        <w:tc>
          <w:tcPr>
            <w:tcW w:w="1260" w:type="dxa"/>
            <w:shd w:val="clear" w:color="auto" w:fill="auto"/>
          </w:tcPr>
          <w:p w14:paraId="2C2DD221"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5,426,712</w:t>
            </w:r>
          </w:p>
        </w:tc>
        <w:tc>
          <w:tcPr>
            <w:tcW w:w="1134" w:type="dxa"/>
          </w:tcPr>
          <w:p w14:paraId="74E2F980"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5,586,969</w:t>
            </w:r>
          </w:p>
        </w:tc>
        <w:tc>
          <w:tcPr>
            <w:tcW w:w="1134" w:type="dxa"/>
            <w:shd w:val="clear" w:color="auto" w:fill="auto"/>
          </w:tcPr>
          <w:p w14:paraId="428AA89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21,196,047</w:t>
            </w:r>
          </w:p>
        </w:tc>
      </w:tr>
      <w:tr w:rsidR="00B10BF5" w:rsidRPr="00EE7E38" w14:paraId="7B8E0E77" w14:textId="77777777" w:rsidTr="00B10BF5">
        <w:tc>
          <w:tcPr>
            <w:tcW w:w="534" w:type="dxa"/>
            <w:shd w:val="clear" w:color="auto" w:fill="BFBFBF" w:themeFill="background1" w:themeFillShade="BF"/>
          </w:tcPr>
          <w:p w14:paraId="16B7DC19"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3</w:t>
            </w:r>
          </w:p>
        </w:tc>
        <w:tc>
          <w:tcPr>
            <w:tcW w:w="2994" w:type="dxa"/>
            <w:shd w:val="clear" w:color="auto" w:fill="BFBFBF" w:themeFill="background1" w:themeFillShade="BF"/>
          </w:tcPr>
          <w:p w14:paraId="26836B4C"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To enable supportive environment and systems for effective TB control</w:t>
            </w:r>
          </w:p>
        </w:tc>
        <w:tc>
          <w:tcPr>
            <w:tcW w:w="1170" w:type="dxa"/>
            <w:shd w:val="clear" w:color="auto" w:fill="BFBFBF" w:themeFill="background1" w:themeFillShade="BF"/>
          </w:tcPr>
          <w:p w14:paraId="1AB80FA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2,080,047</w:t>
            </w:r>
          </w:p>
        </w:tc>
        <w:tc>
          <w:tcPr>
            <w:tcW w:w="1170" w:type="dxa"/>
            <w:shd w:val="clear" w:color="auto" w:fill="BFBFBF" w:themeFill="background1" w:themeFillShade="BF"/>
          </w:tcPr>
          <w:p w14:paraId="223CAF91"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1,760,623</w:t>
            </w:r>
          </w:p>
        </w:tc>
        <w:tc>
          <w:tcPr>
            <w:tcW w:w="1260" w:type="dxa"/>
            <w:shd w:val="clear" w:color="auto" w:fill="BFBFBF" w:themeFill="background1" w:themeFillShade="BF"/>
          </w:tcPr>
          <w:p w14:paraId="0D280EDE"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1,836,923</w:t>
            </w:r>
          </w:p>
        </w:tc>
        <w:tc>
          <w:tcPr>
            <w:tcW w:w="1134" w:type="dxa"/>
            <w:shd w:val="clear" w:color="auto" w:fill="BFBFBF" w:themeFill="background1" w:themeFillShade="BF"/>
          </w:tcPr>
          <w:p w14:paraId="54CF0F2C"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1,576,010</w:t>
            </w:r>
          </w:p>
        </w:tc>
        <w:tc>
          <w:tcPr>
            <w:tcW w:w="1134" w:type="dxa"/>
            <w:shd w:val="clear" w:color="auto" w:fill="BFBFBF" w:themeFill="background1" w:themeFillShade="BF"/>
          </w:tcPr>
          <w:p w14:paraId="2685F17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7,253,603</w:t>
            </w:r>
          </w:p>
        </w:tc>
      </w:tr>
      <w:tr w:rsidR="00B10BF5" w:rsidRPr="00EE7E38" w14:paraId="0DF0D45C" w14:textId="77777777" w:rsidTr="00B10BF5">
        <w:tc>
          <w:tcPr>
            <w:tcW w:w="534" w:type="dxa"/>
            <w:shd w:val="clear" w:color="auto" w:fill="auto"/>
          </w:tcPr>
          <w:p w14:paraId="13CDE511"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3.1</w:t>
            </w:r>
          </w:p>
        </w:tc>
        <w:tc>
          <w:tcPr>
            <w:tcW w:w="2994" w:type="dxa"/>
            <w:shd w:val="clear" w:color="auto" w:fill="auto"/>
          </w:tcPr>
          <w:p w14:paraId="5CD97E23"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Strengthening core health system functions for TB control</w:t>
            </w:r>
          </w:p>
        </w:tc>
        <w:tc>
          <w:tcPr>
            <w:tcW w:w="1170" w:type="dxa"/>
            <w:shd w:val="clear" w:color="auto" w:fill="auto"/>
          </w:tcPr>
          <w:p w14:paraId="1EC8F110"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808,562</w:t>
            </w:r>
          </w:p>
        </w:tc>
        <w:tc>
          <w:tcPr>
            <w:tcW w:w="1170" w:type="dxa"/>
            <w:shd w:val="clear" w:color="auto" w:fill="auto"/>
          </w:tcPr>
          <w:p w14:paraId="1DD4BF51"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563,713</w:t>
            </w:r>
          </w:p>
        </w:tc>
        <w:tc>
          <w:tcPr>
            <w:tcW w:w="1260" w:type="dxa"/>
            <w:shd w:val="clear" w:color="auto" w:fill="auto"/>
          </w:tcPr>
          <w:p w14:paraId="05BC4B5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542,713</w:t>
            </w:r>
          </w:p>
        </w:tc>
        <w:tc>
          <w:tcPr>
            <w:tcW w:w="1134" w:type="dxa"/>
          </w:tcPr>
          <w:p w14:paraId="23A3E67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349,100</w:t>
            </w:r>
          </w:p>
        </w:tc>
        <w:tc>
          <w:tcPr>
            <w:tcW w:w="1134" w:type="dxa"/>
            <w:shd w:val="clear" w:color="auto" w:fill="auto"/>
          </w:tcPr>
          <w:p w14:paraId="61CCEEC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2,264,088</w:t>
            </w:r>
          </w:p>
        </w:tc>
      </w:tr>
      <w:tr w:rsidR="00B10BF5" w:rsidRPr="00EE7E38" w14:paraId="230A6C92" w14:textId="77777777" w:rsidTr="00B10BF5">
        <w:tc>
          <w:tcPr>
            <w:tcW w:w="534" w:type="dxa"/>
            <w:shd w:val="clear" w:color="auto" w:fill="auto"/>
          </w:tcPr>
          <w:p w14:paraId="6B0F8A43" w14:textId="77777777" w:rsidR="00B10BF5" w:rsidRPr="00EE7E38" w:rsidRDefault="00B10BF5" w:rsidP="00A9735E">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lastRenderedPageBreak/>
              <w:t>3.2</w:t>
            </w:r>
          </w:p>
        </w:tc>
        <w:tc>
          <w:tcPr>
            <w:tcW w:w="2994" w:type="dxa"/>
            <w:shd w:val="clear" w:color="auto" w:fill="auto"/>
          </w:tcPr>
          <w:p w14:paraId="4E38190F" w14:textId="77777777" w:rsidR="00B10BF5" w:rsidRPr="00EE7E38" w:rsidRDefault="00B10BF5" w:rsidP="00A9735E">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Supervision, monitoring and evaluation of the National TB Program</w:t>
            </w:r>
          </w:p>
        </w:tc>
        <w:tc>
          <w:tcPr>
            <w:tcW w:w="1170" w:type="dxa"/>
            <w:shd w:val="clear" w:color="auto" w:fill="auto"/>
          </w:tcPr>
          <w:p w14:paraId="592643DE"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591,760</w:t>
            </w:r>
          </w:p>
        </w:tc>
        <w:tc>
          <w:tcPr>
            <w:tcW w:w="1170" w:type="dxa"/>
            <w:shd w:val="clear" w:color="auto" w:fill="auto"/>
          </w:tcPr>
          <w:p w14:paraId="2C06794F"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494,460</w:t>
            </w:r>
          </w:p>
        </w:tc>
        <w:tc>
          <w:tcPr>
            <w:tcW w:w="1260" w:type="dxa"/>
            <w:shd w:val="clear" w:color="auto" w:fill="auto"/>
          </w:tcPr>
          <w:p w14:paraId="0F68A77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591,760</w:t>
            </w:r>
          </w:p>
        </w:tc>
        <w:tc>
          <w:tcPr>
            <w:tcW w:w="1134" w:type="dxa"/>
          </w:tcPr>
          <w:p w14:paraId="3CEE2D71"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494,460</w:t>
            </w:r>
          </w:p>
        </w:tc>
        <w:tc>
          <w:tcPr>
            <w:tcW w:w="1134" w:type="dxa"/>
            <w:shd w:val="clear" w:color="auto" w:fill="auto"/>
          </w:tcPr>
          <w:p w14:paraId="18522963"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2,172,440</w:t>
            </w:r>
          </w:p>
        </w:tc>
      </w:tr>
      <w:tr w:rsidR="00B10BF5" w:rsidRPr="00EE7E38" w14:paraId="7800209E" w14:textId="77777777" w:rsidTr="00B10BF5">
        <w:tc>
          <w:tcPr>
            <w:tcW w:w="534" w:type="dxa"/>
            <w:shd w:val="clear" w:color="auto" w:fill="auto"/>
          </w:tcPr>
          <w:p w14:paraId="61F3D9F4"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3.3</w:t>
            </w:r>
          </w:p>
        </w:tc>
        <w:tc>
          <w:tcPr>
            <w:tcW w:w="2994" w:type="dxa"/>
            <w:shd w:val="clear" w:color="auto" w:fill="auto"/>
          </w:tcPr>
          <w:p w14:paraId="62FD5954"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Advocacy, communication, social mobilization (ACSM) and civil society engagement for TB control</w:t>
            </w:r>
          </w:p>
        </w:tc>
        <w:tc>
          <w:tcPr>
            <w:tcW w:w="1170" w:type="dxa"/>
            <w:shd w:val="clear" w:color="auto" w:fill="auto"/>
          </w:tcPr>
          <w:p w14:paraId="2C58D6BD"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459,725</w:t>
            </w:r>
          </w:p>
        </w:tc>
        <w:tc>
          <w:tcPr>
            <w:tcW w:w="1170" w:type="dxa"/>
            <w:shd w:val="clear" w:color="auto" w:fill="auto"/>
          </w:tcPr>
          <w:p w14:paraId="6732E7B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482,450</w:t>
            </w:r>
          </w:p>
        </w:tc>
        <w:tc>
          <w:tcPr>
            <w:tcW w:w="1260" w:type="dxa"/>
            <w:shd w:val="clear" w:color="auto" w:fill="auto"/>
          </w:tcPr>
          <w:p w14:paraId="26F0A6F5"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482,450</w:t>
            </w:r>
          </w:p>
        </w:tc>
        <w:tc>
          <w:tcPr>
            <w:tcW w:w="1134" w:type="dxa"/>
          </w:tcPr>
          <w:p w14:paraId="7941DD6B"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512,450</w:t>
            </w:r>
          </w:p>
        </w:tc>
        <w:tc>
          <w:tcPr>
            <w:tcW w:w="1134" w:type="dxa"/>
            <w:shd w:val="clear" w:color="auto" w:fill="auto"/>
          </w:tcPr>
          <w:p w14:paraId="6ED8389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1,937,075</w:t>
            </w:r>
          </w:p>
        </w:tc>
      </w:tr>
      <w:tr w:rsidR="00B10BF5" w:rsidRPr="00EE7E38" w14:paraId="4D207130" w14:textId="77777777" w:rsidTr="00B10BF5">
        <w:tc>
          <w:tcPr>
            <w:tcW w:w="534" w:type="dxa"/>
            <w:shd w:val="clear" w:color="auto" w:fill="auto"/>
          </w:tcPr>
          <w:p w14:paraId="37F041EA" w14:textId="77777777" w:rsidR="00B10BF5" w:rsidRPr="00EE7E38" w:rsidRDefault="00B10BF5" w:rsidP="00835F94">
            <w:pPr>
              <w:widowControl w:val="0"/>
              <w:spacing w:before="20" w:after="20"/>
              <w:jc w:val="center"/>
              <w:rPr>
                <w:rFonts w:ascii="Times New Roman" w:hAnsi="Times New Roman" w:cs="Times New Roman"/>
                <w:bCs/>
                <w:sz w:val="16"/>
                <w:szCs w:val="20"/>
              </w:rPr>
            </w:pPr>
            <w:r w:rsidRPr="00EE7E38">
              <w:rPr>
                <w:rFonts w:ascii="Times New Roman" w:hAnsi="Times New Roman" w:cs="Times New Roman"/>
                <w:bCs/>
                <w:sz w:val="16"/>
                <w:szCs w:val="20"/>
              </w:rPr>
              <w:t>3.4</w:t>
            </w:r>
          </w:p>
        </w:tc>
        <w:tc>
          <w:tcPr>
            <w:tcW w:w="2994" w:type="dxa"/>
            <w:shd w:val="clear" w:color="auto" w:fill="auto"/>
          </w:tcPr>
          <w:p w14:paraId="171D72DF" w14:textId="77777777" w:rsidR="00B10BF5" w:rsidRPr="00EE7E38" w:rsidRDefault="00B10BF5" w:rsidP="00835F94">
            <w:pPr>
              <w:widowControl w:val="0"/>
              <w:spacing w:before="20" w:after="20"/>
              <w:rPr>
                <w:rFonts w:ascii="Times New Roman" w:hAnsi="Times New Roman" w:cs="Times New Roman"/>
                <w:bCs/>
                <w:sz w:val="16"/>
                <w:szCs w:val="20"/>
              </w:rPr>
            </w:pPr>
            <w:r w:rsidRPr="00EE7E38">
              <w:rPr>
                <w:rFonts w:ascii="Times New Roman" w:hAnsi="Times New Roman" w:cs="Times New Roman"/>
                <w:bCs/>
                <w:sz w:val="16"/>
                <w:szCs w:val="20"/>
              </w:rPr>
              <w:t>Research on priority issues of TB control</w:t>
            </w:r>
          </w:p>
        </w:tc>
        <w:tc>
          <w:tcPr>
            <w:tcW w:w="1170" w:type="dxa"/>
            <w:shd w:val="clear" w:color="auto" w:fill="auto"/>
          </w:tcPr>
          <w:p w14:paraId="5FCC85B7"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220,000</w:t>
            </w:r>
          </w:p>
        </w:tc>
        <w:tc>
          <w:tcPr>
            <w:tcW w:w="1170" w:type="dxa"/>
            <w:shd w:val="clear" w:color="auto" w:fill="auto"/>
          </w:tcPr>
          <w:p w14:paraId="443299DE"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220,000</w:t>
            </w:r>
          </w:p>
        </w:tc>
        <w:tc>
          <w:tcPr>
            <w:tcW w:w="1260" w:type="dxa"/>
            <w:shd w:val="clear" w:color="auto" w:fill="auto"/>
          </w:tcPr>
          <w:p w14:paraId="6445B210"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220,000</w:t>
            </w:r>
          </w:p>
        </w:tc>
        <w:tc>
          <w:tcPr>
            <w:tcW w:w="1134" w:type="dxa"/>
          </w:tcPr>
          <w:p w14:paraId="60CCF68A"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220,000</w:t>
            </w:r>
          </w:p>
        </w:tc>
        <w:tc>
          <w:tcPr>
            <w:tcW w:w="1134" w:type="dxa"/>
            <w:shd w:val="clear" w:color="auto" w:fill="auto"/>
          </w:tcPr>
          <w:p w14:paraId="321AE719"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880,000</w:t>
            </w:r>
          </w:p>
        </w:tc>
      </w:tr>
      <w:tr w:rsidR="00B10BF5" w:rsidRPr="00EE7E38" w14:paraId="4D86B54C" w14:textId="77777777" w:rsidTr="00B10BF5">
        <w:tc>
          <w:tcPr>
            <w:tcW w:w="534" w:type="dxa"/>
            <w:shd w:val="clear" w:color="auto" w:fill="auto"/>
          </w:tcPr>
          <w:p w14:paraId="70A326BC" w14:textId="77777777" w:rsidR="00B10BF5" w:rsidRPr="00EE7E38" w:rsidRDefault="00B10BF5" w:rsidP="00835F94">
            <w:pPr>
              <w:widowControl w:val="0"/>
              <w:spacing w:before="20" w:after="20"/>
              <w:jc w:val="center"/>
              <w:rPr>
                <w:rFonts w:ascii="Times New Roman" w:hAnsi="Times New Roman" w:cs="Times New Roman"/>
                <w:b/>
                <w:sz w:val="16"/>
                <w:szCs w:val="20"/>
              </w:rPr>
            </w:pPr>
            <w:r w:rsidRPr="00EE7E38">
              <w:rPr>
                <w:rFonts w:ascii="Times New Roman" w:hAnsi="Times New Roman" w:cs="Times New Roman"/>
                <w:b/>
                <w:sz w:val="16"/>
                <w:szCs w:val="20"/>
              </w:rPr>
              <w:t>4</w:t>
            </w:r>
          </w:p>
        </w:tc>
        <w:tc>
          <w:tcPr>
            <w:tcW w:w="2994" w:type="dxa"/>
            <w:shd w:val="clear" w:color="auto" w:fill="auto"/>
          </w:tcPr>
          <w:p w14:paraId="3E11F481" w14:textId="77777777" w:rsidR="00B10BF5" w:rsidRPr="00EE7E38" w:rsidRDefault="00B10BF5" w:rsidP="00835F94">
            <w:pPr>
              <w:widowControl w:val="0"/>
              <w:spacing w:before="20" w:after="20"/>
              <w:rPr>
                <w:rFonts w:ascii="Times New Roman" w:hAnsi="Times New Roman" w:cs="Times New Roman"/>
                <w:b/>
                <w:sz w:val="16"/>
                <w:szCs w:val="20"/>
              </w:rPr>
            </w:pPr>
            <w:r w:rsidRPr="00EE7E38">
              <w:rPr>
                <w:rFonts w:ascii="Times New Roman" w:hAnsi="Times New Roman" w:cs="Times New Roman"/>
                <w:b/>
                <w:sz w:val="16"/>
                <w:szCs w:val="20"/>
              </w:rPr>
              <w:t>Annual cost increase adjustment</w:t>
            </w:r>
          </w:p>
        </w:tc>
        <w:tc>
          <w:tcPr>
            <w:tcW w:w="1170" w:type="dxa"/>
            <w:shd w:val="clear" w:color="auto" w:fill="auto"/>
          </w:tcPr>
          <w:p w14:paraId="51DDDC98"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647,313</w:t>
            </w:r>
          </w:p>
        </w:tc>
        <w:tc>
          <w:tcPr>
            <w:tcW w:w="1170" w:type="dxa"/>
            <w:shd w:val="clear" w:color="auto" w:fill="auto"/>
          </w:tcPr>
          <w:p w14:paraId="476483FE"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625,727</w:t>
            </w:r>
          </w:p>
        </w:tc>
        <w:tc>
          <w:tcPr>
            <w:tcW w:w="1260" w:type="dxa"/>
            <w:shd w:val="clear" w:color="auto" w:fill="auto"/>
          </w:tcPr>
          <w:p w14:paraId="762879C4"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642,784</w:t>
            </w:r>
          </w:p>
        </w:tc>
        <w:tc>
          <w:tcPr>
            <w:tcW w:w="1134" w:type="dxa"/>
          </w:tcPr>
          <w:p w14:paraId="09D453E2"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638,784</w:t>
            </w:r>
          </w:p>
        </w:tc>
        <w:tc>
          <w:tcPr>
            <w:tcW w:w="1134" w:type="dxa"/>
            <w:shd w:val="clear" w:color="auto" w:fill="auto"/>
          </w:tcPr>
          <w:p w14:paraId="31A2CC5C" w14:textId="77777777" w:rsidR="00B10BF5" w:rsidRPr="00EE7E38" w:rsidRDefault="00B10BF5" w:rsidP="00EE7E38">
            <w:pPr>
              <w:rPr>
                <w:rFonts w:ascii="Times New Roman" w:hAnsi="Times New Roman" w:cs="Times New Roman"/>
                <w:sz w:val="18"/>
                <w:szCs w:val="20"/>
              </w:rPr>
            </w:pPr>
            <w:r w:rsidRPr="00EE7E38">
              <w:rPr>
                <w:rFonts w:ascii="Times New Roman" w:hAnsi="Times New Roman" w:cs="Times New Roman"/>
                <w:sz w:val="18"/>
                <w:szCs w:val="20"/>
              </w:rPr>
              <w:t>2,554,608</w:t>
            </w:r>
          </w:p>
        </w:tc>
      </w:tr>
      <w:tr w:rsidR="00B10BF5" w:rsidRPr="00EE7E38" w14:paraId="57A68A9E" w14:textId="77777777" w:rsidTr="00B10BF5">
        <w:tc>
          <w:tcPr>
            <w:tcW w:w="534" w:type="dxa"/>
            <w:shd w:val="clear" w:color="auto" w:fill="auto"/>
          </w:tcPr>
          <w:p w14:paraId="43E5F036" w14:textId="77777777" w:rsidR="00B10BF5" w:rsidRPr="00EE7E38" w:rsidRDefault="00B10BF5" w:rsidP="00835F94">
            <w:pPr>
              <w:widowControl w:val="0"/>
              <w:spacing w:before="20" w:after="20"/>
              <w:jc w:val="center"/>
              <w:rPr>
                <w:rFonts w:ascii="Times New Roman" w:hAnsi="Times New Roman" w:cs="Times New Roman"/>
                <w:b/>
                <w:bCs/>
                <w:sz w:val="16"/>
                <w:szCs w:val="20"/>
              </w:rPr>
            </w:pPr>
          </w:p>
        </w:tc>
        <w:tc>
          <w:tcPr>
            <w:tcW w:w="2994" w:type="dxa"/>
            <w:shd w:val="clear" w:color="auto" w:fill="auto"/>
          </w:tcPr>
          <w:p w14:paraId="673D2C05" w14:textId="77777777" w:rsidR="00B10BF5" w:rsidRPr="00EE7E38" w:rsidRDefault="00B10BF5" w:rsidP="00835F94">
            <w:pPr>
              <w:widowControl w:val="0"/>
              <w:spacing w:before="20" w:after="20"/>
              <w:jc w:val="center"/>
              <w:rPr>
                <w:rFonts w:ascii="Times New Roman" w:hAnsi="Times New Roman" w:cs="Times New Roman"/>
                <w:b/>
                <w:bCs/>
                <w:sz w:val="20"/>
                <w:szCs w:val="20"/>
              </w:rPr>
            </w:pPr>
            <w:r w:rsidRPr="00EE7E38">
              <w:rPr>
                <w:rFonts w:ascii="Times New Roman" w:hAnsi="Times New Roman" w:cs="Times New Roman"/>
                <w:b/>
                <w:bCs/>
                <w:sz w:val="20"/>
                <w:szCs w:val="20"/>
              </w:rPr>
              <w:t>TOTAL</w:t>
            </w:r>
          </w:p>
        </w:tc>
        <w:tc>
          <w:tcPr>
            <w:tcW w:w="1170" w:type="dxa"/>
            <w:shd w:val="clear" w:color="auto" w:fill="auto"/>
          </w:tcPr>
          <w:p w14:paraId="30CEA4F1" w14:textId="77777777" w:rsidR="00B10BF5" w:rsidRPr="00EE7E38" w:rsidRDefault="00B10BF5">
            <w:pPr>
              <w:jc w:val="right"/>
              <w:rPr>
                <w:rFonts w:ascii="Times New Roman" w:hAnsi="Times New Roman" w:cs="Times New Roman"/>
                <w:b/>
                <w:bCs/>
                <w:sz w:val="20"/>
                <w:szCs w:val="20"/>
              </w:rPr>
            </w:pPr>
            <w:r w:rsidRPr="00EE7E38">
              <w:rPr>
                <w:rFonts w:ascii="Times New Roman" w:hAnsi="Times New Roman" w:cs="Times New Roman"/>
                <w:b/>
                <w:bCs/>
                <w:sz w:val="20"/>
                <w:szCs w:val="20"/>
              </w:rPr>
              <w:t>13,593,575</w:t>
            </w:r>
          </w:p>
        </w:tc>
        <w:tc>
          <w:tcPr>
            <w:tcW w:w="1170" w:type="dxa"/>
            <w:shd w:val="clear" w:color="auto" w:fill="auto"/>
          </w:tcPr>
          <w:p w14:paraId="029A8553" w14:textId="77777777" w:rsidR="00B10BF5" w:rsidRPr="00EE7E38" w:rsidRDefault="00B10BF5">
            <w:pPr>
              <w:jc w:val="right"/>
              <w:rPr>
                <w:rFonts w:ascii="Times New Roman" w:hAnsi="Times New Roman" w:cs="Times New Roman"/>
                <w:b/>
                <w:bCs/>
                <w:sz w:val="20"/>
                <w:szCs w:val="20"/>
              </w:rPr>
            </w:pPr>
            <w:r w:rsidRPr="00EE7E38">
              <w:rPr>
                <w:rFonts w:ascii="Times New Roman" w:hAnsi="Times New Roman" w:cs="Times New Roman"/>
                <w:b/>
                <w:bCs/>
                <w:sz w:val="20"/>
                <w:szCs w:val="20"/>
              </w:rPr>
              <w:t>13,140,268</w:t>
            </w:r>
          </w:p>
        </w:tc>
        <w:tc>
          <w:tcPr>
            <w:tcW w:w="1260" w:type="dxa"/>
            <w:shd w:val="clear" w:color="auto" w:fill="auto"/>
          </w:tcPr>
          <w:p w14:paraId="7CF97779" w14:textId="77777777" w:rsidR="00B10BF5" w:rsidRPr="00EE7E38" w:rsidRDefault="00B10BF5">
            <w:pPr>
              <w:jc w:val="right"/>
              <w:rPr>
                <w:rFonts w:ascii="Times New Roman" w:hAnsi="Times New Roman" w:cs="Times New Roman"/>
                <w:b/>
                <w:bCs/>
                <w:sz w:val="20"/>
                <w:szCs w:val="20"/>
              </w:rPr>
            </w:pPr>
            <w:r w:rsidRPr="00EE7E38">
              <w:rPr>
                <w:rFonts w:ascii="Times New Roman" w:hAnsi="Times New Roman" w:cs="Times New Roman"/>
                <w:b/>
                <w:bCs/>
                <w:sz w:val="20"/>
                <w:szCs w:val="20"/>
              </w:rPr>
              <w:t>13,498,468</w:t>
            </w:r>
          </w:p>
        </w:tc>
        <w:tc>
          <w:tcPr>
            <w:tcW w:w="1134" w:type="dxa"/>
          </w:tcPr>
          <w:p w14:paraId="09695140" w14:textId="77777777" w:rsidR="00B10BF5" w:rsidRPr="00EE7E38" w:rsidRDefault="00B10BF5">
            <w:pPr>
              <w:jc w:val="right"/>
              <w:rPr>
                <w:rFonts w:ascii="Times New Roman" w:hAnsi="Times New Roman" w:cs="Times New Roman"/>
                <w:b/>
                <w:bCs/>
                <w:sz w:val="20"/>
                <w:szCs w:val="20"/>
              </w:rPr>
            </w:pPr>
            <w:r w:rsidRPr="00EE7E38">
              <w:rPr>
                <w:rFonts w:ascii="Times New Roman" w:hAnsi="Times New Roman" w:cs="Times New Roman"/>
                <w:b/>
                <w:bCs/>
                <w:sz w:val="20"/>
                <w:szCs w:val="20"/>
              </w:rPr>
              <w:t>13,414,466</w:t>
            </w:r>
          </w:p>
        </w:tc>
        <w:tc>
          <w:tcPr>
            <w:tcW w:w="1134" w:type="dxa"/>
            <w:shd w:val="clear" w:color="auto" w:fill="auto"/>
          </w:tcPr>
          <w:p w14:paraId="285ECB35" w14:textId="77777777" w:rsidR="00B10BF5" w:rsidRPr="00EE7E38" w:rsidRDefault="00B10BF5">
            <w:pPr>
              <w:jc w:val="right"/>
              <w:rPr>
                <w:rFonts w:ascii="Times New Roman" w:hAnsi="Times New Roman" w:cs="Times New Roman"/>
                <w:b/>
                <w:bCs/>
                <w:sz w:val="20"/>
                <w:szCs w:val="20"/>
              </w:rPr>
            </w:pPr>
            <w:r w:rsidRPr="00EE7E38">
              <w:rPr>
                <w:rFonts w:ascii="Times New Roman" w:hAnsi="Times New Roman" w:cs="Times New Roman"/>
                <w:b/>
                <w:bCs/>
                <w:sz w:val="20"/>
                <w:szCs w:val="20"/>
              </w:rPr>
              <w:t>53,646,777</w:t>
            </w:r>
          </w:p>
        </w:tc>
      </w:tr>
    </w:tbl>
    <w:p w14:paraId="2B20AB7D" w14:textId="77777777" w:rsidR="004E11B0" w:rsidRPr="00EE7E38" w:rsidRDefault="004E11B0" w:rsidP="00835F94">
      <w:pPr>
        <w:widowControl w:val="0"/>
        <w:spacing w:before="120" w:after="120" w:line="240" w:lineRule="auto"/>
        <w:jc w:val="both"/>
        <w:rPr>
          <w:rFonts w:ascii="Times New Roman" w:hAnsi="Times New Roman" w:cs="Times New Roman"/>
          <w:sz w:val="18"/>
          <w:szCs w:val="18"/>
        </w:rPr>
      </w:pPr>
      <w:r w:rsidRPr="00EE7E38">
        <w:rPr>
          <w:rFonts w:ascii="Times New Roman" w:hAnsi="Times New Roman" w:cs="Times New Roman"/>
          <w:sz w:val="18"/>
          <w:szCs w:val="18"/>
          <w:u w:val="single"/>
        </w:rPr>
        <w:t>NOTE</w:t>
      </w:r>
      <w:r w:rsidRPr="00EE7E38">
        <w:rPr>
          <w:rFonts w:ascii="Times New Roman" w:hAnsi="Times New Roman" w:cs="Times New Roman"/>
          <w:sz w:val="18"/>
          <w:szCs w:val="18"/>
        </w:rPr>
        <w:t xml:space="preserve">. The estimate covers the costs of TB service and specific TB interventions, but does not include costs of general health services, that may be apportioned for TB (such as, share of PHC providers’ work dedicated to TB-related activities). </w:t>
      </w:r>
    </w:p>
    <w:p w14:paraId="1F5F96F4" w14:textId="019A9E9C"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The above estimates were made on the basis of programmatic need</w:t>
      </w:r>
      <w:r w:rsidR="00A56F1B">
        <w:rPr>
          <w:rFonts w:ascii="Times New Roman" w:hAnsi="Times New Roman" w:cs="Times New Roman"/>
        </w:rPr>
        <w:t xml:space="preserve">s </w:t>
      </w:r>
      <w:r w:rsidRPr="00EE7E38">
        <w:rPr>
          <w:rFonts w:ascii="Times New Roman" w:hAnsi="Times New Roman" w:cs="Times New Roman"/>
        </w:rPr>
        <w:t>assessment</w:t>
      </w:r>
      <w:r w:rsidR="00A56F1B">
        <w:rPr>
          <w:rFonts w:ascii="Times New Roman" w:hAnsi="Times New Roman" w:cs="Times New Roman"/>
        </w:rPr>
        <w:t>s</w:t>
      </w:r>
      <w:r w:rsidRPr="00EE7E38">
        <w:rPr>
          <w:rFonts w:ascii="Times New Roman" w:hAnsi="Times New Roman" w:cs="Times New Roman"/>
        </w:rPr>
        <w:t xml:space="preserve">, which were performed for each Intervention and took </w:t>
      </w:r>
      <w:r w:rsidR="00A56F1B">
        <w:rPr>
          <w:rFonts w:ascii="Times New Roman" w:hAnsi="Times New Roman" w:cs="Times New Roman"/>
        </w:rPr>
        <w:t>into account the</w:t>
      </w:r>
      <w:r w:rsidRPr="00EE7E38">
        <w:rPr>
          <w:rFonts w:ascii="Times New Roman" w:hAnsi="Times New Roman" w:cs="Times New Roman"/>
        </w:rPr>
        <w:t xml:space="preserve"> epidemiological situation (including, for example, expected number of TB cases to be treated and prevalence of drug resistance for each case category), planned increases in the coverage with the Intervention</w:t>
      </w:r>
      <w:r w:rsidR="00A56F1B">
        <w:rPr>
          <w:rFonts w:ascii="Times New Roman" w:hAnsi="Times New Roman" w:cs="Times New Roman"/>
        </w:rPr>
        <w:t>,</w:t>
      </w:r>
      <w:r w:rsidRPr="00EE7E38">
        <w:rPr>
          <w:rFonts w:ascii="Times New Roman" w:hAnsi="Times New Roman" w:cs="Times New Roman"/>
        </w:rPr>
        <w:t xml:space="preserve"> and service capacities. </w:t>
      </w:r>
    </w:p>
    <w:p w14:paraId="312EDF7D"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The unit costs were used based on the current prices (national and international); in addition, a provision for annual cost increases (about 5% on average taking into account the </w:t>
      </w:r>
      <w:r w:rsidR="00660AA8" w:rsidRPr="00EE7E38">
        <w:rPr>
          <w:rFonts w:ascii="Times New Roman" w:hAnsi="Times New Roman" w:cs="Times New Roman"/>
        </w:rPr>
        <w:t xml:space="preserve">domestic price </w:t>
      </w:r>
      <w:r w:rsidRPr="00EE7E38">
        <w:rPr>
          <w:rFonts w:ascii="Times New Roman" w:hAnsi="Times New Roman" w:cs="Times New Roman"/>
        </w:rPr>
        <w:t xml:space="preserve">inflation and trends in international prices) was included in the calculation </w:t>
      </w:r>
      <w:r w:rsidR="00660AA8" w:rsidRPr="00EE7E38">
        <w:rPr>
          <w:rFonts w:ascii="Times New Roman" w:hAnsi="Times New Roman" w:cs="Times New Roman"/>
        </w:rPr>
        <w:t>compared to 201</w:t>
      </w:r>
      <w:r w:rsidR="00006D9F" w:rsidRPr="00EE7E38">
        <w:rPr>
          <w:rFonts w:ascii="Times New Roman" w:hAnsi="Times New Roman" w:cs="Times New Roman"/>
        </w:rPr>
        <w:t>9</w:t>
      </w:r>
      <w:r w:rsidRPr="00EE7E38">
        <w:rPr>
          <w:rFonts w:ascii="Times New Roman" w:hAnsi="Times New Roman" w:cs="Times New Roman"/>
        </w:rPr>
        <w:t xml:space="preserve"> as baseline.</w:t>
      </w:r>
    </w:p>
    <w:p w14:paraId="6E4097DF" w14:textId="78B4EA2F" w:rsidR="004E11B0" w:rsidRPr="00642D62" w:rsidRDefault="00691B0F" w:rsidP="00835F94">
      <w:pPr>
        <w:widowControl w:val="0"/>
        <w:spacing w:before="120" w:after="120" w:line="240" w:lineRule="auto"/>
        <w:jc w:val="both"/>
        <w:rPr>
          <w:rFonts w:ascii="Sylfaen" w:hAnsi="Sylfaen" w:cs="Times New Roman"/>
        </w:rPr>
      </w:pPr>
      <w:r w:rsidRPr="00EE7E38">
        <w:rPr>
          <w:rFonts w:ascii="Times New Roman" w:hAnsi="Times New Roman" w:cs="Times New Roman"/>
        </w:rPr>
        <w:t xml:space="preserve">The average annual needs for TB control (not including PHC costs) in </w:t>
      </w:r>
      <w:r w:rsidR="00B10BF5" w:rsidRPr="00EE7E38">
        <w:rPr>
          <w:rFonts w:ascii="Times New Roman" w:hAnsi="Times New Roman" w:cs="Times New Roman"/>
        </w:rPr>
        <w:t>2019-2022 are estimated at 13.4</w:t>
      </w:r>
      <w:r w:rsidR="009772E1" w:rsidRPr="00EE7E38">
        <w:rPr>
          <w:rFonts w:ascii="Times New Roman" w:hAnsi="Times New Roman" w:cs="Times New Roman"/>
        </w:rPr>
        <w:t xml:space="preserve"> million USD</w:t>
      </w:r>
      <w:r w:rsidR="00A56F1B">
        <w:rPr>
          <w:rFonts w:ascii="Times New Roman" w:hAnsi="Times New Roman" w:cs="Times New Roman"/>
        </w:rPr>
        <w:t xml:space="preserve">. </w:t>
      </w:r>
      <w:r w:rsidR="009772E1" w:rsidRPr="00EE7E38">
        <w:rPr>
          <w:rFonts w:ascii="Times New Roman" w:hAnsi="Times New Roman" w:cs="Times New Roman"/>
        </w:rPr>
        <w:t xml:space="preserve"> </w:t>
      </w:r>
      <w:r w:rsidR="00A56F1B">
        <w:rPr>
          <w:rFonts w:ascii="Times New Roman" w:hAnsi="Times New Roman" w:cs="Times New Roman"/>
        </w:rPr>
        <w:t>This</w:t>
      </w:r>
      <w:r w:rsidR="00A56F1B" w:rsidRPr="00EE7E38">
        <w:rPr>
          <w:rFonts w:ascii="Times New Roman" w:hAnsi="Times New Roman" w:cs="Times New Roman"/>
        </w:rPr>
        <w:t xml:space="preserve"> </w:t>
      </w:r>
      <w:r w:rsidR="009772E1" w:rsidRPr="00EE7E38">
        <w:rPr>
          <w:rFonts w:ascii="Times New Roman" w:hAnsi="Times New Roman" w:cs="Times New Roman"/>
        </w:rPr>
        <w:t xml:space="preserve">is less than </w:t>
      </w:r>
      <w:r w:rsidRPr="00EE7E38">
        <w:rPr>
          <w:rFonts w:ascii="Times New Roman" w:hAnsi="Times New Roman" w:cs="Times New Roman"/>
        </w:rPr>
        <w:t>201</w:t>
      </w:r>
      <w:r w:rsidR="007C62BD" w:rsidRPr="00EE7E38">
        <w:rPr>
          <w:rFonts w:ascii="Times New Roman" w:hAnsi="Times New Roman" w:cs="Times New Roman"/>
        </w:rPr>
        <w:t>6-2018</w:t>
      </w:r>
      <w:r w:rsidR="00A56F1B">
        <w:rPr>
          <w:rFonts w:ascii="Times New Roman" w:hAnsi="Times New Roman" w:cs="Times New Roman"/>
        </w:rPr>
        <w:t xml:space="preserve"> expenditures (</w:t>
      </w:r>
      <w:r w:rsidR="00B10BF5" w:rsidRPr="00EE7E38">
        <w:rPr>
          <w:rFonts w:ascii="Times New Roman" w:hAnsi="Times New Roman" w:cs="Times New Roman"/>
        </w:rPr>
        <w:t>17.8</w:t>
      </w:r>
      <w:r w:rsidR="009772E1" w:rsidRPr="00EE7E38">
        <w:rPr>
          <w:rFonts w:ascii="Times New Roman" w:hAnsi="Times New Roman" w:cs="Times New Roman"/>
        </w:rPr>
        <w:t xml:space="preserve"> </w:t>
      </w:r>
      <w:r w:rsidRPr="00EE7E38">
        <w:rPr>
          <w:rFonts w:ascii="Times New Roman" w:hAnsi="Times New Roman" w:cs="Times New Roman"/>
        </w:rPr>
        <w:t>million</w:t>
      </w:r>
      <w:r w:rsidR="009772E1" w:rsidRPr="00EE7E38">
        <w:rPr>
          <w:rFonts w:ascii="Times New Roman" w:hAnsi="Times New Roman" w:cs="Times New Roman"/>
        </w:rPr>
        <w:t xml:space="preserve"> USD</w:t>
      </w:r>
      <w:r w:rsidR="00A56F1B">
        <w:rPr>
          <w:rFonts w:ascii="Times New Roman" w:hAnsi="Times New Roman" w:cs="Times New Roman"/>
        </w:rPr>
        <w:t>)</w:t>
      </w:r>
      <w:r w:rsidR="009772E1" w:rsidRPr="00EE7E38">
        <w:rPr>
          <w:rFonts w:ascii="Times New Roman" w:hAnsi="Times New Roman" w:cs="Times New Roman"/>
        </w:rPr>
        <w:t xml:space="preserve"> due to </w:t>
      </w:r>
      <w:r w:rsidR="00A56F1B">
        <w:rPr>
          <w:rFonts w:ascii="Times New Roman" w:hAnsi="Times New Roman" w:cs="Times New Roman"/>
        </w:rPr>
        <w:t xml:space="preserve">the </w:t>
      </w:r>
      <w:r w:rsidR="009772E1" w:rsidRPr="00EE7E38">
        <w:rPr>
          <w:rFonts w:ascii="Times New Roman" w:hAnsi="Times New Roman" w:cs="Times New Roman"/>
        </w:rPr>
        <w:t>positive trend of the TB epidemic and the decrease of medication costs</w:t>
      </w:r>
      <w:r w:rsidR="007B1AB2" w:rsidRPr="00EE7E38">
        <w:rPr>
          <w:rFonts w:ascii="Times New Roman" w:hAnsi="Times New Roman" w:cs="Times New Roman"/>
        </w:rPr>
        <w:t>. This is estimated</w:t>
      </w:r>
      <w:r w:rsidRPr="00EE7E38">
        <w:rPr>
          <w:rFonts w:ascii="Times New Roman" w:hAnsi="Times New Roman" w:cs="Times New Roman"/>
        </w:rPr>
        <w:t xml:space="preserve"> </w:t>
      </w:r>
      <w:r w:rsidR="007B1AB2" w:rsidRPr="00EE7E38">
        <w:rPr>
          <w:rFonts w:ascii="Times New Roman" w:hAnsi="Times New Roman" w:cs="Times New Roman"/>
        </w:rPr>
        <w:t xml:space="preserve">at </w:t>
      </w:r>
      <w:r w:rsidR="00CB3CCF" w:rsidRPr="00EE7E38">
        <w:rPr>
          <w:rFonts w:ascii="Times New Roman" w:hAnsi="Times New Roman" w:cs="Times New Roman"/>
        </w:rPr>
        <w:t>3.67</w:t>
      </w:r>
      <w:r w:rsidR="007B1AB2" w:rsidRPr="00EE7E38">
        <w:rPr>
          <w:rFonts w:ascii="Times New Roman" w:hAnsi="Times New Roman" w:cs="Times New Roman"/>
        </w:rPr>
        <w:t xml:space="preserve"> </w:t>
      </w:r>
      <w:r w:rsidRPr="00EE7E38">
        <w:rPr>
          <w:rFonts w:ascii="Times New Roman" w:hAnsi="Times New Roman" w:cs="Times New Roman"/>
        </w:rPr>
        <w:t>USD per year per capita of the total country population.</w:t>
      </w:r>
      <w:r w:rsidR="00642D62">
        <w:rPr>
          <w:rFonts w:ascii="Sylfaen" w:hAnsi="Sylfaen" w:cs="Times New Roman"/>
          <w:lang w:val="ka-GE"/>
        </w:rPr>
        <w:t xml:space="preserve"> </w:t>
      </w:r>
      <w:r w:rsidR="00642D62">
        <w:rPr>
          <w:rFonts w:ascii="Sylfaen" w:hAnsi="Sylfaen" w:cs="Times New Roman"/>
        </w:rPr>
        <w:t xml:space="preserve">In 2016-2018 substantial investments were made to strengthen lab and outpatient TB service delivery infrastructure. Therefore, investment costs envisioned by this strategy are minimal. </w:t>
      </w:r>
    </w:p>
    <w:p w14:paraId="3F0F4192" w14:textId="5411869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Based on the estimates of total needs, expected domestic financing and external funding for TB control interventions</w:t>
      </w:r>
      <w:r w:rsidR="0048480B" w:rsidRPr="00EE7E38">
        <w:rPr>
          <w:rFonts w:ascii="Times New Roman" w:hAnsi="Times New Roman" w:cs="Times New Roman"/>
        </w:rPr>
        <w:t xml:space="preserve"> (through the ongoing and forthcoming Global Fund project and contributions by other external partners)</w:t>
      </w:r>
      <w:r w:rsidRPr="00EE7E38">
        <w:rPr>
          <w:rFonts w:ascii="Times New Roman" w:hAnsi="Times New Roman" w:cs="Times New Roman"/>
        </w:rPr>
        <w:t>, the funding gap for the period covered by this Plan (201</w:t>
      </w:r>
      <w:r w:rsidR="007B1AB2" w:rsidRPr="00EE7E38">
        <w:rPr>
          <w:rFonts w:ascii="Times New Roman" w:hAnsi="Times New Roman" w:cs="Times New Roman"/>
          <w:lang w:val="ka-GE"/>
        </w:rPr>
        <w:t>9</w:t>
      </w:r>
      <w:r w:rsidRPr="00EE7E38">
        <w:rPr>
          <w:rFonts w:ascii="Times New Roman" w:hAnsi="Times New Roman" w:cs="Times New Roman"/>
        </w:rPr>
        <w:t>-20</w:t>
      </w:r>
      <w:r w:rsidR="007B1AB2" w:rsidRPr="00EE7E38">
        <w:rPr>
          <w:rFonts w:ascii="Times New Roman" w:hAnsi="Times New Roman" w:cs="Times New Roman"/>
          <w:lang w:val="ka-GE"/>
        </w:rPr>
        <w:t>22</w:t>
      </w:r>
      <w:r w:rsidRPr="00EE7E38">
        <w:rPr>
          <w:rFonts w:ascii="Times New Roman" w:hAnsi="Times New Roman" w:cs="Times New Roman"/>
        </w:rPr>
        <w:t>) was estimated</w:t>
      </w:r>
      <w:r w:rsidR="00A56F1B">
        <w:rPr>
          <w:rFonts w:ascii="Times New Roman" w:hAnsi="Times New Roman" w:cs="Times New Roman"/>
        </w:rPr>
        <w:t>.</w:t>
      </w:r>
      <w:r w:rsidR="00CB3CCF" w:rsidRPr="00EE7E38">
        <w:rPr>
          <w:rFonts w:ascii="Times New Roman" w:hAnsi="Times New Roman" w:cs="Times New Roman"/>
        </w:rPr>
        <w:t xml:space="preserve"> </w:t>
      </w:r>
      <w:r w:rsidR="00A56F1B">
        <w:rPr>
          <w:rFonts w:ascii="Times New Roman" w:hAnsi="Times New Roman" w:cs="Times New Roman"/>
        </w:rPr>
        <w:t>The g</w:t>
      </w:r>
      <w:r w:rsidR="00CB3CCF" w:rsidRPr="00EE7E38">
        <w:rPr>
          <w:rFonts w:ascii="Times New Roman" w:hAnsi="Times New Roman" w:cs="Times New Roman"/>
        </w:rPr>
        <w:t>ap is mainly explained by low state funding to support TB treatment and diagnostic facilities (including salaries and facility costs)</w:t>
      </w:r>
      <w:r w:rsidR="00A56F1B">
        <w:rPr>
          <w:rFonts w:ascii="Times New Roman" w:hAnsi="Times New Roman" w:cs="Times New Roman"/>
        </w:rPr>
        <w:t>. These estimates are presented in Table 1</w:t>
      </w:r>
      <w:r w:rsidR="00756463">
        <w:rPr>
          <w:rFonts w:ascii="Times New Roman" w:hAnsi="Times New Roman" w:cs="Times New Roman"/>
        </w:rPr>
        <w:t xml:space="preserve">2 </w:t>
      </w:r>
      <w:r w:rsidR="00A56F1B">
        <w:rPr>
          <w:rFonts w:ascii="Times New Roman" w:hAnsi="Times New Roman" w:cs="Times New Roman"/>
        </w:rPr>
        <w:t xml:space="preserve">below. </w:t>
      </w:r>
      <w:r w:rsidR="0048480B" w:rsidRPr="00EE7E38">
        <w:rPr>
          <w:rFonts w:ascii="Times New Roman" w:hAnsi="Times New Roman" w:cs="Times New Roman"/>
        </w:rPr>
        <w:t xml:space="preserve"> </w:t>
      </w:r>
    </w:p>
    <w:p w14:paraId="475345BF" w14:textId="4717A398" w:rsidR="007B1AB2" w:rsidRPr="00EE7E38" w:rsidRDefault="007B1AB2" w:rsidP="007B1AB2">
      <w:pPr>
        <w:pStyle w:val="Caption"/>
        <w:keepNext/>
        <w:rPr>
          <w:rFonts w:ascii="Times New Roman" w:hAnsi="Times New Roman" w:cs="Times New Roman"/>
        </w:rPr>
      </w:pPr>
      <w:proofErr w:type="gramStart"/>
      <w:r w:rsidRPr="00EE7E38">
        <w:rPr>
          <w:rFonts w:ascii="Times New Roman" w:hAnsi="Times New Roman" w:cs="Times New Roman"/>
        </w:rPr>
        <w:t xml:space="preserve">Table </w:t>
      </w:r>
      <w:r w:rsidR="00756463">
        <w:rPr>
          <w:rFonts w:ascii="Times New Roman" w:hAnsi="Times New Roman" w:cs="Times New Roman"/>
        </w:rPr>
        <w:t>12</w:t>
      </w:r>
      <w:r w:rsidRPr="00EE7E38">
        <w:rPr>
          <w:rFonts w:ascii="Times New Roman" w:hAnsi="Times New Roman" w:cs="Times New Roman"/>
          <w:lang w:val="ka-GE"/>
        </w:rPr>
        <w:t>.</w:t>
      </w:r>
      <w:proofErr w:type="gramEnd"/>
      <w:r w:rsidRPr="00EE7E38">
        <w:rPr>
          <w:rFonts w:ascii="Times New Roman" w:hAnsi="Times New Roman" w:cs="Times New Roman"/>
          <w:lang w:val="ka-GE"/>
        </w:rPr>
        <w:t xml:space="preserve"> Estimated total funding needs, Government funding, external funding and funding gap for implementation of TB control activities in Georgia, total for 2019-2022, by NSP Objective, USD</w:t>
      </w:r>
    </w:p>
    <w:tbl>
      <w:tblPr>
        <w:tblStyle w:val="TableGrid"/>
        <w:tblW w:w="9889" w:type="dxa"/>
        <w:tblLook w:val="04A0" w:firstRow="1" w:lastRow="0" w:firstColumn="1" w:lastColumn="0" w:noHBand="0" w:noVBand="1"/>
      </w:tblPr>
      <w:tblGrid>
        <w:gridCol w:w="540"/>
        <w:gridCol w:w="3679"/>
        <w:gridCol w:w="1417"/>
        <w:gridCol w:w="1418"/>
        <w:gridCol w:w="1417"/>
        <w:gridCol w:w="1418"/>
      </w:tblGrid>
      <w:tr w:rsidR="00EE7E38" w:rsidRPr="00EE7E38" w14:paraId="6002A600" w14:textId="77777777" w:rsidTr="00EE7E38">
        <w:trPr>
          <w:trHeight w:val="1045"/>
        </w:trPr>
        <w:tc>
          <w:tcPr>
            <w:tcW w:w="540" w:type="dxa"/>
            <w:hideMark/>
          </w:tcPr>
          <w:p w14:paraId="60A783B5"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No.</w:t>
            </w:r>
          </w:p>
        </w:tc>
        <w:tc>
          <w:tcPr>
            <w:tcW w:w="3679" w:type="dxa"/>
            <w:hideMark/>
          </w:tcPr>
          <w:p w14:paraId="15748FFF"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Objective</w:t>
            </w:r>
          </w:p>
        </w:tc>
        <w:tc>
          <w:tcPr>
            <w:tcW w:w="1417" w:type="dxa"/>
            <w:hideMark/>
          </w:tcPr>
          <w:p w14:paraId="33C4E9ED"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Total funding needs</w:t>
            </w:r>
          </w:p>
        </w:tc>
        <w:tc>
          <w:tcPr>
            <w:tcW w:w="1418" w:type="dxa"/>
            <w:hideMark/>
          </w:tcPr>
          <w:p w14:paraId="244EFD18"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Government funding</w:t>
            </w:r>
          </w:p>
        </w:tc>
        <w:tc>
          <w:tcPr>
            <w:tcW w:w="1417" w:type="dxa"/>
            <w:hideMark/>
          </w:tcPr>
          <w:p w14:paraId="05504CF3"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External funding</w:t>
            </w:r>
          </w:p>
        </w:tc>
        <w:tc>
          <w:tcPr>
            <w:tcW w:w="1418" w:type="dxa"/>
            <w:hideMark/>
          </w:tcPr>
          <w:p w14:paraId="74A4C7D6"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Funding</w:t>
            </w:r>
          </w:p>
          <w:p w14:paraId="70935A78" w14:textId="77777777" w:rsidR="00EE7E38" w:rsidRPr="00EE7E38" w:rsidRDefault="00EE7E38" w:rsidP="00EE7E38">
            <w:pPr>
              <w:jc w:val="center"/>
              <w:rPr>
                <w:rFonts w:ascii="Times New Roman" w:eastAsia="Times New Roman" w:hAnsi="Times New Roman" w:cs="Times New Roman"/>
                <w:b/>
                <w:bCs/>
                <w:i/>
                <w:iCs/>
                <w:sz w:val="20"/>
              </w:rPr>
            </w:pPr>
            <w:r w:rsidRPr="00EE7E38">
              <w:rPr>
                <w:rFonts w:ascii="Times New Roman" w:eastAsia="Times New Roman" w:hAnsi="Times New Roman" w:cs="Times New Roman"/>
                <w:b/>
                <w:bCs/>
                <w:i/>
                <w:iCs/>
                <w:sz w:val="20"/>
              </w:rPr>
              <w:t>gap</w:t>
            </w:r>
          </w:p>
        </w:tc>
      </w:tr>
      <w:tr w:rsidR="00EE7E38" w:rsidRPr="00EE7E38" w14:paraId="1C80E34B" w14:textId="77777777" w:rsidTr="00EE7E38">
        <w:trPr>
          <w:trHeight w:val="300"/>
        </w:trPr>
        <w:tc>
          <w:tcPr>
            <w:tcW w:w="540" w:type="dxa"/>
            <w:vMerge w:val="restart"/>
            <w:hideMark/>
          </w:tcPr>
          <w:p w14:paraId="60A74A4E"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bCs/>
                <w:sz w:val="20"/>
              </w:rPr>
              <w:t>1</w:t>
            </w:r>
          </w:p>
        </w:tc>
        <w:tc>
          <w:tcPr>
            <w:tcW w:w="3679" w:type="dxa"/>
            <w:vMerge w:val="restart"/>
            <w:hideMark/>
          </w:tcPr>
          <w:p w14:paraId="0CDA794A" w14:textId="77777777" w:rsidR="00EE7E38" w:rsidRPr="00EE7E38" w:rsidRDefault="00EE7E38" w:rsidP="00EE7E38">
            <w:pPr>
              <w:rPr>
                <w:rFonts w:ascii="Times New Roman" w:eastAsia="Times New Roman" w:hAnsi="Times New Roman" w:cs="Times New Roman"/>
                <w:sz w:val="20"/>
              </w:rPr>
            </w:pPr>
            <w:r w:rsidRPr="00EE7E38">
              <w:rPr>
                <w:rFonts w:ascii="Times New Roman" w:eastAsia="Times New Roman" w:hAnsi="Times New Roman" w:cs="Times New Roman"/>
                <w:bCs/>
                <w:sz w:val="20"/>
              </w:rPr>
              <w:t>To provide universal access to early and quality diagnosis of all forms of TB including M/XDR-TB</w:t>
            </w:r>
          </w:p>
        </w:tc>
        <w:tc>
          <w:tcPr>
            <w:tcW w:w="1417" w:type="dxa"/>
            <w:vMerge w:val="restart"/>
            <w:hideMark/>
          </w:tcPr>
          <w:p w14:paraId="346BD563" w14:textId="77777777" w:rsidR="00EE7E38" w:rsidRPr="00EE7E38" w:rsidRDefault="00EE7E38" w:rsidP="00EE7E38">
            <w:pPr>
              <w:jc w:val="right"/>
              <w:rPr>
                <w:rFonts w:ascii="Times New Roman" w:eastAsia="Times New Roman" w:hAnsi="Times New Roman" w:cs="Times New Roman"/>
                <w:sz w:val="20"/>
              </w:rPr>
            </w:pPr>
            <w:r w:rsidRPr="00EE7E38">
              <w:rPr>
                <w:rFonts w:ascii="Times New Roman" w:eastAsia="Times New Roman" w:hAnsi="Times New Roman" w:cs="Times New Roman"/>
                <w:sz w:val="20"/>
              </w:rPr>
              <w:t>12,270,830</w:t>
            </w:r>
          </w:p>
        </w:tc>
        <w:tc>
          <w:tcPr>
            <w:tcW w:w="1418" w:type="dxa"/>
            <w:vMerge w:val="restart"/>
            <w:hideMark/>
          </w:tcPr>
          <w:p w14:paraId="27E61813" w14:textId="77777777" w:rsidR="00EE7E38" w:rsidRPr="00EE7E38" w:rsidRDefault="00EE7E38" w:rsidP="00EE7E38">
            <w:pPr>
              <w:jc w:val="right"/>
              <w:rPr>
                <w:rFonts w:ascii="Times New Roman" w:eastAsia="Times New Roman" w:hAnsi="Times New Roman" w:cs="Times New Roman"/>
                <w:sz w:val="20"/>
              </w:rPr>
            </w:pPr>
            <w:r w:rsidRPr="00EE7E38">
              <w:rPr>
                <w:rFonts w:ascii="Times New Roman" w:eastAsia="Times New Roman" w:hAnsi="Times New Roman" w:cs="Times New Roman"/>
                <w:sz w:val="20"/>
              </w:rPr>
              <w:t>4,444,820</w:t>
            </w:r>
          </w:p>
        </w:tc>
        <w:tc>
          <w:tcPr>
            <w:tcW w:w="1417" w:type="dxa"/>
            <w:vMerge w:val="restart"/>
            <w:hideMark/>
          </w:tcPr>
          <w:p w14:paraId="413653F7"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bCs/>
                <w:sz w:val="20"/>
              </w:rPr>
              <w:t>2,965,538</w:t>
            </w:r>
          </w:p>
        </w:tc>
        <w:tc>
          <w:tcPr>
            <w:tcW w:w="1418" w:type="dxa"/>
            <w:vMerge w:val="restart"/>
            <w:hideMark/>
          </w:tcPr>
          <w:p w14:paraId="5C3FF402"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4,860,473</w:t>
            </w:r>
          </w:p>
        </w:tc>
      </w:tr>
      <w:tr w:rsidR="00EE7E38" w:rsidRPr="00EE7E38" w14:paraId="32B872ED" w14:textId="77777777" w:rsidTr="00EE7E38">
        <w:trPr>
          <w:trHeight w:val="509"/>
        </w:trPr>
        <w:tc>
          <w:tcPr>
            <w:tcW w:w="540" w:type="dxa"/>
            <w:vMerge/>
            <w:hideMark/>
          </w:tcPr>
          <w:p w14:paraId="179C83AC" w14:textId="77777777" w:rsidR="00EE7E38" w:rsidRPr="00EE7E38" w:rsidRDefault="00EE7E38" w:rsidP="00EE7E38">
            <w:pPr>
              <w:rPr>
                <w:rFonts w:ascii="Times New Roman" w:eastAsia="Times New Roman" w:hAnsi="Times New Roman" w:cs="Times New Roman"/>
                <w:sz w:val="20"/>
              </w:rPr>
            </w:pPr>
          </w:p>
        </w:tc>
        <w:tc>
          <w:tcPr>
            <w:tcW w:w="3679" w:type="dxa"/>
            <w:vMerge/>
            <w:hideMark/>
          </w:tcPr>
          <w:p w14:paraId="6A7425A3" w14:textId="77777777" w:rsidR="00EE7E38" w:rsidRPr="00EE7E38" w:rsidRDefault="00EE7E38" w:rsidP="00EE7E38">
            <w:pPr>
              <w:rPr>
                <w:rFonts w:ascii="Times New Roman" w:eastAsia="Times New Roman" w:hAnsi="Times New Roman" w:cs="Times New Roman"/>
                <w:sz w:val="20"/>
              </w:rPr>
            </w:pPr>
          </w:p>
        </w:tc>
        <w:tc>
          <w:tcPr>
            <w:tcW w:w="1417" w:type="dxa"/>
            <w:vMerge/>
            <w:hideMark/>
          </w:tcPr>
          <w:p w14:paraId="04D4DB59" w14:textId="77777777" w:rsidR="00EE7E38" w:rsidRPr="00EE7E38" w:rsidRDefault="00EE7E38" w:rsidP="00EE7E38">
            <w:pPr>
              <w:rPr>
                <w:rFonts w:ascii="Times New Roman" w:eastAsia="Times New Roman" w:hAnsi="Times New Roman" w:cs="Times New Roman"/>
                <w:sz w:val="20"/>
              </w:rPr>
            </w:pPr>
          </w:p>
        </w:tc>
        <w:tc>
          <w:tcPr>
            <w:tcW w:w="1418" w:type="dxa"/>
            <w:vMerge/>
            <w:hideMark/>
          </w:tcPr>
          <w:p w14:paraId="74EFA5D8" w14:textId="77777777" w:rsidR="00EE7E38" w:rsidRPr="00EE7E38" w:rsidRDefault="00EE7E38" w:rsidP="00EE7E38">
            <w:pPr>
              <w:rPr>
                <w:rFonts w:ascii="Times New Roman" w:eastAsia="Times New Roman" w:hAnsi="Times New Roman" w:cs="Times New Roman"/>
                <w:sz w:val="20"/>
              </w:rPr>
            </w:pPr>
          </w:p>
        </w:tc>
        <w:tc>
          <w:tcPr>
            <w:tcW w:w="1417" w:type="dxa"/>
            <w:vMerge/>
            <w:hideMark/>
          </w:tcPr>
          <w:p w14:paraId="28BA385F" w14:textId="77777777" w:rsidR="00EE7E38" w:rsidRPr="00EE7E38" w:rsidRDefault="00EE7E38" w:rsidP="00EE7E38">
            <w:pPr>
              <w:rPr>
                <w:rFonts w:ascii="Times New Roman" w:eastAsia="Times New Roman" w:hAnsi="Times New Roman" w:cs="Times New Roman"/>
                <w:sz w:val="20"/>
              </w:rPr>
            </w:pPr>
          </w:p>
        </w:tc>
        <w:tc>
          <w:tcPr>
            <w:tcW w:w="1418" w:type="dxa"/>
            <w:vMerge/>
            <w:hideMark/>
          </w:tcPr>
          <w:p w14:paraId="0B115361" w14:textId="77777777" w:rsidR="00EE7E38" w:rsidRPr="00EE7E38" w:rsidRDefault="00EE7E38" w:rsidP="00EE7E38">
            <w:pPr>
              <w:rPr>
                <w:rFonts w:ascii="Times New Roman" w:eastAsia="Times New Roman" w:hAnsi="Times New Roman" w:cs="Times New Roman"/>
                <w:sz w:val="20"/>
              </w:rPr>
            </w:pPr>
          </w:p>
        </w:tc>
      </w:tr>
      <w:tr w:rsidR="00EE7E38" w:rsidRPr="00EE7E38" w14:paraId="19C6D3AE" w14:textId="77777777" w:rsidTr="00EE7E38">
        <w:trPr>
          <w:trHeight w:val="300"/>
        </w:trPr>
        <w:tc>
          <w:tcPr>
            <w:tcW w:w="540" w:type="dxa"/>
            <w:vMerge w:val="restart"/>
            <w:hideMark/>
          </w:tcPr>
          <w:p w14:paraId="691DBAE6"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bCs/>
                <w:sz w:val="20"/>
              </w:rPr>
              <w:t>2</w:t>
            </w:r>
          </w:p>
        </w:tc>
        <w:tc>
          <w:tcPr>
            <w:tcW w:w="3679" w:type="dxa"/>
            <w:vMerge w:val="restart"/>
            <w:hideMark/>
          </w:tcPr>
          <w:p w14:paraId="3497EA5D" w14:textId="77777777" w:rsidR="00EE7E38" w:rsidRPr="00EE7E38" w:rsidRDefault="00EE7E38" w:rsidP="00EE7E38">
            <w:pPr>
              <w:rPr>
                <w:rFonts w:ascii="Times New Roman" w:eastAsia="Times New Roman" w:hAnsi="Times New Roman" w:cs="Times New Roman"/>
                <w:sz w:val="20"/>
              </w:rPr>
            </w:pPr>
            <w:r w:rsidRPr="00EE7E38">
              <w:rPr>
                <w:rFonts w:ascii="Times New Roman" w:eastAsia="Times New Roman" w:hAnsi="Times New Roman" w:cs="Times New Roman"/>
                <w:bCs/>
                <w:sz w:val="20"/>
              </w:rPr>
              <w:t>To provide universal access to quality treatment of all forms of TB including M/XDR-TB with appropriate patient support</w:t>
            </w:r>
          </w:p>
        </w:tc>
        <w:tc>
          <w:tcPr>
            <w:tcW w:w="1417" w:type="dxa"/>
            <w:vMerge w:val="restart"/>
            <w:hideMark/>
          </w:tcPr>
          <w:p w14:paraId="4306BF56"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bCs/>
                <w:sz w:val="20"/>
              </w:rPr>
              <w:t>31,567,735</w:t>
            </w:r>
          </w:p>
        </w:tc>
        <w:tc>
          <w:tcPr>
            <w:tcW w:w="1418" w:type="dxa"/>
            <w:vMerge w:val="restart"/>
            <w:hideMark/>
          </w:tcPr>
          <w:p w14:paraId="74E72001"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24,239,100</w:t>
            </w:r>
          </w:p>
        </w:tc>
        <w:tc>
          <w:tcPr>
            <w:tcW w:w="1417" w:type="dxa"/>
            <w:vMerge w:val="restart"/>
            <w:hideMark/>
          </w:tcPr>
          <w:p w14:paraId="61C3B76E"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3,775,563</w:t>
            </w:r>
          </w:p>
        </w:tc>
        <w:tc>
          <w:tcPr>
            <w:tcW w:w="1418" w:type="dxa"/>
            <w:vMerge w:val="restart"/>
            <w:hideMark/>
          </w:tcPr>
          <w:p w14:paraId="2C60D48C"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3,553,072</w:t>
            </w:r>
          </w:p>
        </w:tc>
      </w:tr>
      <w:tr w:rsidR="00EE7E38" w:rsidRPr="00EE7E38" w14:paraId="40C69DFB" w14:textId="77777777" w:rsidTr="00EE7E38">
        <w:trPr>
          <w:trHeight w:val="509"/>
        </w:trPr>
        <w:tc>
          <w:tcPr>
            <w:tcW w:w="540" w:type="dxa"/>
            <w:vMerge/>
            <w:hideMark/>
          </w:tcPr>
          <w:p w14:paraId="7BB3855C" w14:textId="77777777" w:rsidR="00EE7E38" w:rsidRPr="00EE7E38" w:rsidRDefault="00EE7E38" w:rsidP="00EE7E38">
            <w:pPr>
              <w:rPr>
                <w:rFonts w:ascii="Times New Roman" w:eastAsia="Times New Roman" w:hAnsi="Times New Roman" w:cs="Times New Roman"/>
                <w:sz w:val="20"/>
              </w:rPr>
            </w:pPr>
          </w:p>
        </w:tc>
        <w:tc>
          <w:tcPr>
            <w:tcW w:w="3679" w:type="dxa"/>
            <w:vMerge/>
            <w:hideMark/>
          </w:tcPr>
          <w:p w14:paraId="311021BE" w14:textId="77777777" w:rsidR="00EE7E38" w:rsidRPr="00EE7E38" w:rsidRDefault="00EE7E38" w:rsidP="00EE7E38">
            <w:pPr>
              <w:rPr>
                <w:rFonts w:ascii="Times New Roman" w:eastAsia="Times New Roman" w:hAnsi="Times New Roman" w:cs="Times New Roman"/>
                <w:sz w:val="20"/>
              </w:rPr>
            </w:pPr>
          </w:p>
        </w:tc>
        <w:tc>
          <w:tcPr>
            <w:tcW w:w="1417" w:type="dxa"/>
            <w:vMerge/>
            <w:hideMark/>
          </w:tcPr>
          <w:p w14:paraId="52EB51A9" w14:textId="77777777" w:rsidR="00EE7E38" w:rsidRPr="00EE7E38" w:rsidRDefault="00EE7E38" w:rsidP="00EE7E38">
            <w:pPr>
              <w:rPr>
                <w:rFonts w:ascii="Times New Roman" w:eastAsia="Times New Roman" w:hAnsi="Times New Roman" w:cs="Times New Roman"/>
                <w:sz w:val="20"/>
              </w:rPr>
            </w:pPr>
          </w:p>
        </w:tc>
        <w:tc>
          <w:tcPr>
            <w:tcW w:w="1418" w:type="dxa"/>
            <w:vMerge/>
            <w:hideMark/>
          </w:tcPr>
          <w:p w14:paraId="28A89FDB" w14:textId="77777777" w:rsidR="00EE7E38" w:rsidRPr="00EE7E38" w:rsidRDefault="00EE7E38" w:rsidP="00EE7E38">
            <w:pPr>
              <w:rPr>
                <w:rFonts w:ascii="Times New Roman" w:eastAsia="Times New Roman" w:hAnsi="Times New Roman" w:cs="Times New Roman"/>
                <w:sz w:val="20"/>
              </w:rPr>
            </w:pPr>
          </w:p>
        </w:tc>
        <w:tc>
          <w:tcPr>
            <w:tcW w:w="1417" w:type="dxa"/>
            <w:vMerge/>
            <w:hideMark/>
          </w:tcPr>
          <w:p w14:paraId="680957C4" w14:textId="77777777" w:rsidR="00EE7E38" w:rsidRPr="00EE7E38" w:rsidRDefault="00EE7E38" w:rsidP="00EE7E38">
            <w:pPr>
              <w:rPr>
                <w:rFonts w:ascii="Times New Roman" w:eastAsia="Times New Roman" w:hAnsi="Times New Roman" w:cs="Times New Roman"/>
                <w:sz w:val="20"/>
              </w:rPr>
            </w:pPr>
          </w:p>
        </w:tc>
        <w:tc>
          <w:tcPr>
            <w:tcW w:w="1418" w:type="dxa"/>
            <w:vMerge/>
            <w:hideMark/>
          </w:tcPr>
          <w:p w14:paraId="4978F7C8" w14:textId="77777777" w:rsidR="00EE7E38" w:rsidRPr="00EE7E38" w:rsidRDefault="00EE7E38" w:rsidP="00EE7E38">
            <w:pPr>
              <w:rPr>
                <w:rFonts w:ascii="Times New Roman" w:eastAsia="Times New Roman" w:hAnsi="Times New Roman" w:cs="Times New Roman"/>
                <w:sz w:val="20"/>
              </w:rPr>
            </w:pPr>
          </w:p>
        </w:tc>
      </w:tr>
      <w:tr w:rsidR="00EE7E38" w:rsidRPr="00EE7E38" w14:paraId="07E254A7" w14:textId="77777777" w:rsidTr="00EE7E38">
        <w:trPr>
          <w:trHeight w:val="600"/>
        </w:trPr>
        <w:tc>
          <w:tcPr>
            <w:tcW w:w="540" w:type="dxa"/>
            <w:hideMark/>
          </w:tcPr>
          <w:p w14:paraId="1EA7765C"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bCs/>
                <w:sz w:val="20"/>
              </w:rPr>
              <w:t>3</w:t>
            </w:r>
          </w:p>
        </w:tc>
        <w:tc>
          <w:tcPr>
            <w:tcW w:w="3679" w:type="dxa"/>
            <w:hideMark/>
          </w:tcPr>
          <w:p w14:paraId="1974688A" w14:textId="77777777" w:rsidR="00EE7E38" w:rsidRPr="00EE7E38" w:rsidRDefault="00EE7E38" w:rsidP="00EE7E38">
            <w:pPr>
              <w:rPr>
                <w:rFonts w:ascii="Times New Roman" w:eastAsia="Times New Roman" w:hAnsi="Times New Roman" w:cs="Times New Roman"/>
                <w:sz w:val="20"/>
              </w:rPr>
            </w:pPr>
            <w:r w:rsidRPr="00EE7E38">
              <w:rPr>
                <w:rFonts w:ascii="Times New Roman" w:eastAsia="Times New Roman" w:hAnsi="Times New Roman" w:cs="Times New Roman"/>
                <w:bCs/>
                <w:sz w:val="20"/>
              </w:rPr>
              <w:t>To enable supportive environment and systems for effective TB control</w:t>
            </w:r>
          </w:p>
        </w:tc>
        <w:tc>
          <w:tcPr>
            <w:tcW w:w="1417" w:type="dxa"/>
            <w:hideMark/>
          </w:tcPr>
          <w:p w14:paraId="21DB23B1"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7,253,603</w:t>
            </w:r>
          </w:p>
        </w:tc>
        <w:tc>
          <w:tcPr>
            <w:tcW w:w="1418" w:type="dxa"/>
            <w:hideMark/>
          </w:tcPr>
          <w:p w14:paraId="6EF5018F"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563,010</w:t>
            </w:r>
          </w:p>
        </w:tc>
        <w:tc>
          <w:tcPr>
            <w:tcW w:w="1417" w:type="dxa"/>
            <w:hideMark/>
          </w:tcPr>
          <w:p w14:paraId="4849B6FF"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4,267,627</w:t>
            </w:r>
          </w:p>
        </w:tc>
        <w:tc>
          <w:tcPr>
            <w:tcW w:w="1418" w:type="dxa"/>
            <w:hideMark/>
          </w:tcPr>
          <w:p w14:paraId="4EFE2BC7"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2,422,967</w:t>
            </w:r>
          </w:p>
        </w:tc>
      </w:tr>
      <w:tr w:rsidR="00EE7E38" w:rsidRPr="00EE7E38" w14:paraId="7103725C" w14:textId="77777777" w:rsidTr="00EE7E38">
        <w:trPr>
          <w:trHeight w:val="300"/>
        </w:trPr>
        <w:tc>
          <w:tcPr>
            <w:tcW w:w="540" w:type="dxa"/>
            <w:hideMark/>
          </w:tcPr>
          <w:p w14:paraId="10D6389A"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4</w:t>
            </w:r>
          </w:p>
        </w:tc>
        <w:tc>
          <w:tcPr>
            <w:tcW w:w="3679" w:type="dxa"/>
            <w:hideMark/>
          </w:tcPr>
          <w:p w14:paraId="05462CB0" w14:textId="77777777" w:rsidR="00EE7E38" w:rsidRPr="00EE7E38" w:rsidRDefault="00EE7E38" w:rsidP="00EE7E38">
            <w:pPr>
              <w:rPr>
                <w:rFonts w:ascii="Times New Roman" w:eastAsia="Times New Roman" w:hAnsi="Times New Roman" w:cs="Times New Roman"/>
                <w:sz w:val="20"/>
              </w:rPr>
            </w:pPr>
            <w:r w:rsidRPr="00EE7E38">
              <w:rPr>
                <w:rFonts w:ascii="Times New Roman" w:eastAsia="Times New Roman" w:hAnsi="Times New Roman" w:cs="Times New Roman"/>
                <w:sz w:val="20"/>
              </w:rPr>
              <w:t>Annual cost increase adjustment</w:t>
            </w:r>
          </w:p>
        </w:tc>
        <w:tc>
          <w:tcPr>
            <w:tcW w:w="1417" w:type="dxa"/>
            <w:hideMark/>
          </w:tcPr>
          <w:p w14:paraId="702D0D03" w14:textId="77777777" w:rsidR="00EE7E38" w:rsidRPr="00EE7E38" w:rsidRDefault="00EE7E38" w:rsidP="00EE7E38">
            <w:pPr>
              <w:jc w:val="center"/>
              <w:rPr>
                <w:rFonts w:ascii="Times New Roman" w:eastAsia="Times New Roman" w:hAnsi="Times New Roman" w:cs="Times New Roman"/>
                <w:color w:val="000000"/>
                <w:sz w:val="20"/>
              </w:rPr>
            </w:pPr>
            <w:r w:rsidRPr="00EE7E38">
              <w:rPr>
                <w:rFonts w:ascii="Times New Roman" w:eastAsia="Times New Roman" w:hAnsi="Times New Roman" w:cs="Times New Roman"/>
                <w:bCs/>
                <w:color w:val="000000"/>
                <w:sz w:val="20"/>
              </w:rPr>
              <w:t>2,554,608</w:t>
            </w:r>
          </w:p>
        </w:tc>
        <w:tc>
          <w:tcPr>
            <w:tcW w:w="1418" w:type="dxa"/>
            <w:hideMark/>
          </w:tcPr>
          <w:p w14:paraId="0B592B52"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1,462,347</w:t>
            </w:r>
          </w:p>
        </w:tc>
        <w:tc>
          <w:tcPr>
            <w:tcW w:w="1417" w:type="dxa"/>
            <w:hideMark/>
          </w:tcPr>
          <w:p w14:paraId="76DFACBF"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76,256</w:t>
            </w:r>
          </w:p>
        </w:tc>
        <w:tc>
          <w:tcPr>
            <w:tcW w:w="1418" w:type="dxa"/>
            <w:hideMark/>
          </w:tcPr>
          <w:p w14:paraId="7DF311EB"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541,826</w:t>
            </w:r>
          </w:p>
        </w:tc>
      </w:tr>
      <w:tr w:rsidR="00EE7E38" w:rsidRPr="00EE7E38" w14:paraId="36801761" w14:textId="77777777" w:rsidTr="00EE7E38">
        <w:trPr>
          <w:trHeight w:val="300"/>
        </w:trPr>
        <w:tc>
          <w:tcPr>
            <w:tcW w:w="540" w:type="dxa"/>
            <w:hideMark/>
          </w:tcPr>
          <w:p w14:paraId="2C47155B" w14:textId="77777777" w:rsidR="00EE7E38" w:rsidRPr="00EE7E38" w:rsidRDefault="00EE7E38" w:rsidP="00EE7E38">
            <w:pPr>
              <w:jc w:val="center"/>
              <w:rPr>
                <w:rFonts w:ascii="Times New Roman" w:eastAsia="Times New Roman" w:hAnsi="Times New Roman" w:cs="Times New Roman"/>
                <w:b/>
                <w:bCs/>
                <w:sz w:val="20"/>
              </w:rPr>
            </w:pPr>
            <w:r w:rsidRPr="00EE7E38">
              <w:rPr>
                <w:rFonts w:ascii="Times New Roman" w:eastAsia="Times New Roman" w:hAnsi="Times New Roman" w:cs="Times New Roman"/>
                <w:b/>
                <w:bCs/>
                <w:sz w:val="20"/>
              </w:rPr>
              <w:t> </w:t>
            </w:r>
          </w:p>
        </w:tc>
        <w:tc>
          <w:tcPr>
            <w:tcW w:w="3679" w:type="dxa"/>
            <w:hideMark/>
          </w:tcPr>
          <w:p w14:paraId="3E0B071F" w14:textId="77777777" w:rsidR="00EE7E38" w:rsidRPr="00EE7E38" w:rsidRDefault="00EE7E38" w:rsidP="00EE7E38">
            <w:pPr>
              <w:jc w:val="center"/>
              <w:rPr>
                <w:rFonts w:ascii="Times New Roman" w:eastAsia="Times New Roman" w:hAnsi="Times New Roman" w:cs="Times New Roman"/>
                <w:b/>
                <w:bCs/>
                <w:sz w:val="20"/>
              </w:rPr>
            </w:pPr>
            <w:r w:rsidRPr="00EE7E38">
              <w:rPr>
                <w:rFonts w:ascii="Times New Roman" w:eastAsia="Times New Roman" w:hAnsi="Times New Roman" w:cs="Times New Roman"/>
                <w:b/>
                <w:bCs/>
                <w:sz w:val="20"/>
              </w:rPr>
              <w:t>TOTAL</w:t>
            </w:r>
          </w:p>
        </w:tc>
        <w:tc>
          <w:tcPr>
            <w:tcW w:w="1417" w:type="dxa"/>
            <w:hideMark/>
          </w:tcPr>
          <w:p w14:paraId="481CF98B"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53,646,777</w:t>
            </w:r>
          </w:p>
        </w:tc>
        <w:tc>
          <w:tcPr>
            <w:tcW w:w="1418" w:type="dxa"/>
            <w:hideMark/>
          </w:tcPr>
          <w:p w14:paraId="1A9E15B3"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30,709,277</w:t>
            </w:r>
          </w:p>
        </w:tc>
        <w:tc>
          <w:tcPr>
            <w:tcW w:w="1417" w:type="dxa"/>
            <w:hideMark/>
          </w:tcPr>
          <w:p w14:paraId="3DB34374"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11,559,163</w:t>
            </w:r>
          </w:p>
        </w:tc>
        <w:tc>
          <w:tcPr>
            <w:tcW w:w="1418" w:type="dxa"/>
            <w:hideMark/>
          </w:tcPr>
          <w:p w14:paraId="212F814C" w14:textId="77777777" w:rsidR="00EE7E38" w:rsidRPr="00EE7E38" w:rsidRDefault="00EE7E38" w:rsidP="00EE7E38">
            <w:pPr>
              <w:jc w:val="center"/>
              <w:rPr>
                <w:rFonts w:ascii="Times New Roman" w:eastAsia="Times New Roman" w:hAnsi="Times New Roman" w:cs="Times New Roman"/>
                <w:sz w:val="20"/>
              </w:rPr>
            </w:pPr>
            <w:r w:rsidRPr="00EE7E38">
              <w:rPr>
                <w:rFonts w:ascii="Times New Roman" w:eastAsia="Times New Roman" w:hAnsi="Times New Roman" w:cs="Times New Roman"/>
                <w:sz w:val="20"/>
              </w:rPr>
              <w:t>11,378,337</w:t>
            </w:r>
          </w:p>
        </w:tc>
      </w:tr>
    </w:tbl>
    <w:p w14:paraId="6B0DA4C0"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Despite the increasing Government financial commitments and sizeable anticipated external funding support during the </w:t>
      </w:r>
      <w:r w:rsidR="00EE7E38" w:rsidRPr="00EE7E38">
        <w:rPr>
          <w:rFonts w:ascii="Times New Roman" w:hAnsi="Times New Roman" w:cs="Times New Roman"/>
        </w:rPr>
        <w:t>strategy implementation period</w:t>
      </w:r>
      <w:r w:rsidR="0061558B" w:rsidRPr="00EE7E38">
        <w:rPr>
          <w:rFonts w:ascii="Times New Roman" w:hAnsi="Times New Roman" w:cs="Times New Roman"/>
        </w:rPr>
        <w:t xml:space="preserve">, </w:t>
      </w:r>
      <w:r w:rsidRPr="00EE7E38">
        <w:rPr>
          <w:rFonts w:ascii="Times New Roman" w:hAnsi="Times New Roman" w:cs="Times New Roman"/>
        </w:rPr>
        <w:t xml:space="preserve">the </w:t>
      </w:r>
      <w:r w:rsidR="0061558B" w:rsidRPr="00EE7E38">
        <w:rPr>
          <w:rFonts w:ascii="Times New Roman" w:hAnsi="Times New Roman" w:cs="Times New Roman"/>
        </w:rPr>
        <w:t xml:space="preserve">estimated </w:t>
      </w:r>
      <w:r w:rsidRPr="00EE7E38">
        <w:rPr>
          <w:rFonts w:ascii="Times New Roman" w:hAnsi="Times New Roman" w:cs="Times New Roman"/>
        </w:rPr>
        <w:t>funding gap remains</w:t>
      </w:r>
      <w:r w:rsidR="006D64E5" w:rsidRPr="00EE7E38">
        <w:rPr>
          <w:rFonts w:ascii="Times New Roman" w:hAnsi="Times New Roman" w:cs="Times New Roman"/>
        </w:rPr>
        <w:t xml:space="preserve"> significant</w:t>
      </w:r>
      <w:r w:rsidRPr="00EE7E38">
        <w:rPr>
          <w:rFonts w:ascii="Times New Roman" w:hAnsi="Times New Roman" w:cs="Times New Roman"/>
        </w:rPr>
        <w:t xml:space="preserve">, given the requirements for decisive scale up in access to diagnosis and treatment of (including M/XDR-TB), implementation of ample patient-centered approaches including adherence support and increased coverage of risk groups with involvement of the communities and civil society. </w:t>
      </w:r>
    </w:p>
    <w:p w14:paraId="057642A7" w14:textId="6479965B"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lastRenderedPageBreak/>
        <w:t>The total funding gap for years 201</w:t>
      </w:r>
      <w:r w:rsidR="007B1AB2" w:rsidRPr="00EE7E38">
        <w:rPr>
          <w:rFonts w:ascii="Times New Roman" w:hAnsi="Times New Roman" w:cs="Times New Roman"/>
          <w:lang w:val="ka-GE"/>
        </w:rPr>
        <w:t>9</w:t>
      </w:r>
      <w:r w:rsidRPr="00EE7E38">
        <w:rPr>
          <w:rFonts w:ascii="Times New Roman" w:hAnsi="Times New Roman" w:cs="Times New Roman"/>
        </w:rPr>
        <w:t>-20</w:t>
      </w:r>
      <w:r w:rsidR="007B1AB2" w:rsidRPr="00EE7E38">
        <w:rPr>
          <w:rFonts w:ascii="Times New Roman" w:hAnsi="Times New Roman" w:cs="Times New Roman"/>
          <w:lang w:val="ka-GE"/>
        </w:rPr>
        <w:t>22</w:t>
      </w:r>
      <w:r w:rsidRPr="00EE7E38">
        <w:rPr>
          <w:rFonts w:ascii="Times New Roman" w:hAnsi="Times New Roman" w:cs="Times New Roman"/>
        </w:rPr>
        <w:t xml:space="preserve"> is estimated at about USD</w:t>
      </w:r>
      <w:r w:rsidR="00326ADB" w:rsidRPr="00EE7E38">
        <w:rPr>
          <w:rFonts w:ascii="Times New Roman" w:hAnsi="Times New Roman" w:cs="Times New Roman"/>
        </w:rPr>
        <w:t xml:space="preserve"> 1</w:t>
      </w:r>
      <w:r w:rsidR="00EE7E38" w:rsidRPr="00EE7E38">
        <w:rPr>
          <w:rFonts w:ascii="Times New Roman" w:hAnsi="Times New Roman" w:cs="Times New Roman"/>
        </w:rPr>
        <w:t>1.37</w:t>
      </w:r>
      <w:r w:rsidR="007B1AB2" w:rsidRPr="00EE7E38">
        <w:rPr>
          <w:rFonts w:ascii="Times New Roman" w:hAnsi="Times New Roman" w:cs="Times New Roman"/>
          <w:lang w:val="ka-GE"/>
        </w:rPr>
        <w:t xml:space="preserve"> </w:t>
      </w:r>
      <w:r w:rsidR="0061558B" w:rsidRPr="00EE7E38">
        <w:rPr>
          <w:rFonts w:ascii="Times New Roman" w:hAnsi="Times New Roman" w:cs="Times New Roman"/>
        </w:rPr>
        <w:t xml:space="preserve">million, which constitutes a </w:t>
      </w:r>
      <w:r w:rsidR="007C1128" w:rsidRPr="00EE7E38">
        <w:rPr>
          <w:rFonts w:ascii="Times New Roman" w:hAnsi="Times New Roman" w:cs="Times New Roman"/>
        </w:rPr>
        <w:t>2</w:t>
      </w:r>
      <w:r w:rsidR="00EE7E38" w:rsidRPr="00EE7E38">
        <w:rPr>
          <w:rFonts w:ascii="Times New Roman" w:hAnsi="Times New Roman" w:cs="Times New Roman"/>
        </w:rPr>
        <w:t>1</w:t>
      </w:r>
      <w:r w:rsidR="006D64E5" w:rsidRPr="00EE7E38">
        <w:rPr>
          <w:rFonts w:ascii="Times New Roman" w:hAnsi="Times New Roman" w:cs="Times New Roman"/>
        </w:rPr>
        <w:t xml:space="preserve">% </w:t>
      </w:r>
      <w:r w:rsidRPr="00EE7E38">
        <w:rPr>
          <w:rFonts w:ascii="Times New Roman" w:hAnsi="Times New Roman" w:cs="Times New Roman"/>
        </w:rPr>
        <w:t>deficit of the total needs of USD</w:t>
      </w:r>
      <w:r w:rsidR="008D03BB" w:rsidRPr="00EE7E38">
        <w:rPr>
          <w:rFonts w:ascii="Times New Roman" w:hAnsi="Times New Roman" w:cs="Times New Roman"/>
        </w:rPr>
        <w:t xml:space="preserve"> 5</w:t>
      </w:r>
      <w:r w:rsidR="00EE7E38" w:rsidRPr="00EE7E38">
        <w:rPr>
          <w:rFonts w:ascii="Times New Roman" w:hAnsi="Times New Roman" w:cs="Times New Roman"/>
        </w:rPr>
        <w:t>3.6</w:t>
      </w:r>
      <w:r w:rsidR="007B1AB2" w:rsidRPr="00EE7E38">
        <w:rPr>
          <w:rFonts w:ascii="Times New Roman" w:hAnsi="Times New Roman" w:cs="Times New Roman"/>
        </w:rPr>
        <w:t xml:space="preserve"> </w:t>
      </w:r>
      <w:r w:rsidRPr="00EE7E38">
        <w:rPr>
          <w:rFonts w:ascii="Times New Roman" w:hAnsi="Times New Roman" w:cs="Times New Roman"/>
        </w:rPr>
        <w:t xml:space="preserve">million for the same period. The most important gaps are faced by in </w:t>
      </w:r>
      <w:r w:rsidR="0061558B" w:rsidRPr="00EE7E38">
        <w:rPr>
          <w:rFonts w:ascii="Times New Roman" w:hAnsi="Times New Roman" w:cs="Times New Roman"/>
        </w:rPr>
        <w:t xml:space="preserve">the supply of anti-TB drugs for treatment of M/XDR-TB cases and in the </w:t>
      </w:r>
      <w:r w:rsidRPr="00EE7E38">
        <w:rPr>
          <w:rFonts w:ascii="Times New Roman" w:hAnsi="Times New Roman" w:cs="Times New Roman"/>
        </w:rPr>
        <w:t xml:space="preserve">provision of adherence support to </w:t>
      </w:r>
      <w:r w:rsidR="0061558B" w:rsidRPr="00EE7E38">
        <w:rPr>
          <w:rFonts w:ascii="Times New Roman" w:hAnsi="Times New Roman" w:cs="Times New Roman"/>
        </w:rPr>
        <w:t xml:space="preserve">the </w:t>
      </w:r>
      <w:r w:rsidRPr="00EE7E38">
        <w:rPr>
          <w:rFonts w:ascii="Times New Roman" w:hAnsi="Times New Roman" w:cs="Times New Roman"/>
        </w:rPr>
        <w:t>patients</w:t>
      </w:r>
      <w:r w:rsidR="0061558B" w:rsidRPr="00EE7E38">
        <w:rPr>
          <w:rFonts w:ascii="Times New Roman" w:hAnsi="Times New Roman" w:cs="Times New Roman"/>
        </w:rPr>
        <w:t xml:space="preserve">. </w:t>
      </w:r>
      <w:r w:rsidRPr="00EE7E38">
        <w:rPr>
          <w:rFonts w:ascii="Times New Roman" w:hAnsi="Times New Roman" w:cs="Times New Roman"/>
        </w:rPr>
        <w:t xml:space="preserve">The detailed calculations for estimating financial needs, breakdown of funding by source and </w:t>
      </w:r>
      <w:r w:rsidR="0061558B" w:rsidRPr="00EE7E38">
        <w:rPr>
          <w:rFonts w:ascii="Times New Roman" w:hAnsi="Times New Roman" w:cs="Times New Roman"/>
        </w:rPr>
        <w:t>Objective/</w:t>
      </w:r>
      <w:r w:rsidRPr="00EE7E38">
        <w:rPr>
          <w:rFonts w:ascii="Times New Roman" w:hAnsi="Times New Roman" w:cs="Times New Roman"/>
        </w:rPr>
        <w:t xml:space="preserve">Intervention and other details are </w:t>
      </w:r>
      <w:r w:rsidR="00051D3F">
        <w:rPr>
          <w:rFonts w:ascii="Times New Roman" w:hAnsi="Times New Roman" w:cs="Times New Roman"/>
        </w:rPr>
        <w:t>provided</w:t>
      </w:r>
      <w:r w:rsidR="00051D3F" w:rsidRPr="00EE7E38">
        <w:rPr>
          <w:rFonts w:ascii="Times New Roman" w:hAnsi="Times New Roman" w:cs="Times New Roman"/>
        </w:rPr>
        <w:t xml:space="preserve"> </w:t>
      </w:r>
      <w:r w:rsidRPr="00EE7E38">
        <w:rPr>
          <w:rFonts w:ascii="Times New Roman" w:hAnsi="Times New Roman" w:cs="Times New Roman"/>
        </w:rPr>
        <w:t>in a separate annex to this document.</w:t>
      </w:r>
    </w:p>
    <w:p w14:paraId="24E7BF89"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b/>
          <w:bCs/>
        </w:rPr>
        <w:t>Sustainability and takeover</w:t>
      </w:r>
    </w:p>
    <w:p w14:paraId="69ABAD74" w14:textId="77777777"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During the last decade, implementation of key programmatic interventions in TB control in </w:t>
      </w:r>
      <w:r w:rsidR="00723031" w:rsidRPr="00EE7E38">
        <w:rPr>
          <w:rFonts w:ascii="Times New Roman" w:hAnsi="Times New Roman" w:cs="Times New Roman"/>
        </w:rPr>
        <w:t xml:space="preserve">Georgia </w:t>
      </w:r>
      <w:r w:rsidRPr="00EE7E38">
        <w:rPr>
          <w:rFonts w:ascii="Times New Roman" w:hAnsi="Times New Roman" w:cs="Times New Roman"/>
        </w:rPr>
        <w:t xml:space="preserve">has been fully or </w:t>
      </w:r>
      <w:r w:rsidR="00723031" w:rsidRPr="00EE7E38">
        <w:rPr>
          <w:rFonts w:ascii="Times New Roman" w:hAnsi="Times New Roman" w:cs="Times New Roman"/>
        </w:rPr>
        <w:t xml:space="preserve">predominantly </w:t>
      </w:r>
      <w:r w:rsidRPr="00EE7E38">
        <w:rPr>
          <w:rFonts w:ascii="Times New Roman" w:hAnsi="Times New Roman" w:cs="Times New Roman"/>
        </w:rPr>
        <w:t xml:space="preserve">reliant on external funding (first of all, the Global Fund, which has been covering most important and most expensive expenditures, such as procurement of TB drugs, laboratory </w:t>
      </w:r>
      <w:r w:rsidR="00723031" w:rsidRPr="00EE7E38">
        <w:rPr>
          <w:rFonts w:ascii="Times New Roman" w:hAnsi="Times New Roman" w:cs="Times New Roman"/>
        </w:rPr>
        <w:t xml:space="preserve">consumables </w:t>
      </w:r>
      <w:r w:rsidRPr="00EE7E38">
        <w:rPr>
          <w:rFonts w:ascii="Times New Roman" w:hAnsi="Times New Roman" w:cs="Times New Roman"/>
        </w:rPr>
        <w:t xml:space="preserve">and patient support). </w:t>
      </w:r>
    </w:p>
    <w:p w14:paraId="7A2A2E4D" w14:textId="763F7AA2" w:rsidR="004E11B0"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Taking into account </w:t>
      </w:r>
      <w:r w:rsidR="00723031" w:rsidRPr="00EE7E38">
        <w:rPr>
          <w:rFonts w:ascii="Times New Roman" w:hAnsi="Times New Roman" w:cs="Times New Roman"/>
        </w:rPr>
        <w:t xml:space="preserve">the fact </w:t>
      </w:r>
      <w:r w:rsidRPr="00EE7E38">
        <w:rPr>
          <w:rFonts w:ascii="Times New Roman" w:hAnsi="Times New Roman" w:cs="Times New Roman"/>
        </w:rPr>
        <w:t xml:space="preserve">that the amount of available TGF financial resources will be decreasing during the period covered by this Plan, the Government of </w:t>
      </w:r>
      <w:r w:rsidR="00723031" w:rsidRPr="00EE7E38">
        <w:rPr>
          <w:rFonts w:ascii="Times New Roman" w:hAnsi="Times New Roman" w:cs="Times New Roman"/>
        </w:rPr>
        <w:t xml:space="preserve">Georgia </w:t>
      </w:r>
      <w:r w:rsidRPr="00EE7E38">
        <w:rPr>
          <w:rFonts w:ascii="Times New Roman" w:hAnsi="Times New Roman" w:cs="Times New Roman"/>
        </w:rPr>
        <w:t>is committed to increase the level of domestic funding in order to bridge the gaps and gradually take over the funding of priority TB control interventions.</w:t>
      </w:r>
    </w:p>
    <w:p w14:paraId="3F3F4725" w14:textId="77777777" w:rsidR="00EE3756" w:rsidRPr="00EE7E38" w:rsidRDefault="004E11B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In this regard, the following key interventions will be given priority consideration in terms of taking over external funding or increasing the current l</w:t>
      </w:r>
      <w:r w:rsidR="00EE3756" w:rsidRPr="00EE7E38">
        <w:rPr>
          <w:rFonts w:ascii="Times New Roman" w:hAnsi="Times New Roman" w:cs="Times New Roman"/>
        </w:rPr>
        <w:t>evel of government expenditure:</w:t>
      </w:r>
    </w:p>
    <w:p w14:paraId="799923FD" w14:textId="7C5095E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 xml:space="preserve">Salaries of staff </w:t>
      </w:r>
      <w:r w:rsidR="00723031" w:rsidRPr="00EE7E38">
        <w:rPr>
          <w:rFonts w:ascii="Times New Roman" w:hAnsi="Times New Roman" w:cs="Times New Roman"/>
          <w:i/>
          <w:iCs/>
        </w:rPr>
        <w:t xml:space="preserve">and facility expenditures </w:t>
      </w:r>
      <w:r w:rsidRPr="00EE7E38">
        <w:rPr>
          <w:rFonts w:ascii="Times New Roman" w:hAnsi="Times New Roman" w:cs="Times New Roman"/>
          <w:i/>
          <w:iCs/>
        </w:rPr>
        <w:t>in TB service institutions</w:t>
      </w:r>
      <w:r w:rsidRPr="00EE7E38">
        <w:rPr>
          <w:rFonts w:ascii="Times New Roman" w:hAnsi="Times New Roman" w:cs="Times New Roman"/>
        </w:rPr>
        <w:t xml:space="preserve">. </w:t>
      </w:r>
      <w:r w:rsidR="00D72682" w:rsidRPr="00EE7E38">
        <w:rPr>
          <w:rFonts w:ascii="Times New Roman" w:hAnsi="Times New Roman" w:cs="Times New Roman"/>
        </w:rPr>
        <w:t xml:space="preserve">The Government will continue to uphold the operations of the public health laboratories’ network, which provide bacteriological diagnosis of TB (under NCDCPH management). </w:t>
      </w:r>
      <w:r w:rsidR="00723031" w:rsidRPr="00EE7E38">
        <w:rPr>
          <w:rFonts w:ascii="Times New Roman" w:hAnsi="Times New Roman" w:cs="Times New Roman"/>
        </w:rPr>
        <w:t xml:space="preserve">Using the funding of the </w:t>
      </w:r>
      <w:r w:rsidR="00051D3F">
        <w:rPr>
          <w:rFonts w:ascii="Times New Roman" w:hAnsi="Times New Roman" w:cs="Times New Roman"/>
        </w:rPr>
        <w:t>NTP</w:t>
      </w:r>
      <w:r w:rsidR="00723031" w:rsidRPr="00EE7E38">
        <w:rPr>
          <w:rFonts w:ascii="Times New Roman" w:hAnsi="Times New Roman" w:cs="Times New Roman"/>
        </w:rPr>
        <w:t xml:space="preserve"> and/or under the Universal Health Care scheme, it </w:t>
      </w:r>
      <w:r w:rsidRPr="00EE7E38">
        <w:rPr>
          <w:rFonts w:ascii="Times New Roman" w:hAnsi="Times New Roman" w:cs="Times New Roman"/>
        </w:rPr>
        <w:t xml:space="preserve">is planned to increase the level of staff remuneration according to the </w:t>
      </w:r>
      <w:r w:rsidR="00D72682" w:rsidRPr="00EE7E38">
        <w:rPr>
          <w:rFonts w:ascii="Times New Roman" w:hAnsi="Times New Roman" w:cs="Times New Roman"/>
        </w:rPr>
        <w:t xml:space="preserve">relevant Government policies. </w:t>
      </w:r>
      <w:r w:rsidRPr="00EE7E38">
        <w:rPr>
          <w:rFonts w:ascii="Times New Roman" w:hAnsi="Times New Roman" w:cs="Times New Roman"/>
        </w:rPr>
        <w:t xml:space="preserve">The Government will continue covering </w:t>
      </w:r>
      <w:r w:rsidR="00D72682" w:rsidRPr="00EE7E38">
        <w:rPr>
          <w:rFonts w:ascii="Times New Roman" w:hAnsi="Times New Roman" w:cs="Times New Roman"/>
        </w:rPr>
        <w:t xml:space="preserve">the facility expenses of the health care provider institutions providing TB care </w:t>
      </w:r>
      <w:r w:rsidRPr="00EE7E38">
        <w:rPr>
          <w:rFonts w:ascii="Times New Roman" w:hAnsi="Times New Roman" w:cs="Times New Roman"/>
        </w:rPr>
        <w:t>and will increase the payments for relevant budget lines as required</w:t>
      </w:r>
      <w:r w:rsidR="00D72682" w:rsidRPr="00EE7E38">
        <w:rPr>
          <w:rFonts w:ascii="Times New Roman" w:hAnsi="Times New Roman" w:cs="Times New Roman"/>
        </w:rPr>
        <w:t>.</w:t>
      </w:r>
    </w:p>
    <w:p w14:paraId="0306A10B" w14:textId="77777777" w:rsidR="004E11B0" w:rsidRPr="00EE7E38" w:rsidRDefault="004E11B0"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Timeframe: continuous</w:t>
      </w:r>
    </w:p>
    <w:p w14:paraId="305CC77D"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Renovation and refurbishment of inpatient TB treatment facilities</w:t>
      </w:r>
      <w:r w:rsidRPr="00EE7E38">
        <w:rPr>
          <w:rFonts w:ascii="Times New Roman" w:hAnsi="Times New Roman" w:cs="Times New Roman"/>
        </w:rPr>
        <w:t xml:space="preserve">. </w:t>
      </w:r>
      <w:r w:rsidR="00D72682" w:rsidRPr="00EE7E38">
        <w:rPr>
          <w:rFonts w:ascii="Times New Roman" w:hAnsi="Times New Roman" w:cs="Times New Roman"/>
        </w:rPr>
        <w:t xml:space="preserve">The Government will allocate, as well as advocate for with the management of private medical provider networks, additional financing for renovation of </w:t>
      </w:r>
      <w:r w:rsidRPr="00EE7E38">
        <w:rPr>
          <w:rFonts w:ascii="Times New Roman" w:hAnsi="Times New Roman" w:cs="Times New Roman"/>
        </w:rPr>
        <w:t xml:space="preserve">TB </w:t>
      </w:r>
      <w:r w:rsidR="00D72682" w:rsidRPr="00EE7E38">
        <w:rPr>
          <w:rFonts w:ascii="Times New Roman" w:hAnsi="Times New Roman" w:cs="Times New Roman"/>
        </w:rPr>
        <w:t xml:space="preserve">inpatient and outpatient </w:t>
      </w:r>
      <w:r w:rsidRPr="00EE7E38">
        <w:rPr>
          <w:rFonts w:ascii="Times New Roman" w:hAnsi="Times New Roman" w:cs="Times New Roman"/>
        </w:rPr>
        <w:t>facilities</w:t>
      </w:r>
      <w:r w:rsidR="00D72682" w:rsidRPr="00EE7E38">
        <w:rPr>
          <w:rFonts w:ascii="Times New Roman" w:hAnsi="Times New Roman" w:cs="Times New Roman"/>
        </w:rPr>
        <w:t xml:space="preserve">, </w:t>
      </w:r>
      <w:r w:rsidRPr="00EE7E38">
        <w:rPr>
          <w:rFonts w:ascii="Times New Roman" w:hAnsi="Times New Roman" w:cs="Times New Roman"/>
        </w:rPr>
        <w:t>which are in need of infrastructure rehabilitation</w:t>
      </w:r>
      <w:r w:rsidR="00D72682" w:rsidRPr="00EE7E38">
        <w:rPr>
          <w:rFonts w:ascii="Times New Roman" w:hAnsi="Times New Roman" w:cs="Times New Roman"/>
        </w:rPr>
        <w:t xml:space="preserve"> (including relocation from current premises). </w:t>
      </w:r>
      <w:r w:rsidRPr="00EE7E38">
        <w:rPr>
          <w:rFonts w:ascii="Times New Roman" w:hAnsi="Times New Roman" w:cs="Times New Roman"/>
        </w:rPr>
        <w:t xml:space="preserve">This includes establishment of </w:t>
      </w:r>
      <w:r w:rsidR="00D72682" w:rsidRPr="00EE7E38">
        <w:rPr>
          <w:rFonts w:ascii="Times New Roman" w:hAnsi="Times New Roman" w:cs="Times New Roman"/>
        </w:rPr>
        <w:t xml:space="preserve">the palliative care facility </w:t>
      </w:r>
      <w:r w:rsidRPr="00EE7E38">
        <w:rPr>
          <w:rFonts w:ascii="Times New Roman" w:hAnsi="Times New Roman" w:cs="Times New Roman"/>
        </w:rPr>
        <w:t>for patients who failed all available treatment options.</w:t>
      </w:r>
    </w:p>
    <w:p w14:paraId="725DCB7E" w14:textId="77777777" w:rsidR="00E7174D" w:rsidRPr="00EE7E38" w:rsidRDefault="00E1163D"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Timeframe: 2019</w:t>
      </w:r>
      <w:r w:rsidR="004E11B0" w:rsidRPr="00EE7E38">
        <w:rPr>
          <w:rFonts w:ascii="Times New Roman" w:hAnsi="Times New Roman" w:cs="Times New Roman"/>
        </w:rPr>
        <w:t>-202</w:t>
      </w:r>
      <w:r w:rsidR="00480910" w:rsidRPr="00EE7E38">
        <w:rPr>
          <w:rFonts w:ascii="Times New Roman" w:hAnsi="Times New Roman" w:cs="Times New Roman"/>
        </w:rPr>
        <w:t>2</w:t>
      </w:r>
    </w:p>
    <w:p w14:paraId="1354A3C0"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Microscopy and conventional culture investigations (consumables, reagents)</w:t>
      </w:r>
      <w:r w:rsidRPr="00EE7E38">
        <w:rPr>
          <w:rFonts w:ascii="Times New Roman" w:hAnsi="Times New Roman" w:cs="Times New Roman"/>
        </w:rPr>
        <w:t xml:space="preserve"> </w:t>
      </w:r>
      <w:r w:rsidR="00E1163D" w:rsidRPr="00EE7E38">
        <w:rPr>
          <w:rFonts w:ascii="Times New Roman" w:hAnsi="Times New Roman" w:cs="Times New Roman"/>
        </w:rPr>
        <w:t>was</w:t>
      </w:r>
      <w:r w:rsidRPr="00EE7E38">
        <w:rPr>
          <w:rFonts w:ascii="Times New Roman" w:hAnsi="Times New Roman" w:cs="Times New Roman"/>
        </w:rPr>
        <w:t xml:space="preserve"> </w:t>
      </w:r>
      <w:r w:rsidR="00E1163D" w:rsidRPr="00EE7E38">
        <w:rPr>
          <w:rFonts w:ascii="Times New Roman" w:hAnsi="Times New Roman" w:cs="Times New Roman"/>
        </w:rPr>
        <w:t>in 2016. Government will provide continuous funding to ensure access to quality TB diagnoses.</w:t>
      </w:r>
    </w:p>
    <w:p w14:paraId="311AC3B5" w14:textId="77777777" w:rsidR="004E11B0" w:rsidRPr="00EE7E38" w:rsidRDefault="004E11B0"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 xml:space="preserve">Timeframe: </w:t>
      </w:r>
      <w:r w:rsidR="00480910" w:rsidRPr="00EE7E38">
        <w:rPr>
          <w:rFonts w:ascii="Times New Roman" w:hAnsi="Times New Roman" w:cs="Times New Roman"/>
        </w:rPr>
        <w:t>continuous</w:t>
      </w:r>
    </w:p>
    <w:p w14:paraId="6AD2D11D"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Clinical investigations for TB patients on treatment</w:t>
      </w:r>
      <w:r w:rsidR="00D72682" w:rsidRPr="00EE7E38">
        <w:rPr>
          <w:rFonts w:ascii="Times New Roman" w:hAnsi="Times New Roman" w:cs="Times New Roman"/>
          <w:i/>
          <w:iCs/>
        </w:rPr>
        <w:t xml:space="preserve"> and medicines for management of adverse drug reactions of anti-TB drugs</w:t>
      </w:r>
      <w:r w:rsidR="00480910" w:rsidRPr="00EE7E38">
        <w:rPr>
          <w:rFonts w:ascii="Times New Roman" w:hAnsi="Times New Roman" w:cs="Times New Roman"/>
        </w:rPr>
        <w:t xml:space="preserve"> will be continued to be funded by the government</w:t>
      </w:r>
      <w:r w:rsidRPr="00EE7E38">
        <w:rPr>
          <w:rFonts w:ascii="Times New Roman" w:hAnsi="Times New Roman" w:cs="Times New Roman"/>
        </w:rPr>
        <w:t xml:space="preserve">. </w:t>
      </w:r>
    </w:p>
    <w:p w14:paraId="34AD47FD" w14:textId="77777777" w:rsidR="004E11B0" w:rsidRPr="00EE7E38" w:rsidRDefault="00D72682"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 xml:space="preserve">Timeframe: </w:t>
      </w:r>
      <w:r w:rsidR="00480910" w:rsidRPr="00EE7E38">
        <w:rPr>
          <w:rFonts w:ascii="Times New Roman" w:hAnsi="Times New Roman" w:cs="Times New Roman"/>
        </w:rPr>
        <w:t>continuous</w:t>
      </w:r>
    </w:p>
    <w:p w14:paraId="76AF7186"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Individual infection control protection for staff and patients</w:t>
      </w:r>
      <w:r w:rsidRPr="00EE7E38">
        <w:rPr>
          <w:rFonts w:ascii="Times New Roman" w:hAnsi="Times New Roman" w:cs="Times New Roman"/>
        </w:rPr>
        <w:t xml:space="preserve">. Respirators for staff at increased risk of infection working in </w:t>
      </w:r>
      <w:r w:rsidR="00EE34ED" w:rsidRPr="00EE7E38">
        <w:rPr>
          <w:rFonts w:ascii="Times New Roman" w:hAnsi="Times New Roman" w:cs="Times New Roman"/>
        </w:rPr>
        <w:t xml:space="preserve">TB </w:t>
      </w:r>
      <w:r w:rsidRPr="00EE7E38">
        <w:rPr>
          <w:rFonts w:ascii="Times New Roman" w:hAnsi="Times New Roman" w:cs="Times New Roman"/>
        </w:rPr>
        <w:t>and inpatient TB treatment sites, including prisons</w:t>
      </w:r>
      <w:r w:rsidR="00EE34ED" w:rsidRPr="00EE7E38">
        <w:rPr>
          <w:rFonts w:ascii="Times New Roman" w:hAnsi="Times New Roman" w:cs="Times New Roman"/>
        </w:rPr>
        <w:t xml:space="preserve">, as well masks for TB inpatients, will be </w:t>
      </w:r>
      <w:r w:rsidR="00937873" w:rsidRPr="00EE7E38">
        <w:rPr>
          <w:rFonts w:ascii="Times New Roman" w:hAnsi="Times New Roman" w:cs="Times New Roman"/>
        </w:rPr>
        <w:t xml:space="preserve">continued to be </w:t>
      </w:r>
      <w:r w:rsidR="00EE34ED" w:rsidRPr="00EE7E38">
        <w:rPr>
          <w:rFonts w:ascii="Times New Roman" w:hAnsi="Times New Roman" w:cs="Times New Roman"/>
        </w:rPr>
        <w:t>procured from domestic sources</w:t>
      </w:r>
      <w:r w:rsidRPr="00EE7E38">
        <w:rPr>
          <w:rFonts w:ascii="Times New Roman" w:hAnsi="Times New Roman" w:cs="Times New Roman"/>
        </w:rPr>
        <w:t xml:space="preserve">. </w:t>
      </w:r>
    </w:p>
    <w:p w14:paraId="43A31FDC" w14:textId="77777777" w:rsidR="004E11B0" w:rsidRPr="00EE7E38" w:rsidRDefault="004E11B0"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 xml:space="preserve">Timeframe: </w:t>
      </w:r>
      <w:r w:rsidR="00480910" w:rsidRPr="00EE7E38">
        <w:rPr>
          <w:rFonts w:ascii="Times New Roman" w:hAnsi="Times New Roman" w:cs="Times New Roman"/>
        </w:rPr>
        <w:t>continuous</w:t>
      </w:r>
    </w:p>
    <w:p w14:paraId="640A1043" w14:textId="3A93C544"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First-line anti-TB drugs</w:t>
      </w:r>
      <w:r w:rsidRPr="00EE7E38">
        <w:rPr>
          <w:rFonts w:ascii="Times New Roman" w:hAnsi="Times New Roman" w:cs="Times New Roman"/>
        </w:rPr>
        <w:t xml:space="preserve"> </w:t>
      </w:r>
      <w:r w:rsidR="00937873" w:rsidRPr="00EE7E38">
        <w:rPr>
          <w:rFonts w:ascii="Times New Roman" w:hAnsi="Times New Roman" w:cs="Times New Roman"/>
        </w:rPr>
        <w:t xml:space="preserve">will be continued to be funded by the government. The </w:t>
      </w:r>
      <w:r w:rsidR="00EE34ED" w:rsidRPr="00EE7E38">
        <w:rPr>
          <w:rFonts w:ascii="Times New Roman" w:hAnsi="Times New Roman" w:cs="Times New Roman"/>
        </w:rPr>
        <w:t>system</w:t>
      </w:r>
      <w:r w:rsidRPr="00EE7E38">
        <w:rPr>
          <w:rFonts w:ascii="Times New Roman" w:hAnsi="Times New Roman" w:cs="Times New Roman"/>
        </w:rPr>
        <w:t xml:space="preserve"> for TB drugs’ procurement and supply management</w:t>
      </w:r>
      <w:r w:rsidR="00937873" w:rsidRPr="00EE7E38">
        <w:rPr>
          <w:rFonts w:ascii="Times New Roman" w:hAnsi="Times New Roman" w:cs="Times New Roman"/>
        </w:rPr>
        <w:t xml:space="preserve"> will be further strengthened.</w:t>
      </w:r>
    </w:p>
    <w:p w14:paraId="711ED645" w14:textId="77777777" w:rsidR="004E11B0" w:rsidRPr="00EE7E38" w:rsidRDefault="004E11B0"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 xml:space="preserve">Timeframe: </w:t>
      </w:r>
      <w:r w:rsidR="00480910" w:rsidRPr="00EE7E38">
        <w:rPr>
          <w:rFonts w:ascii="Times New Roman" w:hAnsi="Times New Roman" w:cs="Times New Roman"/>
        </w:rPr>
        <w:t>continuous</w:t>
      </w:r>
    </w:p>
    <w:p w14:paraId="470EFF8A"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proofErr w:type="spellStart"/>
      <w:r w:rsidRPr="00EE7E38">
        <w:rPr>
          <w:rFonts w:ascii="Times New Roman" w:hAnsi="Times New Roman" w:cs="Times New Roman"/>
          <w:i/>
          <w:iCs/>
        </w:rPr>
        <w:t>Xpert</w:t>
      </w:r>
      <w:proofErr w:type="spellEnd"/>
      <w:r w:rsidRPr="00EE7E38">
        <w:rPr>
          <w:rFonts w:ascii="Times New Roman" w:hAnsi="Times New Roman" w:cs="Times New Roman"/>
          <w:i/>
          <w:iCs/>
        </w:rPr>
        <w:t xml:space="preserve"> MTB/RIF, MGIT and LPA laboratory investigations (consumables, reagents, maintenance of equipment and other costs)</w:t>
      </w:r>
      <w:r w:rsidRPr="00EE7E38">
        <w:rPr>
          <w:rFonts w:ascii="Times New Roman" w:hAnsi="Times New Roman" w:cs="Times New Roman"/>
        </w:rPr>
        <w:t xml:space="preserve">. The Government will gradually engage in the procurement of supplies during the second </w:t>
      </w:r>
      <w:r w:rsidR="00EE34ED" w:rsidRPr="00EE7E38">
        <w:rPr>
          <w:rFonts w:ascii="Times New Roman" w:hAnsi="Times New Roman" w:cs="Times New Roman"/>
        </w:rPr>
        <w:t xml:space="preserve">half of the </w:t>
      </w:r>
      <w:r w:rsidRPr="00EE7E38">
        <w:rPr>
          <w:rFonts w:ascii="Times New Roman" w:hAnsi="Times New Roman" w:cs="Times New Roman"/>
        </w:rPr>
        <w:t xml:space="preserve">Plan. </w:t>
      </w:r>
    </w:p>
    <w:p w14:paraId="256E2F52" w14:textId="5FA549B9" w:rsidR="004E11B0" w:rsidRPr="00EE7E38" w:rsidRDefault="00EE34ED"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Timeframe: 2016</w:t>
      </w:r>
      <w:r w:rsidR="004E11B0" w:rsidRPr="00EE7E38">
        <w:rPr>
          <w:rFonts w:ascii="Times New Roman" w:hAnsi="Times New Roman" w:cs="Times New Roman"/>
        </w:rPr>
        <w:t>-202</w:t>
      </w:r>
      <w:r w:rsidR="00937873" w:rsidRPr="00EE7E38">
        <w:rPr>
          <w:rFonts w:ascii="Times New Roman" w:hAnsi="Times New Roman" w:cs="Times New Roman"/>
        </w:rPr>
        <w:t>2</w:t>
      </w:r>
      <w:r w:rsidR="004E11B0" w:rsidRPr="00EE7E38">
        <w:rPr>
          <w:rFonts w:ascii="Times New Roman" w:hAnsi="Times New Roman" w:cs="Times New Roman"/>
        </w:rPr>
        <w:t xml:space="preserve"> </w:t>
      </w:r>
      <w:r w:rsidRPr="00EE7E38">
        <w:rPr>
          <w:rFonts w:ascii="Times New Roman" w:hAnsi="Times New Roman" w:cs="Times New Roman"/>
        </w:rPr>
        <w:t>(50% takeover by end-</w:t>
      </w:r>
      <w:r w:rsidR="00051D3F">
        <w:rPr>
          <w:rFonts w:ascii="Times New Roman" w:hAnsi="Times New Roman" w:cs="Times New Roman"/>
        </w:rPr>
        <w:t xml:space="preserve"> of 2018</w:t>
      </w:r>
      <w:r w:rsidRPr="00EE7E38">
        <w:rPr>
          <w:rFonts w:ascii="Times New Roman" w:hAnsi="Times New Roman" w:cs="Times New Roman"/>
        </w:rPr>
        <w:t xml:space="preserve">, </w:t>
      </w:r>
      <w:r w:rsidR="00937873" w:rsidRPr="00EE7E38">
        <w:rPr>
          <w:rFonts w:ascii="Times New Roman" w:hAnsi="Times New Roman" w:cs="Times New Roman"/>
        </w:rPr>
        <w:t>75</w:t>
      </w:r>
      <w:r w:rsidRPr="00EE7E38">
        <w:rPr>
          <w:rFonts w:ascii="Times New Roman" w:hAnsi="Times New Roman" w:cs="Times New Roman"/>
        </w:rPr>
        <w:t>% by end</w:t>
      </w:r>
      <w:r w:rsidR="00051D3F">
        <w:rPr>
          <w:rFonts w:ascii="Times New Roman" w:hAnsi="Times New Roman" w:cs="Times New Roman"/>
        </w:rPr>
        <w:t xml:space="preserve"> of </w:t>
      </w:r>
      <w:r w:rsidRPr="00EE7E38">
        <w:rPr>
          <w:rFonts w:ascii="Times New Roman" w:hAnsi="Times New Roman" w:cs="Times New Roman"/>
        </w:rPr>
        <w:t>2020</w:t>
      </w:r>
      <w:r w:rsidR="00937873" w:rsidRPr="00EE7E38">
        <w:rPr>
          <w:rFonts w:ascii="Times New Roman" w:hAnsi="Times New Roman" w:cs="Times New Roman"/>
        </w:rPr>
        <w:t>, 100% by end</w:t>
      </w:r>
      <w:r w:rsidR="00051D3F">
        <w:rPr>
          <w:rFonts w:ascii="Times New Roman" w:hAnsi="Times New Roman" w:cs="Times New Roman"/>
        </w:rPr>
        <w:t xml:space="preserve"> of </w:t>
      </w:r>
      <w:r w:rsidR="00937873" w:rsidRPr="00EE7E38">
        <w:rPr>
          <w:rFonts w:ascii="Times New Roman" w:hAnsi="Times New Roman" w:cs="Times New Roman"/>
        </w:rPr>
        <w:t>2022</w:t>
      </w:r>
      <w:r w:rsidRPr="00EE7E38">
        <w:rPr>
          <w:rFonts w:ascii="Times New Roman" w:hAnsi="Times New Roman" w:cs="Times New Roman"/>
        </w:rPr>
        <w:t>).</w:t>
      </w:r>
    </w:p>
    <w:p w14:paraId="0F1A1CA2"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lastRenderedPageBreak/>
        <w:t>Patient adherence support (incentives, enablers)</w:t>
      </w:r>
      <w:r w:rsidRPr="00EE7E38">
        <w:rPr>
          <w:rFonts w:ascii="Times New Roman" w:hAnsi="Times New Roman" w:cs="Times New Roman"/>
        </w:rPr>
        <w:t xml:space="preserve">. </w:t>
      </w:r>
      <w:r w:rsidR="00EE34ED" w:rsidRPr="00EE7E38">
        <w:rPr>
          <w:rFonts w:ascii="Times New Roman" w:hAnsi="Times New Roman" w:cs="Times New Roman"/>
        </w:rPr>
        <w:t xml:space="preserve">The </w:t>
      </w:r>
      <w:r w:rsidRPr="00EE7E38">
        <w:rPr>
          <w:rFonts w:ascii="Times New Roman" w:hAnsi="Times New Roman" w:cs="Times New Roman"/>
        </w:rPr>
        <w:t xml:space="preserve">Government will </w:t>
      </w:r>
      <w:r w:rsidR="00937873" w:rsidRPr="00EE7E38">
        <w:rPr>
          <w:rFonts w:ascii="Times New Roman" w:hAnsi="Times New Roman" w:cs="Times New Roman"/>
        </w:rPr>
        <w:t>assure</w:t>
      </w:r>
      <w:r w:rsidRPr="00EE7E38">
        <w:rPr>
          <w:rFonts w:ascii="Times New Roman" w:hAnsi="Times New Roman" w:cs="Times New Roman"/>
        </w:rPr>
        <w:t xml:space="preserve"> for provision of adherence support as a key component of the patient-centered TB case management</w:t>
      </w:r>
      <w:r w:rsidR="00EE34ED" w:rsidRPr="00EE7E38">
        <w:rPr>
          <w:rFonts w:ascii="Times New Roman" w:hAnsi="Times New Roman" w:cs="Times New Roman"/>
        </w:rPr>
        <w:t>, thus taking over from TGF project, which currently covers the most of this support</w:t>
      </w:r>
      <w:r w:rsidRPr="00EE7E38">
        <w:rPr>
          <w:rFonts w:ascii="Times New Roman" w:hAnsi="Times New Roman" w:cs="Times New Roman"/>
        </w:rPr>
        <w:t xml:space="preserve">. </w:t>
      </w:r>
    </w:p>
    <w:p w14:paraId="77C91D08" w14:textId="15F5CE46" w:rsidR="004E11B0" w:rsidRPr="00EE7E38" w:rsidRDefault="00EE34ED" w:rsidP="00835F94">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Timeframe: 2016</w:t>
      </w:r>
      <w:r w:rsidR="004E11B0" w:rsidRPr="00EE7E38">
        <w:rPr>
          <w:rFonts w:ascii="Times New Roman" w:hAnsi="Times New Roman" w:cs="Times New Roman"/>
        </w:rPr>
        <w:t>-2020 (50% takeover by end</w:t>
      </w:r>
      <w:r w:rsidR="00051D3F">
        <w:rPr>
          <w:rFonts w:ascii="Times New Roman" w:hAnsi="Times New Roman" w:cs="Times New Roman"/>
        </w:rPr>
        <w:t xml:space="preserve"> of </w:t>
      </w:r>
      <w:r w:rsidR="004E11B0" w:rsidRPr="00EE7E38">
        <w:rPr>
          <w:rFonts w:ascii="Times New Roman" w:hAnsi="Times New Roman" w:cs="Times New Roman"/>
        </w:rPr>
        <w:t>20</w:t>
      </w:r>
      <w:r w:rsidRPr="00EE7E38">
        <w:rPr>
          <w:rFonts w:ascii="Times New Roman" w:hAnsi="Times New Roman" w:cs="Times New Roman"/>
        </w:rPr>
        <w:t>18, 100% by end</w:t>
      </w:r>
      <w:r w:rsidR="00051D3F">
        <w:rPr>
          <w:rFonts w:ascii="Times New Roman" w:hAnsi="Times New Roman" w:cs="Times New Roman"/>
        </w:rPr>
        <w:t xml:space="preserve"> of </w:t>
      </w:r>
      <w:r w:rsidRPr="00EE7E38">
        <w:rPr>
          <w:rFonts w:ascii="Times New Roman" w:hAnsi="Times New Roman" w:cs="Times New Roman"/>
        </w:rPr>
        <w:t>2020).</w:t>
      </w:r>
    </w:p>
    <w:p w14:paraId="796BC639" w14:textId="77777777" w:rsidR="002A4055" w:rsidRPr="00EE7E38" w:rsidRDefault="004E11B0">
      <w:pPr>
        <w:widowControl w:val="0"/>
        <w:numPr>
          <w:ilvl w:val="0"/>
          <w:numId w:val="6"/>
        </w:numPr>
        <w:spacing w:before="120" w:after="120" w:line="240" w:lineRule="auto"/>
        <w:jc w:val="both"/>
        <w:rPr>
          <w:rFonts w:ascii="Times New Roman" w:hAnsi="Times New Roman" w:cs="Times New Roman"/>
          <w:i/>
          <w:iCs/>
          <w:color w:val="7030A0"/>
        </w:rPr>
      </w:pPr>
      <w:r w:rsidRPr="00EE7E38">
        <w:rPr>
          <w:rFonts w:ascii="Times New Roman" w:hAnsi="Times New Roman" w:cs="Times New Roman"/>
          <w:i/>
          <w:iCs/>
        </w:rPr>
        <w:t>Second-line and third-line TB drugs</w:t>
      </w:r>
      <w:r w:rsidRPr="00EE7E38">
        <w:rPr>
          <w:rFonts w:ascii="Times New Roman" w:hAnsi="Times New Roman" w:cs="Times New Roman"/>
        </w:rPr>
        <w:t xml:space="preserve">. </w:t>
      </w:r>
      <w:r w:rsidR="00EE34ED" w:rsidRPr="00EE7E38">
        <w:rPr>
          <w:rFonts w:ascii="Times New Roman" w:hAnsi="Times New Roman" w:cs="Times New Roman"/>
        </w:rPr>
        <w:t xml:space="preserve">The </w:t>
      </w:r>
      <w:r w:rsidRPr="00EE7E38">
        <w:rPr>
          <w:rFonts w:ascii="Times New Roman" w:hAnsi="Times New Roman" w:cs="Times New Roman"/>
        </w:rPr>
        <w:t xml:space="preserve">Government is committed to engage in own procurement </w:t>
      </w:r>
      <w:r w:rsidR="00EE34ED" w:rsidRPr="00EE7E38">
        <w:rPr>
          <w:rFonts w:ascii="Times New Roman" w:hAnsi="Times New Roman" w:cs="Times New Roman"/>
        </w:rPr>
        <w:t xml:space="preserve">of drugs for treatment of M/XDR cases and </w:t>
      </w:r>
      <w:r w:rsidRPr="00EE7E38">
        <w:rPr>
          <w:rFonts w:ascii="Times New Roman" w:hAnsi="Times New Roman" w:cs="Times New Roman"/>
        </w:rPr>
        <w:t xml:space="preserve">to scale </w:t>
      </w:r>
      <w:r w:rsidR="00EE34ED" w:rsidRPr="00EE7E38">
        <w:rPr>
          <w:rFonts w:ascii="Times New Roman" w:hAnsi="Times New Roman" w:cs="Times New Roman"/>
        </w:rPr>
        <w:t xml:space="preserve">it </w:t>
      </w:r>
      <w:r w:rsidRPr="00EE7E38">
        <w:rPr>
          <w:rFonts w:ascii="Times New Roman" w:hAnsi="Times New Roman" w:cs="Times New Roman"/>
        </w:rPr>
        <w:t xml:space="preserve">up </w:t>
      </w:r>
      <w:r w:rsidR="00EE34ED" w:rsidRPr="00EE7E38">
        <w:rPr>
          <w:rFonts w:ascii="Times New Roman" w:hAnsi="Times New Roman" w:cs="Times New Roman"/>
        </w:rPr>
        <w:t xml:space="preserve">during the NSP period, in order to ensure the </w:t>
      </w:r>
      <w:r w:rsidRPr="00EE7E38">
        <w:rPr>
          <w:rFonts w:ascii="Times New Roman" w:hAnsi="Times New Roman" w:cs="Times New Roman"/>
        </w:rPr>
        <w:t>financial sustainability of the program</w:t>
      </w:r>
      <w:r w:rsidR="00EE34ED" w:rsidRPr="00EE7E38">
        <w:rPr>
          <w:rFonts w:ascii="Times New Roman" w:hAnsi="Times New Roman" w:cs="Times New Roman"/>
        </w:rPr>
        <w:t xml:space="preserve"> in view of decreasing external support.</w:t>
      </w:r>
    </w:p>
    <w:p w14:paraId="415781EA" w14:textId="4F8904F5" w:rsidR="00937873" w:rsidRPr="00EE7E38" w:rsidRDefault="004E11B0" w:rsidP="00642D62">
      <w:pPr>
        <w:widowControl w:val="0"/>
        <w:spacing w:before="120" w:after="120" w:line="240" w:lineRule="auto"/>
        <w:ind w:left="1440"/>
        <w:jc w:val="both"/>
        <w:rPr>
          <w:rFonts w:ascii="Times New Roman" w:hAnsi="Times New Roman" w:cs="Times New Roman"/>
        </w:rPr>
      </w:pPr>
      <w:r w:rsidRPr="00EE7E38">
        <w:rPr>
          <w:rFonts w:ascii="Times New Roman" w:hAnsi="Times New Roman" w:cs="Times New Roman"/>
        </w:rPr>
        <w:t xml:space="preserve">Timeframe: </w:t>
      </w:r>
      <w:r w:rsidR="00EE34ED" w:rsidRPr="00EE7E38">
        <w:rPr>
          <w:rFonts w:ascii="Times New Roman" w:hAnsi="Times New Roman" w:cs="Times New Roman"/>
        </w:rPr>
        <w:t>2016-202</w:t>
      </w:r>
      <w:r w:rsidR="00937873" w:rsidRPr="00EE7E38">
        <w:rPr>
          <w:rFonts w:ascii="Times New Roman" w:hAnsi="Times New Roman" w:cs="Times New Roman"/>
        </w:rPr>
        <w:t>2</w:t>
      </w:r>
      <w:r w:rsidR="00EE34ED" w:rsidRPr="00EE7E38">
        <w:rPr>
          <w:rFonts w:ascii="Times New Roman" w:hAnsi="Times New Roman" w:cs="Times New Roman"/>
        </w:rPr>
        <w:t xml:space="preserve"> (</w:t>
      </w:r>
      <w:r w:rsidR="00042574" w:rsidRPr="00EE7E38">
        <w:rPr>
          <w:rFonts w:ascii="Times New Roman" w:hAnsi="Times New Roman" w:cs="Times New Roman"/>
        </w:rPr>
        <w:t>50</w:t>
      </w:r>
      <w:r w:rsidR="00937873" w:rsidRPr="00EE7E38">
        <w:rPr>
          <w:rFonts w:ascii="Times New Roman" w:hAnsi="Times New Roman" w:cs="Times New Roman"/>
        </w:rPr>
        <w:t>% takeover by end</w:t>
      </w:r>
      <w:r w:rsidR="00051D3F">
        <w:rPr>
          <w:rFonts w:ascii="Times New Roman" w:hAnsi="Times New Roman" w:cs="Times New Roman"/>
        </w:rPr>
        <w:t xml:space="preserve"> of </w:t>
      </w:r>
      <w:r w:rsidR="00937873" w:rsidRPr="00EE7E38">
        <w:rPr>
          <w:rFonts w:ascii="Times New Roman" w:hAnsi="Times New Roman" w:cs="Times New Roman"/>
        </w:rPr>
        <w:t xml:space="preserve">2018, </w:t>
      </w:r>
      <w:r w:rsidR="00E26564" w:rsidRPr="00EE7E38">
        <w:rPr>
          <w:rFonts w:ascii="Times New Roman" w:hAnsi="Times New Roman" w:cs="Times New Roman"/>
        </w:rPr>
        <w:t>75</w:t>
      </w:r>
      <w:r w:rsidR="00EE34ED" w:rsidRPr="00EE7E38">
        <w:rPr>
          <w:rFonts w:ascii="Times New Roman" w:hAnsi="Times New Roman" w:cs="Times New Roman"/>
        </w:rPr>
        <w:t>% takeover by end</w:t>
      </w:r>
      <w:r w:rsidR="00051D3F">
        <w:rPr>
          <w:rFonts w:ascii="Times New Roman" w:hAnsi="Times New Roman" w:cs="Times New Roman"/>
        </w:rPr>
        <w:t xml:space="preserve"> of </w:t>
      </w:r>
      <w:r w:rsidR="00EE34ED" w:rsidRPr="00EE7E38">
        <w:rPr>
          <w:rFonts w:ascii="Times New Roman" w:hAnsi="Times New Roman" w:cs="Times New Roman"/>
        </w:rPr>
        <w:t>20</w:t>
      </w:r>
      <w:r w:rsidR="00937873" w:rsidRPr="00EE7E38">
        <w:rPr>
          <w:rFonts w:ascii="Times New Roman" w:hAnsi="Times New Roman" w:cs="Times New Roman"/>
        </w:rPr>
        <w:t>20</w:t>
      </w:r>
      <w:r w:rsidR="00EE34ED" w:rsidRPr="00EE7E38">
        <w:rPr>
          <w:rFonts w:ascii="Times New Roman" w:hAnsi="Times New Roman" w:cs="Times New Roman"/>
        </w:rPr>
        <w:t>, 100% by end</w:t>
      </w:r>
      <w:r w:rsidR="00051D3F">
        <w:rPr>
          <w:rFonts w:ascii="Times New Roman" w:hAnsi="Times New Roman" w:cs="Times New Roman"/>
        </w:rPr>
        <w:t xml:space="preserve"> of </w:t>
      </w:r>
      <w:r w:rsidR="00EE34ED" w:rsidRPr="00EE7E38">
        <w:rPr>
          <w:rFonts w:ascii="Times New Roman" w:hAnsi="Times New Roman" w:cs="Times New Roman"/>
        </w:rPr>
        <w:t>202</w:t>
      </w:r>
      <w:r w:rsidR="00937873" w:rsidRPr="00EE7E38">
        <w:rPr>
          <w:rFonts w:ascii="Times New Roman" w:hAnsi="Times New Roman" w:cs="Times New Roman"/>
        </w:rPr>
        <w:t>2</w:t>
      </w:r>
      <w:r w:rsidR="00EE34ED" w:rsidRPr="00EE7E38">
        <w:rPr>
          <w:rFonts w:ascii="Times New Roman" w:hAnsi="Times New Roman" w:cs="Times New Roman"/>
        </w:rPr>
        <w:t>).</w:t>
      </w:r>
    </w:p>
    <w:p w14:paraId="551FC72C" w14:textId="77777777" w:rsidR="00937873" w:rsidRPr="00EE7E38" w:rsidRDefault="00EE7E38" w:rsidP="00676B83">
      <w:pPr>
        <w:pStyle w:val="Heading1"/>
        <w:numPr>
          <w:ilvl w:val="0"/>
          <w:numId w:val="1"/>
        </w:numPr>
        <w:rPr>
          <w:rFonts w:ascii="Times New Roman" w:hAnsi="Times New Roman" w:cs="Times New Roman"/>
        </w:rPr>
      </w:pPr>
      <w:bookmarkStart w:id="28" w:name="_Toc517633173"/>
      <w:r w:rsidRPr="00EE7E38">
        <w:rPr>
          <w:rFonts w:ascii="Times New Roman" w:hAnsi="Times New Roman" w:cs="Times New Roman"/>
        </w:rPr>
        <w:t>Potential risks</w:t>
      </w:r>
      <w:r w:rsidR="00937873" w:rsidRPr="00EE7E38">
        <w:rPr>
          <w:rFonts w:ascii="Times New Roman" w:hAnsi="Times New Roman" w:cs="Times New Roman"/>
        </w:rPr>
        <w:t xml:space="preserve"> </w:t>
      </w:r>
      <w:r w:rsidR="00676B83" w:rsidRPr="00EE7E38">
        <w:rPr>
          <w:rFonts w:ascii="Times New Roman" w:hAnsi="Times New Roman" w:cs="Times New Roman"/>
        </w:rPr>
        <w:t>associated with the Strategy</w:t>
      </w:r>
      <w:r w:rsidR="00937873" w:rsidRPr="00EE7E38">
        <w:rPr>
          <w:rFonts w:ascii="Times New Roman" w:hAnsi="Times New Roman" w:cs="Times New Roman"/>
        </w:rPr>
        <w:t xml:space="preserve"> implementation</w:t>
      </w:r>
      <w:bookmarkEnd w:id="28"/>
    </w:p>
    <w:p w14:paraId="3F28C2AB" w14:textId="77777777" w:rsidR="00F37690" w:rsidRPr="00EE7E38" w:rsidRDefault="00F37690" w:rsidP="00F37690">
      <w:pPr>
        <w:rPr>
          <w:rFonts w:ascii="Times New Roman" w:hAnsi="Times New Roman" w:cs="Times New Roman"/>
        </w:rPr>
      </w:pPr>
    </w:p>
    <w:p w14:paraId="19C0F23D" w14:textId="20DC61C7" w:rsidR="00F37690" w:rsidRPr="00EE7E38" w:rsidRDefault="00F37690" w:rsidP="00676B83">
      <w:pPr>
        <w:widowControl w:val="0"/>
        <w:rPr>
          <w:rFonts w:ascii="Times New Roman" w:hAnsi="Times New Roman" w:cs="Times New Roman"/>
        </w:rPr>
      </w:pPr>
      <w:r w:rsidRPr="00EE7E38">
        <w:rPr>
          <w:rFonts w:ascii="Times New Roman" w:hAnsi="Times New Roman" w:cs="Times New Roman"/>
        </w:rPr>
        <w:t xml:space="preserve">As gradual reduction of donor funding is anticipated during the strategy implementation period, there are some risks that available government resources may not be sufficient to fully cover the program needs and eliminate </w:t>
      </w:r>
      <w:r w:rsidR="00051D3F">
        <w:rPr>
          <w:rFonts w:ascii="Times New Roman" w:hAnsi="Times New Roman" w:cs="Times New Roman"/>
        </w:rPr>
        <w:t xml:space="preserve">the </w:t>
      </w:r>
      <w:r w:rsidRPr="00EE7E38">
        <w:rPr>
          <w:rFonts w:ascii="Times New Roman" w:hAnsi="Times New Roman" w:cs="Times New Roman"/>
        </w:rPr>
        <w:t xml:space="preserve">funding gap that is largely </w:t>
      </w:r>
      <w:r w:rsidR="00051D3F">
        <w:rPr>
          <w:rFonts w:ascii="Times New Roman" w:hAnsi="Times New Roman" w:cs="Times New Roman"/>
        </w:rPr>
        <w:t>caused</w:t>
      </w:r>
      <w:r w:rsidR="00051D3F" w:rsidRPr="00EE7E38">
        <w:rPr>
          <w:rFonts w:ascii="Times New Roman" w:hAnsi="Times New Roman" w:cs="Times New Roman"/>
        </w:rPr>
        <w:t xml:space="preserve"> </w:t>
      </w:r>
      <w:r w:rsidRPr="00EE7E38">
        <w:rPr>
          <w:rFonts w:ascii="Times New Roman" w:hAnsi="Times New Roman" w:cs="Times New Roman"/>
        </w:rPr>
        <w:t xml:space="preserve">by </w:t>
      </w:r>
      <w:r w:rsidR="00051D3F">
        <w:rPr>
          <w:rFonts w:ascii="Times New Roman" w:hAnsi="Times New Roman" w:cs="Times New Roman"/>
        </w:rPr>
        <w:t>the</w:t>
      </w:r>
      <w:r w:rsidR="00051D3F" w:rsidRPr="00EE7E38">
        <w:rPr>
          <w:rFonts w:ascii="Times New Roman" w:hAnsi="Times New Roman" w:cs="Times New Roman"/>
        </w:rPr>
        <w:t xml:space="preserve"> </w:t>
      </w:r>
      <w:r w:rsidRPr="00EE7E38">
        <w:rPr>
          <w:rFonts w:ascii="Times New Roman" w:hAnsi="Times New Roman" w:cs="Times New Roman"/>
        </w:rPr>
        <w:t xml:space="preserve">estimated recommended salary level of health care workers within the </w:t>
      </w:r>
      <w:r w:rsidR="00051D3F">
        <w:rPr>
          <w:rFonts w:ascii="Times New Roman" w:hAnsi="Times New Roman" w:cs="Times New Roman"/>
        </w:rPr>
        <w:t>NTP</w:t>
      </w:r>
      <w:r w:rsidRPr="00EE7E38">
        <w:rPr>
          <w:rFonts w:ascii="Times New Roman" w:hAnsi="Times New Roman" w:cs="Times New Roman"/>
        </w:rPr>
        <w:t xml:space="preserve"> as well as growing facility costs. This strategy considers a set of interventions aimed at mitigating this risk that includes intensive </w:t>
      </w:r>
      <w:proofErr w:type="gramStart"/>
      <w:r w:rsidRPr="00EE7E38">
        <w:rPr>
          <w:rFonts w:ascii="Times New Roman" w:hAnsi="Times New Roman" w:cs="Times New Roman"/>
        </w:rPr>
        <w:t>advocacy,</w:t>
      </w:r>
      <w:proofErr w:type="gramEnd"/>
      <w:r w:rsidRPr="00EE7E38">
        <w:rPr>
          <w:rFonts w:ascii="Times New Roman" w:hAnsi="Times New Roman" w:cs="Times New Roman"/>
        </w:rPr>
        <w:t xml:space="preserve"> and improving system’s efficiency by strengthening outpatient TB care delivery. </w:t>
      </w:r>
    </w:p>
    <w:p w14:paraId="1A19D904" w14:textId="77777777" w:rsidR="002A4055" w:rsidRPr="00EE7E38" w:rsidRDefault="0071773E">
      <w:pPr>
        <w:pStyle w:val="Heading1"/>
        <w:keepNext w:val="0"/>
        <w:keepLines w:val="0"/>
        <w:widowControl w:val="0"/>
        <w:numPr>
          <w:ilvl w:val="0"/>
          <w:numId w:val="1"/>
        </w:numPr>
        <w:rPr>
          <w:rFonts w:ascii="Times New Roman" w:hAnsi="Times New Roman" w:cs="Times New Roman"/>
        </w:rPr>
      </w:pPr>
      <w:bookmarkStart w:id="29" w:name="_Toc411586422"/>
      <w:bookmarkStart w:id="30" w:name="_Toc517633174"/>
      <w:r w:rsidRPr="00EE7E38">
        <w:rPr>
          <w:rFonts w:ascii="Times New Roman" w:hAnsi="Times New Roman" w:cs="Times New Roman"/>
        </w:rPr>
        <w:t>Indicators for monitoring implementation</w:t>
      </w:r>
      <w:bookmarkEnd w:id="29"/>
      <w:bookmarkEnd w:id="30"/>
    </w:p>
    <w:p w14:paraId="6CA73389" w14:textId="419FDFD7" w:rsidR="00506E63" w:rsidRPr="00EE7E38" w:rsidRDefault="00F3769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Implementation of this strategy (2019-2022) will be regularly </w:t>
      </w:r>
      <w:r w:rsidR="000267A4" w:rsidRPr="00EE7E38">
        <w:rPr>
          <w:rFonts w:ascii="Times New Roman" w:hAnsi="Times New Roman" w:cs="Times New Roman"/>
        </w:rPr>
        <w:t>monitored against 7 impact and outcome</w:t>
      </w:r>
      <w:r w:rsidR="00AF16CE">
        <w:rPr>
          <w:rFonts w:ascii="Times New Roman" w:hAnsi="Times New Roman" w:cs="Times New Roman"/>
        </w:rPr>
        <w:t xml:space="preserve"> indicators</w:t>
      </w:r>
      <w:r w:rsidR="000267A4" w:rsidRPr="00EE7E38">
        <w:rPr>
          <w:rFonts w:ascii="Times New Roman" w:hAnsi="Times New Roman" w:cs="Times New Roman"/>
        </w:rPr>
        <w:t xml:space="preserve"> and 10 output indicators to illustrate coverage with TB services. </w:t>
      </w:r>
      <w:r w:rsidRPr="00EE7E38">
        <w:rPr>
          <w:rFonts w:ascii="Times New Roman" w:hAnsi="Times New Roman" w:cs="Times New Roman"/>
        </w:rPr>
        <w:t xml:space="preserve"> </w:t>
      </w:r>
    </w:p>
    <w:p w14:paraId="6570FABD" w14:textId="77777777" w:rsidR="00F37690" w:rsidRPr="00EE7E38" w:rsidRDefault="00F37690" w:rsidP="00835F94">
      <w:pPr>
        <w:widowControl w:val="0"/>
        <w:spacing w:before="120" w:after="120" w:line="240" w:lineRule="auto"/>
        <w:jc w:val="both"/>
        <w:rPr>
          <w:rFonts w:ascii="Times New Roman" w:hAnsi="Times New Roman" w:cs="Times New Roman"/>
        </w:rPr>
      </w:pPr>
      <w:r w:rsidRPr="00EE7E38">
        <w:rPr>
          <w:rFonts w:ascii="Times New Roman" w:hAnsi="Times New Roman" w:cs="Times New Roman"/>
        </w:rPr>
        <w:t xml:space="preserve">National Center for Disease Control and Public Health will </w:t>
      </w:r>
      <w:r w:rsidR="002F3350" w:rsidRPr="00EE7E38">
        <w:rPr>
          <w:rFonts w:ascii="Times New Roman" w:hAnsi="Times New Roman" w:cs="Times New Roman"/>
        </w:rPr>
        <w:t>coordinate</w:t>
      </w:r>
      <w:r w:rsidRPr="00EE7E38">
        <w:rPr>
          <w:rFonts w:ascii="Times New Roman" w:hAnsi="Times New Roman" w:cs="Times New Roman"/>
        </w:rPr>
        <w:t xml:space="preserve"> the strategy monitoring and evaluation processes</w:t>
      </w:r>
      <w:r w:rsidR="002F3350" w:rsidRPr="00EE7E38">
        <w:rPr>
          <w:rFonts w:ascii="Times New Roman" w:hAnsi="Times New Roman" w:cs="Times New Roman"/>
        </w:rPr>
        <w:t xml:space="preserve"> and will prepare reports in line with the global reporting requirements</w:t>
      </w:r>
      <w:r w:rsidRPr="00EE7E38">
        <w:rPr>
          <w:rFonts w:ascii="Times New Roman" w:hAnsi="Times New Roman" w:cs="Times New Roman"/>
        </w:rPr>
        <w:t xml:space="preserve">. </w:t>
      </w:r>
      <w:r w:rsidR="002F3350" w:rsidRPr="00EE7E38">
        <w:rPr>
          <w:rFonts w:ascii="Times New Roman" w:hAnsi="Times New Roman" w:cs="Times New Roman"/>
        </w:rPr>
        <w:t xml:space="preserve">Implementing partners including the Global Fund supported project will contribute towards M&amp;E efforts through data quality assurance and evaluation studies when appropriate. </w:t>
      </w:r>
    </w:p>
    <w:p w14:paraId="3A501B1F" w14:textId="1BC36821" w:rsidR="00506E63" w:rsidRPr="00EE7E38" w:rsidRDefault="00AF16CE" w:rsidP="00506E63">
      <w:pPr>
        <w:widowControl w:val="0"/>
        <w:spacing w:before="120" w:after="120" w:line="240" w:lineRule="auto"/>
        <w:jc w:val="both"/>
        <w:rPr>
          <w:rFonts w:ascii="Times New Roman" w:hAnsi="Times New Roman" w:cs="Times New Roman"/>
        </w:rPr>
      </w:pPr>
      <w:r>
        <w:rPr>
          <w:rFonts w:ascii="Times New Roman" w:hAnsi="Times New Roman" w:cs="Times New Roman"/>
        </w:rPr>
        <w:t>M&amp;E</w:t>
      </w:r>
      <w:r w:rsidR="00506E63" w:rsidRPr="00EE7E38">
        <w:rPr>
          <w:rFonts w:ascii="Times New Roman" w:hAnsi="Times New Roman" w:cs="Times New Roman"/>
        </w:rPr>
        <w:t xml:space="preserve"> </w:t>
      </w:r>
      <w:r>
        <w:rPr>
          <w:rFonts w:ascii="Times New Roman" w:hAnsi="Times New Roman" w:cs="Times New Roman"/>
        </w:rPr>
        <w:t>i</w:t>
      </w:r>
      <w:r w:rsidR="00506E63" w:rsidRPr="00EE7E38">
        <w:rPr>
          <w:rFonts w:ascii="Times New Roman" w:hAnsi="Times New Roman" w:cs="Times New Roman"/>
        </w:rPr>
        <w:t>ndicators</w:t>
      </w:r>
      <w:r w:rsidR="002F3350" w:rsidRPr="00EE7E38">
        <w:rPr>
          <w:rFonts w:ascii="Times New Roman" w:hAnsi="Times New Roman" w:cs="Times New Roman"/>
        </w:rPr>
        <w:t xml:space="preserve"> and targets </w:t>
      </w:r>
      <w:r w:rsidR="00506E63" w:rsidRPr="00EE7E38">
        <w:rPr>
          <w:rFonts w:ascii="Times New Roman" w:hAnsi="Times New Roman" w:cs="Times New Roman"/>
        </w:rPr>
        <w:t>are presented in Annex 1.</w:t>
      </w:r>
    </w:p>
    <w:p w14:paraId="2E2D54C5" w14:textId="77777777" w:rsidR="00676B83" w:rsidRPr="00EE7E38" w:rsidRDefault="00676B83" w:rsidP="00321841">
      <w:pPr>
        <w:widowControl w:val="0"/>
        <w:spacing w:before="120" w:after="120" w:line="240" w:lineRule="auto"/>
        <w:jc w:val="both"/>
        <w:rPr>
          <w:rFonts w:ascii="Times New Roman" w:hAnsi="Times New Roman" w:cs="Times New Roman"/>
        </w:rPr>
      </w:pPr>
    </w:p>
    <w:p w14:paraId="1C19E19C" w14:textId="77777777" w:rsidR="005344F1" w:rsidRPr="00EE7E38" w:rsidRDefault="005344F1" w:rsidP="00321841">
      <w:pPr>
        <w:widowControl w:val="0"/>
        <w:spacing w:before="120" w:after="120" w:line="240" w:lineRule="auto"/>
        <w:jc w:val="both"/>
        <w:rPr>
          <w:rFonts w:ascii="Times New Roman" w:hAnsi="Times New Roman" w:cs="Times New Roman"/>
        </w:rPr>
      </w:pPr>
    </w:p>
    <w:p w14:paraId="27F0E18F" w14:textId="77777777" w:rsidR="005344F1" w:rsidRPr="00EE7E38" w:rsidRDefault="005344F1" w:rsidP="00321841">
      <w:pPr>
        <w:widowControl w:val="0"/>
        <w:spacing w:before="120" w:after="120" w:line="240" w:lineRule="auto"/>
        <w:jc w:val="both"/>
        <w:rPr>
          <w:rFonts w:ascii="Times New Roman" w:hAnsi="Times New Roman" w:cs="Times New Roman"/>
        </w:rPr>
      </w:pPr>
    </w:p>
    <w:p w14:paraId="5F09F427" w14:textId="77777777" w:rsidR="00EE7E38" w:rsidRPr="00EE7E38" w:rsidRDefault="00EE7E38" w:rsidP="00321841">
      <w:pPr>
        <w:widowControl w:val="0"/>
        <w:spacing w:before="120" w:after="120" w:line="240" w:lineRule="auto"/>
        <w:jc w:val="both"/>
        <w:rPr>
          <w:rFonts w:ascii="Times New Roman" w:hAnsi="Times New Roman" w:cs="Times New Roman"/>
        </w:rPr>
      </w:pPr>
    </w:p>
    <w:p w14:paraId="1BE867C4" w14:textId="77777777" w:rsidR="00EE7E38" w:rsidRPr="00EE7E38" w:rsidRDefault="00EE7E38" w:rsidP="00321841">
      <w:pPr>
        <w:widowControl w:val="0"/>
        <w:spacing w:before="120" w:after="120" w:line="240" w:lineRule="auto"/>
        <w:jc w:val="both"/>
        <w:rPr>
          <w:rFonts w:ascii="Times New Roman" w:hAnsi="Times New Roman" w:cs="Times New Roman"/>
        </w:rPr>
      </w:pPr>
    </w:p>
    <w:p w14:paraId="3DE19DC0" w14:textId="77777777" w:rsidR="00EE7E38" w:rsidRPr="00EE7E38" w:rsidRDefault="00EE7E38" w:rsidP="00321841">
      <w:pPr>
        <w:widowControl w:val="0"/>
        <w:spacing w:before="120" w:after="120" w:line="240" w:lineRule="auto"/>
        <w:jc w:val="both"/>
        <w:rPr>
          <w:rFonts w:ascii="Times New Roman" w:hAnsi="Times New Roman" w:cs="Times New Roman"/>
        </w:rPr>
      </w:pPr>
    </w:p>
    <w:p w14:paraId="136D9689" w14:textId="77777777" w:rsidR="00EE7E38" w:rsidRPr="00EE7E38" w:rsidRDefault="00EE7E38" w:rsidP="00321841">
      <w:pPr>
        <w:widowControl w:val="0"/>
        <w:spacing w:before="120" w:after="120" w:line="240" w:lineRule="auto"/>
        <w:jc w:val="both"/>
        <w:rPr>
          <w:rFonts w:ascii="Times New Roman" w:hAnsi="Times New Roman" w:cs="Times New Roman"/>
        </w:rPr>
      </w:pPr>
    </w:p>
    <w:p w14:paraId="6E34B9B1" w14:textId="77777777" w:rsidR="00EE7E38" w:rsidRPr="00EE7E38" w:rsidRDefault="00EE7E38" w:rsidP="00321841">
      <w:pPr>
        <w:widowControl w:val="0"/>
        <w:spacing w:before="120" w:after="120" w:line="240" w:lineRule="auto"/>
        <w:jc w:val="both"/>
        <w:rPr>
          <w:rFonts w:ascii="Times New Roman" w:hAnsi="Times New Roman" w:cs="Times New Roman"/>
        </w:rPr>
      </w:pPr>
    </w:p>
    <w:p w14:paraId="77C4B6C8" w14:textId="77777777" w:rsidR="00EE7E38" w:rsidRDefault="00EE7E38" w:rsidP="00321841">
      <w:pPr>
        <w:widowControl w:val="0"/>
        <w:spacing w:before="120" w:after="120" w:line="240" w:lineRule="auto"/>
        <w:jc w:val="both"/>
        <w:rPr>
          <w:rFonts w:ascii="Times New Roman" w:hAnsi="Times New Roman" w:cs="Times New Roman"/>
        </w:rPr>
      </w:pPr>
    </w:p>
    <w:p w14:paraId="70EBD582" w14:textId="77777777" w:rsidR="00756463" w:rsidRDefault="00756463" w:rsidP="00321841">
      <w:pPr>
        <w:widowControl w:val="0"/>
        <w:spacing w:before="120" w:after="120" w:line="240" w:lineRule="auto"/>
        <w:jc w:val="both"/>
        <w:rPr>
          <w:rFonts w:ascii="Times New Roman" w:hAnsi="Times New Roman" w:cs="Times New Roman"/>
        </w:rPr>
      </w:pPr>
    </w:p>
    <w:p w14:paraId="226ACD85" w14:textId="77777777" w:rsidR="00756463" w:rsidRDefault="00756463" w:rsidP="00321841">
      <w:pPr>
        <w:widowControl w:val="0"/>
        <w:spacing w:before="120" w:after="120" w:line="240" w:lineRule="auto"/>
        <w:jc w:val="both"/>
        <w:rPr>
          <w:rFonts w:ascii="Times New Roman" w:hAnsi="Times New Roman" w:cs="Times New Roman"/>
        </w:rPr>
      </w:pPr>
    </w:p>
    <w:p w14:paraId="765B335E" w14:textId="77777777" w:rsidR="00756463" w:rsidRDefault="00756463" w:rsidP="00321841">
      <w:pPr>
        <w:widowControl w:val="0"/>
        <w:spacing w:before="120" w:after="120" w:line="240" w:lineRule="auto"/>
        <w:jc w:val="both"/>
        <w:rPr>
          <w:rFonts w:ascii="Times New Roman" w:hAnsi="Times New Roman" w:cs="Times New Roman"/>
        </w:rPr>
      </w:pPr>
    </w:p>
    <w:p w14:paraId="23CE8500" w14:textId="77777777" w:rsidR="00756463" w:rsidRPr="00EE7E38" w:rsidRDefault="00756463" w:rsidP="00321841">
      <w:pPr>
        <w:widowControl w:val="0"/>
        <w:spacing w:before="120" w:after="120" w:line="240" w:lineRule="auto"/>
        <w:jc w:val="both"/>
        <w:rPr>
          <w:rFonts w:ascii="Times New Roman" w:hAnsi="Times New Roman" w:cs="Times New Roman"/>
        </w:rPr>
      </w:pPr>
    </w:p>
    <w:p w14:paraId="50A4FDAF" w14:textId="77777777" w:rsidR="00676B83" w:rsidRPr="00EE7E38" w:rsidRDefault="00FB5922" w:rsidP="00676B83">
      <w:pPr>
        <w:pStyle w:val="Heading1"/>
        <w:ind w:left="432" w:hanging="432"/>
        <w:rPr>
          <w:rFonts w:ascii="Times New Roman" w:eastAsia="Times New Roman" w:hAnsi="Times New Roman" w:cs="Times New Roman"/>
          <w:sz w:val="22"/>
          <w:szCs w:val="22"/>
        </w:rPr>
      </w:pPr>
      <w:bookmarkStart w:id="31" w:name="_Toc517633175"/>
      <w:r w:rsidRPr="00EE7E38">
        <w:rPr>
          <w:rFonts w:ascii="Times New Roman" w:eastAsia="Times New Roman" w:hAnsi="Times New Roman" w:cs="Times New Roman"/>
          <w:sz w:val="22"/>
          <w:szCs w:val="22"/>
        </w:rPr>
        <w:lastRenderedPageBreak/>
        <w:t>Annex 1. Monitoring and Evaluation Framework</w:t>
      </w:r>
      <w:bookmarkEnd w:id="31"/>
      <w:r w:rsidRPr="00EE7E38">
        <w:rPr>
          <w:rFonts w:ascii="Times New Roman" w:eastAsia="Times New Roman" w:hAnsi="Times New Roman" w:cs="Times New Roman"/>
          <w:sz w:val="22"/>
          <w:szCs w:val="22"/>
        </w:rPr>
        <w:t xml:space="preserve"> </w:t>
      </w:r>
    </w:p>
    <w:tbl>
      <w:tblPr>
        <w:tblStyle w:val="LightList-Accent1"/>
        <w:tblW w:w="9855" w:type="dxa"/>
        <w:tblLook w:val="04A0" w:firstRow="1" w:lastRow="0" w:firstColumn="1" w:lastColumn="0" w:noHBand="0" w:noVBand="1"/>
      </w:tblPr>
      <w:tblGrid>
        <w:gridCol w:w="952"/>
        <w:gridCol w:w="2791"/>
        <w:gridCol w:w="1162"/>
        <w:gridCol w:w="1162"/>
        <w:gridCol w:w="947"/>
        <w:gridCol w:w="947"/>
        <w:gridCol w:w="947"/>
        <w:gridCol w:w="947"/>
      </w:tblGrid>
      <w:tr w:rsidR="000267A4" w:rsidRPr="00EE7E38" w14:paraId="38A1A429" w14:textId="77777777" w:rsidTr="007D605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52" w:type="dxa"/>
            <w:hideMark/>
          </w:tcPr>
          <w:p w14:paraId="64A4F31F" w14:textId="77777777" w:rsidR="000267A4" w:rsidRPr="00EE7E38" w:rsidRDefault="000267A4" w:rsidP="000267A4">
            <w:pPr>
              <w:jc w:val="right"/>
              <w:rPr>
                <w:rFonts w:ascii="Times New Roman" w:eastAsia="Times New Roman" w:hAnsi="Times New Roman" w:cs="Times New Roman"/>
                <w:i/>
                <w:iCs/>
                <w:color w:val="000000"/>
                <w:sz w:val="18"/>
                <w:szCs w:val="18"/>
              </w:rPr>
            </w:pPr>
            <w:r w:rsidRPr="00EE7E38">
              <w:rPr>
                <w:rFonts w:ascii="Times New Roman" w:eastAsia="Times New Roman" w:hAnsi="Times New Roman" w:cs="Times New Roman"/>
                <w:i/>
                <w:iCs/>
                <w:color w:val="000000"/>
                <w:sz w:val="18"/>
                <w:szCs w:val="18"/>
              </w:rPr>
              <w:t>No.</w:t>
            </w:r>
          </w:p>
        </w:tc>
        <w:tc>
          <w:tcPr>
            <w:tcW w:w="2791" w:type="dxa"/>
            <w:hideMark/>
          </w:tcPr>
          <w:p w14:paraId="270FD038" w14:textId="77777777" w:rsidR="000267A4" w:rsidRPr="00EE7E38" w:rsidRDefault="000267A4" w:rsidP="000267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Impact and Outcome Indicators</w:t>
            </w:r>
          </w:p>
        </w:tc>
        <w:tc>
          <w:tcPr>
            <w:tcW w:w="1162" w:type="dxa"/>
            <w:hideMark/>
          </w:tcPr>
          <w:p w14:paraId="24B3B3A9" w14:textId="77777777" w:rsidR="000267A4" w:rsidRPr="00EE7E38" w:rsidRDefault="000267A4" w:rsidP="000267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Baseline (2014)</w:t>
            </w:r>
          </w:p>
        </w:tc>
        <w:tc>
          <w:tcPr>
            <w:tcW w:w="1162" w:type="dxa"/>
            <w:hideMark/>
          </w:tcPr>
          <w:p w14:paraId="1D002088" w14:textId="77777777" w:rsidR="000267A4" w:rsidRPr="00EE7E38" w:rsidRDefault="000267A4" w:rsidP="000267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Baseline 2016</w:t>
            </w:r>
          </w:p>
        </w:tc>
        <w:tc>
          <w:tcPr>
            <w:tcW w:w="947" w:type="dxa"/>
            <w:hideMark/>
          </w:tcPr>
          <w:p w14:paraId="28ECB57C" w14:textId="77777777" w:rsidR="000267A4" w:rsidRPr="00EE7E38" w:rsidRDefault="000267A4" w:rsidP="000267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2019</w:t>
            </w:r>
          </w:p>
        </w:tc>
        <w:tc>
          <w:tcPr>
            <w:tcW w:w="947" w:type="dxa"/>
            <w:hideMark/>
          </w:tcPr>
          <w:p w14:paraId="1BFB12BE" w14:textId="77777777" w:rsidR="000267A4" w:rsidRPr="00EE7E38" w:rsidRDefault="000267A4" w:rsidP="000267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2020</w:t>
            </w:r>
          </w:p>
        </w:tc>
        <w:tc>
          <w:tcPr>
            <w:tcW w:w="947" w:type="dxa"/>
            <w:hideMark/>
          </w:tcPr>
          <w:p w14:paraId="0A0ABB73" w14:textId="77777777" w:rsidR="000267A4" w:rsidRPr="00EE7E38" w:rsidRDefault="000267A4" w:rsidP="000267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2021</w:t>
            </w:r>
          </w:p>
        </w:tc>
        <w:tc>
          <w:tcPr>
            <w:tcW w:w="947" w:type="dxa"/>
            <w:hideMark/>
          </w:tcPr>
          <w:p w14:paraId="58C5D5A3" w14:textId="77777777" w:rsidR="000267A4" w:rsidRPr="00EE7E38" w:rsidRDefault="000267A4" w:rsidP="000267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18"/>
                <w:szCs w:val="18"/>
              </w:rPr>
            </w:pPr>
            <w:r w:rsidRPr="00EE7E38">
              <w:rPr>
                <w:rFonts w:ascii="Times New Roman" w:eastAsia="Times New Roman" w:hAnsi="Times New Roman" w:cs="Times New Roman"/>
                <w:b w:val="0"/>
                <w:bCs w:val="0"/>
                <w:i/>
                <w:iCs/>
                <w:color w:val="000000"/>
                <w:sz w:val="18"/>
                <w:szCs w:val="18"/>
              </w:rPr>
              <w:t>2022</w:t>
            </w:r>
          </w:p>
        </w:tc>
      </w:tr>
      <w:tr w:rsidR="000267A4" w:rsidRPr="00EE7E38" w14:paraId="694A41CB" w14:textId="77777777" w:rsidTr="00EE7E3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52" w:type="dxa"/>
            <w:hideMark/>
          </w:tcPr>
          <w:p w14:paraId="2C23797C"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67F8538D"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TB notification rate: all cases, per 100,000</w:t>
            </w:r>
          </w:p>
        </w:tc>
        <w:tc>
          <w:tcPr>
            <w:tcW w:w="1162" w:type="dxa"/>
            <w:hideMark/>
          </w:tcPr>
          <w:p w14:paraId="3CAA2955"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103.3</w:t>
            </w:r>
          </w:p>
        </w:tc>
        <w:tc>
          <w:tcPr>
            <w:tcW w:w="1162" w:type="dxa"/>
            <w:hideMark/>
          </w:tcPr>
          <w:p w14:paraId="670064F0"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89.6</w:t>
            </w:r>
          </w:p>
        </w:tc>
        <w:tc>
          <w:tcPr>
            <w:tcW w:w="947" w:type="dxa"/>
            <w:hideMark/>
          </w:tcPr>
          <w:p w14:paraId="152D3AD5"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88.2</w:t>
            </w:r>
          </w:p>
        </w:tc>
        <w:tc>
          <w:tcPr>
            <w:tcW w:w="947" w:type="dxa"/>
            <w:hideMark/>
          </w:tcPr>
          <w:p w14:paraId="0336C996"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86.6</w:t>
            </w:r>
          </w:p>
        </w:tc>
        <w:tc>
          <w:tcPr>
            <w:tcW w:w="947" w:type="dxa"/>
            <w:hideMark/>
          </w:tcPr>
          <w:p w14:paraId="67E0288D"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84.6</w:t>
            </w:r>
          </w:p>
        </w:tc>
        <w:tc>
          <w:tcPr>
            <w:tcW w:w="947" w:type="dxa"/>
            <w:hideMark/>
          </w:tcPr>
          <w:p w14:paraId="1D8097BF"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82.7</w:t>
            </w:r>
          </w:p>
        </w:tc>
      </w:tr>
      <w:tr w:rsidR="000267A4" w:rsidRPr="00EE7E38" w14:paraId="7ED43F69" w14:textId="77777777" w:rsidTr="00EE7E38">
        <w:trPr>
          <w:trHeight w:val="790"/>
        </w:trPr>
        <w:tc>
          <w:tcPr>
            <w:cnfStyle w:val="001000000000" w:firstRow="0" w:lastRow="0" w:firstColumn="1" w:lastColumn="0" w:oddVBand="0" w:evenVBand="0" w:oddHBand="0" w:evenHBand="0" w:firstRowFirstColumn="0" w:firstRowLastColumn="0" w:lastRowFirstColumn="0" w:lastRowLastColumn="0"/>
            <w:tcW w:w="952" w:type="dxa"/>
            <w:hideMark/>
          </w:tcPr>
          <w:p w14:paraId="60CAE68E"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2.</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62FBBF4F"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TB notification rate: new cases and relapses, per 100,000</w:t>
            </w:r>
          </w:p>
        </w:tc>
        <w:tc>
          <w:tcPr>
            <w:tcW w:w="1162" w:type="dxa"/>
            <w:hideMark/>
          </w:tcPr>
          <w:p w14:paraId="6EE71EDA"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82.9</w:t>
            </w:r>
          </w:p>
        </w:tc>
        <w:tc>
          <w:tcPr>
            <w:tcW w:w="1162" w:type="dxa"/>
            <w:hideMark/>
          </w:tcPr>
          <w:p w14:paraId="33977347"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66.3</w:t>
            </w:r>
          </w:p>
        </w:tc>
        <w:tc>
          <w:tcPr>
            <w:tcW w:w="947" w:type="dxa"/>
            <w:hideMark/>
          </w:tcPr>
          <w:p w14:paraId="542E3BCA"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64.6</w:t>
            </w:r>
          </w:p>
        </w:tc>
        <w:tc>
          <w:tcPr>
            <w:tcW w:w="947" w:type="dxa"/>
            <w:hideMark/>
          </w:tcPr>
          <w:p w14:paraId="0CB89BCA"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63.3</w:t>
            </w:r>
          </w:p>
        </w:tc>
        <w:tc>
          <w:tcPr>
            <w:tcW w:w="947" w:type="dxa"/>
            <w:hideMark/>
          </w:tcPr>
          <w:p w14:paraId="213D3AF9"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62.0</w:t>
            </w:r>
          </w:p>
        </w:tc>
        <w:tc>
          <w:tcPr>
            <w:tcW w:w="947" w:type="dxa"/>
            <w:hideMark/>
          </w:tcPr>
          <w:p w14:paraId="450C2AD6"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60.8</w:t>
            </w:r>
          </w:p>
        </w:tc>
      </w:tr>
      <w:tr w:rsidR="000267A4" w:rsidRPr="00EE7E38" w14:paraId="6FDC7FA9" w14:textId="77777777" w:rsidTr="00EE7E38">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52" w:type="dxa"/>
            <w:hideMark/>
          </w:tcPr>
          <w:p w14:paraId="2F91A006"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00B4C9D8"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MDR prevalence among new TB cases</w:t>
            </w:r>
          </w:p>
        </w:tc>
        <w:tc>
          <w:tcPr>
            <w:tcW w:w="1162" w:type="dxa"/>
            <w:hideMark/>
          </w:tcPr>
          <w:p w14:paraId="32B017C5"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11.60%</w:t>
            </w:r>
          </w:p>
        </w:tc>
        <w:tc>
          <w:tcPr>
            <w:tcW w:w="1162" w:type="dxa"/>
            <w:hideMark/>
          </w:tcPr>
          <w:p w14:paraId="288CB22B"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11%</w:t>
            </w:r>
          </w:p>
        </w:tc>
        <w:tc>
          <w:tcPr>
            <w:tcW w:w="947" w:type="dxa"/>
            <w:hideMark/>
          </w:tcPr>
          <w:p w14:paraId="389BD32E"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&lt;12%</w:t>
            </w:r>
          </w:p>
        </w:tc>
        <w:tc>
          <w:tcPr>
            <w:tcW w:w="947" w:type="dxa"/>
            <w:hideMark/>
          </w:tcPr>
          <w:p w14:paraId="4D016CB5"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&lt;12%</w:t>
            </w:r>
          </w:p>
        </w:tc>
        <w:tc>
          <w:tcPr>
            <w:tcW w:w="947" w:type="dxa"/>
            <w:hideMark/>
          </w:tcPr>
          <w:p w14:paraId="4AB42795"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&lt;12%</w:t>
            </w:r>
          </w:p>
        </w:tc>
        <w:tc>
          <w:tcPr>
            <w:tcW w:w="947" w:type="dxa"/>
            <w:hideMark/>
          </w:tcPr>
          <w:p w14:paraId="7C5F5212"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&lt;12%</w:t>
            </w:r>
          </w:p>
        </w:tc>
      </w:tr>
      <w:tr w:rsidR="000267A4" w:rsidRPr="00EE7E38" w14:paraId="5CDC6CA9" w14:textId="77777777" w:rsidTr="00EE7E38">
        <w:trPr>
          <w:trHeight w:val="601"/>
        </w:trPr>
        <w:tc>
          <w:tcPr>
            <w:cnfStyle w:val="001000000000" w:firstRow="0" w:lastRow="0" w:firstColumn="1" w:lastColumn="0" w:oddVBand="0" w:evenVBand="0" w:oddHBand="0" w:evenHBand="0" w:firstRowFirstColumn="0" w:firstRowLastColumn="0" w:lastRowFirstColumn="0" w:lastRowLastColumn="0"/>
            <w:tcW w:w="952" w:type="dxa"/>
            <w:hideMark/>
          </w:tcPr>
          <w:p w14:paraId="791A71CC"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4.</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068CA59C"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MDR prevalence among previously treated TB cases</w:t>
            </w:r>
          </w:p>
        </w:tc>
        <w:tc>
          <w:tcPr>
            <w:tcW w:w="1162" w:type="dxa"/>
            <w:hideMark/>
          </w:tcPr>
          <w:p w14:paraId="5CBA06F2"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39.20%</w:t>
            </w:r>
          </w:p>
        </w:tc>
        <w:tc>
          <w:tcPr>
            <w:tcW w:w="1162" w:type="dxa"/>
            <w:hideMark/>
          </w:tcPr>
          <w:p w14:paraId="67A9515F"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0.386</w:t>
            </w:r>
          </w:p>
        </w:tc>
        <w:tc>
          <w:tcPr>
            <w:tcW w:w="947" w:type="dxa"/>
            <w:hideMark/>
          </w:tcPr>
          <w:p w14:paraId="65A39315"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&lt;35%</w:t>
            </w:r>
          </w:p>
        </w:tc>
        <w:tc>
          <w:tcPr>
            <w:tcW w:w="947" w:type="dxa"/>
            <w:hideMark/>
          </w:tcPr>
          <w:p w14:paraId="4F4E8A35"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&lt;35%</w:t>
            </w:r>
          </w:p>
        </w:tc>
        <w:tc>
          <w:tcPr>
            <w:tcW w:w="947" w:type="dxa"/>
            <w:hideMark/>
          </w:tcPr>
          <w:p w14:paraId="1318FD95"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&lt;35%</w:t>
            </w:r>
          </w:p>
        </w:tc>
        <w:tc>
          <w:tcPr>
            <w:tcW w:w="947" w:type="dxa"/>
            <w:hideMark/>
          </w:tcPr>
          <w:p w14:paraId="40C4E6F0"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&lt;35%</w:t>
            </w:r>
          </w:p>
        </w:tc>
      </w:tr>
      <w:tr w:rsidR="000267A4" w:rsidRPr="00EE7E38" w14:paraId="47AD0DFB" w14:textId="77777777" w:rsidTr="00EE7E3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52" w:type="dxa"/>
            <w:hideMark/>
          </w:tcPr>
          <w:p w14:paraId="0F4189AE"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5.</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604B9C78"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TB mortality rate (excluding TB/HIV), per 100,000</w:t>
            </w:r>
          </w:p>
        </w:tc>
        <w:tc>
          <w:tcPr>
            <w:tcW w:w="1162" w:type="dxa"/>
            <w:hideMark/>
          </w:tcPr>
          <w:p w14:paraId="4FBE93A4"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6.8</w:t>
            </w:r>
          </w:p>
        </w:tc>
        <w:tc>
          <w:tcPr>
            <w:tcW w:w="1162" w:type="dxa"/>
            <w:hideMark/>
          </w:tcPr>
          <w:p w14:paraId="5D32D192"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4.3</w:t>
            </w:r>
          </w:p>
        </w:tc>
        <w:tc>
          <w:tcPr>
            <w:tcW w:w="947" w:type="dxa"/>
            <w:hideMark/>
          </w:tcPr>
          <w:p w14:paraId="019EA376"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4</w:t>
            </w:r>
          </w:p>
        </w:tc>
        <w:tc>
          <w:tcPr>
            <w:tcW w:w="947" w:type="dxa"/>
            <w:hideMark/>
          </w:tcPr>
          <w:p w14:paraId="3DF19C0A"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3.75</w:t>
            </w:r>
          </w:p>
        </w:tc>
        <w:tc>
          <w:tcPr>
            <w:tcW w:w="947" w:type="dxa"/>
            <w:hideMark/>
          </w:tcPr>
          <w:p w14:paraId="78FC11FC"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3.5</w:t>
            </w:r>
          </w:p>
        </w:tc>
        <w:tc>
          <w:tcPr>
            <w:tcW w:w="947" w:type="dxa"/>
            <w:hideMark/>
          </w:tcPr>
          <w:p w14:paraId="794ADA7E"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3.225</w:t>
            </w:r>
          </w:p>
        </w:tc>
      </w:tr>
      <w:tr w:rsidR="000267A4" w:rsidRPr="00EE7E38" w14:paraId="56688583" w14:textId="77777777" w:rsidTr="00EE7E38">
        <w:trPr>
          <w:trHeight w:val="430"/>
        </w:trPr>
        <w:tc>
          <w:tcPr>
            <w:cnfStyle w:val="001000000000" w:firstRow="0" w:lastRow="0" w:firstColumn="1" w:lastColumn="0" w:oddVBand="0" w:evenVBand="0" w:oddHBand="0" w:evenHBand="0" w:firstRowFirstColumn="0" w:firstRowLastColumn="0" w:lastRowFirstColumn="0" w:lastRowLastColumn="0"/>
            <w:tcW w:w="952" w:type="dxa"/>
            <w:hideMark/>
          </w:tcPr>
          <w:p w14:paraId="54FE39EA"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380096C8"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Treatment success rate, new smear positive TB cases</w:t>
            </w:r>
          </w:p>
        </w:tc>
        <w:tc>
          <w:tcPr>
            <w:tcW w:w="1162" w:type="dxa"/>
            <w:hideMark/>
          </w:tcPr>
          <w:p w14:paraId="09A54928"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81.00%</w:t>
            </w:r>
          </w:p>
        </w:tc>
        <w:tc>
          <w:tcPr>
            <w:tcW w:w="1162" w:type="dxa"/>
            <w:hideMark/>
          </w:tcPr>
          <w:p w14:paraId="24F4367C"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82%</w:t>
            </w:r>
          </w:p>
        </w:tc>
        <w:tc>
          <w:tcPr>
            <w:tcW w:w="947" w:type="dxa"/>
            <w:hideMark/>
          </w:tcPr>
          <w:p w14:paraId="47DAFA4E"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86%</w:t>
            </w:r>
          </w:p>
        </w:tc>
        <w:tc>
          <w:tcPr>
            <w:tcW w:w="947" w:type="dxa"/>
            <w:hideMark/>
          </w:tcPr>
          <w:p w14:paraId="36C15236"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87%</w:t>
            </w:r>
          </w:p>
        </w:tc>
        <w:tc>
          <w:tcPr>
            <w:tcW w:w="947" w:type="dxa"/>
            <w:hideMark/>
          </w:tcPr>
          <w:p w14:paraId="317BAD39"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89%</w:t>
            </w:r>
          </w:p>
        </w:tc>
        <w:tc>
          <w:tcPr>
            <w:tcW w:w="947" w:type="dxa"/>
            <w:hideMark/>
          </w:tcPr>
          <w:p w14:paraId="70B121BF"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90%</w:t>
            </w:r>
          </w:p>
        </w:tc>
      </w:tr>
      <w:tr w:rsidR="000267A4" w:rsidRPr="00EE7E38" w14:paraId="41ED78EE" w14:textId="77777777" w:rsidTr="007D605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52" w:type="dxa"/>
            <w:hideMark/>
          </w:tcPr>
          <w:p w14:paraId="02D6C670" w14:textId="77777777" w:rsidR="000267A4" w:rsidRPr="00EE7E38" w:rsidRDefault="000267A4" w:rsidP="000267A4">
            <w:pPr>
              <w:jc w:val="right"/>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7.</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048773FC"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Treatment success rate, laboratory confirmed MDR-TB cases</w:t>
            </w:r>
          </w:p>
        </w:tc>
        <w:tc>
          <w:tcPr>
            <w:tcW w:w="1162" w:type="dxa"/>
            <w:hideMark/>
          </w:tcPr>
          <w:p w14:paraId="5B792DFD"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47.50%</w:t>
            </w:r>
          </w:p>
        </w:tc>
        <w:tc>
          <w:tcPr>
            <w:tcW w:w="1162" w:type="dxa"/>
            <w:hideMark/>
          </w:tcPr>
          <w:p w14:paraId="52E63085"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49%</w:t>
            </w:r>
          </w:p>
        </w:tc>
        <w:tc>
          <w:tcPr>
            <w:tcW w:w="947" w:type="dxa"/>
            <w:hideMark/>
          </w:tcPr>
          <w:p w14:paraId="63E04544"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60%</w:t>
            </w:r>
          </w:p>
        </w:tc>
        <w:tc>
          <w:tcPr>
            <w:tcW w:w="947" w:type="dxa"/>
            <w:hideMark/>
          </w:tcPr>
          <w:p w14:paraId="2DCE3193"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65%</w:t>
            </w:r>
          </w:p>
        </w:tc>
        <w:tc>
          <w:tcPr>
            <w:tcW w:w="947" w:type="dxa"/>
            <w:hideMark/>
          </w:tcPr>
          <w:p w14:paraId="5A508F25"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70%</w:t>
            </w:r>
          </w:p>
        </w:tc>
        <w:tc>
          <w:tcPr>
            <w:tcW w:w="947" w:type="dxa"/>
            <w:hideMark/>
          </w:tcPr>
          <w:p w14:paraId="5F9067DD"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75%</w:t>
            </w:r>
          </w:p>
        </w:tc>
      </w:tr>
      <w:tr w:rsidR="000267A4" w:rsidRPr="00EE7E38" w14:paraId="526879D9" w14:textId="77777777" w:rsidTr="007D6058">
        <w:trPr>
          <w:trHeight w:val="720"/>
        </w:trPr>
        <w:tc>
          <w:tcPr>
            <w:cnfStyle w:val="001000000000" w:firstRow="0" w:lastRow="0" w:firstColumn="1" w:lastColumn="0" w:oddVBand="0" w:evenVBand="0" w:oddHBand="0" w:evenHBand="0" w:firstRowFirstColumn="0" w:firstRowLastColumn="0" w:lastRowFirstColumn="0" w:lastRowLastColumn="0"/>
            <w:tcW w:w="952" w:type="dxa"/>
            <w:shd w:val="clear" w:color="auto" w:fill="A6A6A6" w:themeFill="background1" w:themeFillShade="A6"/>
            <w:hideMark/>
          </w:tcPr>
          <w:p w14:paraId="4E450EAA" w14:textId="77777777" w:rsidR="000267A4" w:rsidRPr="00EE7E38" w:rsidRDefault="000267A4" w:rsidP="000267A4">
            <w:pPr>
              <w:jc w:val="center"/>
              <w:rPr>
                <w:rFonts w:ascii="Times New Roman" w:eastAsia="Times New Roman" w:hAnsi="Times New Roman" w:cs="Times New Roman"/>
                <w:i/>
                <w:iCs/>
                <w:color w:val="000000"/>
                <w:sz w:val="18"/>
                <w:szCs w:val="18"/>
              </w:rPr>
            </w:pPr>
            <w:r w:rsidRPr="00EE7E38">
              <w:rPr>
                <w:rFonts w:ascii="Times New Roman" w:eastAsia="Times New Roman" w:hAnsi="Times New Roman" w:cs="Times New Roman"/>
                <w:i/>
                <w:iCs/>
                <w:color w:val="000000"/>
                <w:sz w:val="18"/>
                <w:szCs w:val="18"/>
              </w:rPr>
              <w:t>No.</w:t>
            </w:r>
          </w:p>
        </w:tc>
        <w:tc>
          <w:tcPr>
            <w:tcW w:w="2791" w:type="dxa"/>
            <w:shd w:val="clear" w:color="auto" w:fill="A6A6A6" w:themeFill="background1" w:themeFillShade="A6"/>
            <w:hideMark/>
          </w:tcPr>
          <w:p w14:paraId="4A505F2E"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Output Indicators</w:t>
            </w:r>
          </w:p>
        </w:tc>
        <w:tc>
          <w:tcPr>
            <w:tcW w:w="1162" w:type="dxa"/>
            <w:shd w:val="clear" w:color="auto" w:fill="A6A6A6" w:themeFill="background1" w:themeFillShade="A6"/>
            <w:hideMark/>
          </w:tcPr>
          <w:p w14:paraId="0860563C"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Baseline (2014)</w:t>
            </w:r>
          </w:p>
        </w:tc>
        <w:tc>
          <w:tcPr>
            <w:tcW w:w="1162" w:type="dxa"/>
            <w:shd w:val="clear" w:color="auto" w:fill="A6A6A6" w:themeFill="background1" w:themeFillShade="A6"/>
            <w:hideMark/>
          </w:tcPr>
          <w:p w14:paraId="72D8EC33"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Baseline (2016)</w:t>
            </w:r>
          </w:p>
        </w:tc>
        <w:tc>
          <w:tcPr>
            <w:tcW w:w="947" w:type="dxa"/>
            <w:shd w:val="clear" w:color="auto" w:fill="A6A6A6" w:themeFill="background1" w:themeFillShade="A6"/>
            <w:hideMark/>
          </w:tcPr>
          <w:p w14:paraId="06EA4768"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2019</w:t>
            </w:r>
          </w:p>
        </w:tc>
        <w:tc>
          <w:tcPr>
            <w:tcW w:w="947" w:type="dxa"/>
            <w:shd w:val="clear" w:color="auto" w:fill="A6A6A6" w:themeFill="background1" w:themeFillShade="A6"/>
            <w:hideMark/>
          </w:tcPr>
          <w:p w14:paraId="64C22364"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2020</w:t>
            </w:r>
          </w:p>
        </w:tc>
        <w:tc>
          <w:tcPr>
            <w:tcW w:w="947" w:type="dxa"/>
            <w:shd w:val="clear" w:color="auto" w:fill="A6A6A6" w:themeFill="background1" w:themeFillShade="A6"/>
            <w:hideMark/>
          </w:tcPr>
          <w:p w14:paraId="06D49F87"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2021</w:t>
            </w:r>
          </w:p>
        </w:tc>
        <w:tc>
          <w:tcPr>
            <w:tcW w:w="947" w:type="dxa"/>
            <w:shd w:val="clear" w:color="auto" w:fill="A6A6A6" w:themeFill="background1" w:themeFillShade="A6"/>
            <w:hideMark/>
          </w:tcPr>
          <w:p w14:paraId="25F8BC9C"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18"/>
                <w:szCs w:val="18"/>
              </w:rPr>
            </w:pPr>
            <w:r w:rsidRPr="00EE7E38">
              <w:rPr>
                <w:rFonts w:ascii="Times New Roman" w:eastAsia="Times New Roman" w:hAnsi="Times New Roman" w:cs="Times New Roman"/>
                <w:b/>
                <w:bCs/>
                <w:i/>
                <w:iCs/>
                <w:color w:val="000000"/>
                <w:sz w:val="18"/>
                <w:szCs w:val="18"/>
              </w:rPr>
              <w:t>2022</w:t>
            </w:r>
          </w:p>
        </w:tc>
      </w:tr>
      <w:tr w:rsidR="000267A4" w:rsidRPr="00EE7E38" w14:paraId="345ACD3D" w14:textId="77777777" w:rsidTr="007D6058">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952" w:type="dxa"/>
            <w:hideMark/>
          </w:tcPr>
          <w:p w14:paraId="0D17571F"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5375F935"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Coverage of rapid molecular M. Tb detection and MDR screening (</w:t>
            </w:r>
            <w:proofErr w:type="spellStart"/>
            <w:r w:rsidRPr="00EE7E38">
              <w:rPr>
                <w:rFonts w:ascii="Times New Roman" w:eastAsia="Times New Roman" w:hAnsi="Times New Roman" w:cs="Times New Roman"/>
                <w:color w:val="000000"/>
                <w:sz w:val="20"/>
                <w:szCs w:val="20"/>
              </w:rPr>
              <w:t>Xpert</w:t>
            </w:r>
            <w:proofErr w:type="spellEnd"/>
            <w:r w:rsidRPr="00EE7E38">
              <w:rPr>
                <w:rFonts w:ascii="Times New Roman" w:eastAsia="Times New Roman" w:hAnsi="Times New Roman" w:cs="Times New Roman"/>
                <w:color w:val="000000"/>
                <w:sz w:val="20"/>
                <w:szCs w:val="20"/>
              </w:rPr>
              <w:t xml:space="preserve"> MTB/RIF) as initial diagnostic test in TB Presumptive cases </w:t>
            </w:r>
          </w:p>
        </w:tc>
        <w:tc>
          <w:tcPr>
            <w:tcW w:w="1162" w:type="dxa"/>
            <w:hideMark/>
          </w:tcPr>
          <w:p w14:paraId="6FE641E3"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50%</w:t>
            </w:r>
          </w:p>
        </w:tc>
        <w:tc>
          <w:tcPr>
            <w:tcW w:w="1162" w:type="dxa"/>
            <w:noWrap/>
            <w:hideMark/>
          </w:tcPr>
          <w:p w14:paraId="6F7AA749"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rPr>
            </w:pPr>
            <w:r w:rsidRPr="00EE7E38">
              <w:rPr>
                <w:rFonts w:ascii="Times New Roman" w:eastAsia="Times New Roman" w:hAnsi="Times New Roman" w:cs="Times New Roman"/>
                <w:color w:val="FF0000"/>
              </w:rPr>
              <w:t>TBD</w:t>
            </w:r>
          </w:p>
        </w:tc>
        <w:tc>
          <w:tcPr>
            <w:tcW w:w="947" w:type="dxa"/>
            <w:noWrap/>
            <w:hideMark/>
          </w:tcPr>
          <w:p w14:paraId="4F70853E"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2AB480C1"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&gt;80%</w:t>
            </w:r>
          </w:p>
        </w:tc>
        <w:tc>
          <w:tcPr>
            <w:tcW w:w="947" w:type="dxa"/>
            <w:noWrap/>
            <w:hideMark/>
          </w:tcPr>
          <w:p w14:paraId="69BC2ECC"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947" w:type="dxa"/>
            <w:noWrap/>
            <w:hideMark/>
          </w:tcPr>
          <w:p w14:paraId="735C3B45"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&gt;95%</w:t>
            </w:r>
          </w:p>
        </w:tc>
      </w:tr>
      <w:tr w:rsidR="000267A4" w:rsidRPr="00EE7E38" w14:paraId="40BA6495" w14:textId="77777777" w:rsidTr="007D6058">
        <w:trPr>
          <w:trHeight w:val="1275"/>
        </w:trPr>
        <w:tc>
          <w:tcPr>
            <w:cnfStyle w:val="001000000000" w:firstRow="0" w:lastRow="0" w:firstColumn="1" w:lastColumn="0" w:oddVBand="0" w:evenVBand="0" w:oddHBand="0" w:evenHBand="0" w:firstRowFirstColumn="0" w:firstRowLastColumn="0" w:lastRowFirstColumn="0" w:lastRowLastColumn="0"/>
            <w:tcW w:w="952" w:type="dxa"/>
            <w:hideMark/>
          </w:tcPr>
          <w:p w14:paraId="1A806AB7"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2.</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4B8AA1E2"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Coverage of first-line drug susceptibility testing among notified culture-positive TB patients (new and previously treated)</w:t>
            </w:r>
          </w:p>
        </w:tc>
        <w:tc>
          <w:tcPr>
            <w:tcW w:w="1162" w:type="dxa"/>
            <w:hideMark/>
          </w:tcPr>
          <w:p w14:paraId="207125CF"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1985/2168 92%</w:t>
            </w:r>
          </w:p>
        </w:tc>
        <w:tc>
          <w:tcPr>
            <w:tcW w:w="1162" w:type="dxa"/>
            <w:hideMark/>
          </w:tcPr>
          <w:p w14:paraId="2FC42D59"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1980/2024 (98%)</w:t>
            </w:r>
          </w:p>
        </w:tc>
        <w:tc>
          <w:tcPr>
            <w:tcW w:w="947" w:type="dxa"/>
            <w:noWrap/>
            <w:hideMark/>
          </w:tcPr>
          <w:p w14:paraId="140C7D2F"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&gt;95%</w:t>
            </w:r>
          </w:p>
        </w:tc>
        <w:tc>
          <w:tcPr>
            <w:tcW w:w="947" w:type="dxa"/>
            <w:noWrap/>
            <w:hideMark/>
          </w:tcPr>
          <w:p w14:paraId="3E2B4359"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47" w:type="dxa"/>
            <w:noWrap/>
            <w:hideMark/>
          </w:tcPr>
          <w:p w14:paraId="1CC38DEB"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15282905"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&gt;95%</w:t>
            </w:r>
          </w:p>
        </w:tc>
      </w:tr>
      <w:tr w:rsidR="000267A4" w:rsidRPr="00EE7E38" w14:paraId="1CCFF744" w14:textId="77777777" w:rsidTr="007D605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52" w:type="dxa"/>
            <w:hideMark/>
          </w:tcPr>
          <w:p w14:paraId="49B171B5"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376414D5"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Coverage of second-line drug susceptibility testing among notified MDR patients</w:t>
            </w:r>
          </w:p>
        </w:tc>
        <w:tc>
          <w:tcPr>
            <w:tcW w:w="1162" w:type="dxa"/>
            <w:hideMark/>
          </w:tcPr>
          <w:p w14:paraId="157FEE52"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78%</w:t>
            </w:r>
          </w:p>
        </w:tc>
        <w:tc>
          <w:tcPr>
            <w:tcW w:w="1162" w:type="dxa"/>
            <w:noWrap/>
            <w:hideMark/>
          </w:tcPr>
          <w:p w14:paraId="67E68971"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1233A319"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6204B0E6"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690357F2"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4051CA70"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r>
      <w:tr w:rsidR="000267A4" w:rsidRPr="00EE7E38" w14:paraId="1D755273" w14:textId="77777777" w:rsidTr="007D6058">
        <w:trPr>
          <w:trHeight w:val="1275"/>
        </w:trPr>
        <w:tc>
          <w:tcPr>
            <w:cnfStyle w:val="001000000000" w:firstRow="0" w:lastRow="0" w:firstColumn="1" w:lastColumn="0" w:oddVBand="0" w:evenVBand="0" w:oddHBand="0" w:evenHBand="0" w:firstRowFirstColumn="0" w:firstRowLastColumn="0" w:lastRowFirstColumn="0" w:lastRowLastColumn="0"/>
            <w:tcW w:w="952" w:type="dxa"/>
            <w:hideMark/>
          </w:tcPr>
          <w:p w14:paraId="714DB79A"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4.</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4D898F39"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Interim results of MDR-TB treatment: percentage of patients with culture conversion at six months of treatment</w:t>
            </w:r>
          </w:p>
        </w:tc>
        <w:tc>
          <w:tcPr>
            <w:tcW w:w="1162" w:type="dxa"/>
            <w:hideMark/>
          </w:tcPr>
          <w:p w14:paraId="31485659"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357/501 72%</w:t>
            </w:r>
          </w:p>
        </w:tc>
        <w:tc>
          <w:tcPr>
            <w:tcW w:w="1162" w:type="dxa"/>
            <w:hideMark/>
          </w:tcPr>
          <w:p w14:paraId="3F25699A"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329/457 (71.9%)</w:t>
            </w:r>
          </w:p>
        </w:tc>
        <w:tc>
          <w:tcPr>
            <w:tcW w:w="947" w:type="dxa"/>
            <w:noWrap/>
            <w:hideMark/>
          </w:tcPr>
          <w:p w14:paraId="1951078C"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549B4E17" w14:textId="77777777" w:rsidR="000267A4" w:rsidRPr="00EE7E38" w:rsidRDefault="000267A4" w:rsidP="000267A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80%</w:t>
            </w:r>
          </w:p>
        </w:tc>
        <w:tc>
          <w:tcPr>
            <w:tcW w:w="947" w:type="dxa"/>
            <w:noWrap/>
            <w:hideMark/>
          </w:tcPr>
          <w:p w14:paraId="650FA617"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2463A31D"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&gt;85%</w:t>
            </w:r>
          </w:p>
        </w:tc>
      </w:tr>
      <w:tr w:rsidR="000267A4" w:rsidRPr="00EE7E38" w14:paraId="59695F13" w14:textId="77777777" w:rsidTr="007D605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52" w:type="dxa"/>
            <w:hideMark/>
          </w:tcPr>
          <w:p w14:paraId="38E8C11F"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5.</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544596B4"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Number of contacts of TB patients screened for active TB, per 1 TB case (all forms)</w:t>
            </w:r>
          </w:p>
        </w:tc>
        <w:tc>
          <w:tcPr>
            <w:tcW w:w="1162" w:type="dxa"/>
            <w:hideMark/>
          </w:tcPr>
          <w:p w14:paraId="0CB36C6F"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1.3</w:t>
            </w:r>
          </w:p>
        </w:tc>
        <w:tc>
          <w:tcPr>
            <w:tcW w:w="1162" w:type="dxa"/>
            <w:noWrap/>
            <w:hideMark/>
          </w:tcPr>
          <w:p w14:paraId="5A538729"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2.13</w:t>
            </w:r>
          </w:p>
        </w:tc>
        <w:tc>
          <w:tcPr>
            <w:tcW w:w="947" w:type="dxa"/>
            <w:noWrap/>
            <w:hideMark/>
          </w:tcPr>
          <w:p w14:paraId="51750982"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11FAA35C"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2.5</w:t>
            </w:r>
          </w:p>
        </w:tc>
        <w:tc>
          <w:tcPr>
            <w:tcW w:w="947" w:type="dxa"/>
            <w:noWrap/>
            <w:hideMark/>
          </w:tcPr>
          <w:p w14:paraId="5759BFCF"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29205BAA"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3.5</w:t>
            </w:r>
          </w:p>
        </w:tc>
      </w:tr>
      <w:tr w:rsidR="000267A4" w:rsidRPr="00EE7E38" w14:paraId="1416C70B" w14:textId="77777777" w:rsidTr="007D6058">
        <w:trPr>
          <w:trHeight w:val="1020"/>
        </w:trPr>
        <w:tc>
          <w:tcPr>
            <w:cnfStyle w:val="001000000000" w:firstRow="0" w:lastRow="0" w:firstColumn="1" w:lastColumn="0" w:oddVBand="0" w:evenVBand="0" w:oddHBand="0" w:evenHBand="0" w:firstRowFirstColumn="0" w:firstRowLastColumn="0" w:lastRowFirstColumn="0" w:lastRowLastColumn="0"/>
            <w:tcW w:w="952" w:type="dxa"/>
            <w:hideMark/>
          </w:tcPr>
          <w:p w14:paraId="3A713F55"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25977B25"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TB notification rate in the penitentiary system: all cases, per 100,000 of average annual prison population</w:t>
            </w:r>
          </w:p>
        </w:tc>
        <w:tc>
          <w:tcPr>
            <w:tcW w:w="1162" w:type="dxa"/>
            <w:hideMark/>
          </w:tcPr>
          <w:p w14:paraId="3F5BF70F"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1400</w:t>
            </w:r>
          </w:p>
        </w:tc>
        <w:tc>
          <w:tcPr>
            <w:tcW w:w="1162" w:type="dxa"/>
            <w:hideMark/>
          </w:tcPr>
          <w:p w14:paraId="4621D244"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900</w:t>
            </w:r>
          </w:p>
        </w:tc>
        <w:tc>
          <w:tcPr>
            <w:tcW w:w="947" w:type="dxa"/>
            <w:hideMark/>
          </w:tcPr>
          <w:p w14:paraId="1A8C500D"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 </w:t>
            </w:r>
          </w:p>
        </w:tc>
        <w:tc>
          <w:tcPr>
            <w:tcW w:w="947" w:type="dxa"/>
            <w:hideMark/>
          </w:tcPr>
          <w:p w14:paraId="13E7B1EE"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800</w:t>
            </w:r>
          </w:p>
        </w:tc>
        <w:tc>
          <w:tcPr>
            <w:tcW w:w="947" w:type="dxa"/>
            <w:hideMark/>
          </w:tcPr>
          <w:p w14:paraId="3AA1BB92"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 </w:t>
            </w:r>
          </w:p>
        </w:tc>
        <w:tc>
          <w:tcPr>
            <w:tcW w:w="947" w:type="dxa"/>
            <w:hideMark/>
          </w:tcPr>
          <w:p w14:paraId="69A5AE26"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&lt;700</w:t>
            </w:r>
          </w:p>
        </w:tc>
      </w:tr>
      <w:tr w:rsidR="000267A4" w:rsidRPr="00EE7E38" w14:paraId="60DD5C78" w14:textId="77777777" w:rsidTr="007D6058">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52" w:type="dxa"/>
            <w:hideMark/>
          </w:tcPr>
          <w:p w14:paraId="48DE9F4D"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7.</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1F92308E"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Proportion of TB patients with known HIV status (percentage of notified TB cases, all forms, tested for HIV)</w:t>
            </w:r>
          </w:p>
        </w:tc>
        <w:tc>
          <w:tcPr>
            <w:tcW w:w="1162" w:type="dxa"/>
            <w:hideMark/>
          </w:tcPr>
          <w:p w14:paraId="465D7A6C"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67%</w:t>
            </w:r>
          </w:p>
        </w:tc>
        <w:tc>
          <w:tcPr>
            <w:tcW w:w="1162" w:type="dxa"/>
            <w:hideMark/>
          </w:tcPr>
          <w:p w14:paraId="0B2E5BFA"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3,193 / 3,756 (85.0%)</w:t>
            </w:r>
          </w:p>
        </w:tc>
        <w:tc>
          <w:tcPr>
            <w:tcW w:w="947" w:type="dxa"/>
            <w:noWrap/>
            <w:hideMark/>
          </w:tcPr>
          <w:p w14:paraId="0C8B3807"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hideMark/>
          </w:tcPr>
          <w:p w14:paraId="53F10C7B"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95%</w:t>
            </w:r>
          </w:p>
        </w:tc>
        <w:tc>
          <w:tcPr>
            <w:tcW w:w="947" w:type="dxa"/>
            <w:noWrap/>
            <w:hideMark/>
          </w:tcPr>
          <w:p w14:paraId="61789D67"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hideMark/>
          </w:tcPr>
          <w:p w14:paraId="6B3B66A3"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&gt;95%</w:t>
            </w:r>
          </w:p>
        </w:tc>
      </w:tr>
      <w:tr w:rsidR="000267A4" w:rsidRPr="00EE7E38" w14:paraId="6014BED3" w14:textId="77777777" w:rsidTr="007D6058">
        <w:trPr>
          <w:trHeight w:val="510"/>
        </w:trPr>
        <w:tc>
          <w:tcPr>
            <w:cnfStyle w:val="001000000000" w:firstRow="0" w:lastRow="0" w:firstColumn="1" w:lastColumn="0" w:oddVBand="0" w:evenVBand="0" w:oddHBand="0" w:evenHBand="0" w:firstRowFirstColumn="0" w:firstRowLastColumn="0" w:lastRowFirstColumn="0" w:lastRowLastColumn="0"/>
            <w:tcW w:w="952" w:type="dxa"/>
            <w:hideMark/>
          </w:tcPr>
          <w:p w14:paraId="27315F1B"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lastRenderedPageBreak/>
              <w:t>8.</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2C1A5DC9" w14:textId="77777777" w:rsidR="000267A4" w:rsidRPr="00EE7E38" w:rsidRDefault="000267A4" w:rsidP="000267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Prevalence of HIV among all TB cases</w:t>
            </w:r>
          </w:p>
        </w:tc>
        <w:tc>
          <w:tcPr>
            <w:tcW w:w="1162" w:type="dxa"/>
            <w:hideMark/>
          </w:tcPr>
          <w:p w14:paraId="0A8CACBB"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2.20%</w:t>
            </w:r>
          </w:p>
        </w:tc>
        <w:tc>
          <w:tcPr>
            <w:tcW w:w="1162" w:type="dxa"/>
            <w:hideMark/>
          </w:tcPr>
          <w:p w14:paraId="51CB4B10"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EE7E38">
              <w:rPr>
                <w:rFonts w:ascii="Times New Roman" w:eastAsia="Times New Roman" w:hAnsi="Times New Roman" w:cs="Times New Roman"/>
                <w:color w:val="FF0000"/>
                <w:sz w:val="20"/>
                <w:szCs w:val="20"/>
              </w:rPr>
              <w:t>2.20%</w:t>
            </w:r>
          </w:p>
        </w:tc>
        <w:tc>
          <w:tcPr>
            <w:tcW w:w="947" w:type="dxa"/>
            <w:noWrap/>
            <w:hideMark/>
          </w:tcPr>
          <w:p w14:paraId="7F0B8970"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hideMark/>
          </w:tcPr>
          <w:p w14:paraId="78A48BB7"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 4.5%</w:t>
            </w:r>
          </w:p>
        </w:tc>
        <w:tc>
          <w:tcPr>
            <w:tcW w:w="947" w:type="dxa"/>
            <w:noWrap/>
            <w:hideMark/>
          </w:tcPr>
          <w:p w14:paraId="5B90D966"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5EF109E0"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r>
      <w:tr w:rsidR="000267A4" w:rsidRPr="00EE7E38" w14:paraId="2BE5A81C" w14:textId="77777777" w:rsidTr="007D6058">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52" w:type="dxa"/>
            <w:hideMark/>
          </w:tcPr>
          <w:p w14:paraId="16E98670"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9.</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17D72BBD" w14:textId="77777777" w:rsidR="000267A4" w:rsidRPr="00EE7E38" w:rsidRDefault="000267A4" w:rsidP="000267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Percentage of TB cases, all forms, receiving the entire treatment in outpatient (ambulatory) setting</w:t>
            </w:r>
          </w:p>
        </w:tc>
        <w:tc>
          <w:tcPr>
            <w:tcW w:w="1162" w:type="dxa"/>
            <w:hideMark/>
          </w:tcPr>
          <w:p w14:paraId="34B5BC37"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30%</w:t>
            </w:r>
          </w:p>
        </w:tc>
        <w:tc>
          <w:tcPr>
            <w:tcW w:w="1162" w:type="dxa"/>
            <w:hideMark/>
          </w:tcPr>
          <w:p w14:paraId="3B02598E"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30% (2014)</w:t>
            </w:r>
          </w:p>
        </w:tc>
        <w:tc>
          <w:tcPr>
            <w:tcW w:w="947" w:type="dxa"/>
            <w:noWrap/>
            <w:hideMark/>
          </w:tcPr>
          <w:p w14:paraId="643272AD" w14:textId="77777777" w:rsidR="000267A4" w:rsidRPr="00EE7E38" w:rsidRDefault="000267A4" w:rsidP="000267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7E664BBB"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60%</w:t>
            </w:r>
          </w:p>
        </w:tc>
        <w:tc>
          <w:tcPr>
            <w:tcW w:w="947" w:type="dxa"/>
            <w:noWrap/>
            <w:hideMark/>
          </w:tcPr>
          <w:p w14:paraId="357452EC"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4A9E09AA" w14:textId="77777777" w:rsidR="000267A4" w:rsidRPr="00EE7E38" w:rsidRDefault="000267A4" w:rsidP="000267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65%</w:t>
            </w:r>
          </w:p>
        </w:tc>
      </w:tr>
      <w:tr w:rsidR="000267A4" w:rsidRPr="00EE7E38" w14:paraId="042E5600" w14:textId="77777777" w:rsidTr="007D6058">
        <w:trPr>
          <w:trHeight w:val="1020"/>
        </w:trPr>
        <w:tc>
          <w:tcPr>
            <w:cnfStyle w:val="001000000000" w:firstRow="0" w:lastRow="0" w:firstColumn="1" w:lastColumn="0" w:oddVBand="0" w:evenVBand="0" w:oddHBand="0" w:evenHBand="0" w:firstRowFirstColumn="0" w:firstRowLastColumn="0" w:lastRowFirstColumn="0" w:lastRowLastColumn="0"/>
            <w:tcW w:w="952" w:type="dxa"/>
            <w:hideMark/>
          </w:tcPr>
          <w:p w14:paraId="246EFC7C" w14:textId="77777777" w:rsidR="000267A4" w:rsidRPr="00EE7E38" w:rsidRDefault="000267A4" w:rsidP="000267A4">
            <w:pPr>
              <w:jc w:val="center"/>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10.</w:t>
            </w:r>
            <w:r w:rsidRPr="00EE7E38">
              <w:rPr>
                <w:rFonts w:ascii="Times New Roman" w:eastAsia="Times New Roman" w:hAnsi="Times New Roman" w:cs="Times New Roman"/>
                <w:color w:val="000000"/>
                <w:sz w:val="14"/>
                <w:szCs w:val="14"/>
              </w:rPr>
              <w:t xml:space="preserve">         </w:t>
            </w:r>
            <w:r w:rsidRPr="00EE7E38">
              <w:rPr>
                <w:rFonts w:ascii="Times New Roman" w:eastAsia="Times New Roman" w:hAnsi="Times New Roman" w:cs="Times New Roman"/>
                <w:color w:val="000000"/>
                <w:sz w:val="20"/>
                <w:szCs w:val="20"/>
              </w:rPr>
              <w:t> </w:t>
            </w:r>
          </w:p>
        </w:tc>
        <w:tc>
          <w:tcPr>
            <w:tcW w:w="2791" w:type="dxa"/>
            <w:hideMark/>
          </w:tcPr>
          <w:p w14:paraId="50D8F15F" w14:textId="77777777" w:rsidR="000267A4" w:rsidRPr="00EE7E38" w:rsidRDefault="000267A4" w:rsidP="000267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Government expenditure for TB control services as percentage of general government expenditure for health care</w:t>
            </w:r>
          </w:p>
        </w:tc>
        <w:tc>
          <w:tcPr>
            <w:tcW w:w="1162" w:type="dxa"/>
            <w:hideMark/>
          </w:tcPr>
          <w:p w14:paraId="2DB09890"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2.20%</w:t>
            </w:r>
          </w:p>
        </w:tc>
        <w:tc>
          <w:tcPr>
            <w:tcW w:w="1162" w:type="dxa"/>
            <w:hideMark/>
          </w:tcPr>
          <w:p w14:paraId="6AD997FD"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E7E38">
              <w:rPr>
                <w:rFonts w:ascii="Times New Roman" w:eastAsia="Times New Roman" w:hAnsi="Times New Roman" w:cs="Times New Roman"/>
                <w:color w:val="000000"/>
                <w:sz w:val="20"/>
                <w:szCs w:val="20"/>
              </w:rPr>
              <w:t>1.40%</w:t>
            </w:r>
          </w:p>
        </w:tc>
        <w:tc>
          <w:tcPr>
            <w:tcW w:w="947" w:type="dxa"/>
            <w:noWrap/>
            <w:hideMark/>
          </w:tcPr>
          <w:p w14:paraId="38A8B048"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3A7F9F3C" w14:textId="77777777" w:rsidR="000267A4" w:rsidRPr="00EE7E38" w:rsidRDefault="000267A4" w:rsidP="000267A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1.70%</w:t>
            </w:r>
          </w:p>
        </w:tc>
        <w:tc>
          <w:tcPr>
            <w:tcW w:w="947" w:type="dxa"/>
            <w:noWrap/>
            <w:hideMark/>
          </w:tcPr>
          <w:p w14:paraId="4D0C9BE9" w14:textId="77777777" w:rsidR="000267A4" w:rsidRPr="00EE7E38" w:rsidRDefault="000267A4" w:rsidP="000267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 </w:t>
            </w:r>
          </w:p>
        </w:tc>
        <w:tc>
          <w:tcPr>
            <w:tcW w:w="947" w:type="dxa"/>
            <w:noWrap/>
            <w:hideMark/>
          </w:tcPr>
          <w:p w14:paraId="77C60EAF" w14:textId="77777777" w:rsidR="000267A4" w:rsidRPr="00EE7E38" w:rsidRDefault="000267A4" w:rsidP="000267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E7E38">
              <w:rPr>
                <w:rFonts w:ascii="Times New Roman" w:eastAsia="Times New Roman" w:hAnsi="Times New Roman" w:cs="Times New Roman"/>
                <w:color w:val="000000"/>
              </w:rPr>
              <w:t>2%</w:t>
            </w:r>
          </w:p>
        </w:tc>
      </w:tr>
    </w:tbl>
    <w:p w14:paraId="00A5EC63" w14:textId="77777777" w:rsidR="00C559C5" w:rsidRPr="00EE7E38" w:rsidRDefault="00C559C5" w:rsidP="000267A4">
      <w:pPr>
        <w:pStyle w:val="Heading2"/>
        <w:rPr>
          <w:rFonts w:ascii="Times New Roman" w:hAnsi="Times New Roman" w:cs="Times New Roman"/>
        </w:rPr>
      </w:pPr>
    </w:p>
    <w:p w14:paraId="786A2FC8" w14:textId="77777777" w:rsidR="00C559C5" w:rsidRPr="00EE7E38" w:rsidRDefault="00C559C5" w:rsidP="000267A4">
      <w:pPr>
        <w:pStyle w:val="Heading2"/>
        <w:rPr>
          <w:rFonts w:ascii="Times New Roman" w:hAnsi="Times New Roman" w:cs="Times New Roman"/>
        </w:rPr>
      </w:pPr>
    </w:p>
    <w:p w14:paraId="1CB8171A" w14:textId="77777777" w:rsidR="00C559C5" w:rsidRPr="00EE7E38" w:rsidRDefault="00C559C5" w:rsidP="000267A4">
      <w:pPr>
        <w:pStyle w:val="Heading2"/>
        <w:rPr>
          <w:rFonts w:ascii="Times New Roman" w:hAnsi="Times New Roman" w:cs="Times New Roman"/>
        </w:rPr>
      </w:pPr>
    </w:p>
    <w:p w14:paraId="5D5B00CF" w14:textId="77777777" w:rsidR="00C559C5" w:rsidRPr="00EE7E38" w:rsidRDefault="00C559C5" w:rsidP="000267A4">
      <w:pPr>
        <w:pStyle w:val="Heading2"/>
        <w:rPr>
          <w:rFonts w:ascii="Times New Roman" w:hAnsi="Times New Roman" w:cs="Times New Roman"/>
        </w:rPr>
      </w:pPr>
    </w:p>
    <w:p w14:paraId="073AE02A" w14:textId="77777777" w:rsidR="00C559C5" w:rsidRPr="00EE7E38" w:rsidRDefault="00C559C5" w:rsidP="000267A4">
      <w:pPr>
        <w:pStyle w:val="Heading2"/>
        <w:rPr>
          <w:rFonts w:ascii="Times New Roman" w:hAnsi="Times New Roman" w:cs="Times New Roman"/>
        </w:rPr>
      </w:pPr>
    </w:p>
    <w:p w14:paraId="78B6725D" w14:textId="77777777" w:rsidR="00C559C5" w:rsidRPr="00EE7E38" w:rsidRDefault="00C559C5" w:rsidP="000267A4">
      <w:pPr>
        <w:pStyle w:val="Heading2"/>
        <w:rPr>
          <w:rFonts w:ascii="Times New Roman" w:hAnsi="Times New Roman" w:cs="Times New Roman"/>
        </w:rPr>
      </w:pPr>
    </w:p>
    <w:p w14:paraId="0A4E4217" w14:textId="77777777" w:rsidR="00C559C5" w:rsidRPr="00EE7E38" w:rsidRDefault="00C559C5" w:rsidP="000267A4">
      <w:pPr>
        <w:pStyle w:val="Heading2"/>
        <w:rPr>
          <w:rFonts w:ascii="Times New Roman" w:hAnsi="Times New Roman" w:cs="Times New Roman"/>
        </w:rPr>
      </w:pPr>
    </w:p>
    <w:p w14:paraId="774A19D5" w14:textId="77777777" w:rsidR="00C559C5" w:rsidRPr="00EE7E38" w:rsidRDefault="00C559C5" w:rsidP="000267A4">
      <w:pPr>
        <w:pStyle w:val="Heading2"/>
        <w:rPr>
          <w:rFonts w:ascii="Times New Roman" w:hAnsi="Times New Roman" w:cs="Times New Roman"/>
        </w:rPr>
      </w:pPr>
    </w:p>
    <w:p w14:paraId="70CE0A65" w14:textId="77777777" w:rsidR="00C559C5" w:rsidRPr="00EE7E38" w:rsidRDefault="00C559C5" w:rsidP="000267A4">
      <w:pPr>
        <w:pStyle w:val="Heading2"/>
        <w:rPr>
          <w:rFonts w:ascii="Times New Roman" w:hAnsi="Times New Roman" w:cs="Times New Roman"/>
        </w:rPr>
      </w:pPr>
    </w:p>
    <w:p w14:paraId="2B71B503" w14:textId="77777777" w:rsidR="00C559C5" w:rsidRPr="00EE7E38" w:rsidRDefault="00C559C5" w:rsidP="000267A4">
      <w:pPr>
        <w:pStyle w:val="Heading2"/>
        <w:rPr>
          <w:rFonts w:ascii="Times New Roman" w:hAnsi="Times New Roman" w:cs="Times New Roman"/>
        </w:rPr>
      </w:pPr>
    </w:p>
    <w:p w14:paraId="4439F25B" w14:textId="77777777" w:rsidR="00C559C5" w:rsidRPr="00EE7E38" w:rsidRDefault="00C559C5" w:rsidP="000267A4">
      <w:pPr>
        <w:pStyle w:val="Heading2"/>
        <w:rPr>
          <w:rFonts w:ascii="Times New Roman" w:hAnsi="Times New Roman" w:cs="Times New Roman"/>
        </w:rPr>
      </w:pPr>
    </w:p>
    <w:p w14:paraId="7E1364B9" w14:textId="77777777" w:rsidR="00C559C5" w:rsidRPr="00EE7E38" w:rsidRDefault="00C559C5" w:rsidP="000267A4">
      <w:pPr>
        <w:pStyle w:val="Heading2"/>
        <w:rPr>
          <w:rFonts w:ascii="Times New Roman" w:hAnsi="Times New Roman" w:cs="Times New Roman"/>
        </w:rPr>
        <w:sectPr w:rsidR="00C559C5" w:rsidRPr="00EE7E38" w:rsidSect="004030DD">
          <w:footerReference w:type="default" r:id="rId9"/>
          <w:pgSz w:w="11907" w:h="16840" w:code="9"/>
          <w:pgMar w:top="1134" w:right="1134" w:bottom="1134" w:left="1134" w:header="720" w:footer="720" w:gutter="0"/>
          <w:cols w:space="720"/>
          <w:docGrid w:linePitch="360"/>
        </w:sectPr>
      </w:pPr>
    </w:p>
    <w:p w14:paraId="490BFAFA" w14:textId="77777777" w:rsidR="000267A4" w:rsidRPr="0092241E" w:rsidRDefault="000267A4" w:rsidP="00EE7E38">
      <w:pPr>
        <w:pStyle w:val="Heading1"/>
        <w:rPr>
          <w:rFonts w:ascii="Times New Roman" w:hAnsi="Times New Roman" w:cs="Times New Roman"/>
          <w:sz w:val="22"/>
        </w:rPr>
      </w:pPr>
      <w:bookmarkStart w:id="32" w:name="_Toc517633176"/>
      <w:r w:rsidRPr="0092241E">
        <w:rPr>
          <w:rFonts w:ascii="Times New Roman" w:hAnsi="Times New Roman" w:cs="Times New Roman"/>
          <w:sz w:val="22"/>
        </w:rPr>
        <w:lastRenderedPageBreak/>
        <w:t xml:space="preserve">Annex 2. </w:t>
      </w:r>
      <w:r w:rsidR="007D6058" w:rsidRPr="0092241E">
        <w:rPr>
          <w:rFonts w:ascii="Times New Roman" w:hAnsi="Times New Roman" w:cs="Times New Roman"/>
          <w:sz w:val="22"/>
        </w:rPr>
        <w:t xml:space="preserve">Georgia TB NSP 2019-2022 </w:t>
      </w:r>
      <w:r w:rsidRPr="0092241E">
        <w:rPr>
          <w:rFonts w:ascii="Times New Roman" w:hAnsi="Times New Roman" w:cs="Times New Roman"/>
          <w:sz w:val="22"/>
        </w:rPr>
        <w:t>Implementation Plan</w:t>
      </w:r>
      <w:bookmarkStart w:id="33" w:name="_GoBack"/>
      <w:bookmarkEnd w:id="32"/>
      <w:bookmarkEnd w:id="33"/>
    </w:p>
    <w:tbl>
      <w:tblPr>
        <w:tblW w:w="16035" w:type="dxa"/>
        <w:tblInd w:w="-726" w:type="dxa"/>
        <w:tblLayout w:type="fixed"/>
        <w:tblLook w:val="04A0" w:firstRow="1" w:lastRow="0" w:firstColumn="1" w:lastColumn="0" w:noHBand="0" w:noVBand="1"/>
      </w:tblPr>
      <w:tblGrid>
        <w:gridCol w:w="660"/>
        <w:gridCol w:w="1861"/>
        <w:gridCol w:w="2172"/>
        <w:gridCol w:w="252"/>
        <w:gridCol w:w="650"/>
        <w:gridCol w:w="20"/>
        <w:gridCol w:w="859"/>
        <w:gridCol w:w="21"/>
        <w:gridCol w:w="838"/>
        <w:gridCol w:w="62"/>
        <w:gridCol w:w="797"/>
        <w:gridCol w:w="13"/>
        <w:gridCol w:w="902"/>
        <w:gridCol w:w="88"/>
        <w:gridCol w:w="900"/>
        <w:gridCol w:w="1260"/>
        <w:gridCol w:w="1170"/>
        <w:gridCol w:w="1260"/>
        <w:gridCol w:w="1080"/>
        <w:gridCol w:w="1170"/>
      </w:tblGrid>
      <w:tr w:rsidR="00B96F3F" w:rsidRPr="00EE7E38" w14:paraId="0BCF8845" w14:textId="77777777" w:rsidTr="00EE7E38">
        <w:trPr>
          <w:trHeight w:val="300"/>
          <w:tblHeader/>
        </w:trPr>
        <w:tc>
          <w:tcPr>
            <w:tcW w:w="660"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14:paraId="6BA826B4" w14:textId="77777777" w:rsidR="00B96F3F" w:rsidRPr="00EE7E38" w:rsidRDefault="00B96F3F"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TB</w:t>
            </w:r>
          </w:p>
        </w:tc>
        <w:tc>
          <w:tcPr>
            <w:tcW w:w="1861"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14:paraId="2CE1B816" w14:textId="77777777" w:rsidR="00B96F3F" w:rsidRPr="00EE7E38" w:rsidRDefault="00B96F3F" w:rsidP="00B96F3F">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Objectives/</w:t>
            </w:r>
          </w:p>
          <w:p w14:paraId="6A5FDEA9" w14:textId="77777777" w:rsidR="00B96F3F" w:rsidRPr="00EE7E38" w:rsidRDefault="00B96F3F" w:rsidP="00B96F3F">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interventions</w:t>
            </w:r>
          </w:p>
        </w:tc>
        <w:tc>
          <w:tcPr>
            <w:tcW w:w="2172" w:type="dxa"/>
            <w:vMerge w:val="restart"/>
            <w:tcBorders>
              <w:top w:val="single" w:sz="4" w:space="0" w:color="auto"/>
              <w:left w:val="nil"/>
              <w:right w:val="single" w:sz="4" w:space="0" w:color="auto"/>
            </w:tcBorders>
            <w:shd w:val="clear" w:color="000000" w:fill="C6D9F1"/>
            <w:vAlign w:val="center"/>
            <w:hideMark/>
          </w:tcPr>
          <w:p w14:paraId="7AEDDBD9" w14:textId="77777777" w:rsidR="00B96F3F" w:rsidRPr="00EE7E38" w:rsidRDefault="00B96F3F"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i/>
                <w:iCs/>
                <w:color w:val="000000"/>
                <w:sz w:val="16"/>
                <w:szCs w:val="16"/>
              </w:rPr>
              <w:t>Outputs</w:t>
            </w:r>
          </w:p>
        </w:tc>
        <w:tc>
          <w:tcPr>
            <w:tcW w:w="3499" w:type="dxa"/>
            <w:gridSpan w:val="8"/>
            <w:tcBorders>
              <w:top w:val="single" w:sz="4" w:space="0" w:color="auto"/>
              <w:left w:val="nil"/>
              <w:bottom w:val="single" w:sz="4" w:space="0" w:color="auto"/>
              <w:right w:val="single" w:sz="4" w:space="0" w:color="auto"/>
            </w:tcBorders>
            <w:shd w:val="clear" w:color="000000" w:fill="C6D9F1"/>
            <w:vAlign w:val="center"/>
            <w:hideMark/>
          </w:tcPr>
          <w:p w14:paraId="12180799"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Targets</w:t>
            </w:r>
          </w:p>
          <w:p w14:paraId="3EE8447C"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p>
          <w:p w14:paraId="6F9822F5"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p>
          <w:p w14:paraId="3A821002"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p>
        </w:tc>
        <w:tc>
          <w:tcPr>
            <w:tcW w:w="915" w:type="dxa"/>
            <w:gridSpan w:val="2"/>
            <w:vMerge w:val="restart"/>
            <w:tcBorders>
              <w:top w:val="single" w:sz="4" w:space="0" w:color="auto"/>
              <w:left w:val="single" w:sz="4" w:space="0" w:color="auto"/>
              <w:bottom w:val="single" w:sz="4" w:space="0" w:color="auto"/>
              <w:right w:val="single" w:sz="4" w:space="0" w:color="auto"/>
            </w:tcBorders>
            <w:shd w:val="clear" w:color="000000" w:fill="C6D9F1"/>
            <w:textDirection w:val="btLr"/>
            <w:vAlign w:val="center"/>
            <w:hideMark/>
          </w:tcPr>
          <w:p w14:paraId="2AACF212"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Responsible entity</w:t>
            </w:r>
          </w:p>
        </w:tc>
        <w:tc>
          <w:tcPr>
            <w:tcW w:w="988" w:type="dxa"/>
            <w:gridSpan w:val="2"/>
            <w:vMerge w:val="restart"/>
            <w:tcBorders>
              <w:top w:val="single" w:sz="4" w:space="0" w:color="auto"/>
              <w:left w:val="single" w:sz="4" w:space="0" w:color="auto"/>
              <w:bottom w:val="single" w:sz="4" w:space="0" w:color="auto"/>
              <w:right w:val="single" w:sz="4" w:space="0" w:color="auto"/>
            </w:tcBorders>
            <w:shd w:val="clear" w:color="000000" w:fill="C6D9F1"/>
            <w:textDirection w:val="btLr"/>
            <w:vAlign w:val="center"/>
            <w:hideMark/>
          </w:tcPr>
          <w:p w14:paraId="47CF721B"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Partners</w:t>
            </w:r>
          </w:p>
        </w:tc>
        <w:tc>
          <w:tcPr>
            <w:tcW w:w="5940" w:type="dxa"/>
            <w:gridSpan w:val="5"/>
            <w:tcBorders>
              <w:top w:val="single" w:sz="4" w:space="0" w:color="auto"/>
              <w:left w:val="nil"/>
              <w:bottom w:val="single" w:sz="4" w:space="0" w:color="auto"/>
              <w:right w:val="single" w:sz="4" w:space="0" w:color="000000"/>
            </w:tcBorders>
            <w:shd w:val="clear" w:color="000000" w:fill="C6D9F1"/>
            <w:vAlign w:val="center"/>
            <w:hideMark/>
          </w:tcPr>
          <w:p w14:paraId="7C596047" w14:textId="77777777" w:rsidR="00B96F3F" w:rsidRPr="00EE7E38" w:rsidRDefault="00B96F3F" w:rsidP="007D6058">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Estimated Budget</w:t>
            </w:r>
          </w:p>
        </w:tc>
      </w:tr>
      <w:tr w:rsidR="00B96F3F" w:rsidRPr="00EE7E38" w14:paraId="16D99AEB" w14:textId="77777777" w:rsidTr="00EE7E38">
        <w:trPr>
          <w:trHeight w:val="855"/>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3AB77F0"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542506DB"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2172" w:type="dxa"/>
            <w:vMerge/>
            <w:tcBorders>
              <w:left w:val="nil"/>
              <w:bottom w:val="single" w:sz="4" w:space="0" w:color="auto"/>
              <w:right w:val="single" w:sz="4" w:space="0" w:color="auto"/>
            </w:tcBorders>
            <w:shd w:val="clear" w:color="000000" w:fill="C6D9F1"/>
            <w:vAlign w:val="center"/>
            <w:hideMark/>
          </w:tcPr>
          <w:p w14:paraId="2B84E324"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p>
        </w:tc>
        <w:tc>
          <w:tcPr>
            <w:tcW w:w="922" w:type="dxa"/>
            <w:gridSpan w:val="3"/>
            <w:tcBorders>
              <w:top w:val="nil"/>
              <w:left w:val="nil"/>
              <w:bottom w:val="single" w:sz="4" w:space="0" w:color="auto"/>
              <w:right w:val="single" w:sz="4" w:space="0" w:color="auto"/>
            </w:tcBorders>
            <w:shd w:val="clear" w:color="000000" w:fill="C6D9F1"/>
            <w:vAlign w:val="center"/>
            <w:hideMark/>
          </w:tcPr>
          <w:p w14:paraId="240A9EEB"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2019</w:t>
            </w:r>
          </w:p>
        </w:tc>
        <w:tc>
          <w:tcPr>
            <w:tcW w:w="859" w:type="dxa"/>
            <w:tcBorders>
              <w:top w:val="nil"/>
              <w:left w:val="nil"/>
              <w:bottom w:val="single" w:sz="4" w:space="0" w:color="auto"/>
              <w:right w:val="single" w:sz="4" w:space="0" w:color="auto"/>
            </w:tcBorders>
            <w:shd w:val="clear" w:color="000000" w:fill="C6D9F1"/>
            <w:vAlign w:val="center"/>
            <w:hideMark/>
          </w:tcPr>
          <w:p w14:paraId="467F51BF"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2020</w:t>
            </w:r>
          </w:p>
        </w:tc>
        <w:tc>
          <w:tcPr>
            <w:tcW w:w="859" w:type="dxa"/>
            <w:gridSpan w:val="2"/>
            <w:tcBorders>
              <w:top w:val="nil"/>
              <w:left w:val="nil"/>
              <w:bottom w:val="single" w:sz="4" w:space="0" w:color="auto"/>
              <w:right w:val="single" w:sz="4" w:space="0" w:color="auto"/>
            </w:tcBorders>
            <w:shd w:val="clear" w:color="000000" w:fill="C6D9F1"/>
            <w:vAlign w:val="center"/>
            <w:hideMark/>
          </w:tcPr>
          <w:p w14:paraId="1D6FE4F4"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2021</w:t>
            </w:r>
          </w:p>
        </w:tc>
        <w:tc>
          <w:tcPr>
            <w:tcW w:w="859" w:type="dxa"/>
            <w:gridSpan w:val="2"/>
            <w:tcBorders>
              <w:top w:val="nil"/>
              <w:left w:val="nil"/>
              <w:bottom w:val="single" w:sz="4" w:space="0" w:color="auto"/>
              <w:right w:val="single" w:sz="4" w:space="0" w:color="auto"/>
            </w:tcBorders>
            <w:shd w:val="clear" w:color="000000" w:fill="C6D9F1"/>
            <w:vAlign w:val="center"/>
            <w:hideMark/>
          </w:tcPr>
          <w:p w14:paraId="68AF32F0"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2022</w:t>
            </w:r>
          </w:p>
        </w:tc>
        <w:tc>
          <w:tcPr>
            <w:tcW w:w="915" w:type="dxa"/>
            <w:gridSpan w:val="2"/>
            <w:vMerge/>
            <w:tcBorders>
              <w:top w:val="single" w:sz="4" w:space="0" w:color="auto"/>
              <w:left w:val="single" w:sz="4" w:space="0" w:color="auto"/>
              <w:bottom w:val="single" w:sz="4" w:space="0" w:color="auto"/>
              <w:right w:val="single" w:sz="4" w:space="0" w:color="auto"/>
            </w:tcBorders>
            <w:vAlign w:val="center"/>
            <w:hideMark/>
          </w:tcPr>
          <w:p w14:paraId="24421A46"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single" w:sz="4" w:space="0" w:color="auto"/>
              <w:left w:val="single" w:sz="4" w:space="0" w:color="auto"/>
              <w:bottom w:val="single" w:sz="4" w:space="0" w:color="auto"/>
              <w:right w:val="single" w:sz="4" w:space="0" w:color="auto"/>
            </w:tcBorders>
            <w:vAlign w:val="center"/>
            <w:hideMark/>
          </w:tcPr>
          <w:p w14:paraId="16F6B74A"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single" w:sz="4" w:space="0" w:color="auto"/>
              <w:right w:val="single" w:sz="4" w:space="0" w:color="auto"/>
            </w:tcBorders>
            <w:shd w:val="clear" w:color="000000" w:fill="C6D9F1"/>
            <w:vAlign w:val="center"/>
            <w:hideMark/>
          </w:tcPr>
          <w:p w14:paraId="11E24CC8"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2019</w:t>
            </w:r>
          </w:p>
        </w:tc>
        <w:tc>
          <w:tcPr>
            <w:tcW w:w="1170" w:type="dxa"/>
            <w:tcBorders>
              <w:top w:val="nil"/>
              <w:left w:val="nil"/>
              <w:bottom w:val="single" w:sz="4" w:space="0" w:color="auto"/>
              <w:right w:val="single" w:sz="4" w:space="0" w:color="auto"/>
            </w:tcBorders>
            <w:shd w:val="clear" w:color="000000" w:fill="C6D9F1"/>
            <w:vAlign w:val="center"/>
            <w:hideMark/>
          </w:tcPr>
          <w:p w14:paraId="31A83F4B"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2020</w:t>
            </w:r>
          </w:p>
        </w:tc>
        <w:tc>
          <w:tcPr>
            <w:tcW w:w="1260" w:type="dxa"/>
            <w:tcBorders>
              <w:top w:val="nil"/>
              <w:left w:val="nil"/>
              <w:bottom w:val="single" w:sz="4" w:space="0" w:color="auto"/>
              <w:right w:val="single" w:sz="4" w:space="0" w:color="auto"/>
            </w:tcBorders>
            <w:shd w:val="clear" w:color="000000" w:fill="C6D9F1"/>
            <w:vAlign w:val="center"/>
            <w:hideMark/>
          </w:tcPr>
          <w:p w14:paraId="1E90E149"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2021</w:t>
            </w:r>
          </w:p>
        </w:tc>
        <w:tc>
          <w:tcPr>
            <w:tcW w:w="1080" w:type="dxa"/>
            <w:tcBorders>
              <w:top w:val="nil"/>
              <w:left w:val="nil"/>
              <w:bottom w:val="single" w:sz="4" w:space="0" w:color="auto"/>
              <w:right w:val="single" w:sz="4" w:space="0" w:color="auto"/>
            </w:tcBorders>
            <w:shd w:val="clear" w:color="000000" w:fill="C6D9F1"/>
            <w:vAlign w:val="center"/>
            <w:hideMark/>
          </w:tcPr>
          <w:p w14:paraId="371F7A79"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2022</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4DAA3C56" w14:textId="77777777" w:rsidR="00B96F3F" w:rsidRPr="00EE7E38" w:rsidRDefault="00B96F3F" w:rsidP="00C559C5">
            <w:pPr>
              <w:spacing w:after="0" w:line="240" w:lineRule="auto"/>
              <w:jc w:val="center"/>
              <w:rPr>
                <w:rFonts w:ascii="Times New Roman" w:eastAsia="Times New Roman" w:hAnsi="Times New Roman" w:cs="Times New Roman"/>
                <w:b/>
                <w:bCs/>
                <w:i/>
                <w:iCs/>
                <w:color w:val="000000"/>
                <w:sz w:val="16"/>
                <w:szCs w:val="16"/>
              </w:rPr>
            </w:pPr>
            <w:r w:rsidRPr="00EE7E38">
              <w:rPr>
                <w:rFonts w:ascii="Times New Roman" w:eastAsia="Times New Roman" w:hAnsi="Times New Roman" w:cs="Times New Roman"/>
                <w:b/>
                <w:bCs/>
                <w:i/>
                <w:iCs/>
                <w:color w:val="000000"/>
                <w:sz w:val="16"/>
                <w:szCs w:val="16"/>
              </w:rPr>
              <w:t>Total 2019-2022</w:t>
            </w:r>
          </w:p>
        </w:tc>
      </w:tr>
      <w:tr w:rsidR="00B96F3F" w:rsidRPr="00EE7E38" w14:paraId="322E5684" w14:textId="77777777" w:rsidTr="00EE7E38">
        <w:trPr>
          <w:trHeight w:val="585"/>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3518DD86"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w:t>
            </w:r>
          </w:p>
        </w:tc>
        <w:tc>
          <w:tcPr>
            <w:tcW w:w="9435" w:type="dxa"/>
            <w:gridSpan w:val="14"/>
            <w:tcBorders>
              <w:top w:val="single" w:sz="4" w:space="0" w:color="auto"/>
              <w:left w:val="nil"/>
              <w:bottom w:val="single" w:sz="4" w:space="0" w:color="auto"/>
              <w:right w:val="single" w:sz="4" w:space="0" w:color="auto"/>
            </w:tcBorders>
            <w:shd w:val="clear" w:color="000000" w:fill="D9D9D9"/>
            <w:vAlign w:val="center"/>
            <w:hideMark/>
          </w:tcPr>
          <w:p w14:paraId="15F72158"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To provide universal access to early and quality diagnosis of all forms of TB including M/XDR-TB</w:t>
            </w:r>
          </w:p>
        </w:tc>
        <w:tc>
          <w:tcPr>
            <w:tcW w:w="1260" w:type="dxa"/>
            <w:tcBorders>
              <w:top w:val="nil"/>
              <w:left w:val="nil"/>
              <w:bottom w:val="single" w:sz="4" w:space="0" w:color="auto"/>
              <w:right w:val="single" w:sz="4" w:space="0" w:color="auto"/>
            </w:tcBorders>
            <w:shd w:val="clear" w:color="000000" w:fill="D9D9D9"/>
            <w:vAlign w:val="center"/>
            <w:hideMark/>
          </w:tcPr>
          <w:p w14:paraId="44C6E145"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3,294,455</w:t>
            </w:r>
          </w:p>
        </w:tc>
        <w:tc>
          <w:tcPr>
            <w:tcW w:w="1170" w:type="dxa"/>
            <w:tcBorders>
              <w:top w:val="nil"/>
              <w:left w:val="nil"/>
              <w:bottom w:val="single" w:sz="4" w:space="0" w:color="auto"/>
              <w:right w:val="single" w:sz="4" w:space="0" w:color="auto"/>
            </w:tcBorders>
            <w:shd w:val="clear" w:color="000000" w:fill="D9D9D9"/>
            <w:vAlign w:val="center"/>
            <w:hideMark/>
          </w:tcPr>
          <w:p w14:paraId="1CBCE5AA"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2,902,810</w:t>
            </w:r>
          </w:p>
        </w:tc>
        <w:tc>
          <w:tcPr>
            <w:tcW w:w="1260" w:type="dxa"/>
            <w:tcBorders>
              <w:top w:val="nil"/>
              <w:left w:val="nil"/>
              <w:bottom w:val="single" w:sz="4" w:space="0" w:color="auto"/>
              <w:right w:val="single" w:sz="4" w:space="0" w:color="auto"/>
            </w:tcBorders>
            <w:shd w:val="clear" w:color="000000" w:fill="D9D9D9"/>
            <w:vAlign w:val="center"/>
            <w:hideMark/>
          </w:tcPr>
          <w:p w14:paraId="15C37D2F"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3,000,312</w:t>
            </w:r>
          </w:p>
        </w:tc>
        <w:tc>
          <w:tcPr>
            <w:tcW w:w="1080" w:type="dxa"/>
            <w:tcBorders>
              <w:top w:val="nil"/>
              <w:left w:val="nil"/>
              <w:bottom w:val="single" w:sz="4" w:space="0" w:color="auto"/>
              <w:right w:val="single" w:sz="4" w:space="0" w:color="auto"/>
            </w:tcBorders>
            <w:shd w:val="clear" w:color="000000" w:fill="D9D9D9"/>
            <w:vAlign w:val="center"/>
            <w:hideMark/>
          </w:tcPr>
          <w:p w14:paraId="07A62010"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3,073,254</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0B28AAD5"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12,270,830</w:t>
            </w:r>
          </w:p>
        </w:tc>
      </w:tr>
      <w:tr w:rsidR="00B96F3F" w:rsidRPr="00EE7E38" w14:paraId="545930BC" w14:textId="77777777" w:rsidTr="00EE7E38">
        <w:trPr>
          <w:trHeight w:val="67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6B9D514"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1.1</w:t>
            </w:r>
          </w:p>
        </w:tc>
        <w:tc>
          <w:tcPr>
            <w:tcW w:w="1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032EA"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xml:space="preserve">Rollout of </w:t>
            </w:r>
            <w:proofErr w:type="spellStart"/>
            <w:r w:rsidRPr="00EE7E38">
              <w:rPr>
                <w:rFonts w:ascii="Times New Roman" w:eastAsia="Times New Roman" w:hAnsi="Times New Roman" w:cs="Times New Roman"/>
                <w:b/>
                <w:bCs/>
                <w:color w:val="000000"/>
                <w:sz w:val="16"/>
                <w:szCs w:val="16"/>
              </w:rPr>
              <w:t>Xpert</w:t>
            </w:r>
            <w:proofErr w:type="spellEnd"/>
            <w:r w:rsidRPr="00EE7E38">
              <w:rPr>
                <w:rFonts w:ascii="Times New Roman" w:eastAsia="Times New Roman" w:hAnsi="Times New Roman" w:cs="Times New Roman"/>
                <w:b/>
                <w:bCs/>
                <w:color w:val="000000"/>
                <w:sz w:val="16"/>
                <w:szCs w:val="16"/>
              </w:rPr>
              <w:t xml:space="preserve"> MTB/RIF technology</w:t>
            </w:r>
          </w:p>
        </w:tc>
        <w:tc>
          <w:tcPr>
            <w:tcW w:w="2172" w:type="dxa"/>
            <w:tcBorders>
              <w:top w:val="nil"/>
              <w:left w:val="nil"/>
              <w:bottom w:val="single" w:sz="4" w:space="0" w:color="auto"/>
              <w:right w:val="single" w:sz="4" w:space="0" w:color="auto"/>
            </w:tcBorders>
            <w:shd w:val="clear" w:color="auto" w:fill="auto"/>
            <w:vAlign w:val="center"/>
            <w:hideMark/>
          </w:tcPr>
          <w:p w14:paraId="5E1DFBE5"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and % of TB service providers using </w:t>
            </w:r>
            <w:proofErr w:type="spellStart"/>
            <w:r w:rsidRPr="00EE7E38">
              <w:rPr>
                <w:rFonts w:ascii="Times New Roman" w:eastAsia="Times New Roman" w:hAnsi="Times New Roman" w:cs="Times New Roman"/>
                <w:color w:val="000000"/>
                <w:sz w:val="16"/>
                <w:szCs w:val="16"/>
              </w:rPr>
              <w:t>Xpert</w:t>
            </w:r>
            <w:proofErr w:type="spellEnd"/>
            <w:r w:rsidRPr="00EE7E38">
              <w:rPr>
                <w:rFonts w:ascii="Times New Roman" w:eastAsia="Times New Roman" w:hAnsi="Times New Roman" w:cs="Times New Roman"/>
                <w:color w:val="000000"/>
                <w:sz w:val="16"/>
                <w:szCs w:val="16"/>
              </w:rPr>
              <w:t xml:space="preserve"> test as point of care diagnostic tool </w:t>
            </w:r>
          </w:p>
        </w:tc>
        <w:tc>
          <w:tcPr>
            <w:tcW w:w="922" w:type="dxa"/>
            <w:gridSpan w:val="3"/>
            <w:tcBorders>
              <w:top w:val="nil"/>
              <w:left w:val="nil"/>
              <w:bottom w:val="single" w:sz="4" w:space="0" w:color="auto"/>
              <w:right w:val="single" w:sz="4" w:space="0" w:color="auto"/>
            </w:tcBorders>
            <w:shd w:val="clear" w:color="auto" w:fill="auto"/>
            <w:vAlign w:val="center"/>
            <w:hideMark/>
          </w:tcPr>
          <w:p w14:paraId="3F55659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50/75 (66%)</w:t>
            </w:r>
          </w:p>
        </w:tc>
        <w:tc>
          <w:tcPr>
            <w:tcW w:w="859" w:type="dxa"/>
            <w:tcBorders>
              <w:top w:val="nil"/>
              <w:left w:val="nil"/>
              <w:bottom w:val="single" w:sz="4" w:space="0" w:color="auto"/>
              <w:right w:val="single" w:sz="4" w:space="0" w:color="auto"/>
            </w:tcBorders>
            <w:shd w:val="clear" w:color="auto" w:fill="auto"/>
            <w:vAlign w:val="center"/>
            <w:hideMark/>
          </w:tcPr>
          <w:p w14:paraId="4A2662A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50/75 (66%)</w:t>
            </w:r>
          </w:p>
        </w:tc>
        <w:tc>
          <w:tcPr>
            <w:tcW w:w="859" w:type="dxa"/>
            <w:gridSpan w:val="2"/>
            <w:tcBorders>
              <w:top w:val="nil"/>
              <w:left w:val="nil"/>
              <w:bottom w:val="single" w:sz="4" w:space="0" w:color="auto"/>
              <w:right w:val="single" w:sz="4" w:space="0" w:color="auto"/>
            </w:tcBorders>
            <w:shd w:val="clear" w:color="auto" w:fill="auto"/>
            <w:vAlign w:val="center"/>
            <w:hideMark/>
          </w:tcPr>
          <w:p w14:paraId="3DA3D851"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50/75 (66%)</w:t>
            </w:r>
          </w:p>
        </w:tc>
        <w:tc>
          <w:tcPr>
            <w:tcW w:w="859" w:type="dxa"/>
            <w:gridSpan w:val="2"/>
            <w:tcBorders>
              <w:top w:val="nil"/>
              <w:left w:val="nil"/>
              <w:bottom w:val="single" w:sz="4" w:space="0" w:color="auto"/>
              <w:right w:val="single" w:sz="4" w:space="0" w:color="auto"/>
            </w:tcBorders>
            <w:shd w:val="clear" w:color="auto" w:fill="auto"/>
            <w:vAlign w:val="center"/>
            <w:hideMark/>
          </w:tcPr>
          <w:p w14:paraId="51AE7CF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50/75 (66%)</w:t>
            </w:r>
          </w:p>
        </w:tc>
        <w:tc>
          <w:tcPr>
            <w:tcW w:w="9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FD960E"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8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4726E00"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4F2EAD0"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464,424</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6270E4B"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464,424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35C4031"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464,424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51775AF"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464,424</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00AAB45"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1,857,695</w:t>
            </w:r>
          </w:p>
        </w:tc>
      </w:tr>
      <w:tr w:rsidR="00B96F3F" w:rsidRPr="00EE7E38" w14:paraId="4A72430F" w14:textId="77777777" w:rsidTr="00EE7E38">
        <w:trPr>
          <w:trHeight w:val="885"/>
        </w:trPr>
        <w:tc>
          <w:tcPr>
            <w:tcW w:w="660" w:type="dxa"/>
            <w:vMerge/>
            <w:tcBorders>
              <w:top w:val="nil"/>
              <w:left w:val="single" w:sz="4" w:space="0" w:color="auto"/>
              <w:bottom w:val="single" w:sz="4" w:space="0" w:color="auto"/>
              <w:right w:val="single" w:sz="4" w:space="0" w:color="auto"/>
            </w:tcBorders>
            <w:vAlign w:val="center"/>
            <w:hideMark/>
          </w:tcPr>
          <w:p w14:paraId="7CAF7EC0"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739E7F83"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single" w:sz="4" w:space="0" w:color="auto"/>
              <w:right w:val="single" w:sz="4" w:space="0" w:color="auto"/>
            </w:tcBorders>
            <w:shd w:val="clear" w:color="auto" w:fill="auto"/>
            <w:vAlign w:val="center"/>
            <w:hideMark/>
          </w:tcPr>
          <w:p w14:paraId="228EB6DC"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and % of </w:t>
            </w:r>
            <w:proofErr w:type="spellStart"/>
            <w:r w:rsidRPr="00EE7E38">
              <w:rPr>
                <w:rFonts w:ascii="Times New Roman" w:eastAsia="Times New Roman" w:hAnsi="Times New Roman" w:cs="Times New Roman"/>
                <w:color w:val="000000"/>
                <w:sz w:val="16"/>
                <w:szCs w:val="16"/>
              </w:rPr>
              <w:t>Xpert</w:t>
            </w:r>
            <w:proofErr w:type="spellEnd"/>
            <w:r w:rsidRPr="00EE7E38">
              <w:rPr>
                <w:rFonts w:ascii="Times New Roman" w:eastAsia="Times New Roman" w:hAnsi="Times New Roman" w:cs="Times New Roman"/>
                <w:color w:val="000000"/>
                <w:sz w:val="16"/>
                <w:szCs w:val="16"/>
              </w:rPr>
              <w:t xml:space="preserve"> tested individuals among all TB presumptive cases tested </w:t>
            </w:r>
          </w:p>
        </w:tc>
        <w:tc>
          <w:tcPr>
            <w:tcW w:w="922" w:type="dxa"/>
            <w:gridSpan w:val="3"/>
            <w:tcBorders>
              <w:top w:val="nil"/>
              <w:left w:val="nil"/>
              <w:bottom w:val="single" w:sz="4" w:space="0" w:color="auto"/>
              <w:right w:val="single" w:sz="4" w:space="0" w:color="auto"/>
            </w:tcBorders>
            <w:shd w:val="clear" w:color="auto" w:fill="auto"/>
            <w:vAlign w:val="center"/>
            <w:hideMark/>
          </w:tcPr>
          <w:p w14:paraId="5809C98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 95%</w:t>
            </w:r>
            <w:r w:rsidRPr="00EE7E38">
              <w:rPr>
                <w:rFonts w:ascii="Sylfaen" w:eastAsia="Times New Roman" w:hAnsi="Sylfaen" w:cs="Sylfaen"/>
                <w:color w:val="000000"/>
                <w:sz w:val="16"/>
                <w:szCs w:val="16"/>
              </w:rPr>
              <w:t>ზე</w:t>
            </w:r>
          </w:p>
        </w:tc>
        <w:tc>
          <w:tcPr>
            <w:tcW w:w="859" w:type="dxa"/>
            <w:tcBorders>
              <w:top w:val="nil"/>
              <w:left w:val="nil"/>
              <w:bottom w:val="single" w:sz="4" w:space="0" w:color="auto"/>
              <w:right w:val="single" w:sz="4" w:space="0" w:color="auto"/>
            </w:tcBorders>
            <w:shd w:val="clear" w:color="auto" w:fill="auto"/>
            <w:vAlign w:val="center"/>
            <w:hideMark/>
          </w:tcPr>
          <w:p w14:paraId="0A85DF7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 95%</w:t>
            </w:r>
            <w:r w:rsidRPr="00EE7E38">
              <w:rPr>
                <w:rFonts w:ascii="Sylfaen" w:eastAsia="Times New Roman" w:hAnsi="Sylfaen" w:cs="Sylfaen"/>
                <w:color w:val="000000"/>
                <w:sz w:val="16"/>
                <w:szCs w:val="16"/>
              </w:rPr>
              <w:t>ზე</w:t>
            </w:r>
          </w:p>
        </w:tc>
        <w:tc>
          <w:tcPr>
            <w:tcW w:w="859" w:type="dxa"/>
            <w:gridSpan w:val="2"/>
            <w:tcBorders>
              <w:top w:val="nil"/>
              <w:left w:val="nil"/>
              <w:bottom w:val="single" w:sz="4" w:space="0" w:color="auto"/>
              <w:right w:val="single" w:sz="4" w:space="0" w:color="auto"/>
            </w:tcBorders>
            <w:shd w:val="clear" w:color="auto" w:fill="auto"/>
            <w:vAlign w:val="center"/>
            <w:hideMark/>
          </w:tcPr>
          <w:p w14:paraId="4CDACFB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 95%</w:t>
            </w:r>
            <w:r w:rsidRPr="00EE7E38">
              <w:rPr>
                <w:rFonts w:ascii="Sylfaen" w:eastAsia="Times New Roman" w:hAnsi="Sylfaen" w:cs="Sylfaen"/>
                <w:color w:val="000000"/>
                <w:sz w:val="16"/>
                <w:szCs w:val="16"/>
              </w:rPr>
              <w:t>ზე</w:t>
            </w:r>
          </w:p>
        </w:tc>
        <w:tc>
          <w:tcPr>
            <w:tcW w:w="859" w:type="dxa"/>
            <w:gridSpan w:val="2"/>
            <w:tcBorders>
              <w:top w:val="nil"/>
              <w:left w:val="nil"/>
              <w:bottom w:val="single" w:sz="4" w:space="0" w:color="auto"/>
              <w:right w:val="single" w:sz="4" w:space="0" w:color="auto"/>
            </w:tcBorders>
            <w:shd w:val="clear" w:color="auto" w:fill="auto"/>
            <w:vAlign w:val="center"/>
            <w:hideMark/>
          </w:tcPr>
          <w:p w14:paraId="01607B01"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 95%</w:t>
            </w:r>
            <w:r w:rsidRPr="00EE7E38">
              <w:rPr>
                <w:rFonts w:ascii="Sylfaen" w:eastAsia="Times New Roman" w:hAnsi="Sylfaen" w:cs="Sylfaen"/>
                <w:color w:val="000000"/>
                <w:sz w:val="16"/>
                <w:szCs w:val="16"/>
              </w:rPr>
              <w:t>ზე</w:t>
            </w:r>
          </w:p>
        </w:tc>
        <w:tc>
          <w:tcPr>
            <w:tcW w:w="915" w:type="dxa"/>
            <w:gridSpan w:val="2"/>
            <w:vMerge/>
            <w:tcBorders>
              <w:top w:val="nil"/>
              <w:left w:val="single" w:sz="4" w:space="0" w:color="auto"/>
              <w:bottom w:val="single" w:sz="4" w:space="0" w:color="auto"/>
              <w:right w:val="single" w:sz="4" w:space="0" w:color="auto"/>
            </w:tcBorders>
            <w:vAlign w:val="center"/>
            <w:hideMark/>
          </w:tcPr>
          <w:p w14:paraId="6D5B73B5"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nil"/>
              <w:left w:val="single" w:sz="4" w:space="0" w:color="auto"/>
              <w:bottom w:val="single" w:sz="4" w:space="0" w:color="auto"/>
              <w:right w:val="single" w:sz="4" w:space="0" w:color="auto"/>
            </w:tcBorders>
            <w:vAlign w:val="center"/>
            <w:hideMark/>
          </w:tcPr>
          <w:p w14:paraId="6872D63F"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8921F0F"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38BE32B4"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73ABFC54"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27FC13A9"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0C8AF8AA"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53937872" w14:textId="77777777" w:rsidTr="00EE7E38">
        <w:trPr>
          <w:trHeight w:val="625"/>
        </w:trPr>
        <w:tc>
          <w:tcPr>
            <w:tcW w:w="660" w:type="dxa"/>
            <w:vMerge/>
            <w:tcBorders>
              <w:top w:val="nil"/>
              <w:left w:val="single" w:sz="4" w:space="0" w:color="auto"/>
              <w:bottom w:val="single" w:sz="4" w:space="0" w:color="auto"/>
              <w:right w:val="single" w:sz="4" w:space="0" w:color="auto"/>
            </w:tcBorders>
            <w:vAlign w:val="center"/>
            <w:hideMark/>
          </w:tcPr>
          <w:p w14:paraId="1C838439"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7C74362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single" w:sz="4" w:space="0" w:color="auto"/>
              <w:right w:val="single" w:sz="4" w:space="0" w:color="auto"/>
            </w:tcBorders>
            <w:shd w:val="clear" w:color="auto" w:fill="auto"/>
            <w:vAlign w:val="center"/>
            <w:hideMark/>
          </w:tcPr>
          <w:p w14:paraId="114E5FE5"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of health care workers trained in  use of </w:t>
            </w:r>
            <w:proofErr w:type="spellStart"/>
            <w:r w:rsidRPr="00EE7E38">
              <w:rPr>
                <w:rFonts w:ascii="Times New Roman" w:eastAsia="Times New Roman" w:hAnsi="Times New Roman" w:cs="Times New Roman"/>
                <w:color w:val="000000"/>
                <w:sz w:val="16"/>
                <w:szCs w:val="16"/>
              </w:rPr>
              <w:t>Xpert</w:t>
            </w:r>
            <w:proofErr w:type="spellEnd"/>
            <w:r w:rsidRPr="00EE7E38">
              <w:rPr>
                <w:rFonts w:ascii="Times New Roman" w:eastAsia="Times New Roman" w:hAnsi="Times New Roman" w:cs="Times New Roman"/>
                <w:color w:val="000000"/>
                <w:sz w:val="16"/>
                <w:szCs w:val="16"/>
              </w:rPr>
              <w:t xml:space="preserve"> MTB/RIF technology   </w:t>
            </w:r>
          </w:p>
        </w:tc>
        <w:tc>
          <w:tcPr>
            <w:tcW w:w="922" w:type="dxa"/>
            <w:gridSpan w:val="3"/>
            <w:tcBorders>
              <w:top w:val="nil"/>
              <w:left w:val="nil"/>
              <w:bottom w:val="single" w:sz="4" w:space="0" w:color="auto"/>
              <w:right w:val="single" w:sz="4" w:space="0" w:color="auto"/>
            </w:tcBorders>
            <w:shd w:val="clear" w:color="auto" w:fill="auto"/>
            <w:vAlign w:val="center"/>
            <w:hideMark/>
          </w:tcPr>
          <w:p w14:paraId="06C1930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14:paraId="4B33692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200</w:t>
            </w:r>
          </w:p>
        </w:tc>
        <w:tc>
          <w:tcPr>
            <w:tcW w:w="859" w:type="dxa"/>
            <w:gridSpan w:val="2"/>
            <w:tcBorders>
              <w:top w:val="nil"/>
              <w:left w:val="nil"/>
              <w:bottom w:val="single" w:sz="4" w:space="0" w:color="auto"/>
              <w:right w:val="single" w:sz="4" w:space="0" w:color="auto"/>
            </w:tcBorders>
            <w:shd w:val="clear" w:color="auto" w:fill="auto"/>
            <w:vAlign w:val="center"/>
            <w:hideMark/>
          </w:tcPr>
          <w:p w14:paraId="0E553085"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753318C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200</w:t>
            </w:r>
          </w:p>
        </w:tc>
        <w:tc>
          <w:tcPr>
            <w:tcW w:w="915" w:type="dxa"/>
            <w:gridSpan w:val="2"/>
            <w:vMerge/>
            <w:tcBorders>
              <w:top w:val="nil"/>
              <w:left w:val="single" w:sz="4" w:space="0" w:color="auto"/>
              <w:bottom w:val="single" w:sz="4" w:space="0" w:color="auto"/>
              <w:right w:val="single" w:sz="4" w:space="0" w:color="auto"/>
            </w:tcBorders>
            <w:vAlign w:val="center"/>
            <w:hideMark/>
          </w:tcPr>
          <w:p w14:paraId="4449BE64"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nil"/>
              <w:left w:val="single" w:sz="4" w:space="0" w:color="auto"/>
              <w:bottom w:val="single" w:sz="4" w:space="0" w:color="auto"/>
              <w:right w:val="single" w:sz="4" w:space="0" w:color="auto"/>
            </w:tcBorders>
            <w:vAlign w:val="center"/>
            <w:hideMark/>
          </w:tcPr>
          <w:p w14:paraId="5C19DC2A"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67202F4A"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58C329A2"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2212070"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5BE65ACD"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F365CD1"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7B360AC4" w14:textId="77777777" w:rsidTr="00EE7E38">
        <w:trPr>
          <w:trHeight w:val="886"/>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B8081EF"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1.2</w:t>
            </w:r>
          </w:p>
        </w:tc>
        <w:tc>
          <w:tcPr>
            <w:tcW w:w="1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5837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TB diagnostic investigations at regional and national level</w:t>
            </w:r>
          </w:p>
        </w:tc>
        <w:tc>
          <w:tcPr>
            <w:tcW w:w="2172" w:type="dxa"/>
            <w:tcBorders>
              <w:top w:val="nil"/>
              <w:left w:val="nil"/>
              <w:bottom w:val="single" w:sz="8" w:space="0" w:color="auto"/>
              <w:right w:val="single" w:sz="8" w:space="0" w:color="auto"/>
            </w:tcBorders>
            <w:shd w:val="clear" w:color="auto" w:fill="auto"/>
            <w:vAlign w:val="center"/>
            <w:hideMark/>
          </w:tcPr>
          <w:p w14:paraId="2A915DA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N and % of first-line drug susceptibility testing among notified culture-positive TB patients (new and previously treated)</w:t>
            </w:r>
          </w:p>
        </w:tc>
        <w:tc>
          <w:tcPr>
            <w:tcW w:w="922" w:type="dxa"/>
            <w:gridSpan w:val="3"/>
            <w:tcBorders>
              <w:top w:val="nil"/>
              <w:left w:val="nil"/>
              <w:bottom w:val="single" w:sz="4" w:space="0" w:color="auto"/>
              <w:right w:val="single" w:sz="4" w:space="0" w:color="auto"/>
            </w:tcBorders>
            <w:shd w:val="clear" w:color="auto" w:fill="auto"/>
            <w:vAlign w:val="center"/>
            <w:hideMark/>
          </w:tcPr>
          <w:p w14:paraId="25C369A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1,939 / 1,978 (98.0%)</w:t>
            </w:r>
          </w:p>
        </w:tc>
        <w:tc>
          <w:tcPr>
            <w:tcW w:w="859" w:type="dxa"/>
            <w:tcBorders>
              <w:top w:val="nil"/>
              <w:left w:val="nil"/>
              <w:bottom w:val="single" w:sz="4" w:space="0" w:color="auto"/>
              <w:right w:val="single" w:sz="4" w:space="0" w:color="auto"/>
            </w:tcBorders>
            <w:shd w:val="clear" w:color="auto" w:fill="auto"/>
            <w:vAlign w:val="center"/>
            <w:hideMark/>
          </w:tcPr>
          <w:p w14:paraId="54B7E64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2E0B2D9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7DE16307"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9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AA10DEF"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8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A0768C"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9F0A1D6"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1,068,644</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4F7D8BCC"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554,172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E68F105"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544,263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AF31379"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524,684</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1A3EEDD0"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2,691,763</w:t>
            </w:r>
          </w:p>
        </w:tc>
      </w:tr>
      <w:tr w:rsidR="00B96F3F" w:rsidRPr="00EE7E38" w14:paraId="68300633" w14:textId="77777777" w:rsidTr="00EE7E38">
        <w:trPr>
          <w:trHeight w:val="1020"/>
        </w:trPr>
        <w:tc>
          <w:tcPr>
            <w:tcW w:w="660" w:type="dxa"/>
            <w:vMerge/>
            <w:tcBorders>
              <w:top w:val="nil"/>
              <w:left w:val="single" w:sz="4" w:space="0" w:color="auto"/>
              <w:bottom w:val="single" w:sz="4" w:space="0" w:color="auto"/>
              <w:right w:val="single" w:sz="4" w:space="0" w:color="auto"/>
            </w:tcBorders>
            <w:vAlign w:val="center"/>
            <w:hideMark/>
          </w:tcPr>
          <w:p w14:paraId="634808F9"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5D8D1764"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nil"/>
              <w:right w:val="single" w:sz="8" w:space="0" w:color="auto"/>
            </w:tcBorders>
            <w:shd w:val="clear" w:color="auto" w:fill="auto"/>
            <w:vAlign w:val="center"/>
            <w:hideMark/>
          </w:tcPr>
          <w:p w14:paraId="08C7367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 and % of second-line drug susceptibility testing among notified Rifampicin and multi drug resistant patients </w:t>
            </w:r>
          </w:p>
        </w:tc>
        <w:tc>
          <w:tcPr>
            <w:tcW w:w="922" w:type="dxa"/>
            <w:gridSpan w:val="3"/>
            <w:tcBorders>
              <w:top w:val="nil"/>
              <w:left w:val="nil"/>
              <w:bottom w:val="single" w:sz="4" w:space="0" w:color="auto"/>
              <w:right w:val="single" w:sz="4" w:space="0" w:color="auto"/>
            </w:tcBorders>
            <w:shd w:val="clear" w:color="auto" w:fill="auto"/>
            <w:vAlign w:val="center"/>
            <w:hideMark/>
          </w:tcPr>
          <w:p w14:paraId="5D82271C" w14:textId="77777777" w:rsidR="00C559C5" w:rsidRPr="00EE7E38" w:rsidRDefault="00C559C5" w:rsidP="00C559C5">
            <w:pPr>
              <w:spacing w:after="0" w:line="240" w:lineRule="auto"/>
              <w:jc w:val="center"/>
              <w:rPr>
                <w:rFonts w:ascii="Times New Roman" w:eastAsia="Times New Roman" w:hAnsi="Times New Roman" w:cs="Times New Roman"/>
                <w:sz w:val="16"/>
                <w:szCs w:val="16"/>
              </w:rPr>
            </w:pPr>
            <w:r w:rsidRPr="00EE7E38">
              <w:rPr>
                <w:rFonts w:ascii="Times New Roman" w:eastAsia="Times New Roman" w:hAnsi="Times New Roman" w:cs="Times New Roman"/>
                <w:sz w:val="16"/>
                <w:szCs w:val="16"/>
              </w:rPr>
              <w:t>90%</w:t>
            </w:r>
          </w:p>
        </w:tc>
        <w:tc>
          <w:tcPr>
            <w:tcW w:w="859" w:type="dxa"/>
            <w:tcBorders>
              <w:top w:val="nil"/>
              <w:left w:val="nil"/>
              <w:bottom w:val="single" w:sz="4" w:space="0" w:color="auto"/>
              <w:right w:val="single" w:sz="4" w:space="0" w:color="auto"/>
            </w:tcBorders>
            <w:shd w:val="clear" w:color="auto" w:fill="auto"/>
            <w:vAlign w:val="center"/>
            <w:hideMark/>
          </w:tcPr>
          <w:p w14:paraId="652344DF" w14:textId="77777777" w:rsidR="00C559C5" w:rsidRPr="00EE7E38" w:rsidRDefault="00C559C5" w:rsidP="00C559C5">
            <w:pPr>
              <w:spacing w:after="0" w:line="240" w:lineRule="auto"/>
              <w:jc w:val="center"/>
              <w:rPr>
                <w:rFonts w:ascii="Times New Roman" w:eastAsia="Times New Roman" w:hAnsi="Times New Roman" w:cs="Times New Roman"/>
                <w:sz w:val="16"/>
                <w:szCs w:val="16"/>
              </w:rPr>
            </w:pPr>
            <w:r w:rsidRPr="00EE7E38">
              <w:rPr>
                <w:rFonts w:ascii="Times New Roman" w:eastAsia="Times New Roman" w:hAnsi="Times New Roman" w:cs="Times New Roman"/>
                <w:sz w:val="16"/>
                <w:szCs w:val="16"/>
              </w:rPr>
              <w:t>92%</w:t>
            </w:r>
          </w:p>
        </w:tc>
        <w:tc>
          <w:tcPr>
            <w:tcW w:w="859" w:type="dxa"/>
            <w:gridSpan w:val="2"/>
            <w:tcBorders>
              <w:top w:val="nil"/>
              <w:left w:val="nil"/>
              <w:bottom w:val="single" w:sz="4" w:space="0" w:color="auto"/>
              <w:right w:val="single" w:sz="4" w:space="0" w:color="auto"/>
            </w:tcBorders>
            <w:shd w:val="clear" w:color="auto" w:fill="auto"/>
            <w:vAlign w:val="center"/>
            <w:hideMark/>
          </w:tcPr>
          <w:p w14:paraId="151607D7" w14:textId="77777777" w:rsidR="00C559C5" w:rsidRPr="00EE7E38" w:rsidRDefault="00C559C5" w:rsidP="00C559C5">
            <w:pPr>
              <w:spacing w:after="0" w:line="240" w:lineRule="auto"/>
              <w:jc w:val="center"/>
              <w:rPr>
                <w:rFonts w:ascii="Times New Roman" w:eastAsia="Times New Roman" w:hAnsi="Times New Roman" w:cs="Times New Roman"/>
                <w:sz w:val="16"/>
                <w:szCs w:val="16"/>
              </w:rPr>
            </w:pPr>
            <w:r w:rsidRPr="00EE7E38">
              <w:rPr>
                <w:rFonts w:ascii="Times New Roman" w:eastAsia="Times New Roman" w:hAnsi="Times New Roman" w:cs="Times New Roman"/>
                <w:sz w:val="16"/>
                <w:szCs w:val="16"/>
              </w:rPr>
              <w:t>93%</w:t>
            </w:r>
          </w:p>
        </w:tc>
        <w:tc>
          <w:tcPr>
            <w:tcW w:w="859" w:type="dxa"/>
            <w:gridSpan w:val="2"/>
            <w:tcBorders>
              <w:top w:val="nil"/>
              <w:left w:val="nil"/>
              <w:bottom w:val="single" w:sz="4" w:space="0" w:color="auto"/>
              <w:right w:val="single" w:sz="4" w:space="0" w:color="auto"/>
            </w:tcBorders>
            <w:shd w:val="clear" w:color="auto" w:fill="auto"/>
            <w:vAlign w:val="center"/>
            <w:hideMark/>
          </w:tcPr>
          <w:p w14:paraId="09377B01" w14:textId="77777777" w:rsidR="00C559C5" w:rsidRPr="00EE7E38" w:rsidRDefault="00C559C5" w:rsidP="00C559C5">
            <w:pPr>
              <w:spacing w:after="0" w:line="240" w:lineRule="auto"/>
              <w:jc w:val="center"/>
              <w:rPr>
                <w:rFonts w:ascii="Times New Roman" w:eastAsia="Times New Roman" w:hAnsi="Times New Roman" w:cs="Times New Roman"/>
                <w:sz w:val="16"/>
                <w:szCs w:val="16"/>
              </w:rPr>
            </w:pPr>
            <w:r w:rsidRPr="00EE7E38">
              <w:rPr>
                <w:rFonts w:ascii="Times New Roman" w:eastAsia="Times New Roman" w:hAnsi="Times New Roman" w:cs="Times New Roman"/>
                <w:sz w:val="16"/>
                <w:szCs w:val="16"/>
              </w:rPr>
              <w:t>95%</w:t>
            </w:r>
          </w:p>
        </w:tc>
        <w:tc>
          <w:tcPr>
            <w:tcW w:w="915" w:type="dxa"/>
            <w:gridSpan w:val="2"/>
            <w:vMerge/>
            <w:tcBorders>
              <w:top w:val="nil"/>
              <w:left w:val="single" w:sz="4" w:space="0" w:color="auto"/>
              <w:bottom w:val="single" w:sz="4" w:space="0" w:color="auto"/>
              <w:right w:val="single" w:sz="4" w:space="0" w:color="auto"/>
            </w:tcBorders>
            <w:vAlign w:val="center"/>
            <w:hideMark/>
          </w:tcPr>
          <w:p w14:paraId="30769C2C"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nil"/>
              <w:left w:val="single" w:sz="4" w:space="0" w:color="auto"/>
              <w:bottom w:val="single" w:sz="4" w:space="0" w:color="auto"/>
              <w:right w:val="single" w:sz="4" w:space="0" w:color="auto"/>
            </w:tcBorders>
            <w:vAlign w:val="center"/>
            <w:hideMark/>
          </w:tcPr>
          <w:p w14:paraId="51521069"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44C7079"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383B41E"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EA1946D"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57C7F5E8"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D31BD18"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49132308" w14:textId="77777777" w:rsidTr="00EE7E38">
        <w:trPr>
          <w:trHeight w:val="675"/>
        </w:trPr>
        <w:tc>
          <w:tcPr>
            <w:tcW w:w="660" w:type="dxa"/>
            <w:vMerge/>
            <w:tcBorders>
              <w:top w:val="nil"/>
              <w:left w:val="single" w:sz="4" w:space="0" w:color="auto"/>
              <w:bottom w:val="single" w:sz="4" w:space="0" w:color="auto"/>
              <w:right w:val="single" w:sz="4" w:space="0" w:color="auto"/>
            </w:tcBorders>
            <w:vAlign w:val="center"/>
            <w:hideMark/>
          </w:tcPr>
          <w:p w14:paraId="156AD37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3E3FE050"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338D339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N of Rifampicin and multi drug resistant patients (confirmed by clinical and bacteriological testing)</w:t>
            </w:r>
          </w:p>
        </w:tc>
        <w:tc>
          <w:tcPr>
            <w:tcW w:w="922" w:type="dxa"/>
            <w:gridSpan w:val="3"/>
            <w:tcBorders>
              <w:top w:val="nil"/>
              <w:left w:val="nil"/>
              <w:bottom w:val="single" w:sz="4" w:space="0" w:color="auto"/>
              <w:right w:val="single" w:sz="4" w:space="0" w:color="auto"/>
            </w:tcBorders>
            <w:shd w:val="clear" w:color="auto" w:fill="auto"/>
            <w:vAlign w:val="center"/>
            <w:hideMark/>
          </w:tcPr>
          <w:p w14:paraId="4B019348"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460</w:t>
            </w:r>
          </w:p>
        </w:tc>
        <w:tc>
          <w:tcPr>
            <w:tcW w:w="859" w:type="dxa"/>
            <w:tcBorders>
              <w:top w:val="nil"/>
              <w:left w:val="nil"/>
              <w:bottom w:val="single" w:sz="4" w:space="0" w:color="auto"/>
              <w:right w:val="single" w:sz="4" w:space="0" w:color="auto"/>
            </w:tcBorders>
            <w:shd w:val="clear" w:color="auto" w:fill="auto"/>
            <w:vAlign w:val="center"/>
            <w:hideMark/>
          </w:tcPr>
          <w:p w14:paraId="167C000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450</w:t>
            </w:r>
          </w:p>
        </w:tc>
        <w:tc>
          <w:tcPr>
            <w:tcW w:w="859" w:type="dxa"/>
            <w:gridSpan w:val="2"/>
            <w:tcBorders>
              <w:top w:val="nil"/>
              <w:left w:val="nil"/>
              <w:bottom w:val="single" w:sz="4" w:space="0" w:color="auto"/>
              <w:right w:val="single" w:sz="4" w:space="0" w:color="auto"/>
            </w:tcBorders>
            <w:shd w:val="clear" w:color="auto" w:fill="auto"/>
            <w:vAlign w:val="center"/>
            <w:hideMark/>
          </w:tcPr>
          <w:p w14:paraId="2E1AFD31"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450</w:t>
            </w:r>
          </w:p>
        </w:tc>
        <w:tc>
          <w:tcPr>
            <w:tcW w:w="859" w:type="dxa"/>
            <w:gridSpan w:val="2"/>
            <w:tcBorders>
              <w:top w:val="nil"/>
              <w:left w:val="nil"/>
              <w:bottom w:val="single" w:sz="4" w:space="0" w:color="auto"/>
              <w:right w:val="single" w:sz="4" w:space="0" w:color="auto"/>
            </w:tcBorders>
            <w:shd w:val="clear" w:color="auto" w:fill="auto"/>
            <w:vAlign w:val="center"/>
            <w:hideMark/>
          </w:tcPr>
          <w:p w14:paraId="5C700E0D"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445</w:t>
            </w:r>
          </w:p>
        </w:tc>
        <w:tc>
          <w:tcPr>
            <w:tcW w:w="915" w:type="dxa"/>
            <w:gridSpan w:val="2"/>
            <w:vMerge/>
            <w:tcBorders>
              <w:top w:val="nil"/>
              <w:left w:val="single" w:sz="4" w:space="0" w:color="auto"/>
              <w:bottom w:val="single" w:sz="4" w:space="0" w:color="auto"/>
              <w:right w:val="single" w:sz="4" w:space="0" w:color="auto"/>
            </w:tcBorders>
            <w:vAlign w:val="center"/>
            <w:hideMark/>
          </w:tcPr>
          <w:p w14:paraId="51D7ECFA"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nil"/>
              <w:left w:val="single" w:sz="4" w:space="0" w:color="auto"/>
              <w:bottom w:val="single" w:sz="4" w:space="0" w:color="auto"/>
              <w:right w:val="single" w:sz="4" w:space="0" w:color="auto"/>
            </w:tcBorders>
            <w:vAlign w:val="center"/>
            <w:hideMark/>
          </w:tcPr>
          <w:p w14:paraId="63AB0E02"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4453EBD"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5F84B498"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111268E"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0A00C851"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5B117DC7"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748A5245" w14:textId="77777777" w:rsidTr="00EE7E38">
        <w:trPr>
          <w:trHeight w:val="915"/>
        </w:trPr>
        <w:tc>
          <w:tcPr>
            <w:tcW w:w="660" w:type="dxa"/>
            <w:vMerge/>
            <w:tcBorders>
              <w:top w:val="nil"/>
              <w:left w:val="single" w:sz="4" w:space="0" w:color="auto"/>
              <w:bottom w:val="single" w:sz="4" w:space="0" w:color="auto"/>
              <w:right w:val="single" w:sz="4" w:space="0" w:color="auto"/>
            </w:tcBorders>
            <w:vAlign w:val="center"/>
            <w:hideMark/>
          </w:tcPr>
          <w:p w14:paraId="7E33C311"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22CF6939"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single" w:sz="4" w:space="0" w:color="auto"/>
              <w:right w:val="single" w:sz="4" w:space="0" w:color="auto"/>
            </w:tcBorders>
            <w:shd w:val="clear" w:color="auto" w:fill="auto"/>
            <w:vAlign w:val="bottom"/>
            <w:hideMark/>
          </w:tcPr>
          <w:p w14:paraId="0A0487E7"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TB notification rate in the penitentiary system: all cases, per 100,000 of average annual prison population</w:t>
            </w:r>
          </w:p>
        </w:tc>
        <w:tc>
          <w:tcPr>
            <w:tcW w:w="922" w:type="dxa"/>
            <w:gridSpan w:val="3"/>
            <w:tcBorders>
              <w:top w:val="nil"/>
              <w:left w:val="nil"/>
              <w:bottom w:val="single" w:sz="4" w:space="0" w:color="auto"/>
              <w:right w:val="single" w:sz="4" w:space="0" w:color="auto"/>
            </w:tcBorders>
            <w:shd w:val="clear" w:color="auto" w:fill="auto"/>
            <w:vAlign w:val="center"/>
            <w:hideMark/>
          </w:tcPr>
          <w:p w14:paraId="6ADE546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900</w:t>
            </w:r>
          </w:p>
        </w:tc>
        <w:tc>
          <w:tcPr>
            <w:tcW w:w="859" w:type="dxa"/>
            <w:tcBorders>
              <w:top w:val="nil"/>
              <w:left w:val="nil"/>
              <w:bottom w:val="single" w:sz="4" w:space="0" w:color="auto"/>
              <w:right w:val="single" w:sz="4" w:space="0" w:color="auto"/>
            </w:tcBorders>
            <w:shd w:val="clear" w:color="auto" w:fill="auto"/>
            <w:vAlign w:val="center"/>
            <w:hideMark/>
          </w:tcPr>
          <w:p w14:paraId="6E57CE3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850</w:t>
            </w:r>
          </w:p>
        </w:tc>
        <w:tc>
          <w:tcPr>
            <w:tcW w:w="859" w:type="dxa"/>
            <w:gridSpan w:val="2"/>
            <w:tcBorders>
              <w:top w:val="nil"/>
              <w:left w:val="nil"/>
              <w:bottom w:val="single" w:sz="4" w:space="0" w:color="auto"/>
              <w:right w:val="single" w:sz="4" w:space="0" w:color="auto"/>
            </w:tcBorders>
            <w:shd w:val="clear" w:color="auto" w:fill="auto"/>
            <w:vAlign w:val="center"/>
            <w:hideMark/>
          </w:tcPr>
          <w:p w14:paraId="398E66F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800</w:t>
            </w:r>
          </w:p>
        </w:tc>
        <w:tc>
          <w:tcPr>
            <w:tcW w:w="859" w:type="dxa"/>
            <w:gridSpan w:val="2"/>
            <w:tcBorders>
              <w:top w:val="nil"/>
              <w:left w:val="nil"/>
              <w:bottom w:val="single" w:sz="4" w:space="0" w:color="auto"/>
              <w:right w:val="single" w:sz="4" w:space="0" w:color="auto"/>
            </w:tcBorders>
            <w:shd w:val="clear" w:color="auto" w:fill="auto"/>
            <w:vAlign w:val="center"/>
            <w:hideMark/>
          </w:tcPr>
          <w:p w14:paraId="27104BD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750</w:t>
            </w:r>
          </w:p>
        </w:tc>
        <w:tc>
          <w:tcPr>
            <w:tcW w:w="915" w:type="dxa"/>
            <w:gridSpan w:val="2"/>
            <w:vMerge/>
            <w:tcBorders>
              <w:top w:val="nil"/>
              <w:left w:val="single" w:sz="4" w:space="0" w:color="auto"/>
              <w:bottom w:val="single" w:sz="4" w:space="0" w:color="auto"/>
              <w:right w:val="single" w:sz="4" w:space="0" w:color="auto"/>
            </w:tcBorders>
            <w:vAlign w:val="center"/>
            <w:hideMark/>
          </w:tcPr>
          <w:p w14:paraId="3739A56F"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nil"/>
              <w:left w:val="single" w:sz="4" w:space="0" w:color="auto"/>
              <w:bottom w:val="single" w:sz="4" w:space="0" w:color="auto"/>
              <w:right w:val="single" w:sz="4" w:space="0" w:color="auto"/>
            </w:tcBorders>
            <w:vAlign w:val="center"/>
            <w:hideMark/>
          </w:tcPr>
          <w:p w14:paraId="398C6D9D"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B55F527"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0BAAC033"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09C0EA3"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6DEA6033"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53796E53"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5094FC54" w14:textId="77777777" w:rsidTr="00EE7E38">
        <w:trPr>
          <w:trHeight w:val="69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9832563"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lastRenderedPageBreak/>
              <w:t>1.3</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373E3EC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Contacts’ investigation, screening and active case finding for TB among high-risk groups including people living with HIV</w:t>
            </w:r>
          </w:p>
        </w:tc>
        <w:tc>
          <w:tcPr>
            <w:tcW w:w="2172" w:type="dxa"/>
            <w:tcBorders>
              <w:top w:val="nil"/>
              <w:left w:val="nil"/>
              <w:bottom w:val="single" w:sz="4" w:space="0" w:color="auto"/>
              <w:right w:val="single" w:sz="4" w:space="0" w:color="auto"/>
            </w:tcBorders>
            <w:shd w:val="clear" w:color="auto" w:fill="auto"/>
            <w:vAlign w:val="bottom"/>
            <w:hideMark/>
          </w:tcPr>
          <w:p w14:paraId="69FB1CDA"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Number of contacts of TB patients screened for active TB, per 1 TB case (all forms)</w:t>
            </w:r>
          </w:p>
        </w:tc>
        <w:tc>
          <w:tcPr>
            <w:tcW w:w="922" w:type="dxa"/>
            <w:gridSpan w:val="3"/>
            <w:tcBorders>
              <w:top w:val="nil"/>
              <w:left w:val="nil"/>
              <w:bottom w:val="single" w:sz="4" w:space="0" w:color="auto"/>
              <w:right w:val="single" w:sz="4" w:space="0" w:color="auto"/>
            </w:tcBorders>
            <w:shd w:val="clear" w:color="auto" w:fill="auto"/>
            <w:vAlign w:val="center"/>
            <w:hideMark/>
          </w:tcPr>
          <w:p w14:paraId="618EB8C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2.5</w:t>
            </w:r>
          </w:p>
        </w:tc>
        <w:tc>
          <w:tcPr>
            <w:tcW w:w="859" w:type="dxa"/>
            <w:tcBorders>
              <w:top w:val="nil"/>
              <w:left w:val="nil"/>
              <w:bottom w:val="single" w:sz="4" w:space="0" w:color="auto"/>
              <w:right w:val="single" w:sz="4" w:space="0" w:color="auto"/>
            </w:tcBorders>
            <w:shd w:val="clear" w:color="auto" w:fill="auto"/>
            <w:vAlign w:val="center"/>
            <w:hideMark/>
          </w:tcPr>
          <w:p w14:paraId="3B528A9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2.7</w:t>
            </w:r>
          </w:p>
        </w:tc>
        <w:tc>
          <w:tcPr>
            <w:tcW w:w="859" w:type="dxa"/>
            <w:gridSpan w:val="2"/>
            <w:tcBorders>
              <w:top w:val="nil"/>
              <w:left w:val="nil"/>
              <w:bottom w:val="single" w:sz="4" w:space="0" w:color="auto"/>
              <w:right w:val="single" w:sz="4" w:space="0" w:color="auto"/>
            </w:tcBorders>
            <w:shd w:val="clear" w:color="auto" w:fill="auto"/>
            <w:vAlign w:val="center"/>
            <w:hideMark/>
          </w:tcPr>
          <w:p w14:paraId="689CCCAD"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2.9</w:t>
            </w:r>
          </w:p>
        </w:tc>
        <w:tc>
          <w:tcPr>
            <w:tcW w:w="859" w:type="dxa"/>
            <w:gridSpan w:val="2"/>
            <w:tcBorders>
              <w:top w:val="nil"/>
              <w:left w:val="nil"/>
              <w:bottom w:val="single" w:sz="4" w:space="0" w:color="auto"/>
              <w:right w:val="single" w:sz="4" w:space="0" w:color="auto"/>
            </w:tcBorders>
            <w:shd w:val="clear" w:color="auto" w:fill="auto"/>
            <w:vAlign w:val="center"/>
            <w:hideMark/>
          </w:tcPr>
          <w:p w14:paraId="6264FDA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3</w:t>
            </w:r>
          </w:p>
        </w:tc>
        <w:tc>
          <w:tcPr>
            <w:tcW w:w="915" w:type="dxa"/>
            <w:gridSpan w:val="2"/>
            <w:tcBorders>
              <w:top w:val="nil"/>
              <w:left w:val="nil"/>
              <w:bottom w:val="single" w:sz="4" w:space="0" w:color="auto"/>
              <w:right w:val="single" w:sz="4" w:space="0" w:color="auto"/>
            </w:tcBorders>
            <w:shd w:val="clear" w:color="auto" w:fill="auto"/>
            <w:vAlign w:val="center"/>
            <w:hideMark/>
          </w:tcPr>
          <w:p w14:paraId="57641D0D"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88" w:type="dxa"/>
            <w:gridSpan w:val="2"/>
            <w:tcBorders>
              <w:top w:val="nil"/>
              <w:left w:val="nil"/>
              <w:bottom w:val="single" w:sz="4" w:space="0" w:color="auto"/>
              <w:right w:val="single" w:sz="4" w:space="0" w:color="auto"/>
            </w:tcBorders>
            <w:shd w:val="clear" w:color="auto" w:fill="auto"/>
            <w:vAlign w:val="center"/>
            <w:hideMark/>
          </w:tcPr>
          <w:p w14:paraId="36BB61B3"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1260" w:type="dxa"/>
            <w:tcBorders>
              <w:top w:val="nil"/>
              <w:left w:val="nil"/>
              <w:bottom w:val="single" w:sz="4" w:space="0" w:color="auto"/>
              <w:right w:val="single" w:sz="4" w:space="0" w:color="auto"/>
            </w:tcBorders>
            <w:shd w:val="clear" w:color="auto" w:fill="auto"/>
            <w:vAlign w:val="center"/>
            <w:hideMark/>
          </w:tcPr>
          <w:p w14:paraId="4D9FF208"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80,000</w:t>
            </w:r>
          </w:p>
        </w:tc>
        <w:tc>
          <w:tcPr>
            <w:tcW w:w="1170" w:type="dxa"/>
            <w:tcBorders>
              <w:top w:val="nil"/>
              <w:left w:val="nil"/>
              <w:bottom w:val="single" w:sz="4" w:space="0" w:color="auto"/>
              <w:right w:val="single" w:sz="4" w:space="0" w:color="auto"/>
            </w:tcBorders>
            <w:shd w:val="clear" w:color="auto" w:fill="auto"/>
            <w:vAlign w:val="center"/>
            <w:hideMark/>
          </w:tcPr>
          <w:p w14:paraId="0C150D3A"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80,000</w:t>
            </w:r>
          </w:p>
        </w:tc>
        <w:tc>
          <w:tcPr>
            <w:tcW w:w="1260" w:type="dxa"/>
            <w:tcBorders>
              <w:top w:val="nil"/>
              <w:left w:val="nil"/>
              <w:bottom w:val="single" w:sz="4" w:space="0" w:color="auto"/>
              <w:right w:val="single" w:sz="4" w:space="0" w:color="auto"/>
            </w:tcBorders>
            <w:shd w:val="clear" w:color="auto" w:fill="auto"/>
            <w:vAlign w:val="center"/>
            <w:hideMark/>
          </w:tcPr>
          <w:p w14:paraId="1EA92843"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97,200</w:t>
            </w:r>
          </w:p>
        </w:tc>
        <w:tc>
          <w:tcPr>
            <w:tcW w:w="1080" w:type="dxa"/>
            <w:tcBorders>
              <w:top w:val="nil"/>
              <w:left w:val="nil"/>
              <w:bottom w:val="single" w:sz="4" w:space="0" w:color="auto"/>
              <w:right w:val="single" w:sz="4" w:space="0" w:color="auto"/>
            </w:tcBorders>
            <w:shd w:val="clear" w:color="auto" w:fill="auto"/>
            <w:vAlign w:val="center"/>
            <w:hideMark/>
          </w:tcPr>
          <w:p w14:paraId="5A7A6309"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95,000</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2436422A"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352,200</w:t>
            </w:r>
          </w:p>
        </w:tc>
      </w:tr>
      <w:tr w:rsidR="00B96F3F" w:rsidRPr="00EE7E38" w14:paraId="352AD5EA" w14:textId="77777777" w:rsidTr="00EE7E38">
        <w:trPr>
          <w:trHeight w:val="39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EA10FC2"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1.4</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03E67F3D"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Support to operations of the laboratory network</w:t>
            </w:r>
          </w:p>
        </w:tc>
        <w:tc>
          <w:tcPr>
            <w:tcW w:w="2172" w:type="dxa"/>
            <w:tcBorders>
              <w:top w:val="nil"/>
              <w:left w:val="nil"/>
              <w:bottom w:val="single" w:sz="4" w:space="0" w:color="auto"/>
              <w:right w:val="single" w:sz="4" w:space="0" w:color="auto"/>
            </w:tcBorders>
            <w:shd w:val="clear" w:color="auto" w:fill="auto"/>
            <w:vAlign w:val="center"/>
            <w:hideMark/>
          </w:tcPr>
          <w:p w14:paraId="3CAC0115"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A level of funding for TB laboratories is adequate </w:t>
            </w:r>
          </w:p>
        </w:tc>
        <w:tc>
          <w:tcPr>
            <w:tcW w:w="922" w:type="dxa"/>
            <w:gridSpan w:val="3"/>
            <w:tcBorders>
              <w:top w:val="nil"/>
              <w:left w:val="nil"/>
              <w:bottom w:val="single" w:sz="4" w:space="0" w:color="auto"/>
              <w:right w:val="single" w:sz="4" w:space="0" w:color="auto"/>
            </w:tcBorders>
            <w:shd w:val="clear" w:color="auto" w:fill="auto"/>
            <w:vAlign w:val="center"/>
            <w:hideMark/>
          </w:tcPr>
          <w:p w14:paraId="2DB245C4"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tcBorders>
              <w:top w:val="nil"/>
              <w:left w:val="nil"/>
              <w:bottom w:val="single" w:sz="4" w:space="0" w:color="auto"/>
              <w:right w:val="single" w:sz="4" w:space="0" w:color="auto"/>
            </w:tcBorders>
            <w:shd w:val="clear" w:color="auto" w:fill="auto"/>
            <w:vAlign w:val="center"/>
            <w:hideMark/>
          </w:tcPr>
          <w:p w14:paraId="2B2B4074"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gridSpan w:val="2"/>
            <w:tcBorders>
              <w:top w:val="nil"/>
              <w:left w:val="nil"/>
              <w:bottom w:val="single" w:sz="4" w:space="0" w:color="auto"/>
              <w:right w:val="single" w:sz="4" w:space="0" w:color="auto"/>
            </w:tcBorders>
            <w:shd w:val="clear" w:color="auto" w:fill="auto"/>
            <w:vAlign w:val="center"/>
            <w:hideMark/>
          </w:tcPr>
          <w:p w14:paraId="35546A3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gridSpan w:val="2"/>
            <w:tcBorders>
              <w:top w:val="nil"/>
              <w:left w:val="nil"/>
              <w:bottom w:val="single" w:sz="4" w:space="0" w:color="auto"/>
              <w:right w:val="single" w:sz="4" w:space="0" w:color="auto"/>
            </w:tcBorders>
            <w:shd w:val="clear" w:color="auto" w:fill="auto"/>
            <w:vAlign w:val="center"/>
            <w:hideMark/>
          </w:tcPr>
          <w:p w14:paraId="027BDC8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15" w:type="dxa"/>
            <w:gridSpan w:val="2"/>
            <w:tcBorders>
              <w:top w:val="nil"/>
              <w:left w:val="nil"/>
              <w:bottom w:val="single" w:sz="4" w:space="0" w:color="auto"/>
              <w:right w:val="single" w:sz="4" w:space="0" w:color="auto"/>
            </w:tcBorders>
            <w:shd w:val="clear" w:color="auto" w:fill="auto"/>
            <w:vAlign w:val="center"/>
            <w:hideMark/>
          </w:tcPr>
          <w:p w14:paraId="64C72BDC"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88" w:type="dxa"/>
            <w:gridSpan w:val="2"/>
            <w:tcBorders>
              <w:top w:val="nil"/>
              <w:left w:val="nil"/>
              <w:bottom w:val="single" w:sz="4" w:space="0" w:color="auto"/>
              <w:right w:val="single" w:sz="4" w:space="0" w:color="auto"/>
            </w:tcBorders>
            <w:shd w:val="clear" w:color="auto" w:fill="auto"/>
            <w:vAlign w:val="center"/>
            <w:hideMark/>
          </w:tcPr>
          <w:p w14:paraId="47EA7F73"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1260" w:type="dxa"/>
            <w:tcBorders>
              <w:top w:val="nil"/>
              <w:left w:val="nil"/>
              <w:bottom w:val="single" w:sz="4" w:space="0" w:color="auto"/>
              <w:right w:val="single" w:sz="4" w:space="0" w:color="auto"/>
            </w:tcBorders>
            <w:shd w:val="clear" w:color="auto" w:fill="auto"/>
            <w:vAlign w:val="center"/>
            <w:hideMark/>
          </w:tcPr>
          <w:p w14:paraId="0A28382C"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1,681,387</w:t>
            </w:r>
          </w:p>
        </w:tc>
        <w:tc>
          <w:tcPr>
            <w:tcW w:w="1170" w:type="dxa"/>
            <w:tcBorders>
              <w:top w:val="nil"/>
              <w:left w:val="nil"/>
              <w:bottom w:val="single" w:sz="4" w:space="0" w:color="auto"/>
              <w:right w:val="single" w:sz="4" w:space="0" w:color="auto"/>
            </w:tcBorders>
            <w:shd w:val="clear" w:color="auto" w:fill="auto"/>
            <w:vAlign w:val="center"/>
            <w:hideMark/>
          </w:tcPr>
          <w:p w14:paraId="43FF97D9"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1,804,214</w:t>
            </w:r>
          </w:p>
        </w:tc>
        <w:tc>
          <w:tcPr>
            <w:tcW w:w="1260" w:type="dxa"/>
            <w:tcBorders>
              <w:top w:val="nil"/>
              <w:left w:val="nil"/>
              <w:bottom w:val="single" w:sz="4" w:space="0" w:color="auto"/>
              <w:right w:val="single" w:sz="4" w:space="0" w:color="auto"/>
            </w:tcBorders>
            <w:shd w:val="clear" w:color="auto" w:fill="auto"/>
            <w:vAlign w:val="center"/>
            <w:hideMark/>
          </w:tcPr>
          <w:p w14:paraId="3F712B96"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1,894,425</w:t>
            </w:r>
          </w:p>
        </w:tc>
        <w:tc>
          <w:tcPr>
            <w:tcW w:w="1080" w:type="dxa"/>
            <w:tcBorders>
              <w:top w:val="nil"/>
              <w:left w:val="nil"/>
              <w:bottom w:val="single" w:sz="4" w:space="0" w:color="auto"/>
              <w:right w:val="single" w:sz="4" w:space="0" w:color="auto"/>
            </w:tcBorders>
            <w:shd w:val="clear" w:color="auto" w:fill="auto"/>
            <w:vAlign w:val="center"/>
            <w:hideMark/>
          </w:tcPr>
          <w:p w14:paraId="73A1E577"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1,989,146</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24ED0D7A"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7,369,172</w:t>
            </w:r>
          </w:p>
        </w:tc>
      </w:tr>
      <w:tr w:rsidR="00B96F3F" w:rsidRPr="00EE7E38" w14:paraId="443457CC" w14:textId="77777777" w:rsidTr="00EE7E38">
        <w:trPr>
          <w:trHeight w:val="390"/>
        </w:trPr>
        <w:tc>
          <w:tcPr>
            <w:tcW w:w="6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5D4E9E"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w:t>
            </w:r>
          </w:p>
        </w:tc>
        <w:tc>
          <w:tcPr>
            <w:tcW w:w="9435" w:type="dxa"/>
            <w:gridSpan w:val="1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19DF0B8"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To provide universal access to quality treatment of all forms of TB including M/XDR-TB with appropriate patient support</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3289D36"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7,571,760</w:t>
            </w:r>
          </w:p>
        </w:tc>
        <w:tc>
          <w:tcPr>
            <w:tcW w:w="11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823D65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7,851,108</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1E2AA84"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8,018,449</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FB44B72"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8,126,418</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12BEFE74"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31,561,147</w:t>
            </w:r>
          </w:p>
        </w:tc>
      </w:tr>
      <w:tr w:rsidR="00B96F3F" w:rsidRPr="00EE7E38" w14:paraId="21B7AAD9" w14:textId="77777777" w:rsidTr="00EE7E38">
        <w:trPr>
          <w:trHeight w:val="509"/>
        </w:trPr>
        <w:tc>
          <w:tcPr>
            <w:tcW w:w="660" w:type="dxa"/>
            <w:vMerge/>
            <w:tcBorders>
              <w:top w:val="nil"/>
              <w:left w:val="single" w:sz="4" w:space="0" w:color="auto"/>
              <w:bottom w:val="single" w:sz="4" w:space="0" w:color="auto"/>
              <w:right w:val="single" w:sz="4" w:space="0" w:color="auto"/>
            </w:tcBorders>
            <w:vAlign w:val="center"/>
            <w:hideMark/>
          </w:tcPr>
          <w:p w14:paraId="2718F4A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435" w:type="dxa"/>
            <w:gridSpan w:val="14"/>
            <w:vMerge/>
            <w:tcBorders>
              <w:top w:val="single" w:sz="4" w:space="0" w:color="auto"/>
              <w:left w:val="single" w:sz="4" w:space="0" w:color="auto"/>
              <w:bottom w:val="single" w:sz="4" w:space="0" w:color="auto"/>
              <w:right w:val="single" w:sz="4" w:space="0" w:color="auto"/>
            </w:tcBorders>
            <w:vAlign w:val="center"/>
            <w:hideMark/>
          </w:tcPr>
          <w:p w14:paraId="036F0982"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5CC7B58"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20A4C4E0"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6C217A0C"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5B5412CC"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3620070"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r>
      <w:tr w:rsidR="00B96F3F" w:rsidRPr="00EE7E38" w14:paraId="6118D680" w14:textId="77777777" w:rsidTr="00EE7E38">
        <w:trPr>
          <w:trHeight w:val="1021"/>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E21F85D"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2.1</w:t>
            </w:r>
          </w:p>
        </w:tc>
        <w:tc>
          <w:tcPr>
            <w:tcW w:w="1861" w:type="dxa"/>
            <w:vMerge w:val="restart"/>
            <w:tcBorders>
              <w:top w:val="nil"/>
              <w:left w:val="single" w:sz="4" w:space="0" w:color="auto"/>
              <w:bottom w:val="single" w:sz="4" w:space="0" w:color="auto"/>
              <w:right w:val="single" w:sz="4" w:space="0" w:color="auto"/>
            </w:tcBorders>
            <w:shd w:val="clear" w:color="auto" w:fill="auto"/>
            <w:vAlign w:val="center"/>
            <w:hideMark/>
          </w:tcPr>
          <w:p w14:paraId="1841BDBC"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Supply of anti-TB drugs and drug management system</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2D18A6BF"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Interim results of MDR-TB treatment: percentage of patients with culture conversion at six months of treatment </w:t>
            </w:r>
          </w:p>
        </w:tc>
        <w:tc>
          <w:tcPr>
            <w:tcW w:w="902" w:type="dxa"/>
            <w:gridSpan w:val="2"/>
            <w:tcBorders>
              <w:top w:val="nil"/>
              <w:left w:val="nil"/>
              <w:bottom w:val="single" w:sz="4" w:space="0" w:color="auto"/>
              <w:right w:val="single" w:sz="4" w:space="0" w:color="auto"/>
            </w:tcBorders>
            <w:shd w:val="clear" w:color="auto" w:fill="auto"/>
            <w:vAlign w:val="center"/>
            <w:hideMark/>
          </w:tcPr>
          <w:p w14:paraId="25C1B1E0" w14:textId="77777777" w:rsidR="00C559C5"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w:t>
            </w:r>
          </w:p>
        </w:tc>
        <w:tc>
          <w:tcPr>
            <w:tcW w:w="900" w:type="dxa"/>
            <w:gridSpan w:val="3"/>
            <w:tcBorders>
              <w:top w:val="nil"/>
              <w:left w:val="nil"/>
              <w:bottom w:val="single" w:sz="4" w:space="0" w:color="auto"/>
              <w:right w:val="single" w:sz="4" w:space="0" w:color="auto"/>
            </w:tcBorders>
            <w:shd w:val="clear" w:color="auto" w:fill="auto"/>
            <w:vAlign w:val="center"/>
            <w:hideMark/>
          </w:tcPr>
          <w:p w14:paraId="12D1929A" w14:textId="77777777" w:rsidR="00C559C5"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w:t>
            </w:r>
          </w:p>
        </w:tc>
        <w:tc>
          <w:tcPr>
            <w:tcW w:w="900" w:type="dxa"/>
            <w:gridSpan w:val="2"/>
            <w:tcBorders>
              <w:top w:val="nil"/>
              <w:left w:val="nil"/>
              <w:bottom w:val="single" w:sz="4" w:space="0" w:color="auto"/>
              <w:right w:val="single" w:sz="4" w:space="0" w:color="auto"/>
            </w:tcBorders>
            <w:shd w:val="clear" w:color="auto" w:fill="auto"/>
            <w:vAlign w:val="center"/>
            <w:hideMark/>
          </w:tcPr>
          <w:p w14:paraId="0CF1E894" w14:textId="77777777" w:rsidR="00C559C5"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85%</w:t>
            </w:r>
          </w:p>
        </w:tc>
        <w:tc>
          <w:tcPr>
            <w:tcW w:w="810" w:type="dxa"/>
            <w:gridSpan w:val="2"/>
            <w:tcBorders>
              <w:top w:val="nil"/>
              <w:left w:val="nil"/>
              <w:bottom w:val="single" w:sz="4" w:space="0" w:color="auto"/>
              <w:right w:val="single" w:sz="4" w:space="0" w:color="auto"/>
            </w:tcBorders>
            <w:shd w:val="clear" w:color="auto" w:fill="auto"/>
            <w:vAlign w:val="center"/>
            <w:hideMark/>
          </w:tcPr>
          <w:p w14:paraId="377425F2" w14:textId="77777777" w:rsidR="00C559C5"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85%</w:t>
            </w:r>
          </w:p>
        </w:tc>
        <w:tc>
          <w:tcPr>
            <w:tcW w:w="9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E086E2"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9A3815E"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 NCDC</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0A6B0F8"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1,225,452</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5DFC7F4"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1,219,519</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45069569"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1,199,401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89EC436"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1,185,924</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DDA0C5A"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4,830,296</w:t>
            </w:r>
          </w:p>
        </w:tc>
      </w:tr>
      <w:tr w:rsidR="00B96F3F" w:rsidRPr="00EE7E38" w14:paraId="666B02D4" w14:textId="77777777" w:rsidTr="00EE7E38">
        <w:trPr>
          <w:trHeight w:val="886"/>
        </w:trPr>
        <w:tc>
          <w:tcPr>
            <w:tcW w:w="660" w:type="dxa"/>
            <w:vMerge/>
            <w:tcBorders>
              <w:top w:val="nil"/>
              <w:left w:val="single" w:sz="4" w:space="0" w:color="auto"/>
              <w:bottom w:val="single" w:sz="4" w:space="0" w:color="auto"/>
              <w:right w:val="single" w:sz="4" w:space="0" w:color="auto"/>
            </w:tcBorders>
            <w:vAlign w:val="center"/>
            <w:hideMark/>
          </w:tcPr>
          <w:p w14:paraId="10E9C571"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73484AD4"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376B8B7F"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 of Rifampicin and multi drug resistant cases on second line treatment </w:t>
            </w:r>
          </w:p>
        </w:tc>
        <w:tc>
          <w:tcPr>
            <w:tcW w:w="902" w:type="dxa"/>
            <w:gridSpan w:val="2"/>
            <w:tcBorders>
              <w:top w:val="nil"/>
              <w:left w:val="nil"/>
              <w:bottom w:val="single" w:sz="4" w:space="0" w:color="auto"/>
              <w:right w:val="single" w:sz="4" w:space="0" w:color="auto"/>
            </w:tcBorders>
            <w:shd w:val="clear" w:color="auto" w:fill="auto"/>
            <w:vAlign w:val="center"/>
            <w:hideMark/>
          </w:tcPr>
          <w:p w14:paraId="33D350F1"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306</w:t>
            </w:r>
          </w:p>
        </w:tc>
        <w:tc>
          <w:tcPr>
            <w:tcW w:w="900" w:type="dxa"/>
            <w:gridSpan w:val="3"/>
            <w:tcBorders>
              <w:top w:val="nil"/>
              <w:left w:val="nil"/>
              <w:bottom w:val="single" w:sz="4" w:space="0" w:color="auto"/>
              <w:right w:val="single" w:sz="4" w:space="0" w:color="auto"/>
            </w:tcBorders>
            <w:shd w:val="clear" w:color="auto" w:fill="auto"/>
            <w:vAlign w:val="center"/>
            <w:hideMark/>
          </w:tcPr>
          <w:p w14:paraId="4CD5042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303</w:t>
            </w:r>
          </w:p>
        </w:tc>
        <w:tc>
          <w:tcPr>
            <w:tcW w:w="900" w:type="dxa"/>
            <w:gridSpan w:val="2"/>
            <w:tcBorders>
              <w:top w:val="nil"/>
              <w:left w:val="nil"/>
              <w:bottom w:val="single" w:sz="4" w:space="0" w:color="auto"/>
              <w:right w:val="single" w:sz="4" w:space="0" w:color="auto"/>
            </w:tcBorders>
            <w:shd w:val="clear" w:color="auto" w:fill="auto"/>
            <w:vAlign w:val="center"/>
            <w:hideMark/>
          </w:tcPr>
          <w:p w14:paraId="230DBE9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298</w:t>
            </w:r>
          </w:p>
        </w:tc>
        <w:tc>
          <w:tcPr>
            <w:tcW w:w="810" w:type="dxa"/>
            <w:gridSpan w:val="2"/>
            <w:tcBorders>
              <w:top w:val="nil"/>
              <w:left w:val="nil"/>
              <w:bottom w:val="single" w:sz="4" w:space="0" w:color="auto"/>
              <w:right w:val="single" w:sz="4" w:space="0" w:color="auto"/>
            </w:tcBorders>
            <w:shd w:val="clear" w:color="auto" w:fill="auto"/>
            <w:vAlign w:val="center"/>
            <w:hideMark/>
          </w:tcPr>
          <w:p w14:paraId="61546517"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293</w:t>
            </w:r>
          </w:p>
        </w:tc>
        <w:tc>
          <w:tcPr>
            <w:tcW w:w="990" w:type="dxa"/>
            <w:gridSpan w:val="2"/>
            <w:vMerge/>
            <w:tcBorders>
              <w:top w:val="nil"/>
              <w:left w:val="single" w:sz="4" w:space="0" w:color="auto"/>
              <w:bottom w:val="single" w:sz="4" w:space="0" w:color="auto"/>
              <w:right w:val="single" w:sz="4" w:space="0" w:color="auto"/>
            </w:tcBorders>
            <w:vAlign w:val="center"/>
            <w:hideMark/>
          </w:tcPr>
          <w:p w14:paraId="7DB707D5"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71B46678"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0CBFF9B"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D19BA72"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7F1278C8"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02B09AE7"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C334857"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7BD4C8DB" w14:textId="77777777" w:rsidTr="00EE7E38">
        <w:trPr>
          <w:trHeight w:val="895"/>
        </w:trPr>
        <w:tc>
          <w:tcPr>
            <w:tcW w:w="660" w:type="dxa"/>
            <w:vMerge/>
            <w:tcBorders>
              <w:top w:val="nil"/>
              <w:left w:val="single" w:sz="4" w:space="0" w:color="auto"/>
              <w:bottom w:val="single" w:sz="4" w:space="0" w:color="auto"/>
              <w:right w:val="single" w:sz="4" w:space="0" w:color="auto"/>
            </w:tcBorders>
            <w:vAlign w:val="center"/>
            <w:hideMark/>
          </w:tcPr>
          <w:p w14:paraId="32586BF6"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05329A42"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015479F2"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 and % of Rifampicin and multi drug resistant cases in second-line treatment lost to follow up at six months of treatment </w:t>
            </w:r>
          </w:p>
        </w:tc>
        <w:tc>
          <w:tcPr>
            <w:tcW w:w="902" w:type="dxa"/>
            <w:gridSpan w:val="2"/>
            <w:tcBorders>
              <w:top w:val="nil"/>
              <w:left w:val="nil"/>
              <w:bottom w:val="single" w:sz="4" w:space="0" w:color="auto"/>
              <w:right w:val="single" w:sz="4" w:space="0" w:color="auto"/>
            </w:tcBorders>
            <w:shd w:val="clear" w:color="auto" w:fill="auto"/>
            <w:vAlign w:val="center"/>
            <w:hideMark/>
          </w:tcPr>
          <w:p w14:paraId="20D6F39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&lt;10%</w:t>
            </w:r>
          </w:p>
        </w:tc>
        <w:tc>
          <w:tcPr>
            <w:tcW w:w="900" w:type="dxa"/>
            <w:gridSpan w:val="3"/>
            <w:tcBorders>
              <w:top w:val="nil"/>
              <w:left w:val="nil"/>
              <w:bottom w:val="single" w:sz="4" w:space="0" w:color="auto"/>
              <w:right w:val="single" w:sz="4" w:space="0" w:color="auto"/>
            </w:tcBorders>
            <w:shd w:val="clear" w:color="auto" w:fill="auto"/>
            <w:vAlign w:val="center"/>
            <w:hideMark/>
          </w:tcPr>
          <w:p w14:paraId="714B7D95"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&lt;10%</w:t>
            </w:r>
          </w:p>
        </w:tc>
        <w:tc>
          <w:tcPr>
            <w:tcW w:w="900" w:type="dxa"/>
            <w:gridSpan w:val="2"/>
            <w:tcBorders>
              <w:top w:val="nil"/>
              <w:left w:val="nil"/>
              <w:bottom w:val="single" w:sz="4" w:space="0" w:color="auto"/>
              <w:right w:val="single" w:sz="4" w:space="0" w:color="auto"/>
            </w:tcBorders>
            <w:shd w:val="clear" w:color="auto" w:fill="auto"/>
            <w:vAlign w:val="center"/>
            <w:hideMark/>
          </w:tcPr>
          <w:p w14:paraId="781DBC64"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&lt;10%</w:t>
            </w:r>
          </w:p>
        </w:tc>
        <w:tc>
          <w:tcPr>
            <w:tcW w:w="810" w:type="dxa"/>
            <w:gridSpan w:val="2"/>
            <w:tcBorders>
              <w:top w:val="nil"/>
              <w:left w:val="nil"/>
              <w:bottom w:val="single" w:sz="4" w:space="0" w:color="auto"/>
              <w:right w:val="single" w:sz="4" w:space="0" w:color="auto"/>
            </w:tcBorders>
            <w:shd w:val="clear" w:color="auto" w:fill="auto"/>
            <w:vAlign w:val="center"/>
            <w:hideMark/>
          </w:tcPr>
          <w:p w14:paraId="27D14948"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&lt;10%</w:t>
            </w:r>
          </w:p>
        </w:tc>
        <w:tc>
          <w:tcPr>
            <w:tcW w:w="990" w:type="dxa"/>
            <w:gridSpan w:val="2"/>
            <w:vMerge/>
            <w:tcBorders>
              <w:top w:val="nil"/>
              <w:left w:val="single" w:sz="4" w:space="0" w:color="auto"/>
              <w:bottom w:val="single" w:sz="4" w:space="0" w:color="auto"/>
              <w:right w:val="single" w:sz="4" w:space="0" w:color="auto"/>
            </w:tcBorders>
            <w:vAlign w:val="center"/>
            <w:hideMark/>
          </w:tcPr>
          <w:p w14:paraId="22F519DD"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2FEDEA6F"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547722C"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30F3F79F"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A6F6F59"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400F61FA"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92E99F3"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6B219FF1" w14:textId="77777777" w:rsidTr="00EE7E38">
        <w:trPr>
          <w:trHeight w:val="886"/>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2A61A3"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2.2</w:t>
            </w:r>
          </w:p>
        </w:tc>
        <w:tc>
          <w:tcPr>
            <w:tcW w:w="1861" w:type="dxa"/>
            <w:vMerge w:val="restart"/>
            <w:tcBorders>
              <w:top w:val="nil"/>
              <w:left w:val="single" w:sz="4" w:space="0" w:color="auto"/>
              <w:bottom w:val="single" w:sz="4" w:space="0" w:color="auto"/>
              <w:right w:val="single" w:sz="4" w:space="0" w:color="auto"/>
            </w:tcBorders>
            <w:shd w:val="clear" w:color="auto" w:fill="auto"/>
            <w:vAlign w:val="center"/>
            <w:hideMark/>
          </w:tcPr>
          <w:p w14:paraId="4DF0693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Patient support to improve adherence to TB treatment</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1B01CD0F"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 and % of patients on first line treatment who received financial incentives for good adherence  </w:t>
            </w:r>
          </w:p>
        </w:tc>
        <w:tc>
          <w:tcPr>
            <w:tcW w:w="902" w:type="dxa"/>
            <w:gridSpan w:val="2"/>
            <w:tcBorders>
              <w:top w:val="nil"/>
              <w:left w:val="nil"/>
              <w:bottom w:val="single" w:sz="4" w:space="0" w:color="auto"/>
              <w:right w:val="single" w:sz="4" w:space="0" w:color="auto"/>
            </w:tcBorders>
            <w:shd w:val="clear" w:color="auto" w:fill="auto"/>
            <w:vAlign w:val="center"/>
            <w:hideMark/>
          </w:tcPr>
          <w:p w14:paraId="2F247D0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w:t>
            </w:r>
          </w:p>
        </w:tc>
        <w:tc>
          <w:tcPr>
            <w:tcW w:w="900" w:type="dxa"/>
            <w:gridSpan w:val="3"/>
            <w:tcBorders>
              <w:top w:val="nil"/>
              <w:left w:val="nil"/>
              <w:bottom w:val="single" w:sz="4" w:space="0" w:color="auto"/>
              <w:right w:val="single" w:sz="4" w:space="0" w:color="auto"/>
            </w:tcBorders>
            <w:shd w:val="clear" w:color="auto" w:fill="auto"/>
            <w:vAlign w:val="center"/>
            <w:hideMark/>
          </w:tcPr>
          <w:p w14:paraId="25DC974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w:t>
            </w:r>
          </w:p>
        </w:tc>
        <w:tc>
          <w:tcPr>
            <w:tcW w:w="900" w:type="dxa"/>
            <w:gridSpan w:val="2"/>
            <w:tcBorders>
              <w:top w:val="nil"/>
              <w:left w:val="nil"/>
              <w:bottom w:val="single" w:sz="4" w:space="0" w:color="auto"/>
              <w:right w:val="single" w:sz="4" w:space="0" w:color="auto"/>
            </w:tcBorders>
            <w:shd w:val="clear" w:color="auto" w:fill="auto"/>
            <w:vAlign w:val="center"/>
            <w:hideMark/>
          </w:tcPr>
          <w:p w14:paraId="1AA49208"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w:t>
            </w:r>
          </w:p>
        </w:tc>
        <w:tc>
          <w:tcPr>
            <w:tcW w:w="810" w:type="dxa"/>
            <w:gridSpan w:val="2"/>
            <w:tcBorders>
              <w:top w:val="nil"/>
              <w:left w:val="nil"/>
              <w:bottom w:val="single" w:sz="4" w:space="0" w:color="auto"/>
              <w:right w:val="single" w:sz="4" w:space="0" w:color="auto"/>
            </w:tcBorders>
            <w:shd w:val="clear" w:color="auto" w:fill="auto"/>
            <w:vAlign w:val="center"/>
            <w:hideMark/>
          </w:tcPr>
          <w:p w14:paraId="3682ED7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80%</w:t>
            </w:r>
          </w:p>
        </w:tc>
        <w:tc>
          <w:tcPr>
            <w:tcW w:w="9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DC9651"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47F8215"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NCDC, NCTBLD</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AAE459B"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1,009,049</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AB12D51"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1,000,332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A244661"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989,149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CACDBCB"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980,020</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E78CB72" w14:textId="77777777" w:rsidR="00C559C5" w:rsidRPr="00EE7E38" w:rsidRDefault="00C559C5" w:rsidP="00C559C5">
            <w:pPr>
              <w:spacing w:after="0" w:line="240" w:lineRule="auto"/>
              <w:jc w:val="center"/>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3,978,551</w:t>
            </w:r>
          </w:p>
        </w:tc>
      </w:tr>
      <w:tr w:rsidR="00B96F3F" w:rsidRPr="00EE7E38" w14:paraId="69B3932D" w14:textId="77777777" w:rsidTr="00EE7E38">
        <w:trPr>
          <w:trHeight w:val="886"/>
        </w:trPr>
        <w:tc>
          <w:tcPr>
            <w:tcW w:w="660" w:type="dxa"/>
            <w:vMerge/>
            <w:tcBorders>
              <w:top w:val="nil"/>
              <w:left w:val="single" w:sz="4" w:space="0" w:color="auto"/>
              <w:bottom w:val="single" w:sz="4" w:space="0" w:color="auto"/>
              <w:right w:val="single" w:sz="4" w:space="0" w:color="auto"/>
            </w:tcBorders>
            <w:vAlign w:val="center"/>
            <w:hideMark/>
          </w:tcPr>
          <w:p w14:paraId="0401BDFE"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51E259DE"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739E7402"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 and % of MDR/XDR patients in treatment who received financial incentives for good adherence   </w:t>
            </w:r>
          </w:p>
        </w:tc>
        <w:tc>
          <w:tcPr>
            <w:tcW w:w="902" w:type="dxa"/>
            <w:gridSpan w:val="2"/>
            <w:tcBorders>
              <w:top w:val="nil"/>
              <w:left w:val="nil"/>
              <w:bottom w:val="single" w:sz="4" w:space="0" w:color="auto"/>
              <w:right w:val="single" w:sz="4" w:space="0" w:color="auto"/>
            </w:tcBorders>
            <w:shd w:val="clear" w:color="auto" w:fill="auto"/>
            <w:vAlign w:val="center"/>
            <w:hideMark/>
          </w:tcPr>
          <w:p w14:paraId="20D5732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&gt;95%</w:t>
            </w:r>
          </w:p>
        </w:tc>
        <w:tc>
          <w:tcPr>
            <w:tcW w:w="900" w:type="dxa"/>
            <w:gridSpan w:val="3"/>
            <w:tcBorders>
              <w:top w:val="nil"/>
              <w:left w:val="nil"/>
              <w:bottom w:val="single" w:sz="4" w:space="0" w:color="auto"/>
              <w:right w:val="single" w:sz="4" w:space="0" w:color="auto"/>
            </w:tcBorders>
            <w:shd w:val="clear" w:color="auto" w:fill="auto"/>
            <w:vAlign w:val="center"/>
            <w:hideMark/>
          </w:tcPr>
          <w:p w14:paraId="37B06854"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&gt;95%</w:t>
            </w:r>
          </w:p>
        </w:tc>
        <w:tc>
          <w:tcPr>
            <w:tcW w:w="900" w:type="dxa"/>
            <w:gridSpan w:val="2"/>
            <w:tcBorders>
              <w:top w:val="nil"/>
              <w:left w:val="nil"/>
              <w:bottom w:val="single" w:sz="4" w:space="0" w:color="auto"/>
              <w:right w:val="single" w:sz="4" w:space="0" w:color="auto"/>
            </w:tcBorders>
            <w:shd w:val="clear" w:color="auto" w:fill="auto"/>
            <w:vAlign w:val="center"/>
            <w:hideMark/>
          </w:tcPr>
          <w:p w14:paraId="059F365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&gt;95%</w:t>
            </w:r>
          </w:p>
        </w:tc>
        <w:tc>
          <w:tcPr>
            <w:tcW w:w="810" w:type="dxa"/>
            <w:gridSpan w:val="2"/>
            <w:tcBorders>
              <w:top w:val="nil"/>
              <w:left w:val="nil"/>
              <w:bottom w:val="single" w:sz="4" w:space="0" w:color="auto"/>
              <w:right w:val="single" w:sz="4" w:space="0" w:color="auto"/>
            </w:tcBorders>
            <w:shd w:val="clear" w:color="auto" w:fill="auto"/>
            <w:vAlign w:val="center"/>
            <w:hideMark/>
          </w:tcPr>
          <w:p w14:paraId="47F4303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&gt;95%</w:t>
            </w:r>
          </w:p>
        </w:tc>
        <w:tc>
          <w:tcPr>
            <w:tcW w:w="990" w:type="dxa"/>
            <w:gridSpan w:val="2"/>
            <w:vMerge/>
            <w:tcBorders>
              <w:top w:val="nil"/>
              <w:left w:val="single" w:sz="4" w:space="0" w:color="auto"/>
              <w:bottom w:val="single" w:sz="4" w:space="0" w:color="auto"/>
              <w:right w:val="single" w:sz="4" w:space="0" w:color="auto"/>
            </w:tcBorders>
            <w:vAlign w:val="center"/>
            <w:hideMark/>
          </w:tcPr>
          <w:p w14:paraId="7DEAD046"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3444F7E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4E7371A"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4539C6A6"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4869EDA"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4B88F526"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031987B"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7D56A34E" w14:textId="77777777" w:rsidTr="00EE7E38">
        <w:trPr>
          <w:trHeight w:val="10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922262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lastRenderedPageBreak/>
              <w:t>2.3</w:t>
            </w:r>
          </w:p>
        </w:tc>
        <w:tc>
          <w:tcPr>
            <w:tcW w:w="1861" w:type="dxa"/>
            <w:vMerge w:val="restart"/>
            <w:tcBorders>
              <w:top w:val="nil"/>
              <w:left w:val="single" w:sz="4" w:space="0" w:color="auto"/>
              <w:bottom w:val="single" w:sz="4" w:space="0" w:color="auto"/>
              <w:right w:val="single" w:sz="4" w:space="0" w:color="auto"/>
            </w:tcBorders>
            <w:shd w:val="clear" w:color="auto" w:fill="auto"/>
            <w:vAlign w:val="center"/>
            <w:hideMark/>
          </w:tcPr>
          <w:p w14:paraId="1E1E62DD"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xml:space="preserve">Treatment monitoring, management of adverse drug reactions and comorbidities </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0EC370B6"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 and % of TB patients with known HIV status (percentage of notified TB cases, all forms, tested for HIV) </w:t>
            </w:r>
          </w:p>
        </w:tc>
        <w:tc>
          <w:tcPr>
            <w:tcW w:w="902" w:type="dxa"/>
            <w:gridSpan w:val="2"/>
            <w:tcBorders>
              <w:top w:val="nil"/>
              <w:left w:val="nil"/>
              <w:bottom w:val="single" w:sz="4" w:space="0" w:color="auto"/>
              <w:right w:val="single" w:sz="4" w:space="0" w:color="auto"/>
            </w:tcBorders>
            <w:shd w:val="clear" w:color="auto" w:fill="auto"/>
            <w:vAlign w:val="center"/>
            <w:hideMark/>
          </w:tcPr>
          <w:p w14:paraId="7AC7A0F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85%</w:t>
            </w:r>
          </w:p>
        </w:tc>
        <w:tc>
          <w:tcPr>
            <w:tcW w:w="900" w:type="dxa"/>
            <w:gridSpan w:val="3"/>
            <w:tcBorders>
              <w:top w:val="nil"/>
              <w:left w:val="nil"/>
              <w:bottom w:val="single" w:sz="4" w:space="0" w:color="auto"/>
              <w:right w:val="single" w:sz="4" w:space="0" w:color="auto"/>
            </w:tcBorders>
            <w:shd w:val="clear" w:color="auto" w:fill="auto"/>
            <w:vAlign w:val="center"/>
            <w:hideMark/>
          </w:tcPr>
          <w:p w14:paraId="57776CC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90%</w:t>
            </w:r>
          </w:p>
        </w:tc>
        <w:tc>
          <w:tcPr>
            <w:tcW w:w="900" w:type="dxa"/>
            <w:gridSpan w:val="2"/>
            <w:tcBorders>
              <w:top w:val="nil"/>
              <w:left w:val="nil"/>
              <w:bottom w:val="single" w:sz="4" w:space="0" w:color="auto"/>
              <w:right w:val="single" w:sz="4" w:space="0" w:color="auto"/>
            </w:tcBorders>
            <w:shd w:val="clear" w:color="auto" w:fill="auto"/>
            <w:vAlign w:val="center"/>
            <w:hideMark/>
          </w:tcPr>
          <w:p w14:paraId="1B945BD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95%</w:t>
            </w:r>
          </w:p>
        </w:tc>
        <w:tc>
          <w:tcPr>
            <w:tcW w:w="810" w:type="dxa"/>
            <w:gridSpan w:val="2"/>
            <w:tcBorders>
              <w:top w:val="nil"/>
              <w:left w:val="nil"/>
              <w:bottom w:val="single" w:sz="4" w:space="0" w:color="auto"/>
              <w:right w:val="single" w:sz="4" w:space="0" w:color="auto"/>
            </w:tcBorders>
            <w:shd w:val="clear" w:color="auto" w:fill="auto"/>
            <w:vAlign w:val="center"/>
            <w:hideMark/>
          </w:tcPr>
          <w:p w14:paraId="2595242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&gt;95%</w:t>
            </w:r>
          </w:p>
        </w:tc>
        <w:tc>
          <w:tcPr>
            <w:tcW w:w="9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97963F"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r w:rsidRPr="00EE7E38">
              <w:rPr>
                <w:rFonts w:ascii="Times New Roman" w:eastAsia="Times New Roman" w:hAnsi="Times New Roman" w:cs="Times New Roman"/>
                <w:b/>
                <w:bCs/>
                <w:color w:val="000000"/>
                <w:sz w:val="16"/>
                <w:szCs w:val="16"/>
              </w:rPr>
              <w:t xml:space="preserve"> and LCTBLD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36BD8B1"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HIV program. NCDC</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B649DB2"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236,467</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E0293A0"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228,898</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3E6326D"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228,634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1293626"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220,783</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150F0C46"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914,781</w:t>
            </w:r>
          </w:p>
        </w:tc>
      </w:tr>
      <w:tr w:rsidR="00B96F3F" w:rsidRPr="00EE7E38" w14:paraId="379FD313" w14:textId="77777777" w:rsidTr="00EE7E38">
        <w:trPr>
          <w:trHeight w:val="585"/>
        </w:trPr>
        <w:tc>
          <w:tcPr>
            <w:tcW w:w="660" w:type="dxa"/>
            <w:vMerge/>
            <w:tcBorders>
              <w:top w:val="nil"/>
              <w:left w:val="single" w:sz="4" w:space="0" w:color="auto"/>
              <w:bottom w:val="single" w:sz="4" w:space="0" w:color="auto"/>
              <w:right w:val="single" w:sz="4" w:space="0" w:color="auto"/>
            </w:tcBorders>
            <w:vAlign w:val="center"/>
            <w:hideMark/>
          </w:tcPr>
          <w:p w14:paraId="7FC3EB48"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1A26246A"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444FC8B4"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HIV prevalence among all TB cases </w:t>
            </w:r>
          </w:p>
        </w:tc>
        <w:tc>
          <w:tcPr>
            <w:tcW w:w="902" w:type="dxa"/>
            <w:gridSpan w:val="2"/>
            <w:tcBorders>
              <w:top w:val="nil"/>
              <w:left w:val="nil"/>
              <w:bottom w:val="single" w:sz="4" w:space="0" w:color="auto"/>
              <w:right w:val="single" w:sz="4" w:space="0" w:color="auto"/>
            </w:tcBorders>
            <w:shd w:val="clear" w:color="auto" w:fill="auto"/>
            <w:vAlign w:val="center"/>
            <w:hideMark/>
          </w:tcPr>
          <w:p w14:paraId="43D3853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4.0%</w:t>
            </w:r>
          </w:p>
        </w:tc>
        <w:tc>
          <w:tcPr>
            <w:tcW w:w="900" w:type="dxa"/>
            <w:gridSpan w:val="3"/>
            <w:tcBorders>
              <w:top w:val="nil"/>
              <w:left w:val="nil"/>
              <w:bottom w:val="single" w:sz="4" w:space="0" w:color="auto"/>
              <w:right w:val="single" w:sz="4" w:space="0" w:color="auto"/>
            </w:tcBorders>
            <w:shd w:val="clear" w:color="auto" w:fill="auto"/>
            <w:vAlign w:val="center"/>
            <w:hideMark/>
          </w:tcPr>
          <w:p w14:paraId="24A9A6E8"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4.0%</w:t>
            </w:r>
          </w:p>
        </w:tc>
        <w:tc>
          <w:tcPr>
            <w:tcW w:w="900" w:type="dxa"/>
            <w:gridSpan w:val="2"/>
            <w:tcBorders>
              <w:top w:val="nil"/>
              <w:left w:val="nil"/>
              <w:bottom w:val="single" w:sz="4" w:space="0" w:color="auto"/>
              <w:right w:val="single" w:sz="4" w:space="0" w:color="auto"/>
            </w:tcBorders>
            <w:shd w:val="clear" w:color="auto" w:fill="auto"/>
            <w:vAlign w:val="center"/>
            <w:hideMark/>
          </w:tcPr>
          <w:p w14:paraId="1B74E0A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4.0%</w:t>
            </w:r>
          </w:p>
        </w:tc>
        <w:tc>
          <w:tcPr>
            <w:tcW w:w="810" w:type="dxa"/>
            <w:gridSpan w:val="2"/>
            <w:tcBorders>
              <w:top w:val="nil"/>
              <w:left w:val="nil"/>
              <w:bottom w:val="single" w:sz="4" w:space="0" w:color="auto"/>
              <w:right w:val="single" w:sz="4" w:space="0" w:color="auto"/>
            </w:tcBorders>
            <w:shd w:val="clear" w:color="auto" w:fill="auto"/>
            <w:vAlign w:val="center"/>
            <w:hideMark/>
          </w:tcPr>
          <w:p w14:paraId="6DDB66B8"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4.0%</w:t>
            </w:r>
          </w:p>
        </w:tc>
        <w:tc>
          <w:tcPr>
            <w:tcW w:w="990" w:type="dxa"/>
            <w:gridSpan w:val="2"/>
            <w:vMerge/>
            <w:tcBorders>
              <w:top w:val="nil"/>
              <w:left w:val="single" w:sz="4" w:space="0" w:color="auto"/>
              <w:bottom w:val="single" w:sz="4" w:space="0" w:color="auto"/>
              <w:right w:val="single" w:sz="4" w:space="0" w:color="auto"/>
            </w:tcBorders>
            <w:vAlign w:val="center"/>
            <w:hideMark/>
          </w:tcPr>
          <w:p w14:paraId="15008AF2"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50DF212F"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B08D58D"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3CF55505"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2ACB6FA5"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5986C3B6"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20F14DB"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375D3B2A" w14:textId="77777777" w:rsidTr="00EE7E38">
        <w:trPr>
          <w:trHeight w:val="706"/>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715E9E"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2.4</w:t>
            </w:r>
          </w:p>
        </w:tc>
        <w:tc>
          <w:tcPr>
            <w:tcW w:w="1861" w:type="dxa"/>
            <w:tcBorders>
              <w:top w:val="nil"/>
              <w:left w:val="nil"/>
              <w:bottom w:val="single" w:sz="4" w:space="0" w:color="auto"/>
              <w:right w:val="single" w:sz="4" w:space="0" w:color="auto"/>
            </w:tcBorders>
            <w:shd w:val="clear" w:color="auto" w:fill="auto"/>
            <w:vAlign w:val="center"/>
            <w:hideMark/>
          </w:tcPr>
          <w:p w14:paraId="5D47774A"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TB infection control in health care facilities</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19B82BF3"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Health facilities are equipped with necessary infection control measures and tools (UVGI) </w:t>
            </w:r>
          </w:p>
        </w:tc>
        <w:tc>
          <w:tcPr>
            <w:tcW w:w="902" w:type="dxa"/>
            <w:gridSpan w:val="2"/>
            <w:tcBorders>
              <w:top w:val="nil"/>
              <w:left w:val="nil"/>
              <w:bottom w:val="single" w:sz="4" w:space="0" w:color="auto"/>
              <w:right w:val="single" w:sz="4" w:space="0" w:color="auto"/>
            </w:tcBorders>
            <w:shd w:val="clear" w:color="auto" w:fill="auto"/>
            <w:vAlign w:val="center"/>
            <w:hideMark/>
          </w:tcPr>
          <w:p w14:paraId="497AC97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00" w:type="dxa"/>
            <w:gridSpan w:val="3"/>
            <w:tcBorders>
              <w:top w:val="nil"/>
              <w:left w:val="nil"/>
              <w:bottom w:val="single" w:sz="4" w:space="0" w:color="auto"/>
              <w:right w:val="single" w:sz="4" w:space="0" w:color="auto"/>
            </w:tcBorders>
            <w:shd w:val="clear" w:color="auto" w:fill="auto"/>
            <w:vAlign w:val="center"/>
            <w:hideMark/>
          </w:tcPr>
          <w:p w14:paraId="0690B3C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00" w:type="dxa"/>
            <w:gridSpan w:val="2"/>
            <w:tcBorders>
              <w:top w:val="nil"/>
              <w:left w:val="nil"/>
              <w:bottom w:val="single" w:sz="4" w:space="0" w:color="auto"/>
              <w:right w:val="single" w:sz="4" w:space="0" w:color="auto"/>
            </w:tcBorders>
            <w:shd w:val="clear" w:color="auto" w:fill="auto"/>
            <w:vAlign w:val="center"/>
            <w:hideMark/>
          </w:tcPr>
          <w:p w14:paraId="784E8ED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10" w:type="dxa"/>
            <w:gridSpan w:val="2"/>
            <w:tcBorders>
              <w:top w:val="nil"/>
              <w:left w:val="nil"/>
              <w:bottom w:val="single" w:sz="4" w:space="0" w:color="auto"/>
              <w:right w:val="single" w:sz="4" w:space="0" w:color="auto"/>
            </w:tcBorders>
            <w:shd w:val="clear" w:color="auto" w:fill="auto"/>
            <w:vAlign w:val="center"/>
            <w:hideMark/>
          </w:tcPr>
          <w:p w14:paraId="78C9F5D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90" w:type="dxa"/>
            <w:gridSpan w:val="2"/>
            <w:tcBorders>
              <w:top w:val="nil"/>
              <w:left w:val="nil"/>
              <w:bottom w:val="single" w:sz="4" w:space="0" w:color="auto"/>
              <w:right w:val="single" w:sz="4" w:space="0" w:color="auto"/>
            </w:tcBorders>
            <w:shd w:val="clear" w:color="auto" w:fill="auto"/>
            <w:vAlign w:val="center"/>
            <w:hideMark/>
          </w:tcPr>
          <w:p w14:paraId="76E91424"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66B69D9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 NCDC</w:t>
            </w:r>
          </w:p>
        </w:tc>
        <w:tc>
          <w:tcPr>
            <w:tcW w:w="1260" w:type="dxa"/>
            <w:tcBorders>
              <w:top w:val="nil"/>
              <w:left w:val="nil"/>
              <w:bottom w:val="single" w:sz="4" w:space="0" w:color="auto"/>
              <w:right w:val="single" w:sz="4" w:space="0" w:color="auto"/>
            </w:tcBorders>
            <w:shd w:val="clear" w:color="auto" w:fill="auto"/>
            <w:vAlign w:val="center"/>
            <w:hideMark/>
          </w:tcPr>
          <w:p w14:paraId="06C89515"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24,672</w:t>
            </w:r>
          </w:p>
        </w:tc>
        <w:tc>
          <w:tcPr>
            <w:tcW w:w="1170" w:type="dxa"/>
            <w:tcBorders>
              <w:top w:val="nil"/>
              <w:left w:val="nil"/>
              <w:bottom w:val="single" w:sz="4" w:space="0" w:color="auto"/>
              <w:right w:val="single" w:sz="4" w:space="0" w:color="auto"/>
            </w:tcBorders>
            <w:shd w:val="clear" w:color="auto" w:fill="auto"/>
            <w:vAlign w:val="center"/>
            <w:hideMark/>
          </w:tcPr>
          <w:p w14:paraId="580BF755"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24,672</w:t>
            </w:r>
          </w:p>
        </w:tc>
        <w:tc>
          <w:tcPr>
            <w:tcW w:w="1260" w:type="dxa"/>
            <w:tcBorders>
              <w:top w:val="nil"/>
              <w:left w:val="nil"/>
              <w:bottom w:val="single" w:sz="4" w:space="0" w:color="auto"/>
              <w:right w:val="single" w:sz="4" w:space="0" w:color="auto"/>
            </w:tcBorders>
            <w:shd w:val="clear" w:color="auto" w:fill="auto"/>
            <w:vAlign w:val="center"/>
            <w:hideMark/>
          </w:tcPr>
          <w:p w14:paraId="5E1C5444"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24,672</w:t>
            </w:r>
          </w:p>
        </w:tc>
        <w:tc>
          <w:tcPr>
            <w:tcW w:w="1080" w:type="dxa"/>
            <w:tcBorders>
              <w:top w:val="nil"/>
              <w:left w:val="nil"/>
              <w:bottom w:val="single" w:sz="4" w:space="0" w:color="auto"/>
              <w:right w:val="single" w:sz="4" w:space="0" w:color="auto"/>
            </w:tcBorders>
            <w:shd w:val="clear" w:color="auto" w:fill="auto"/>
            <w:vAlign w:val="center"/>
            <w:hideMark/>
          </w:tcPr>
          <w:p w14:paraId="7FD98D1D"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24,672</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58079EA0"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98,688</w:t>
            </w:r>
          </w:p>
        </w:tc>
      </w:tr>
      <w:tr w:rsidR="00B96F3F" w:rsidRPr="00EE7E38" w14:paraId="52F602C6" w14:textId="77777777" w:rsidTr="00EE7E38">
        <w:trPr>
          <w:trHeight w:val="90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EB38856"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2.5</w:t>
            </w:r>
          </w:p>
        </w:tc>
        <w:tc>
          <w:tcPr>
            <w:tcW w:w="1861" w:type="dxa"/>
            <w:tcBorders>
              <w:top w:val="nil"/>
              <w:left w:val="nil"/>
              <w:bottom w:val="single" w:sz="4" w:space="0" w:color="auto"/>
              <w:right w:val="single" w:sz="4" w:space="0" w:color="auto"/>
            </w:tcBorders>
            <w:shd w:val="clear" w:color="auto" w:fill="auto"/>
            <w:vAlign w:val="center"/>
            <w:hideMark/>
          </w:tcPr>
          <w:p w14:paraId="18820910"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Preventive treatment and vaccination against TB</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4FA258AB"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BCG vaccination implemented as </w:t>
            </w:r>
            <w:r w:rsidR="00B96F3F" w:rsidRPr="00EE7E38">
              <w:rPr>
                <w:rFonts w:ascii="Times New Roman" w:eastAsia="Times New Roman" w:hAnsi="Times New Roman" w:cs="Times New Roman"/>
                <w:color w:val="000000"/>
                <w:sz w:val="16"/>
                <w:szCs w:val="16"/>
              </w:rPr>
              <w:t>planned</w:t>
            </w:r>
            <w:r w:rsidRPr="00EE7E38">
              <w:rPr>
                <w:rFonts w:ascii="Times New Roman" w:eastAsia="Times New Roman" w:hAnsi="Times New Roman" w:cs="Times New Roman"/>
                <w:color w:val="000000"/>
                <w:sz w:val="16"/>
                <w:szCs w:val="16"/>
              </w:rPr>
              <w:t xml:space="preserve"> per national calendar, LTBI tests available, health care workers trained, guideline updated, LTBI treatment drugs available  </w:t>
            </w:r>
          </w:p>
        </w:tc>
        <w:tc>
          <w:tcPr>
            <w:tcW w:w="902" w:type="dxa"/>
            <w:gridSpan w:val="2"/>
            <w:tcBorders>
              <w:top w:val="nil"/>
              <w:left w:val="nil"/>
              <w:bottom w:val="single" w:sz="4" w:space="0" w:color="auto"/>
              <w:right w:val="single" w:sz="4" w:space="0" w:color="auto"/>
            </w:tcBorders>
            <w:shd w:val="clear" w:color="auto" w:fill="auto"/>
            <w:vAlign w:val="center"/>
            <w:hideMark/>
          </w:tcPr>
          <w:p w14:paraId="2230784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18000</w:t>
            </w:r>
          </w:p>
        </w:tc>
        <w:tc>
          <w:tcPr>
            <w:tcW w:w="900" w:type="dxa"/>
            <w:gridSpan w:val="3"/>
            <w:tcBorders>
              <w:top w:val="nil"/>
              <w:left w:val="nil"/>
              <w:bottom w:val="single" w:sz="4" w:space="0" w:color="auto"/>
              <w:right w:val="single" w:sz="4" w:space="0" w:color="auto"/>
            </w:tcBorders>
            <w:shd w:val="clear" w:color="auto" w:fill="auto"/>
            <w:vAlign w:val="center"/>
            <w:hideMark/>
          </w:tcPr>
          <w:p w14:paraId="3882312D"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18000</w:t>
            </w:r>
          </w:p>
        </w:tc>
        <w:tc>
          <w:tcPr>
            <w:tcW w:w="900" w:type="dxa"/>
            <w:gridSpan w:val="2"/>
            <w:tcBorders>
              <w:top w:val="nil"/>
              <w:left w:val="nil"/>
              <w:bottom w:val="single" w:sz="4" w:space="0" w:color="auto"/>
              <w:right w:val="single" w:sz="4" w:space="0" w:color="auto"/>
            </w:tcBorders>
            <w:shd w:val="clear" w:color="auto" w:fill="auto"/>
            <w:vAlign w:val="center"/>
            <w:hideMark/>
          </w:tcPr>
          <w:p w14:paraId="75A563D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18000</w:t>
            </w:r>
          </w:p>
        </w:tc>
        <w:tc>
          <w:tcPr>
            <w:tcW w:w="810" w:type="dxa"/>
            <w:gridSpan w:val="2"/>
            <w:tcBorders>
              <w:top w:val="nil"/>
              <w:left w:val="nil"/>
              <w:bottom w:val="single" w:sz="4" w:space="0" w:color="auto"/>
              <w:right w:val="single" w:sz="4" w:space="0" w:color="auto"/>
            </w:tcBorders>
            <w:shd w:val="clear" w:color="auto" w:fill="auto"/>
            <w:vAlign w:val="center"/>
            <w:hideMark/>
          </w:tcPr>
          <w:p w14:paraId="64F3F66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18000</w:t>
            </w:r>
          </w:p>
        </w:tc>
        <w:tc>
          <w:tcPr>
            <w:tcW w:w="990" w:type="dxa"/>
            <w:gridSpan w:val="2"/>
            <w:tcBorders>
              <w:top w:val="nil"/>
              <w:left w:val="nil"/>
              <w:bottom w:val="single" w:sz="4" w:space="0" w:color="auto"/>
              <w:right w:val="single" w:sz="4" w:space="0" w:color="auto"/>
            </w:tcBorders>
            <w:shd w:val="clear" w:color="auto" w:fill="auto"/>
            <w:vAlign w:val="center"/>
            <w:hideMark/>
          </w:tcPr>
          <w:p w14:paraId="7E41FD8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900" w:type="dxa"/>
            <w:tcBorders>
              <w:top w:val="nil"/>
              <w:left w:val="nil"/>
              <w:bottom w:val="single" w:sz="4" w:space="0" w:color="auto"/>
              <w:right w:val="single" w:sz="4" w:space="0" w:color="auto"/>
            </w:tcBorders>
            <w:shd w:val="clear" w:color="auto" w:fill="auto"/>
            <w:vAlign w:val="center"/>
            <w:hideMark/>
          </w:tcPr>
          <w:p w14:paraId="44A811E3"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NCDCPH</w:t>
            </w:r>
          </w:p>
        </w:tc>
        <w:tc>
          <w:tcPr>
            <w:tcW w:w="1260" w:type="dxa"/>
            <w:tcBorders>
              <w:top w:val="nil"/>
              <w:left w:val="nil"/>
              <w:bottom w:val="single" w:sz="4" w:space="0" w:color="auto"/>
              <w:right w:val="single" w:sz="4" w:space="0" w:color="auto"/>
            </w:tcBorders>
            <w:shd w:val="clear" w:color="auto" w:fill="auto"/>
            <w:vAlign w:val="center"/>
            <w:hideMark/>
          </w:tcPr>
          <w:p w14:paraId="7EC31664"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142,984</w:t>
            </w:r>
          </w:p>
        </w:tc>
        <w:tc>
          <w:tcPr>
            <w:tcW w:w="1170" w:type="dxa"/>
            <w:tcBorders>
              <w:top w:val="nil"/>
              <w:left w:val="nil"/>
              <w:bottom w:val="single" w:sz="4" w:space="0" w:color="auto"/>
              <w:right w:val="single" w:sz="4" w:space="0" w:color="auto"/>
            </w:tcBorders>
            <w:shd w:val="clear" w:color="auto" w:fill="auto"/>
            <w:vAlign w:val="center"/>
            <w:hideMark/>
          </w:tcPr>
          <w:p w14:paraId="1D3EEDDF"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128,455</w:t>
            </w:r>
          </w:p>
        </w:tc>
        <w:tc>
          <w:tcPr>
            <w:tcW w:w="1260" w:type="dxa"/>
            <w:tcBorders>
              <w:top w:val="nil"/>
              <w:left w:val="nil"/>
              <w:bottom w:val="single" w:sz="4" w:space="0" w:color="auto"/>
              <w:right w:val="single" w:sz="4" w:space="0" w:color="auto"/>
            </w:tcBorders>
            <w:shd w:val="clear" w:color="auto" w:fill="auto"/>
            <w:vAlign w:val="center"/>
            <w:hideMark/>
          </w:tcPr>
          <w:p w14:paraId="12383B16"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149,882</w:t>
            </w:r>
          </w:p>
        </w:tc>
        <w:tc>
          <w:tcPr>
            <w:tcW w:w="1080" w:type="dxa"/>
            <w:tcBorders>
              <w:top w:val="nil"/>
              <w:left w:val="nil"/>
              <w:bottom w:val="single" w:sz="4" w:space="0" w:color="auto"/>
              <w:right w:val="single" w:sz="4" w:space="0" w:color="auto"/>
            </w:tcBorders>
            <w:shd w:val="clear" w:color="auto" w:fill="auto"/>
            <w:vAlign w:val="center"/>
            <w:hideMark/>
          </w:tcPr>
          <w:p w14:paraId="123F81E1"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128,051</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296641C6"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542,783</w:t>
            </w:r>
          </w:p>
        </w:tc>
      </w:tr>
      <w:tr w:rsidR="00B96F3F" w:rsidRPr="00EE7E38" w14:paraId="3805009A" w14:textId="77777777" w:rsidTr="00EE7E38">
        <w:trPr>
          <w:trHeight w:val="39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D54876"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2.6</w:t>
            </w:r>
          </w:p>
        </w:tc>
        <w:tc>
          <w:tcPr>
            <w:tcW w:w="1861" w:type="dxa"/>
            <w:tcBorders>
              <w:top w:val="nil"/>
              <w:left w:val="nil"/>
              <w:bottom w:val="single" w:sz="4" w:space="0" w:color="auto"/>
              <w:right w:val="single" w:sz="4" w:space="0" w:color="auto"/>
            </w:tcBorders>
            <w:shd w:val="clear" w:color="auto" w:fill="auto"/>
            <w:vAlign w:val="center"/>
            <w:hideMark/>
          </w:tcPr>
          <w:p w14:paraId="0B49AB3D"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Support to operations of TB treatment institutions</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243B0ADE" w14:textId="7451300E" w:rsidR="00C559C5"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TB Service providers receive adequate level of funding for facility </w:t>
            </w:r>
            <w:r w:rsidR="00D43D9A" w:rsidRPr="00EE7E38">
              <w:rPr>
                <w:rFonts w:ascii="Times New Roman" w:eastAsia="Times New Roman" w:hAnsi="Times New Roman" w:cs="Times New Roman"/>
                <w:color w:val="000000"/>
                <w:sz w:val="16"/>
                <w:szCs w:val="16"/>
              </w:rPr>
              <w:t>maintenance</w:t>
            </w:r>
            <w:r w:rsidRPr="00EE7E38">
              <w:rPr>
                <w:rFonts w:ascii="Times New Roman" w:eastAsia="Times New Roman" w:hAnsi="Times New Roman" w:cs="Times New Roman"/>
                <w:color w:val="000000"/>
                <w:sz w:val="16"/>
                <w:szCs w:val="16"/>
              </w:rPr>
              <w:t xml:space="preserve"> and salaries </w:t>
            </w:r>
          </w:p>
        </w:tc>
        <w:tc>
          <w:tcPr>
            <w:tcW w:w="902" w:type="dxa"/>
            <w:gridSpan w:val="2"/>
            <w:tcBorders>
              <w:top w:val="nil"/>
              <w:left w:val="nil"/>
              <w:bottom w:val="single" w:sz="4" w:space="0" w:color="auto"/>
              <w:right w:val="single" w:sz="4" w:space="0" w:color="auto"/>
            </w:tcBorders>
            <w:shd w:val="clear" w:color="auto" w:fill="auto"/>
            <w:vAlign w:val="center"/>
            <w:hideMark/>
          </w:tcPr>
          <w:p w14:paraId="081CB9F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00" w:type="dxa"/>
            <w:gridSpan w:val="3"/>
            <w:tcBorders>
              <w:top w:val="nil"/>
              <w:left w:val="nil"/>
              <w:bottom w:val="single" w:sz="4" w:space="0" w:color="auto"/>
              <w:right w:val="single" w:sz="4" w:space="0" w:color="auto"/>
            </w:tcBorders>
            <w:shd w:val="clear" w:color="auto" w:fill="auto"/>
            <w:vAlign w:val="center"/>
            <w:hideMark/>
          </w:tcPr>
          <w:p w14:paraId="51173855"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00" w:type="dxa"/>
            <w:gridSpan w:val="2"/>
            <w:tcBorders>
              <w:top w:val="nil"/>
              <w:left w:val="nil"/>
              <w:bottom w:val="single" w:sz="4" w:space="0" w:color="auto"/>
              <w:right w:val="single" w:sz="4" w:space="0" w:color="auto"/>
            </w:tcBorders>
            <w:shd w:val="clear" w:color="auto" w:fill="auto"/>
            <w:vAlign w:val="center"/>
            <w:hideMark/>
          </w:tcPr>
          <w:p w14:paraId="02D8FB8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10" w:type="dxa"/>
            <w:gridSpan w:val="2"/>
            <w:tcBorders>
              <w:top w:val="nil"/>
              <w:left w:val="nil"/>
              <w:bottom w:val="single" w:sz="4" w:space="0" w:color="auto"/>
              <w:right w:val="single" w:sz="4" w:space="0" w:color="auto"/>
            </w:tcBorders>
            <w:shd w:val="clear" w:color="auto" w:fill="auto"/>
            <w:vAlign w:val="center"/>
            <w:hideMark/>
          </w:tcPr>
          <w:p w14:paraId="5936646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90" w:type="dxa"/>
            <w:gridSpan w:val="2"/>
            <w:tcBorders>
              <w:top w:val="nil"/>
              <w:left w:val="nil"/>
              <w:bottom w:val="single" w:sz="4" w:space="0" w:color="auto"/>
              <w:right w:val="single" w:sz="4" w:space="0" w:color="auto"/>
            </w:tcBorders>
            <w:shd w:val="clear" w:color="auto" w:fill="auto"/>
            <w:vAlign w:val="center"/>
            <w:hideMark/>
          </w:tcPr>
          <w:p w14:paraId="16B68EA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748B4EDE"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 NCDCPH</w:t>
            </w:r>
          </w:p>
        </w:tc>
        <w:tc>
          <w:tcPr>
            <w:tcW w:w="1260" w:type="dxa"/>
            <w:tcBorders>
              <w:top w:val="nil"/>
              <w:left w:val="nil"/>
              <w:bottom w:val="single" w:sz="4" w:space="0" w:color="auto"/>
              <w:right w:val="single" w:sz="4" w:space="0" w:color="auto"/>
            </w:tcBorders>
            <w:shd w:val="clear" w:color="auto" w:fill="auto"/>
            <w:vAlign w:val="center"/>
            <w:hideMark/>
          </w:tcPr>
          <w:p w14:paraId="1F5D8F50"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4,933,136</w:t>
            </w:r>
          </w:p>
        </w:tc>
        <w:tc>
          <w:tcPr>
            <w:tcW w:w="1170" w:type="dxa"/>
            <w:tcBorders>
              <w:top w:val="nil"/>
              <w:left w:val="nil"/>
              <w:bottom w:val="single" w:sz="4" w:space="0" w:color="auto"/>
              <w:right w:val="single" w:sz="4" w:space="0" w:color="auto"/>
            </w:tcBorders>
            <w:shd w:val="clear" w:color="auto" w:fill="auto"/>
            <w:vAlign w:val="center"/>
            <w:hideMark/>
          </w:tcPr>
          <w:p w14:paraId="634FC2DB"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5,249,231</w:t>
            </w:r>
          </w:p>
        </w:tc>
        <w:tc>
          <w:tcPr>
            <w:tcW w:w="1260" w:type="dxa"/>
            <w:tcBorders>
              <w:top w:val="nil"/>
              <w:left w:val="nil"/>
              <w:bottom w:val="single" w:sz="4" w:space="0" w:color="auto"/>
              <w:right w:val="single" w:sz="4" w:space="0" w:color="auto"/>
            </w:tcBorders>
            <w:shd w:val="clear" w:color="auto" w:fill="auto"/>
            <w:vAlign w:val="center"/>
            <w:hideMark/>
          </w:tcPr>
          <w:p w14:paraId="05F340C0"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5,426,712</w:t>
            </w:r>
          </w:p>
        </w:tc>
        <w:tc>
          <w:tcPr>
            <w:tcW w:w="1080" w:type="dxa"/>
            <w:tcBorders>
              <w:top w:val="nil"/>
              <w:left w:val="nil"/>
              <w:bottom w:val="single" w:sz="4" w:space="0" w:color="auto"/>
              <w:right w:val="single" w:sz="4" w:space="0" w:color="auto"/>
            </w:tcBorders>
            <w:shd w:val="clear" w:color="auto" w:fill="auto"/>
            <w:vAlign w:val="center"/>
            <w:hideMark/>
          </w:tcPr>
          <w:p w14:paraId="6007BC85"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5,586,969</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23D8320E"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21,196,047</w:t>
            </w:r>
          </w:p>
        </w:tc>
      </w:tr>
      <w:tr w:rsidR="00B96F3F" w:rsidRPr="00EE7E38" w14:paraId="2580FFCC" w14:textId="77777777" w:rsidTr="00EE7E38">
        <w:trPr>
          <w:trHeight w:val="390"/>
        </w:trPr>
        <w:tc>
          <w:tcPr>
            <w:tcW w:w="6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F4F2A8"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w:t>
            </w:r>
          </w:p>
        </w:tc>
        <w:tc>
          <w:tcPr>
            <w:tcW w:w="9435" w:type="dxa"/>
            <w:gridSpan w:val="1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0DE148"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To enable supportive environment and systems for effective TB control</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1888796"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2,080,047</w:t>
            </w:r>
          </w:p>
        </w:tc>
        <w:tc>
          <w:tcPr>
            <w:tcW w:w="11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DC645DA"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1,760,623</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A72BD85"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1,836,923</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DD9053"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1,576,010</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4F6A768"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7,253,603</w:t>
            </w:r>
          </w:p>
        </w:tc>
      </w:tr>
      <w:tr w:rsidR="00B96F3F" w:rsidRPr="00EE7E38" w14:paraId="63104ECC" w14:textId="77777777" w:rsidTr="00EE7E38">
        <w:trPr>
          <w:trHeight w:val="509"/>
        </w:trPr>
        <w:tc>
          <w:tcPr>
            <w:tcW w:w="660" w:type="dxa"/>
            <w:vMerge/>
            <w:tcBorders>
              <w:top w:val="nil"/>
              <w:left w:val="single" w:sz="4" w:space="0" w:color="auto"/>
              <w:bottom w:val="single" w:sz="4" w:space="0" w:color="auto"/>
              <w:right w:val="single" w:sz="4" w:space="0" w:color="auto"/>
            </w:tcBorders>
            <w:vAlign w:val="center"/>
            <w:hideMark/>
          </w:tcPr>
          <w:p w14:paraId="60E205B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435" w:type="dxa"/>
            <w:gridSpan w:val="14"/>
            <w:vMerge/>
            <w:tcBorders>
              <w:top w:val="single" w:sz="4" w:space="0" w:color="auto"/>
              <w:left w:val="single" w:sz="4" w:space="0" w:color="auto"/>
              <w:bottom w:val="single" w:sz="4" w:space="0" w:color="auto"/>
              <w:right w:val="single" w:sz="4" w:space="0" w:color="auto"/>
            </w:tcBorders>
            <w:vAlign w:val="center"/>
            <w:hideMark/>
          </w:tcPr>
          <w:p w14:paraId="5A02C1D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6D3D01E"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76E3D56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D7ECDB3"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24A61A7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13529AFB"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r>
      <w:tr w:rsidR="00B96F3F" w:rsidRPr="00EE7E38" w14:paraId="7A94F0E5" w14:textId="77777777" w:rsidTr="00EE7E38">
        <w:trPr>
          <w:trHeight w:val="751"/>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3ABCA1F" w14:textId="77777777" w:rsidR="00B96F3F" w:rsidRPr="00EE7E38" w:rsidRDefault="00B96F3F"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3.1</w:t>
            </w:r>
          </w:p>
        </w:tc>
        <w:tc>
          <w:tcPr>
            <w:tcW w:w="1861" w:type="dxa"/>
            <w:vMerge w:val="restart"/>
            <w:tcBorders>
              <w:top w:val="nil"/>
              <w:left w:val="single" w:sz="4" w:space="0" w:color="auto"/>
              <w:bottom w:val="single" w:sz="4" w:space="0" w:color="auto"/>
              <w:right w:val="single" w:sz="4" w:space="0" w:color="auto"/>
            </w:tcBorders>
            <w:shd w:val="clear" w:color="auto" w:fill="auto"/>
            <w:vAlign w:val="center"/>
            <w:hideMark/>
          </w:tcPr>
          <w:p w14:paraId="7075AADA"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Strengthening core health system functions for TB control</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6D2851BF"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Percentage of TB cases, all forms, receiving the entire treatment in outpatient (ambulatory) setting </w:t>
            </w:r>
          </w:p>
        </w:tc>
        <w:tc>
          <w:tcPr>
            <w:tcW w:w="670" w:type="dxa"/>
            <w:gridSpan w:val="2"/>
            <w:tcBorders>
              <w:top w:val="nil"/>
              <w:left w:val="nil"/>
              <w:bottom w:val="single" w:sz="4" w:space="0" w:color="auto"/>
              <w:right w:val="single" w:sz="4" w:space="0" w:color="auto"/>
            </w:tcBorders>
            <w:shd w:val="clear" w:color="auto" w:fill="auto"/>
            <w:vAlign w:val="center"/>
            <w:hideMark/>
          </w:tcPr>
          <w:p w14:paraId="3ED50399"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14:paraId="0CF7DE20"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1C11276D"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5922441B"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9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9BB2E7" w14:textId="77777777" w:rsidR="00B96F3F" w:rsidRPr="00EE7E38" w:rsidRDefault="00B96F3F" w:rsidP="00C559C5">
            <w:pPr>
              <w:spacing w:after="0" w:line="240" w:lineRule="auto"/>
              <w:jc w:val="center"/>
              <w:rPr>
                <w:rFonts w:ascii="Times New Roman" w:eastAsia="Times New Roman" w:hAnsi="Times New Roman" w:cs="Times New Roman"/>
                <w:b/>
                <w:bCs/>
                <w:color w:val="000000"/>
                <w:sz w:val="16"/>
                <w:szCs w:val="16"/>
              </w:rPr>
            </w:pPr>
            <w:proofErr w:type="spellStart"/>
            <w:r w:rsidRPr="00EE7E38">
              <w:rPr>
                <w:rFonts w:ascii="Times New Roman" w:eastAsia="Times New Roman" w:hAnsi="Times New Roman" w:cs="Times New Roman"/>
                <w:b/>
                <w:bCs/>
                <w:color w:val="000000"/>
                <w:sz w:val="16"/>
                <w:szCs w:val="16"/>
              </w:rPr>
              <w:t>MoLHSA</w:t>
            </w:r>
            <w:proofErr w:type="spellEnd"/>
          </w:p>
        </w:tc>
        <w:tc>
          <w:tcPr>
            <w:tcW w:w="988" w:type="dxa"/>
            <w:gridSpan w:val="2"/>
            <w:vMerge w:val="restart"/>
            <w:tcBorders>
              <w:top w:val="nil"/>
              <w:left w:val="nil"/>
              <w:right w:val="single" w:sz="4" w:space="0" w:color="auto"/>
            </w:tcBorders>
            <w:shd w:val="clear" w:color="auto" w:fill="auto"/>
            <w:vAlign w:val="center"/>
            <w:hideMark/>
          </w:tcPr>
          <w:p w14:paraId="7A2AFB64" w14:textId="77777777" w:rsidR="00B96F3F" w:rsidRPr="00EE7E38" w:rsidRDefault="00B96F3F"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NCDC, Primary care, Outpatient TB services</w:t>
            </w:r>
          </w:p>
          <w:p w14:paraId="5DFB235D" w14:textId="77777777" w:rsidR="00B96F3F" w:rsidRPr="00EE7E38" w:rsidRDefault="00B96F3F"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p w14:paraId="06888054"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color w:val="000000"/>
                <w:sz w:val="16"/>
                <w:szCs w:val="16"/>
              </w:rPr>
              <w:t> </w:t>
            </w:r>
          </w:p>
          <w:p w14:paraId="3DAFCC51"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color w:val="000000"/>
                <w:sz w:val="16"/>
                <w:szCs w:val="16"/>
              </w:rPr>
              <w:t> </w:t>
            </w:r>
          </w:p>
          <w:p w14:paraId="1C3E02F0"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color w:val="000000"/>
                <w:sz w:val="16"/>
                <w:szCs w:val="16"/>
              </w:rPr>
              <w:t> </w:t>
            </w:r>
          </w:p>
          <w:p w14:paraId="12037DEB"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color w:val="000000"/>
                <w:sz w:val="16"/>
                <w:szCs w:val="16"/>
              </w:rPr>
              <w:lastRenderedPageBreak/>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B0253D9" w14:textId="77777777" w:rsidR="00B96F3F" w:rsidRPr="00EE7E38" w:rsidRDefault="00B96F3F"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lastRenderedPageBreak/>
              <w:t>808,562</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3577D82" w14:textId="77777777" w:rsidR="00B96F3F" w:rsidRPr="00EE7E38" w:rsidRDefault="00B96F3F"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563,713</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E769741" w14:textId="77777777" w:rsidR="00B96F3F" w:rsidRPr="00EE7E38" w:rsidRDefault="00B96F3F"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542,713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69566D7" w14:textId="77777777" w:rsidR="00B96F3F" w:rsidRPr="00EE7E38" w:rsidRDefault="00B96F3F"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349,100</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C9711DB" w14:textId="77777777" w:rsidR="00B96F3F" w:rsidRPr="00EE7E38" w:rsidRDefault="00B96F3F"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2,264,088</w:t>
            </w:r>
          </w:p>
        </w:tc>
      </w:tr>
      <w:tr w:rsidR="00B96F3F" w:rsidRPr="00EE7E38" w14:paraId="57E2F749" w14:textId="77777777" w:rsidTr="00EE7E38">
        <w:trPr>
          <w:trHeight w:val="706"/>
        </w:trPr>
        <w:tc>
          <w:tcPr>
            <w:tcW w:w="660" w:type="dxa"/>
            <w:vMerge/>
            <w:tcBorders>
              <w:top w:val="nil"/>
              <w:left w:val="single" w:sz="4" w:space="0" w:color="auto"/>
              <w:bottom w:val="single" w:sz="4" w:space="0" w:color="auto"/>
              <w:right w:val="single" w:sz="4" w:space="0" w:color="auto"/>
            </w:tcBorders>
            <w:vAlign w:val="center"/>
            <w:hideMark/>
          </w:tcPr>
          <w:p w14:paraId="3EEA8896"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4686C506"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3B414B8D"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Government expenditure (ratio) for TB control services as percentage of general government expenditure for health care </w:t>
            </w:r>
          </w:p>
        </w:tc>
        <w:tc>
          <w:tcPr>
            <w:tcW w:w="670" w:type="dxa"/>
            <w:gridSpan w:val="2"/>
            <w:tcBorders>
              <w:top w:val="nil"/>
              <w:left w:val="nil"/>
              <w:bottom w:val="single" w:sz="4" w:space="0" w:color="auto"/>
              <w:right w:val="single" w:sz="4" w:space="0" w:color="auto"/>
            </w:tcBorders>
            <w:shd w:val="clear" w:color="auto" w:fill="auto"/>
            <w:vAlign w:val="center"/>
            <w:hideMark/>
          </w:tcPr>
          <w:p w14:paraId="52FC27EE"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0.00%</w:t>
            </w:r>
          </w:p>
        </w:tc>
        <w:tc>
          <w:tcPr>
            <w:tcW w:w="859" w:type="dxa"/>
            <w:tcBorders>
              <w:top w:val="nil"/>
              <w:left w:val="nil"/>
              <w:bottom w:val="single" w:sz="4" w:space="0" w:color="auto"/>
              <w:right w:val="single" w:sz="4" w:space="0" w:color="auto"/>
            </w:tcBorders>
            <w:shd w:val="clear" w:color="auto" w:fill="auto"/>
            <w:vAlign w:val="center"/>
            <w:hideMark/>
          </w:tcPr>
          <w:p w14:paraId="2E94A8C8"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0.00%</w:t>
            </w:r>
          </w:p>
        </w:tc>
        <w:tc>
          <w:tcPr>
            <w:tcW w:w="859" w:type="dxa"/>
            <w:gridSpan w:val="2"/>
            <w:tcBorders>
              <w:top w:val="nil"/>
              <w:left w:val="nil"/>
              <w:bottom w:val="single" w:sz="4" w:space="0" w:color="auto"/>
              <w:right w:val="single" w:sz="4" w:space="0" w:color="auto"/>
            </w:tcBorders>
            <w:shd w:val="clear" w:color="auto" w:fill="auto"/>
            <w:vAlign w:val="center"/>
            <w:hideMark/>
          </w:tcPr>
          <w:p w14:paraId="181BD9E6"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0.00%</w:t>
            </w:r>
          </w:p>
        </w:tc>
        <w:tc>
          <w:tcPr>
            <w:tcW w:w="859" w:type="dxa"/>
            <w:gridSpan w:val="2"/>
            <w:tcBorders>
              <w:top w:val="nil"/>
              <w:left w:val="nil"/>
              <w:bottom w:val="single" w:sz="4" w:space="0" w:color="auto"/>
              <w:right w:val="single" w:sz="4" w:space="0" w:color="auto"/>
            </w:tcBorders>
            <w:shd w:val="clear" w:color="auto" w:fill="auto"/>
            <w:vAlign w:val="center"/>
            <w:hideMark/>
          </w:tcPr>
          <w:p w14:paraId="7F830CD7"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0.00%</w:t>
            </w:r>
          </w:p>
        </w:tc>
        <w:tc>
          <w:tcPr>
            <w:tcW w:w="915" w:type="dxa"/>
            <w:gridSpan w:val="2"/>
            <w:vMerge/>
            <w:tcBorders>
              <w:top w:val="nil"/>
              <w:left w:val="single" w:sz="4" w:space="0" w:color="auto"/>
              <w:bottom w:val="single" w:sz="4" w:space="0" w:color="auto"/>
              <w:right w:val="single" w:sz="4" w:space="0" w:color="auto"/>
            </w:tcBorders>
            <w:vAlign w:val="center"/>
            <w:hideMark/>
          </w:tcPr>
          <w:p w14:paraId="61908E76"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left w:val="nil"/>
              <w:right w:val="single" w:sz="4" w:space="0" w:color="auto"/>
            </w:tcBorders>
            <w:shd w:val="clear" w:color="auto" w:fill="auto"/>
            <w:vAlign w:val="center"/>
            <w:hideMark/>
          </w:tcPr>
          <w:p w14:paraId="01B6368A"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4656EE4D"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000D339"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AB3F49F"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34BC331B"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3016741"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r>
      <w:tr w:rsidR="00B96F3F" w:rsidRPr="00EE7E38" w14:paraId="1180F71A" w14:textId="77777777" w:rsidTr="00EE7E38">
        <w:trPr>
          <w:trHeight w:val="499"/>
        </w:trPr>
        <w:tc>
          <w:tcPr>
            <w:tcW w:w="660" w:type="dxa"/>
            <w:vMerge/>
            <w:tcBorders>
              <w:top w:val="nil"/>
              <w:left w:val="single" w:sz="4" w:space="0" w:color="auto"/>
              <w:bottom w:val="single" w:sz="4" w:space="0" w:color="auto"/>
              <w:right w:val="single" w:sz="4" w:space="0" w:color="auto"/>
            </w:tcBorders>
            <w:vAlign w:val="center"/>
            <w:hideMark/>
          </w:tcPr>
          <w:p w14:paraId="3935A115"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59717C3E"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71B839A7"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of physicians trained in priority topics of TB control </w:t>
            </w:r>
          </w:p>
        </w:tc>
        <w:tc>
          <w:tcPr>
            <w:tcW w:w="670" w:type="dxa"/>
            <w:gridSpan w:val="2"/>
            <w:tcBorders>
              <w:top w:val="nil"/>
              <w:left w:val="nil"/>
              <w:bottom w:val="single" w:sz="4" w:space="0" w:color="auto"/>
              <w:right w:val="single" w:sz="4" w:space="0" w:color="auto"/>
            </w:tcBorders>
            <w:shd w:val="clear" w:color="auto" w:fill="auto"/>
            <w:vAlign w:val="center"/>
            <w:hideMark/>
          </w:tcPr>
          <w:p w14:paraId="4388A16C"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200</w:t>
            </w:r>
          </w:p>
        </w:tc>
        <w:tc>
          <w:tcPr>
            <w:tcW w:w="859" w:type="dxa"/>
            <w:tcBorders>
              <w:top w:val="nil"/>
              <w:left w:val="nil"/>
              <w:bottom w:val="single" w:sz="4" w:space="0" w:color="auto"/>
              <w:right w:val="single" w:sz="4" w:space="0" w:color="auto"/>
            </w:tcBorders>
            <w:shd w:val="clear" w:color="auto" w:fill="auto"/>
            <w:vAlign w:val="center"/>
            <w:hideMark/>
          </w:tcPr>
          <w:p w14:paraId="6BA5797C"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46326E4D"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200</w:t>
            </w:r>
          </w:p>
        </w:tc>
        <w:tc>
          <w:tcPr>
            <w:tcW w:w="859" w:type="dxa"/>
            <w:gridSpan w:val="2"/>
            <w:tcBorders>
              <w:top w:val="nil"/>
              <w:left w:val="nil"/>
              <w:bottom w:val="single" w:sz="4" w:space="0" w:color="auto"/>
              <w:right w:val="single" w:sz="4" w:space="0" w:color="auto"/>
            </w:tcBorders>
            <w:shd w:val="clear" w:color="auto" w:fill="auto"/>
            <w:vAlign w:val="center"/>
            <w:hideMark/>
          </w:tcPr>
          <w:p w14:paraId="17BE5B50"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915" w:type="dxa"/>
            <w:gridSpan w:val="2"/>
            <w:vMerge/>
            <w:tcBorders>
              <w:top w:val="nil"/>
              <w:left w:val="single" w:sz="4" w:space="0" w:color="auto"/>
              <w:bottom w:val="single" w:sz="4" w:space="0" w:color="auto"/>
              <w:right w:val="single" w:sz="4" w:space="0" w:color="auto"/>
            </w:tcBorders>
            <w:vAlign w:val="center"/>
            <w:hideMark/>
          </w:tcPr>
          <w:p w14:paraId="7CC1CFA5"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left w:val="nil"/>
              <w:right w:val="single" w:sz="4" w:space="0" w:color="auto"/>
            </w:tcBorders>
            <w:shd w:val="clear" w:color="auto" w:fill="auto"/>
            <w:vAlign w:val="center"/>
            <w:hideMark/>
          </w:tcPr>
          <w:p w14:paraId="3247E700"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B75C0CC"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3F7204C3"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42D7E97"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305E20DA"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61F154D"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r>
      <w:tr w:rsidR="00B96F3F" w:rsidRPr="00EE7E38" w14:paraId="3FE14D8D" w14:textId="77777777" w:rsidTr="00EE7E38">
        <w:trPr>
          <w:trHeight w:val="355"/>
        </w:trPr>
        <w:tc>
          <w:tcPr>
            <w:tcW w:w="660" w:type="dxa"/>
            <w:vMerge/>
            <w:tcBorders>
              <w:top w:val="nil"/>
              <w:left w:val="single" w:sz="4" w:space="0" w:color="auto"/>
              <w:bottom w:val="single" w:sz="4" w:space="0" w:color="auto"/>
              <w:right w:val="single" w:sz="4" w:space="0" w:color="auto"/>
            </w:tcBorders>
            <w:vAlign w:val="center"/>
            <w:hideMark/>
          </w:tcPr>
          <w:p w14:paraId="1B9468E7"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27893232"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55577E8E"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of nurses trained in priority topics of TB control </w:t>
            </w:r>
          </w:p>
        </w:tc>
        <w:tc>
          <w:tcPr>
            <w:tcW w:w="670" w:type="dxa"/>
            <w:gridSpan w:val="2"/>
            <w:tcBorders>
              <w:top w:val="nil"/>
              <w:left w:val="nil"/>
              <w:bottom w:val="single" w:sz="4" w:space="0" w:color="auto"/>
              <w:right w:val="single" w:sz="4" w:space="0" w:color="auto"/>
            </w:tcBorders>
            <w:shd w:val="clear" w:color="auto" w:fill="auto"/>
            <w:vAlign w:val="center"/>
            <w:hideMark/>
          </w:tcPr>
          <w:p w14:paraId="189EF7FD"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280</w:t>
            </w:r>
          </w:p>
        </w:tc>
        <w:tc>
          <w:tcPr>
            <w:tcW w:w="859" w:type="dxa"/>
            <w:tcBorders>
              <w:top w:val="nil"/>
              <w:left w:val="nil"/>
              <w:bottom w:val="single" w:sz="4" w:space="0" w:color="auto"/>
              <w:right w:val="single" w:sz="4" w:space="0" w:color="auto"/>
            </w:tcBorders>
            <w:shd w:val="clear" w:color="auto" w:fill="auto"/>
            <w:vAlign w:val="center"/>
            <w:hideMark/>
          </w:tcPr>
          <w:p w14:paraId="259C55B1"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7990244A"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280</w:t>
            </w:r>
          </w:p>
        </w:tc>
        <w:tc>
          <w:tcPr>
            <w:tcW w:w="859" w:type="dxa"/>
            <w:gridSpan w:val="2"/>
            <w:tcBorders>
              <w:top w:val="nil"/>
              <w:left w:val="nil"/>
              <w:bottom w:val="single" w:sz="4" w:space="0" w:color="auto"/>
              <w:right w:val="single" w:sz="4" w:space="0" w:color="auto"/>
            </w:tcBorders>
            <w:shd w:val="clear" w:color="auto" w:fill="auto"/>
            <w:vAlign w:val="center"/>
            <w:hideMark/>
          </w:tcPr>
          <w:p w14:paraId="29CD258B"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915" w:type="dxa"/>
            <w:gridSpan w:val="2"/>
            <w:vMerge/>
            <w:tcBorders>
              <w:top w:val="nil"/>
              <w:left w:val="single" w:sz="4" w:space="0" w:color="auto"/>
              <w:bottom w:val="single" w:sz="4" w:space="0" w:color="auto"/>
              <w:right w:val="single" w:sz="4" w:space="0" w:color="auto"/>
            </w:tcBorders>
            <w:vAlign w:val="center"/>
            <w:hideMark/>
          </w:tcPr>
          <w:p w14:paraId="3E26064F"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left w:val="nil"/>
              <w:right w:val="single" w:sz="4" w:space="0" w:color="auto"/>
            </w:tcBorders>
            <w:shd w:val="clear" w:color="auto" w:fill="auto"/>
            <w:vAlign w:val="center"/>
            <w:hideMark/>
          </w:tcPr>
          <w:p w14:paraId="53CCE31C"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76317DEA"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63B8648E"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3F680D1"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12B8949D"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E2A17D6"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r>
      <w:tr w:rsidR="00B96F3F" w:rsidRPr="00EE7E38" w14:paraId="4AB6D8DD" w14:textId="77777777" w:rsidTr="00EE7E38">
        <w:trPr>
          <w:trHeight w:val="499"/>
        </w:trPr>
        <w:tc>
          <w:tcPr>
            <w:tcW w:w="660" w:type="dxa"/>
            <w:vMerge/>
            <w:tcBorders>
              <w:top w:val="nil"/>
              <w:left w:val="single" w:sz="4" w:space="0" w:color="auto"/>
              <w:bottom w:val="single" w:sz="4" w:space="0" w:color="auto"/>
              <w:right w:val="single" w:sz="4" w:space="0" w:color="auto"/>
            </w:tcBorders>
            <w:vAlign w:val="center"/>
            <w:hideMark/>
          </w:tcPr>
          <w:p w14:paraId="4168E7C6"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709070B1"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7040275D"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of PHC staff (doctors and nurses) trained in priority topics of TB control   </w:t>
            </w:r>
          </w:p>
        </w:tc>
        <w:tc>
          <w:tcPr>
            <w:tcW w:w="670" w:type="dxa"/>
            <w:gridSpan w:val="2"/>
            <w:tcBorders>
              <w:top w:val="nil"/>
              <w:left w:val="nil"/>
              <w:bottom w:val="single" w:sz="4" w:space="0" w:color="auto"/>
              <w:right w:val="single" w:sz="4" w:space="0" w:color="auto"/>
            </w:tcBorders>
            <w:shd w:val="clear" w:color="auto" w:fill="auto"/>
            <w:vAlign w:val="center"/>
            <w:hideMark/>
          </w:tcPr>
          <w:p w14:paraId="68331EBB"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14:paraId="0C2EE732"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7E6814EB"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79F77E91"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915" w:type="dxa"/>
            <w:gridSpan w:val="2"/>
            <w:vMerge/>
            <w:tcBorders>
              <w:top w:val="nil"/>
              <w:left w:val="single" w:sz="4" w:space="0" w:color="auto"/>
              <w:bottom w:val="single" w:sz="4" w:space="0" w:color="auto"/>
              <w:right w:val="single" w:sz="4" w:space="0" w:color="auto"/>
            </w:tcBorders>
            <w:vAlign w:val="center"/>
            <w:hideMark/>
          </w:tcPr>
          <w:p w14:paraId="26BF82FA"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left w:val="nil"/>
              <w:right w:val="single" w:sz="4" w:space="0" w:color="auto"/>
            </w:tcBorders>
            <w:shd w:val="clear" w:color="auto" w:fill="auto"/>
            <w:vAlign w:val="center"/>
            <w:hideMark/>
          </w:tcPr>
          <w:p w14:paraId="1C1085DE"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40EC4F58"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44ACB790"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310AEBED"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0B09AA0F"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0CCDB574"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r>
      <w:tr w:rsidR="00B96F3F" w:rsidRPr="00EE7E38" w14:paraId="049E2E7B" w14:textId="77777777" w:rsidTr="00EE7E38">
        <w:trPr>
          <w:trHeight w:val="517"/>
        </w:trPr>
        <w:tc>
          <w:tcPr>
            <w:tcW w:w="660" w:type="dxa"/>
            <w:vMerge/>
            <w:tcBorders>
              <w:top w:val="nil"/>
              <w:left w:val="single" w:sz="4" w:space="0" w:color="auto"/>
              <w:bottom w:val="single" w:sz="4" w:space="0" w:color="auto"/>
              <w:right w:val="single" w:sz="4" w:space="0" w:color="auto"/>
            </w:tcBorders>
            <w:vAlign w:val="center"/>
            <w:hideMark/>
          </w:tcPr>
          <w:p w14:paraId="63AA7930"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1DF81DA7"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529642C5"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Number of individuals trained in legal and ethical issues of TB control</w:t>
            </w:r>
          </w:p>
        </w:tc>
        <w:tc>
          <w:tcPr>
            <w:tcW w:w="670" w:type="dxa"/>
            <w:gridSpan w:val="2"/>
            <w:tcBorders>
              <w:top w:val="nil"/>
              <w:left w:val="nil"/>
              <w:bottom w:val="single" w:sz="4" w:space="0" w:color="auto"/>
              <w:right w:val="single" w:sz="4" w:space="0" w:color="auto"/>
            </w:tcBorders>
            <w:shd w:val="clear" w:color="auto" w:fill="auto"/>
            <w:vAlign w:val="center"/>
            <w:hideMark/>
          </w:tcPr>
          <w:p w14:paraId="698C54C2"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14:paraId="479C8479"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360</w:t>
            </w:r>
          </w:p>
        </w:tc>
        <w:tc>
          <w:tcPr>
            <w:tcW w:w="859" w:type="dxa"/>
            <w:gridSpan w:val="2"/>
            <w:tcBorders>
              <w:top w:val="nil"/>
              <w:left w:val="nil"/>
              <w:bottom w:val="single" w:sz="4" w:space="0" w:color="auto"/>
              <w:right w:val="single" w:sz="4" w:space="0" w:color="auto"/>
            </w:tcBorders>
            <w:shd w:val="clear" w:color="auto" w:fill="auto"/>
            <w:vAlign w:val="center"/>
            <w:hideMark/>
          </w:tcPr>
          <w:p w14:paraId="5A92E24F"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14:paraId="5000CE0F" w14:textId="77777777" w:rsidR="00B96F3F" w:rsidRPr="00EE7E38" w:rsidRDefault="00B96F3F"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0</w:t>
            </w:r>
          </w:p>
        </w:tc>
        <w:tc>
          <w:tcPr>
            <w:tcW w:w="915" w:type="dxa"/>
            <w:gridSpan w:val="2"/>
            <w:vMerge/>
            <w:tcBorders>
              <w:top w:val="nil"/>
              <w:left w:val="single" w:sz="4" w:space="0" w:color="auto"/>
              <w:bottom w:val="single" w:sz="4" w:space="0" w:color="auto"/>
              <w:right w:val="single" w:sz="4" w:space="0" w:color="auto"/>
            </w:tcBorders>
            <w:vAlign w:val="center"/>
            <w:hideMark/>
          </w:tcPr>
          <w:p w14:paraId="49EDFBBA" w14:textId="77777777" w:rsidR="00B96F3F" w:rsidRPr="00EE7E38" w:rsidRDefault="00B96F3F"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left w:val="nil"/>
              <w:bottom w:val="single" w:sz="4" w:space="0" w:color="auto"/>
              <w:right w:val="single" w:sz="4" w:space="0" w:color="auto"/>
            </w:tcBorders>
            <w:shd w:val="clear" w:color="auto" w:fill="auto"/>
            <w:vAlign w:val="center"/>
            <w:hideMark/>
          </w:tcPr>
          <w:p w14:paraId="49DEE616" w14:textId="77777777" w:rsidR="00B96F3F" w:rsidRPr="00EE7E38" w:rsidRDefault="00B96F3F" w:rsidP="00C559C5">
            <w:pPr>
              <w:spacing w:after="0" w:line="240" w:lineRule="auto"/>
              <w:rPr>
                <w:rFonts w:ascii="Times New Roman" w:eastAsia="Times New Roman" w:hAnsi="Times New Roman" w:cs="Times New Roman"/>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72DB9D4"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003EB9B5"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167175F"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6AF836FB"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F622E7C" w14:textId="77777777" w:rsidR="00B96F3F" w:rsidRPr="00EE7E38" w:rsidRDefault="00B96F3F" w:rsidP="00C559C5">
            <w:pPr>
              <w:spacing w:after="0" w:line="240" w:lineRule="auto"/>
              <w:rPr>
                <w:rFonts w:ascii="Times New Roman" w:eastAsia="Times New Roman" w:hAnsi="Times New Roman" w:cs="Times New Roman"/>
                <w:b/>
                <w:bCs/>
                <w:sz w:val="16"/>
                <w:szCs w:val="16"/>
              </w:rPr>
            </w:pPr>
          </w:p>
        </w:tc>
      </w:tr>
      <w:tr w:rsidR="00B96F3F" w:rsidRPr="00EE7E38" w14:paraId="14BAFB12" w14:textId="77777777" w:rsidTr="00EE7E38">
        <w:trPr>
          <w:trHeight w:val="12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369D995"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3.2</w:t>
            </w:r>
          </w:p>
        </w:tc>
        <w:tc>
          <w:tcPr>
            <w:tcW w:w="1861" w:type="dxa"/>
            <w:tcBorders>
              <w:top w:val="nil"/>
              <w:left w:val="nil"/>
              <w:bottom w:val="single" w:sz="4" w:space="0" w:color="auto"/>
              <w:right w:val="single" w:sz="4" w:space="0" w:color="auto"/>
            </w:tcBorders>
            <w:shd w:val="clear" w:color="auto" w:fill="auto"/>
            <w:vAlign w:val="center"/>
            <w:hideMark/>
          </w:tcPr>
          <w:p w14:paraId="4ECD0C1C"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Supervision, monitoring and evaluation of the National TB Program</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2B5665FD"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Supervision component of the National TB program is fully functional; A comprehensive program review by WHO conducted; Global Fund PR operates successfully </w:t>
            </w:r>
          </w:p>
        </w:tc>
        <w:tc>
          <w:tcPr>
            <w:tcW w:w="670" w:type="dxa"/>
            <w:gridSpan w:val="2"/>
            <w:tcBorders>
              <w:top w:val="nil"/>
              <w:left w:val="nil"/>
              <w:bottom w:val="single" w:sz="4" w:space="0" w:color="auto"/>
              <w:right w:val="single" w:sz="4" w:space="0" w:color="auto"/>
            </w:tcBorders>
            <w:shd w:val="clear" w:color="auto" w:fill="auto"/>
            <w:vAlign w:val="center"/>
            <w:hideMark/>
          </w:tcPr>
          <w:p w14:paraId="2C937041"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tcBorders>
              <w:top w:val="nil"/>
              <w:left w:val="nil"/>
              <w:bottom w:val="single" w:sz="4" w:space="0" w:color="auto"/>
              <w:right w:val="single" w:sz="4" w:space="0" w:color="auto"/>
            </w:tcBorders>
            <w:shd w:val="clear" w:color="auto" w:fill="auto"/>
            <w:vAlign w:val="center"/>
            <w:hideMark/>
          </w:tcPr>
          <w:p w14:paraId="2F46432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gridSpan w:val="2"/>
            <w:tcBorders>
              <w:top w:val="nil"/>
              <w:left w:val="nil"/>
              <w:bottom w:val="single" w:sz="4" w:space="0" w:color="auto"/>
              <w:right w:val="single" w:sz="4" w:space="0" w:color="auto"/>
            </w:tcBorders>
            <w:shd w:val="clear" w:color="auto" w:fill="auto"/>
            <w:vAlign w:val="center"/>
            <w:hideMark/>
          </w:tcPr>
          <w:p w14:paraId="358C262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gridSpan w:val="2"/>
            <w:tcBorders>
              <w:top w:val="nil"/>
              <w:left w:val="nil"/>
              <w:bottom w:val="single" w:sz="4" w:space="0" w:color="auto"/>
              <w:right w:val="single" w:sz="4" w:space="0" w:color="auto"/>
            </w:tcBorders>
            <w:shd w:val="clear" w:color="auto" w:fill="auto"/>
            <w:vAlign w:val="center"/>
            <w:hideMark/>
          </w:tcPr>
          <w:p w14:paraId="5CA1B72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15" w:type="dxa"/>
            <w:gridSpan w:val="2"/>
            <w:tcBorders>
              <w:top w:val="nil"/>
              <w:left w:val="nil"/>
              <w:bottom w:val="single" w:sz="4" w:space="0" w:color="auto"/>
              <w:right w:val="single" w:sz="4" w:space="0" w:color="auto"/>
            </w:tcBorders>
            <w:shd w:val="clear" w:color="auto" w:fill="auto"/>
            <w:vAlign w:val="center"/>
            <w:hideMark/>
          </w:tcPr>
          <w:p w14:paraId="42FD654F"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988" w:type="dxa"/>
            <w:gridSpan w:val="2"/>
            <w:tcBorders>
              <w:top w:val="nil"/>
              <w:left w:val="nil"/>
              <w:bottom w:val="single" w:sz="4" w:space="0" w:color="auto"/>
              <w:right w:val="single" w:sz="4" w:space="0" w:color="auto"/>
            </w:tcBorders>
            <w:shd w:val="clear" w:color="auto" w:fill="auto"/>
            <w:vAlign w:val="center"/>
            <w:hideMark/>
          </w:tcPr>
          <w:p w14:paraId="0E245C5F"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NCDC</w:t>
            </w:r>
          </w:p>
        </w:tc>
        <w:tc>
          <w:tcPr>
            <w:tcW w:w="1260" w:type="dxa"/>
            <w:tcBorders>
              <w:top w:val="nil"/>
              <w:left w:val="nil"/>
              <w:bottom w:val="single" w:sz="4" w:space="0" w:color="auto"/>
              <w:right w:val="single" w:sz="4" w:space="0" w:color="auto"/>
            </w:tcBorders>
            <w:shd w:val="clear" w:color="auto" w:fill="auto"/>
            <w:vAlign w:val="center"/>
            <w:hideMark/>
          </w:tcPr>
          <w:p w14:paraId="23F865BB"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591,760</w:t>
            </w:r>
          </w:p>
        </w:tc>
        <w:tc>
          <w:tcPr>
            <w:tcW w:w="1170" w:type="dxa"/>
            <w:tcBorders>
              <w:top w:val="nil"/>
              <w:left w:val="nil"/>
              <w:bottom w:val="single" w:sz="4" w:space="0" w:color="auto"/>
              <w:right w:val="single" w:sz="4" w:space="0" w:color="auto"/>
            </w:tcBorders>
            <w:shd w:val="clear" w:color="auto" w:fill="auto"/>
            <w:vAlign w:val="center"/>
            <w:hideMark/>
          </w:tcPr>
          <w:p w14:paraId="0B6379C6"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494,460</w:t>
            </w:r>
          </w:p>
        </w:tc>
        <w:tc>
          <w:tcPr>
            <w:tcW w:w="1260" w:type="dxa"/>
            <w:tcBorders>
              <w:top w:val="nil"/>
              <w:left w:val="nil"/>
              <w:bottom w:val="single" w:sz="4" w:space="0" w:color="auto"/>
              <w:right w:val="single" w:sz="4" w:space="0" w:color="auto"/>
            </w:tcBorders>
            <w:shd w:val="clear" w:color="auto" w:fill="auto"/>
            <w:vAlign w:val="center"/>
            <w:hideMark/>
          </w:tcPr>
          <w:p w14:paraId="0243554F"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591,760</w:t>
            </w:r>
          </w:p>
        </w:tc>
        <w:tc>
          <w:tcPr>
            <w:tcW w:w="1080" w:type="dxa"/>
            <w:tcBorders>
              <w:top w:val="nil"/>
              <w:left w:val="nil"/>
              <w:bottom w:val="single" w:sz="4" w:space="0" w:color="auto"/>
              <w:right w:val="single" w:sz="4" w:space="0" w:color="auto"/>
            </w:tcBorders>
            <w:shd w:val="clear" w:color="auto" w:fill="auto"/>
            <w:vAlign w:val="center"/>
            <w:hideMark/>
          </w:tcPr>
          <w:p w14:paraId="6C2C69E6"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494,460</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7EE79138"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2,172,440</w:t>
            </w:r>
          </w:p>
        </w:tc>
      </w:tr>
      <w:tr w:rsidR="00B96F3F" w:rsidRPr="00EE7E38" w14:paraId="3BDA1583" w14:textId="77777777" w:rsidTr="00EE7E38">
        <w:trPr>
          <w:trHeight w:val="931"/>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43EA06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3.3</w:t>
            </w:r>
          </w:p>
        </w:tc>
        <w:tc>
          <w:tcPr>
            <w:tcW w:w="1861" w:type="dxa"/>
            <w:vMerge w:val="restart"/>
            <w:tcBorders>
              <w:top w:val="nil"/>
              <w:left w:val="single" w:sz="4" w:space="0" w:color="auto"/>
              <w:bottom w:val="single" w:sz="4" w:space="0" w:color="auto"/>
              <w:right w:val="single" w:sz="4" w:space="0" w:color="auto"/>
            </w:tcBorders>
            <w:shd w:val="clear" w:color="auto" w:fill="auto"/>
            <w:vAlign w:val="center"/>
            <w:hideMark/>
          </w:tcPr>
          <w:p w14:paraId="519C787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Advocacy, communication, social mobilization (ACSM) and civil society engagement for TB control</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7AC66064"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Number of implemented NGO projects (innovative approaches to improve treatment adherence – case finding, management and prevention in high risk populations)  </w:t>
            </w:r>
          </w:p>
        </w:tc>
        <w:tc>
          <w:tcPr>
            <w:tcW w:w="670" w:type="dxa"/>
            <w:gridSpan w:val="2"/>
            <w:tcBorders>
              <w:top w:val="nil"/>
              <w:left w:val="nil"/>
              <w:bottom w:val="single" w:sz="4" w:space="0" w:color="auto"/>
              <w:right w:val="single" w:sz="4" w:space="0" w:color="auto"/>
            </w:tcBorders>
            <w:shd w:val="clear" w:color="auto" w:fill="auto"/>
            <w:vAlign w:val="center"/>
            <w:hideMark/>
          </w:tcPr>
          <w:p w14:paraId="276CE38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7</w:t>
            </w:r>
          </w:p>
        </w:tc>
        <w:tc>
          <w:tcPr>
            <w:tcW w:w="859" w:type="dxa"/>
            <w:tcBorders>
              <w:top w:val="nil"/>
              <w:left w:val="nil"/>
              <w:bottom w:val="single" w:sz="4" w:space="0" w:color="auto"/>
              <w:right w:val="single" w:sz="4" w:space="0" w:color="auto"/>
            </w:tcBorders>
            <w:shd w:val="clear" w:color="auto" w:fill="auto"/>
            <w:vAlign w:val="center"/>
            <w:hideMark/>
          </w:tcPr>
          <w:p w14:paraId="1760730E"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7</w:t>
            </w:r>
          </w:p>
        </w:tc>
        <w:tc>
          <w:tcPr>
            <w:tcW w:w="859" w:type="dxa"/>
            <w:gridSpan w:val="2"/>
            <w:tcBorders>
              <w:top w:val="nil"/>
              <w:left w:val="nil"/>
              <w:bottom w:val="single" w:sz="4" w:space="0" w:color="auto"/>
              <w:right w:val="single" w:sz="4" w:space="0" w:color="auto"/>
            </w:tcBorders>
            <w:shd w:val="clear" w:color="auto" w:fill="auto"/>
            <w:vAlign w:val="center"/>
            <w:hideMark/>
          </w:tcPr>
          <w:p w14:paraId="6A2A937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7</w:t>
            </w:r>
          </w:p>
        </w:tc>
        <w:tc>
          <w:tcPr>
            <w:tcW w:w="859" w:type="dxa"/>
            <w:gridSpan w:val="2"/>
            <w:tcBorders>
              <w:top w:val="nil"/>
              <w:left w:val="nil"/>
              <w:bottom w:val="single" w:sz="4" w:space="0" w:color="auto"/>
              <w:right w:val="single" w:sz="4" w:space="0" w:color="auto"/>
            </w:tcBorders>
            <w:shd w:val="clear" w:color="auto" w:fill="auto"/>
            <w:vAlign w:val="center"/>
            <w:hideMark/>
          </w:tcPr>
          <w:p w14:paraId="7E68ED1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7</w:t>
            </w:r>
          </w:p>
        </w:tc>
        <w:tc>
          <w:tcPr>
            <w:tcW w:w="9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A5D4F0C"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NCDC</w:t>
            </w:r>
          </w:p>
        </w:tc>
        <w:tc>
          <w:tcPr>
            <w:tcW w:w="98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8AE4D3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1D4DFE5"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459,725</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7E9E0E68"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482,450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09BB128"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482,450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FE80B4C"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512,450</w:t>
            </w:r>
          </w:p>
        </w:tc>
        <w:tc>
          <w:tcPr>
            <w:tcW w:w="117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4062C30"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1,937,075</w:t>
            </w:r>
          </w:p>
        </w:tc>
      </w:tr>
      <w:tr w:rsidR="00B96F3F" w:rsidRPr="00EE7E38" w14:paraId="4BA435FA" w14:textId="77777777" w:rsidTr="00EE7E38">
        <w:trPr>
          <w:trHeight w:val="796"/>
        </w:trPr>
        <w:tc>
          <w:tcPr>
            <w:tcW w:w="660" w:type="dxa"/>
            <w:vMerge/>
            <w:tcBorders>
              <w:top w:val="nil"/>
              <w:left w:val="single" w:sz="4" w:space="0" w:color="auto"/>
              <w:bottom w:val="single" w:sz="4" w:space="0" w:color="auto"/>
              <w:right w:val="single" w:sz="4" w:space="0" w:color="auto"/>
            </w:tcBorders>
            <w:vAlign w:val="center"/>
            <w:hideMark/>
          </w:tcPr>
          <w:p w14:paraId="387827E5"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861" w:type="dxa"/>
            <w:vMerge/>
            <w:tcBorders>
              <w:top w:val="nil"/>
              <w:left w:val="single" w:sz="4" w:space="0" w:color="auto"/>
              <w:bottom w:val="single" w:sz="4" w:space="0" w:color="auto"/>
              <w:right w:val="single" w:sz="4" w:space="0" w:color="auto"/>
            </w:tcBorders>
            <w:vAlign w:val="center"/>
            <w:hideMark/>
          </w:tcPr>
          <w:p w14:paraId="749F45D8"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1D475E84"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Number of media representatives trained in TB education/communication and social mobilization</w:t>
            </w:r>
          </w:p>
        </w:tc>
        <w:tc>
          <w:tcPr>
            <w:tcW w:w="670" w:type="dxa"/>
            <w:gridSpan w:val="2"/>
            <w:tcBorders>
              <w:top w:val="nil"/>
              <w:left w:val="nil"/>
              <w:bottom w:val="single" w:sz="4" w:space="0" w:color="auto"/>
              <w:right w:val="single" w:sz="4" w:space="0" w:color="auto"/>
            </w:tcBorders>
            <w:shd w:val="clear" w:color="auto" w:fill="auto"/>
            <w:vAlign w:val="center"/>
            <w:hideMark/>
          </w:tcPr>
          <w:p w14:paraId="5601A8E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120</w:t>
            </w:r>
          </w:p>
        </w:tc>
        <w:tc>
          <w:tcPr>
            <w:tcW w:w="859" w:type="dxa"/>
            <w:tcBorders>
              <w:top w:val="nil"/>
              <w:left w:val="nil"/>
              <w:bottom w:val="single" w:sz="4" w:space="0" w:color="auto"/>
              <w:right w:val="single" w:sz="4" w:space="0" w:color="auto"/>
            </w:tcBorders>
            <w:shd w:val="clear" w:color="auto" w:fill="auto"/>
            <w:vAlign w:val="center"/>
            <w:hideMark/>
          </w:tcPr>
          <w:p w14:paraId="18BA3DB4"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120</w:t>
            </w:r>
          </w:p>
        </w:tc>
        <w:tc>
          <w:tcPr>
            <w:tcW w:w="859" w:type="dxa"/>
            <w:gridSpan w:val="2"/>
            <w:tcBorders>
              <w:top w:val="nil"/>
              <w:left w:val="nil"/>
              <w:bottom w:val="single" w:sz="4" w:space="0" w:color="auto"/>
              <w:right w:val="single" w:sz="4" w:space="0" w:color="auto"/>
            </w:tcBorders>
            <w:shd w:val="clear" w:color="auto" w:fill="auto"/>
            <w:vAlign w:val="center"/>
            <w:hideMark/>
          </w:tcPr>
          <w:p w14:paraId="3BDDDF4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120</w:t>
            </w:r>
          </w:p>
        </w:tc>
        <w:tc>
          <w:tcPr>
            <w:tcW w:w="859" w:type="dxa"/>
            <w:gridSpan w:val="2"/>
            <w:tcBorders>
              <w:top w:val="nil"/>
              <w:left w:val="nil"/>
              <w:bottom w:val="single" w:sz="4" w:space="0" w:color="auto"/>
              <w:right w:val="single" w:sz="4" w:space="0" w:color="auto"/>
            </w:tcBorders>
            <w:shd w:val="clear" w:color="auto" w:fill="auto"/>
            <w:vAlign w:val="center"/>
            <w:hideMark/>
          </w:tcPr>
          <w:p w14:paraId="49CCA70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120</w:t>
            </w:r>
          </w:p>
        </w:tc>
        <w:tc>
          <w:tcPr>
            <w:tcW w:w="915" w:type="dxa"/>
            <w:gridSpan w:val="2"/>
            <w:vMerge/>
            <w:tcBorders>
              <w:top w:val="nil"/>
              <w:left w:val="single" w:sz="4" w:space="0" w:color="auto"/>
              <w:bottom w:val="single" w:sz="4" w:space="0" w:color="auto"/>
              <w:right w:val="single" w:sz="4" w:space="0" w:color="auto"/>
            </w:tcBorders>
            <w:vAlign w:val="center"/>
            <w:hideMark/>
          </w:tcPr>
          <w:p w14:paraId="4B307C67"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988" w:type="dxa"/>
            <w:gridSpan w:val="2"/>
            <w:vMerge/>
            <w:tcBorders>
              <w:top w:val="nil"/>
              <w:left w:val="single" w:sz="4" w:space="0" w:color="auto"/>
              <w:bottom w:val="single" w:sz="4" w:space="0" w:color="auto"/>
              <w:right w:val="single" w:sz="4" w:space="0" w:color="auto"/>
            </w:tcBorders>
            <w:vAlign w:val="center"/>
            <w:hideMark/>
          </w:tcPr>
          <w:p w14:paraId="1E21527D"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7F663B6E"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002E9BE"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ACDDE63"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26D956EE"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c>
          <w:tcPr>
            <w:tcW w:w="117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7AE8AF91" w14:textId="77777777" w:rsidR="00C559C5" w:rsidRPr="00EE7E38" w:rsidRDefault="00C559C5" w:rsidP="00C559C5">
            <w:pPr>
              <w:spacing w:after="0" w:line="240" w:lineRule="auto"/>
              <w:rPr>
                <w:rFonts w:ascii="Times New Roman" w:eastAsia="Times New Roman" w:hAnsi="Times New Roman" w:cs="Times New Roman"/>
                <w:b/>
                <w:bCs/>
                <w:sz w:val="16"/>
                <w:szCs w:val="16"/>
              </w:rPr>
            </w:pPr>
          </w:p>
        </w:tc>
      </w:tr>
      <w:tr w:rsidR="00B96F3F" w:rsidRPr="00EE7E38" w14:paraId="0F30C55C" w14:textId="77777777" w:rsidTr="00EE7E38">
        <w:trPr>
          <w:trHeight w:val="3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5B78BAA"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3.4</w:t>
            </w:r>
          </w:p>
        </w:tc>
        <w:tc>
          <w:tcPr>
            <w:tcW w:w="1861" w:type="dxa"/>
            <w:tcBorders>
              <w:top w:val="nil"/>
              <w:left w:val="nil"/>
              <w:bottom w:val="single" w:sz="4" w:space="0" w:color="auto"/>
              <w:right w:val="single" w:sz="4" w:space="0" w:color="auto"/>
            </w:tcBorders>
            <w:shd w:val="clear" w:color="auto" w:fill="auto"/>
            <w:vAlign w:val="center"/>
            <w:hideMark/>
          </w:tcPr>
          <w:p w14:paraId="1D75DC6A"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Research on priority issues of TB control</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4D959876"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xml:space="preserve">Fundamental and </w:t>
            </w:r>
            <w:r w:rsidR="00B96F3F" w:rsidRPr="00EE7E38">
              <w:rPr>
                <w:rFonts w:ascii="Times New Roman" w:eastAsia="Times New Roman" w:hAnsi="Times New Roman" w:cs="Times New Roman"/>
                <w:color w:val="000000"/>
                <w:sz w:val="16"/>
                <w:szCs w:val="16"/>
              </w:rPr>
              <w:t>operations</w:t>
            </w:r>
            <w:r w:rsidRPr="00EE7E38">
              <w:rPr>
                <w:rFonts w:ascii="Times New Roman" w:eastAsia="Times New Roman" w:hAnsi="Times New Roman" w:cs="Times New Roman"/>
                <w:color w:val="000000"/>
                <w:sz w:val="16"/>
                <w:szCs w:val="16"/>
              </w:rPr>
              <w:t xml:space="preserve"> research reports available </w:t>
            </w:r>
          </w:p>
        </w:tc>
        <w:tc>
          <w:tcPr>
            <w:tcW w:w="670" w:type="dxa"/>
            <w:gridSpan w:val="2"/>
            <w:tcBorders>
              <w:top w:val="nil"/>
              <w:left w:val="nil"/>
              <w:bottom w:val="single" w:sz="4" w:space="0" w:color="auto"/>
              <w:right w:val="single" w:sz="4" w:space="0" w:color="auto"/>
            </w:tcBorders>
            <w:shd w:val="clear" w:color="auto" w:fill="auto"/>
            <w:vAlign w:val="center"/>
            <w:hideMark/>
          </w:tcPr>
          <w:p w14:paraId="7F06CB6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tcBorders>
              <w:top w:val="nil"/>
              <w:left w:val="nil"/>
              <w:bottom w:val="single" w:sz="4" w:space="0" w:color="auto"/>
              <w:right w:val="single" w:sz="4" w:space="0" w:color="auto"/>
            </w:tcBorders>
            <w:shd w:val="clear" w:color="auto" w:fill="auto"/>
            <w:vAlign w:val="center"/>
            <w:hideMark/>
          </w:tcPr>
          <w:p w14:paraId="42B6BEE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gridSpan w:val="2"/>
            <w:tcBorders>
              <w:top w:val="nil"/>
              <w:left w:val="nil"/>
              <w:bottom w:val="single" w:sz="4" w:space="0" w:color="auto"/>
              <w:right w:val="single" w:sz="4" w:space="0" w:color="auto"/>
            </w:tcBorders>
            <w:shd w:val="clear" w:color="auto" w:fill="auto"/>
            <w:vAlign w:val="center"/>
            <w:hideMark/>
          </w:tcPr>
          <w:p w14:paraId="77C7A26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859" w:type="dxa"/>
            <w:gridSpan w:val="2"/>
            <w:tcBorders>
              <w:top w:val="nil"/>
              <w:left w:val="nil"/>
              <w:bottom w:val="single" w:sz="4" w:space="0" w:color="auto"/>
              <w:right w:val="single" w:sz="4" w:space="0" w:color="auto"/>
            </w:tcBorders>
            <w:shd w:val="clear" w:color="auto" w:fill="auto"/>
            <w:vAlign w:val="center"/>
            <w:hideMark/>
          </w:tcPr>
          <w:p w14:paraId="40AF140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Yes</w:t>
            </w:r>
          </w:p>
        </w:tc>
        <w:tc>
          <w:tcPr>
            <w:tcW w:w="915" w:type="dxa"/>
            <w:gridSpan w:val="2"/>
            <w:tcBorders>
              <w:top w:val="nil"/>
              <w:left w:val="nil"/>
              <w:bottom w:val="single" w:sz="4" w:space="0" w:color="auto"/>
              <w:right w:val="single" w:sz="4" w:space="0" w:color="auto"/>
            </w:tcBorders>
            <w:shd w:val="clear" w:color="auto" w:fill="auto"/>
            <w:vAlign w:val="center"/>
            <w:hideMark/>
          </w:tcPr>
          <w:p w14:paraId="179F2D21"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NCTBLD</w:t>
            </w:r>
          </w:p>
        </w:tc>
        <w:tc>
          <w:tcPr>
            <w:tcW w:w="988" w:type="dxa"/>
            <w:gridSpan w:val="2"/>
            <w:tcBorders>
              <w:top w:val="nil"/>
              <w:left w:val="nil"/>
              <w:bottom w:val="single" w:sz="4" w:space="0" w:color="auto"/>
              <w:right w:val="single" w:sz="4" w:space="0" w:color="auto"/>
            </w:tcBorders>
            <w:shd w:val="clear" w:color="auto" w:fill="auto"/>
            <w:vAlign w:val="center"/>
            <w:hideMark/>
          </w:tcPr>
          <w:p w14:paraId="5092F865" w14:textId="77777777" w:rsidR="00C559C5" w:rsidRPr="00EE7E38" w:rsidRDefault="00C559C5" w:rsidP="00C559C5">
            <w:pPr>
              <w:spacing w:after="0" w:line="240" w:lineRule="auto"/>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NCDC</w:t>
            </w:r>
          </w:p>
        </w:tc>
        <w:tc>
          <w:tcPr>
            <w:tcW w:w="1260" w:type="dxa"/>
            <w:tcBorders>
              <w:top w:val="nil"/>
              <w:left w:val="nil"/>
              <w:bottom w:val="single" w:sz="4" w:space="0" w:color="auto"/>
              <w:right w:val="single" w:sz="4" w:space="0" w:color="auto"/>
            </w:tcBorders>
            <w:shd w:val="clear" w:color="auto" w:fill="auto"/>
            <w:vAlign w:val="center"/>
            <w:hideMark/>
          </w:tcPr>
          <w:p w14:paraId="31501761"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220,000</w:t>
            </w:r>
          </w:p>
        </w:tc>
        <w:tc>
          <w:tcPr>
            <w:tcW w:w="1170" w:type="dxa"/>
            <w:tcBorders>
              <w:top w:val="nil"/>
              <w:left w:val="nil"/>
              <w:bottom w:val="single" w:sz="4" w:space="0" w:color="auto"/>
              <w:right w:val="single" w:sz="4" w:space="0" w:color="auto"/>
            </w:tcBorders>
            <w:shd w:val="clear" w:color="auto" w:fill="auto"/>
            <w:vAlign w:val="center"/>
            <w:hideMark/>
          </w:tcPr>
          <w:p w14:paraId="689DB229"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220,000</w:t>
            </w:r>
          </w:p>
        </w:tc>
        <w:tc>
          <w:tcPr>
            <w:tcW w:w="1260" w:type="dxa"/>
            <w:tcBorders>
              <w:top w:val="nil"/>
              <w:left w:val="nil"/>
              <w:bottom w:val="single" w:sz="4" w:space="0" w:color="auto"/>
              <w:right w:val="single" w:sz="4" w:space="0" w:color="auto"/>
            </w:tcBorders>
            <w:shd w:val="clear" w:color="auto" w:fill="auto"/>
            <w:vAlign w:val="center"/>
            <w:hideMark/>
          </w:tcPr>
          <w:p w14:paraId="04C8CB81"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220,000</w:t>
            </w:r>
          </w:p>
        </w:tc>
        <w:tc>
          <w:tcPr>
            <w:tcW w:w="1080" w:type="dxa"/>
            <w:tcBorders>
              <w:top w:val="nil"/>
              <w:left w:val="nil"/>
              <w:bottom w:val="single" w:sz="4" w:space="0" w:color="auto"/>
              <w:right w:val="single" w:sz="4" w:space="0" w:color="auto"/>
            </w:tcBorders>
            <w:shd w:val="clear" w:color="auto" w:fill="auto"/>
            <w:vAlign w:val="center"/>
            <w:hideMark/>
          </w:tcPr>
          <w:p w14:paraId="2633C9F7"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220,000</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2BD7C1C1" w14:textId="77777777" w:rsidR="00C559C5" w:rsidRPr="00EE7E38" w:rsidRDefault="00C559C5" w:rsidP="00C559C5">
            <w:pPr>
              <w:spacing w:after="0" w:line="240" w:lineRule="auto"/>
              <w:jc w:val="right"/>
              <w:rPr>
                <w:rFonts w:ascii="Times New Roman" w:eastAsia="Times New Roman" w:hAnsi="Times New Roman" w:cs="Times New Roman"/>
                <w:b/>
                <w:bCs/>
                <w:sz w:val="16"/>
                <w:szCs w:val="16"/>
              </w:rPr>
            </w:pPr>
            <w:r w:rsidRPr="00EE7E38">
              <w:rPr>
                <w:rFonts w:ascii="Times New Roman" w:eastAsia="Times New Roman" w:hAnsi="Times New Roman" w:cs="Times New Roman"/>
                <w:b/>
                <w:bCs/>
                <w:sz w:val="16"/>
                <w:szCs w:val="16"/>
              </w:rPr>
              <w:t>880,000</w:t>
            </w:r>
          </w:p>
        </w:tc>
      </w:tr>
      <w:tr w:rsidR="00B96F3F" w:rsidRPr="00EE7E38" w14:paraId="10DCF0E0" w14:textId="77777777" w:rsidTr="00EE7E38">
        <w:trPr>
          <w:trHeight w:val="300"/>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5D100F65"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tc>
        <w:tc>
          <w:tcPr>
            <w:tcW w:w="1861" w:type="dxa"/>
            <w:tcBorders>
              <w:top w:val="nil"/>
              <w:left w:val="nil"/>
              <w:bottom w:val="single" w:sz="4" w:space="0" w:color="auto"/>
              <w:right w:val="single" w:sz="4" w:space="0" w:color="auto"/>
            </w:tcBorders>
            <w:shd w:val="clear" w:color="000000" w:fill="D9D9D9"/>
            <w:vAlign w:val="center"/>
            <w:hideMark/>
          </w:tcPr>
          <w:p w14:paraId="4C2B7FA4"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Su total</w:t>
            </w:r>
          </w:p>
        </w:tc>
        <w:tc>
          <w:tcPr>
            <w:tcW w:w="2424" w:type="dxa"/>
            <w:gridSpan w:val="2"/>
            <w:tcBorders>
              <w:top w:val="single" w:sz="4" w:space="0" w:color="auto"/>
              <w:left w:val="nil"/>
              <w:bottom w:val="single" w:sz="4" w:space="0" w:color="auto"/>
              <w:right w:val="single" w:sz="4" w:space="0" w:color="auto"/>
            </w:tcBorders>
            <w:shd w:val="clear" w:color="000000" w:fill="D9D9D9"/>
            <w:vAlign w:val="center"/>
            <w:hideMark/>
          </w:tcPr>
          <w:p w14:paraId="3BCC8A46"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670" w:type="dxa"/>
            <w:gridSpan w:val="2"/>
            <w:tcBorders>
              <w:top w:val="nil"/>
              <w:left w:val="nil"/>
              <w:bottom w:val="single" w:sz="4" w:space="0" w:color="auto"/>
              <w:right w:val="single" w:sz="4" w:space="0" w:color="auto"/>
            </w:tcBorders>
            <w:shd w:val="clear" w:color="000000" w:fill="D9D9D9"/>
            <w:vAlign w:val="center"/>
            <w:hideMark/>
          </w:tcPr>
          <w:p w14:paraId="30E17526"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tcBorders>
              <w:top w:val="nil"/>
              <w:left w:val="nil"/>
              <w:bottom w:val="single" w:sz="4" w:space="0" w:color="auto"/>
              <w:right w:val="single" w:sz="4" w:space="0" w:color="auto"/>
            </w:tcBorders>
            <w:shd w:val="clear" w:color="000000" w:fill="D9D9D9"/>
            <w:vAlign w:val="center"/>
            <w:hideMark/>
          </w:tcPr>
          <w:p w14:paraId="545804DA"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D9D9D9"/>
            <w:vAlign w:val="center"/>
            <w:hideMark/>
          </w:tcPr>
          <w:p w14:paraId="4FBEF510"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D9D9D9"/>
            <w:vAlign w:val="center"/>
            <w:hideMark/>
          </w:tcPr>
          <w:p w14:paraId="6BCC46C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915" w:type="dxa"/>
            <w:gridSpan w:val="2"/>
            <w:tcBorders>
              <w:top w:val="nil"/>
              <w:left w:val="nil"/>
              <w:bottom w:val="single" w:sz="4" w:space="0" w:color="auto"/>
              <w:right w:val="single" w:sz="4" w:space="0" w:color="auto"/>
            </w:tcBorders>
            <w:shd w:val="clear" w:color="000000" w:fill="D9D9D9"/>
            <w:vAlign w:val="center"/>
            <w:hideMark/>
          </w:tcPr>
          <w:p w14:paraId="16C4CDBD"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tc>
        <w:tc>
          <w:tcPr>
            <w:tcW w:w="988" w:type="dxa"/>
            <w:gridSpan w:val="2"/>
            <w:tcBorders>
              <w:top w:val="nil"/>
              <w:left w:val="nil"/>
              <w:bottom w:val="single" w:sz="4" w:space="0" w:color="auto"/>
              <w:right w:val="single" w:sz="4" w:space="0" w:color="auto"/>
            </w:tcBorders>
            <w:shd w:val="clear" w:color="000000" w:fill="D9D9D9"/>
            <w:vAlign w:val="center"/>
            <w:hideMark/>
          </w:tcPr>
          <w:p w14:paraId="17158608"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tc>
        <w:tc>
          <w:tcPr>
            <w:tcW w:w="1260" w:type="dxa"/>
            <w:tcBorders>
              <w:top w:val="nil"/>
              <w:left w:val="nil"/>
              <w:bottom w:val="single" w:sz="4" w:space="0" w:color="auto"/>
              <w:right w:val="single" w:sz="4" w:space="0" w:color="auto"/>
            </w:tcBorders>
            <w:shd w:val="clear" w:color="000000" w:fill="D9D9D9"/>
            <w:vAlign w:val="center"/>
            <w:hideMark/>
          </w:tcPr>
          <w:p w14:paraId="2FC3A77D"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12,946,262</w:t>
            </w:r>
          </w:p>
        </w:tc>
        <w:tc>
          <w:tcPr>
            <w:tcW w:w="1170" w:type="dxa"/>
            <w:tcBorders>
              <w:top w:val="nil"/>
              <w:left w:val="nil"/>
              <w:bottom w:val="single" w:sz="4" w:space="0" w:color="auto"/>
              <w:right w:val="single" w:sz="4" w:space="0" w:color="auto"/>
            </w:tcBorders>
            <w:shd w:val="clear" w:color="000000" w:fill="D9D9D9"/>
            <w:vAlign w:val="center"/>
            <w:hideMark/>
          </w:tcPr>
          <w:p w14:paraId="7FFD444B"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12,514,541</w:t>
            </w:r>
          </w:p>
        </w:tc>
        <w:tc>
          <w:tcPr>
            <w:tcW w:w="1260" w:type="dxa"/>
            <w:tcBorders>
              <w:top w:val="nil"/>
              <w:left w:val="nil"/>
              <w:bottom w:val="single" w:sz="4" w:space="0" w:color="auto"/>
              <w:right w:val="single" w:sz="4" w:space="0" w:color="auto"/>
            </w:tcBorders>
            <w:shd w:val="clear" w:color="000000" w:fill="D9D9D9"/>
            <w:vAlign w:val="center"/>
            <w:hideMark/>
          </w:tcPr>
          <w:p w14:paraId="3231E1F0"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12,855,684</w:t>
            </w:r>
          </w:p>
        </w:tc>
        <w:tc>
          <w:tcPr>
            <w:tcW w:w="1080" w:type="dxa"/>
            <w:tcBorders>
              <w:top w:val="nil"/>
              <w:left w:val="nil"/>
              <w:bottom w:val="single" w:sz="4" w:space="0" w:color="auto"/>
              <w:right w:val="single" w:sz="4" w:space="0" w:color="auto"/>
            </w:tcBorders>
            <w:shd w:val="clear" w:color="000000" w:fill="D9D9D9"/>
            <w:vAlign w:val="center"/>
            <w:hideMark/>
          </w:tcPr>
          <w:p w14:paraId="3EB59538"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12,775,682</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572A67CC"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51,092,168</w:t>
            </w:r>
          </w:p>
        </w:tc>
      </w:tr>
      <w:tr w:rsidR="00B96F3F" w:rsidRPr="00EE7E38" w14:paraId="4532246D" w14:textId="77777777" w:rsidTr="00EE7E38">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118D35"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4</w:t>
            </w:r>
          </w:p>
        </w:tc>
        <w:tc>
          <w:tcPr>
            <w:tcW w:w="1861" w:type="dxa"/>
            <w:tcBorders>
              <w:top w:val="nil"/>
              <w:left w:val="nil"/>
              <w:bottom w:val="single" w:sz="4" w:space="0" w:color="auto"/>
              <w:right w:val="single" w:sz="4" w:space="0" w:color="auto"/>
            </w:tcBorders>
            <w:shd w:val="clear" w:color="auto" w:fill="auto"/>
            <w:vAlign w:val="center"/>
            <w:hideMark/>
          </w:tcPr>
          <w:p w14:paraId="4762D6D6"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Annual cost increase adjustment</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35D8AC81"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670" w:type="dxa"/>
            <w:gridSpan w:val="2"/>
            <w:tcBorders>
              <w:top w:val="nil"/>
              <w:left w:val="nil"/>
              <w:bottom w:val="single" w:sz="4" w:space="0" w:color="auto"/>
              <w:right w:val="single" w:sz="4" w:space="0" w:color="auto"/>
            </w:tcBorders>
            <w:shd w:val="clear" w:color="auto" w:fill="auto"/>
            <w:vAlign w:val="center"/>
            <w:hideMark/>
          </w:tcPr>
          <w:p w14:paraId="545EA5C2"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tcBorders>
              <w:top w:val="nil"/>
              <w:left w:val="nil"/>
              <w:bottom w:val="single" w:sz="4" w:space="0" w:color="auto"/>
              <w:right w:val="single" w:sz="4" w:space="0" w:color="auto"/>
            </w:tcBorders>
            <w:shd w:val="clear" w:color="auto" w:fill="auto"/>
            <w:vAlign w:val="center"/>
            <w:hideMark/>
          </w:tcPr>
          <w:p w14:paraId="4E09D599"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auto" w:fill="auto"/>
            <w:vAlign w:val="center"/>
            <w:hideMark/>
          </w:tcPr>
          <w:p w14:paraId="6A542B6A"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auto" w:fill="auto"/>
            <w:vAlign w:val="center"/>
            <w:hideMark/>
          </w:tcPr>
          <w:p w14:paraId="3A1283B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915" w:type="dxa"/>
            <w:gridSpan w:val="2"/>
            <w:tcBorders>
              <w:top w:val="nil"/>
              <w:left w:val="nil"/>
              <w:bottom w:val="single" w:sz="4" w:space="0" w:color="auto"/>
              <w:right w:val="single" w:sz="4" w:space="0" w:color="auto"/>
            </w:tcBorders>
            <w:shd w:val="clear" w:color="auto" w:fill="auto"/>
            <w:vAlign w:val="center"/>
            <w:hideMark/>
          </w:tcPr>
          <w:p w14:paraId="7354914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988" w:type="dxa"/>
            <w:gridSpan w:val="2"/>
            <w:tcBorders>
              <w:top w:val="nil"/>
              <w:left w:val="nil"/>
              <w:bottom w:val="single" w:sz="4" w:space="0" w:color="auto"/>
              <w:right w:val="single" w:sz="4" w:space="0" w:color="auto"/>
            </w:tcBorders>
            <w:shd w:val="clear" w:color="auto" w:fill="auto"/>
            <w:vAlign w:val="center"/>
            <w:hideMark/>
          </w:tcPr>
          <w:p w14:paraId="0E56EDD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14:paraId="37EE69A1"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647,313</w:t>
            </w:r>
          </w:p>
        </w:tc>
        <w:tc>
          <w:tcPr>
            <w:tcW w:w="1170" w:type="dxa"/>
            <w:tcBorders>
              <w:top w:val="nil"/>
              <w:left w:val="nil"/>
              <w:bottom w:val="single" w:sz="4" w:space="0" w:color="auto"/>
              <w:right w:val="single" w:sz="4" w:space="0" w:color="auto"/>
            </w:tcBorders>
            <w:shd w:val="clear" w:color="auto" w:fill="auto"/>
            <w:vAlign w:val="center"/>
            <w:hideMark/>
          </w:tcPr>
          <w:p w14:paraId="5057253F"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625,727</w:t>
            </w:r>
          </w:p>
        </w:tc>
        <w:tc>
          <w:tcPr>
            <w:tcW w:w="1260" w:type="dxa"/>
            <w:tcBorders>
              <w:top w:val="nil"/>
              <w:left w:val="nil"/>
              <w:bottom w:val="single" w:sz="4" w:space="0" w:color="auto"/>
              <w:right w:val="single" w:sz="4" w:space="0" w:color="auto"/>
            </w:tcBorders>
            <w:shd w:val="clear" w:color="auto" w:fill="auto"/>
            <w:vAlign w:val="center"/>
            <w:hideMark/>
          </w:tcPr>
          <w:p w14:paraId="3A3CC0F9"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642,784</w:t>
            </w:r>
          </w:p>
        </w:tc>
        <w:tc>
          <w:tcPr>
            <w:tcW w:w="1080" w:type="dxa"/>
            <w:tcBorders>
              <w:top w:val="nil"/>
              <w:left w:val="nil"/>
              <w:bottom w:val="single" w:sz="4" w:space="0" w:color="auto"/>
              <w:right w:val="single" w:sz="4" w:space="0" w:color="auto"/>
            </w:tcBorders>
            <w:shd w:val="clear" w:color="auto" w:fill="auto"/>
            <w:vAlign w:val="center"/>
            <w:hideMark/>
          </w:tcPr>
          <w:p w14:paraId="47C3D730"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638,784</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3F233842"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2,554,608</w:t>
            </w:r>
          </w:p>
        </w:tc>
      </w:tr>
      <w:tr w:rsidR="00B96F3F" w:rsidRPr="00EE7E38" w14:paraId="5623142D" w14:textId="77777777" w:rsidTr="00EE7E38">
        <w:trPr>
          <w:trHeight w:val="193"/>
        </w:trPr>
        <w:tc>
          <w:tcPr>
            <w:tcW w:w="660" w:type="dxa"/>
            <w:tcBorders>
              <w:top w:val="nil"/>
              <w:left w:val="single" w:sz="4" w:space="0" w:color="auto"/>
              <w:bottom w:val="single" w:sz="4" w:space="0" w:color="auto"/>
              <w:right w:val="single" w:sz="4" w:space="0" w:color="auto"/>
            </w:tcBorders>
            <w:shd w:val="clear" w:color="000000" w:fill="C6D9F1"/>
            <w:vAlign w:val="center"/>
            <w:hideMark/>
          </w:tcPr>
          <w:p w14:paraId="2FAC4B61"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tc>
        <w:tc>
          <w:tcPr>
            <w:tcW w:w="1861" w:type="dxa"/>
            <w:tcBorders>
              <w:top w:val="nil"/>
              <w:left w:val="nil"/>
              <w:bottom w:val="single" w:sz="4" w:space="0" w:color="auto"/>
              <w:right w:val="single" w:sz="4" w:space="0" w:color="auto"/>
            </w:tcBorders>
            <w:shd w:val="clear" w:color="000000" w:fill="C6D9F1"/>
            <w:vAlign w:val="center"/>
            <w:hideMark/>
          </w:tcPr>
          <w:p w14:paraId="7FD4A3A6"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Total</w:t>
            </w:r>
          </w:p>
        </w:tc>
        <w:tc>
          <w:tcPr>
            <w:tcW w:w="2424" w:type="dxa"/>
            <w:gridSpan w:val="2"/>
            <w:tcBorders>
              <w:top w:val="single" w:sz="4" w:space="0" w:color="auto"/>
              <w:left w:val="nil"/>
              <w:bottom w:val="single" w:sz="4" w:space="0" w:color="auto"/>
              <w:right w:val="single" w:sz="4" w:space="0" w:color="auto"/>
            </w:tcBorders>
            <w:shd w:val="clear" w:color="000000" w:fill="C6D9F1"/>
            <w:vAlign w:val="center"/>
            <w:hideMark/>
          </w:tcPr>
          <w:p w14:paraId="1B970839" w14:textId="77777777" w:rsidR="00C559C5" w:rsidRPr="00EE7E38" w:rsidRDefault="00C559C5" w:rsidP="00C559C5">
            <w:pPr>
              <w:spacing w:after="0" w:line="240" w:lineRule="auto"/>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670" w:type="dxa"/>
            <w:gridSpan w:val="2"/>
            <w:tcBorders>
              <w:top w:val="nil"/>
              <w:left w:val="nil"/>
              <w:bottom w:val="single" w:sz="4" w:space="0" w:color="auto"/>
              <w:right w:val="single" w:sz="4" w:space="0" w:color="auto"/>
            </w:tcBorders>
            <w:shd w:val="clear" w:color="000000" w:fill="C6D9F1"/>
            <w:vAlign w:val="center"/>
            <w:hideMark/>
          </w:tcPr>
          <w:p w14:paraId="0C23425C"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tcBorders>
              <w:top w:val="nil"/>
              <w:left w:val="nil"/>
              <w:bottom w:val="single" w:sz="4" w:space="0" w:color="auto"/>
              <w:right w:val="single" w:sz="4" w:space="0" w:color="auto"/>
            </w:tcBorders>
            <w:shd w:val="clear" w:color="000000" w:fill="C6D9F1"/>
            <w:vAlign w:val="center"/>
            <w:hideMark/>
          </w:tcPr>
          <w:p w14:paraId="3FB57A1F"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C6D9F1"/>
            <w:vAlign w:val="center"/>
            <w:hideMark/>
          </w:tcPr>
          <w:p w14:paraId="301AC1AB"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C6D9F1"/>
            <w:vAlign w:val="center"/>
            <w:hideMark/>
          </w:tcPr>
          <w:p w14:paraId="0D847EC3" w14:textId="77777777" w:rsidR="00C559C5" w:rsidRPr="00EE7E38" w:rsidRDefault="00C559C5" w:rsidP="00C559C5">
            <w:pPr>
              <w:spacing w:after="0" w:line="240" w:lineRule="auto"/>
              <w:jc w:val="center"/>
              <w:rPr>
                <w:rFonts w:ascii="Times New Roman" w:eastAsia="Times New Roman" w:hAnsi="Times New Roman" w:cs="Times New Roman"/>
                <w:color w:val="000000"/>
                <w:sz w:val="16"/>
                <w:szCs w:val="16"/>
              </w:rPr>
            </w:pPr>
            <w:r w:rsidRPr="00EE7E38">
              <w:rPr>
                <w:rFonts w:ascii="Times New Roman" w:eastAsia="Times New Roman" w:hAnsi="Times New Roman" w:cs="Times New Roman"/>
                <w:color w:val="000000"/>
                <w:sz w:val="16"/>
                <w:szCs w:val="16"/>
              </w:rPr>
              <w:t> </w:t>
            </w:r>
          </w:p>
        </w:tc>
        <w:tc>
          <w:tcPr>
            <w:tcW w:w="915" w:type="dxa"/>
            <w:gridSpan w:val="2"/>
            <w:tcBorders>
              <w:top w:val="nil"/>
              <w:left w:val="nil"/>
              <w:bottom w:val="single" w:sz="4" w:space="0" w:color="auto"/>
              <w:right w:val="single" w:sz="4" w:space="0" w:color="auto"/>
            </w:tcBorders>
            <w:shd w:val="clear" w:color="000000" w:fill="C6D9F1"/>
            <w:vAlign w:val="center"/>
            <w:hideMark/>
          </w:tcPr>
          <w:p w14:paraId="2EFFB6D0"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tc>
        <w:tc>
          <w:tcPr>
            <w:tcW w:w="988" w:type="dxa"/>
            <w:gridSpan w:val="2"/>
            <w:tcBorders>
              <w:top w:val="nil"/>
              <w:left w:val="nil"/>
              <w:bottom w:val="single" w:sz="4" w:space="0" w:color="auto"/>
              <w:right w:val="single" w:sz="4" w:space="0" w:color="auto"/>
            </w:tcBorders>
            <w:shd w:val="clear" w:color="000000" w:fill="C6D9F1"/>
            <w:vAlign w:val="center"/>
            <w:hideMark/>
          </w:tcPr>
          <w:p w14:paraId="23151757" w14:textId="77777777" w:rsidR="00C559C5" w:rsidRPr="00EE7E38" w:rsidRDefault="00C559C5" w:rsidP="00C559C5">
            <w:pPr>
              <w:spacing w:after="0" w:line="240" w:lineRule="auto"/>
              <w:jc w:val="center"/>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 </w:t>
            </w:r>
          </w:p>
        </w:tc>
        <w:tc>
          <w:tcPr>
            <w:tcW w:w="1260" w:type="dxa"/>
            <w:tcBorders>
              <w:top w:val="nil"/>
              <w:left w:val="nil"/>
              <w:bottom w:val="single" w:sz="4" w:space="0" w:color="auto"/>
              <w:right w:val="single" w:sz="4" w:space="0" w:color="auto"/>
            </w:tcBorders>
            <w:shd w:val="clear" w:color="000000" w:fill="C6D9F1"/>
            <w:vAlign w:val="center"/>
            <w:hideMark/>
          </w:tcPr>
          <w:p w14:paraId="7B2D2CE8"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13,593,575</w:t>
            </w:r>
          </w:p>
        </w:tc>
        <w:tc>
          <w:tcPr>
            <w:tcW w:w="1170" w:type="dxa"/>
            <w:tcBorders>
              <w:top w:val="nil"/>
              <w:left w:val="nil"/>
              <w:bottom w:val="single" w:sz="4" w:space="0" w:color="auto"/>
              <w:right w:val="single" w:sz="4" w:space="0" w:color="auto"/>
            </w:tcBorders>
            <w:shd w:val="clear" w:color="000000" w:fill="C6D9F1"/>
            <w:vAlign w:val="center"/>
            <w:hideMark/>
          </w:tcPr>
          <w:p w14:paraId="0F20CB5A"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13,140,268</w:t>
            </w:r>
          </w:p>
        </w:tc>
        <w:tc>
          <w:tcPr>
            <w:tcW w:w="1260" w:type="dxa"/>
            <w:tcBorders>
              <w:top w:val="nil"/>
              <w:left w:val="nil"/>
              <w:bottom w:val="single" w:sz="4" w:space="0" w:color="auto"/>
              <w:right w:val="single" w:sz="4" w:space="0" w:color="auto"/>
            </w:tcBorders>
            <w:shd w:val="clear" w:color="000000" w:fill="C6D9F1"/>
            <w:vAlign w:val="center"/>
            <w:hideMark/>
          </w:tcPr>
          <w:p w14:paraId="7825F3F7"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13,498,468</w:t>
            </w:r>
          </w:p>
        </w:tc>
        <w:tc>
          <w:tcPr>
            <w:tcW w:w="1080" w:type="dxa"/>
            <w:tcBorders>
              <w:top w:val="nil"/>
              <w:left w:val="nil"/>
              <w:bottom w:val="single" w:sz="4" w:space="0" w:color="auto"/>
              <w:right w:val="single" w:sz="4" w:space="0" w:color="auto"/>
            </w:tcBorders>
            <w:shd w:val="clear" w:color="000000" w:fill="C6D9F1"/>
            <w:vAlign w:val="center"/>
            <w:hideMark/>
          </w:tcPr>
          <w:p w14:paraId="630D3461"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13,414,466</w:t>
            </w:r>
          </w:p>
        </w:tc>
        <w:tc>
          <w:tcPr>
            <w:tcW w:w="1170" w:type="dxa"/>
            <w:tcBorders>
              <w:top w:val="nil"/>
              <w:left w:val="nil"/>
              <w:bottom w:val="single" w:sz="4" w:space="0" w:color="auto"/>
              <w:right w:val="single" w:sz="4" w:space="0" w:color="auto"/>
            </w:tcBorders>
            <w:shd w:val="clear" w:color="auto" w:fill="F2DBDB" w:themeFill="accent2" w:themeFillTint="33"/>
            <w:vAlign w:val="center"/>
            <w:hideMark/>
          </w:tcPr>
          <w:p w14:paraId="0C9F4B94" w14:textId="77777777" w:rsidR="00C559C5" w:rsidRPr="00EE7E38" w:rsidRDefault="00C559C5" w:rsidP="00C559C5">
            <w:pPr>
              <w:spacing w:after="0" w:line="240" w:lineRule="auto"/>
              <w:jc w:val="right"/>
              <w:rPr>
                <w:rFonts w:ascii="Times New Roman" w:eastAsia="Times New Roman" w:hAnsi="Times New Roman" w:cs="Times New Roman"/>
                <w:b/>
                <w:bCs/>
                <w:color w:val="000000"/>
                <w:sz w:val="16"/>
                <w:szCs w:val="16"/>
              </w:rPr>
            </w:pPr>
            <w:r w:rsidRPr="00EE7E38">
              <w:rPr>
                <w:rFonts w:ascii="Times New Roman" w:eastAsia="Times New Roman" w:hAnsi="Times New Roman" w:cs="Times New Roman"/>
                <w:b/>
                <w:bCs/>
                <w:color w:val="000000"/>
                <w:sz w:val="16"/>
                <w:szCs w:val="16"/>
              </w:rPr>
              <w:t>53,646,777</w:t>
            </w:r>
          </w:p>
        </w:tc>
      </w:tr>
    </w:tbl>
    <w:p w14:paraId="1AC9F105" w14:textId="77777777" w:rsidR="0048229B" w:rsidRPr="00EE7E38" w:rsidRDefault="0048229B" w:rsidP="00B96F3F">
      <w:pPr>
        <w:widowControl w:val="0"/>
        <w:spacing w:after="0" w:line="240" w:lineRule="auto"/>
        <w:rPr>
          <w:rFonts w:ascii="Times New Roman" w:hAnsi="Times New Roman" w:cs="Times New Roman"/>
          <w:sz w:val="24"/>
          <w:szCs w:val="24"/>
        </w:rPr>
      </w:pPr>
    </w:p>
    <w:sectPr w:rsidR="0048229B" w:rsidRPr="00EE7E38" w:rsidSect="00B96F3F">
      <w:pgSz w:w="16840" w:h="11907" w:orient="landscape" w:code="9"/>
      <w:pgMar w:top="1138" w:right="1138" w:bottom="1138" w:left="113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5B57BA" w15:done="0"/>
  <w15:commentEx w15:paraId="5A3E4E46" w15:done="0"/>
  <w15:commentEx w15:paraId="7EC7E5D9" w15:done="0"/>
  <w15:commentEx w15:paraId="01EF8705" w15:done="0"/>
  <w15:commentEx w15:paraId="275DA600" w15:done="0"/>
  <w15:commentEx w15:paraId="489E16B0" w15:done="0"/>
  <w15:commentEx w15:paraId="1C465F0D" w15:done="0"/>
  <w15:commentEx w15:paraId="2D39C324" w15:done="0"/>
  <w15:commentEx w15:paraId="3745D9B0" w15:done="0"/>
  <w15:commentEx w15:paraId="2730B820" w15:done="0"/>
  <w15:commentEx w15:paraId="72450789" w15:done="0"/>
  <w15:commentEx w15:paraId="77D3B2C7" w15:done="0"/>
  <w15:commentEx w15:paraId="2782B70F" w15:done="0"/>
  <w15:commentEx w15:paraId="3AA25245" w15:done="0"/>
  <w15:commentEx w15:paraId="5A87B4A6" w15:done="0"/>
  <w15:commentEx w15:paraId="358E9E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5B57BA" w16cid:durableId="1ED8A4C8"/>
  <w16cid:commentId w16cid:paraId="5A3E4E46" w16cid:durableId="1ED8A4E6"/>
  <w16cid:commentId w16cid:paraId="7EC7E5D9" w16cid:durableId="1ED8A511"/>
  <w16cid:commentId w16cid:paraId="01EF8705" w16cid:durableId="1ED8A527"/>
  <w16cid:commentId w16cid:paraId="275DA600" w16cid:durableId="1ED8A3F6"/>
  <w16cid:commentId w16cid:paraId="489E16B0" w16cid:durableId="1ED8A3F7"/>
  <w16cid:commentId w16cid:paraId="1C465F0D" w16cid:durableId="1ED8A3F8"/>
  <w16cid:commentId w16cid:paraId="2D39C324" w16cid:durableId="1ED8A3F9"/>
  <w16cid:commentId w16cid:paraId="3745D9B0" w16cid:durableId="1ED8A3FA"/>
  <w16cid:commentId w16cid:paraId="2730B820" w16cid:durableId="1ED8A3FB"/>
  <w16cid:commentId w16cid:paraId="72450789" w16cid:durableId="1ED8A3FC"/>
  <w16cid:commentId w16cid:paraId="77D3B2C7" w16cid:durableId="1ED8A3FD"/>
  <w16cid:commentId w16cid:paraId="2782B70F" w16cid:durableId="1ED8A3FE"/>
  <w16cid:commentId w16cid:paraId="3AA25245" w16cid:durableId="1ED8A3FF"/>
  <w16cid:commentId w16cid:paraId="5A87B4A6" w16cid:durableId="1ED8A400"/>
  <w16cid:commentId w16cid:paraId="358E9EE9" w16cid:durableId="1ED8A4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31E2" w14:textId="77777777" w:rsidR="00FE34D5" w:rsidRDefault="00FE34D5" w:rsidP="0071773E">
      <w:pPr>
        <w:spacing w:after="0" w:line="240" w:lineRule="auto"/>
      </w:pPr>
      <w:r>
        <w:separator/>
      </w:r>
    </w:p>
  </w:endnote>
  <w:endnote w:type="continuationSeparator" w:id="0">
    <w:p w14:paraId="5B895B85" w14:textId="77777777" w:rsidR="00FE34D5" w:rsidRDefault="00FE34D5" w:rsidP="0071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81326"/>
      <w:docPartObj>
        <w:docPartGallery w:val="Page Numbers (Bottom of Page)"/>
        <w:docPartUnique/>
      </w:docPartObj>
    </w:sdtPr>
    <w:sdtEndPr>
      <w:rPr>
        <w:noProof/>
        <w:sz w:val="20"/>
        <w:szCs w:val="20"/>
      </w:rPr>
    </w:sdtEndPr>
    <w:sdtContent>
      <w:p w14:paraId="6E20A00E" w14:textId="161A07AE" w:rsidR="0075056C" w:rsidRPr="004732E0" w:rsidRDefault="0075056C" w:rsidP="008F4B4F">
        <w:pPr>
          <w:spacing w:after="0" w:line="240" w:lineRule="auto"/>
          <w:jc w:val="right"/>
          <w:rPr>
            <w:sz w:val="20"/>
            <w:szCs w:val="20"/>
          </w:rPr>
        </w:pPr>
        <w:r w:rsidRPr="004732E0">
          <w:rPr>
            <w:sz w:val="20"/>
            <w:szCs w:val="20"/>
          </w:rPr>
          <w:fldChar w:fldCharType="begin"/>
        </w:r>
        <w:r w:rsidRPr="004732E0">
          <w:rPr>
            <w:sz w:val="20"/>
            <w:szCs w:val="20"/>
          </w:rPr>
          <w:instrText xml:space="preserve"> PAGE   \* MERGEFORMAT </w:instrText>
        </w:r>
        <w:r w:rsidRPr="004732E0">
          <w:rPr>
            <w:sz w:val="20"/>
            <w:szCs w:val="20"/>
          </w:rPr>
          <w:fldChar w:fldCharType="separate"/>
        </w:r>
        <w:r w:rsidR="0092241E">
          <w:rPr>
            <w:noProof/>
            <w:sz w:val="20"/>
            <w:szCs w:val="20"/>
          </w:rPr>
          <w:t>52</w:t>
        </w:r>
        <w:r w:rsidRPr="004732E0">
          <w:rPr>
            <w:noProof/>
            <w:sz w:val="20"/>
            <w:szCs w:val="20"/>
          </w:rPr>
          <w:fldChar w:fldCharType="end"/>
        </w:r>
      </w:p>
    </w:sdtContent>
  </w:sdt>
  <w:p w14:paraId="74A92FD8" w14:textId="77777777" w:rsidR="0075056C" w:rsidRDefault="007505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DCAC" w14:textId="77777777" w:rsidR="00FE34D5" w:rsidRDefault="00FE34D5" w:rsidP="0071773E">
      <w:pPr>
        <w:spacing w:after="0" w:line="240" w:lineRule="auto"/>
      </w:pPr>
      <w:r>
        <w:separator/>
      </w:r>
    </w:p>
  </w:footnote>
  <w:footnote w:type="continuationSeparator" w:id="0">
    <w:p w14:paraId="7AE23063" w14:textId="77777777" w:rsidR="00FE34D5" w:rsidRDefault="00FE34D5" w:rsidP="0071773E">
      <w:pPr>
        <w:spacing w:after="0" w:line="240" w:lineRule="auto"/>
      </w:pPr>
      <w:r>
        <w:continuationSeparator/>
      </w:r>
    </w:p>
  </w:footnote>
  <w:footnote w:id="1">
    <w:p w14:paraId="50F4FA42" w14:textId="77777777" w:rsidR="0075056C" w:rsidRPr="007D6058" w:rsidRDefault="0075056C">
      <w:pPr>
        <w:pStyle w:val="FootnoteText"/>
        <w:rPr>
          <w:lang w:val="en-US"/>
        </w:rPr>
      </w:pPr>
      <w:r w:rsidRPr="007D6058">
        <w:rPr>
          <w:rStyle w:val="FootnoteReference"/>
          <w:vertAlign w:val="baseline"/>
        </w:rPr>
        <w:footnoteRef/>
      </w:r>
      <w:r w:rsidRPr="007D6058">
        <w:rPr>
          <w:lang w:val="en-US"/>
        </w:rPr>
        <w:t xml:space="preserve"> CCM </w:t>
      </w:r>
      <w:r w:rsidRPr="007D6058">
        <w:rPr>
          <w:rFonts w:ascii="Sylfaen" w:hAnsi="Sylfaen"/>
          <w:lang w:val="en-US"/>
        </w:rPr>
        <w:t>ordinance</w:t>
      </w:r>
      <w:r w:rsidRPr="007D6058">
        <w:rPr>
          <w:lang w:val="en-US"/>
        </w:rPr>
        <w:t xml:space="preserve"> is adopted by #220 decree of Georgian Government from June 18, 2012</w:t>
      </w:r>
    </w:p>
  </w:footnote>
  <w:footnote w:id="2">
    <w:p w14:paraId="613193B6" w14:textId="77777777" w:rsidR="0075056C" w:rsidRPr="00517F21" w:rsidRDefault="0075056C" w:rsidP="00B25B2A">
      <w:pPr>
        <w:pStyle w:val="FootnoteText"/>
        <w:rPr>
          <w:rFonts w:ascii="Times New Roman" w:hAnsi="Times New Roman" w:cs="Times New Roman"/>
          <w:sz w:val="16"/>
          <w:lang w:val="en-US"/>
        </w:rPr>
      </w:pPr>
      <w:r w:rsidRPr="00517F21">
        <w:rPr>
          <w:rStyle w:val="FootnoteReference"/>
          <w:rFonts w:ascii="Times New Roman" w:hAnsi="Times New Roman" w:cs="Times New Roman"/>
          <w:sz w:val="16"/>
          <w:vertAlign w:val="baseline"/>
        </w:rPr>
        <w:footnoteRef/>
      </w:r>
      <w:r>
        <w:rPr>
          <w:rFonts w:ascii="Times New Roman" w:hAnsi="Times New Roman" w:cs="Times New Roman"/>
          <w:sz w:val="16"/>
          <w:lang w:val="en-US"/>
        </w:rPr>
        <w:t>.</w:t>
      </w:r>
      <w:r w:rsidRPr="00517F21">
        <w:rPr>
          <w:rFonts w:ascii="Times New Roman" w:hAnsi="Times New Roman" w:cs="Times New Roman"/>
          <w:sz w:val="16"/>
          <w:lang w:val="en-US"/>
        </w:rPr>
        <w:t xml:space="preserve"> </w:t>
      </w:r>
      <w:r w:rsidRPr="00517F21">
        <w:rPr>
          <w:rFonts w:ascii="Times New Roman" w:hAnsi="Times New Roman" w:cs="Times New Roman"/>
          <w:sz w:val="16"/>
          <w:lang w:val="ka-GE"/>
        </w:rPr>
        <w:t>WHO End TB Strategy, Global strategy and targets for tuberculosis prevention, care and control after 2015</w:t>
      </w:r>
    </w:p>
  </w:footnote>
  <w:footnote w:id="3">
    <w:p w14:paraId="45FC8FDF" w14:textId="77777777" w:rsidR="0075056C" w:rsidRPr="00517F21" w:rsidRDefault="0075056C">
      <w:pPr>
        <w:pStyle w:val="FootnoteText"/>
        <w:rPr>
          <w:rFonts w:ascii="Times New Roman" w:hAnsi="Times New Roman" w:cs="Times New Roman"/>
          <w:sz w:val="16"/>
          <w:lang w:val="en-US"/>
        </w:rPr>
      </w:pPr>
      <w:r w:rsidRPr="00517F21">
        <w:rPr>
          <w:rStyle w:val="FootnoteReference"/>
          <w:rFonts w:ascii="Times New Roman" w:hAnsi="Times New Roman" w:cs="Times New Roman"/>
          <w:sz w:val="16"/>
          <w:vertAlign w:val="baseline"/>
        </w:rPr>
        <w:footnoteRef/>
      </w:r>
      <w:r>
        <w:rPr>
          <w:rFonts w:ascii="Times New Roman" w:hAnsi="Times New Roman" w:cs="Times New Roman"/>
          <w:sz w:val="16"/>
          <w:lang w:val="en-US"/>
        </w:rPr>
        <w:t>.</w:t>
      </w:r>
      <w:r w:rsidRPr="00517F21">
        <w:rPr>
          <w:rFonts w:ascii="Times New Roman" w:hAnsi="Times New Roman" w:cs="Times New Roman"/>
          <w:sz w:val="16"/>
          <w:lang w:val="en-US"/>
        </w:rPr>
        <w:t xml:space="preserve"> Excluding separated regions of Abkhazia and South Ossetia</w:t>
      </w:r>
    </w:p>
  </w:footnote>
  <w:footnote w:id="4">
    <w:p w14:paraId="0528474A" w14:textId="77777777" w:rsidR="0075056C" w:rsidRPr="00517F21" w:rsidRDefault="0075056C" w:rsidP="00A67683">
      <w:pPr>
        <w:spacing w:after="0" w:line="240" w:lineRule="auto"/>
        <w:rPr>
          <w:rFonts w:ascii="Times New Roman" w:hAnsi="Times New Roman" w:cs="Times New Roman"/>
          <w:sz w:val="16"/>
          <w:szCs w:val="20"/>
        </w:rPr>
      </w:pPr>
      <w:r w:rsidRPr="00517F21">
        <w:rPr>
          <w:rStyle w:val="CommentReference"/>
          <w:rFonts w:ascii="Times New Roman" w:hAnsi="Times New Roman" w:cs="Times New Roman"/>
          <w:szCs w:val="20"/>
        </w:rPr>
        <w:footnoteRef/>
      </w:r>
      <w:r>
        <w:rPr>
          <w:rFonts w:ascii="Times New Roman" w:hAnsi="Times New Roman" w:cs="Times New Roman"/>
          <w:i/>
          <w:sz w:val="16"/>
          <w:szCs w:val="20"/>
        </w:rPr>
        <w:t>.</w:t>
      </w:r>
      <w:r w:rsidRPr="00517F21">
        <w:rPr>
          <w:rFonts w:ascii="Times New Roman" w:hAnsi="Times New Roman" w:cs="Times New Roman"/>
          <w:i/>
          <w:sz w:val="16"/>
          <w:szCs w:val="20"/>
        </w:rPr>
        <w:t>National Statistics Office of Georgia</w:t>
      </w:r>
      <w:r w:rsidRPr="00517F21">
        <w:rPr>
          <w:rFonts w:ascii="Times New Roman" w:hAnsi="Times New Roman" w:cs="Times New Roman"/>
          <w:sz w:val="16"/>
          <w:szCs w:val="20"/>
        </w:rPr>
        <w:t xml:space="preserve">, </w:t>
      </w:r>
      <w:hyperlink r:id="rId1" w:history="1">
        <w:r w:rsidRPr="00517F21">
          <w:rPr>
            <w:rStyle w:val="Hyperlink"/>
            <w:rFonts w:ascii="Times New Roman" w:hAnsi="Times New Roman" w:cs="Times New Roman"/>
            <w:sz w:val="16"/>
            <w:szCs w:val="20"/>
          </w:rPr>
          <w:t>http://www.geostat.ge</w:t>
        </w:r>
      </w:hyperlink>
      <w:r>
        <w:rPr>
          <w:rFonts w:ascii="Times New Roman" w:hAnsi="Times New Roman" w:cs="Times New Roman"/>
          <w:sz w:val="16"/>
          <w:szCs w:val="20"/>
        </w:rPr>
        <w:t xml:space="preserve"> (data accessed in May 2018</w:t>
      </w:r>
      <w:r w:rsidRPr="00517F21">
        <w:rPr>
          <w:rFonts w:ascii="Times New Roman" w:hAnsi="Times New Roman" w:cs="Times New Roman"/>
          <w:sz w:val="16"/>
          <w:szCs w:val="20"/>
        </w:rPr>
        <w:t>)</w:t>
      </w:r>
    </w:p>
  </w:footnote>
  <w:footnote w:id="5">
    <w:p w14:paraId="75439D39" w14:textId="77777777" w:rsidR="0075056C" w:rsidRPr="00517F21" w:rsidRDefault="0075056C" w:rsidP="006D23C9">
      <w:pPr>
        <w:spacing w:after="0" w:line="240" w:lineRule="auto"/>
        <w:rPr>
          <w:rFonts w:ascii="Times New Roman" w:hAnsi="Times New Roman" w:cs="Times New Roman"/>
          <w:sz w:val="16"/>
          <w:szCs w:val="20"/>
        </w:rPr>
      </w:pPr>
      <w:r w:rsidRPr="00517F21">
        <w:rPr>
          <w:rStyle w:val="CommentReference"/>
          <w:rFonts w:ascii="Times New Roman" w:hAnsi="Times New Roman" w:cs="Times New Roman"/>
          <w:szCs w:val="20"/>
        </w:rPr>
        <w:footnoteRef/>
      </w:r>
      <w:r>
        <w:rPr>
          <w:rFonts w:ascii="Times New Roman" w:hAnsi="Times New Roman" w:cs="Times New Roman"/>
          <w:i/>
          <w:sz w:val="16"/>
          <w:szCs w:val="20"/>
        </w:rPr>
        <w:t>.</w:t>
      </w:r>
      <w:r w:rsidRPr="00517F21">
        <w:rPr>
          <w:rFonts w:ascii="Times New Roman" w:hAnsi="Times New Roman" w:cs="Times New Roman"/>
          <w:i/>
          <w:sz w:val="16"/>
          <w:szCs w:val="20"/>
        </w:rPr>
        <w:t>World Bank</w:t>
      </w:r>
      <w:r w:rsidRPr="00517F21">
        <w:rPr>
          <w:rFonts w:ascii="Times New Roman" w:hAnsi="Times New Roman" w:cs="Times New Roman"/>
          <w:sz w:val="16"/>
          <w:szCs w:val="20"/>
        </w:rPr>
        <w:t xml:space="preserve">, for 2013 (Atlas method, current USD), </w:t>
      </w:r>
      <w:hyperlink r:id="rId2" w:history="1">
        <w:r w:rsidRPr="00517F21">
          <w:rPr>
            <w:rStyle w:val="Hyperlink"/>
            <w:rFonts w:ascii="Times New Roman" w:hAnsi="Times New Roman" w:cs="Times New Roman"/>
            <w:sz w:val="16"/>
            <w:szCs w:val="20"/>
          </w:rPr>
          <w:t>http://data.worldbank.org/country/georgia</w:t>
        </w:r>
      </w:hyperlink>
    </w:p>
  </w:footnote>
  <w:footnote w:id="6">
    <w:p w14:paraId="3DF38E84" w14:textId="77777777" w:rsidR="0075056C" w:rsidRPr="00517F21" w:rsidRDefault="0075056C" w:rsidP="00F70A8E">
      <w:pPr>
        <w:spacing w:after="0" w:line="240" w:lineRule="auto"/>
        <w:rPr>
          <w:rFonts w:ascii="Times New Roman" w:hAnsi="Times New Roman" w:cs="Times New Roman"/>
          <w:sz w:val="16"/>
          <w:szCs w:val="20"/>
        </w:rPr>
      </w:pPr>
      <w:r w:rsidRPr="00517F21">
        <w:rPr>
          <w:rStyle w:val="CommentReference"/>
          <w:rFonts w:ascii="Times New Roman" w:hAnsi="Times New Roman" w:cs="Times New Roman"/>
          <w:szCs w:val="20"/>
        </w:rPr>
        <w:footnoteRef/>
      </w:r>
      <w:r>
        <w:rPr>
          <w:rFonts w:ascii="Times New Roman" w:hAnsi="Times New Roman" w:cs="Times New Roman"/>
          <w:i/>
          <w:sz w:val="16"/>
          <w:szCs w:val="20"/>
        </w:rPr>
        <w:t>.Global Tuberculosis Report 2017</w:t>
      </w:r>
      <w:r w:rsidRPr="00517F21">
        <w:rPr>
          <w:rFonts w:ascii="Times New Roman" w:hAnsi="Times New Roman" w:cs="Times New Roman"/>
          <w:i/>
          <w:sz w:val="16"/>
          <w:szCs w:val="20"/>
        </w:rPr>
        <w:t>,</w:t>
      </w:r>
      <w:r w:rsidRPr="00517F21">
        <w:rPr>
          <w:rFonts w:ascii="Times New Roman" w:hAnsi="Times New Roman" w:cs="Times New Roman"/>
          <w:sz w:val="16"/>
          <w:szCs w:val="20"/>
        </w:rPr>
        <w:t xml:space="preserve"> WHO, </w:t>
      </w:r>
      <w:hyperlink r:id="rId3" w:history="1">
        <w:r w:rsidRPr="00517F21">
          <w:rPr>
            <w:rStyle w:val="Hyperlink"/>
            <w:rFonts w:ascii="Times New Roman" w:hAnsi="Times New Roman" w:cs="Times New Roman"/>
            <w:sz w:val="16"/>
            <w:szCs w:val="20"/>
          </w:rPr>
          <w:t>http://www.who.int/tb/publications/global_report/en/</w:t>
        </w:r>
      </w:hyperlink>
    </w:p>
  </w:footnote>
  <w:footnote w:id="7">
    <w:p w14:paraId="43AF2CB4" w14:textId="77777777" w:rsidR="0075056C" w:rsidRPr="00E66AFE" w:rsidRDefault="0075056C">
      <w:pPr>
        <w:pStyle w:val="FootnoteText"/>
        <w:rPr>
          <w:rFonts w:ascii="Times New Roman" w:hAnsi="Times New Roman" w:cs="Times New Roman"/>
          <w:lang w:val="en-US"/>
        </w:rPr>
      </w:pPr>
      <w:r w:rsidRPr="00E66AFE">
        <w:rPr>
          <w:rStyle w:val="FootnoteReference"/>
          <w:rFonts w:ascii="Times New Roman" w:hAnsi="Times New Roman" w:cs="Times New Roman"/>
          <w:vertAlign w:val="baseline"/>
        </w:rPr>
        <w:footnoteRef/>
      </w:r>
      <w:r w:rsidRPr="00E66AFE">
        <w:rPr>
          <w:rFonts w:ascii="Times New Roman" w:hAnsi="Times New Roman" w:cs="Times New Roman"/>
          <w:lang w:val="en-US"/>
        </w:rPr>
        <w:t xml:space="preserve">. </w:t>
      </w:r>
      <w:r w:rsidRPr="00E66AFE">
        <w:rPr>
          <w:rFonts w:ascii="Times New Roman" w:hAnsi="Times New Roman" w:cs="Times New Roman"/>
          <w:i/>
          <w:lang w:val="en-US"/>
        </w:rPr>
        <w:t>National Center for Tuberculosis and Lung Diseases (NCTLD)</w:t>
      </w:r>
      <w:r w:rsidRPr="00E66AFE">
        <w:rPr>
          <w:rFonts w:ascii="Times New Roman" w:hAnsi="Times New Roman" w:cs="Times New Roman"/>
          <w:lang w:val="en-US"/>
        </w:rPr>
        <w:t>, 2015</w:t>
      </w:r>
    </w:p>
  </w:footnote>
  <w:footnote w:id="8">
    <w:p w14:paraId="3252CB8F" w14:textId="77777777" w:rsidR="0075056C" w:rsidRPr="00E66AFE" w:rsidRDefault="0075056C">
      <w:pPr>
        <w:pStyle w:val="FootnoteText"/>
        <w:rPr>
          <w:rFonts w:ascii="Times New Roman" w:hAnsi="Times New Roman" w:cs="Times New Roman"/>
          <w:lang w:val="en-US"/>
        </w:rPr>
      </w:pPr>
      <w:r w:rsidRPr="00E66AFE">
        <w:rPr>
          <w:rStyle w:val="FootnoteReference"/>
          <w:rFonts w:ascii="Times New Roman" w:hAnsi="Times New Roman" w:cs="Times New Roman"/>
          <w:vertAlign w:val="baseline"/>
        </w:rPr>
        <w:footnoteRef/>
      </w:r>
      <w:r>
        <w:rPr>
          <w:rFonts w:ascii="Times New Roman" w:hAnsi="Times New Roman" w:cs="Times New Roman"/>
          <w:lang w:val="en-US"/>
        </w:rPr>
        <w:t>.</w:t>
      </w:r>
      <w:r w:rsidRPr="00E66AFE">
        <w:rPr>
          <w:rFonts w:ascii="Times New Roman" w:hAnsi="Times New Roman" w:cs="Times New Roman"/>
          <w:lang w:val="en-US"/>
        </w:rPr>
        <w:t xml:space="preserve"> MDR-TB is defined as resistance to isoniazid (H) and rifampicin (R), the most potent anti-TB drugs, with or without resistance to other first-line drugs. </w:t>
      </w:r>
    </w:p>
  </w:footnote>
  <w:footnote w:id="9">
    <w:p w14:paraId="2D580272" w14:textId="77777777" w:rsidR="0075056C" w:rsidRPr="00E66AFE" w:rsidRDefault="0075056C" w:rsidP="00F70A8E">
      <w:pPr>
        <w:spacing w:after="0" w:line="240" w:lineRule="auto"/>
        <w:rPr>
          <w:rFonts w:ascii="Times New Roman" w:hAnsi="Times New Roman" w:cs="Times New Roman"/>
          <w:sz w:val="20"/>
          <w:szCs w:val="20"/>
        </w:rPr>
      </w:pPr>
      <w:r w:rsidRPr="00E66AFE">
        <w:rPr>
          <w:rStyle w:val="CommentReference"/>
          <w:rFonts w:ascii="Times New Roman" w:hAnsi="Times New Roman" w:cs="Times New Roman"/>
          <w:sz w:val="20"/>
          <w:szCs w:val="20"/>
        </w:rPr>
        <w:footnoteRef/>
      </w:r>
      <w:r>
        <w:rPr>
          <w:rFonts w:ascii="Times New Roman" w:hAnsi="Times New Roman" w:cs="Times New Roman"/>
          <w:i/>
          <w:sz w:val="20"/>
          <w:szCs w:val="20"/>
        </w:rPr>
        <w:t>.</w:t>
      </w:r>
      <w:r w:rsidRPr="00E66AFE">
        <w:rPr>
          <w:rFonts w:ascii="Times New Roman" w:hAnsi="Times New Roman" w:cs="Times New Roman"/>
          <w:i/>
          <w:sz w:val="20"/>
          <w:szCs w:val="20"/>
        </w:rPr>
        <w:t>WHO Tuberculosis Country Profiles</w:t>
      </w:r>
      <w:r w:rsidRPr="00E66AFE">
        <w:rPr>
          <w:rFonts w:ascii="Times New Roman" w:hAnsi="Times New Roman" w:cs="Times New Roman"/>
          <w:sz w:val="20"/>
          <w:szCs w:val="20"/>
        </w:rPr>
        <w:t xml:space="preserve">, </w:t>
      </w:r>
      <w:hyperlink r:id="rId4" w:history="1">
        <w:r w:rsidRPr="00E66AFE">
          <w:rPr>
            <w:rStyle w:val="Hyperlink"/>
            <w:rFonts w:ascii="Times New Roman" w:hAnsi="Times New Roman" w:cs="Times New Roman"/>
            <w:sz w:val="20"/>
            <w:szCs w:val="20"/>
          </w:rPr>
          <w:t>http://www.who.int/tb/country/data/profiles/en/</w:t>
        </w:r>
      </w:hyperlink>
    </w:p>
  </w:footnote>
  <w:footnote w:id="10">
    <w:p w14:paraId="24628C8F" w14:textId="77777777" w:rsidR="0075056C" w:rsidRPr="00E66AFE" w:rsidRDefault="0075056C" w:rsidP="00F54683">
      <w:pPr>
        <w:pStyle w:val="FootnoteText"/>
        <w:rPr>
          <w:rFonts w:ascii="Times New Roman" w:hAnsi="Times New Roman" w:cs="Times New Roman"/>
          <w:lang w:val="en-US"/>
        </w:rPr>
      </w:pPr>
      <w:r w:rsidRPr="00E66AFE">
        <w:rPr>
          <w:rStyle w:val="FootnoteReference"/>
          <w:rFonts w:ascii="Times New Roman" w:hAnsi="Times New Roman" w:cs="Times New Roman"/>
          <w:vertAlign w:val="baseline"/>
        </w:rPr>
        <w:footnoteRef/>
      </w:r>
      <w:r>
        <w:rPr>
          <w:rFonts w:ascii="Times New Roman" w:hAnsi="Times New Roman" w:cs="Times New Roman"/>
          <w:lang w:val="en-US"/>
        </w:rPr>
        <w:t>.</w:t>
      </w:r>
      <w:r w:rsidRPr="00E66AFE">
        <w:rPr>
          <w:rFonts w:ascii="Times New Roman" w:hAnsi="Times New Roman" w:cs="Times New Roman"/>
          <w:lang w:val="en-US"/>
        </w:rPr>
        <w:t xml:space="preserve"> Lomtadze N. et al. </w:t>
      </w:r>
      <w:r w:rsidRPr="00E66AFE">
        <w:rPr>
          <w:rFonts w:ascii="Times New Roman" w:hAnsi="Times New Roman" w:cs="Times New Roman"/>
          <w:i/>
          <w:lang w:val="en-US"/>
        </w:rPr>
        <w:t>Prevalence and risk factors for Multidrug-Resistant Tuberculosis in the Republic of Georgia: A Population Based Study.</w:t>
      </w:r>
      <w:r w:rsidRPr="00E66AFE">
        <w:rPr>
          <w:rFonts w:ascii="Times New Roman" w:hAnsi="Times New Roman" w:cs="Times New Roman"/>
          <w:lang w:val="en-US"/>
        </w:rPr>
        <w:t xml:space="preserve"> </w:t>
      </w:r>
      <w:proofErr w:type="spellStart"/>
      <w:r w:rsidRPr="00E66AFE">
        <w:rPr>
          <w:rFonts w:ascii="Times New Roman" w:hAnsi="Times New Roman" w:cs="Times New Roman"/>
          <w:lang w:val="en-US"/>
        </w:rPr>
        <w:t>Int</w:t>
      </w:r>
      <w:proofErr w:type="spellEnd"/>
      <w:r w:rsidRPr="00E66AFE">
        <w:rPr>
          <w:rFonts w:ascii="Times New Roman" w:hAnsi="Times New Roman" w:cs="Times New Roman"/>
          <w:lang w:val="en-US"/>
        </w:rPr>
        <w:t xml:space="preserve"> J </w:t>
      </w:r>
      <w:proofErr w:type="spellStart"/>
      <w:r w:rsidRPr="00E66AFE">
        <w:rPr>
          <w:rFonts w:ascii="Times New Roman" w:hAnsi="Times New Roman" w:cs="Times New Roman"/>
          <w:lang w:val="en-US"/>
        </w:rPr>
        <w:t>Tuberc</w:t>
      </w:r>
      <w:proofErr w:type="spellEnd"/>
      <w:r w:rsidRPr="00E66AFE">
        <w:rPr>
          <w:rFonts w:ascii="Times New Roman" w:hAnsi="Times New Roman" w:cs="Times New Roman"/>
          <w:lang w:val="en-US"/>
        </w:rPr>
        <w:t xml:space="preserve"> Lung Dis. 2009 January; 13(1): 68–73.  </w:t>
      </w:r>
    </w:p>
  </w:footnote>
  <w:footnote w:id="11">
    <w:p w14:paraId="73B705D0" w14:textId="77777777" w:rsidR="0075056C" w:rsidRPr="00E66AFE" w:rsidRDefault="0075056C">
      <w:pPr>
        <w:pStyle w:val="FootnoteText"/>
        <w:rPr>
          <w:rFonts w:ascii="Times New Roman" w:hAnsi="Times New Roman" w:cs="Times New Roman"/>
          <w:lang w:val="en-US"/>
        </w:rPr>
      </w:pPr>
      <w:r w:rsidRPr="00E66AFE">
        <w:rPr>
          <w:rStyle w:val="FootnoteReference"/>
          <w:rFonts w:ascii="Times New Roman" w:hAnsi="Times New Roman" w:cs="Times New Roman"/>
          <w:vertAlign w:val="baseline"/>
        </w:rPr>
        <w:footnoteRef/>
      </w:r>
      <w:r>
        <w:rPr>
          <w:rFonts w:ascii="Times New Roman" w:hAnsi="Times New Roman" w:cs="Times New Roman"/>
          <w:lang w:val="en-US"/>
        </w:rPr>
        <w:t>.</w:t>
      </w:r>
      <w:r w:rsidRPr="00E66AFE">
        <w:rPr>
          <w:rFonts w:ascii="Times New Roman" w:hAnsi="Times New Roman" w:cs="Times New Roman"/>
          <w:lang w:val="en-US"/>
        </w:rPr>
        <w:t xml:space="preserve"> </w:t>
      </w:r>
      <w:r w:rsidRPr="00E66AFE">
        <w:rPr>
          <w:rFonts w:ascii="Times New Roman" w:hAnsi="Times New Roman" w:cs="Times New Roman"/>
          <w:i/>
          <w:lang w:val="en-US"/>
        </w:rPr>
        <w:t>NCTLD / National Reference Laboratory (NRL)</w:t>
      </w:r>
    </w:p>
  </w:footnote>
  <w:footnote w:id="12">
    <w:p w14:paraId="4F6701C9" w14:textId="77777777" w:rsidR="0075056C" w:rsidRPr="00756463" w:rsidRDefault="0075056C">
      <w:pPr>
        <w:pStyle w:val="FootnoteText"/>
        <w:rPr>
          <w:rFonts w:ascii="Times New Roman" w:hAnsi="Times New Roman" w:cs="Times New Roman"/>
          <w:lang w:val="en-US"/>
        </w:rPr>
      </w:pPr>
      <w:r w:rsidRPr="00756463">
        <w:rPr>
          <w:rStyle w:val="FootnoteReference"/>
          <w:rFonts w:ascii="Times New Roman" w:hAnsi="Times New Roman" w:cs="Times New Roman"/>
          <w:vertAlign w:val="baseline"/>
        </w:rPr>
        <w:footnoteRef/>
      </w:r>
      <w:r w:rsidRPr="00756463">
        <w:rPr>
          <w:rFonts w:ascii="Times New Roman" w:hAnsi="Times New Roman" w:cs="Times New Roman"/>
          <w:lang w:val="en-US"/>
        </w:rPr>
        <w:t>. XDR-TB is defined as MDR-TB with resistance to a fluoroquinolone and to a second-line injectable drug.</w:t>
      </w:r>
    </w:p>
  </w:footnote>
  <w:footnote w:id="13">
    <w:p w14:paraId="3DBC545C" w14:textId="77777777" w:rsidR="0075056C" w:rsidRPr="00756463" w:rsidRDefault="0075056C">
      <w:pPr>
        <w:pStyle w:val="FootnoteText"/>
        <w:rPr>
          <w:rFonts w:ascii="Times New Roman" w:hAnsi="Times New Roman" w:cs="Times New Roman"/>
          <w:lang w:val="en-US"/>
        </w:rPr>
      </w:pPr>
      <w:r w:rsidRPr="00756463">
        <w:rPr>
          <w:rStyle w:val="FootnoteReference"/>
          <w:rFonts w:ascii="Times New Roman" w:hAnsi="Times New Roman" w:cs="Times New Roman"/>
          <w:vertAlign w:val="baseline"/>
        </w:rPr>
        <w:footnoteRef/>
      </w:r>
      <w:r w:rsidRPr="00756463">
        <w:rPr>
          <w:rFonts w:ascii="Times New Roman" w:hAnsi="Times New Roman" w:cs="Times New Roman"/>
          <w:lang w:val="en-US"/>
        </w:rPr>
        <w:t xml:space="preserve"> </w:t>
      </w:r>
      <w:r w:rsidR="00FE34D5">
        <w:fldChar w:fldCharType="begin"/>
      </w:r>
      <w:r w:rsidR="00FE34D5" w:rsidRPr="00D906B2">
        <w:rPr>
          <w:lang w:val="en-US"/>
        </w:rPr>
        <w:instrText xml:space="preserve"> HYPERLINK "http://www.unaids.org/en/regionscountries/countries/georgia" </w:instrText>
      </w:r>
      <w:r w:rsidR="00FE34D5">
        <w:fldChar w:fldCharType="separate"/>
      </w:r>
      <w:r w:rsidRPr="00756463">
        <w:rPr>
          <w:rStyle w:val="Hyperlink"/>
          <w:rFonts w:ascii="Times New Roman" w:hAnsi="Times New Roman" w:cs="Times New Roman"/>
          <w:lang w:val="en-US"/>
        </w:rPr>
        <w:t>http://www.unaids.org/en/regionscountries/countries/georgia</w:t>
      </w:r>
      <w:r w:rsidR="00FE34D5">
        <w:rPr>
          <w:rStyle w:val="Hyperlink"/>
          <w:rFonts w:ascii="Times New Roman" w:hAnsi="Times New Roman" w:cs="Times New Roman"/>
          <w:lang w:val="en-US"/>
        </w:rPr>
        <w:fldChar w:fldCharType="end"/>
      </w:r>
    </w:p>
  </w:footnote>
  <w:footnote w:id="14">
    <w:p w14:paraId="01F9D153" w14:textId="77777777" w:rsidR="00756463" w:rsidRPr="00756463" w:rsidRDefault="00756463" w:rsidP="00756463">
      <w:pPr>
        <w:pStyle w:val="FootnoteText"/>
        <w:contextualSpacing/>
        <w:rPr>
          <w:rFonts w:asciiTheme="minorHAnsi" w:hAnsiTheme="minorHAnsi" w:cstheme="minorHAnsi"/>
          <w:sz w:val="18"/>
          <w:szCs w:val="18"/>
          <w:lang w:val="en-US"/>
        </w:rPr>
      </w:pPr>
      <w:r w:rsidRPr="00756463">
        <w:rPr>
          <w:rStyle w:val="FootnoteReference"/>
          <w:rFonts w:ascii="Times New Roman" w:hAnsi="Times New Roman" w:cs="Times New Roman"/>
          <w:vertAlign w:val="baseline"/>
        </w:rPr>
        <w:footnoteRef/>
      </w:r>
      <w:r w:rsidRPr="00756463">
        <w:rPr>
          <w:rFonts w:ascii="Times New Roman" w:hAnsi="Times New Roman" w:cs="Times New Roman"/>
          <w:lang w:val="en-US"/>
        </w:rPr>
        <w:t xml:space="preserve"> Population Size Estimation of People Who Inject Drugs in Seven Cities of Georgia, 2016-2017, </w:t>
      </w:r>
      <w:proofErr w:type="spellStart"/>
      <w:r w:rsidRPr="00756463">
        <w:rPr>
          <w:rFonts w:ascii="Times New Roman" w:hAnsi="Times New Roman" w:cs="Times New Roman"/>
          <w:lang w:val="en-US"/>
        </w:rPr>
        <w:t>Bemoni</w:t>
      </w:r>
      <w:proofErr w:type="spellEnd"/>
      <w:r w:rsidRPr="00756463">
        <w:rPr>
          <w:rFonts w:ascii="Times New Roman" w:hAnsi="Times New Roman" w:cs="Times New Roman"/>
          <w:lang w:val="en-US"/>
        </w:rPr>
        <w:t xml:space="preserve"> Public Union(BPU); </w:t>
      </w:r>
      <w:proofErr w:type="spellStart"/>
      <w:r w:rsidRPr="00756463">
        <w:rPr>
          <w:rFonts w:ascii="Times New Roman" w:hAnsi="Times New Roman" w:cs="Times New Roman"/>
          <w:lang w:val="en-US"/>
        </w:rPr>
        <w:t>Curatio</w:t>
      </w:r>
      <w:proofErr w:type="spellEnd"/>
      <w:r w:rsidRPr="00756463">
        <w:rPr>
          <w:rFonts w:ascii="Times New Roman" w:hAnsi="Times New Roman" w:cs="Times New Roman"/>
          <w:lang w:val="en-US"/>
        </w:rPr>
        <w:t xml:space="preserve"> International Foundation (CIF)</w:t>
      </w:r>
      <w:r w:rsidRPr="00756463">
        <w:rPr>
          <w:rFonts w:asciiTheme="minorHAnsi" w:hAnsiTheme="minorHAnsi" w:cstheme="minorHAnsi"/>
          <w:sz w:val="18"/>
          <w:szCs w:val="18"/>
          <w:lang w:val="en-US"/>
        </w:rPr>
        <w:t xml:space="preserve"> </w:t>
      </w:r>
    </w:p>
  </w:footnote>
  <w:footnote w:id="15">
    <w:p w14:paraId="17BB1CCC" w14:textId="77777777" w:rsidR="0075056C" w:rsidRPr="006F18E0" w:rsidRDefault="0075056C">
      <w:pPr>
        <w:pStyle w:val="FootnoteText"/>
        <w:rPr>
          <w:rFonts w:ascii="Times New Roman" w:hAnsi="Times New Roman" w:cs="Times New Roman"/>
          <w:sz w:val="18"/>
          <w:szCs w:val="18"/>
          <w:lang w:val="en-US"/>
        </w:rPr>
      </w:pPr>
      <w:r w:rsidRPr="006F18E0">
        <w:rPr>
          <w:rStyle w:val="FootnoteReference"/>
          <w:rFonts w:ascii="Times New Roman" w:hAnsi="Times New Roman" w:cs="Times New Roman"/>
          <w:sz w:val="18"/>
          <w:szCs w:val="18"/>
          <w:vertAlign w:val="baseline"/>
        </w:rPr>
        <w:footnoteRef/>
      </w:r>
      <w:r>
        <w:rPr>
          <w:rFonts w:ascii="Times New Roman" w:hAnsi="Times New Roman" w:cs="Times New Roman"/>
          <w:sz w:val="18"/>
          <w:szCs w:val="18"/>
          <w:lang w:val="en-US"/>
        </w:rPr>
        <w:t>.</w:t>
      </w:r>
      <w:r w:rsidRPr="006F18E0">
        <w:rPr>
          <w:rFonts w:ascii="Times New Roman" w:hAnsi="Times New Roman" w:cs="Times New Roman"/>
          <w:sz w:val="18"/>
          <w:szCs w:val="18"/>
          <w:lang w:val="en-US"/>
        </w:rPr>
        <w:t>The rates are presented according to the revised WHO classification of TB treatment outcomes (2016)</w:t>
      </w:r>
    </w:p>
  </w:footnote>
  <w:footnote w:id="16">
    <w:p w14:paraId="004C84EC" w14:textId="77777777" w:rsidR="0075056C" w:rsidRPr="009E5441" w:rsidRDefault="0075056C" w:rsidP="005A003D">
      <w:pPr>
        <w:spacing w:after="0" w:line="240" w:lineRule="auto"/>
        <w:rPr>
          <w:rFonts w:ascii="Times New Roman" w:hAnsi="Times New Roman" w:cs="Times New Roman"/>
          <w:sz w:val="18"/>
          <w:szCs w:val="18"/>
        </w:rPr>
      </w:pPr>
      <w:r w:rsidRPr="009E5441">
        <w:rPr>
          <w:rStyle w:val="CommentReference"/>
          <w:rFonts w:ascii="Times New Roman" w:hAnsi="Times New Roman" w:cs="Times New Roman"/>
          <w:sz w:val="18"/>
          <w:szCs w:val="18"/>
        </w:rPr>
        <w:footnoteRef/>
      </w:r>
      <w:proofErr w:type="gramStart"/>
      <w:r>
        <w:rPr>
          <w:rFonts w:ascii="Times New Roman" w:hAnsi="Times New Roman" w:cs="Times New Roman"/>
          <w:i/>
          <w:sz w:val="18"/>
          <w:szCs w:val="18"/>
        </w:rPr>
        <w:t>.</w:t>
      </w:r>
      <w:r w:rsidRPr="009E5441">
        <w:rPr>
          <w:rFonts w:ascii="Times New Roman" w:hAnsi="Times New Roman" w:cs="Times New Roman"/>
          <w:i/>
          <w:sz w:val="18"/>
          <w:szCs w:val="18"/>
        </w:rPr>
        <w:t>Roadmap to prevent and combat drug-resistant tuberculosis.</w:t>
      </w:r>
      <w:proofErr w:type="gramEnd"/>
      <w:r w:rsidRPr="009E5441">
        <w:rPr>
          <w:rFonts w:ascii="Times New Roman" w:hAnsi="Times New Roman" w:cs="Times New Roman"/>
          <w:i/>
          <w:sz w:val="18"/>
          <w:szCs w:val="18"/>
        </w:rPr>
        <w:t xml:space="preserve"> The Consolidated Action Plan to Prevent Multidrug- and Extensively Drug-Resistant Tuberculosis in the WHO European Region, 2011-2015</w:t>
      </w:r>
      <w:r w:rsidRPr="009E5441">
        <w:rPr>
          <w:rFonts w:ascii="Times New Roman" w:hAnsi="Times New Roman" w:cs="Times New Roman"/>
          <w:sz w:val="18"/>
          <w:szCs w:val="18"/>
        </w:rPr>
        <w:t xml:space="preserve"> (WHO, 2011)  </w:t>
      </w:r>
    </w:p>
  </w:footnote>
  <w:footnote w:id="17">
    <w:p w14:paraId="1293F7CD" w14:textId="77777777" w:rsidR="0075056C" w:rsidRPr="009E5441" w:rsidRDefault="0075056C">
      <w:pPr>
        <w:pStyle w:val="FootnoteText"/>
        <w:rPr>
          <w:rFonts w:ascii="Times New Roman" w:hAnsi="Times New Roman" w:cs="Times New Roman"/>
          <w:lang w:val="en-US"/>
        </w:rPr>
      </w:pPr>
      <w:r w:rsidRPr="009E5441">
        <w:rPr>
          <w:rStyle w:val="FootnoteReference"/>
          <w:rFonts w:ascii="Times New Roman" w:hAnsi="Times New Roman" w:cs="Times New Roman"/>
          <w:vertAlign w:val="baseline"/>
        </w:rPr>
        <w:footnoteRef/>
      </w:r>
      <w:r>
        <w:rPr>
          <w:rFonts w:ascii="Times New Roman" w:hAnsi="Times New Roman" w:cs="Times New Roman"/>
          <w:lang w:val="en-US"/>
        </w:rPr>
        <w:t>.</w:t>
      </w:r>
      <w:r w:rsidRPr="009E5441">
        <w:rPr>
          <w:rFonts w:ascii="Times New Roman" w:hAnsi="Times New Roman" w:cs="Times New Roman"/>
          <w:lang w:val="en-US"/>
        </w:rPr>
        <w:t xml:space="preserve"> </w:t>
      </w:r>
      <w:r>
        <w:rPr>
          <w:rFonts w:ascii="Times New Roman" w:hAnsi="Times New Roman" w:cs="Times New Roman"/>
          <w:lang w:val="en-US"/>
        </w:rPr>
        <w:t xml:space="preserve">Data from </w:t>
      </w:r>
      <w:r w:rsidRPr="009E5441">
        <w:rPr>
          <w:rFonts w:ascii="Times New Roman" w:hAnsi="Times New Roman" w:cs="Times New Roman"/>
          <w:lang w:val="en-US"/>
        </w:rPr>
        <w:t xml:space="preserve">National Center </w:t>
      </w:r>
      <w:r>
        <w:rPr>
          <w:rFonts w:ascii="Times New Roman" w:hAnsi="Times New Roman" w:cs="Times New Roman"/>
          <w:lang w:val="en-US"/>
        </w:rPr>
        <w:t xml:space="preserve">for </w:t>
      </w:r>
      <w:r w:rsidRPr="009E5441">
        <w:rPr>
          <w:rFonts w:ascii="Times New Roman" w:hAnsi="Times New Roman" w:cs="Times New Roman"/>
          <w:lang w:val="en-US"/>
        </w:rPr>
        <w:t>T</w:t>
      </w:r>
      <w:r>
        <w:rPr>
          <w:rFonts w:ascii="Times New Roman" w:hAnsi="Times New Roman" w:cs="Times New Roman"/>
          <w:lang w:val="en-US"/>
        </w:rPr>
        <w:t>uberculosis</w:t>
      </w:r>
      <w:r w:rsidRPr="009E5441">
        <w:rPr>
          <w:rFonts w:ascii="Times New Roman" w:hAnsi="Times New Roman" w:cs="Times New Roman"/>
          <w:lang w:val="en-US"/>
        </w:rPr>
        <w:t xml:space="preserve"> and Lung Diseases</w:t>
      </w:r>
    </w:p>
  </w:footnote>
  <w:footnote w:id="18">
    <w:p w14:paraId="51963170" w14:textId="77777777" w:rsidR="0075056C" w:rsidRPr="003A68D9" w:rsidRDefault="0075056C" w:rsidP="005A003D">
      <w:pPr>
        <w:pStyle w:val="FootnoteText"/>
        <w:rPr>
          <w:rFonts w:ascii="Arial" w:hAnsi="Arial" w:cs="Arial"/>
          <w:sz w:val="18"/>
          <w:szCs w:val="18"/>
          <w:lang w:val="en-US"/>
        </w:rPr>
      </w:pPr>
      <w:r w:rsidRPr="003A68D9">
        <w:rPr>
          <w:rStyle w:val="FootnoteReference"/>
          <w:rFonts w:ascii="Arial" w:hAnsi="Arial" w:cs="Arial"/>
          <w:sz w:val="18"/>
          <w:szCs w:val="18"/>
        </w:rPr>
        <w:footnoteRef/>
      </w:r>
      <w:r w:rsidRPr="003A68D9">
        <w:rPr>
          <w:rFonts w:ascii="Arial" w:hAnsi="Arial" w:cs="Arial"/>
          <w:i/>
          <w:iCs/>
          <w:sz w:val="18"/>
          <w:szCs w:val="18"/>
          <w:lang w:val="en-GB"/>
        </w:rPr>
        <w:t xml:space="preserve">Automated real-time nucleic acid amplification technology for rapid and simultaneous detection of tuberculosis and rifampicin resistance: </w:t>
      </w:r>
      <w:proofErr w:type="spellStart"/>
      <w:r w:rsidRPr="003A68D9">
        <w:rPr>
          <w:rFonts w:ascii="Arial" w:hAnsi="Arial" w:cs="Arial"/>
          <w:i/>
          <w:iCs/>
          <w:sz w:val="18"/>
          <w:szCs w:val="18"/>
          <w:lang w:val="en-GB"/>
        </w:rPr>
        <w:t>Xpert</w:t>
      </w:r>
      <w:proofErr w:type="spellEnd"/>
      <w:r w:rsidRPr="003A68D9">
        <w:rPr>
          <w:rFonts w:ascii="Arial" w:hAnsi="Arial" w:cs="Arial"/>
          <w:i/>
          <w:iCs/>
          <w:sz w:val="18"/>
          <w:szCs w:val="18"/>
          <w:lang w:val="en-GB"/>
        </w:rPr>
        <w:t xml:space="preserve"> MTB/RIF </w:t>
      </w:r>
      <w:r>
        <w:rPr>
          <w:rFonts w:ascii="Arial" w:hAnsi="Arial" w:cs="Arial"/>
          <w:i/>
          <w:iCs/>
          <w:sz w:val="18"/>
          <w:szCs w:val="18"/>
          <w:lang w:val="en-GB"/>
        </w:rPr>
        <w:t>assay</w:t>
      </w:r>
      <w:r w:rsidRPr="003A68D9">
        <w:rPr>
          <w:rFonts w:ascii="Arial" w:hAnsi="Arial" w:cs="Arial"/>
          <w:i/>
          <w:iCs/>
          <w:sz w:val="18"/>
          <w:szCs w:val="18"/>
          <w:lang w:val="en-GB"/>
        </w:rPr>
        <w:t xml:space="preserve"> for the diagnosis of pulmonary and extrapulmonary TB in adults and children: policy update</w:t>
      </w:r>
      <w:r>
        <w:rPr>
          <w:rFonts w:ascii="Arial" w:hAnsi="Arial" w:cs="Arial"/>
          <w:sz w:val="18"/>
          <w:szCs w:val="18"/>
          <w:lang w:val="en-GB"/>
        </w:rPr>
        <w:t xml:space="preserve"> (</w:t>
      </w:r>
      <w:r w:rsidRPr="003A68D9">
        <w:rPr>
          <w:rFonts w:ascii="Arial" w:hAnsi="Arial" w:cs="Arial"/>
          <w:sz w:val="18"/>
          <w:szCs w:val="18"/>
          <w:lang w:val="en-GB"/>
        </w:rPr>
        <w:t>WHO, October 2013</w:t>
      </w:r>
      <w:r>
        <w:rPr>
          <w:rFonts w:ascii="Arial" w:hAnsi="Arial" w:cs="Arial"/>
          <w:sz w:val="18"/>
          <w:szCs w:val="18"/>
          <w:lang w:val="en-GB"/>
        </w:rPr>
        <w:t>)</w:t>
      </w:r>
    </w:p>
  </w:footnote>
  <w:footnote w:id="19">
    <w:p w14:paraId="09F38637" w14:textId="77777777" w:rsidR="0075056C" w:rsidRPr="00647106" w:rsidRDefault="0075056C" w:rsidP="005A003D">
      <w:pPr>
        <w:pStyle w:val="FootnoteText"/>
        <w:rPr>
          <w:rFonts w:ascii="Arial" w:hAnsi="Arial" w:cs="Arial"/>
          <w:sz w:val="18"/>
          <w:szCs w:val="18"/>
          <w:lang w:val="en-US"/>
        </w:rPr>
      </w:pPr>
      <w:r w:rsidRPr="006A3079">
        <w:rPr>
          <w:rStyle w:val="FootnoteReference"/>
          <w:rFonts w:ascii="Arial" w:hAnsi="Arial" w:cs="Arial"/>
          <w:sz w:val="18"/>
          <w:szCs w:val="18"/>
        </w:rPr>
        <w:footnoteRef/>
      </w:r>
      <w:r w:rsidRPr="006A3079">
        <w:rPr>
          <w:rFonts w:ascii="Arial" w:hAnsi="Arial" w:cs="Arial"/>
          <w:sz w:val="18"/>
          <w:szCs w:val="18"/>
          <w:lang w:val="en-US"/>
        </w:rPr>
        <w:t xml:space="preserve"> See details in Table 3 above.</w:t>
      </w:r>
    </w:p>
  </w:footnote>
  <w:footnote w:id="20">
    <w:p w14:paraId="5E70A094" w14:textId="77777777" w:rsidR="0075056C" w:rsidRPr="00C50AA5" w:rsidRDefault="0075056C" w:rsidP="005A003D">
      <w:pPr>
        <w:pStyle w:val="FootnoteText"/>
        <w:rPr>
          <w:rFonts w:ascii="Arial" w:hAnsi="Arial" w:cs="Arial"/>
          <w:sz w:val="18"/>
          <w:szCs w:val="18"/>
          <w:lang w:val="en-US"/>
        </w:rPr>
      </w:pPr>
      <w:r w:rsidRPr="00C50AA5">
        <w:rPr>
          <w:rStyle w:val="FootnoteReference"/>
          <w:rFonts w:ascii="Arial" w:hAnsi="Arial" w:cs="Arial"/>
          <w:sz w:val="18"/>
          <w:szCs w:val="18"/>
        </w:rPr>
        <w:footnoteRef/>
      </w:r>
      <w:r w:rsidRPr="00C50AA5">
        <w:rPr>
          <w:rFonts w:ascii="Arial" w:hAnsi="Arial" w:cs="Arial"/>
          <w:i/>
          <w:sz w:val="18"/>
          <w:szCs w:val="18"/>
          <w:lang w:val="en-US"/>
        </w:rPr>
        <w:t>Systematic screening for active tuberculosis: principles and recommendations</w:t>
      </w:r>
      <w:r w:rsidRPr="00C50AA5">
        <w:rPr>
          <w:rFonts w:ascii="Arial" w:hAnsi="Arial" w:cs="Arial"/>
          <w:sz w:val="18"/>
          <w:szCs w:val="18"/>
          <w:lang w:val="en-US"/>
        </w:rPr>
        <w:t xml:space="preserve"> (WHO, 2013)</w:t>
      </w:r>
    </w:p>
  </w:footnote>
  <w:footnote w:id="21">
    <w:p w14:paraId="21CD3B3D" w14:textId="77777777" w:rsidR="0075056C" w:rsidRPr="003D11E7" w:rsidRDefault="0075056C" w:rsidP="005A003D">
      <w:pPr>
        <w:pStyle w:val="FootnoteText"/>
        <w:rPr>
          <w:lang w:val="en-US"/>
        </w:rPr>
      </w:pPr>
      <w:r>
        <w:rPr>
          <w:rStyle w:val="FootnoteReference"/>
        </w:rPr>
        <w:footnoteRef/>
      </w:r>
      <w:r w:rsidRPr="003D11E7">
        <w:rPr>
          <w:rFonts w:ascii="Arial" w:hAnsi="Arial" w:cs="Arial"/>
          <w:i/>
          <w:sz w:val="18"/>
          <w:szCs w:val="18"/>
          <w:lang w:val="en-US"/>
        </w:rPr>
        <w:t xml:space="preserve">International Standards for Tuberculosis Care, Edition 3 </w:t>
      </w:r>
      <w:r w:rsidRPr="003D11E7">
        <w:rPr>
          <w:rFonts w:ascii="Arial" w:hAnsi="Arial" w:cs="Arial"/>
          <w:sz w:val="18"/>
          <w:szCs w:val="18"/>
          <w:lang w:val="en-US"/>
        </w:rPr>
        <w:t>(TB CARE I, 2014)</w:t>
      </w:r>
    </w:p>
  </w:footnote>
  <w:footnote w:id="22">
    <w:p w14:paraId="59665519" w14:textId="77777777" w:rsidR="0075056C" w:rsidRPr="00AB160D" w:rsidRDefault="0075056C" w:rsidP="005A003D">
      <w:pPr>
        <w:pStyle w:val="FootnoteText"/>
        <w:rPr>
          <w:rFonts w:ascii="Arial" w:hAnsi="Arial" w:cs="Arial"/>
          <w:sz w:val="18"/>
          <w:szCs w:val="18"/>
          <w:lang w:val="en-US"/>
        </w:rPr>
      </w:pPr>
      <w:r w:rsidRPr="00AB160D">
        <w:rPr>
          <w:rStyle w:val="FootnoteReference"/>
          <w:rFonts w:ascii="Arial" w:hAnsi="Arial" w:cs="Arial"/>
          <w:sz w:val="18"/>
          <w:szCs w:val="18"/>
        </w:rPr>
        <w:footnoteRef/>
      </w:r>
      <w:r w:rsidRPr="00AB160D">
        <w:rPr>
          <w:rFonts w:ascii="Arial" w:hAnsi="Arial" w:cs="Arial"/>
          <w:i/>
          <w:sz w:val="18"/>
          <w:szCs w:val="18"/>
          <w:lang w:val="en-US"/>
        </w:rPr>
        <w:t>Guideline: nutritional care and support for patients with tuberculosis</w:t>
      </w:r>
      <w:r w:rsidRPr="00AB160D">
        <w:rPr>
          <w:rFonts w:ascii="Arial" w:hAnsi="Arial" w:cs="Arial"/>
          <w:sz w:val="18"/>
          <w:szCs w:val="18"/>
          <w:lang w:val="en-US"/>
        </w:rPr>
        <w:t xml:space="preserve"> (WHO, 2013)</w:t>
      </w:r>
    </w:p>
  </w:footnote>
  <w:footnote w:id="23">
    <w:p w14:paraId="45DB73ED" w14:textId="77777777" w:rsidR="0075056C" w:rsidRPr="00AB160D" w:rsidRDefault="0075056C" w:rsidP="005A003D">
      <w:pPr>
        <w:pStyle w:val="FootnoteText"/>
        <w:rPr>
          <w:rFonts w:ascii="Arial" w:hAnsi="Arial" w:cs="Arial"/>
          <w:sz w:val="18"/>
          <w:szCs w:val="18"/>
          <w:lang w:val="en-US"/>
        </w:rPr>
      </w:pPr>
      <w:r w:rsidRPr="00AB160D">
        <w:rPr>
          <w:rStyle w:val="FootnoteReference"/>
          <w:rFonts w:ascii="Arial" w:hAnsi="Arial" w:cs="Arial"/>
          <w:sz w:val="18"/>
          <w:szCs w:val="18"/>
        </w:rPr>
        <w:footnoteRef/>
      </w:r>
      <w:r w:rsidRPr="00AB160D">
        <w:rPr>
          <w:rFonts w:ascii="Arial" w:hAnsi="Arial" w:cs="Arial"/>
          <w:i/>
          <w:sz w:val="18"/>
          <w:szCs w:val="18"/>
          <w:lang w:val="en-US"/>
        </w:rPr>
        <w:t>Guidelines for intensified tuberculosis case-finding and isoniazid preventive therapy for people living with HIV in resource-constrained settings</w:t>
      </w:r>
      <w:r w:rsidRPr="00AB160D">
        <w:rPr>
          <w:rFonts w:ascii="Arial" w:hAnsi="Arial" w:cs="Arial"/>
          <w:sz w:val="18"/>
          <w:szCs w:val="18"/>
          <w:lang w:val="en-US"/>
        </w:rPr>
        <w:t xml:space="preserve"> (WHO, 2011)</w:t>
      </w:r>
    </w:p>
  </w:footnote>
  <w:footnote w:id="24">
    <w:p w14:paraId="0EFB2EC1" w14:textId="77777777" w:rsidR="0075056C" w:rsidRPr="00102808" w:rsidRDefault="0075056C" w:rsidP="005A003D">
      <w:pPr>
        <w:pStyle w:val="FootnoteText"/>
        <w:rPr>
          <w:rFonts w:ascii="Arial" w:hAnsi="Arial" w:cs="Arial"/>
          <w:sz w:val="18"/>
          <w:szCs w:val="18"/>
          <w:lang w:val="en-US"/>
        </w:rPr>
      </w:pPr>
      <w:r w:rsidRPr="00102808">
        <w:rPr>
          <w:rStyle w:val="FootnoteReference"/>
          <w:rFonts w:ascii="Arial" w:hAnsi="Arial" w:cs="Arial"/>
          <w:sz w:val="18"/>
          <w:szCs w:val="18"/>
        </w:rPr>
        <w:footnoteRef/>
      </w:r>
      <w:r w:rsidRPr="00102808">
        <w:rPr>
          <w:rFonts w:ascii="Arial" w:hAnsi="Arial" w:cs="Arial"/>
          <w:i/>
          <w:sz w:val="18"/>
          <w:szCs w:val="18"/>
          <w:lang w:val="en-US"/>
        </w:rPr>
        <w:t>Collaborative framework for care and control of tuberculosis and diabetes</w:t>
      </w:r>
      <w:r w:rsidRPr="00102808">
        <w:rPr>
          <w:rFonts w:ascii="Arial" w:hAnsi="Arial" w:cs="Arial"/>
          <w:sz w:val="18"/>
          <w:szCs w:val="18"/>
          <w:lang w:val="en-US"/>
        </w:rPr>
        <w:t xml:space="preserve"> (WHO, 2011)</w:t>
      </w:r>
    </w:p>
  </w:footnote>
  <w:footnote w:id="25">
    <w:p w14:paraId="553D6BEB" w14:textId="77777777" w:rsidR="0075056C" w:rsidRPr="00102808" w:rsidRDefault="0075056C" w:rsidP="005A003D">
      <w:pPr>
        <w:pStyle w:val="FootnoteText"/>
        <w:rPr>
          <w:rFonts w:ascii="Arial" w:hAnsi="Arial" w:cs="Arial"/>
          <w:sz w:val="18"/>
          <w:szCs w:val="18"/>
          <w:lang w:val="en-US"/>
        </w:rPr>
      </w:pPr>
      <w:r w:rsidRPr="00102808">
        <w:rPr>
          <w:rStyle w:val="FootnoteReference"/>
          <w:rFonts w:ascii="Arial" w:hAnsi="Arial" w:cs="Arial"/>
          <w:sz w:val="18"/>
          <w:szCs w:val="18"/>
        </w:rPr>
        <w:footnoteRef/>
      </w:r>
      <w:r w:rsidRPr="00102808">
        <w:rPr>
          <w:rFonts w:ascii="Arial" w:hAnsi="Arial" w:cs="Arial"/>
          <w:i/>
          <w:sz w:val="18"/>
          <w:szCs w:val="18"/>
          <w:lang w:val="en-US"/>
        </w:rPr>
        <w:t>Practical approach to lung health (PAL): a primary health care strategy for the integrated management of respiratory conditions in people of five years of age and over</w:t>
      </w:r>
      <w:r w:rsidRPr="00102808">
        <w:rPr>
          <w:rFonts w:ascii="Arial" w:hAnsi="Arial" w:cs="Arial"/>
          <w:sz w:val="18"/>
          <w:szCs w:val="18"/>
          <w:lang w:val="en-US"/>
        </w:rPr>
        <w:t xml:space="preserve"> (WHO, 2005)</w:t>
      </w:r>
    </w:p>
  </w:footnote>
  <w:footnote w:id="26">
    <w:p w14:paraId="3061ECFD" w14:textId="77777777" w:rsidR="0075056C" w:rsidRPr="00102808" w:rsidRDefault="0075056C" w:rsidP="005A003D">
      <w:pPr>
        <w:pStyle w:val="FootnoteText"/>
        <w:rPr>
          <w:rFonts w:ascii="Arial" w:hAnsi="Arial" w:cs="Arial"/>
          <w:sz w:val="18"/>
          <w:szCs w:val="18"/>
          <w:lang w:val="en-US"/>
        </w:rPr>
      </w:pPr>
      <w:r w:rsidRPr="00102808">
        <w:rPr>
          <w:rStyle w:val="FootnoteReference"/>
          <w:rFonts w:ascii="Arial" w:hAnsi="Arial" w:cs="Arial"/>
          <w:sz w:val="18"/>
          <w:szCs w:val="18"/>
        </w:rPr>
        <w:footnoteRef/>
      </w:r>
      <w:r w:rsidRPr="00102808">
        <w:rPr>
          <w:rFonts w:ascii="Arial" w:hAnsi="Arial" w:cs="Arial"/>
          <w:i/>
          <w:sz w:val="18"/>
          <w:szCs w:val="18"/>
          <w:lang w:val="en-US"/>
        </w:rPr>
        <w:t>Policy guidelines for collaborative TB and HIV services for injecting and other drug users: an integrated approach</w:t>
      </w:r>
      <w:r w:rsidRPr="00102808">
        <w:rPr>
          <w:rFonts w:ascii="Arial" w:hAnsi="Arial" w:cs="Arial"/>
          <w:sz w:val="18"/>
          <w:szCs w:val="18"/>
          <w:lang w:val="en-US"/>
        </w:rPr>
        <w:t xml:space="preserve"> (WHO, 2008)</w:t>
      </w:r>
    </w:p>
  </w:footnote>
  <w:footnote w:id="27">
    <w:p w14:paraId="37CD7EDA" w14:textId="77777777" w:rsidR="0075056C" w:rsidRPr="00102808" w:rsidRDefault="0075056C" w:rsidP="005A003D">
      <w:pPr>
        <w:pStyle w:val="FootnoteText"/>
        <w:rPr>
          <w:rFonts w:ascii="Arial" w:hAnsi="Arial" w:cs="Arial"/>
          <w:sz w:val="18"/>
          <w:szCs w:val="18"/>
          <w:lang w:val="en-US"/>
        </w:rPr>
      </w:pPr>
      <w:r w:rsidRPr="00102808">
        <w:rPr>
          <w:rStyle w:val="FootnoteReference"/>
          <w:rFonts w:ascii="Arial" w:hAnsi="Arial" w:cs="Arial"/>
          <w:sz w:val="18"/>
          <w:szCs w:val="18"/>
        </w:rPr>
        <w:footnoteRef/>
      </w:r>
      <w:r w:rsidRPr="00102808">
        <w:rPr>
          <w:rFonts w:ascii="Arial" w:hAnsi="Arial" w:cs="Arial"/>
          <w:i/>
          <w:sz w:val="18"/>
          <w:szCs w:val="18"/>
          <w:lang w:val="en-US"/>
        </w:rPr>
        <w:t>WHO policy on TB infection control in health-care facilities, congregate settings and households</w:t>
      </w:r>
      <w:r w:rsidRPr="00102808">
        <w:rPr>
          <w:rFonts w:ascii="Arial" w:hAnsi="Arial" w:cs="Arial"/>
          <w:sz w:val="18"/>
          <w:szCs w:val="18"/>
          <w:lang w:val="en-US"/>
        </w:rPr>
        <w:t xml:space="preserve"> (WHO, 2009)</w:t>
      </w:r>
    </w:p>
  </w:footnote>
  <w:footnote w:id="28">
    <w:p w14:paraId="61883BF9" w14:textId="77777777" w:rsidR="0075056C" w:rsidRPr="00307B04" w:rsidRDefault="0075056C" w:rsidP="005A003D">
      <w:pPr>
        <w:pStyle w:val="FootnoteText"/>
        <w:rPr>
          <w:rFonts w:ascii="Times New Roman" w:hAnsi="Times New Roman" w:cs="Times New Roman"/>
          <w:sz w:val="18"/>
          <w:lang w:val="en-US"/>
        </w:rPr>
      </w:pPr>
      <w:r w:rsidRPr="00307B04">
        <w:rPr>
          <w:rStyle w:val="FootnoteReference"/>
          <w:rFonts w:ascii="Times New Roman" w:hAnsi="Times New Roman" w:cs="Times New Roman"/>
          <w:sz w:val="18"/>
          <w:vertAlign w:val="baseline"/>
        </w:rPr>
        <w:footnoteRef/>
      </w:r>
      <w:r w:rsidRPr="00307B04">
        <w:rPr>
          <w:rFonts w:ascii="Times New Roman" w:hAnsi="Times New Roman" w:cs="Times New Roman"/>
          <w:sz w:val="18"/>
          <w:lang w:val="en-US"/>
        </w:rPr>
        <w:t>.Companion handbook to the WHO guidelines for the programmatic management of drug-resistant tuberculosis (WHO, 2014)</w:t>
      </w:r>
    </w:p>
  </w:footnote>
  <w:footnote w:id="29">
    <w:p w14:paraId="4271A3F0" w14:textId="77777777" w:rsidR="0075056C" w:rsidRPr="00307B04" w:rsidRDefault="0075056C" w:rsidP="005A003D">
      <w:pPr>
        <w:pStyle w:val="FootnoteText"/>
        <w:rPr>
          <w:rFonts w:ascii="Times New Roman" w:hAnsi="Times New Roman" w:cs="Times New Roman"/>
          <w:sz w:val="18"/>
          <w:lang w:val="en-US"/>
        </w:rPr>
      </w:pPr>
      <w:r w:rsidRPr="00307B04">
        <w:rPr>
          <w:rStyle w:val="FootnoteReference"/>
          <w:rFonts w:ascii="Times New Roman" w:hAnsi="Times New Roman" w:cs="Times New Roman"/>
          <w:sz w:val="18"/>
          <w:vertAlign w:val="baseline"/>
        </w:rPr>
        <w:footnoteRef/>
      </w:r>
      <w:proofErr w:type="gramStart"/>
      <w:r w:rsidRPr="00307B04">
        <w:rPr>
          <w:rFonts w:ascii="Times New Roman" w:hAnsi="Times New Roman" w:cs="Times New Roman"/>
          <w:sz w:val="18"/>
          <w:lang w:val="en-US"/>
        </w:rPr>
        <w:t xml:space="preserve">.The use of </w:t>
      </w:r>
      <w:proofErr w:type="spellStart"/>
      <w:r w:rsidRPr="00307B04">
        <w:rPr>
          <w:rFonts w:ascii="Times New Roman" w:hAnsi="Times New Roman" w:cs="Times New Roman"/>
          <w:sz w:val="18"/>
          <w:lang w:val="en-US"/>
        </w:rPr>
        <w:t>bedaquiline</w:t>
      </w:r>
      <w:proofErr w:type="spellEnd"/>
      <w:r w:rsidRPr="00307B04">
        <w:rPr>
          <w:rFonts w:ascii="Times New Roman" w:hAnsi="Times New Roman" w:cs="Times New Roman"/>
          <w:sz w:val="18"/>
          <w:lang w:val="en-US"/>
        </w:rPr>
        <w:t xml:space="preserve"> in the treatment of multidrug-resistant tuberculosis.</w:t>
      </w:r>
      <w:proofErr w:type="gramEnd"/>
      <w:r w:rsidRPr="00307B04">
        <w:rPr>
          <w:rFonts w:ascii="Times New Roman" w:hAnsi="Times New Roman" w:cs="Times New Roman"/>
          <w:sz w:val="18"/>
          <w:lang w:val="en-US"/>
        </w:rPr>
        <w:t xml:space="preserve"> Interim policy guidance (WHO, 2013)</w:t>
      </w:r>
    </w:p>
  </w:footnote>
  <w:footnote w:id="30">
    <w:p w14:paraId="1CAAF7EB" w14:textId="77777777" w:rsidR="0075056C" w:rsidRPr="00307B04" w:rsidRDefault="0075056C" w:rsidP="005A003D">
      <w:pPr>
        <w:pStyle w:val="FootnoteText"/>
        <w:rPr>
          <w:rFonts w:ascii="Times New Roman" w:hAnsi="Times New Roman" w:cs="Times New Roman"/>
          <w:sz w:val="18"/>
          <w:lang w:val="en-US"/>
        </w:rPr>
      </w:pPr>
      <w:r w:rsidRPr="00307B04">
        <w:rPr>
          <w:rStyle w:val="FootnoteReference"/>
          <w:rFonts w:ascii="Times New Roman" w:hAnsi="Times New Roman" w:cs="Times New Roman"/>
          <w:sz w:val="18"/>
          <w:vertAlign w:val="baseline"/>
        </w:rPr>
        <w:footnoteRef/>
      </w:r>
      <w:proofErr w:type="gramStart"/>
      <w:r w:rsidRPr="00307B04">
        <w:rPr>
          <w:rFonts w:ascii="Times New Roman" w:hAnsi="Times New Roman" w:cs="Times New Roman"/>
          <w:sz w:val="18"/>
          <w:lang w:val="en-US"/>
        </w:rPr>
        <w:t xml:space="preserve">.The use of </w:t>
      </w:r>
      <w:proofErr w:type="spellStart"/>
      <w:r w:rsidRPr="00307B04">
        <w:rPr>
          <w:rFonts w:ascii="Times New Roman" w:hAnsi="Times New Roman" w:cs="Times New Roman"/>
          <w:sz w:val="18"/>
          <w:lang w:val="en-US"/>
        </w:rPr>
        <w:t>delamanid</w:t>
      </w:r>
      <w:proofErr w:type="spellEnd"/>
      <w:r w:rsidRPr="00307B04">
        <w:rPr>
          <w:rFonts w:ascii="Times New Roman" w:hAnsi="Times New Roman" w:cs="Times New Roman"/>
          <w:sz w:val="18"/>
          <w:lang w:val="en-US"/>
        </w:rPr>
        <w:t xml:space="preserve"> in the treatment of multidrug-resistant tuberculosis.</w:t>
      </w:r>
      <w:proofErr w:type="gramEnd"/>
      <w:r w:rsidRPr="00307B04">
        <w:rPr>
          <w:rFonts w:ascii="Times New Roman" w:hAnsi="Times New Roman" w:cs="Times New Roman"/>
          <w:sz w:val="18"/>
          <w:lang w:val="en-US"/>
        </w:rPr>
        <w:t xml:space="preserve"> Interim policy guidance (WHO, 2014)</w:t>
      </w:r>
    </w:p>
  </w:footnote>
  <w:footnote w:id="31">
    <w:p w14:paraId="65F5C205" w14:textId="77777777" w:rsidR="0075056C" w:rsidRPr="00307B04" w:rsidRDefault="0075056C">
      <w:pPr>
        <w:pStyle w:val="FootnoteText"/>
        <w:rPr>
          <w:rFonts w:ascii="Times New Roman" w:hAnsi="Times New Roman" w:cs="Times New Roman"/>
          <w:lang w:val="en-US"/>
        </w:rPr>
      </w:pPr>
      <w:r w:rsidRPr="00307B04">
        <w:rPr>
          <w:rStyle w:val="FootnoteReference"/>
          <w:rFonts w:ascii="Times New Roman" w:hAnsi="Times New Roman" w:cs="Times New Roman"/>
          <w:sz w:val="18"/>
          <w:vertAlign w:val="baseline"/>
        </w:rPr>
        <w:footnoteRef/>
      </w:r>
      <w:r w:rsidRPr="00307B04">
        <w:rPr>
          <w:rFonts w:ascii="Times New Roman" w:hAnsi="Times New Roman" w:cs="Times New Roman"/>
          <w:sz w:val="18"/>
          <w:lang w:val="en-US"/>
        </w:rPr>
        <w:t xml:space="preserve">. As of May 2018, Approved by </w:t>
      </w:r>
      <w:proofErr w:type="spellStart"/>
      <w:r w:rsidRPr="00307B04">
        <w:rPr>
          <w:rFonts w:ascii="Times New Roman" w:hAnsi="Times New Roman" w:cs="Times New Roman"/>
          <w:sz w:val="18"/>
          <w:lang w:val="en-US"/>
        </w:rPr>
        <w:t>MoLHSA</w:t>
      </w:r>
      <w:proofErr w:type="spellEnd"/>
    </w:p>
  </w:footnote>
  <w:footnote w:id="32">
    <w:p w14:paraId="202116E1" w14:textId="77777777" w:rsidR="0075056C" w:rsidRPr="0055024A" w:rsidRDefault="0075056C" w:rsidP="005A003D">
      <w:pPr>
        <w:pStyle w:val="FootnoteText"/>
        <w:rPr>
          <w:rFonts w:ascii="Arial" w:hAnsi="Arial" w:cs="Arial"/>
          <w:sz w:val="18"/>
          <w:szCs w:val="18"/>
          <w:lang w:val="en-US"/>
        </w:rPr>
      </w:pPr>
      <w:r w:rsidRPr="0055024A">
        <w:rPr>
          <w:rStyle w:val="FootnoteReference"/>
          <w:rFonts w:ascii="Arial" w:hAnsi="Arial" w:cs="Arial"/>
          <w:sz w:val="18"/>
          <w:szCs w:val="18"/>
        </w:rPr>
        <w:footnoteRef/>
      </w:r>
      <w:r w:rsidRPr="0055024A">
        <w:rPr>
          <w:rFonts w:ascii="Arial" w:hAnsi="Arial" w:cs="Arial"/>
          <w:sz w:val="18"/>
          <w:szCs w:val="18"/>
          <w:lang w:val="en-US"/>
        </w:rPr>
        <w:t>Implemented by the Uppsala Monitoring Center (UMC) in Sweden</w:t>
      </w:r>
    </w:p>
  </w:footnote>
  <w:footnote w:id="33">
    <w:p w14:paraId="30778025" w14:textId="77777777" w:rsidR="0075056C" w:rsidRPr="00DF1D9A" w:rsidRDefault="0075056C" w:rsidP="005A003D">
      <w:pPr>
        <w:pStyle w:val="FootnoteText"/>
        <w:rPr>
          <w:rFonts w:ascii="Arial" w:hAnsi="Arial" w:cs="Arial"/>
          <w:sz w:val="18"/>
          <w:szCs w:val="18"/>
          <w:lang w:val="en-US"/>
        </w:rPr>
      </w:pPr>
      <w:r w:rsidRPr="00DF1D9A">
        <w:rPr>
          <w:rStyle w:val="FootnoteReference"/>
          <w:rFonts w:ascii="Arial" w:hAnsi="Arial" w:cs="Arial"/>
          <w:sz w:val="18"/>
          <w:szCs w:val="18"/>
        </w:rPr>
        <w:footnoteRef/>
      </w:r>
      <w:r w:rsidRPr="00DF1D9A">
        <w:rPr>
          <w:rFonts w:ascii="Arial" w:hAnsi="Arial" w:cs="Arial"/>
          <w:i/>
          <w:sz w:val="18"/>
          <w:szCs w:val="18"/>
          <w:lang w:val="en-US"/>
        </w:rPr>
        <w:t>International Standards for Tuberculosis Care, Edition 3</w:t>
      </w:r>
      <w:r w:rsidRPr="00DF1D9A">
        <w:rPr>
          <w:rFonts w:ascii="Arial" w:hAnsi="Arial" w:cs="Arial"/>
          <w:sz w:val="18"/>
          <w:szCs w:val="18"/>
          <w:lang w:val="en-US"/>
        </w:rPr>
        <w:t xml:space="preserve"> (TB CARE I, 2014)</w:t>
      </w:r>
    </w:p>
  </w:footnote>
  <w:footnote w:id="34">
    <w:p w14:paraId="737BCD13" w14:textId="77777777" w:rsidR="0075056C" w:rsidRPr="003223FA" w:rsidRDefault="0075056C" w:rsidP="005A003D">
      <w:pPr>
        <w:pStyle w:val="FootnoteText"/>
        <w:rPr>
          <w:rFonts w:ascii="Arial" w:hAnsi="Arial" w:cs="Arial"/>
          <w:sz w:val="18"/>
          <w:szCs w:val="18"/>
          <w:lang w:val="en-US"/>
        </w:rPr>
      </w:pPr>
      <w:r w:rsidRPr="003223FA">
        <w:rPr>
          <w:rStyle w:val="FootnoteReference"/>
          <w:rFonts w:ascii="Arial" w:hAnsi="Arial" w:cs="Arial"/>
          <w:sz w:val="18"/>
          <w:szCs w:val="18"/>
        </w:rPr>
        <w:footnoteRef/>
      </w:r>
      <w:r w:rsidRPr="003223FA">
        <w:rPr>
          <w:rFonts w:ascii="Arial" w:hAnsi="Arial" w:cs="Arial"/>
          <w:i/>
          <w:sz w:val="18"/>
          <w:szCs w:val="18"/>
          <w:lang w:val="en-US"/>
        </w:rPr>
        <w:t>Collaborative framework for care and control of tuberculosis and diabetes</w:t>
      </w:r>
      <w:r w:rsidRPr="003223FA">
        <w:rPr>
          <w:rFonts w:ascii="Arial" w:hAnsi="Arial" w:cs="Arial"/>
          <w:sz w:val="18"/>
          <w:szCs w:val="18"/>
          <w:lang w:val="en-US"/>
        </w:rPr>
        <w:t xml:space="preserve"> (WHO, 2011)</w:t>
      </w:r>
    </w:p>
  </w:footnote>
  <w:footnote w:id="35">
    <w:p w14:paraId="6F775699" w14:textId="77777777" w:rsidR="0075056C" w:rsidRPr="003223FA" w:rsidRDefault="0075056C" w:rsidP="005A003D">
      <w:pPr>
        <w:pStyle w:val="FootnoteText"/>
        <w:rPr>
          <w:rFonts w:ascii="Arial" w:hAnsi="Arial" w:cs="Arial"/>
          <w:sz w:val="18"/>
          <w:szCs w:val="18"/>
          <w:lang w:val="en-US"/>
        </w:rPr>
      </w:pPr>
      <w:r w:rsidRPr="003223FA">
        <w:rPr>
          <w:rStyle w:val="FootnoteReference"/>
          <w:rFonts w:ascii="Arial" w:hAnsi="Arial" w:cs="Arial"/>
          <w:sz w:val="18"/>
          <w:szCs w:val="18"/>
        </w:rPr>
        <w:footnoteRef/>
      </w:r>
      <w:r w:rsidRPr="003223FA">
        <w:rPr>
          <w:rFonts w:ascii="Arial" w:hAnsi="Arial" w:cs="Arial"/>
          <w:i/>
          <w:sz w:val="18"/>
          <w:szCs w:val="18"/>
          <w:lang w:val="en-US"/>
        </w:rPr>
        <w:t>Guideline: Nutritional care and support for patients with tuberculosis</w:t>
      </w:r>
      <w:r w:rsidRPr="003223FA">
        <w:rPr>
          <w:rFonts w:ascii="Arial" w:hAnsi="Arial" w:cs="Arial"/>
          <w:sz w:val="18"/>
          <w:szCs w:val="18"/>
          <w:lang w:val="en-US"/>
        </w:rPr>
        <w:t xml:space="preserve"> (WHO, 2013)</w:t>
      </w:r>
    </w:p>
  </w:footnote>
  <w:footnote w:id="36">
    <w:p w14:paraId="50421FCC" w14:textId="77777777" w:rsidR="0075056C" w:rsidRPr="00C553F7" w:rsidRDefault="0075056C" w:rsidP="005A003D">
      <w:pPr>
        <w:pStyle w:val="FootnoteText"/>
        <w:rPr>
          <w:rFonts w:ascii="Arial" w:hAnsi="Arial" w:cs="Arial"/>
          <w:sz w:val="18"/>
          <w:szCs w:val="18"/>
          <w:lang w:val="en-US"/>
        </w:rPr>
      </w:pPr>
      <w:r w:rsidRPr="00C553F7">
        <w:rPr>
          <w:rStyle w:val="FootnoteReference"/>
          <w:rFonts w:ascii="Arial" w:hAnsi="Arial" w:cs="Arial"/>
          <w:sz w:val="18"/>
          <w:szCs w:val="18"/>
        </w:rPr>
        <w:footnoteRef/>
      </w:r>
      <w:r w:rsidRPr="00C553F7">
        <w:rPr>
          <w:rFonts w:ascii="Arial" w:hAnsi="Arial" w:cs="Arial"/>
          <w:i/>
          <w:sz w:val="18"/>
          <w:szCs w:val="18"/>
          <w:lang w:val="en-US"/>
        </w:rPr>
        <w:t>International Standards for Tuberculosis Care, Edition 3</w:t>
      </w:r>
      <w:r w:rsidRPr="00C553F7">
        <w:rPr>
          <w:rFonts w:ascii="Arial" w:hAnsi="Arial" w:cs="Arial"/>
          <w:sz w:val="18"/>
          <w:szCs w:val="18"/>
          <w:lang w:val="en-US"/>
        </w:rPr>
        <w:t xml:space="preserve"> (TB CARE I, 2014)</w:t>
      </w:r>
    </w:p>
  </w:footnote>
  <w:footnote w:id="37">
    <w:p w14:paraId="13CAA476" w14:textId="77777777" w:rsidR="0075056C" w:rsidRPr="00C553F7" w:rsidRDefault="0075056C" w:rsidP="005A003D">
      <w:pPr>
        <w:pStyle w:val="FootnoteText"/>
        <w:rPr>
          <w:rFonts w:ascii="Arial" w:hAnsi="Arial" w:cs="Arial"/>
          <w:sz w:val="18"/>
          <w:szCs w:val="18"/>
          <w:lang w:val="en-US"/>
        </w:rPr>
      </w:pPr>
      <w:r w:rsidRPr="00C553F7">
        <w:rPr>
          <w:rStyle w:val="FootnoteReference"/>
          <w:rFonts w:ascii="Arial" w:hAnsi="Arial" w:cs="Arial"/>
          <w:sz w:val="18"/>
          <w:szCs w:val="18"/>
        </w:rPr>
        <w:footnoteRef/>
      </w:r>
      <w:r w:rsidRPr="00C553F7">
        <w:rPr>
          <w:rFonts w:ascii="Arial" w:hAnsi="Arial" w:cs="Arial"/>
          <w:i/>
          <w:sz w:val="18"/>
          <w:szCs w:val="18"/>
          <w:lang w:val="en-US"/>
        </w:rPr>
        <w:t>Guidelines on the management of latent tuberculosis infection</w:t>
      </w:r>
      <w:r w:rsidRPr="00C553F7">
        <w:rPr>
          <w:rFonts w:ascii="Arial" w:hAnsi="Arial" w:cs="Arial"/>
          <w:sz w:val="18"/>
          <w:szCs w:val="18"/>
          <w:lang w:val="en-US"/>
        </w:rPr>
        <w:t xml:space="preserve"> (WHO, 2015)</w:t>
      </w:r>
    </w:p>
  </w:footnote>
  <w:footnote w:id="38">
    <w:p w14:paraId="6014040E" w14:textId="77777777" w:rsidR="0075056C" w:rsidRPr="006323CE" w:rsidRDefault="0075056C" w:rsidP="005A003D">
      <w:pPr>
        <w:pStyle w:val="FootnoteText"/>
        <w:rPr>
          <w:rFonts w:ascii="Arial" w:hAnsi="Arial" w:cs="Arial"/>
          <w:sz w:val="18"/>
          <w:szCs w:val="18"/>
          <w:lang w:val="en-US"/>
        </w:rPr>
      </w:pPr>
      <w:r w:rsidRPr="006323CE">
        <w:rPr>
          <w:rStyle w:val="FootnoteReference"/>
          <w:rFonts w:ascii="Arial" w:hAnsi="Arial" w:cs="Arial"/>
          <w:sz w:val="18"/>
          <w:szCs w:val="18"/>
          <w:vertAlign w:val="baseline"/>
        </w:rPr>
        <w:footnoteRef/>
      </w:r>
      <w:r>
        <w:rPr>
          <w:rFonts w:ascii="Arial" w:hAnsi="Arial" w:cs="Arial"/>
          <w:i/>
          <w:sz w:val="18"/>
          <w:szCs w:val="18"/>
          <w:lang w:val="en-US"/>
        </w:rPr>
        <w:t>.</w:t>
      </w:r>
      <w:r w:rsidRPr="006323CE">
        <w:rPr>
          <w:rFonts w:ascii="Arial" w:hAnsi="Arial" w:cs="Arial"/>
          <w:i/>
          <w:sz w:val="18"/>
          <w:szCs w:val="18"/>
          <w:lang w:val="en-US"/>
        </w:rPr>
        <w:t>BCG vaccine</w:t>
      </w:r>
      <w:r w:rsidRPr="006323CE">
        <w:rPr>
          <w:rFonts w:ascii="Arial" w:hAnsi="Arial" w:cs="Arial"/>
          <w:sz w:val="18"/>
          <w:szCs w:val="18"/>
          <w:lang w:val="en-US"/>
        </w:rPr>
        <w:t xml:space="preserve"> (WHO Weekly epidemiological record No. 4, 2004, 79, p. 27-38)</w:t>
      </w:r>
    </w:p>
  </w:footnote>
  <w:footnote w:id="39">
    <w:p w14:paraId="7AEC67F8" w14:textId="77777777" w:rsidR="0075056C" w:rsidRPr="009E5441" w:rsidRDefault="0075056C" w:rsidP="005A003D">
      <w:pPr>
        <w:pStyle w:val="FootnoteText"/>
        <w:rPr>
          <w:rFonts w:ascii="Times New Roman" w:hAnsi="Times New Roman" w:cs="Times New Roman"/>
          <w:sz w:val="18"/>
          <w:szCs w:val="18"/>
          <w:lang w:val="en-US"/>
        </w:rPr>
      </w:pPr>
      <w:r w:rsidRPr="006323CE">
        <w:rPr>
          <w:rStyle w:val="FootnoteReference"/>
          <w:rFonts w:ascii="Times New Roman" w:hAnsi="Times New Roman" w:cs="Times New Roman"/>
          <w:sz w:val="18"/>
          <w:szCs w:val="18"/>
          <w:vertAlign w:val="baseline"/>
        </w:rPr>
        <w:footnoteRef/>
      </w:r>
      <w:r>
        <w:rPr>
          <w:rFonts w:ascii="Times New Roman" w:hAnsi="Times New Roman" w:cs="Times New Roman"/>
          <w:i/>
          <w:sz w:val="18"/>
          <w:szCs w:val="18"/>
          <w:lang w:val="en-US"/>
        </w:rPr>
        <w:t>.</w:t>
      </w:r>
      <w:r w:rsidRPr="006323CE">
        <w:rPr>
          <w:rFonts w:ascii="Times New Roman" w:hAnsi="Times New Roman" w:cs="Times New Roman"/>
          <w:i/>
          <w:sz w:val="18"/>
          <w:szCs w:val="18"/>
          <w:lang w:val="en-US"/>
        </w:rPr>
        <w:t>Revised BCG vaccination guidelines for infants at risk for HIV infection</w:t>
      </w:r>
      <w:r w:rsidRPr="006323CE">
        <w:rPr>
          <w:rFonts w:ascii="Times New Roman" w:hAnsi="Times New Roman" w:cs="Times New Roman"/>
          <w:sz w:val="18"/>
          <w:szCs w:val="18"/>
          <w:lang w:val="en-US"/>
        </w:rPr>
        <w:t xml:space="preserve"> (WHO Weekly epidemiological record No. 21, 2007, 82, p. 193-196)</w:t>
      </w:r>
    </w:p>
  </w:footnote>
  <w:footnote w:id="40">
    <w:p w14:paraId="5A5DA1F5" w14:textId="77777777" w:rsidR="0075056C" w:rsidRPr="00E3162D" w:rsidRDefault="0075056C">
      <w:pPr>
        <w:pStyle w:val="FootnoteText"/>
        <w:rPr>
          <w:lang w:val="en-US"/>
        </w:rPr>
      </w:pPr>
      <w:r w:rsidRPr="009E5441">
        <w:rPr>
          <w:rStyle w:val="FootnoteReference"/>
          <w:rFonts w:ascii="Times New Roman" w:hAnsi="Times New Roman" w:cs="Times New Roman"/>
        </w:rPr>
        <w:footnoteRef/>
      </w:r>
      <w:r w:rsidRPr="009E5441">
        <w:rPr>
          <w:rFonts w:ascii="Times New Roman" w:hAnsi="Times New Roman" w:cs="Times New Roman"/>
          <w:lang w:val="en-US"/>
        </w:rPr>
        <w:t xml:space="preserve"> The law on Tuberculosis Control, Paragraph 14</w:t>
      </w:r>
    </w:p>
  </w:footnote>
  <w:footnote w:id="41">
    <w:p w14:paraId="551B206D" w14:textId="77777777" w:rsidR="0075056C" w:rsidRPr="006E20E7" w:rsidRDefault="0075056C" w:rsidP="00EC66F1">
      <w:pPr>
        <w:pStyle w:val="FootnoteText"/>
        <w:rPr>
          <w:rFonts w:ascii="Arial" w:hAnsi="Arial" w:cs="Arial"/>
          <w:sz w:val="18"/>
          <w:szCs w:val="18"/>
          <w:lang w:val="en-US"/>
        </w:rPr>
      </w:pPr>
      <w:r w:rsidRPr="006E20E7">
        <w:rPr>
          <w:rStyle w:val="FootnoteReference"/>
          <w:rFonts w:ascii="Arial" w:hAnsi="Arial" w:cs="Arial"/>
          <w:sz w:val="18"/>
          <w:szCs w:val="18"/>
        </w:rPr>
        <w:footnoteRef/>
      </w:r>
      <w:r w:rsidRPr="006E20E7">
        <w:rPr>
          <w:rFonts w:ascii="Arial" w:hAnsi="Arial" w:cs="Arial"/>
          <w:sz w:val="18"/>
          <w:szCs w:val="18"/>
          <w:lang w:val="en-US"/>
        </w:rPr>
        <w:t xml:space="preserve"> Government of Georgia, Decree No. 724, 26 December 2014, ‘On Approval of Georgian Healthcare System State Concept 2014-2020: Universal Healthcare and Quality Management for Protection of Patient Rights’</w:t>
      </w:r>
    </w:p>
  </w:footnote>
  <w:footnote w:id="42">
    <w:p w14:paraId="0CB7C912" w14:textId="77777777" w:rsidR="0075056C" w:rsidRPr="0037051C" w:rsidRDefault="0075056C" w:rsidP="006150BF">
      <w:pPr>
        <w:pStyle w:val="FootnoteText"/>
        <w:rPr>
          <w:rFonts w:ascii="Times New Roman" w:hAnsi="Times New Roman" w:cs="Times New Roman"/>
          <w:lang w:val="ka-GE"/>
        </w:rPr>
      </w:pPr>
      <w:r w:rsidRPr="0037051C">
        <w:rPr>
          <w:rStyle w:val="FootnoteReference"/>
          <w:rFonts w:ascii="Times New Roman" w:hAnsi="Times New Roman" w:cs="Times New Roman"/>
          <w:vertAlign w:val="baseline"/>
        </w:rPr>
        <w:footnoteRef/>
      </w:r>
      <w:r w:rsidRPr="0037051C">
        <w:rPr>
          <w:rFonts w:ascii="Times New Roman" w:hAnsi="Times New Roman" w:cs="Times New Roman"/>
          <w:lang w:val="en-US"/>
        </w:rPr>
        <w:t xml:space="preserve"> Rapid assessment of human resources for TB in Georgia, April 2017, Andrei </w:t>
      </w:r>
      <w:proofErr w:type="spellStart"/>
      <w:r w:rsidRPr="0037051C">
        <w:rPr>
          <w:rFonts w:ascii="Times New Roman" w:hAnsi="Times New Roman" w:cs="Times New Roman"/>
          <w:lang w:val="en-US"/>
        </w:rPr>
        <w:t>Mosneaga</w:t>
      </w:r>
      <w:proofErr w:type="spellEnd"/>
      <w:r w:rsidRPr="0037051C">
        <w:rPr>
          <w:rFonts w:ascii="Times New Roman" w:hAnsi="Times New Roman" w:cs="Times New Roman"/>
          <w:lang w:val="en-US"/>
        </w:rPr>
        <w:t xml:space="preserve">, Consultant, USAID </w:t>
      </w:r>
    </w:p>
  </w:footnote>
  <w:footnote w:id="43">
    <w:p w14:paraId="01A9785B" w14:textId="77777777" w:rsidR="0075056C" w:rsidRPr="001D5B8E" w:rsidRDefault="0075056C" w:rsidP="00EC66F1">
      <w:pPr>
        <w:pStyle w:val="FootnoteText"/>
        <w:rPr>
          <w:rFonts w:ascii="Arial" w:hAnsi="Arial" w:cs="Arial"/>
          <w:sz w:val="18"/>
          <w:szCs w:val="18"/>
          <w:lang w:val="en-US"/>
        </w:rPr>
      </w:pPr>
      <w:r w:rsidRPr="001D5B8E">
        <w:rPr>
          <w:rStyle w:val="FootnoteReference"/>
          <w:rFonts w:ascii="Arial" w:hAnsi="Arial" w:cs="Arial"/>
          <w:sz w:val="18"/>
          <w:szCs w:val="18"/>
        </w:rPr>
        <w:footnoteRef/>
      </w:r>
      <w:r w:rsidRPr="001D5B8E">
        <w:rPr>
          <w:rFonts w:ascii="Arial" w:hAnsi="Arial" w:cs="Arial"/>
          <w:i/>
          <w:sz w:val="18"/>
          <w:szCs w:val="18"/>
          <w:lang w:val="en-US"/>
        </w:rPr>
        <w:t>Companion handbook to the WHO guidelines for the programmatic management of drug-resistant tuberculosis</w:t>
      </w:r>
      <w:r w:rsidRPr="001D5B8E">
        <w:rPr>
          <w:rFonts w:ascii="Arial" w:hAnsi="Arial" w:cs="Arial"/>
          <w:sz w:val="18"/>
          <w:szCs w:val="18"/>
          <w:lang w:val="en-US"/>
        </w:rPr>
        <w:t xml:space="preserve"> (WHO, 2014)</w:t>
      </w:r>
    </w:p>
  </w:footnote>
  <w:footnote w:id="44">
    <w:p w14:paraId="5D7AF31A" w14:textId="77777777" w:rsidR="0075056C" w:rsidRPr="001D5B8E" w:rsidRDefault="0075056C" w:rsidP="00EC66F1">
      <w:pPr>
        <w:pStyle w:val="FootnoteText"/>
        <w:rPr>
          <w:rFonts w:ascii="Arial" w:hAnsi="Arial" w:cs="Arial"/>
          <w:sz w:val="18"/>
          <w:szCs w:val="18"/>
          <w:lang w:val="en-US"/>
        </w:rPr>
      </w:pPr>
      <w:r w:rsidRPr="001D5B8E">
        <w:rPr>
          <w:rStyle w:val="FootnoteReference"/>
          <w:rFonts w:ascii="Arial" w:hAnsi="Arial" w:cs="Arial"/>
          <w:sz w:val="18"/>
          <w:szCs w:val="18"/>
        </w:rPr>
        <w:footnoteRef/>
      </w:r>
      <w:r w:rsidRPr="001D5B8E">
        <w:rPr>
          <w:rFonts w:ascii="Arial" w:hAnsi="Arial" w:cs="Arial"/>
          <w:sz w:val="18"/>
          <w:szCs w:val="18"/>
          <w:lang w:val="en-US"/>
        </w:rPr>
        <w:t xml:space="preserve"> </w:t>
      </w:r>
      <w:proofErr w:type="spellStart"/>
      <w:r w:rsidRPr="001D5B8E">
        <w:rPr>
          <w:rFonts w:ascii="Arial" w:hAnsi="Arial" w:cs="Arial"/>
          <w:sz w:val="18"/>
          <w:szCs w:val="18"/>
          <w:lang w:val="en-US"/>
        </w:rPr>
        <w:t>MoLHSA</w:t>
      </w:r>
      <w:proofErr w:type="spellEnd"/>
      <w:r w:rsidRPr="001D5B8E">
        <w:rPr>
          <w:rFonts w:ascii="Arial" w:hAnsi="Arial" w:cs="Arial"/>
          <w:sz w:val="18"/>
          <w:szCs w:val="18"/>
          <w:lang w:val="en-US"/>
        </w:rPr>
        <w:t xml:space="preserve"> Order No. 01-282/</w:t>
      </w:r>
      <w:r w:rsidRPr="001D5B8E">
        <w:rPr>
          <w:rFonts w:ascii="Sylfaen" w:hAnsi="Sylfaen" w:cs="Sylfaen"/>
          <w:sz w:val="18"/>
          <w:szCs w:val="18"/>
        </w:rPr>
        <w:t>ო</w:t>
      </w:r>
      <w:r w:rsidRPr="001D5B8E">
        <w:rPr>
          <w:rFonts w:ascii="Arial" w:hAnsi="Arial" w:cs="Arial"/>
          <w:sz w:val="18"/>
          <w:szCs w:val="18"/>
          <w:lang w:val="en-US"/>
        </w:rPr>
        <w:t xml:space="preserve"> from 11 November 2014 </w:t>
      </w:r>
      <w:r w:rsidRPr="001D5B8E">
        <w:rPr>
          <w:rFonts w:ascii="Arial" w:hAnsi="Arial" w:cs="Arial"/>
          <w:i/>
          <w:sz w:val="18"/>
          <w:szCs w:val="18"/>
          <w:lang w:val="en-US"/>
        </w:rPr>
        <w:t>‘On the establishment of the Central Coordination Body for TB Control, the National TB Council, and endorsement of its bylaw’</w:t>
      </w:r>
    </w:p>
  </w:footnote>
  <w:footnote w:id="45">
    <w:p w14:paraId="50CD278E" w14:textId="77777777" w:rsidR="0075056C" w:rsidRPr="000A05B1" w:rsidRDefault="0075056C" w:rsidP="00EC66F1">
      <w:pPr>
        <w:pStyle w:val="FootnoteText"/>
        <w:rPr>
          <w:rFonts w:ascii="Arial" w:hAnsi="Arial" w:cs="Arial"/>
          <w:sz w:val="18"/>
          <w:szCs w:val="18"/>
          <w:lang w:val="en-US"/>
        </w:rPr>
      </w:pPr>
      <w:r w:rsidRPr="000A05B1">
        <w:rPr>
          <w:rStyle w:val="FootnoteReference"/>
          <w:rFonts w:ascii="Arial" w:hAnsi="Arial" w:cs="Arial"/>
          <w:sz w:val="18"/>
          <w:szCs w:val="18"/>
        </w:rPr>
        <w:footnoteRef/>
      </w:r>
      <w:r w:rsidRPr="000A05B1">
        <w:rPr>
          <w:rFonts w:ascii="Arial" w:hAnsi="Arial" w:cs="Arial"/>
          <w:i/>
          <w:sz w:val="18"/>
          <w:szCs w:val="18"/>
          <w:lang w:val="en-US"/>
        </w:rPr>
        <w:t xml:space="preserve">WHO policy on collaborative TB/HIV activities: guidelines for national </w:t>
      </w:r>
      <w:proofErr w:type="spellStart"/>
      <w:r w:rsidRPr="000A05B1">
        <w:rPr>
          <w:rFonts w:ascii="Arial" w:hAnsi="Arial" w:cs="Arial"/>
          <w:i/>
          <w:sz w:val="18"/>
          <w:szCs w:val="18"/>
          <w:lang w:val="en-US"/>
        </w:rPr>
        <w:t>pr</w:t>
      </w:r>
      <w:r>
        <w:rPr>
          <w:rFonts w:ascii="Arial" w:hAnsi="Arial" w:cs="Arial"/>
          <w:i/>
          <w:sz w:val="18"/>
          <w:szCs w:val="18"/>
          <w:lang w:val="en-US"/>
        </w:rPr>
        <w:t>ogrammes</w:t>
      </w:r>
      <w:proofErr w:type="spellEnd"/>
      <w:r>
        <w:rPr>
          <w:rFonts w:ascii="Arial" w:hAnsi="Arial" w:cs="Arial"/>
          <w:i/>
          <w:sz w:val="18"/>
          <w:szCs w:val="18"/>
          <w:lang w:val="en-US"/>
        </w:rPr>
        <w:t xml:space="preserve"> and other stakeholders </w:t>
      </w:r>
      <w:r w:rsidRPr="000A05B1">
        <w:rPr>
          <w:rFonts w:ascii="Arial" w:hAnsi="Arial" w:cs="Arial"/>
          <w:sz w:val="18"/>
          <w:szCs w:val="18"/>
          <w:lang w:val="en-US"/>
        </w:rPr>
        <w:t>(WHO, 2012</w:t>
      </w:r>
      <w:r>
        <w:rPr>
          <w:rFonts w:ascii="Arial" w:hAnsi="Arial" w:cs="Arial"/>
          <w:sz w:val="18"/>
          <w:szCs w:val="18"/>
          <w:lang w:val="en-US"/>
        </w:rPr>
        <w:t>)</w:t>
      </w:r>
    </w:p>
  </w:footnote>
  <w:footnote w:id="46">
    <w:p w14:paraId="6973423C" w14:textId="77777777" w:rsidR="0075056C" w:rsidRPr="00FC2E9F" w:rsidRDefault="0075056C" w:rsidP="00D0703F">
      <w:pPr>
        <w:pStyle w:val="FootnoteText"/>
        <w:rPr>
          <w:lang w:val="en-US"/>
        </w:rPr>
      </w:pPr>
      <w:r>
        <w:rPr>
          <w:rStyle w:val="FootnoteReference"/>
        </w:rPr>
        <w:footnoteRef/>
      </w:r>
      <w:r w:rsidRPr="00FC2E9F">
        <w:rPr>
          <w:lang w:val="en-US"/>
        </w:rPr>
        <w:t xml:space="preserve"> </w:t>
      </w:r>
      <w:proofErr w:type="spellStart"/>
      <w:r w:rsidRPr="00B81A63">
        <w:rPr>
          <w:rFonts w:ascii="Times New Roman" w:hAnsi="Times New Roman" w:cs="Times New Roman"/>
          <w:lang w:val="en-US"/>
        </w:rPr>
        <w:t>Triin</w:t>
      </w:r>
      <w:proofErr w:type="spellEnd"/>
      <w:r w:rsidRPr="00B81A63">
        <w:rPr>
          <w:rFonts w:ascii="Times New Roman" w:hAnsi="Times New Roman" w:cs="Times New Roman"/>
          <w:lang w:val="en-US"/>
        </w:rPr>
        <w:t xml:space="preserve"> </w:t>
      </w:r>
      <w:proofErr w:type="spellStart"/>
      <w:r w:rsidRPr="00B81A63">
        <w:rPr>
          <w:rFonts w:ascii="Times New Roman" w:hAnsi="Times New Roman" w:cs="Times New Roman"/>
          <w:lang w:val="en-US"/>
        </w:rPr>
        <w:t>Habicht</w:t>
      </w:r>
      <w:proofErr w:type="spellEnd"/>
      <w:r w:rsidRPr="00B81A63">
        <w:rPr>
          <w:rFonts w:ascii="Times New Roman" w:hAnsi="Times New Roman" w:cs="Times New Roman"/>
          <w:lang w:val="en-US"/>
        </w:rPr>
        <w:t>, Technical assistance for development of sustainable financing models for TB control in Georgia, January 11, 2017</w:t>
      </w:r>
      <w:r w:rsidRPr="00B81A63">
        <w:rPr>
          <w:rFonts w:ascii="Times New Roman" w:hAnsi="Times New Roman" w:cs="Times New Roman"/>
          <w:lang w:val="ka-GE"/>
        </w:rPr>
        <w:t xml:space="preserve">, </w:t>
      </w:r>
      <w:r w:rsidRPr="00B81A63">
        <w:rPr>
          <w:rFonts w:ascii="Times New Roman" w:hAnsi="Times New Roman" w:cs="Times New Roman"/>
          <w:lang w:val="en-US"/>
        </w:rPr>
        <w:t>TB-REP</w:t>
      </w:r>
    </w:p>
  </w:footnote>
  <w:footnote w:id="47">
    <w:p w14:paraId="05C0D4DD" w14:textId="77777777" w:rsidR="0075056C" w:rsidRPr="00824193" w:rsidRDefault="0075056C" w:rsidP="00DA3221">
      <w:pPr>
        <w:pStyle w:val="FootnoteText"/>
        <w:rPr>
          <w:rFonts w:ascii="Arial" w:hAnsi="Arial" w:cs="Arial"/>
          <w:sz w:val="18"/>
          <w:szCs w:val="18"/>
          <w:lang w:val="en-US"/>
        </w:rPr>
      </w:pPr>
      <w:r w:rsidRPr="00824193">
        <w:rPr>
          <w:rStyle w:val="FootnoteReference"/>
          <w:rFonts w:ascii="Arial" w:hAnsi="Arial" w:cs="Arial"/>
          <w:sz w:val="18"/>
          <w:szCs w:val="18"/>
        </w:rPr>
        <w:footnoteRef/>
      </w:r>
      <w:r w:rsidRPr="00824193">
        <w:rPr>
          <w:rFonts w:ascii="Arial" w:hAnsi="Arial" w:cs="Arial"/>
          <w:i/>
          <w:sz w:val="18"/>
          <w:szCs w:val="18"/>
          <w:lang w:val="en-US"/>
        </w:rPr>
        <w:t>The role of surgery in the treatment of pulmonary TB and multidrug- and extensively drug-resistant TB</w:t>
      </w:r>
      <w:r w:rsidRPr="00824193">
        <w:rPr>
          <w:rFonts w:ascii="Arial" w:hAnsi="Arial" w:cs="Arial"/>
          <w:sz w:val="18"/>
          <w:szCs w:val="18"/>
          <w:lang w:val="en-US"/>
        </w:rPr>
        <w:t xml:space="preserve"> (WHO/EURO, 2014)</w:t>
      </w:r>
    </w:p>
  </w:footnote>
  <w:footnote w:id="48">
    <w:p w14:paraId="51B2C653" w14:textId="77777777" w:rsidR="0075056C" w:rsidRPr="00A3187A" w:rsidRDefault="0075056C" w:rsidP="004923D6">
      <w:pPr>
        <w:pStyle w:val="FootnoteText"/>
        <w:rPr>
          <w:rFonts w:ascii="Arial" w:hAnsi="Arial" w:cs="Arial"/>
          <w:sz w:val="18"/>
          <w:szCs w:val="18"/>
          <w:lang w:val="en-US"/>
        </w:rPr>
      </w:pPr>
      <w:r w:rsidRPr="00A3187A">
        <w:rPr>
          <w:rStyle w:val="FootnoteReference"/>
          <w:rFonts w:ascii="Arial" w:hAnsi="Arial" w:cs="Arial"/>
          <w:sz w:val="18"/>
          <w:szCs w:val="18"/>
        </w:rPr>
        <w:footnoteRef/>
      </w:r>
      <w:r w:rsidRPr="00D129EA">
        <w:rPr>
          <w:rFonts w:ascii="Arial" w:hAnsi="Arial" w:cs="Arial"/>
          <w:i/>
          <w:sz w:val="18"/>
          <w:szCs w:val="18"/>
          <w:lang w:val="en-US"/>
        </w:rPr>
        <w:t>Ethics guidance for the implementation of the End TB Strategy  (WHO, 2017)</w:t>
      </w:r>
    </w:p>
  </w:footnote>
  <w:footnote w:id="49">
    <w:p w14:paraId="526F4627" w14:textId="77777777" w:rsidR="0075056C" w:rsidRPr="00F41204" w:rsidRDefault="0075056C" w:rsidP="00EC66F1">
      <w:pPr>
        <w:pStyle w:val="FootnoteText"/>
        <w:rPr>
          <w:rFonts w:ascii="Arial" w:hAnsi="Arial" w:cs="Arial"/>
          <w:sz w:val="18"/>
          <w:szCs w:val="18"/>
          <w:lang w:val="en-US"/>
        </w:rPr>
      </w:pPr>
      <w:r w:rsidRPr="00F41204">
        <w:rPr>
          <w:rStyle w:val="FootnoteReference"/>
          <w:rFonts w:ascii="Arial" w:hAnsi="Arial" w:cs="Arial"/>
          <w:sz w:val="18"/>
          <w:szCs w:val="18"/>
        </w:rPr>
        <w:footnoteRef/>
      </w:r>
      <w:r w:rsidRPr="00F41204">
        <w:rPr>
          <w:rFonts w:ascii="Arial" w:hAnsi="Arial" w:cs="Arial"/>
          <w:i/>
          <w:sz w:val="18"/>
          <w:szCs w:val="18"/>
          <w:lang w:val="en-US"/>
        </w:rPr>
        <w:t>Patients’ Charter for Tuberculosis Care</w:t>
      </w:r>
      <w:r w:rsidRPr="00F41204">
        <w:rPr>
          <w:rFonts w:ascii="Arial" w:hAnsi="Arial" w:cs="Arial"/>
          <w:sz w:val="18"/>
          <w:szCs w:val="18"/>
          <w:lang w:val="en-US"/>
        </w:rPr>
        <w:t xml:space="preserve"> (World Care Council, 2006)</w:t>
      </w:r>
    </w:p>
  </w:footnote>
  <w:footnote w:id="50">
    <w:p w14:paraId="11E32481" w14:textId="77777777" w:rsidR="0075056C" w:rsidRPr="00342D24" w:rsidRDefault="0075056C" w:rsidP="007E5FC2">
      <w:pPr>
        <w:pStyle w:val="FootnoteText"/>
        <w:rPr>
          <w:rFonts w:ascii="Sylfaen" w:hAnsi="Sylfaen" w:cs="Arial"/>
          <w:sz w:val="18"/>
          <w:szCs w:val="18"/>
          <w:lang w:val="ka-GE"/>
        </w:rPr>
      </w:pPr>
      <w:r w:rsidRPr="00342D24">
        <w:rPr>
          <w:rStyle w:val="FootnoteReference"/>
          <w:rFonts w:ascii="Arial" w:hAnsi="Arial" w:cs="Arial"/>
          <w:sz w:val="14"/>
          <w:szCs w:val="18"/>
          <w:vertAlign w:val="baseline"/>
        </w:rPr>
        <w:footnoteRef/>
      </w:r>
      <w:r w:rsidRPr="00342D24">
        <w:rPr>
          <w:rFonts w:ascii="Arial" w:hAnsi="Arial" w:cs="Arial"/>
          <w:sz w:val="14"/>
          <w:szCs w:val="18"/>
          <w:lang w:val="en-US"/>
        </w:rPr>
        <w:t xml:space="preserve"> Average annual exchange rates (National Bank of Georgia, </w:t>
      </w:r>
      <w:r w:rsidR="00FE34D5">
        <w:fldChar w:fldCharType="begin"/>
      </w:r>
      <w:r w:rsidR="00FE34D5" w:rsidRPr="00D906B2">
        <w:rPr>
          <w:lang w:val="en-US"/>
        </w:rPr>
        <w:instrText xml:space="preserve"> HYPERLINK "http://www.nbg.gov.ge" </w:instrText>
      </w:r>
      <w:r w:rsidR="00FE34D5">
        <w:fldChar w:fldCharType="separate"/>
      </w:r>
      <w:r w:rsidRPr="00342D24">
        <w:rPr>
          <w:rStyle w:val="Hyperlink"/>
          <w:rFonts w:ascii="Arial" w:hAnsi="Arial" w:cs="Arial"/>
          <w:color w:val="auto"/>
          <w:sz w:val="14"/>
          <w:szCs w:val="18"/>
          <w:lang w:val="en-US"/>
        </w:rPr>
        <w:t>www.nbg.gov.ge</w:t>
      </w:r>
      <w:r w:rsidR="00FE34D5">
        <w:rPr>
          <w:rStyle w:val="Hyperlink"/>
          <w:rFonts w:ascii="Arial" w:hAnsi="Arial" w:cs="Arial"/>
          <w:color w:val="auto"/>
          <w:sz w:val="14"/>
          <w:szCs w:val="18"/>
          <w:lang w:val="en-US"/>
        </w:rPr>
        <w:fldChar w:fldCharType="end"/>
      </w:r>
      <w:r w:rsidRPr="00342D24">
        <w:rPr>
          <w:rFonts w:ascii="Arial" w:hAnsi="Arial" w:cs="Arial"/>
          <w:sz w:val="14"/>
          <w:szCs w:val="18"/>
          <w:lang w:val="en-US"/>
        </w:rPr>
        <w:t>), GEL for USD 1: 2012 – 1.651, 2013 – 1.663, 2014 – 1.766.</w:t>
      </w:r>
      <w:r w:rsidRPr="00342D24">
        <w:rPr>
          <w:rFonts w:ascii="Sylfaen" w:hAnsi="Sylfaen" w:cs="Arial"/>
          <w:sz w:val="14"/>
          <w:szCs w:val="18"/>
          <w:lang w:val="ka-GE"/>
        </w:rPr>
        <w:t xml:space="preserve"> 2015-2.2841; 2016-2.3498; 2017-2.4988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863" w:hanging="360"/>
      </w:pPr>
      <w:rPr>
        <w:rFonts w:hint="default"/>
      </w:rPr>
    </w:lvl>
    <w:lvl w:ilvl="1" w:tplc="04190003">
      <w:start w:val="1"/>
      <w:numFmt w:val="bullet"/>
      <w:lvlText w:val="o"/>
      <w:lvlJc w:val="left"/>
      <w:pPr>
        <w:ind w:left="1583" w:hanging="360"/>
      </w:pPr>
      <w:rPr>
        <w:rFonts w:ascii="Courier New" w:hAnsi="Courier New" w:hint="default"/>
      </w:rPr>
    </w:lvl>
    <w:lvl w:ilvl="2" w:tplc="04190005">
      <w:start w:val="1"/>
      <w:numFmt w:val="bullet"/>
      <w:lvlText w:val=""/>
      <w:lvlJc w:val="left"/>
      <w:pPr>
        <w:ind w:left="2303" w:hanging="360"/>
      </w:pPr>
      <w:rPr>
        <w:rFonts w:ascii="Wingdings" w:hAnsi="Wingdings" w:cs="Wingdings" w:hint="default"/>
      </w:rPr>
    </w:lvl>
    <w:lvl w:ilvl="3" w:tplc="04190001">
      <w:start w:val="1"/>
      <w:numFmt w:val="bullet"/>
      <w:lvlText w:val=""/>
      <w:lvlJc w:val="left"/>
      <w:pPr>
        <w:ind w:left="3023" w:hanging="360"/>
      </w:pPr>
      <w:rPr>
        <w:rFonts w:ascii="Symbol" w:hAnsi="Symbol" w:cs="Symbol" w:hint="default"/>
      </w:rPr>
    </w:lvl>
    <w:lvl w:ilvl="4" w:tplc="04190003">
      <w:start w:val="1"/>
      <w:numFmt w:val="bullet"/>
      <w:lvlText w:val="o"/>
      <w:lvlJc w:val="left"/>
      <w:pPr>
        <w:ind w:left="3743" w:hanging="360"/>
      </w:pPr>
      <w:rPr>
        <w:rFonts w:ascii="Courier New" w:hAnsi="Courier New" w:cs="Courier New" w:hint="default"/>
      </w:rPr>
    </w:lvl>
    <w:lvl w:ilvl="5" w:tplc="04190005">
      <w:start w:val="1"/>
      <w:numFmt w:val="bullet"/>
      <w:lvlText w:val=""/>
      <w:lvlJc w:val="left"/>
      <w:pPr>
        <w:ind w:left="4463" w:hanging="360"/>
      </w:pPr>
      <w:rPr>
        <w:rFonts w:ascii="Wingdings" w:hAnsi="Wingdings" w:cs="Wingdings" w:hint="default"/>
      </w:rPr>
    </w:lvl>
    <w:lvl w:ilvl="6" w:tplc="04190001">
      <w:start w:val="1"/>
      <w:numFmt w:val="bullet"/>
      <w:lvlText w:val=""/>
      <w:lvlJc w:val="left"/>
      <w:pPr>
        <w:ind w:left="5183" w:hanging="360"/>
      </w:pPr>
      <w:rPr>
        <w:rFonts w:ascii="Symbol" w:hAnsi="Symbol" w:cs="Symbol" w:hint="default"/>
      </w:rPr>
    </w:lvl>
    <w:lvl w:ilvl="7" w:tplc="04190003">
      <w:start w:val="1"/>
      <w:numFmt w:val="bullet"/>
      <w:lvlText w:val="o"/>
      <w:lvlJc w:val="left"/>
      <w:pPr>
        <w:ind w:left="5903" w:hanging="360"/>
      </w:pPr>
      <w:rPr>
        <w:rFonts w:ascii="Courier New" w:hAnsi="Courier New" w:cs="Courier New" w:hint="default"/>
      </w:rPr>
    </w:lvl>
    <w:lvl w:ilvl="8" w:tplc="04190005">
      <w:start w:val="1"/>
      <w:numFmt w:val="bullet"/>
      <w:lvlText w:val=""/>
      <w:lvlJc w:val="left"/>
      <w:pPr>
        <w:ind w:left="6623" w:hanging="360"/>
      </w:pPr>
      <w:rPr>
        <w:rFonts w:ascii="Wingdings" w:hAnsi="Wingdings" w:cs="Wingdings" w:hint="default"/>
      </w:rPr>
    </w:lvl>
  </w:abstractNum>
  <w:abstractNum w:abstractNumId="1">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C95D57"/>
    <w:multiLevelType w:val="hybridMultilevel"/>
    <w:tmpl w:val="276A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D2C95"/>
    <w:multiLevelType w:val="multilevel"/>
    <w:tmpl w:val="71CE7D26"/>
    <w:lvl w:ilvl="0">
      <w:start w:val="1"/>
      <w:numFmt w:val="decimal"/>
      <w:lvlText w:val="%1."/>
      <w:lvlJc w:val="left"/>
      <w:pPr>
        <w:tabs>
          <w:tab w:val="num" w:pos="720"/>
        </w:tabs>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783C30"/>
    <w:multiLevelType w:val="hybridMultilevel"/>
    <w:tmpl w:val="439E82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4595E38"/>
    <w:multiLevelType w:val="hybridMultilevel"/>
    <w:tmpl w:val="C784C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C5BD0"/>
    <w:multiLevelType w:val="hybridMultilevel"/>
    <w:tmpl w:val="B1EE9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2E508D"/>
    <w:multiLevelType w:val="hybridMultilevel"/>
    <w:tmpl w:val="D4347A54"/>
    <w:lvl w:ilvl="0" w:tplc="81AC02B2">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1E91C05"/>
    <w:multiLevelType w:val="hybridMultilevel"/>
    <w:tmpl w:val="B14A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840DB"/>
    <w:multiLevelType w:val="hybridMultilevel"/>
    <w:tmpl w:val="8E7E23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BC720EF"/>
    <w:multiLevelType w:val="hybridMultilevel"/>
    <w:tmpl w:val="21AE6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Theme="minorHAns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757A7C"/>
    <w:multiLevelType w:val="hybridMultilevel"/>
    <w:tmpl w:val="276A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B3300"/>
    <w:multiLevelType w:val="hybridMultilevel"/>
    <w:tmpl w:val="A470E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6F2BEC"/>
    <w:multiLevelType w:val="hybridMultilevel"/>
    <w:tmpl w:val="61C8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296A73"/>
    <w:multiLevelType w:val="hybridMultilevel"/>
    <w:tmpl w:val="230C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54D4B"/>
    <w:multiLevelType w:val="hybridMultilevel"/>
    <w:tmpl w:val="043828E4"/>
    <w:lvl w:ilvl="0" w:tplc="3BA496D6">
      <w:start w:val="1"/>
      <w:numFmt w:val="decimal"/>
      <w:lvlText w:val="%1."/>
      <w:lvlJc w:val="left"/>
      <w:pPr>
        <w:ind w:left="114" w:firstLine="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6">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79960D5"/>
    <w:multiLevelType w:val="hybridMultilevel"/>
    <w:tmpl w:val="2C2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87061"/>
    <w:multiLevelType w:val="hybridMultilevel"/>
    <w:tmpl w:val="1542E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1C425C"/>
    <w:multiLevelType w:val="hybridMultilevel"/>
    <w:tmpl w:val="F40E3E24"/>
    <w:lvl w:ilvl="0" w:tplc="04190001">
      <w:start w:val="1"/>
      <w:numFmt w:val="bullet"/>
      <w:lvlText w:val=""/>
      <w:lvlJc w:val="left"/>
      <w:pPr>
        <w:ind w:left="1583" w:hanging="360"/>
      </w:pPr>
      <w:rPr>
        <w:rFonts w:ascii="Symbol" w:hAnsi="Symbol" w:cs="Symbol" w:hint="default"/>
      </w:rPr>
    </w:lvl>
    <w:lvl w:ilvl="1" w:tplc="04190003">
      <w:start w:val="1"/>
      <w:numFmt w:val="bullet"/>
      <w:lvlText w:val="o"/>
      <w:lvlJc w:val="left"/>
      <w:pPr>
        <w:ind w:left="2303" w:hanging="360"/>
      </w:pPr>
      <w:rPr>
        <w:rFonts w:ascii="Courier New" w:hAnsi="Courier New" w:cs="Courier New" w:hint="default"/>
      </w:rPr>
    </w:lvl>
    <w:lvl w:ilvl="2" w:tplc="04190005">
      <w:start w:val="1"/>
      <w:numFmt w:val="bullet"/>
      <w:lvlText w:val=""/>
      <w:lvlJc w:val="left"/>
      <w:pPr>
        <w:ind w:left="3023" w:hanging="360"/>
      </w:pPr>
      <w:rPr>
        <w:rFonts w:ascii="Wingdings" w:hAnsi="Wingdings" w:cs="Wingdings" w:hint="default"/>
      </w:rPr>
    </w:lvl>
    <w:lvl w:ilvl="3" w:tplc="04190001">
      <w:start w:val="1"/>
      <w:numFmt w:val="bullet"/>
      <w:lvlText w:val=""/>
      <w:lvlJc w:val="left"/>
      <w:pPr>
        <w:ind w:left="3743" w:hanging="360"/>
      </w:pPr>
      <w:rPr>
        <w:rFonts w:ascii="Symbol" w:hAnsi="Symbol" w:cs="Symbol" w:hint="default"/>
      </w:rPr>
    </w:lvl>
    <w:lvl w:ilvl="4" w:tplc="04190003">
      <w:start w:val="1"/>
      <w:numFmt w:val="bullet"/>
      <w:lvlText w:val="o"/>
      <w:lvlJc w:val="left"/>
      <w:pPr>
        <w:ind w:left="4463" w:hanging="360"/>
      </w:pPr>
      <w:rPr>
        <w:rFonts w:ascii="Courier New" w:hAnsi="Courier New" w:cs="Courier New" w:hint="default"/>
      </w:rPr>
    </w:lvl>
    <w:lvl w:ilvl="5" w:tplc="04190005">
      <w:start w:val="1"/>
      <w:numFmt w:val="bullet"/>
      <w:lvlText w:val=""/>
      <w:lvlJc w:val="left"/>
      <w:pPr>
        <w:ind w:left="5183" w:hanging="360"/>
      </w:pPr>
      <w:rPr>
        <w:rFonts w:ascii="Wingdings" w:hAnsi="Wingdings" w:cs="Wingdings" w:hint="default"/>
      </w:rPr>
    </w:lvl>
    <w:lvl w:ilvl="6" w:tplc="04190001">
      <w:start w:val="1"/>
      <w:numFmt w:val="bullet"/>
      <w:lvlText w:val=""/>
      <w:lvlJc w:val="left"/>
      <w:pPr>
        <w:ind w:left="5903" w:hanging="360"/>
      </w:pPr>
      <w:rPr>
        <w:rFonts w:ascii="Symbol" w:hAnsi="Symbol" w:cs="Symbol" w:hint="default"/>
      </w:rPr>
    </w:lvl>
    <w:lvl w:ilvl="7" w:tplc="04190003">
      <w:start w:val="1"/>
      <w:numFmt w:val="bullet"/>
      <w:lvlText w:val="o"/>
      <w:lvlJc w:val="left"/>
      <w:pPr>
        <w:ind w:left="6623" w:hanging="360"/>
      </w:pPr>
      <w:rPr>
        <w:rFonts w:ascii="Courier New" w:hAnsi="Courier New" w:cs="Courier New" w:hint="default"/>
      </w:rPr>
    </w:lvl>
    <w:lvl w:ilvl="8" w:tplc="04190005">
      <w:start w:val="1"/>
      <w:numFmt w:val="bullet"/>
      <w:lvlText w:val=""/>
      <w:lvlJc w:val="left"/>
      <w:pPr>
        <w:ind w:left="7343" w:hanging="360"/>
      </w:pPr>
      <w:rPr>
        <w:rFonts w:ascii="Wingdings" w:hAnsi="Wingdings" w:cs="Wingdings" w:hint="default"/>
      </w:rPr>
    </w:lvl>
  </w:abstractNum>
  <w:abstractNum w:abstractNumId="20">
    <w:nsid w:val="66533B5E"/>
    <w:multiLevelType w:val="hybridMultilevel"/>
    <w:tmpl w:val="11368982"/>
    <w:lvl w:ilvl="0" w:tplc="04090001">
      <w:start w:val="1"/>
      <w:numFmt w:val="bullet"/>
      <w:lvlText w:val=""/>
      <w:lvlJc w:val="left"/>
      <w:pPr>
        <w:ind w:left="360" w:hanging="360"/>
      </w:pPr>
      <w:rPr>
        <w:rFonts w:ascii="Symbol" w:hAnsi="Symbol" w:hint="default"/>
      </w:rPr>
    </w:lvl>
    <w:lvl w:ilvl="1" w:tplc="905C7FBC">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CF14F7"/>
    <w:multiLevelType w:val="hybridMultilevel"/>
    <w:tmpl w:val="0B08A94A"/>
    <w:lvl w:ilvl="0" w:tplc="3BA496D6">
      <w:start w:val="1"/>
      <w:numFmt w:val="decimal"/>
      <w:lvlText w:val="%1."/>
      <w:lvlJc w:val="lef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2B048A"/>
    <w:multiLevelType w:val="multilevel"/>
    <w:tmpl w:val="95F43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9A90F4A"/>
    <w:multiLevelType w:val="hybridMultilevel"/>
    <w:tmpl w:val="7F7E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2E7DC6"/>
    <w:multiLevelType w:val="hybridMultilevel"/>
    <w:tmpl w:val="EFA2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0"/>
  </w:num>
  <w:num w:numId="5">
    <w:abstractNumId w:val="4"/>
  </w:num>
  <w:num w:numId="6">
    <w:abstractNumId w:val="7"/>
  </w:num>
  <w:num w:numId="7">
    <w:abstractNumId w:val="18"/>
  </w:num>
  <w:num w:numId="8">
    <w:abstractNumId w:val="6"/>
  </w:num>
  <w:num w:numId="9">
    <w:abstractNumId w:val="23"/>
  </w:num>
  <w:num w:numId="10">
    <w:abstractNumId w:val="20"/>
  </w:num>
  <w:num w:numId="11">
    <w:abstractNumId w:val="13"/>
  </w:num>
  <w:num w:numId="12">
    <w:abstractNumId w:val="2"/>
  </w:num>
  <w:num w:numId="13">
    <w:abstractNumId w:val="17"/>
  </w:num>
  <w:num w:numId="14">
    <w:abstractNumId w:val="10"/>
  </w:num>
  <w:num w:numId="15">
    <w:abstractNumId w:val="11"/>
  </w:num>
  <w:num w:numId="16">
    <w:abstractNumId w:val="9"/>
  </w:num>
  <w:num w:numId="17">
    <w:abstractNumId w:val="12"/>
  </w:num>
  <w:num w:numId="18">
    <w:abstractNumId w:val="21"/>
  </w:num>
  <w:num w:numId="19">
    <w:abstractNumId w:val="15"/>
  </w:num>
  <w:num w:numId="20">
    <w:abstractNumId w:val="16"/>
  </w:num>
  <w:num w:numId="21">
    <w:abstractNumId w:val="1"/>
  </w:num>
  <w:num w:numId="22">
    <w:abstractNumId w:val="8"/>
  </w:num>
  <w:num w:numId="23">
    <w:abstractNumId w:val="24"/>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 Jassim AlMossawi">
    <w15:presenceInfo w15:providerId="AD" w15:userId="S-1-5-21-1881040662-745177948-4250083949-6931"/>
  </w15:person>
  <w15:person w15:author="Colleen Longacre">
    <w15:presenceInfo w15:providerId="Windows Live" w15:userId="a2c81a2f3f078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FB"/>
    <w:rsid w:val="00001D29"/>
    <w:rsid w:val="000021FC"/>
    <w:rsid w:val="00003106"/>
    <w:rsid w:val="00004B1C"/>
    <w:rsid w:val="000059B4"/>
    <w:rsid w:val="00006D32"/>
    <w:rsid w:val="00006D9F"/>
    <w:rsid w:val="0001060A"/>
    <w:rsid w:val="0001198F"/>
    <w:rsid w:val="00012605"/>
    <w:rsid w:val="00012F65"/>
    <w:rsid w:val="00013639"/>
    <w:rsid w:val="00013EA3"/>
    <w:rsid w:val="00015B51"/>
    <w:rsid w:val="00016C2A"/>
    <w:rsid w:val="000170EF"/>
    <w:rsid w:val="00017158"/>
    <w:rsid w:val="00017A4F"/>
    <w:rsid w:val="0002034C"/>
    <w:rsid w:val="00020649"/>
    <w:rsid w:val="00022A83"/>
    <w:rsid w:val="000232B6"/>
    <w:rsid w:val="00023A2F"/>
    <w:rsid w:val="000260B6"/>
    <w:rsid w:val="00026718"/>
    <w:rsid w:val="000267A4"/>
    <w:rsid w:val="0002709E"/>
    <w:rsid w:val="00030B06"/>
    <w:rsid w:val="00030E12"/>
    <w:rsid w:val="00033AD6"/>
    <w:rsid w:val="00033E65"/>
    <w:rsid w:val="000367B9"/>
    <w:rsid w:val="00041471"/>
    <w:rsid w:val="00042574"/>
    <w:rsid w:val="00043841"/>
    <w:rsid w:val="00044D2F"/>
    <w:rsid w:val="00045075"/>
    <w:rsid w:val="00045527"/>
    <w:rsid w:val="00046E13"/>
    <w:rsid w:val="00050F15"/>
    <w:rsid w:val="00051B30"/>
    <w:rsid w:val="00051D3F"/>
    <w:rsid w:val="000525E7"/>
    <w:rsid w:val="00052FDA"/>
    <w:rsid w:val="00054E4B"/>
    <w:rsid w:val="0005509E"/>
    <w:rsid w:val="00057209"/>
    <w:rsid w:val="00057316"/>
    <w:rsid w:val="00060362"/>
    <w:rsid w:val="00064A16"/>
    <w:rsid w:val="00066984"/>
    <w:rsid w:val="00066C68"/>
    <w:rsid w:val="00081183"/>
    <w:rsid w:val="00082E29"/>
    <w:rsid w:val="00084062"/>
    <w:rsid w:val="000842D4"/>
    <w:rsid w:val="00090509"/>
    <w:rsid w:val="00092E7A"/>
    <w:rsid w:val="00093A09"/>
    <w:rsid w:val="00094A16"/>
    <w:rsid w:val="000963A5"/>
    <w:rsid w:val="000979E3"/>
    <w:rsid w:val="000A05B1"/>
    <w:rsid w:val="000A0F8A"/>
    <w:rsid w:val="000A168D"/>
    <w:rsid w:val="000A3705"/>
    <w:rsid w:val="000A4CDF"/>
    <w:rsid w:val="000A5F50"/>
    <w:rsid w:val="000A66F7"/>
    <w:rsid w:val="000A7AA8"/>
    <w:rsid w:val="000B1153"/>
    <w:rsid w:val="000B1F1C"/>
    <w:rsid w:val="000B4AFC"/>
    <w:rsid w:val="000B60B5"/>
    <w:rsid w:val="000B67BF"/>
    <w:rsid w:val="000B78F7"/>
    <w:rsid w:val="000C08A4"/>
    <w:rsid w:val="000C1B32"/>
    <w:rsid w:val="000C1EE8"/>
    <w:rsid w:val="000C20D3"/>
    <w:rsid w:val="000C45FE"/>
    <w:rsid w:val="000D0EB2"/>
    <w:rsid w:val="000D2C7A"/>
    <w:rsid w:val="000D3033"/>
    <w:rsid w:val="000D319B"/>
    <w:rsid w:val="000D3F10"/>
    <w:rsid w:val="000D4F54"/>
    <w:rsid w:val="000D7737"/>
    <w:rsid w:val="000E1FFB"/>
    <w:rsid w:val="000E2990"/>
    <w:rsid w:val="000E2CCA"/>
    <w:rsid w:val="000E351E"/>
    <w:rsid w:val="000E388A"/>
    <w:rsid w:val="000E3A84"/>
    <w:rsid w:val="000E6E81"/>
    <w:rsid w:val="000F0C50"/>
    <w:rsid w:val="000F1483"/>
    <w:rsid w:val="000F412F"/>
    <w:rsid w:val="000F438A"/>
    <w:rsid w:val="000F76E0"/>
    <w:rsid w:val="000F7FA9"/>
    <w:rsid w:val="00100A40"/>
    <w:rsid w:val="001014FD"/>
    <w:rsid w:val="00101E56"/>
    <w:rsid w:val="00102808"/>
    <w:rsid w:val="00103ABF"/>
    <w:rsid w:val="00103E76"/>
    <w:rsid w:val="00106991"/>
    <w:rsid w:val="00110362"/>
    <w:rsid w:val="0011459F"/>
    <w:rsid w:val="00114A62"/>
    <w:rsid w:val="00117843"/>
    <w:rsid w:val="001203A9"/>
    <w:rsid w:val="00121705"/>
    <w:rsid w:val="00122253"/>
    <w:rsid w:val="00123353"/>
    <w:rsid w:val="001246A2"/>
    <w:rsid w:val="001252FA"/>
    <w:rsid w:val="00125438"/>
    <w:rsid w:val="001255AC"/>
    <w:rsid w:val="00126087"/>
    <w:rsid w:val="0012628D"/>
    <w:rsid w:val="00126822"/>
    <w:rsid w:val="00133D9B"/>
    <w:rsid w:val="0013627E"/>
    <w:rsid w:val="00136AFE"/>
    <w:rsid w:val="00136CCD"/>
    <w:rsid w:val="00137297"/>
    <w:rsid w:val="00137B7B"/>
    <w:rsid w:val="00150BD1"/>
    <w:rsid w:val="00153406"/>
    <w:rsid w:val="00153735"/>
    <w:rsid w:val="0015437D"/>
    <w:rsid w:val="00155B08"/>
    <w:rsid w:val="00155F47"/>
    <w:rsid w:val="0015651B"/>
    <w:rsid w:val="00156CA2"/>
    <w:rsid w:val="001573EC"/>
    <w:rsid w:val="00157A8B"/>
    <w:rsid w:val="001611C8"/>
    <w:rsid w:val="00161A50"/>
    <w:rsid w:val="00162BC2"/>
    <w:rsid w:val="001645F7"/>
    <w:rsid w:val="00164B56"/>
    <w:rsid w:val="00164CF6"/>
    <w:rsid w:val="001666D8"/>
    <w:rsid w:val="00167258"/>
    <w:rsid w:val="00170036"/>
    <w:rsid w:val="0017020A"/>
    <w:rsid w:val="001704CE"/>
    <w:rsid w:val="00172D64"/>
    <w:rsid w:val="001734F6"/>
    <w:rsid w:val="00173A53"/>
    <w:rsid w:val="00176DFF"/>
    <w:rsid w:val="00176FCD"/>
    <w:rsid w:val="001774AC"/>
    <w:rsid w:val="00184F92"/>
    <w:rsid w:val="001851B0"/>
    <w:rsid w:val="00185C00"/>
    <w:rsid w:val="001865BE"/>
    <w:rsid w:val="00187276"/>
    <w:rsid w:val="00187C2C"/>
    <w:rsid w:val="00190629"/>
    <w:rsid w:val="00191B85"/>
    <w:rsid w:val="00195AA8"/>
    <w:rsid w:val="00196F47"/>
    <w:rsid w:val="001A11A8"/>
    <w:rsid w:val="001A30C3"/>
    <w:rsid w:val="001A4444"/>
    <w:rsid w:val="001A54AE"/>
    <w:rsid w:val="001A76A8"/>
    <w:rsid w:val="001A7849"/>
    <w:rsid w:val="001B0D0D"/>
    <w:rsid w:val="001B2F15"/>
    <w:rsid w:val="001B3CBF"/>
    <w:rsid w:val="001B5F56"/>
    <w:rsid w:val="001C17F1"/>
    <w:rsid w:val="001C3E54"/>
    <w:rsid w:val="001C5C50"/>
    <w:rsid w:val="001C741B"/>
    <w:rsid w:val="001D029A"/>
    <w:rsid w:val="001D25A1"/>
    <w:rsid w:val="001D2678"/>
    <w:rsid w:val="001D5B8E"/>
    <w:rsid w:val="001E0A87"/>
    <w:rsid w:val="001E2300"/>
    <w:rsid w:val="001E2874"/>
    <w:rsid w:val="001E3BE3"/>
    <w:rsid w:val="001E56DE"/>
    <w:rsid w:val="001E59EC"/>
    <w:rsid w:val="001E5D82"/>
    <w:rsid w:val="001E6DAA"/>
    <w:rsid w:val="001E7603"/>
    <w:rsid w:val="001E7AB2"/>
    <w:rsid w:val="001F0D82"/>
    <w:rsid w:val="001F132C"/>
    <w:rsid w:val="001F1DE3"/>
    <w:rsid w:val="001F5A93"/>
    <w:rsid w:val="001F5BCD"/>
    <w:rsid w:val="001F5D06"/>
    <w:rsid w:val="001F5D0A"/>
    <w:rsid w:val="002001E6"/>
    <w:rsid w:val="00201A61"/>
    <w:rsid w:val="0020222E"/>
    <w:rsid w:val="002040EB"/>
    <w:rsid w:val="002071DD"/>
    <w:rsid w:val="00210858"/>
    <w:rsid w:val="002110CF"/>
    <w:rsid w:val="002112DA"/>
    <w:rsid w:val="00211DD0"/>
    <w:rsid w:val="002143B7"/>
    <w:rsid w:val="00215EFA"/>
    <w:rsid w:val="002166E9"/>
    <w:rsid w:val="00217373"/>
    <w:rsid w:val="00220A05"/>
    <w:rsid w:val="002216D0"/>
    <w:rsid w:val="00221B8B"/>
    <w:rsid w:val="00223A58"/>
    <w:rsid w:val="00226CA3"/>
    <w:rsid w:val="002303FF"/>
    <w:rsid w:val="0023166B"/>
    <w:rsid w:val="00233F7D"/>
    <w:rsid w:val="0023554C"/>
    <w:rsid w:val="002355B2"/>
    <w:rsid w:val="002363F6"/>
    <w:rsid w:val="002400C0"/>
    <w:rsid w:val="00240E9F"/>
    <w:rsid w:val="002422B3"/>
    <w:rsid w:val="0024366F"/>
    <w:rsid w:val="00244DEA"/>
    <w:rsid w:val="00244E17"/>
    <w:rsid w:val="0024588D"/>
    <w:rsid w:val="00245EB5"/>
    <w:rsid w:val="00246523"/>
    <w:rsid w:val="002472FB"/>
    <w:rsid w:val="00247D4E"/>
    <w:rsid w:val="00251C7D"/>
    <w:rsid w:val="00253C81"/>
    <w:rsid w:val="00256516"/>
    <w:rsid w:val="00257DDB"/>
    <w:rsid w:val="002608EC"/>
    <w:rsid w:val="0026126F"/>
    <w:rsid w:val="00261864"/>
    <w:rsid w:val="00261F97"/>
    <w:rsid w:val="002624E9"/>
    <w:rsid w:val="002656E8"/>
    <w:rsid w:val="002659FE"/>
    <w:rsid w:val="00266697"/>
    <w:rsid w:val="00267098"/>
    <w:rsid w:val="002674C8"/>
    <w:rsid w:val="002679FD"/>
    <w:rsid w:val="00271A18"/>
    <w:rsid w:val="002729BC"/>
    <w:rsid w:val="0027362F"/>
    <w:rsid w:val="0027400C"/>
    <w:rsid w:val="00275BA2"/>
    <w:rsid w:val="0027627A"/>
    <w:rsid w:val="0028050E"/>
    <w:rsid w:val="00280533"/>
    <w:rsid w:val="00281B6B"/>
    <w:rsid w:val="00283C0A"/>
    <w:rsid w:val="0028605C"/>
    <w:rsid w:val="0028682A"/>
    <w:rsid w:val="002878AB"/>
    <w:rsid w:val="002925C7"/>
    <w:rsid w:val="00293565"/>
    <w:rsid w:val="00294EB4"/>
    <w:rsid w:val="00297792"/>
    <w:rsid w:val="00297E5B"/>
    <w:rsid w:val="002A05F0"/>
    <w:rsid w:val="002A219A"/>
    <w:rsid w:val="002A23DF"/>
    <w:rsid w:val="002A32D5"/>
    <w:rsid w:val="002A4055"/>
    <w:rsid w:val="002A594C"/>
    <w:rsid w:val="002A5A0B"/>
    <w:rsid w:val="002A6872"/>
    <w:rsid w:val="002A775A"/>
    <w:rsid w:val="002B1C53"/>
    <w:rsid w:val="002B3465"/>
    <w:rsid w:val="002B56D2"/>
    <w:rsid w:val="002B5E55"/>
    <w:rsid w:val="002B63C8"/>
    <w:rsid w:val="002B6A05"/>
    <w:rsid w:val="002C057C"/>
    <w:rsid w:val="002C1388"/>
    <w:rsid w:val="002C2CAE"/>
    <w:rsid w:val="002C3391"/>
    <w:rsid w:val="002C3685"/>
    <w:rsid w:val="002C3881"/>
    <w:rsid w:val="002C4DB9"/>
    <w:rsid w:val="002C511B"/>
    <w:rsid w:val="002C5147"/>
    <w:rsid w:val="002C5C26"/>
    <w:rsid w:val="002D5C80"/>
    <w:rsid w:val="002D771C"/>
    <w:rsid w:val="002E06A6"/>
    <w:rsid w:val="002E0ABD"/>
    <w:rsid w:val="002E1D2D"/>
    <w:rsid w:val="002E3360"/>
    <w:rsid w:val="002E38F3"/>
    <w:rsid w:val="002E5A0C"/>
    <w:rsid w:val="002E6846"/>
    <w:rsid w:val="002E7E14"/>
    <w:rsid w:val="002F02AC"/>
    <w:rsid w:val="002F3350"/>
    <w:rsid w:val="002F33F3"/>
    <w:rsid w:val="002F42F4"/>
    <w:rsid w:val="002F5509"/>
    <w:rsid w:val="002F6525"/>
    <w:rsid w:val="002F6BE5"/>
    <w:rsid w:val="003011F5"/>
    <w:rsid w:val="0030210B"/>
    <w:rsid w:val="003030F9"/>
    <w:rsid w:val="00303A4D"/>
    <w:rsid w:val="00305D10"/>
    <w:rsid w:val="00307B04"/>
    <w:rsid w:val="00307F15"/>
    <w:rsid w:val="00310789"/>
    <w:rsid w:val="00312D67"/>
    <w:rsid w:val="00313602"/>
    <w:rsid w:val="00315A0C"/>
    <w:rsid w:val="0031604A"/>
    <w:rsid w:val="00316FA4"/>
    <w:rsid w:val="00317246"/>
    <w:rsid w:val="00317464"/>
    <w:rsid w:val="00317BA1"/>
    <w:rsid w:val="00320580"/>
    <w:rsid w:val="00321841"/>
    <w:rsid w:val="00321AB6"/>
    <w:rsid w:val="003223FA"/>
    <w:rsid w:val="003237B4"/>
    <w:rsid w:val="003240DA"/>
    <w:rsid w:val="00324A4C"/>
    <w:rsid w:val="00326870"/>
    <w:rsid w:val="00326ADB"/>
    <w:rsid w:val="0033024B"/>
    <w:rsid w:val="00330705"/>
    <w:rsid w:val="00334D12"/>
    <w:rsid w:val="00336655"/>
    <w:rsid w:val="00337F31"/>
    <w:rsid w:val="00340597"/>
    <w:rsid w:val="00342D24"/>
    <w:rsid w:val="003437A6"/>
    <w:rsid w:val="00344110"/>
    <w:rsid w:val="00344BE9"/>
    <w:rsid w:val="00344CBC"/>
    <w:rsid w:val="00346AEE"/>
    <w:rsid w:val="00347237"/>
    <w:rsid w:val="0034754B"/>
    <w:rsid w:val="00354EAA"/>
    <w:rsid w:val="003550D5"/>
    <w:rsid w:val="00357E9C"/>
    <w:rsid w:val="00360539"/>
    <w:rsid w:val="0036077F"/>
    <w:rsid w:val="00361F11"/>
    <w:rsid w:val="00362086"/>
    <w:rsid w:val="0036309B"/>
    <w:rsid w:val="003631C8"/>
    <w:rsid w:val="00363A07"/>
    <w:rsid w:val="00366A64"/>
    <w:rsid w:val="00367632"/>
    <w:rsid w:val="00370492"/>
    <w:rsid w:val="0037051C"/>
    <w:rsid w:val="00371C7B"/>
    <w:rsid w:val="0037247E"/>
    <w:rsid w:val="003725AD"/>
    <w:rsid w:val="0037303B"/>
    <w:rsid w:val="00374BAC"/>
    <w:rsid w:val="00375B4C"/>
    <w:rsid w:val="003819C1"/>
    <w:rsid w:val="003829C5"/>
    <w:rsid w:val="003838EF"/>
    <w:rsid w:val="00384C0B"/>
    <w:rsid w:val="003870BB"/>
    <w:rsid w:val="003878C1"/>
    <w:rsid w:val="00390115"/>
    <w:rsid w:val="00391570"/>
    <w:rsid w:val="003918E6"/>
    <w:rsid w:val="00392566"/>
    <w:rsid w:val="0039341A"/>
    <w:rsid w:val="00393AEA"/>
    <w:rsid w:val="003960B3"/>
    <w:rsid w:val="003A046E"/>
    <w:rsid w:val="003A10B0"/>
    <w:rsid w:val="003A1C5F"/>
    <w:rsid w:val="003A2BF5"/>
    <w:rsid w:val="003A2DE1"/>
    <w:rsid w:val="003A358C"/>
    <w:rsid w:val="003A68D9"/>
    <w:rsid w:val="003A6DC3"/>
    <w:rsid w:val="003B5F92"/>
    <w:rsid w:val="003B66EA"/>
    <w:rsid w:val="003C31EF"/>
    <w:rsid w:val="003C44F8"/>
    <w:rsid w:val="003C5AF3"/>
    <w:rsid w:val="003C68DF"/>
    <w:rsid w:val="003C7975"/>
    <w:rsid w:val="003D11E7"/>
    <w:rsid w:val="003E756F"/>
    <w:rsid w:val="003F0A97"/>
    <w:rsid w:val="003F0E29"/>
    <w:rsid w:val="003F3440"/>
    <w:rsid w:val="003F3CE7"/>
    <w:rsid w:val="003F6282"/>
    <w:rsid w:val="003F6AA0"/>
    <w:rsid w:val="004005D4"/>
    <w:rsid w:val="0040194D"/>
    <w:rsid w:val="00401B87"/>
    <w:rsid w:val="004030DD"/>
    <w:rsid w:val="00403BAD"/>
    <w:rsid w:val="00403C21"/>
    <w:rsid w:val="00407214"/>
    <w:rsid w:val="00407D50"/>
    <w:rsid w:val="00410E70"/>
    <w:rsid w:val="0041159C"/>
    <w:rsid w:val="00413793"/>
    <w:rsid w:val="0041390E"/>
    <w:rsid w:val="00413F56"/>
    <w:rsid w:val="00414FB2"/>
    <w:rsid w:val="00420495"/>
    <w:rsid w:val="00422D06"/>
    <w:rsid w:val="004270B9"/>
    <w:rsid w:val="0043129E"/>
    <w:rsid w:val="00432B2C"/>
    <w:rsid w:val="00433D90"/>
    <w:rsid w:val="00433E47"/>
    <w:rsid w:val="00434A04"/>
    <w:rsid w:val="00434AF5"/>
    <w:rsid w:val="00434C47"/>
    <w:rsid w:val="0043540A"/>
    <w:rsid w:val="00435CC3"/>
    <w:rsid w:val="00441B60"/>
    <w:rsid w:val="00443F72"/>
    <w:rsid w:val="004473B0"/>
    <w:rsid w:val="00451B7C"/>
    <w:rsid w:val="00452E27"/>
    <w:rsid w:val="00453D9D"/>
    <w:rsid w:val="00454C8B"/>
    <w:rsid w:val="00455522"/>
    <w:rsid w:val="00460B35"/>
    <w:rsid w:val="00462785"/>
    <w:rsid w:val="00462EA6"/>
    <w:rsid w:val="004632F2"/>
    <w:rsid w:val="00463C3E"/>
    <w:rsid w:val="0046591E"/>
    <w:rsid w:val="00465B2D"/>
    <w:rsid w:val="00466F02"/>
    <w:rsid w:val="00467467"/>
    <w:rsid w:val="00467C33"/>
    <w:rsid w:val="004732E0"/>
    <w:rsid w:val="004738FB"/>
    <w:rsid w:val="004741ED"/>
    <w:rsid w:val="00474AA0"/>
    <w:rsid w:val="00474EF9"/>
    <w:rsid w:val="00477CB2"/>
    <w:rsid w:val="00480113"/>
    <w:rsid w:val="00480910"/>
    <w:rsid w:val="0048229B"/>
    <w:rsid w:val="0048480B"/>
    <w:rsid w:val="004851E5"/>
    <w:rsid w:val="004852DB"/>
    <w:rsid w:val="00485916"/>
    <w:rsid w:val="004868A3"/>
    <w:rsid w:val="004874FA"/>
    <w:rsid w:val="00490A3B"/>
    <w:rsid w:val="004923D6"/>
    <w:rsid w:val="0049297E"/>
    <w:rsid w:val="004932A9"/>
    <w:rsid w:val="004941F3"/>
    <w:rsid w:val="00497F82"/>
    <w:rsid w:val="004A02F4"/>
    <w:rsid w:val="004A0A06"/>
    <w:rsid w:val="004A0A18"/>
    <w:rsid w:val="004A0B46"/>
    <w:rsid w:val="004A0FA0"/>
    <w:rsid w:val="004A13E3"/>
    <w:rsid w:val="004A350A"/>
    <w:rsid w:val="004A3E24"/>
    <w:rsid w:val="004A4B81"/>
    <w:rsid w:val="004A50C1"/>
    <w:rsid w:val="004A6CDF"/>
    <w:rsid w:val="004B1118"/>
    <w:rsid w:val="004B1B76"/>
    <w:rsid w:val="004B2B5A"/>
    <w:rsid w:val="004B3799"/>
    <w:rsid w:val="004B39A9"/>
    <w:rsid w:val="004B3BEE"/>
    <w:rsid w:val="004B46A7"/>
    <w:rsid w:val="004B50C4"/>
    <w:rsid w:val="004B6832"/>
    <w:rsid w:val="004B6936"/>
    <w:rsid w:val="004B76B6"/>
    <w:rsid w:val="004B78B5"/>
    <w:rsid w:val="004C0214"/>
    <w:rsid w:val="004C2388"/>
    <w:rsid w:val="004C4266"/>
    <w:rsid w:val="004C7605"/>
    <w:rsid w:val="004C798F"/>
    <w:rsid w:val="004D10D4"/>
    <w:rsid w:val="004D4A67"/>
    <w:rsid w:val="004D5642"/>
    <w:rsid w:val="004E11B0"/>
    <w:rsid w:val="004E1A47"/>
    <w:rsid w:val="004E2748"/>
    <w:rsid w:val="004E4308"/>
    <w:rsid w:val="004E5976"/>
    <w:rsid w:val="004E5C2C"/>
    <w:rsid w:val="004F28BE"/>
    <w:rsid w:val="004F2CD9"/>
    <w:rsid w:val="004F3EEC"/>
    <w:rsid w:val="004F4050"/>
    <w:rsid w:val="004F4828"/>
    <w:rsid w:val="004F5E2E"/>
    <w:rsid w:val="004F5E3D"/>
    <w:rsid w:val="005029E6"/>
    <w:rsid w:val="0050333A"/>
    <w:rsid w:val="00503797"/>
    <w:rsid w:val="00503FC9"/>
    <w:rsid w:val="005043F1"/>
    <w:rsid w:val="005053A5"/>
    <w:rsid w:val="0050637B"/>
    <w:rsid w:val="00506E63"/>
    <w:rsid w:val="00507E8D"/>
    <w:rsid w:val="0051098B"/>
    <w:rsid w:val="0051102C"/>
    <w:rsid w:val="005111AC"/>
    <w:rsid w:val="005112F7"/>
    <w:rsid w:val="0051295A"/>
    <w:rsid w:val="00513BAE"/>
    <w:rsid w:val="0051414D"/>
    <w:rsid w:val="005144DF"/>
    <w:rsid w:val="005148C6"/>
    <w:rsid w:val="00517F21"/>
    <w:rsid w:val="00522562"/>
    <w:rsid w:val="005231C0"/>
    <w:rsid w:val="005241C1"/>
    <w:rsid w:val="005253D0"/>
    <w:rsid w:val="00525DDC"/>
    <w:rsid w:val="005323F9"/>
    <w:rsid w:val="0053336C"/>
    <w:rsid w:val="00533F58"/>
    <w:rsid w:val="00533F5B"/>
    <w:rsid w:val="005344F1"/>
    <w:rsid w:val="005358E0"/>
    <w:rsid w:val="0053634C"/>
    <w:rsid w:val="00537047"/>
    <w:rsid w:val="00537F8B"/>
    <w:rsid w:val="005409CF"/>
    <w:rsid w:val="00540A70"/>
    <w:rsid w:val="00540B31"/>
    <w:rsid w:val="00541C56"/>
    <w:rsid w:val="00542E90"/>
    <w:rsid w:val="00543066"/>
    <w:rsid w:val="00543F7B"/>
    <w:rsid w:val="00544F37"/>
    <w:rsid w:val="00545B2D"/>
    <w:rsid w:val="00545C2A"/>
    <w:rsid w:val="00546A28"/>
    <w:rsid w:val="0055024A"/>
    <w:rsid w:val="00550DF4"/>
    <w:rsid w:val="00550E7B"/>
    <w:rsid w:val="00552543"/>
    <w:rsid w:val="005533DF"/>
    <w:rsid w:val="00555081"/>
    <w:rsid w:val="0055611C"/>
    <w:rsid w:val="00560D66"/>
    <w:rsid w:val="00562EC2"/>
    <w:rsid w:val="00562ED1"/>
    <w:rsid w:val="00564065"/>
    <w:rsid w:val="00564CFF"/>
    <w:rsid w:val="005657D7"/>
    <w:rsid w:val="0056763F"/>
    <w:rsid w:val="005702C8"/>
    <w:rsid w:val="00570AF6"/>
    <w:rsid w:val="00573590"/>
    <w:rsid w:val="005740F1"/>
    <w:rsid w:val="005765D5"/>
    <w:rsid w:val="005766C9"/>
    <w:rsid w:val="00576B45"/>
    <w:rsid w:val="00577E3D"/>
    <w:rsid w:val="00581C21"/>
    <w:rsid w:val="005831B4"/>
    <w:rsid w:val="0058384D"/>
    <w:rsid w:val="0058391B"/>
    <w:rsid w:val="005849F6"/>
    <w:rsid w:val="0058531D"/>
    <w:rsid w:val="00585B3E"/>
    <w:rsid w:val="0058647C"/>
    <w:rsid w:val="0058716A"/>
    <w:rsid w:val="00590C63"/>
    <w:rsid w:val="00591AD5"/>
    <w:rsid w:val="00592053"/>
    <w:rsid w:val="0059277E"/>
    <w:rsid w:val="0059392D"/>
    <w:rsid w:val="00595E39"/>
    <w:rsid w:val="0059626D"/>
    <w:rsid w:val="00596A40"/>
    <w:rsid w:val="00597EE0"/>
    <w:rsid w:val="005A003D"/>
    <w:rsid w:val="005A3C02"/>
    <w:rsid w:val="005A44D9"/>
    <w:rsid w:val="005A45FC"/>
    <w:rsid w:val="005A5A80"/>
    <w:rsid w:val="005A5A9F"/>
    <w:rsid w:val="005A7096"/>
    <w:rsid w:val="005A791D"/>
    <w:rsid w:val="005B1E59"/>
    <w:rsid w:val="005B2F8A"/>
    <w:rsid w:val="005B3FF8"/>
    <w:rsid w:val="005B440D"/>
    <w:rsid w:val="005B6056"/>
    <w:rsid w:val="005B6C83"/>
    <w:rsid w:val="005B6E14"/>
    <w:rsid w:val="005C0648"/>
    <w:rsid w:val="005C213D"/>
    <w:rsid w:val="005C3E2F"/>
    <w:rsid w:val="005C3E71"/>
    <w:rsid w:val="005C4161"/>
    <w:rsid w:val="005C42A5"/>
    <w:rsid w:val="005C6557"/>
    <w:rsid w:val="005C6F79"/>
    <w:rsid w:val="005C70CA"/>
    <w:rsid w:val="005D40DC"/>
    <w:rsid w:val="005D49B8"/>
    <w:rsid w:val="005D58AF"/>
    <w:rsid w:val="005D5989"/>
    <w:rsid w:val="005D6045"/>
    <w:rsid w:val="005D7C14"/>
    <w:rsid w:val="005E04A0"/>
    <w:rsid w:val="005E0D37"/>
    <w:rsid w:val="005E21ED"/>
    <w:rsid w:val="005E37DF"/>
    <w:rsid w:val="005E4657"/>
    <w:rsid w:val="005E4D02"/>
    <w:rsid w:val="005E726C"/>
    <w:rsid w:val="005F0A12"/>
    <w:rsid w:val="005F0EE0"/>
    <w:rsid w:val="005F1172"/>
    <w:rsid w:val="005F2346"/>
    <w:rsid w:val="005F360F"/>
    <w:rsid w:val="005F4880"/>
    <w:rsid w:val="005F4C82"/>
    <w:rsid w:val="005F5610"/>
    <w:rsid w:val="005F5A5A"/>
    <w:rsid w:val="005F5C80"/>
    <w:rsid w:val="005F6975"/>
    <w:rsid w:val="005F7770"/>
    <w:rsid w:val="005F7DAF"/>
    <w:rsid w:val="0060024A"/>
    <w:rsid w:val="006004F5"/>
    <w:rsid w:val="0060185C"/>
    <w:rsid w:val="00601B36"/>
    <w:rsid w:val="00605900"/>
    <w:rsid w:val="006060CA"/>
    <w:rsid w:val="006078B1"/>
    <w:rsid w:val="00613B10"/>
    <w:rsid w:val="006150BF"/>
    <w:rsid w:val="0061558B"/>
    <w:rsid w:val="00615F53"/>
    <w:rsid w:val="00616739"/>
    <w:rsid w:val="006204A4"/>
    <w:rsid w:val="006206BD"/>
    <w:rsid w:val="00621583"/>
    <w:rsid w:val="00621670"/>
    <w:rsid w:val="0062339F"/>
    <w:rsid w:val="0062568A"/>
    <w:rsid w:val="006269BB"/>
    <w:rsid w:val="00626BB2"/>
    <w:rsid w:val="006323CE"/>
    <w:rsid w:val="0063285F"/>
    <w:rsid w:val="00632EC6"/>
    <w:rsid w:val="00635191"/>
    <w:rsid w:val="00636850"/>
    <w:rsid w:val="00637526"/>
    <w:rsid w:val="006414AB"/>
    <w:rsid w:val="00641B54"/>
    <w:rsid w:val="00642142"/>
    <w:rsid w:val="00642D62"/>
    <w:rsid w:val="00642F41"/>
    <w:rsid w:val="0064370F"/>
    <w:rsid w:val="00644E0C"/>
    <w:rsid w:val="006463CE"/>
    <w:rsid w:val="00646812"/>
    <w:rsid w:val="00647E01"/>
    <w:rsid w:val="0065305E"/>
    <w:rsid w:val="00653C68"/>
    <w:rsid w:val="006563E0"/>
    <w:rsid w:val="0065650B"/>
    <w:rsid w:val="00657CF4"/>
    <w:rsid w:val="00660AA8"/>
    <w:rsid w:val="00661B93"/>
    <w:rsid w:val="00663B46"/>
    <w:rsid w:val="0066491E"/>
    <w:rsid w:val="00665344"/>
    <w:rsid w:val="006656D8"/>
    <w:rsid w:val="0067097E"/>
    <w:rsid w:val="006729EE"/>
    <w:rsid w:val="006752AC"/>
    <w:rsid w:val="00676B83"/>
    <w:rsid w:val="00677628"/>
    <w:rsid w:val="00677D20"/>
    <w:rsid w:val="00680E4D"/>
    <w:rsid w:val="00680F57"/>
    <w:rsid w:val="006817EC"/>
    <w:rsid w:val="00681DDA"/>
    <w:rsid w:val="00684BF5"/>
    <w:rsid w:val="006852BB"/>
    <w:rsid w:val="006871C2"/>
    <w:rsid w:val="00687AB7"/>
    <w:rsid w:val="0069077E"/>
    <w:rsid w:val="00690B11"/>
    <w:rsid w:val="0069151D"/>
    <w:rsid w:val="0069199F"/>
    <w:rsid w:val="00691B0F"/>
    <w:rsid w:val="00692A20"/>
    <w:rsid w:val="00694E09"/>
    <w:rsid w:val="006958C7"/>
    <w:rsid w:val="006977EF"/>
    <w:rsid w:val="006A0127"/>
    <w:rsid w:val="006A230C"/>
    <w:rsid w:val="006A2697"/>
    <w:rsid w:val="006A2998"/>
    <w:rsid w:val="006A3079"/>
    <w:rsid w:val="006A3666"/>
    <w:rsid w:val="006A4440"/>
    <w:rsid w:val="006A5E7A"/>
    <w:rsid w:val="006A73D7"/>
    <w:rsid w:val="006A7AAD"/>
    <w:rsid w:val="006B100E"/>
    <w:rsid w:val="006B121B"/>
    <w:rsid w:val="006B1721"/>
    <w:rsid w:val="006B22FC"/>
    <w:rsid w:val="006B3C93"/>
    <w:rsid w:val="006B3F33"/>
    <w:rsid w:val="006B404A"/>
    <w:rsid w:val="006B42B9"/>
    <w:rsid w:val="006B486B"/>
    <w:rsid w:val="006B59A2"/>
    <w:rsid w:val="006B6291"/>
    <w:rsid w:val="006B64A6"/>
    <w:rsid w:val="006B6D26"/>
    <w:rsid w:val="006C03B7"/>
    <w:rsid w:val="006C0E2D"/>
    <w:rsid w:val="006C1DB8"/>
    <w:rsid w:val="006C1E8E"/>
    <w:rsid w:val="006C3C49"/>
    <w:rsid w:val="006C3DEB"/>
    <w:rsid w:val="006D1250"/>
    <w:rsid w:val="006D1741"/>
    <w:rsid w:val="006D23C9"/>
    <w:rsid w:val="006D2F02"/>
    <w:rsid w:val="006D4EF5"/>
    <w:rsid w:val="006D64E5"/>
    <w:rsid w:val="006D6A7B"/>
    <w:rsid w:val="006E09FB"/>
    <w:rsid w:val="006E0F9F"/>
    <w:rsid w:val="006E15DF"/>
    <w:rsid w:val="006E2082"/>
    <w:rsid w:val="006E327B"/>
    <w:rsid w:val="006E32E1"/>
    <w:rsid w:val="006E3371"/>
    <w:rsid w:val="006E50D1"/>
    <w:rsid w:val="006F18E0"/>
    <w:rsid w:val="006F41D9"/>
    <w:rsid w:val="006F5E90"/>
    <w:rsid w:val="006F6550"/>
    <w:rsid w:val="00700F94"/>
    <w:rsid w:val="00701AA2"/>
    <w:rsid w:val="00703776"/>
    <w:rsid w:val="00705651"/>
    <w:rsid w:val="00705B36"/>
    <w:rsid w:val="00706A16"/>
    <w:rsid w:val="00706E91"/>
    <w:rsid w:val="00710DFA"/>
    <w:rsid w:val="00714345"/>
    <w:rsid w:val="00714CB8"/>
    <w:rsid w:val="007152ED"/>
    <w:rsid w:val="007158C3"/>
    <w:rsid w:val="007159A1"/>
    <w:rsid w:val="00716FD5"/>
    <w:rsid w:val="007174E8"/>
    <w:rsid w:val="0071773E"/>
    <w:rsid w:val="00717D1F"/>
    <w:rsid w:val="00721786"/>
    <w:rsid w:val="00721E62"/>
    <w:rsid w:val="00722122"/>
    <w:rsid w:val="00723031"/>
    <w:rsid w:val="00723D8C"/>
    <w:rsid w:val="00724382"/>
    <w:rsid w:val="007247BD"/>
    <w:rsid w:val="007247D5"/>
    <w:rsid w:val="00724E1A"/>
    <w:rsid w:val="00725E6F"/>
    <w:rsid w:val="0072784C"/>
    <w:rsid w:val="0073165C"/>
    <w:rsid w:val="00732FFE"/>
    <w:rsid w:val="007332F1"/>
    <w:rsid w:val="00733CC4"/>
    <w:rsid w:val="00733CDC"/>
    <w:rsid w:val="00735AF1"/>
    <w:rsid w:val="00735CCF"/>
    <w:rsid w:val="007369AF"/>
    <w:rsid w:val="00740C7B"/>
    <w:rsid w:val="00741216"/>
    <w:rsid w:val="00741AF5"/>
    <w:rsid w:val="0074252C"/>
    <w:rsid w:val="007427A6"/>
    <w:rsid w:val="007437C2"/>
    <w:rsid w:val="00744DB4"/>
    <w:rsid w:val="00750436"/>
    <w:rsid w:val="00750460"/>
    <w:rsid w:val="0075056C"/>
    <w:rsid w:val="00751F17"/>
    <w:rsid w:val="00753573"/>
    <w:rsid w:val="007539EC"/>
    <w:rsid w:val="00754E85"/>
    <w:rsid w:val="007563CC"/>
    <w:rsid w:val="00756463"/>
    <w:rsid w:val="00756A0E"/>
    <w:rsid w:val="00757D0E"/>
    <w:rsid w:val="00762F55"/>
    <w:rsid w:val="00762FF3"/>
    <w:rsid w:val="00763D3A"/>
    <w:rsid w:val="00765083"/>
    <w:rsid w:val="0076641E"/>
    <w:rsid w:val="00766AFF"/>
    <w:rsid w:val="007676E3"/>
    <w:rsid w:val="00770133"/>
    <w:rsid w:val="00771191"/>
    <w:rsid w:val="007735EF"/>
    <w:rsid w:val="00773A18"/>
    <w:rsid w:val="00774012"/>
    <w:rsid w:val="00774202"/>
    <w:rsid w:val="00775660"/>
    <w:rsid w:val="00775881"/>
    <w:rsid w:val="00777886"/>
    <w:rsid w:val="00783451"/>
    <w:rsid w:val="00784421"/>
    <w:rsid w:val="00784CD9"/>
    <w:rsid w:val="00785442"/>
    <w:rsid w:val="00785EC2"/>
    <w:rsid w:val="007861E3"/>
    <w:rsid w:val="00786B08"/>
    <w:rsid w:val="00786FB2"/>
    <w:rsid w:val="00787E01"/>
    <w:rsid w:val="0079048C"/>
    <w:rsid w:val="0079144A"/>
    <w:rsid w:val="007916E6"/>
    <w:rsid w:val="0079246B"/>
    <w:rsid w:val="00793759"/>
    <w:rsid w:val="00793E8D"/>
    <w:rsid w:val="00794047"/>
    <w:rsid w:val="00794B17"/>
    <w:rsid w:val="00794D18"/>
    <w:rsid w:val="00794DED"/>
    <w:rsid w:val="0079530D"/>
    <w:rsid w:val="00795547"/>
    <w:rsid w:val="007957F6"/>
    <w:rsid w:val="007971BD"/>
    <w:rsid w:val="00797884"/>
    <w:rsid w:val="007A326E"/>
    <w:rsid w:val="007A4C63"/>
    <w:rsid w:val="007A4FFA"/>
    <w:rsid w:val="007A74D0"/>
    <w:rsid w:val="007B1AB2"/>
    <w:rsid w:val="007B2345"/>
    <w:rsid w:val="007B25EE"/>
    <w:rsid w:val="007B2DA8"/>
    <w:rsid w:val="007B3F74"/>
    <w:rsid w:val="007B437C"/>
    <w:rsid w:val="007B4AD3"/>
    <w:rsid w:val="007B6814"/>
    <w:rsid w:val="007B7855"/>
    <w:rsid w:val="007C0973"/>
    <w:rsid w:val="007C0A52"/>
    <w:rsid w:val="007C1128"/>
    <w:rsid w:val="007C3602"/>
    <w:rsid w:val="007C4E8A"/>
    <w:rsid w:val="007C62BD"/>
    <w:rsid w:val="007C7580"/>
    <w:rsid w:val="007D1235"/>
    <w:rsid w:val="007D1787"/>
    <w:rsid w:val="007D185E"/>
    <w:rsid w:val="007D354C"/>
    <w:rsid w:val="007D5D10"/>
    <w:rsid w:val="007D5E85"/>
    <w:rsid w:val="007D5EEA"/>
    <w:rsid w:val="007D6058"/>
    <w:rsid w:val="007E2672"/>
    <w:rsid w:val="007E4F48"/>
    <w:rsid w:val="007E5ECB"/>
    <w:rsid w:val="007E5FC2"/>
    <w:rsid w:val="007F08E7"/>
    <w:rsid w:val="007F2CD1"/>
    <w:rsid w:val="007F553F"/>
    <w:rsid w:val="007F6A1B"/>
    <w:rsid w:val="007F6DF0"/>
    <w:rsid w:val="007F70DD"/>
    <w:rsid w:val="00800038"/>
    <w:rsid w:val="008000D0"/>
    <w:rsid w:val="00801739"/>
    <w:rsid w:val="00802350"/>
    <w:rsid w:val="00803A17"/>
    <w:rsid w:val="00803C56"/>
    <w:rsid w:val="00805C54"/>
    <w:rsid w:val="00807A81"/>
    <w:rsid w:val="00810728"/>
    <w:rsid w:val="00810898"/>
    <w:rsid w:val="008118D3"/>
    <w:rsid w:val="00815577"/>
    <w:rsid w:val="00815E04"/>
    <w:rsid w:val="00820057"/>
    <w:rsid w:val="008213D6"/>
    <w:rsid w:val="00821748"/>
    <w:rsid w:val="00823C09"/>
    <w:rsid w:val="008247D4"/>
    <w:rsid w:val="00824BCB"/>
    <w:rsid w:val="00824C50"/>
    <w:rsid w:val="00825AD6"/>
    <w:rsid w:val="00825B3D"/>
    <w:rsid w:val="00827A4D"/>
    <w:rsid w:val="00832610"/>
    <w:rsid w:val="00833013"/>
    <w:rsid w:val="008334A8"/>
    <w:rsid w:val="008346F9"/>
    <w:rsid w:val="00835B44"/>
    <w:rsid w:val="00835F94"/>
    <w:rsid w:val="008430D7"/>
    <w:rsid w:val="00843FD0"/>
    <w:rsid w:val="0084465C"/>
    <w:rsid w:val="0084577D"/>
    <w:rsid w:val="00845E21"/>
    <w:rsid w:val="00846AB0"/>
    <w:rsid w:val="00852097"/>
    <w:rsid w:val="00852891"/>
    <w:rsid w:val="0085401C"/>
    <w:rsid w:val="00855F73"/>
    <w:rsid w:val="00857E25"/>
    <w:rsid w:val="00857E5B"/>
    <w:rsid w:val="0086000B"/>
    <w:rsid w:val="00860163"/>
    <w:rsid w:val="008640A4"/>
    <w:rsid w:val="008643B3"/>
    <w:rsid w:val="00865312"/>
    <w:rsid w:val="00865AA4"/>
    <w:rsid w:val="00865CCB"/>
    <w:rsid w:val="00871861"/>
    <w:rsid w:val="0087272A"/>
    <w:rsid w:val="00875AD2"/>
    <w:rsid w:val="00875ECF"/>
    <w:rsid w:val="00877081"/>
    <w:rsid w:val="0088118F"/>
    <w:rsid w:val="00884B39"/>
    <w:rsid w:val="00885306"/>
    <w:rsid w:val="00885BE8"/>
    <w:rsid w:val="0088623D"/>
    <w:rsid w:val="008918AE"/>
    <w:rsid w:val="00891FFE"/>
    <w:rsid w:val="00893357"/>
    <w:rsid w:val="00893A38"/>
    <w:rsid w:val="00893C80"/>
    <w:rsid w:val="0089559C"/>
    <w:rsid w:val="0089565B"/>
    <w:rsid w:val="00897B29"/>
    <w:rsid w:val="008A11FC"/>
    <w:rsid w:val="008A367E"/>
    <w:rsid w:val="008A74E3"/>
    <w:rsid w:val="008B06C4"/>
    <w:rsid w:val="008B0AE9"/>
    <w:rsid w:val="008B0BD7"/>
    <w:rsid w:val="008B23CD"/>
    <w:rsid w:val="008B3D6D"/>
    <w:rsid w:val="008B41E0"/>
    <w:rsid w:val="008C0F9D"/>
    <w:rsid w:val="008C191D"/>
    <w:rsid w:val="008C4B15"/>
    <w:rsid w:val="008D03BB"/>
    <w:rsid w:val="008D03BF"/>
    <w:rsid w:val="008D1E1C"/>
    <w:rsid w:val="008D34E6"/>
    <w:rsid w:val="008D3EB9"/>
    <w:rsid w:val="008D46C1"/>
    <w:rsid w:val="008D4F30"/>
    <w:rsid w:val="008D5F14"/>
    <w:rsid w:val="008D60E4"/>
    <w:rsid w:val="008D6A6D"/>
    <w:rsid w:val="008D6D29"/>
    <w:rsid w:val="008D6D4B"/>
    <w:rsid w:val="008E25FB"/>
    <w:rsid w:val="008E3F79"/>
    <w:rsid w:val="008E4715"/>
    <w:rsid w:val="008E502F"/>
    <w:rsid w:val="008E579D"/>
    <w:rsid w:val="008E7669"/>
    <w:rsid w:val="008F01A9"/>
    <w:rsid w:val="008F0C2B"/>
    <w:rsid w:val="008F216E"/>
    <w:rsid w:val="008F2E29"/>
    <w:rsid w:val="008F3B80"/>
    <w:rsid w:val="008F4B4F"/>
    <w:rsid w:val="008F5933"/>
    <w:rsid w:val="008F6004"/>
    <w:rsid w:val="008F67D1"/>
    <w:rsid w:val="00900FC3"/>
    <w:rsid w:val="00902728"/>
    <w:rsid w:val="00903F31"/>
    <w:rsid w:val="0090461B"/>
    <w:rsid w:val="009049E3"/>
    <w:rsid w:val="00907BB6"/>
    <w:rsid w:val="009100ED"/>
    <w:rsid w:val="00910811"/>
    <w:rsid w:val="0091323F"/>
    <w:rsid w:val="009132FC"/>
    <w:rsid w:val="00914F35"/>
    <w:rsid w:val="009204DC"/>
    <w:rsid w:val="0092241E"/>
    <w:rsid w:val="00922E4B"/>
    <w:rsid w:val="00923BA6"/>
    <w:rsid w:val="00924139"/>
    <w:rsid w:val="009250B5"/>
    <w:rsid w:val="00925B27"/>
    <w:rsid w:val="00926399"/>
    <w:rsid w:val="00926B46"/>
    <w:rsid w:val="009277E6"/>
    <w:rsid w:val="00927C3E"/>
    <w:rsid w:val="009301C5"/>
    <w:rsid w:val="00930D48"/>
    <w:rsid w:val="00931B8F"/>
    <w:rsid w:val="00933C12"/>
    <w:rsid w:val="009344DB"/>
    <w:rsid w:val="00935CD2"/>
    <w:rsid w:val="00935EFB"/>
    <w:rsid w:val="009363F6"/>
    <w:rsid w:val="00936DC6"/>
    <w:rsid w:val="009377C4"/>
    <w:rsid w:val="00937873"/>
    <w:rsid w:val="0094208A"/>
    <w:rsid w:val="00942710"/>
    <w:rsid w:val="0094343C"/>
    <w:rsid w:val="0094622A"/>
    <w:rsid w:val="009465E9"/>
    <w:rsid w:val="0094708B"/>
    <w:rsid w:val="00947A4B"/>
    <w:rsid w:val="009512BE"/>
    <w:rsid w:val="009516D3"/>
    <w:rsid w:val="00953778"/>
    <w:rsid w:val="0095430E"/>
    <w:rsid w:val="00954511"/>
    <w:rsid w:val="00955147"/>
    <w:rsid w:val="009553EC"/>
    <w:rsid w:val="00956202"/>
    <w:rsid w:val="00956965"/>
    <w:rsid w:val="009573F6"/>
    <w:rsid w:val="00963B65"/>
    <w:rsid w:val="00963FDA"/>
    <w:rsid w:val="0096441F"/>
    <w:rsid w:val="00967253"/>
    <w:rsid w:val="0096745C"/>
    <w:rsid w:val="00967545"/>
    <w:rsid w:val="00970705"/>
    <w:rsid w:val="00970C82"/>
    <w:rsid w:val="00972582"/>
    <w:rsid w:val="00974BA3"/>
    <w:rsid w:val="00975259"/>
    <w:rsid w:val="009772E1"/>
    <w:rsid w:val="009779A7"/>
    <w:rsid w:val="00980AB3"/>
    <w:rsid w:val="00982D18"/>
    <w:rsid w:val="00983ED6"/>
    <w:rsid w:val="0098404F"/>
    <w:rsid w:val="009843F5"/>
    <w:rsid w:val="0098589A"/>
    <w:rsid w:val="00986A6B"/>
    <w:rsid w:val="00987EAA"/>
    <w:rsid w:val="009921D5"/>
    <w:rsid w:val="00992542"/>
    <w:rsid w:val="00992965"/>
    <w:rsid w:val="00994BEB"/>
    <w:rsid w:val="0099593D"/>
    <w:rsid w:val="009964A9"/>
    <w:rsid w:val="009A1FCA"/>
    <w:rsid w:val="009A2C8A"/>
    <w:rsid w:val="009A437B"/>
    <w:rsid w:val="009A70CD"/>
    <w:rsid w:val="009A73EF"/>
    <w:rsid w:val="009A74C0"/>
    <w:rsid w:val="009A7A59"/>
    <w:rsid w:val="009B0A33"/>
    <w:rsid w:val="009B0B5F"/>
    <w:rsid w:val="009B3DF3"/>
    <w:rsid w:val="009B4D09"/>
    <w:rsid w:val="009B52BA"/>
    <w:rsid w:val="009B5D77"/>
    <w:rsid w:val="009C054C"/>
    <w:rsid w:val="009C054F"/>
    <w:rsid w:val="009C147F"/>
    <w:rsid w:val="009C4581"/>
    <w:rsid w:val="009C48C7"/>
    <w:rsid w:val="009C4AEB"/>
    <w:rsid w:val="009C5073"/>
    <w:rsid w:val="009C5D40"/>
    <w:rsid w:val="009D05C7"/>
    <w:rsid w:val="009D0AF6"/>
    <w:rsid w:val="009D0F1C"/>
    <w:rsid w:val="009D2418"/>
    <w:rsid w:val="009D2CCE"/>
    <w:rsid w:val="009D60BD"/>
    <w:rsid w:val="009D75F6"/>
    <w:rsid w:val="009E00D9"/>
    <w:rsid w:val="009E1A9D"/>
    <w:rsid w:val="009E507B"/>
    <w:rsid w:val="009E5441"/>
    <w:rsid w:val="009E657F"/>
    <w:rsid w:val="009E68ED"/>
    <w:rsid w:val="009E69C1"/>
    <w:rsid w:val="009F007D"/>
    <w:rsid w:val="009F05C0"/>
    <w:rsid w:val="009F171F"/>
    <w:rsid w:val="009F2C6C"/>
    <w:rsid w:val="009F3F5C"/>
    <w:rsid w:val="009F4AB7"/>
    <w:rsid w:val="009F4B79"/>
    <w:rsid w:val="009F4F00"/>
    <w:rsid w:val="009F61D7"/>
    <w:rsid w:val="00A03CBA"/>
    <w:rsid w:val="00A05E62"/>
    <w:rsid w:val="00A05FE4"/>
    <w:rsid w:val="00A063C0"/>
    <w:rsid w:val="00A067AA"/>
    <w:rsid w:val="00A067B1"/>
    <w:rsid w:val="00A07EA5"/>
    <w:rsid w:val="00A116CA"/>
    <w:rsid w:val="00A11FC7"/>
    <w:rsid w:val="00A1377C"/>
    <w:rsid w:val="00A14D24"/>
    <w:rsid w:val="00A14F9A"/>
    <w:rsid w:val="00A165F8"/>
    <w:rsid w:val="00A166E3"/>
    <w:rsid w:val="00A1746B"/>
    <w:rsid w:val="00A2042C"/>
    <w:rsid w:val="00A21C6B"/>
    <w:rsid w:val="00A21E14"/>
    <w:rsid w:val="00A2389E"/>
    <w:rsid w:val="00A23A77"/>
    <w:rsid w:val="00A252BA"/>
    <w:rsid w:val="00A256C1"/>
    <w:rsid w:val="00A25D62"/>
    <w:rsid w:val="00A25F40"/>
    <w:rsid w:val="00A3187A"/>
    <w:rsid w:val="00A32629"/>
    <w:rsid w:val="00A33C34"/>
    <w:rsid w:val="00A33E82"/>
    <w:rsid w:val="00A33EF3"/>
    <w:rsid w:val="00A35B15"/>
    <w:rsid w:val="00A37104"/>
    <w:rsid w:val="00A3758F"/>
    <w:rsid w:val="00A41425"/>
    <w:rsid w:val="00A4278E"/>
    <w:rsid w:val="00A42F69"/>
    <w:rsid w:val="00A43D43"/>
    <w:rsid w:val="00A446B5"/>
    <w:rsid w:val="00A44CB7"/>
    <w:rsid w:val="00A50255"/>
    <w:rsid w:val="00A5045A"/>
    <w:rsid w:val="00A525E1"/>
    <w:rsid w:val="00A560FE"/>
    <w:rsid w:val="00A56F1B"/>
    <w:rsid w:val="00A6178C"/>
    <w:rsid w:val="00A6499D"/>
    <w:rsid w:val="00A64EFA"/>
    <w:rsid w:val="00A6610F"/>
    <w:rsid w:val="00A664B7"/>
    <w:rsid w:val="00A66AE0"/>
    <w:rsid w:val="00A67683"/>
    <w:rsid w:val="00A742CB"/>
    <w:rsid w:val="00A74744"/>
    <w:rsid w:val="00A7489E"/>
    <w:rsid w:val="00A80F05"/>
    <w:rsid w:val="00A80F61"/>
    <w:rsid w:val="00A81E0A"/>
    <w:rsid w:val="00A823DC"/>
    <w:rsid w:val="00A834E3"/>
    <w:rsid w:val="00A856CD"/>
    <w:rsid w:val="00A85BD3"/>
    <w:rsid w:val="00A86802"/>
    <w:rsid w:val="00A87B46"/>
    <w:rsid w:val="00A92291"/>
    <w:rsid w:val="00A9735E"/>
    <w:rsid w:val="00AA0D99"/>
    <w:rsid w:val="00AA33BE"/>
    <w:rsid w:val="00AA532B"/>
    <w:rsid w:val="00AA567E"/>
    <w:rsid w:val="00AA70E6"/>
    <w:rsid w:val="00AB04BA"/>
    <w:rsid w:val="00AB074D"/>
    <w:rsid w:val="00AB10E1"/>
    <w:rsid w:val="00AB160D"/>
    <w:rsid w:val="00AB1EF5"/>
    <w:rsid w:val="00AB47B2"/>
    <w:rsid w:val="00AB4D76"/>
    <w:rsid w:val="00AC0449"/>
    <w:rsid w:val="00AC066B"/>
    <w:rsid w:val="00AC06BD"/>
    <w:rsid w:val="00AC0B25"/>
    <w:rsid w:val="00AC288D"/>
    <w:rsid w:val="00AC319F"/>
    <w:rsid w:val="00AC4EAC"/>
    <w:rsid w:val="00AC5D72"/>
    <w:rsid w:val="00AC77AB"/>
    <w:rsid w:val="00AD0D67"/>
    <w:rsid w:val="00AD1E4C"/>
    <w:rsid w:val="00AD3E14"/>
    <w:rsid w:val="00AD3F0C"/>
    <w:rsid w:val="00AD4980"/>
    <w:rsid w:val="00AE3E74"/>
    <w:rsid w:val="00AE5343"/>
    <w:rsid w:val="00AE796B"/>
    <w:rsid w:val="00AF0319"/>
    <w:rsid w:val="00AF0E37"/>
    <w:rsid w:val="00AF0E71"/>
    <w:rsid w:val="00AF16CE"/>
    <w:rsid w:val="00AF1917"/>
    <w:rsid w:val="00AF1C28"/>
    <w:rsid w:val="00AF1F63"/>
    <w:rsid w:val="00AF4395"/>
    <w:rsid w:val="00AF4742"/>
    <w:rsid w:val="00AF4B49"/>
    <w:rsid w:val="00AF5C4C"/>
    <w:rsid w:val="00AF6611"/>
    <w:rsid w:val="00B00440"/>
    <w:rsid w:val="00B008D9"/>
    <w:rsid w:val="00B01453"/>
    <w:rsid w:val="00B02576"/>
    <w:rsid w:val="00B03699"/>
    <w:rsid w:val="00B04B73"/>
    <w:rsid w:val="00B057DD"/>
    <w:rsid w:val="00B067B7"/>
    <w:rsid w:val="00B068C3"/>
    <w:rsid w:val="00B0698D"/>
    <w:rsid w:val="00B10BF5"/>
    <w:rsid w:val="00B11086"/>
    <w:rsid w:val="00B117A7"/>
    <w:rsid w:val="00B11982"/>
    <w:rsid w:val="00B120C6"/>
    <w:rsid w:val="00B13739"/>
    <w:rsid w:val="00B13AFD"/>
    <w:rsid w:val="00B153DC"/>
    <w:rsid w:val="00B16737"/>
    <w:rsid w:val="00B16FA5"/>
    <w:rsid w:val="00B20D0B"/>
    <w:rsid w:val="00B215FB"/>
    <w:rsid w:val="00B21C2F"/>
    <w:rsid w:val="00B241D0"/>
    <w:rsid w:val="00B24456"/>
    <w:rsid w:val="00B25B2A"/>
    <w:rsid w:val="00B271D4"/>
    <w:rsid w:val="00B27669"/>
    <w:rsid w:val="00B300A7"/>
    <w:rsid w:val="00B30E50"/>
    <w:rsid w:val="00B33849"/>
    <w:rsid w:val="00B33F01"/>
    <w:rsid w:val="00B341D9"/>
    <w:rsid w:val="00B354D6"/>
    <w:rsid w:val="00B37426"/>
    <w:rsid w:val="00B37A89"/>
    <w:rsid w:val="00B40AAF"/>
    <w:rsid w:val="00B4443A"/>
    <w:rsid w:val="00B5069E"/>
    <w:rsid w:val="00B50790"/>
    <w:rsid w:val="00B52B7F"/>
    <w:rsid w:val="00B52C51"/>
    <w:rsid w:val="00B557DC"/>
    <w:rsid w:val="00B5712E"/>
    <w:rsid w:val="00B60191"/>
    <w:rsid w:val="00B610AA"/>
    <w:rsid w:val="00B61BE0"/>
    <w:rsid w:val="00B62A9C"/>
    <w:rsid w:val="00B63099"/>
    <w:rsid w:val="00B64376"/>
    <w:rsid w:val="00B70AC7"/>
    <w:rsid w:val="00B70B74"/>
    <w:rsid w:val="00B71E7F"/>
    <w:rsid w:val="00B729EB"/>
    <w:rsid w:val="00B730EE"/>
    <w:rsid w:val="00B747EC"/>
    <w:rsid w:val="00B77F9A"/>
    <w:rsid w:val="00B81BAA"/>
    <w:rsid w:val="00B8510A"/>
    <w:rsid w:val="00B85BC9"/>
    <w:rsid w:val="00B85DDF"/>
    <w:rsid w:val="00B87B09"/>
    <w:rsid w:val="00B9237C"/>
    <w:rsid w:val="00B9319C"/>
    <w:rsid w:val="00B9454F"/>
    <w:rsid w:val="00B96DBE"/>
    <w:rsid w:val="00B96F3F"/>
    <w:rsid w:val="00B97AF9"/>
    <w:rsid w:val="00B97D07"/>
    <w:rsid w:val="00BA06C5"/>
    <w:rsid w:val="00BA263E"/>
    <w:rsid w:val="00BA2F7B"/>
    <w:rsid w:val="00BA674D"/>
    <w:rsid w:val="00BA6E64"/>
    <w:rsid w:val="00BA76D4"/>
    <w:rsid w:val="00BB05A6"/>
    <w:rsid w:val="00BB060B"/>
    <w:rsid w:val="00BB1691"/>
    <w:rsid w:val="00BB4007"/>
    <w:rsid w:val="00BC13FD"/>
    <w:rsid w:val="00BC18DD"/>
    <w:rsid w:val="00BC2C69"/>
    <w:rsid w:val="00BC34DD"/>
    <w:rsid w:val="00BC413D"/>
    <w:rsid w:val="00BD0838"/>
    <w:rsid w:val="00BD2744"/>
    <w:rsid w:val="00BD3843"/>
    <w:rsid w:val="00BD3903"/>
    <w:rsid w:val="00BD5BB5"/>
    <w:rsid w:val="00BD66E0"/>
    <w:rsid w:val="00BD6A5B"/>
    <w:rsid w:val="00BE2338"/>
    <w:rsid w:val="00BE2A27"/>
    <w:rsid w:val="00BE353F"/>
    <w:rsid w:val="00BF0116"/>
    <w:rsid w:val="00BF1A2A"/>
    <w:rsid w:val="00BF2DC1"/>
    <w:rsid w:val="00BF3792"/>
    <w:rsid w:val="00BF4C40"/>
    <w:rsid w:val="00BF4D66"/>
    <w:rsid w:val="00BF5761"/>
    <w:rsid w:val="00BF785E"/>
    <w:rsid w:val="00BF7928"/>
    <w:rsid w:val="00BF7F14"/>
    <w:rsid w:val="00C0109E"/>
    <w:rsid w:val="00C0279B"/>
    <w:rsid w:val="00C029F4"/>
    <w:rsid w:val="00C03AE9"/>
    <w:rsid w:val="00C03E32"/>
    <w:rsid w:val="00C04268"/>
    <w:rsid w:val="00C05F1F"/>
    <w:rsid w:val="00C10148"/>
    <w:rsid w:val="00C106D5"/>
    <w:rsid w:val="00C11239"/>
    <w:rsid w:val="00C120A5"/>
    <w:rsid w:val="00C12E93"/>
    <w:rsid w:val="00C13113"/>
    <w:rsid w:val="00C13984"/>
    <w:rsid w:val="00C16E75"/>
    <w:rsid w:val="00C2019C"/>
    <w:rsid w:val="00C21CAF"/>
    <w:rsid w:val="00C21F88"/>
    <w:rsid w:val="00C236A2"/>
    <w:rsid w:val="00C25742"/>
    <w:rsid w:val="00C2659B"/>
    <w:rsid w:val="00C27789"/>
    <w:rsid w:val="00C30760"/>
    <w:rsid w:val="00C31AA5"/>
    <w:rsid w:val="00C3217B"/>
    <w:rsid w:val="00C3236E"/>
    <w:rsid w:val="00C3255F"/>
    <w:rsid w:val="00C33BDD"/>
    <w:rsid w:val="00C343DC"/>
    <w:rsid w:val="00C34CA5"/>
    <w:rsid w:val="00C356DF"/>
    <w:rsid w:val="00C368FE"/>
    <w:rsid w:val="00C37A6A"/>
    <w:rsid w:val="00C4066B"/>
    <w:rsid w:val="00C40D3B"/>
    <w:rsid w:val="00C43087"/>
    <w:rsid w:val="00C44EB6"/>
    <w:rsid w:val="00C4563A"/>
    <w:rsid w:val="00C47089"/>
    <w:rsid w:val="00C47AB2"/>
    <w:rsid w:val="00C47EB0"/>
    <w:rsid w:val="00C50AA5"/>
    <w:rsid w:val="00C51E36"/>
    <w:rsid w:val="00C5251A"/>
    <w:rsid w:val="00C5368F"/>
    <w:rsid w:val="00C53E44"/>
    <w:rsid w:val="00C553F7"/>
    <w:rsid w:val="00C559C5"/>
    <w:rsid w:val="00C56348"/>
    <w:rsid w:val="00C57839"/>
    <w:rsid w:val="00C5799F"/>
    <w:rsid w:val="00C57DD7"/>
    <w:rsid w:val="00C60557"/>
    <w:rsid w:val="00C61228"/>
    <w:rsid w:val="00C61451"/>
    <w:rsid w:val="00C6164E"/>
    <w:rsid w:val="00C61DC0"/>
    <w:rsid w:val="00C61EB5"/>
    <w:rsid w:val="00C6296A"/>
    <w:rsid w:val="00C642C3"/>
    <w:rsid w:val="00C64D7E"/>
    <w:rsid w:val="00C7049E"/>
    <w:rsid w:val="00C7073D"/>
    <w:rsid w:val="00C72381"/>
    <w:rsid w:val="00C7328D"/>
    <w:rsid w:val="00C74276"/>
    <w:rsid w:val="00C75115"/>
    <w:rsid w:val="00C76919"/>
    <w:rsid w:val="00C8017C"/>
    <w:rsid w:val="00C811C8"/>
    <w:rsid w:val="00C81F7B"/>
    <w:rsid w:val="00C83509"/>
    <w:rsid w:val="00C858A7"/>
    <w:rsid w:val="00C90126"/>
    <w:rsid w:val="00C904D5"/>
    <w:rsid w:val="00C911EE"/>
    <w:rsid w:val="00C919D6"/>
    <w:rsid w:val="00C9277F"/>
    <w:rsid w:val="00C92BA8"/>
    <w:rsid w:val="00C948E2"/>
    <w:rsid w:val="00C9497B"/>
    <w:rsid w:val="00C94DC8"/>
    <w:rsid w:val="00C97C57"/>
    <w:rsid w:val="00C97E6A"/>
    <w:rsid w:val="00C97EB7"/>
    <w:rsid w:val="00CA0756"/>
    <w:rsid w:val="00CA148A"/>
    <w:rsid w:val="00CA1539"/>
    <w:rsid w:val="00CA1604"/>
    <w:rsid w:val="00CA1686"/>
    <w:rsid w:val="00CA1DDF"/>
    <w:rsid w:val="00CA212C"/>
    <w:rsid w:val="00CA31E3"/>
    <w:rsid w:val="00CA6E13"/>
    <w:rsid w:val="00CB1B6D"/>
    <w:rsid w:val="00CB1BF5"/>
    <w:rsid w:val="00CB2424"/>
    <w:rsid w:val="00CB28B5"/>
    <w:rsid w:val="00CB3CCF"/>
    <w:rsid w:val="00CB50D1"/>
    <w:rsid w:val="00CB5133"/>
    <w:rsid w:val="00CB550E"/>
    <w:rsid w:val="00CB5760"/>
    <w:rsid w:val="00CB5C5C"/>
    <w:rsid w:val="00CB607F"/>
    <w:rsid w:val="00CB665B"/>
    <w:rsid w:val="00CB730B"/>
    <w:rsid w:val="00CB78D2"/>
    <w:rsid w:val="00CB7EBF"/>
    <w:rsid w:val="00CB7F67"/>
    <w:rsid w:val="00CC1926"/>
    <w:rsid w:val="00CC19D8"/>
    <w:rsid w:val="00CC520A"/>
    <w:rsid w:val="00CC6C1E"/>
    <w:rsid w:val="00CC7579"/>
    <w:rsid w:val="00CD1693"/>
    <w:rsid w:val="00CD24D6"/>
    <w:rsid w:val="00CD338B"/>
    <w:rsid w:val="00CD3AC4"/>
    <w:rsid w:val="00CD3DFE"/>
    <w:rsid w:val="00CD440C"/>
    <w:rsid w:val="00CE12AB"/>
    <w:rsid w:val="00CE39B0"/>
    <w:rsid w:val="00CE58F3"/>
    <w:rsid w:val="00CE7E86"/>
    <w:rsid w:val="00CF0906"/>
    <w:rsid w:val="00CF3C84"/>
    <w:rsid w:val="00CF4C3A"/>
    <w:rsid w:val="00CF6601"/>
    <w:rsid w:val="00CF6622"/>
    <w:rsid w:val="00D01F5F"/>
    <w:rsid w:val="00D02946"/>
    <w:rsid w:val="00D02D24"/>
    <w:rsid w:val="00D02D95"/>
    <w:rsid w:val="00D030EF"/>
    <w:rsid w:val="00D0419C"/>
    <w:rsid w:val="00D054BD"/>
    <w:rsid w:val="00D05DBE"/>
    <w:rsid w:val="00D0703F"/>
    <w:rsid w:val="00D0775F"/>
    <w:rsid w:val="00D07DCB"/>
    <w:rsid w:val="00D07FA9"/>
    <w:rsid w:val="00D10F31"/>
    <w:rsid w:val="00D10F57"/>
    <w:rsid w:val="00D129EA"/>
    <w:rsid w:val="00D12FAB"/>
    <w:rsid w:val="00D14E5E"/>
    <w:rsid w:val="00D17B24"/>
    <w:rsid w:val="00D20BEE"/>
    <w:rsid w:val="00D23064"/>
    <w:rsid w:val="00D247E0"/>
    <w:rsid w:val="00D258D6"/>
    <w:rsid w:val="00D330B7"/>
    <w:rsid w:val="00D354D5"/>
    <w:rsid w:val="00D36697"/>
    <w:rsid w:val="00D37A44"/>
    <w:rsid w:val="00D40C6B"/>
    <w:rsid w:val="00D427F2"/>
    <w:rsid w:val="00D43D9A"/>
    <w:rsid w:val="00D45859"/>
    <w:rsid w:val="00D507FC"/>
    <w:rsid w:val="00D52227"/>
    <w:rsid w:val="00D52E21"/>
    <w:rsid w:val="00D544AD"/>
    <w:rsid w:val="00D545CE"/>
    <w:rsid w:val="00D54E72"/>
    <w:rsid w:val="00D5660D"/>
    <w:rsid w:val="00D568EB"/>
    <w:rsid w:val="00D56B1C"/>
    <w:rsid w:val="00D56D37"/>
    <w:rsid w:val="00D60CD3"/>
    <w:rsid w:val="00D62C4C"/>
    <w:rsid w:val="00D635D5"/>
    <w:rsid w:val="00D64304"/>
    <w:rsid w:val="00D649E7"/>
    <w:rsid w:val="00D65E27"/>
    <w:rsid w:val="00D6678D"/>
    <w:rsid w:val="00D71197"/>
    <w:rsid w:val="00D71359"/>
    <w:rsid w:val="00D72682"/>
    <w:rsid w:val="00D73B25"/>
    <w:rsid w:val="00D746BD"/>
    <w:rsid w:val="00D74EEA"/>
    <w:rsid w:val="00D76EFC"/>
    <w:rsid w:val="00D77BE1"/>
    <w:rsid w:val="00D809DE"/>
    <w:rsid w:val="00D81D4E"/>
    <w:rsid w:val="00D81E56"/>
    <w:rsid w:val="00D84528"/>
    <w:rsid w:val="00D84A06"/>
    <w:rsid w:val="00D85855"/>
    <w:rsid w:val="00D86B14"/>
    <w:rsid w:val="00D86C6D"/>
    <w:rsid w:val="00D906B2"/>
    <w:rsid w:val="00D91337"/>
    <w:rsid w:val="00D926C0"/>
    <w:rsid w:val="00D92A64"/>
    <w:rsid w:val="00D92D9A"/>
    <w:rsid w:val="00D93390"/>
    <w:rsid w:val="00D94993"/>
    <w:rsid w:val="00D94ED6"/>
    <w:rsid w:val="00D967F8"/>
    <w:rsid w:val="00D969E3"/>
    <w:rsid w:val="00DA3221"/>
    <w:rsid w:val="00DA52B3"/>
    <w:rsid w:val="00DA58EE"/>
    <w:rsid w:val="00DA5D77"/>
    <w:rsid w:val="00DA7AD5"/>
    <w:rsid w:val="00DB113E"/>
    <w:rsid w:val="00DB2672"/>
    <w:rsid w:val="00DB2782"/>
    <w:rsid w:val="00DC0056"/>
    <w:rsid w:val="00DC0163"/>
    <w:rsid w:val="00DC10B2"/>
    <w:rsid w:val="00DC26B8"/>
    <w:rsid w:val="00DC2A68"/>
    <w:rsid w:val="00DC33CB"/>
    <w:rsid w:val="00DC4072"/>
    <w:rsid w:val="00DC5A38"/>
    <w:rsid w:val="00DC6BD9"/>
    <w:rsid w:val="00DC70AB"/>
    <w:rsid w:val="00DD339B"/>
    <w:rsid w:val="00DD4495"/>
    <w:rsid w:val="00DD7212"/>
    <w:rsid w:val="00DD76E9"/>
    <w:rsid w:val="00DE1A99"/>
    <w:rsid w:val="00DE2A3A"/>
    <w:rsid w:val="00DE2D74"/>
    <w:rsid w:val="00DE44AD"/>
    <w:rsid w:val="00DE44D8"/>
    <w:rsid w:val="00DE5226"/>
    <w:rsid w:val="00DE5CFE"/>
    <w:rsid w:val="00DE7560"/>
    <w:rsid w:val="00DF0625"/>
    <w:rsid w:val="00DF2853"/>
    <w:rsid w:val="00DF36A0"/>
    <w:rsid w:val="00DF36D4"/>
    <w:rsid w:val="00DF6CF3"/>
    <w:rsid w:val="00DF72F7"/>
    <w:rsid w:val="00E002BF"/>
    <w:rsid w:val="00E01C91"/>
    <w:rsid w:val="00E02940"/>
    <w:rsid w:val="00E03FF5"/>
    <w:rsid w:val="00E06356"/>
    <w:rsid w:val="00E06BB7"/>
    <w:rsid w:val="00E07E16"/>
    <w:rsid w:val="00E1163D"/>
    <w:rsid w:val="00E124FF"/>
    <w:rsid w:val="00E13228"/>
    <w:rsid w:val="00E13793"/>
    <w:rsid w:val="00E13956"/>
    <w:rsid w:val="00E14F60"/>
    <w:rsid w:val="00E14FEC"/>
    <w:rsid w:val="00E15C29"/>
    <w:rsid w:val="00E15F04"/>
    <w:rsid w:val="00E204D8"/>
    <w:rsid w:val="00E2249D"/>
    <w:rsid w:val="00E22853"/>
    <w:rsid w:val="00E231C5"/>
    <w:rsid w:val="00E23C26"/>
    <w:rsid w:val="00E24981"/>
    <w:rsid w:val="00E26564"/>
    <w:rsid w:val="00E305DA"/>
    <w:rsid w:val="00E3162D"/>
    <w:rsid w:val="00E32F60"/>
    <w:rsid w:val="00E33873"/>
    <w:rsid w:val="00E34296"/>
    <w:rsid w:val="00E34EAE"/>
    <w:rsid w:val="00E35271"/>
    <w:rsid w:val="00E355B7"/>
    <w:rsid w:val="00E358E0"/>
    <w:rsid w:val="00E4055E"/>
    <w:rsid w:val="00E40A75"/>
    <w:rsid w:val="00E40DD3"/>
    <w:rsid w:val="00E4177C"/>
    <w:rsid w:val="00E42BC6"/>
    <w:rsid w:val="00E43547"/>
    <w:rsid w:val="00E44565"/>
    <w:rsid w:val="00E4619D"/>
    <w:rsid w:val="00E46BA9"/>
    <w:rsid w:val="00E4748A"/>
    <w:rsid w:val="00E505B2"/>
    <w:rsid w:val="00E5096D"/>
    <w:rsid w:val="00E51E63"/>
    <w:rsid w:val="00E52964"/>
    <w:rsid w:val="00E532C6"/>
    <w:rsid w:val="00E54243"/>
    <w:rsid w:val="00E56BC2"/>
    <w:rsid w:val="00E61E4C"/>
    <w:rsid w:val="00E621A0"/>
    <w:rsid w:val="00E6443B"/>
    <w:rsid w:val="00E66AFE"/>
    <w:rsid w:val="00E702A4"/>
    <w:rsid w:val="00E7059F"/>
    <w:rsid w:val="00E7174D"/>
    <w:rsid w:val="00E72F31"/>
    <w:rsid w:val="00E740A5"/>
    <w:rsid w:val="00E76E34"/>
    <w:rsid w:val="00E77BF9"/>
    <w:rsid w:val="00E828A0"/>
    <w:rsid w:val="00E8452A"/>
    <w:rsid w:val="00E849E6"/>
    <w:rsid w:val="00E8506F"/>
    <w:rsid w:val="00E85A78"/>
    <w:rsid w:val="00E85CC5"/>
    <w:rsid w:val="00E85E25"/>
    <w:rsid w:val="00E864D5"/>
    <w:rsid w:val="00E8688D"/>
    <w:rsid w:val="00E86E0F"/>
    <w:rsid w:val="00E87949"/>
    <w:rsid w:val="00E90C82"/>
    <w:rsid w:val="00E91167"/>
    <w:rsid w:val="00E91E2B"/>
    <w:rsid w:val="00E92467"/>
    <w:rsid w:val="00E92583"/>
    <w:rsid w:val="00E92D07"/>
    <w:rsid w:val="00E935A6"/>
    <w:rsid w:val="00E9383B"/>
    <w:rsid w:val="00EA02C8"/>
    <w:rsid w:val="00EA0C87"/>
    <w:rsid w:val="00EA1427"/>
    <w:rsid w:val="00EA1D1B"/>
    <w:rsid w:val="00EA2244"/>
    <w:rsid w:val="00EA240A"/>
    <w:rsid w:val="00EA39AE"/>
    <w:rsid w:val="00EA500D"/>
    <w:rsid w:val="00EA5528"/>
    <w:rsid w:val="00EA59B9"/>
    <w:rsid w:val="00EB0D7D"/>
    <w:rsid w:val="00EB1409"/>
    <w:rsid w:val="00EB69B8"/>
    <w:rsid w:val="00EB75EB"/>
    <w:rsid w:val="00EC05E1"/>
    <w:rsid w:val="00EC1536"/>
    <w:rsid w:val="00EC21B6"/>
    <w:rsid w:val="00EC2EF1"/>
    <w:rsid w:val="00EC62B9"/>
    <w:rsid w:val="00EC641B"/>
    <w:rsid w:val="00EC66F1"/>
    <w:rsid w:val="00EC73FF"/>
    <w:rsid w:val="00ED08CB"/>
    <w:rsid w:val="00ED1D2A"/>
    <w:rsid w:val="00ED2082"/>
    <w:rsid w:val="00ED224C"/>
    <w:rsid w:val="00ED25CE"/>
    <w:rsid w:val="00ED2C9A"/>
    <w:rsid w:val="00ED58BE"/>
    <w:rsid w:val="00ED6941"/>
    <w:rsid w:val="00EE08B4"/>
    <w:rsid w:val="00EE0CCE"/>
    <w:rsid w:val="00EE324B"/>
    <w:rsid w:val="00EE34ED"/>
    <w:rsid w:val="00EE3756"/>
    <w:rsid w:val="00EE377F"/>
    <w:rsid w:val="00EE4C56"/>
    <w:rsid w:val="00EE5D57"/>
    <w:rsid w:val="00EE7E38"/>
    <w:rsid w:val="00EF162C"/>
    <w:rsid w:val="00EF168C"/>
    <w:rsid w:val="00EF2F50"/>
    <w:rsid w:val="00EF38CE"/>
    <w:rsid w:val="00EF3DFE"/>
    <w:rsid w:val="00EF3E42"/>
    <w:rsid w:val="00EF4B20"/>
    <w:rsid w:val="00EF657F"/>
    <w:rsid w:val="00EF65EA"/>
    <w:rsid w:val="00EF6C3C"/>
    <w:rsid w:val="00EF6DD6"/>
    <w:rsid w:val="00EF7F86"/>
    <w:rsid w:val="00F014F0"/>
    <w:rsid w:val="00F01B64"/>
    <w:rsid w:val="00F01BCE"/>
    <w:rsid w:val="00F0344D"/>
    <w:rsid w:val="00F05846"/>
    <w:rsid w:val="00F06910"/>
    <w:rsid w:val="00F07509"/>
    <w:rsid w:val="00F07B33"/>
    <w:rsid w:val="00F07D07"/>
    <w:rsid w:val="00F07DE4"/>
    <w:rsid w:val="00F10EAD"/>
    <w:rsid w:val="00F115F4"/>
    <w:rsid w:val="00F117DF"/>
    <w:rsid w:val="00F11C91"/>
    <w:rsid w:val="00F11DE7"/>
    <w:rsid w:val="00F13237"/>
    <w:rsid w:val="00F13E45"/>
    <w:rsid w:val="00F156E4"/>
    <w:rsid w:val="00F158B2"/>
    <w:rsid w:val="00F1699D"/>
    <w:rsid w:val="00F17268"/>
    <w:rsid w:val="00F21AB3"/>
    <w:rsid w:val="00F2337C"/>
    <w:rsid w:val="00F233FA"/>
    <w:rsid w:val="00F23746"/>
    <w:rsid w:val="00F23D3F"/>
    <w:rsid w:val="00F252F8"/>
    <w:rsid w:val="00F25EB9"/>
    <w:rsid w:val="00F2653B"/>
    <w:rsid w:val="00F26767"/>
    <w:rsid w:val="00F32F30"/>
    <w:rsid w:val="00F341AF"/>
    <w:rsid w:val="00F360CB"/>
    <w:rsid w:val="00F37690"/>
    <w:rsid w:val="00F3772A"/>
    <w:rsid w:val="00F37FF9"/>
    <w:rsid w:val="00F40FF9"/>
    <w:rsid w:val="00F41204"/>
    <w:rsid w:val="00F429D7"/>
    <w:rsid w:val="00F42CF5"/>
    <w:rsid w:val="00F43085"/>
    <w:rsid w:val="00F43B83"/>
    <w:rsid w:val="00F44742"/>
    <w:rsid w:val="00F461FB"/>
    <w:rsid w:val="00F47F43"/>
    <w:rsid w:val="00F502DA"/>
    <w:rsid w:val="00F50F0B"/>
    <w:rsid w:val="00F51EFD"/>
    <w:rsid w:val="00F524CD"/>
    <w:rsid w:val="00F537EE"/>
    <w:rsid w:val="00F53D99"/>
    <w:rsid w:val="00F54210"/>
    <w:rsid w:val="00F542DD"/>
    <w:rsid w:val="00F54683"/>
    <w:rsid w:val="00F548AA"/>
    <w:rsid w:val="00F54B4E"/>
    <w:rsid w:val="00F5513D"/>
    <w:rsid w:val="00F55E9A"/>
    <w:rsid w:val="00F57663"/>
    <w:rsid w:val="00F57DB3"/>
    <w:rsid w:val="00F60412"/>
    <w:rsid w:val="00F6329A"/>
    <w:rsid w:val="00F63D81"/>
    <w:rsid w:val="00F655F6"/>
    <w:rsid w:val="00F65A8C"/>
    <w:rsid w:val="00F65D89"/>
    <w:rsid w:val="00F673D9"/>
    <w:rsid w:val="00F679C7"/>
    <w:rsid w:val="00F67A74"/>
    <w:rsid w:val="00F67DA0"/>
    <w:rsid w:val="00F70A8E"/>
    <w:rsid w:val="00F72BC5"/>
    <w:rsid w:val="00F72D14"/>
    <w:rsid w:val="00F7544E"/>
    <w:rsid w:val="00F82430"/>
    <w:rsid w:val="00F82BE6"/>
    <w:rsid w:val="00F82D1A"/>
    <w:rsid w:val="00F831DD"/>
    <w:rsid w:val="00F84158"/>
    <w:rsid w:val="00F844DC"/>
    <w:rsid w:val="00F84A7D"/>
    <w:rsid w:val="00F85984"/>
    <w:rsid w:val="00F90109"/>
    <w:rsid w:val="00F902AD"/>
    <w:rsid w:val="00F9075D"/>
    <w:rsid w:val="00F91A18"/>
    <w:rsid w:val="00F92915"/>
    <w:rsid w:val="00F93366"/>
    <w:rsid w:val="00F94929"/>
    <w:rsid w:val="00F94DED"/>
    <w:rsid w:val="00F954E2"/>
    <w:rsid w:val="00F95995"/>
    <w:rsid w:val="00F96038"/>
    <w:rsid w:val="00F96F81"/>
    <w:rsid w:val="00FA038A"/>
    <w:rsid w:val="00FA0949"/>
    <w:rsid w:val="00FA12C6"/>
    <w:rsid w:val="00FA2771"/>
    <w:rsid w:val="00FA278C"/>
    <w:rsid w:val="00FA29AD"/>
    <w:rsid w:val="00FA30A2"/>
    <w:rsid w:val="00FA4CBB"/>
    <w:rsid w:val="00FA5C59"/>
    <w:rsid w:val="00FA7055"/>
    <w:rsid w:val="00FA7766"/>
    <w:rsid w:val="00FB3039"/>
    <w:rsid w:val="00FB342E"/>
    <w:rsid w:val="00FB430F"/>
    <w:rsid w:val="00FB4436"/>
    <w:rsid w:val="00FB461B"/>
    <w:rsid w:val="00FB5922"/>
    <w:rsid w:val="00FB679E"/>
    <w:rsid w:val="00FB72D4"/>
    <w:rsid w:val="00FB767A"/>
    <w:rsid w:val="00FB7914"/>
    <w:rsid w:val="00FC1B62"/>
    <w:rsid w:val="00FC1B77"/>
    <w:rsid w:val="00FC2E9F"/>
    <w:rsid w:val="00FC3851"/>
    <w:rsid w:val="00FC43A8"/>
    <w:rsid w:val="00FC4B96"/>
    <w:rsid w:val="00FC60F0"/>
    <w:rsid w:val="00FC731C"/>
    <w:rsid w:val="00FD04D8"/>
    <w:rsid w:val="00FD0D09"/>
    <w:rsid w:val="00FD0D43"/>
    <w:rsid w:val="00FD0E04"/>
    <w:rsid w:val="00FD315C"/>
    <w:rsid w:val="00FD369C"/>
    <w:rsid w:val="00FD3B81"/>
    <w:rsid w:val="00FD4CD8"/>
    <w:rsid w:val="00FD67C1"/>
    <w:rsid w:val="00FE0BBB"/>
    <w:rsid w:val="00FE12AC"/>
    <w:rsid w:val="00FE26DF"/>
    <w:rsid w:val="00FE34D5"/>
    <w:rsid w:val="00FE39D8"/>
    <w:rsid w:val="00FE44B3"/>
    <w:rsid w:val="00FE6A44"/>
    <w:rsid w:val="00FF141C"/>
    <w:rsid w:val="00FF1A02"/>
    <w:rsid w:val="00FF300D"/>
    <w:rsid w:val="00FF3069"/>
    <w:rsid w:val="00FF64AD"/>
    <w:rsid w:val="00FF68E0"/>
    <w:rsid w:val="00FF74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17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1F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17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773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1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3E"/>
  </w:style>
  <w:style w:type="paragraph" w:styleId="Footer">
    <w:name w:val="footer"/>
    <w:basedOn w:val="Normal"/>
    <w:link w:val="FooterChar"/>
    <w:uiPriority w:val="99"/>
    <w:unhideWhenUsed/>
    <w:rsid w:val="0071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3E"/>
  </w:style>
  <w:style w:type="paragraph" w:styleId="TOCHeading">
    <w:name w:val="TOC Heading"/>
    <w:basedOn w:val="Heading1"/>
    <w:next w:val="Normal"/>
    <w:uiPriority w:val="39"/>
    <w:unhideWhenUsed/>
    <w:qFormat/>
    <w:rsid w:val="0071773E"/>
    <w:pPr>
      <w:outlineLvl w:val="9"/>
    </w:pPr>
    <w:rPr>
      <w:lang w:eastAsia="ja-JP"/>
    </w:rPr>
  </w:style>
  <w:style w:type="paragraph" w:styleId="TOC1">
    <w:name w:val="toc 1"/>
    <w:aliases w:val="TOC AM"/>
    <w:basedOn w:val="Normal"/>
    <w:next w:val="Normal"/>
    <w:autoRedefine/>
    <w:uiPriority w:val="39"/>
    <w:unhideWhenUsed/>
    <w:qFormat/>
    <w:rsid w:val="00B20D0B"/>
    <w:pPr>
      <w:spacing w:before="240" w:after="240" w:line="240" w:lineRule="auto"/>
    </w:pPr>
    <w:rPr>
      <w:rFonts w:ascii="Arial" w:hAnsi="Arial"/>
      <w:b/>
      <w:bCs/>
      <w:iCs/>
      <w:szCs w:val="24"/>
    </w:rPr>
  </w:style>
  <w:style w:type="character" w:styleId="Hyperlink">
    <w:name w:val="Hyperlink"/>
    <w:basedOn w:val="DefaultParagraphFont"/>
    <w:uiPriority w:val="99"/>
    <w:unhideWhenUsed/>
    <w:rsid w:val="0071773E"/>
    <w:rPr>
      <w:color w:val="0000FF" w:themeColor="hyperlink"/>
      <w:u w:val="single"/>
    </w:rPr>
  </w:style>
  <w:style w:type="paragraph" w:styleId="BalloonText">
    <w:name w:val="Balloon Text"/>
    <w:basedOn w:val="Normal"/>
    <w:link w:val="BalloonTextChar"/>
    <w:uiPriority w:val="99"/>
    <w:semiHidden/>
    <w:unhideWhenUsed/>
    <w:rsid w:val="0071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3E"/>
    <w:rPr>
      <w:rFonts w:ascii="Tahoma" w:hAnsi="Tahoma" w:cs="Tahoma"/>
      <w:sz w:val="16"/>
      <w:szCs w:val="16"/>
    </w:rPr>
  </w:style>
  <w:style w:type="paragraph" w:styleId="ListParagraph">
    <w:name w:val="List Paragraph"/>
    <w:basedOn w:val="Normal"/>
    <w:link w:val="ListParagraphChar"/>
    <w:uiPriority w:val="99"/>
    <w:qFormat/>
    <w:rsid w:val="00D01F5F"/>
    <w:pPr>
      <w:ind w:left="720"/>
      <w:contextualSpacing/>
    </w:pPr>
  </w:style>
  <w:style w:type="character" w:customStyle="1" w:styleId="Heading2Char">
    <w:name w:val="Heading 2 Char"/>
    <w:basedOn w:val="DefaultParagraphFont"/>
    <w:link w:val="Heading2"/>
    <w:uiPriority w:val="9"/>
    <w:rsid w:val="00D01F5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20D0B"/>
    <w:pPr>
      <w:tabs>
        <w:tab w:val="left" w:pos="1760"/>
        <w:tab w:val="right" w:leader="dot" w:pos="9629"/>
      </w:tabs>
      <w:spacing w:before="120" w:after="120" w:line="240" w:lineRule="auto"/>
      <w:ind w:left="1418" w:right="851" w:hanging="1197"/>
    </w:pPr>
    <w:rPr>
      <w:rFonts w:ascii="Arial" w:hAnsi="Arial"/>
      <w:bCs/>
      <w:sz w:val="20"/>
    </w:rPr>
  </w:style>
  <w:style w:type="table" w:styleId="TableGrid">
    <w:name w:val="Table Grid"/>
    <w:basedOn w:val="TableNormal"/>
    <w:uiPriority w:val="99"/>
    <w:rsid w:val="00A37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qFormat/>
    <w:rsid w:val="00A37104"/>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rsid w:val="00A37104"/>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 BVI fnr,Footnote Reference Number,Footnote Reference_LVL6,Footnote Reference_LVL61,Знак сноски-FN"/>
    <w:basedOn w:val="DefaultParagraphFont"/>
    <w:link w:val="BVIfnrCharCharCharChar"/>
    <w:qFormat/>
    <w:rsid w:val="00A37104"/>
    <w:rPr>
      <w:vertAlign w:val="superscript"/>
    </w:rPr>
  </w:style>
  <w:style w:type="character" w:styleId="CommentReference">
    <w:name w:val="annotation reference"/>
    <w:basedOn w:val="DefaultParagraphFont"/>
    <w:uiPriority w:val="99"/>
    <w:semiHidden/>
    <w:rsid w:val="00A525E1"/>
    <w:rPr>
      <w:sz w:val="16"/>
      <w:szCs w:val="16"/>
    </w:rPr>
  </w:style>
  <w:style w:type="paragraph" w:styleId="CommentText">
    <w:name w:val="annotation text"/>
    <w:basedOn w:val="Normal"/>
    <w:link w:val="CommentTextChar"/>
    <w:uiPriority w:val="99"/>
    <w:semiHidden/>
    <w:rsid w:val="00A525E1"/>
    <w:rPr>
      <w:rFonts w:ascii="Calibri" w:eastAsia="SimSun" w:hAnsi="Calibri" w:cs="Calibri"/>
      <w:sz w:val="20"/>
      <w:szCs w:val="20"/>
      <w:lang w:val="ru-RU" w:eastAsia="zh-CN"/>
    </w:rPr>
  </w:style>
  <w:style w:type="character" w:customStyle="1" w:styleId="CommentTextChar">
    <w:name w:val="Comment Text Char"/>
    <w:basedOn w:val="DefaultParagraphFont"/>
    <w:link w:val="CommentText"/>
    <w:uiPriority w:val="99"/>
    <w:semiHidden/>
    <w:rsid w:val="00A525E1"/>
    <w:rPr>
      <w:rFonts w:ascii="Calibri" w:eastAsia="SimSun" w:hAnsi="Calibri" w:cs="Calibri"/>
      <w:sz w:val="20"/>
      <w:szCs w:val="20"/>
      <w:lang w:val="ru-RU" w:eastAsia="zh-CN"/>
    </w:rPr>
  </w:style>
  <w:style w:type="paragraph" w:styleId="CommentSubject">
    <w:name w:val="annotation subject"/>
    <w:basedOn w:val="CommentText"/>
    <w:next w:val="CommentText"/>
    <w:link w:val="CommentSubjectChar"/>
    <w:uiPriority w:val="99"/>
    <w:semiHidden/>
    <w:rsid w:val="00A525E1"/>
    <w:rPr>
      <w:b/>
      <w:bCs/>
    </w:rPr>
  </w:style>
  <w:style w:type="character" w:customStyle="1" w:styleId="CommentSubjectChar">
    <w:name w:val="Comment Subject Char"/>
    <w:basedOn w:val="CommentTextChar"/>
    <w:link w:val="CommentSubject"/>
    <w:uiPriority w:val="99"/>
    <w:semiHidden/>
    <w:rsid w:val="00A525E1"/>
    <w:rPr>
      <w:rFonts w:ascii="Calibri" w:eastAsia="SimSun" w:hAnsi="Calibri" w:cs="Calibri"/>
      <w:b/>
      <w:bCs/>
      <w:sz w:val="20"/>
      <w:szCs w:val="20"/>
      <w:lang w:val="ru-RU" w:eastAsia="zh-CN"/>
    </w:rPr>
  </w:style>
  <w:style w:type="character" w:customStyle="1" w:styleId="ListParagraphChar">
    <w:name w:val="List Paragraph Char"/>
    <w:link w:val="ListParagraph"/>
    <w:uiPriority w:val="99"/>
    <w:locked/>
    <w:rsid w:val="00A525E1"/>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A525E1"/>
    <w:rPr>
      <w:rFonts w:ascii="Arial" w:eastAsia="SimSun" w:hAnsi="Arial" w:cs="Arial"/>
      <w:sz w:val="20"/>
      <w:szCs w:val="20"/>
      <w:lang w:val="en-US" w:eastAsia="zh-CN"/>
    </w:rPr>
  </w:style>
  <w:style w:type="paragraph" w:styleId="TOC3">
    <w:name w:val="toc 3"/>
    <w:basedOn w:val="Normal"/>
    <w:next w:val="Normal"/>
    <w:autoRedefine/>
    <w:rsid w:val="00A525E1"/>
    <w:pPr>
      <w:spacing w:after="0"/>
      <w:ind w:left="440"/>
    </w:pPr>
    <w:rPr>
      <w:sz w:val="20"/>
      <w:szCs w:val="20"/>
    </w:rPr>
  </w:style>
  <w:style w:type="paragraph" w:styleId="TOC4">
    <w:name w:val="toc 4"/>
    <w:basedOn w:val="Normal"/>
    <w:next w:val="Normal"/>
    <w:autoRedefine/>
    <w:rsid w:val="00A525E1"/>
    <w:pPr>
      <w:spacing w:after="0"/>
      <w:ind w:left="660"/>
    </w:pPr>
    <w:rPr>
      <w:sz w:val="20"/>
      <w:szCs w:val="20"/>
    </w:rPr>
  </w:style>
  <w:style w:type="paragraph" w:styleId="TOC5">
    <w:name w:val="toc 5"/>
    <w:basedOn w:val="Normal"/>
    <w:next w:val="Normal"/>
    <w:autoRedefine/>
    <w:rsid w:val="00A525E1"/>
    <w:pPr>
      <w:spacing w:after="0"/>
      <w:ind w:left="880"/>
    </w:pPr>
    <w:rPr>
      <w:sz w:val="20"/>
      <w:szCs w:val="20"/>
    </w:rPr>
  </w:style>
  <w:style w:type="paragraph" w:styleId="TOC6">
    <w:name w:val="toc 6"/>
    <w:basedOn w:val="Normal"/>
    <w:next w:val="Normal"/>
    <w:autoRedefine/>
    <w:rsid w:val="00A525E1"/>
    <w:pPr>
      <w:spacing w:after="0"/>
      <w:ind w:left="1100"/>
    </w:pPr>
    <w:rPr>
      <w:sz w:val="20"/>
      <w:szCs w:val="20"/>
    </w:rPr>
  </w:style>
  <w:style w:type="paragraph" w:styleId="TOC7">
    <w:name w:val="toc 7"/>
    <w:basedOn w:val="Normal"/>
    <w:next w:val="Normal"/>
    <w:autoRedefine/>
    <w:rsid w:val="00A525E1"/>
    <w:pPr>
      <w:spacing w:after="0"/>
      <w:ind w:left="1320"/>
    </w:pPr>
    <w:rPr>
      <w:sz w:val="20"/>
      <w:szCs w:val="20"/>
    </w:rPr>
  </w:style>
  <w:style w:type="paragraph" w:styleId="TOC8">
    <w:name w:val="toc 8"/>
    <w:basedOn w:val="Normal"/>
    <w:next w:val="Normal"/>
    <w:autoRedefine/>
    <w:rsid w:val="00A525E1"/>
    <w:pPr>
      <w:spacing w:after="0"/>
      <w:ind w:left="1540"/>
    </w:pPr>
    <w:rPr>
      <w:sz w:val="20"/>
      <w:szCs w:val="20"/>
    </w:rPr>
  </w:style>
  <w:style w:type="paragraph" w:styleId="TOC9">
    <w:name w:val="toc 9"/>
    <w:basedOn w:val="Normal"/>
    <w:next w:val="Normal"/>
    <w:autoRedefine/>
    <w:rsid w:val="00A525E1"/>
    <w:pPr>
      <w:spacing w:after="0"/>
      <w:ind w:left="1760"/>
    </w:pPr>
    <w:rPr>
      <w:sz w:val="20"/>
      <w:szCs w:val="20"/>
    </w:rPr>
  </w:style>
  <w:style w:type="paragraph" w:styleId="Title">
    <w:name w:val="Title"/>
    <w:basedOn w:val="Normal"/>
    <w:next w:val="Normal"/>
    <w:link w:val="TitleChar"/>
    <w:qFormat/>
    <w:rsid w:val="00A52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zh-CN"/>
    </w:rPr>
  </w:style>
  <w:style w:type="character" w:customStyle="1" w:styleId="TitleChar">
    <w:name w:val="Title Char"/>
    <w:basedOn w:val="DefaultParagraphFont"/>
    <w:link w:val="Title"/>
    <w:rsid w:val="00A525E1"/>
    <w:rPr>
      <w:rFonts w:asciiTheme="majorHAnsi" w:eastAsiaTheme="majorEastAsia" w:hAnsiTheme="majorHAnsi" w:cstheme="majorBidi"/>
      <w:color w:val="17365D" w:themeColor="text2" w:themeShade="BF"/>
      <w:spacing w:val="5"/>
      <w:kern w:val="28"/>
      <w:sz w:val="52"/>
      <w:szCs w:val="52"/>
      <w:lang w:val="ru-RU" w:eastAsia="zh-CN"/>
    </w:rPr>
  </w:style>
  <w:style w:type="character" w:customStyle="1" w:styleId="hps">
    <w:name w:val="hps"/>
    <w:basedOn w:val="DefaultParagraphFont"/>
    <w:rsid w:val="00A525E1"/>
  </w:style>
  <w:style w:type="paragraph" w:styleId="Caption">
    <w:name w:val="caption"/>
    <w:basedOn w:val="Normal"/>
    <w:next w:val="Normal"/>
    <w:uiPriority w:val="35"/>
    <w:unhideWhenUsed/>
    <w:qFormat/>
    <w:rsid w:val="00AA532B"/>
    <w:pPr>
      <w:spacing w:line="240" w:lineRule="auto"/>
    </w:pPr>
    <w:rPr>
      <w:b/>
      <w:bCs/>
      <w:color w:val="4F81BD" w:themeColor="accent1"/>
      <w:sz w:val="20"/>
      <w:szCs w:val="18"/>
    </w:rPr>
  </w:style>
  <w:style w:type="paragraph" w:styleId="EndnoteText">
    <w:name w:val="endnote text"/>
    <w:basedOn w:val="Normal"/>
    <w:link w:val="EndnoteTextChar"/>
    <w:uiPriority w:val="99"/>
    <w:semiHidden/>
    <w:unhideWhenUsed/>
    <w:rsid w:val="00846AB0"/>
    <w:pPr>
      <w:spacing w:after="0" w:line="240" w:lineRule="auto"/>
      <w:jc w:val="both"/>
    </w:pPr>
    <w:rPr>
      <w:sz w:val="20"/>
      <w:szCs w:val="20"/>
      <w:lang w:eastAsia="ru-RU"/>
    </w:rPr>
  </w:style>
  <w:style w:type="character" w:customStyle="1" w:styleId="EndnoteTextChar">
    <w:name w:val="Endnote Text Char"/>
    <w:basedOn w:val="DefaultParagraphFont"/>
    <w:link w:val="EndnoteText"/>
    <w:uiPriority w:val="99"/>
    <w:semiHidden/>
    <w:rsid w:val="00846AB0"/>
    <w:rPr>
      <w:rFonts w:eastAsiaTheme="minorEastAsia"/>
      <w:sz w:val="20"/>
      <w:szCs w:val="20"/>
      <w:lang w:eastAsia="ru-RU"/>
    </w:rPr>
  </w:style>
  <w:style w:type="character" w:styleId="EndnoteReference">
    <w:name w:val="endnote reference"/>
    <w:basedOn w:val="DefaultParagraphFont"/>
    <w:uiPriority w:val="99"/>
    <w:semiHidden/>
    <w:unhideWhenUsed/>
    <w:rsid w:val="00846AB0"/>
    <w:rPr>
      <w:vertAlign w:val="superscript"/>
    </w:rPr>
  </w:style>
  <w:style w:type="character" w:customStyle="1" w:styleId="Heading3Char">
    <w:name w:val="Heading 3 Char"/>
    <w:basedOn w:val="DefaultParagraphFont"/>
    <w:link w:val="Heading3"/>
    <w:uiPriority w:val="9"/>
    <w:semiHidden/>
    <w:rsid w:val="0012170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72381"/>
    <w:rPr>
      <w:color w:val="800080"/>
      <w:u w:val="single"/>
    </w:rPr>
  </w:style>
  <w:style w:type="paragraph" w:customStyle="1" w:styleId="font5">
    <w:name w:val="font5"/>
    <w:basedOn w:val="Normal"/>
    <w:rsid w:val="00C72381"/>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xl170">
    <w:name w:val="xl170"/>
    <w:basedOn w:val="Normal"/>
    <w:rsid w:val="00C72381"/>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171">
    <w:name w:val="xl171"/>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172">
    <w:name w:val="xl172"/>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173">
    <w:name w:val="xl173"/>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174">
    <w:name w:val="xl174"/>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rPr>
  </w:style>
  <w:style w:type="paragraph" w:customStyle="1" w:styleId="xl175">
    <w:name w:val="xl175"/>
    <w:basedOn w:val="Normal"/>
    <w:rsid w:val="00C72381"/>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rPr>
  </w:style>
  <w:style w:type="paragraph" w:customStyle="1" w:styleId="xl176">
    <w:name w:val="xl176"/>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177">
    <w:name w:val="xl177"/>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178">
    <w:name w:val="xl178"/>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79">
    <w:name w:val="xl179"/>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rPr>
  </w:style>
  <w:style w:type="paragraph" w:customStyle="1" w:styleId="xl180">
    <w:name w:val="xl180"/>
    <w:basedOn w:val="Normal"/>
    <w:rsid w:val="00C7238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rPr>
  </w:style>
  <w:style w:type="paragraph" w:customStyle="1" w:styleId="xl181">
    <w:name w:val="xl181"/>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182">
    <w:name w:val="xl182"/>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183">
    <w:name w:val="xl183"/>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84">
    <w:name w:val="xl184"/>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rPr>
  </w:style>
  <w:style w:type="paragraph" w:customStyle="1" w:styleId="xl185">
    <w:name w:val="xl185"/>
    <w:basedOn w:val="Normal"/>
    <w:rsid w:val="00C7238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rPr>
  </w:style>
  <w:style w:type="paragraph" w:customStyle="1" w:styleId="xl186">
    <w:name w:val="xl186"/>
    <w:basedOn w:val="Normal"/>
    <w:rsid w:val="00C7238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187">
    <w:name w:val="xl187"/>
    <w:basedOn w:val="Normal"/>
    <w:rsid w:val="00C7238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188">
    <w:name w:val="xl188"/>
    <w:basedOn w:val="Normal"/>
    <w:rsid w:val="00C7238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rPr>
  </w:style>
  <w:style w:type="paragraph" w:customStyle="1" w:styleId="xl189">
    <w:name w:val="xl189"/>
    <w:basedOn w:val="Normal"/>
    <w:rsid w:val="00C7238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rPr>
  </w:style>
  <w:style w:type="paragraph" w:customStyle="1" w:styleId="xl190">
    <w:name w:val="xl190"/>
    <w:basedOn w:val="Normal"/>
    <w:rsid w:val="00C72381"/>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191">
    <w:name w:val="xl191"/>
    <w:basedOn w:val="Normal"/>
    <w:rsid w:val="00C72381"/>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192">
    <w:name w:val="xl192"/>
    <w:basedOn w:val="Normal"/>
    <w:rsid w:val="00C72381"/>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193">
    <w:name w:val="xl193"/>
    <w:basedOn w:val="Normal"/>
    <w:rsid w:val="00C7238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rPr>
  </w:style>
  <w:style w:type="paragraph" w:customStyle="1" w:styleId="xl194">
    <w:name w:val="xl194"/>
    <w:basedOn w:val="Normal"/>
    <w:rsid w:val="00C7238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195">
    <w:name w:val="xl195"/>
    <w:basedOn w:val="Normal"/>
    <w:rsid w:val="00C7238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196">
    <w:name w:val="xl196"/>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97">
    <w:name w:val="xl197"/>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98">
    <w:name w:val="xl198"/>
    <w:basedOn w:val="Normal"/>
    <w:rsid w:val="00C7238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199">
    <w:name w:val="xl199"/>
    <w:basedOn w:val="Normal"/>
    <w:rsid w:val="00C723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00">
    <w:name w:val="xl200"/>
    <w:basedOn w:val="Normal"/>
    <w:rsid w:val="00C7238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01">
    <w:name w:val="xl201"/>
    <w:basedOn w:val="Normal"/>
    <w:rsid w:val="00C723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rPr>
  </w:style>
  <w:style w:type="paragraph" w:styleId="NoSpacing">
    <w:name w:val="No Spacing"/>
    <w:rsid w:val="008E471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8E4715"/>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D02946"/>
    <w:pPr>
      <w:spacing w:after="160" w:line="240" w:lineRule="exact"/>
    </w:pPr>
    <w:rPr>
      <w:vertAlign w:val="superscript"/>
    </w:rPr>
  </w:style>
  <w:style w:type="paragraph" w:styleId="TableofFigures">
    <w:name w:val="table of figures"/>
    <w:basedOn w:val="Normal"/>
    <w:next w:val="Normal"/>
    <w:uiPriority w:val="99"/>
    <w:unhideWhenUsed/>
    <w:rsid w:val="00F60412"/>
    <w:pPr>
      <w:spacing w:after="0"/>
      <w:ind w:left="440" w:hanging="440"/>
    </w:pPr>
    <w:rPr>
      <w:smallCaps/>
      <w:sz w:val="20"/>
      <w:szCs w:val="20"/>
    </w:rPr>
  </w:style>
  <w:style w:type="table" w:styleId="LightList-Accent1">
    <w:name w:val="Light List Accent 1"/>
    <w:basedOn w:val="TableNormal"/>
    <w:uiPriority w:val="61"/>
    <w:rsid w:val="00026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17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1F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17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773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1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3E"/>
  </w:style>
  <w:style w:type="paragraph" w:styleId="Footer">
    <w:name w:val="footer"/>
    <w:basedOn w:val="Normal"/>
    <w:link w:val="FooterChar"/>
    <w:uiPriority w:val="99"/>
    <w:unhideWhenUsed/>
    <w:rsid w:val="0071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3E"/>
  </w:style>
  <w:style w:type="paragraph" w:styleId="TOCHeading">
    <w:name w:val="TOC Heading"/>
    <w:basedOn w:val="Heading1"/>
    <w:next w:val="Normal"/>
    <w:uiPriority w:val="39"/>
    <w:unhideWhenUsed/>
    <w:qFormat/>
    <w:rsid w:val="0071773E"/>
    <w:pPr>
      <w:outlineLvl w:val="9"/>
    </w:pPr>
    <w:rPr>
      <w:lang w:eastAsia="ja-JP"/>
    </w:rPr>
  </w:style>
  <w:style w:type="paragraph" w:styleId="TOC1">
    <w:name w:val="toc 1"/>
    <w:aliases w:val="TOC AM"/>
    <w:basedOn w:val="Normal"/>
    <w:next w:val="Normal"/>
    <w:autoRedefine/>
    <w:uiPriority w:val="39"/>
    <w:unhideWhenUsed/>
    <w:qFormat/>
    <w:rsid w:val="00B20D0B"/>
    <w:pPr>
      <w:spacing w:before="240" w:after="240" w:line="240" w:lineRule="auto"/>
    </w:pPr>
    <w:rPr>
      <w:rFonts w:ascii="Arial" w:hAnsi="Arial"/>
      <w:b/>
      <w:bCs/>
      <w:iCs/>
      <w:szCs w:val="24"/>
    </w:rPr>
  </w:style>
  <w:style w:type="character" w:styleId="Hyperlink">
    <w:name w:val="Hyperlink"/>
    <w:basedOn w:val="DefaultParagraphFont"/>
    <w:uiPriority w:val="99"/>
    <w:unhideWhenUsed/>
    <w:rsid w:val="0071773E"/>
    <w:rPr>
      <w:color w:val="0000FF" w:themeColor="hyperlink"/>
      <w:u w:val="single"/>
    </w:rPr>
  </w:style>
  <w:style w:type="paragraph" w:styleId="BalloonText">
    <w:name w:val="Balloon Text"/>
    <w:basedOn w:val="Normal"/>
    <w:link w:val="BalloonTextChar"/>
    <w:uiPriority w:val="99"/>
    <w:semiHidden/>
    <w:unhideWhenUsed/>
    <w:rsid w:val="0071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3E"/>
    <w:rPr>
      <w:rFonts w:ascii="Tahoma" w:hAnsi="Tahoma" w:cs="Tahoma"/>
      <w:sz w:val="16"/>
      <w:szCs w:val="16"/>
    </w:rPr>
  </w:style>
  <w:style w:type="paragraph" w:styleId="ListParagraph">
    <w:name w:val="List Paragraph"/>
    <w:basedOn w:val="Normal"/>
    <w:link w:val="ListParagraphChar"/>
    <w:uiPriority w:val="99"/>
    <w:qFormat/>
    <w:rsid w:val="00D01F5F"/>
    <w:pPr>
      <w:ind w:left="720"/>
      <w:contextualSpacing/>
    </w:pPr>
  </w:style>
  <w:style w:type="character" w:customStyle="1" w:styleId="Heading2Char">
    <w:name w:val="Heading 2 Char"/>
    <w:basedOn w:val="DefaultParagraphFont"/>
    <w:link w:val="Heading2"/>
    <w:uiPriority w:val="9"/>
    <w:rsid w:val="00D01F5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20D0B"/>
    <w:pPr>
      <w:tabs>
        <w:tab w:val="left" w:pos="1760"/>
        <w:tab w:val="right" w:leader="dot" w:pos="9629"/>
      </w:tabs>
      <w:spacing w:before="120" w:after="120" w:line="240" w:lineRule="auto"/>
      <w:ind w:left="1418" w:right="851" w:hanging="1197"/>
    </w:pPr>
    <w:rPr>
      <w:rFonts w:ascii="Arial" w:hAnsi="Arial"/>
      <w:bCs/>
      <w:sz w:val="20"/>
    </w:rPr>
  </w:style>
  <w:style w:type="table" w:styleId="TableGrid">
    <w:name w:val="Table Grid"/>
    <w:basedOn w:val="TableNormal"/>
    <w:uiPriority w:val="99"/>
    <w:rsid w:val="00A37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qFormat/>
    <w:rsid w:val="00A37104"/>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rsid w:val="00A37104"/>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 BVI fnr,Footnote Reference Number,Footnote Reference_LVL6,Footnote Reference_LVL61,Знак сноски-FN"/>
    <w:basedOn w:val="DefaultParagraphFont"/>
    <w:link w:val="BVIfnrCharCharCharChar"/>
    <w:qFormat/>
    <w:rsid w:val="00A37104"/>
    <w:rPr>
      <w:vertAlign w:val="superscript"/>
    </w:rPr>
  </w:style>
  <w:style w:type="character" w:styleId="CommentReference">
    <w:name w:val="annotation reference"/>
    <w:basedOn w:val="DefaultParagraphFont"/>
    <w:uiPriority w:val="99"/>
    <w:semiHidden/>
    <w:rsid w:val="00A525E1"/>
    <w:rPr>
      <w:sz w:val="16"/>
      <w:szCs w:val="16"/>
    </w:rPr>
  </w:style>
  <w:style w:type="paragraph" w:styleId="CommentText">
    <w:name w:val="annotation text"/>
    <w:basedOn w:val="Normal"/>
    <w:link w:val="CommentTextChar"/>
    <w:uiPriority w:val="99"/>
    <w:semiHidden/>
    <w:rsid w:val="00A525E1"/>
    <w:rPr>
      <w:rFonts w:ascii="Calibri" w:eastAsia="SimSun" w:hAnsi="Calibri" w:cs="Calibri"/>
      <w:sz w:val="20"/>
      <w:szCs w:val="20"/>
      <w:lang w:val="ru-RU" w:eastAsia="zh-CN"/>
    </w:rPr>
  </w:style>
  <w:style w:type="character" w:customStyle="1" w:styleId="CommentTextChar">
    <w:name w:val="Comment Text Char"/>
    <w:basedOn w:val="DefaultParagraphFont"/>
    <w:link w:val="CommentText"/>
    <w:uiPriority w:val="99"/>
    <w:semiHidden/>
    <w:rsid w:val="00A525E1"/>
    <w:rPr>
      <w:rFonts w:ascii="Calibri" w:eastAsia="SimSun" w:hAnsi="Calibri" w:cs="Calibri"/>
      <w:sz w:val="20"/>
      <w:szCs w:val="20"/>
      <w:lang w:val="ru-RU" w:eastAsia="zh-CN"/>
    </w:rPr>
  </w:style>
  <w:style w:type="paragraph" w:styleId="CommentSubject">
    <w:name w:val="annotation subject"/>
    <w:basedOn w:val="CommentText"/>
    <w:next w:val="CommentText"/>
    <w:link w:val="CommentSubjectChar"/>
    <w:uiPriority w:val="99"/>
    <w:semiHidden/>
    <w:rsid w:val="00A525E1"/>
    <w:rPr>
      <w:b/>
      <w:bCs/>
    </w:rPr>
  </w:style>
  <w:style w:type="character" w:customStyle="1" w:styleId="CommentSubjectChar">
    <w:name w:val="Comment Subject Char"/>
    <w:basedOn w:val="CommentTextChar"/>
    <w:link w:val="CommentSubject"/>
    <w:uiPriority w:val="99"/>
    <w:semiHidden/>
    <w:rsid w:val="00A525E1"/>
    <w:rPr>
      <w:rFonts w:ascii="Calibri" w:eastAsia="SimSun" w:hAnsi="Calibri" w:cs="Calibri"/>
      <w:b/>
      <w:bCs/>
      <w:sz w:val="20"/>
      <w:szCs w:val="20"/>
      <w:lang w:val="ru-RU" w:eastAsia="zh-CN"/>
    </w:rPr>
  </w:style>
  <w:style w:type="character" w:customStyle="1" w:styleId="ListParagraphChar">
    <w:name w:val="List Paragraph Char"/>
    <w:link w:val="ListParagraph"/>
    <w:uiPriority w:val="99"/>
    <w:locked/>
    <w:rsid w:val="00A525E1"/>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A525E1"/>
    <w:rPr>
      <w:rFonts w:ascii="Arial" w:eastAsia="SimSun" w:hAnsi="Arial" w:cs="Arial"/>
      <w:sz w:val="20"/>
      <w:szCs w:val="20"/>
      <w:lang w:val="en-US" w:eastAsia="zh-CN"/>
    </w:rPr>
  </w:style>
  <w:style w:type="paragraph" w:styleId="TOC3">
    <w:name w:val="toc 3"/>
    <w:basedOn w:val="Normal"/>
    <w:next w:val="Normal"/>
    <w:autoRedefine/>
    <w:rsid w:val="00A525E1"/>
    <w:pPr>
      <w:spacing w:after="0"/>
      <w:ind w:left="440"/>
    </w:pPr>
    <w:rPr>
      <w:sz w:val="20"/>
      <w:szCs w:val="20"/>
    </w:rPr>
  </w:style>
  <w:style w:type="paragraph" w:styleId="TOC4">
    <w:name w:val="toc 4"/>
    <w:basedOn w:val="Normal"/>
    <w:next w:val="Normal"/>
    <w:autoRedefine/>
    <w:rsid w:val="00A525E1"/>
    <w:pPr>
      <w:spacing w:after="0"/>
      <w:ind w:left="660"/>
    </w:pPr>
    <w:rPr>
      <w:sz w:val="20"/>
      <w:szCs w:val="20"/>
    </w:rPr>
  </w:style>
  <w:style w:type="paragraph" w:styleId="TOC5">
    <w:name w:val="toc 5"/>
    <w:basedOn w:val="Normal"/>
    <w:next w:val="Normal"/>
    <w:autoRedefine/>
    <w:rsid w:val="00A525E1"/>
    <w:pPr>
      <w:spacing w:after="0"/>
      <w:ind w:left="880"/>
    </w:pPr>
    <w:rPr>
      <w:sz w:val="20"/>
      <w:szCs w:val="20"/>
    </w:rPr>
  </w:style>
  <w:style w:type="paragraph" w:styleId="TOC6">
    <w:name w:val="toc 6"/>
    <w:basedOn w:val="Normal"/>
    <w:next w:val="Normal"/>
    <w:autoRedefine/>
    <w:rsid w:val="00A525E1"/>
    <w:pPr>
      <w:spacing w:after="0"/>
      <w:ind w:left="1100"/>
    </w:pPr>
    <w:rPr>
      <w:sz w:val="20"/>
      <w:szCs w:val="20"/>
    </w:rPr>
  </w:style>
  <w:style w:type="paragraph" w:styleId="TOC7">
    <w:name w:val="toc 7"/>
    <w:basedOn w:val="Normal"/>
    <w:next w:val="Normal"/>
    <w:autoRedefine/>
    <w:rsid w:val="00A525E1"/>
    <w:pPr>
      <w:spacing w:after="0"/>
      <w:ind w:left="1320"/>
    </w:pPr>
    <w:rPr>
      <w:sz w:val="20"/>
      <w:szCs w:val="20"/>
    </w:rPr>
  </w:style>
  <w:style w:type="paragraph" w:styleId="TOC8">
    <w:name w:val="toc 8"/>
    <w:basedOn w:val="Normal"/>
    <w:next w:val="Normal"/>
    <w:autoRedefine/>
    <w:rsid w:val="00A525E1"/>
    <w:pPr>
      <w:spacing w:after="0"/>
      <w:ind w:left="1540"/>
    </w:pPr>
    <w:rPr>
      <w:sz w:val="20"/>
      <w:szCs w:val="20"/>
    </w:rPr>
  </w:style>
  <w:style w:type="paragraph" w:styleId="TOC9">
    <w:name w:val="toc 9"/>
    <w:basedOn w:val="Normal"/>
    <w:next w:val="Normal"/>
    <w:autoRedefine/>
    <w:rsid w:val="00A525E1"/>
    <w:pPr>
      <w:spacing w:after="0"/>
      <w:ind w:left="1760"/>
    </w:pPr>
    <w:rPr>
      <w:sz w:val="20"/>
      <w:szCs w:val="20"/>
    </w:rPr>
  </w:style>
  <w:style w:type="paragraph" w:styleId="Title">
    <w:name w:val="Title"/>
    <w:basedOn w:val="Normal"/>
    <w:next w:val="Normal"/>
    <w:link w:val="TitleChar"/>
    <w:qFormat/>
    <w:rsid w:val="00A52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zh-CN"/>
    </w:rPr>
  </w:style>
  <w:style w:type="character" w:customStyle="1" w:styleId="TitleChar">
    <w:name w:val="Title Char"/>
    <w:basedOn w:val="DefaultParagraphFont"/>
    <w:link w:val="Title"/>
    <w:rsid w:val="00A525E1"/>
    <w:rPr>
      <w:rFonts w:asciiTheme="majorHAnsi" w:eastAsiaTheme="majorEastAsia" w:hAnsiTheme="majorHAnsi" w:cstheme="majorBidi"/>
      <w:color w:val="17365D" w:themeColor="text2" w:themeShade="BF"/>
      <w:spacing w:val="5"/>
      <w:kern w:val="28"/>
      <w:sz w:val="52"/>
      <w:szCs w:val="52"/>
      <w:lang w:val="ru-RU" w:eastAsia="zh-CN"/>
    </w:rPr>
  </w:style>
  <w:style w:type="character" w:customStyle="1" w:styleId="hps">
    <w:name w:val="hps"/>
    <w:basedOn w:val="DefaultParagraphFont"/>
    <w:rsid w:val="00A525E1"/>
  </w:style>
  <w:style w:type="paragraph" w:styleId="Caption">
    <w:name w:val="caption"/>
    <w:basedOn w:val="Normal"/>
    <w:next w:val="Normal"/>
    <w:uiPriority w:val="35"/>
    <w:unhideWhenUsed/>
    <w:qFormat/>
    <w:rsid w:val="00AA532B"/>
    <w:pPr>
      <w:spacing w:line="240" w:lineRule="auto"/>
    </w:pPr>
    <w:rPr>
      <w:b/>
      <w:bCs/>
      <w:color w:val="4F81BD" w:themeColor="accent1"/>
      <w:sz w:val="20"/>
      <w:szCs w:val="18"/>
    </w:rPr>
  </w:style>
  <w:style w:type="paragraph" w:styleId="EndnoteText">
    <w:name w:val="endnote text"/>
    <w:basedOn w:val="Normal"/>
    <w:link w:val="EndnoteTextChar"/>
    <w:uiPriority w:val="99"/>
    <w:semiHidden/>
    <w:unhideWhenUsed/>
    <w:rsid w:val="00846AB0"/>
    <w:pPr>
      <w:spacing w:after="0" w:line="240" w:lineRule="auto"/>
      <w:jc w:val="both"/>
    </w:pPr>
    <w:rPr>
      <w:sz w:val="20"/>
      <w:szCs w:val="20"/>
      <w:lang w:eastAsia="ru-RU"/>
    </w:rPr>
  </w:style>
  <w:style w:type="character" w:customStyle="1" w:styleId="EndnoteTextChar">
    <w:name w:val="Endnote Text Char"/>
    <w:basedOn w:val="DefaultParagraphFont"/>
    <w:link w:val="EndnoteText"/>
    <w:uiPriority w:val="99"/>
    <w:semiHidden/>
    <w:rsid w:val="00846AB0"/>
    <w:rPr>
      <w:rFonts w:eastAsiaTheme="minorEastAsia"/>
      <w:sz w:val="20"/>
      <w:szCs w:val="20"/>
      <w:lang w:eastAsia="ru-RU"/>
    </w:rPr>
  </w:style>
  <w:style w:type="character" w:styleId="EndnoteReference">
    <w:name w:val="endnote reference"/>
    <w:basedOn w:val="DefaultParagraphFont"/>
    <w:uiPriority w:val="99"/>
    <w:semiHidden/>
    <w:unhideWhenUsed/>
    <w:rsid w:val="00846AB0"/>
    <w:rPr>
      <w:vertAlign w:val="superscript"/>
    </w:rPr>
  </w:style>
  <w:style w:type="character" w:customStyle="1" w:styleId="Heading3Char">
    <w:name w:val="Heading 3 Char"/>
    <w:basedOn w:val="DefaultParagraphFont"/>
    <w:link w:val="Heading3"/>
    <w:uiPriority w:val="9"/>
    <w:semiHidden/>
    <w:rsid w:val="0012170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72381"/>
    <w:rPr>
      <w:color w:val="800080"/>
      <w:u w:val="single"/>
    </w:rPr>
  </w:style>
  <w:style w:type="paragraph" w:customStyle="1" w:styleId="font5">
    <w:name w:val="font5"/>
    <w:basedOn w:val="Normal"/>
    <w:rsid w:val="00C72381"/>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xl170">
    <w:name w:val="xl170"/>
    <w:basedOn w:val="Normal"/>
    <w:rsid w:val="00C72381"/>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171">
    <w:name w:val="xl171"/>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172">
    <w:name w:val="xl172"/>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173">
    <w:name w:val="xl173"/>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174">
    <w:name w:val="xl174"/>
    <w:basedOn w:val="Normal"/>
    <w:rsid w:val="00C723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rPr>
  </w:style>
  <w:style w:type="paragraph" w:customStyle="1" w:styleId="xl175">
    <w:name w:val="xl175"/>
    <w:basedOn w:val="Normal"/>
    <w:rsid w:val="00C72381"/>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rPr>
  </w:style>
  <w:style w:type="paragraph" w:customStyle="1" w:styleId="xl176">
    <w:name w:val="xl176"/>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177">
    <w:name w:val="xl177"/>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178">
    <w:name w:val="xl178"/>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79">
    <w:name w:val="xl179"/>
    <w:basedOn w:val="Normal"/>
    <w:rsid w:val="00C7238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rPr>
  </w:style>
  <w:style w:type="paragraph" w:customStyle="1" w:styleId="xl180">
    <w:name w:val="xl180"/>
    <w:basedOn w:val="Normal"/>
    <w:rsid w:val="00C7238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rPr>
  </w:style>
  <w:style w:type="paragraph" w:customStyle="1" w:styleId="xl181">
    <w:name w:val="xl181"/>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182">
    <w:name w:val="xl182"/>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183">
    <w:name w:val="xl183"/>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84">
    <w:name w:val="xl184"/>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rPr>
  </w:style>
  <w:style w:type="paragraph" w:customStyle="1" w:styleId="xl185">
    <w:name w:val="xl185"/>
    <w:basedOn w:val="Normal"/>
    <w:rsid w:val="00C7238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rPr>
  </w:style>
  <w:style w:type="paragraph" w:customStyle="1" w:styleId="xl186">
    <w:name w:val="xl186"/>
    <w:basedOn w:val="Normal"/>
    <w:rsid w:val="00C7238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187">
    <w:name w:val="xl187"/>
    <w:basedOn w:val="Normal"/>
    <w:rsid w:val="00C7238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188">
    <w:name w:val="xl188"/>
    <w:basedOn w:val="Normal"/>
    <w:rsid w:val="00C7238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rPr>
  </w:style>
  <w:style w:type="paragraph" w:customStyle="1" w:styleId="xl189">
    <w:name w:val="xl189"/>
    <w:basedOn w:val="Normal"/>
    <w:rsid w:val="00C7238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rPr>
  </w:style>
  <w:style w:type="paragraph" w:customStyle="1" w:styleId="xl190">
    <w:name w:val="xl190"/>
    <w:basedOn w:val="Normal"/>
    <w:rsid w:val="00C72381"/>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191">
    <w:name w:val="xl191"/>
    <w:basedOn w:val="Normal"/>
    <w:rsid w:val="00C72381"/>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192">
    <w:name w:val="xl192"/>
    <w:basedOn w:val="Normal"/>
    <w:rsid w:val="00C72381"/>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193">
    <w:name w:val="xl193"/>
    <w:basedOn w:val="Normal"/>
    <w:rsid w:val="00C7238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rPr>
  </w:style>
  <w:style w:type="paragraph" w:customStyle="1" w:styleId="xl194">
    <w:name w:val="xl194"/>
    <w:basedOn w:val="Normal"/>
    <w:rsid w:val="00C7238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195">
    <w:name w:val="xl195"/>
    <w:basedOn w:val="Normal"/>
    <w:rsid w:val="00C7238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196">
    <w:name w:val="xl196"/>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97">
    <w:name w:val="xl197"/>
    <w:basedOn w:val="Normal"/>
    <w:rsid w:val="00C72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198">
    <w:name w:val="xl198"/>
    <w:basedOn w:val="Normal"/>
    <w:rsid w:val="00C7238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199">
    <w:name w:val="xl199"/>
    <w:basedOn w:val="Normal"/>
    <w:rsid w:val="00C723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00">
    <w:name w:val="xl200"/>
    <w:basedOn w:val="Normal"/>
    <w:rsid w:val="00C7238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01">
    <w:name w:val="xl201"/>
    <w:basedOn w:val="Normal"/>
    <w:rsid w:val="00C723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rPr>
  </w:style>
  <w:style w:type="paragraph" w:styleId="NoSpacing">
    <w:name w:val="No Spacing"/>
    <w:rsid w:val="008E471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8E4715"/>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D02946"/>
    <w:pPr>
      <w:spacing w:after="160" w:line="240" w:lineRule="exact"/>
    </w:pPr>
    <w:rPr>
      <w:vertAlign w:val="superscript"/>
    </w:rPr>
  </w:style>
  <w:style w:type="paragraph" w:styleId="TableofFigures">
    <w:name w:val="table of figures"/>
    <w:basedOn w:val="Normal"/>
    <w:next w:val="Normal"/>
    <w:uiPriority w:val="99"/>
    <w:unhideWhenUsed/>
    <w:rsid w:val="00F60412"/>
    <w:pPr>
      <w:spacing w:after="0"/>
      <w:ind w:left="440" w:hanging="440"/>
    </w:pPr>
    <w:rPr>
      <w:smallCaps/>
      <w:sz w:val="20"/>
      <w:szCs w:val="20"/>
    </w:rPr>
  </w:style>
  <w:style w:type="table" w:styleId="LightList-Accent1">
    <w:name w:val="Light List Accent 1"/>
    <w:basedOn w:val="TableNormal"/>
    <w:uiPriority w:val="61"/>
    <w:rsid w:val="00026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619">
      <w:bodyDiv w:val="1"/>
      <w:marLeft w:val="0"/>
      <w:marRight w:val="0"/>
      <w:marTop w:val="0"/>
      <w:marBottom w:val="0"/>
      <w:divBdr>
        <w:top w:val="none" w:sz="0" w:space="0" w:color="auto"/>
        <w:left w:val="none" w:sz="0" w:space="0" w:color="auto"/>
        <w:bottom w:val="none" w:sz="0" w:space="0" w:color="auto"/>
        <w:right w:val="none" w:sz="0" w:space="0" w:color="auto"/>
      </w:divBdr>
    </w:div>
    <w:div w:id="35399074">
      <w:bodyDiv w:val="1"/>
      <w:marLeft w:val="0"/>
      <w:marRight w:val="0"/>
      <w:marTop w:val="0"/>
      <w:marBottom w:val="0"/>
      <w:divBdr>
        <w:top w:val="none" w:sz="0" w:space="0" w:color="auto"/>
        <w:left w:val="none" w:sz="0" w:space="0" w:color="auto"/>
        <w:bottom w:val="none" w:sz="0" w:space="0" w:color="auto"/>
        <w:right w:val="none" w:sz="0" w:space="0" w:color="auto"/>
      </w:divBdr>
    </w:div>
    <w:div w:id="44187674">
      <w:bodyDiv w:val="1"/>
      <w:marLeft w:val="0"/>
      <w:marRight w:val="0"/>
      <w:marTop w:val="0"/>
      <w:marBottom w:val="0"/>
      <w:divBdr>
        <w:top w:val="none" w:sz="0" w:space="0" w:color="auto"/>
        <w:left w:val="none" w:sz="0" w:space="0" w:color="auto"/>
        <w:bottom w:val="none" w:sz="0" w:space="0" w:color="auto"/>
        <w:right w:val="none" w:sz="0" w:space="0" w:color="auto"/>
      </w:divBdr>
    </w:div>
    <w:div w:id="70199605">
      <w:bodyDiv w:val="1"/>
      <w:marLeft w:val="0"/>
      <w:marRight w:val="0"/>
      <w:marTop w:val="0"/>
      <w:marBottom w:val="0"/>
      <w:divBdr>
        <w:top w:val="none" w:sz="0" w:space="0" w:color="auto"/>
        <w:left w:val="none" w:sz="0" w:space="0" w:color="auto"/>
        <w:bottom w:val="none" w:sz="0" w:space="0" w:color="auto"/>
        <w:right w:val="none" w:sz="0" w:space="0" w:color="auto"/>
      </w:divBdr>
    </w:div>
    <w:div w:id="131942434">
      <w:bodyDiv w:val="1"/>
      <w:marLeft w:val="0"/>
      <w:marRight w:val="0"/>
      <w:marTop w:val="0"/>
      <w:marBottom w:val="0"/>
      <w:divBdr>
        <w:top w:val="none" w:sz="0" w:space="0" w:color="auto"/>
        <w:left w:val="none" w:sz="0" w:space="0" w:color="auto"/>
        <w:bottom w:val="none" w:sz="0" w:space="0" w:color="auto"/>
        <w:right w:val="none" w:sz="0" w:space="0" w:color="auto"/>
      </w:divBdr>
    </w:div>
    <w:div w:id="171459238">
      <w:bodyDiv w:val="1"/>
      <w:marLeft w:val="0"/>
      <w:marRight w:val="0"/>
      <w:marTop w:val="0"/>
      <w:marBottom w:val="0"/>
      <w:divBdr>
        <w:top w:val="none" w:sz="0" w:space="0" w:color="auto"/>
        <w:left w:val="none" w:sz="0" w:space="0" w:color="auto"/>
        <w:bottom w:val="none" w:sz="0" w:space="0" w:color="auto"/>
        <w:right w:val="none" w:sz="0" w:space="0" w:color="auto"/>
      </w:divBdr>
    </w:div>
    <w:div w:id="199901960">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231477093">
      <w:bodyDiv w:val="1"/>
      <w:marLeft w:val="0"/>
      <w:marRight w:val="0"/>
      <w:marTop w:val="0"/>
      <w:marBottom w:val="0"/>
      <w:divBdr>
        <w:top w:val="none" w:sz="0" w:space="0" w:color="auto"/>
        <w:left w:val="none" w:sz="0" w:space="0" w:color="auto"/>
        <w:bottom w:val="none" w:sz="0" w:space="0" w:color="auto"/>
        <w:right w:val="none" w:sz="0" w:space="0" w:color="auto"/>
      </w:divBdr>
    </w:div>
    <w:div w:id="232080968">
      <w:bodyDiv w:val="1"/>
      <w:marLeft w:val="0"/>
      <w:marRight w:val="0"/>
      <w:marTop w:val="0"/>
      <w:marBottom w:val="0"/>
      <w:divBdr>
        <w:top w:val="none" w:sz="0" w:space="0" w:color="auto"/>
        <w:left w:val="none" w:sz="0" w:space="0" w:color="auto"/>
        <w:bottom w:val="none" w:sz="0" w:space="0" w:color="auto"/>
        <w:right w:val="none" w:sz="0" w:space="0" w:color="auto"/>
      </w:divBdr>
    </w:div>
    <w:div w:id="248391872">
      <w:bodyDiv w:val="1"/>
      <w:marLeft w:val="0"/>
      <w:marRight w:val="0"/>
      <w:marTop w:val="0"/>
      <w:marBottom w:val="0"/>
      <w:divBdr>
        <w:top w:val="none" w:sz="0" w:space="0" w:color="auto"/>
        <w:left w:val="none" w:sz="0" w:space="0" w:color="auto"/>
        <w:bottom w:val="none" w:sz="0" w:space="0" w:color="auto"/>
        <w:right w:val="none" w:sz="0" w:space="0" w:color="auto"/>
      </w:divBdr>
    </w:div>
    <w:div w:id="255332153">
      <w:bodyDiv w:val="1"/>
      <w:marLeft w:val="0"/>
      <w:marRight w:val="0"/>
      <w:marTop w:val="0"/>
      <w:marBottom w:val="0"/>
      <w:divBdr>
        <w:top w:val="none" w:sz="0" w:space="0" w:color="auto"/>
        <w:left w:val="none" w:sz="0" w:space="0" w:color="auto"/>
        <w:bottom w:val="none" w:sz="0" w:space="0" w:color="auto"/>
        <w:right w:val="none" w:sz="0" w:space="0" w:color="auto"/>
      </w:divBdr>
    </w:div>
    <w:div w:id="255405556">
      <w:bodyDiv w:val="1"/>
      <w:marLeft w:val="0"/>
      <w:marRight w:val="0"/>
      <w:marTop w:val="0"/>
      <w:marBottom w:val="0"/>
      <w:divBdr>
        <w:top w:val="none" w:sz="0" w:space="0" w:color="auto"/>
        <w:left w:val="none" w:sz="0" w:space="0" w:color="auto"/>
        <w:bottom w:val="none" w:sz="0" w:space="0" w:color="auto"/>
        <w:right w:val="none" w:sz="0" w:space="0" w:color="auto"/>
      </w:divBdr>
    </w:div>
    <w:div w:id="264458113">
      <w:bodyDiv w:val="1"/>
      <w:marLeft w:val="0"/>
      <w:marRight w:val="0"/>
      <w:marTop w:val="0"/>
      <w:marBottom w:val="0"/>
      <w:divBdr>
        <w:top w:val="none" w:sz="0" w:space="0" w:color="auto"/>
        <w:left w:val="none" w:sz="0" w:space="0" w:color="auto"/>
        <w:bottom w:val="none" w:sz="0" w:space="0" w:color="auto"/>
        <w:right w:val="none" w:sz="0" w:space="0" w:color="auto"/>
      </w:divBdr>
      <w:divsChild>
        <w:div w:id="530731121">
          <w:marLeft w:val="720"/>
          <w:marRight w:val="0"/>
          <w:marTop w:val="60"/>
          <w:marBottom w:val="60"/>
          <w:divBdr>
            <w:top w:val="none" w:sz="0" w:space="0" w:color="auto"/>
            <w:left w:val="none" w:sz="0" w:space="0" w:color="auto"/>
            <w:bottom w:val="none" w:sz="0" w:space="0" w:color="auto"/>
            <w:right w:val="none" w:sz="0" w:space="0" w:color="auto"/>
          </w:divBdr>
        </w:div>
        <w:div w:id="749808991">
          <w:marLeft w:val="720"/>
          <w:marRight w:val="0"/>
          <w:marTop w:val="60"/>
          <w:marBottom w:val="60"/>
          <w:divBdr>
            <w:top w:val="none" w:sz="0" w:space="0" w:color="auto"/>
            <w:left w:val="none" w:sz="0" w:space="0" w:color="auto"/>
            <w:bottom w:val="none" w:sz="0" w:space="0" w:color="auto"/>
            <w:right w:val="none" w:sz="0" w:space="0" w:color="auto"/>
          </w:divBdr>
        </w:div>
        <w:div w:id="931819968">
          <w:marLeft w:val="720"/>
          <w:marRight w:val="0"/>
          <w:marTop w:val="60"/>
          <w:marBottom w:val="60"/>
          <w:divBdr>
            <w:top w:val="none" w:sz="0" w:space="0" w:color="auto"/>
            <w:left w:val="none" w:sz="0" w:space="0" w:color="auto"/>
            <w:bottom w:val="none" w:sz="0" w:space="0" w:color="auto"/>
            <w:right w:val="none" w:sz="0" w:space="0" w:color="auto"/>
          </w:divBdr>
        </w:div>
      </w:divsChild>
    </w:div>
    <w:div w:id="302737300">
      <w:bodyDiv w:val="1"/>
      <w:marLeft w:val="0"/>
      <w:marRight w:val="0"/>
      <w:marTop w:val="0"/>
      <w:marBottom w:val="0"/>
      <w:divBdr>
        <w:top w:val="none" w:sz="0" w:space="0" w:color="auto"/>
        <w:left w:val="none" w:sz="0" w:space="0" w:color="auto"/>
        <w:bottom w:val="none" w:sz="0" w:space="0" w:color="auto"/>
        <w:right w:val="none" w:sz="0" w:space="0" w:color="auto"/>
      </w:divBdr>
    </w:div>
    <w:div w:id="328866921">
      <w:bodyDiv w:val="1"/>
      <w:marLeft w:val="0"/>
      <w:marRight w:val="0"/>
      <w:marTop w:val="0"/>
      <w:marBottom w:val="0"/>
      <w:divBdr>
        <w:top w:val="none" w:sz="0" w:space="0" w:color="auto"/>
        <w:left w:val="none" w:sz="0" w:space="0" w:color="auto"/>
        <w:bottom w:val="none" w:sz="0" w:space="0" w:color="auto"/>
        <w:right w:val="none" w:sz="0" w:space="0" w:color="auto"/>
      </w:divBdr>
    </w:div>
    <w:div w:id="334311852">
      <w:bodyDiv w:val="1"/>
      <w:marLeft w:val="0"/>
      <w:marRight w:val="0"/>
      <w:marTop w:val="0"/>
      <w:marBottom w:val="0"/>
      <w:divBdr>
        <w:top w:val="none" w:sz="0" w:space="0" w:color="auto"/>
        <w:left w:val="none" w:sz="0" w:space="0" w:color="auto"/>
        <w:bottom w:val="none" w:sz="0" w:space="0" w:color="auto"/>
        <w:right w:val="none" w:sz="0" w:space="0" w:color="auto"/>
      </w:divBdr>
    </w:div>
    <w:div w:id="337194957">
      <w:bodyDiv w:val="1"/>
      <w:marLeft w:val="0"/>
      <w:marRight w:val="0"/>
      <w:marTop w:val="0"/>
      <w:marBottom w:val="0"/>
      <w:divBdr>
        <w:top w:val="none" w:sz="0" w:space="0" w:color="auto"/>
        <w:left w:val="none" w:sz="0" w:space="0" w:color="auto"/>
        <w:bottom w:val="none" w:sz="0" w:space="0" w:color="auto"/>
        <w:right w:val="none" w:sz="0" w:space="0" w:color="auto"/>
      </w:divBdr>
    </w:div>
    <w:div w:id="345863540">
      <w:bodyDiv w:val="1"/>
      <w:marLeft w:val="0"/>
      <w:marRight w:val="0"/>
      <w:marTop w:val="0"/>
      <w:marBottom w:val="0"/>
      <w:divBdr>
        <w:top w:val="none" w:sz="0" w:space="0" w:color="auto"/>
        <w:left w:val="none" w:sz="0" w:space="0" w:color="auto"/>
        <w:bottom w:val="none" w:sz="0" w:space="0" w:color="auto"/>
        <w:right w:val="none" w:sz="0" w:space="0" w:color="auto"/>
      </w:divBdr>
    </w:div>
    <w:div w:id="408776180">
      <w:bodyDiv w:val="1"/>
      <w:marLeft w:val="0"/>
      <w:marRight w:val="0"/>
      <w:marTop w:val="0"/>
      <w:marBottom w:val="0"/>
      <w:divBdr>
        <w:top w:val="none" w:sz="0" w:space="0" w:color="auto"/>
        <w:left w:val="none" w:sz="0" w:space="0" w:color="auto"/>
        <w:bottom w:val="none" w:sz="0" w:space="0" w:color="auto"/>
        <w:right w:val="none" w:sz="0" w:space="0" w:color="auto"/>
      </w:divBdr>
    </w:div>
    <w:div w:id="410204145">
      <w:bodyDiv w:val="1"/>
      <w:marLeft w:val="0"/>
      <w:marRight w:val="0"/>
      <w:marTop w:val="0"/>
      <w:marBottom w:val="0"/>
      <w:divBdr>
        <w:top w:val="none" w:sz="0" w:space="0" w:color="auto"/>
        <w:left w:val="none" w:sz="0" w:space="0" w:color="auto"/>
        <w:bottom w:val="none" w:sz="0" w:space="0" w:color="auto"/>
        <w:right w:val="none" w:sz="0" w:space="0" w:color="auto"/>
      </w:divBdr>
      <w:divsChild>
        <w:div w:id="59407316">
          <w:marLeft w:val="1354"/>
          <w:marRight w:val="0"/>
          <w:marTop w:val="60"/>
          <w:marBottom w:val="60"/>
          <w:divBdr>
            <w:top w:val="none" w:sz="0" w:space="0" w:color="auto"/>
            <w:left w:val="none" w:sz="0" w:space="0" w:color="auto"/>
            <w:bottom w:val="none" w:sz="0" w:space="0" w:color="auto"/>
            <w:right w:val="none" w:sz="0" w:space="0" w:color="auto"/>
          </w:divBdr>
        </w:div>
        <w:div w:id="413013270">
          <w:marLeft w:val="720"/>
          <w:marRight w:val="0"/>
          <w:marTop w:val="60"/>
          <w:marBottom w:val="60"/>
          <w:divBdr>
            <w:top w:val="none" w:sz="0" w:space="0" w:color="auto"/>
            <w:left w:val="none" w:sz="0" w:space="0" w:color="auto"/>
            <w:bottom w:val="none" w:sz="0" w:space="0" w:color="auto"/>
            <w:right w:val="none" w:sz="0" w:space="0" w:color="auto"/>
          </w:divBdr>
        </w:div>
        <w:div w:id="466969854">
          <w:marLeft w:val="1354"/>
          <w:marRight w:val="0"/>
          <w:marTop w:val="60"/>
          <w:marBottom w:val="60"/>
          <w:divBdr>
            <w:top w:val="none" w:sz="0" w:space="0" w:color="auto"/>
            <w:left w:val="none" w:sz="0" w:space="0" w:color="auto"/>
            <w:bottom w:val="none" w:sz="0" w:space="0" w:color="auto"/>
            <w:right w:val="none" w:sz="0" w:space="0" w:color="auto"/>
          </w:divBdr>
        </w:div>
        <w:div w:id="959579363">
          <w:marLeft w:val="720"/>
          <w:marRight w:val="0"/>
          <w:marTop w:val="60"/>
          <w:marBottom w:val="60"/>
          <w:divBdr>
            <w:top w:val="none" w:sz="0" w:space="0" w:color="auto"/>
            <w:left w:val="none" w:sz="0" w:space="0" w:color="auto"/>
            <w:bottom w:val="none" w:sz="0" w:space="0" w:color="auto"/>
            <w:right w:val="none" w:sz="0" w:space="0" w:color="auto"/>
          </w:divBdr>
        </w:div>
        <w:div w:id="1093428975">
          <w:marLeft w:val="720"/>
          <w:marRight w:val="0"/>
          <w:marTop w:val="60"/>
          <w:marBottom w:val="60"/>
          <w:divBdr>
            <w:top w:val="none" w:sz="0" w:space="0" w:color="auto"/>
            <w:left w:val="none" w:sz="0" w:space="0" w:color="auto"/>
            <w:bottom w:val="none" w:sz="0" w:space="0" w:color="auto"/>
            <w:right w:val="none" w:sz="0" w:space="0" w:color="auto"/>
          </w:divBdr>
        </w:div>
        <w:div w:id="1297644067">
          <w:marLeft w:val="1354"/>
          <w:marRight w:val="0"/>
          <w:marTop w:val="60"/>
          <w:marBottom w:val="60"/>
          <w:divBdr>
            <w:top w:val="none" w:sz="0" w:space="0" w:color="auto"/>
            <w:left w:val="none" w:sz="0" w:space="0" w:color="auto"/>
            <w:bottom w:val="none" w:sz="0" w:space="0" w:color="auto"/>
            <w:right w:val="none" w:sz="0" w:space="0" w:color="auto"/>
          </w:divBdr>
        </w:div>
        <w:div w:id="1422096621">
          <w:marLeft w:val="720"/>
          <w:marRight w:val="0"/>
          <w:marTop w:val="60"/>
          <w:marBottom w:val="60"/>
          <w:divBdr>
            <w:top w:val="none" w:sz="0" w:space="0" w:color="auto"/>
            <w:left w:val="none" w:sz="0" w:space="0" w:color="auto"/>
            <w:bottom w:val="none" w:sz="0" w:space="0" w:color="auto"/>
            <w:right w:val="none" w:sz="0" w:space="0" w:color="auto"/>
          </w:divBdr>
        </w:div>
        <w:div w:id="1467431819">
          <w:marLeft w:val="720"/>
          <w:marRight w:val="0"/>
          <w:marTop w:val="60"/>
          <w:marBottom w:val="60"/>
          <w:divBdr>
            <w:top w:val="none" w:sz="0" w:space="0" w:color="auto"/>
            <w:left w:val="none" w:sz="0" w:space="0" w:color="auto"/>
            <w:bottom w:val="none" w:sz="0" w:space="0" w:color="auto"/>
            <w:right w:val="none" w:sz="0" w:space="0" w:color="auto"/>
          </w:divBdr>
        </w:div>
        <w:div w:id="1630865001">
          <w:marLeft w:val="720"/>
          <w:marRight w:val="0"/>
          <w:marTop w:val="60"/>
          <w:marBottom w:val="60"/>
          <w:divBdr>
            <w:top w:val="none" w:sz="0" w:space="0" w:color="auto"/>
            <w:left w:val="none" w:sz="0" w:space="0" w:color="auto"/>
            <w:bottom w:val="none" w:sz="0" w:space="0" w:color="auto"/>
            <w:right w:val="none" w:sz="0" w:space="0" w:color="auto"/>
          </w:divBdr>
        </w:div>
        <w:div w:id="1653874270">
          <w:marLeft w:val="720"/>
          <w:marRight w:val="0"/>
          <w:marTop w:val="60"/>
          <w:marBottom w:val="60"/>
          <w:divBdr>
            <w:top w:val="none" w:sz="0" w:space="0" w:color="auto"/>
            <w:left w:val="none" w:sz="0" w:space="0" w:color="auto"/>
            <w:bottom w:val="none" w:sz="0" w:space="0" w:color="auto"/>
            <w:right w:val="none" w:sz="0" w:space="0" w:color="auto"/>
          </w:divBdr>
        </w:div>
        <w:div w:id="1782531678">
          <w:marLeft w:val="720"/>
          <w:marRight w:val="0"/>
          <w:marTop w:val="60"/>
          <w:marBottom w:val="60"/>
          <w:divBdr>
            <w:top w:val="none" w:sz="0" w:space="0" w:color="auto"/>
            <w:left w:val="none" w:sz="0" w:space="0" w:color="auto"/>
            <w:bottom w:val="none" w:sz="0" w:space="0" w:color="auto"/>
            <w:right w:val="none" w:sz="0" w:space="0" w:color="auto"/>
          </w:divBdr>
        </w:div>
        <w:div w:id="1859614482">
          <w:marLeft w:val="720"/>
          <w:marRight w:val="0"/>
          <w:marTop w:val="60"/>
          <w:marBottom w:val="60"/>
          <w:divBdr>
            <w:top w:val="none" w:sz="0" w:space="0" w:color="auto"/>
            <w:left w:val="none" w:sz="0" w:space="0" w:color="auto"/>
            <w:bottom w:val="none" w:sz="0" w:space="0" w:color="auto"/>
            <w:right w:val="none" w:sz="0" w:space="0" w:color="auto"/>
          </w:divBdr>
        </w:div>
        <w:div w:id="2053571812">
          <w:marLeft w:val="1354"/>
          <w:marRight w:val="0"/>
          <w:marTop w:val="60"/>
          <w:marBottom w:val="60"/>
          <w:divBdr>
            <w:top w:val="none" w:sz="0" w:space="0" w:color="auto"/>
            <w:left w:val="none" w:sz="0" w:space="0" w:color="auto"/>
            <w:bottom w:val="none" w:sz="0" w:space="0" w:color="auto"/>
            <w:right w:val="none" w:sz="0" w:space="0" w:color="auto"/>
          </w:divBdr>
        </w:div>
      </w:divsChild>
    </w:div>
    <w:div w:id="421462090">
      <w:bodyDiv w:val="1"/>
      <w:marLeft w:val="0"/>
      <w:marRight w:val="0"/>
      <w:marTop w:val="0"/>
      <w:marBottom w:val="0"/>
      <w:divBdr>
        <w:top w:val="none" w:sz="0" w:space="0" w:color="auto"/>
        <w:left w:val="none" w:sz="0" w:space="0" w:color="auto"/>
        <w:bottom w:val="none" w:sz="0" w:space="0" w:color="auto"/>
        <w:right w:val="none" w:sz="0" w:space="0" w:color="auto"/>
      </w:divBdr>
    </w:div>
    <w:div w:id="446003002">
      <w:bodyDiv w:val="1"/>
      <w:marLeft w:val="0"/>
      <w:marRight w:val="0"/>
      <w:marTop w:val="0"/>
      <w:marBottom w:val="0"/>
      <w:divBdr>
        <w:top w:val="none" w:sz="0" w:space="0" w:color="auto"/>
        <w:left w:val="none" w:sz="0" w:space="0" w:color="auto"/>
        <w:bottom w:val="none" w:sz="0" w:space="0" w:color="auto"/>
        <w:right w:val="none" w:sz="0" w:space="0" w:color="auto"/>
      </w:divBdr>
    </w:div>
    <w:div w:id="460923934">
      <w:bodyDiv w:val="1"/>
      <w:marLeft w:val="0"/>
      <w:marRight w:val="0"/>
      <w:marTop w:val="0"/>
      <w:marBottom w:val="0"/>
      <w:divBdr>
        <w:top w:val="none" w:sz="0" w:space="0" w:color="auto"/>
        <w:left w:val="none" w:sz="0" w:space="0" w:color="auto"/>
        <w:bottom w:val="none" w:sz="0" w:space="0" w:color="auto"/>
        <w:right w:val="none" w:sz="0" w:space="0" w:color="auto"/>
      </w:divBdr>
    </w:div>
    <w:div w:id="522280745">
      <w:bodyDiv w:val="1"/>
      <w:marLeft w:val="0"/>
      <w:marRight w:val="0"/>
      <w:marTop w:val="0"/>
      <w:marBottom w:val="0"/>
      <w:divBdr>
        <w:top w:val="none" w:sz="0" w:space="0" w:color="auto"/>
        <w:left w:val="none" w:sz="0" w:space="0" w:color="auto"/>
        <w:bottom w:val="none" w:sz="0" w:space="0" w:color="auto"/>
        <w:right w:val="none" w:sz="0" w:space="0" w:color="auto"/>
      </w:divBdr>
    </w:div>
    <w:div w:id="537477634">
      <w:bodyDiv w:val="1"/>
      <w:marLeft w:val="0"/>
      <w:marRight w:val="0"/>
      <w:marTop w:val="0"/>
      <w:marBottom w:val="0"/>
      <w:divBdr>
        <w:top w:val="none" w:sz="0" w:space="0" w:color="auto"/>
        <w:left w:val="none" w:sz="0" w:space="0" w:color="auto"/>
        <w:bottom w:val="none" w:sz="0" w:space="0" w:color="auto"/>
        <w:right w:val="none" w:sz="0" w:space="0" w:color="auto"/>
      </w:divBdr>
    </w:div>
    <w:div w:id="549414093">
      <w:bodyDiv w:val="1"/>
      <w:marLeft w:val="0"/>
      <w:marRight w:val="0"/>
      <w:marTop w:val="0"/>
      <w:marBottom w:val="0"/>
      <w:divBdr>
        <w:top w:val="none" w:sz="0" w:space="0" w:color="auto"/>
        <w:left w:val="none" w:sz="0" w:space="0" w:color="auto"/>
        <w:bottom w:val="none" w:sz="0" w:space="0" w:color="auto"/>
        <w:right w:val="none" w:sz="0" w:space="0" w:color="auto"/>
      </w:divBdr>
    </w:div>
    <w:div w:id="560679828">
      <w:bodyDiv w:val="1"/>
      <w:marLeft w:val="0"/>
      <w:marRight w:val="0"/>
      <w:marTop w:val="0"/>
      <w:marBottom w:val="0"/>
      <w:divBdr>
        <w:top w:val="none" w:sz="0" w:space="0" w:color="auto"/>
        <w:left w:val="none" w:sz="0" w:space="0" w:color="auto"/>
        <w:bottom w:val="none" w:sz="0" w:space="0" w:color="auto"/>
        <w:right w:val="none" w:sz="0" w:space="0" w:color="auto"/>
      </w:divBdr>
    </w:div>
    <w:div w:id="592594191">
      <w:bodyDiv w:val="1"/>
      <w:marLeft w:val="0"/>
      <w:marRight w:val="0"/>
      <w:marTop w:val="0"/>
      <w:marBottom w:val="0"/>
      <w:divBdr>
        <w:top w:val="none" w:sz="0" w:space="0" w:color="auto"/>
        <w:left w:val="none" w:sz="0" w:space="0" w:color="auto"/>
        <w:bottom w:val="none" w:sz="0" w:space="0" w:color="auto"/>
        <w:right w:val="none" w:sz="0" w:space="0" w:color="auto"/>
      </w:divBdr>
    </w:div>
    <w:div w:id="607471454">
      <w:bodyDiv w:val="1"/>
      <w:marLeft w:val="0"/>
      <w:marRight w:val="0"/>
      <w:marTop w:val="0"/>
      <w:marBottom w:val="0"/>
      <w:divBdr>
        <w:top w:val="none" w:sz="0" w:space="0" w:color="auto"/>
        <w:left w:val="none" w:sz="0" w:space="0" w:color="auto"/>
        <w:bottom w:val="none" w:sz="0" w:space="0" w:color="auto"/>
        <w:right w:val="none" w:sz="0" w:space="0" w:color="auto"/>
      </w:divBdr>
    </w:div>
    <w:div w:id="617686878">
      <w:bodyDiv w:val="1"/>
      <w:marLeft w:val="0"/>
      <w:marRight w:val="0"/>
      <w:marTop w:val="0"/>
      <w:marBottom w:val="0"/>
      <w:divBdr>
        <w:top w:val="none" w:sz="0" w:space="0" w:color="auto"/>
        <w:left w:val="none" w:sz="0" w:space="0" w:color="auto"/>
        <w:bottom w:val="none" w:sz="0" w:space="0" w:color="auto"/>
        <w:right w:val="none" w:sz="0" w:space="0" w:color="auto"/>
      </w:divBdr>
    </w:div>
    <w:div w:id="634455967">
      <w:bodyDiv w:val="1"/>
      <w:marLeft w:val="0"/>
      <w:marRight w:val="0"/>
      <w:marTop w:val="0"/>
      <w:marBottom w:val="0"/>
      <w:divBdr>
        <w:top w:val="none" w:sz="0" w:space="0" w:color="auto"/>
        <w:left w:val="none" w:sz="0" w:space="0" w:color="auto"/>
        <w:bottom w:val="none" w:sz="0" w:space="0" w:color="auto"/>
        <w:right w:val="none" w:sz="0" w:space="0" w:color="auto"/>
      </w:divBdr>
    </w:div>
    <w:div w:id="706107633">
      <w:bodyDiv w:val="1"/>
      <w:marLeft w:val="0"/>
      <w:marRight w:val="0"/>
      <w:marTop w:val="0"/>
      <w:marBottom w:val="0"/>
      <w:divBdr>
        <w:top w:val="none" w:sz="0" w:space="0" w:color="auto"/>
        <w:left w:val="none" w:sz="0" w:space="0" w:color="auto"/>
        <w:bottom w:val="none" w:sz="0" w:space="0" w:color="auto"/>
        <w:right w:val="none" w:sz="0" w:space="0" w:color="auto"/>
      </w:divBdr>
    </w:div>
    <w:div w:id="710111285">
      <w:bodyDiv w:val="1"/>
      <w:marLeft w:val="0"/>
      <w:marRight w:val="0"/>
      <w:marTop w:val="0"/>
      <w:marBottom w:val="0"/>
      <w:divBdr>
        <w:top w:val="none" w:sz="0" w:space="0" w:color="auto"/>
        <w:left w:val="none" w:sz="0" w:space="0" w:color="auto"/>
        <w:bottom w:val="none" w:sz="0" w:space="0" w:color="auto"/>
        <w:right w:val="none" w:sz="0" w:space="0" w:color="auto"/>
      </w:divBdr>
    </w:div>
    <w:div w:id="728764696">
      <w:bodyDiv w:val="1"/>
      <w:marLeft w:val="0"/>
      <w:marRight w:val="0"/>
      <w:marTop w:val="0"/>
      <w:marBottom w:val="0"/>
      <w:divBdr>
        <w:top w:val="none" w:sz="0" w:space="0" w:color="auto"/>
        <w:left w:val="none" w:sz="0" w:space="0" w:color="auto"/>
        <w:bottom w:val="none" w:sz="0" w:space="0" w:color="auto"/>
        <w:right w:val="none" w:sz="0" w:space="0" w:color="auto"/>
      </w:divBdr>
    </w:div>
    <w:div w:id="749931677">
      <w:bodyDiv w:val="1"/>
      <w:marLeft w:val="0"/>
      <w:marRight w:val="0"/>
      <w:marTop w:val="0"/>
      <w:marBottom w:val="0"/>
      <w:divBdr>
        <w:top w:val="none" w:sz="0" w:space="0" w:color="auto"/>
        <w:left w:val="none" w:sz="0" w:space="0" w:color="auto"/>
        <w:bottom w:val="none" w:sz="0" w:space="0" w:color="auto"/>
        <w:right w:val="none" w:sz="0" w:space="0" w:color="auto"/>
      </w:divBdr>
    </w:div>
    <w:div w:id="773090068">
      <w:bodyDiv w:val="1"/>
      <w:marLeft w:val="0"/>
      <w:marRight w:val="0"/>
      <w:marTop w:val="0"/>
      <w:marBottom w:val="0"/>
      <w:divBdr>
        <w:top w:val="none" w:sz="0" w:space="0" w:color="auto"/>
        <w:left w:val="none" w:sz="0" w:space="0" w:color="auto"/>
        <w:bottom w:val="none" w:sz="0" w:space="0" w:color="auto"/>
        <w:right w:val="none" w:sz="0" w:space="0" w:color="auto"/>
      </w:divBdr>
      <w:divsChild>
        <w:div w:id="598295169">
          <w:marLeft w:val="1166"/>
          <w:marRight w:val="0"/>
          <w:marTop w:val="20"/>
          <w:marBottom w:val="20"/>
          <w:divBdr>
            <w:top w:val="none" w:sz="0" w:space="0" w:color="auto"/>
            <w:left w:val="none" w:sz="0" w:space="0" w:color="auto"/>
            <w:bottom w:val="none" w:sz="0" w:space="0" w:color="auto"/>
            <w:right w:val="none" w:sz="0" w:space="0" w:color="auto"/>
          </w:divBdr>
        </w:div>
        <w:div w:id="1247031357">
          <w:marLeft w:val="1166"/>
          <w:marRight w:val="0"/>
          <w:marTop w:val="20"/>
          <w:marBottom w:val="20"/>
          <w:divBdr>
            <w:top w:val="none" w:sz="0" w:space="0" w:color="auto"/>
            <w:left w:val="none" w:sz="0" w:space="0" w:color="auto"/>
            <w:bottom w:val="none" w:sz="0" w:space="0" w:color="auto"/>
            <w:right w:val="none" w:sz="0" w:space="0" w:color="auto"/>
          </w:divBdr>
        </w:div>
        <w:div w:id="1486629592">
          <w:marLeft w:val="1166"/>
          <w:marRight w:val="0"/>
          <w:marTop w:val="20"/>
          <w:marBottom w:val="20"/>
          <w:divBdr>
            <w:top w:val="none" w:sz="0" w:space="0" w:color="auto"/>
            <w:left w:val="none" w:sz="0" w:space="0" w:color="auto"/>
            <w:bottom w:val="none" w:sz="0" w:space="0" w:color="auto"/>
            <w:right w:val="none" w:sz="0" w:space="0" w:color="auto"/>
          </w:divBdr>
        </w:div>
      </w:divsChild>
    </w:div>
    <w:div w:id="782696520">
      <w:bodyDiv w:val="1"/>
      <w:marLeft w:val="0"/>
      <w:marRight w:val="0"/>
      <w:marTop w:val="0"/>
      <w:marBottom w:val="0"/>
      <w:divBdr>
        <w:top w:val="none" w:sz="0" w:space="0" w:color="auto"/>
        <w:left w:val="none" w:sz="0" w:space="0" w:color="auto"/>
        <w:bottom w:val="none" w:sz="0" w:space="0" w:color="auto"/>
        <w:right w:val="none" w:sz="0" w:space="0" w:color="auto"/>
      </w:divBdr>
    </w:div>
    <w:div w:id="804202831">
      <w:bodyDiv w:val="1"/>
      <w:marLeft w:val="0"/>
      <w:marRight w:val="0"/>
      <w:marTop w:val="0"/>
      <w:marBottom w:val="0"/>
      <w:divBdr>
        <w:top w:val="none" w:sz="0" w:space="0" w:color="auto"/>
        <w:left w:val="none" w:sz="0" w:space="0" w:color="auto"/>
        <w:bottom w:val="none" w:sz="0" w:space="0" w:color="auto"/>
        <w:right w:val="none" w:sz="0" w:space="0" w:color="auto"/>
      </w:divBdr>
    </w:div>
    <w:div w:id="819805668">
      <w:bodyDiv w:val="1"/>
      <w:marLeft w:val="0"/>
      <w:marRight w:val="0"/>
      <w:marTop w:val="0"/>
      <w:marBottom w:val="0"/>
      <w:divBdr>
        <w:top w:val="none" w:sz="0" w:space="0" w:color="auto"/>
        <w:left w:val="none" w:sz="0" w:space="0" w:color="auto"/>
        <w:bottom w:val="none" w:sz="0" w:space="0" w:color="auto"/>
        <w:right w:val="none" w:sz="0" w:space="0" w:color="auto"/>
      </w:divBdr>
    </w:div>
    <w:div w:id="852914742">
      <w:bodyDiv w:val="1"/>
      <w:marLeft w:val="0"/>
      <w:marRight w:val="0"/>
      <w:marTop w:val="0"/>
      <w:marBottom w:val="0"/>
      <w:divBdr>
        <w:top w:val="none" w:sz="0" w:space="0" w:color="auto"/>
        <w:left w:val="none" w:sz="0" w:space="0" w:color="auto"/>
        <w:bottom w:val="none" w:sz="0" w:space="0" w:color="auto"/>
        <w:right w:val="none" w:sz="0" w:space="0" w:color="auto"/>
      </w:divBdr>
    </w:div>
    <w:div w:id="859587612">
      <w:bodyDiv w:val="1"/>
      <w:marLeft w:val="0"/>
      <w:marRight w:val="0"/>
      <w:marTop w:val="0"/>
      <w:marBottom w:val="0"/>
      <w:divBdr>
        <w:top w:val="none" w:sz="0" w:space="0" w:color="auto"/>
        <w:left w:val="none" w:sz="0" w:space="0" w:color="auto"/>
        <w:bottom w:val="none" w:sz="0" w:space="0" w:color="auto"/>
        <w:right w:val="none" w:sz="0" w:space="0" w:color="auto"/>
      </w:divBdr>
    </w:div>
    <w:div w:id="872696864">
      <w:bodyDiv w:val="1"/>
      <w:marLeft w:val="0"/>
      <w:marRight w:val="0"/>
      <w:marTop w:val="0"/>
      <w:marBottom w:val="0"/>
      <w:divBdr>
        <w:top w:val="none" w:sz="0" w:space="0" w:color="auto"/>
        <w:left w:val="none" w:sz="0" w:space="0" w:color="auto"/>
        <w:bottom w:val="none" w:sz="0" w:space="0" w:color="auto"/>
        <w:right w:val="none" w:sz="0" w:space="0" w:color="auto"/>
      </w:divBdr>
    </w:div>
    <w:div w:id="884293938">
      <w:bodyDiv w:val="1"/>
      <w:marLeft w:val="0"/>
      <w:marRight w:val="0"/>
      <w:marTop w:val="0"/>
      <w:marBottom w:val="0"/>
      <w:divBdr>
        <w:top w:val="none" w:sz="0" w:space="0" w:color="auto"/>
        <w:left w:val="none" w:sz="0" w:space="0" w:color="auto"/>
        <w:bottom w:val="none" w:sz="0" w:space="0" w:color="auto"/>
        <w:right w:val="none" w:sz="0" w:space="0" w:color="auto"/>
      </w:divBdr>
    </w:div>
    <w:div w:id="903444184">
      <w:bodyDiv w:val="1"/>
      <w:marLeft w:val="0"/>
      <w:marRight w:val="0"/>
      <w:marTop w:val="0"/>
      <w:marBottom w:val="0"/>
      <w:divBdr>
        <w:top w:val="none" w:sz="0" w:space="0" w:color="auto"/>
        <w:left w:val="none" w:sz="0" w:space="0" w:color="auto"/>
        <w:bottom w:val="none" w:sz="0" w:space="0" w:color="auto"/>
        <w:right w:val="none" w:sz="0" w:space="0" w:color="auto"/>
      </w:divBdr>
    </w:div>
    <w:div w:id="903444959">
      <w:bodyDiv w:val="1"/>
      <w:marLeft w:val="0"/>
      <w:marRight w:val="0"/>
      <w:marTop w:val="0"/>
      <w:marBottom w:val="0"/>
      <w:divBdr>
        <w:top w:val="none" w:sz="0" w:space="0" w:color="auto"/>
        <w:left w:val="none" w:sz="0" w:space="0" w:color="auto"/>
        <w:bottom w:val="none" w:sz="0" w:space="0" w:color="auto"/>
        <w:right w:val="none" w:sz="0" w:space="0" w:color="auto"/>
      </w:divBdr>
    </w:div>
    <w:div w:id="935941190">
      <w:bodyDiv w:val="1"/>
      <w:marLeft w:val="0"/>
      <w:marRight w:val="0"/>
      <w:marTop w:val="0"/>
      <w:marBottom w:val="0"/>
      <w:divBdr>
        <w:top w:val="none" w:sz="0" w:space="0" w:color="auto"/>
        <w:left w:val="none" w:sz="0" w:space="0" w:color="auto"/>
        <w:bottom w:val="none" w:sz="0" w:space="0" w:color="auto"/>
        <w:right w:val="none" w:sz="0" w:space="0" w:color="auto"/>
      </w:divBdr>
      <w:divsChild>
        <w:div w:id="111365930">
          <w:marLeft w:val="547"/>
          <w:marRight w:val="0"/>
          <w:marTop w:val="60"/>
          <w:marBottom w:val="60"/>
          <w:divBdr>
            <w:top w:val="none" w:sz="0" w:space="0" w:color="auto"/>
            <w:left w:val="none" w:sz="0" w:space="0" w:color="auto"/>
            <w:bottom w:val="none" w:sz="0" w:space="0" w:color="auto"/>
            <w:right w:val="none" w:sz="0" w:space="0" w:color="auto"/>
          </w:divBdr>
        </w:div>
        <w:div w:id="120198737">
          <w:marLeft w:val="547"/>
          <w:marRight w:val="0"/>
          <w:marTop w:val="60"/>
          <w:marBottom w:val="60"/>
          <w:divBdr>
            <w:top w:val="none" w:sz="0" w:space="0" w:color="auto"/>
            <w:left w:val="none" w:sz="0" w:space="0" w:color="auto"/>
            <w:bottom w:val="none" w:sz="0" w:space="0" w:color="auto"/>
            <w:right w:val="none" w:sz="0" w:space="0" w:color="auto"/>
          </w:divBdr>
        </w:div>
        <w:div w:id="702093683">
          <w:marLeft w:val="547"/>
          <w:marRight w:val="0"/>
          <w:marTop w:val="60"/>
          <w:marBottom w:val="60"/>
          <w:divBdr>
            <w:top w:val="none" w:sz="0" w:space="0" w:color="auto"/>
            <w:left w:val="none" w:sz="0" w:space="0" w:color="auto"/>
            <w:bottom w:val="none" w:sz="0" w:space="0" w:color="auto"/>
            <w:right w:val="none" w:sz="0" w:space="0" w:color="auto"/>
          </w:divBdr>
        </w:div>
        <w:div w:id="937518088">
          <w:marLeft w:val="1166"/>
          <w:marRight w:val="0"/>
          <w:marTop w:val="60"/>
          <w:marBottom w:val="60"/>
          <w:divBdr>
            <w:top w:val="none" w:sz="0" w:space="0" w:color="auto"/>
            <w:left w:val="none" w:sz="0" w:space="0" w:color="auto"/>
            <w:bottom w:val="none" w:sz="0" w:space="0" w:color="auto"/>
            <w:right w:val="none" w:sz="0" w:space="0" w:color="auto"/>
          </w:divBdr>
        </w:div>
        <w:div w:id="938874277">
          <w:marLeft w:val="547"/>
          <w:marRight w:val="0"/>
          <w:marTop w:val="60"/>
          <w:marBottom w:val="60"/>
          <w:divBdr>
            <w:top w:val="none" w:sz="0" w:space="0" w:color="auto"/>
            <w:left w:val="none" w:sz="0" w:space="0" w:color="auto"/>
            <w:bottom w:val="none" w:sz="0" w:space="0" w:color="auto"/>
            <w:right w:val="none" w:sz="0" w:space="0" w:color="auto"/>
          </w:divBdr>
        </w:div>
        <w:div w:id="1268200688">
          <w:marLeft w:val="1166"/>
          <w:marRight w:val="0"/>
          <w:marTop w:val="60"/>
          <w:marBottom w:val="60"/>
          <w:divBdr>
            <w:top w:val="none" w:sz="0" w:space="0" w:color="auto"/>
            <w:left w:val="none" w:sz="0" w:space="0" w:color="auto"/>
            <w:bottom w:val="none" w:sz="0" w:space="0" w:color="auto"/>
            <w:right w:val="none" w:sz="0" w:space="0" w:color="auto"/>
          </w:divBdr>
        </w:div>
        <w:div w:id="1703048186">
          <w:marLeft w:val="547"/>
          <w:marRight w:val="0"/>
          <w:marTop w:val="60"/>
          <w:marBottom w:val="60"/>
          <w:divBdr>
            <w:top w:val="none" w:sz="0" w:space="0" w:color="auto"/>
            <w:left w:val="none" w:sz="0" w:space="0" w:color="auto"/>
            <w:bottom w:val="none" w:sz="0" w:space="0" w:color="auto"/>
            <w:right w:val="none" w:sz="0" w:space="0" w:color="auto"/>
          </w:divBdr>
        </w:div>
      </w:divsChild>
    </w:div>
    <w:div w:id="964431282">
      <w:bodyDiv w:val="1"/>
      <w:marLeft w:val="0"/>
      <w:marRight w:val="0"/>
      <w:marTop w:val="0"/>
      <w:marBottom w:val="0"/>
      <w:divBdr>
        <w:top w:val="none" w:sz="0" w:space="0" w:color="auto"/>
        <w:left w:val="none" w:sz="0" w:space="0" w:color="auto"/>
        <w:bottom w:val="none" w:sz="0" w:space="0" w:color="auto"/>
        <w:right w:val="none" w:sz="0" w:space="0" w:color="auto"/>
      </w:divBdr>
    </w:div>
    <w:div w:id="966472571">
      <w:bodyDiv w:val="1"/>
      <w:marLeft w:val="0"/>
      <w:marRight w:val="0"/>
      <w:marTop w:val="0"/>
      <w:marBottom w:val="0"/>
      <w:divBdr>
        <w:top w:val="none" w:sz="0" w:space="0" w:color="auto"/>
        <w:left w:val="none" w:sz="0" w:space="0" w:color="auto"/>
        <w:bottom w:val="none" w:sz="0" w:space="0" w:color="auto"/>
        <w:right w:val="none" w:sz="0" w:space="0" w:color="auto"/>
      </w:divBdr>
      <w:divsChild>
        <w:div w:id="541014254">
          <w:marLeft w:val="0"/>
          <w:marRight w:val="0"/>
          <w:marTop w:val="0"/>
          <w:marBottom w:val="0"/>
          <w:divBdr>
            <w:top w:val="none" w:sz="0" w:space="0" w:color="auto"/>
            <w:left w:val="none" w:sz="0" w:space="0" w:color="auto"/>
            <w:bottom w:val="none" w:sz="0" w:space="0" w:color="auto"/>
            <w:right w:val="none" w:sz="0" w:space="0" w:color="auto"/>
          </w:divBdr>
        </w:div>
        <w:div w:id="1751460331">
          <w:marLeft w:val="0"/>
          <w:marRight w:val="0"/>
          <w:marTop w:val="0"/>
          <w:marBottom w:val="0"/>
          <w:divBdr>
            <w:top w:val="none" w:sz="0" w:space="0" w:color="auto"/>
            <w:left w:val="none" w:sz="0" w:space="0" w:color="auto"/>
            <w:bottom w:val="none" w:sz="0" w:space="0" w:color="auto"/>
            <w:right w:val="none" w:sz="0" w:space="0" w:color="auto"/>
          </w:divBdr>
        </w:div>
      </w:divsChild>
    </w:div>
    <w:div w:id="975180119">
      <w:bodyDiv w:val="1"/>
      <w:marLeft w:val="0"/>
      <w:marRight w:val="0"/>
      <w:marTop w:val="0"/>
      <w:marBottom w:val="0"/>
      <w:divBdr>
        <w:top w:val="none" w:sz="0" w:space="0" w:color="auto"/>
        <w:left w:val="none" w:sz="0" w:space="0" w:color="auto"/>
        <w:bottom w:val="none" w:sz="0" w:space="0" w:color="auto"/>
        <w:right w:val="none" w:sz="0" w:space="0" w:color="auto"/>
      </w:divBdr>
    </w:div>
    <w:div w:id="976640333">
      <w:bodyDiv w:val="1"/>
      <w:marLeft w:val="0"/>
      <w:marRight w:val="0"/>
      <w:marTop w:val="0"/>
      <w:marBottom w:val="0"/>
      <w:divBdr>
        <w:top w:val="none" w:sz="0" w:space="0" w:color="auto"/>
        <w:left w:val="none" w:sz="0" w:space="0" w:color="auto"/>
        <w:bottom w:val="none" w:sz="0" w:space="0" w:color="auto"/>
        <w:right w:val="none" w:sz="0" w:space="0" w:color="auto"/>
      </w:divBdr>
      <w:divsChild>
        <w:div w:id="304287072">
          <w:marLeft w:val="0"/>
          <w:marRight w:val="0"/>
          <w:marTop w:val="0"/>
          <w:marBottom w:val="0"/>
          <w:divBdr>
            <w:top w:val="none" w:sz="0" w:space="0" w:color="auto"/>
            <w:left w:val="none" w:sz="0" w:space="0" w:color="auto"/>
            <w:bottom w:val="none" w:sz="0" w:space="0" w:color="auto"/>
            <w:right w:val="none" w:sz="0" w:space="0" w:color="auto"/>
          </w:divBdr>
        </w:div>
        <w:div w:id="1736973848">
          <w:marLeft w:val="0"/>
          <w:marRight w:val="0"/>
          <w:marTop w:val="0"/>
          <w:marBottom w:val="0"/>
          <w:divBdr>
            <w:top w:val="none" w:sz="0" w:space="0" w:color="auto"/>
            <w:left w:val="none" w:sz="0" w:space="0" w:color="auto"/>
            <w:bottom w:val="none" w:sz="0" w:space="0" w:color="auto"/>
            <w:right w:val="none" w:sz="0" w:space="0" w:color="auto"/>
          </w:divBdr>
        </w:div>
      </w:divsChild>
    </w:div>
    <w:div w:id="1016418154">
      <w:bodyDiv w:val="1"/>
      <w:marLeft w:val="0"/>
      <w:marRight w:val="0"/>
      <w:marTop w:val="0"/>
      <w:marBottom w:val="0"/>
      <w:divBdr>
        <w:top w:val="none" w:sz="0" w:space="0" w:color="auto"/>
        <w:left w:val="none" w:sz="0" w:space="0" w:color="auto"/>
        <w:bottom w:val="none" w:sz="0" w:space="0" w:color="auto"/>
        <w:right w:val="none" w:sz="0" w:space="0" w:color="auto"/>
      </w:divBdr>
    </w:div>
    <w:div w:id="1041132430">
      <w:bodyDiv w:val="1"/>
      <w:marLeft w:val="0"/>
      <w:marRight w:val="0"/>
      <w:marTop w:val="0"/>
      <w:marBottom w:val="0"/>
      <w:divBdr>
        <w:top w:val="none" w:sz="0" w:space="0" w:color="auto"/>
        <w:left w:val="none" w:sz="0" w:space="0" w:color="auto"/>
        <w:bottom w:val="none" w:sz="0" w:space="0" w:color="auto"/>
        <w:right w:val="none" w:sz="0" w:space="0" w:color="auto"/>
      </w:divBdr>
    </w:div>
    <w:div w:id="1120876105">
      <w:bodyDiv w:val="1"/>
      <w:marLeft w:val="0"/>
      <w:marRight w:val="0"/>
      <w:marTop w:val="0"/>
      <w:marBottom w:val="0"/>
      <w:divBdr>
        <w:top w:val="none" w:sz="0" w:space="0" w:color="auto"/>
        <w:left w:val="none" w:sz="0" w:space="0" w:color="auto"/>
        <w:bottom w:val="none" w:sz="0" w:space="0" w:color="auto"/>
        <w:right w:val="none" w:sz="0" w:space="0" w:color="auto"/>
      </w:divBdr>
    </w:div>
    <w:div w:id="1123888812">
      <w:bodyDiv w:val="1"/>
      <w:marLeft w:val="0"/>
      <w:marRight w:val="0"/>
      <w:marTop w:val="0"/>
      <w:marBottom w:val="0"/>
      <w:divBdr>
        <w:top w:val="none" w:sz="0" w:space="0" w:color="auto"/>
        <w:left w:val="none" w:sz="0" w:space="0" w:color="auto"/>
        <w:bottom w:val="none" w:sz="0" w:space="0" w:color="auto"/>
        <w:right w:val="none" w:sz="0" w:space="0" w:color="auto"/>
      </w:divBdr>
    </w:div>
    <w:div w:id="1146362555">
      <w:bodyDiv w:val="1"/>
      <w:marLeft w:val="0"/>
      <w:marRight w:val="0"/>
      <w:marTop w:val="0"/>
      <w:marBottom w:val="0"/>
      <w:divBdr>
        <w:top w:val="none" w:sz="0" w:space="0" w:color="auto"/>
        <w:left w:val="none" w:sz="0" w:space="0" w:color="auto"/>
        <w:bottom w:val="none" w:sz="0" w:space="0" w:color="auto"/>
        <w:right w:val="none" w:sz="0" w:space="0" w:color="auto"/>
      </w:divBdr>
    </w:div>
    <w:div w:id="1158618677">
      <w:bodyDiv w:val="1"/>
      <w:marLeft w:val="0"/>
      <w:marRight w:val="0"/>
      <w:marTop w:val="0"/>
      <w:marBottom w:val="0"/>
      <w:divBdr>
        <w:top w:val="none" w:sz="0" w:space="0" w:color="auto"/>
        <w:left w:val="none" w:sz="0" w:space="0" w:color="auto"/>
        <w:bottom w:val="none" w:sz="0" w:space="0" w:color="auto"/>
        <w:right w:val="none" w:sz="0" w:space="0" w:color="auto"/>
      </w:divBdr>
    </w:div>
    <w:div w:id="1222207204">
      <w:bodyDiv w:val="1"/>
      <w:marLeft w:val="0"/>
      <w:marRight w:val="0"/>
      <w:marTop w:val="0"/>
      <w:marBottom w:val="0"/>
      <w:divBdr>
        <w:top w:val="none" w:sz="0" w:space="0" w:color="auto"/>
        <w:left w:val="none" w:sz="0" w:space="0" w:color="auto"/>
        <w:bottom w:val="none" w:sz="0" w:space="0" w:color="auto"/>
        <w:right w:val="none" w:sz="0" w:space="0" w:color="auto"/>
      </w:divBdr>
    </w:div>
    <w:div w:id="1231890300">
      <w:bodyDiv w:val="1"/>
      <w:marLeft w:val="0"/>
      <w:marRight w:val="0"/>
      <w:marTop w:val="0"/>
      <w:marBottom w:val="0"/>
      <w:divBdr>
        <w:top w:val="none" w:sz="0" w:space="0" w:color="auto"/>
        <w:left w:val="none" w:sz="0" w:space="0" w:color="auto"/>
        <w:bottom w:val="none" w:sz="0" w:space="0" w:color="auto"/>
        <w:right w:val="none" w:sz="0" w:space="0" w:color="auto"/>
      </w:divBdr>
    </w:div>
    <w:div w:id="1256131799">
      <w:bodyDiv w:val="1"/>
      <w:marLeft w:val="0"/>
      <w:marRight w:val="0"/>
      <w:marTop w:val="0"/>
      <w:marBottom w:val="0"/>
      <w:divBdr>
        <w:top w:val="none" w:sz="0" w:space="0" w:color="auto"/>
        <w:left w:val="none" w:sz="0" w:space="0" w:color="auto"/>
        <w:bottom w:val="none" w:sz="0" w:space="0" w:color="auto"/>
        <w:right w:val="none" w:sz="0" w:space="0" w:color="auto"/>
      </w:divBdr>
      <w:divsChild>
        <w:div w:id="527761597">
          <w:marLeft w:val="0"/>
          <w:marRight w:val="0"/>
          <w:marTop w:val="0"/>
          <w:marBottom w:val="0"/>
          <w:divBdr>
            <w:top w:val="none" w:sz="0" w:space="0" w:color="auto"/>
            <w:left w:val="none" w:sz="0" w:space="0" w:color="auto"/>
            <w:bottom w:val="none" w:sz="0" w:space="0" w:color="auto"/>
            <w:right w:val="none" w:sz="0" w:space="0" w:color="auto"/>
          </w:divBdr>
          <w:divsChild>
            <w:div w:id="174926458">
              <w:marLeft w:val="40"/>
              <w:marRight w:val="0"/>
              <w:marTop w:val="0"/>
              <w:marBottom w:val="0"/>
              <w:divBdr>
                <w:top w:val="none" w:sz="0" w:space="0" w:color="auto"/>
                <w:left w:val="none" w:sz="0" w:space="0" w:color="auto"/>
                <w:bottom w:val="none" w:sz="0" w:space="0" w:color="auto"/>
                <w:right w:val="none" w:sz="0" w:space="0" w:color="auto"/>
              </w:divBdr>
              <w:divsChild>
                <w:div w:id="1652828233">
                  <w:marLeft w:val="0"/>
                  <w:marRight w:val="0"/>
                  <w:marTop w:val="0"/>
                  <w:marBottom w:val="0"/>
                  <w:divBdr>
                    <w:top w:val="none" w:sz="0" w:space="0" w:color="auto"/>
                    <w:left w:val="none" w:sz="0" w:space="0" w:color="auto"/>
                    <w:bottom w:val="none" w:sz="0" w:space="0" w:color="auto"/>
                    <w:right w:val="none" w:sz="0" w:space="0" w:color="auto"/>
                  </w:divBdr>
                  <w:divsChild>
                    <w:div w:id="1142428109">
                      <w:marLeft w:val="0"/>
                      <w:marRight w:val="0"/>
                      <w:marTop w:val="0"/>
                      <w:marBottom w:val="80"/>
                      <w:divBdr>
                        <w:top w:val="single" w:sz="4" w:space="0" w:color="F5F5F5"/>
                        <w:left w:val="single" w:sz="4" w:space="0" w:color="F5F5F5"/>
                        <w:bottom w:val="single" w:sz="4" w:space="0" w:color="F5F5F5"/>
                        <w:right w:val="single" w:sz="4" w:space="0" w:color="F5F5F5"/>
                      </w:divBdr>
                      <w:divsChild>
                        <w:div w:id="72356323">
                          <w:marLeft w:val="0"/>
                          <w:marRight w:val="0"/>
                          <w:marTop w:val="0"/>
                          <w:marBottom w:val="0"/>
                          <w:divBdr>
                            <w:top w:val="none" w:sz="0" w:space="0" w:color="auto"/>
                            <w:left w:val="none" w:sz="0" w:space="0" w:color="auto"/>
                            <w:bottom w:val="none" w:sz="0" w:space="0" w:color="auto"/>
                            <w:right w:val="none" w:sz="0" w:space="0" w:color="auto"/>
                          </w:divBdr>
                          <w:divsChild>
                            <w:div w:id="9046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362004">
          <w:marLeft w:val="0"/>
          <w:marRight w:val="0"/>
          <w:marTop w:val="0"/>
          <w:marBottom w:val="0"/>
          <w:divBdr>
            <w:top w:val="none" w:sz="0" w:space="0" w:color="auto"/>
            <w:left w:val="none" w:sz="0" w:space="0" w:color="auto"/>
            <w:bottom w:val="none" w:sz="0" w:space="0" w:color="auto"/>
            <w:right w:val="none" w:sz="0" w:space="0" w:color="auto"/>
          </w:divBdr>
          <w:divsChild>
            <w:div w:id="1430391802">
              <w:marLeft w:val="0"/>
              <w:marRight w:val="40"/>
              <w:marTop w:val="0"/>
              <w:marBottom w:val="0"/>
              <w:divBdr>
                <w:top w:val="none" w:sz="0" w:space="0" w:color="auto"/>
                <w:left w:val="none" w:sz="0" w:space="0" w:color="auto"/>
                <w:bottom w:val="none" w:sz="0" w:space="0" w:color="auto"/>
                <w:right w:val="none" w:sz="0" w:space="0" w:color="auto"/>
              </w:divBdr>
              <w:divsChild>
                <w:div w:id="480580028">
                  <w:marLeft w:val="0"/>
                  <w:marRight w:val="0"/>
                  <w:marTop w:val="120"/>
                  <w:marBottom w:val="160"/>
                  <w:divBdr>
                    <w:top w:val="none" w:sz="0" w:space="0" w:color="auto"/>
                    <w:left w:val="none" w:sz="0" w:space="0" w:color="auto"/>
                    <w:bottom w:val="none" w:sz="0" w:space="0" w:color="auto"/>
                    <w:right w:val="none" w:sz="0" w:space="0" w:color="auto"/>
                  </w:divBdr>
                </w:div>
                <w:div w:id="1229851676">
                  <w:marLeft w:val="0"/>
                  <w:marRight w:val="0"/>
                  <w:marTop w:val="0"/>
                  <w:marBottom w:val="80"/>
                  <w:divBdr>
                    <w:top w:val="single" w:sz="4" w:space="0" w:color="C0C0C0"/>
                    <w:left w:val="single" w:sz="4" w:space="0" w:color="D9D9D9"/>
                    <w:bottom w:val="single" w:sz="4" w:space="0" w:color="D9D9D9"/>
                    <w:right w:val="single" w:sz="4" w:space="0" w:color="D9D9D9"/>
                  </w:divBdr>
                  <w:divsChild>
                    <w:div w:id="29113010">
                      <w:marLeft w:val="0"/>
                      <w:marRight w:val="0"/>
                      <w:marTop w:val="0"/>
                      <w:marBottom w:val="0"/>
                      <w:divBdr>
                        <w:top w:val="none" w:sz="0" w:space="0" w:color="auto"/>
                        <w:left w:val="none" w:sz="0" w:space="0" w:color="auto"/>
                        <w:bottom w:val="none" w:sz="0" w:space="0" w:color="auto"/>
                        <w:right w:val="none" w:sz="0" w:space="0" w:color="auto"/>
                      </w:divBdr>
                    </w:div>
                    <w:div w:id="21064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838811">
      <w:bodyDiv w:val="1"/>
      <w:marLeft w:val="0"/>
      <w:marRight w:val="0"/>
      <w:marTop w:val="0"/>
      <w:marBottom w:val="0"/>
      <w:divBdr>
        <w:top w:val="none" w:sz="0" w:space="0" w:color="auto"/>
        <w:left w:val="none" w:sz="0" w:space="0" w:color="auto"/>
        <w:bottom w:val="none" w:sz="0" w:space="0" w:color="auto"/>
        <w:right w:val="none" w:sz="0" w:space="0" w:color="auto"/>
      </w:divBdr>
    </w:div>
    <w:div w:id="1265264613">
      <w:bodyDiv w:val="1"/>
      <w:marLeft w:val="0"/>
      <w:marRight w:val="0"/>
      <w:marTop w:val="0"/>
      <w:marBottom w:val="0"/>
      <w:divBdr>
        <w:top w:val="none" w:sz="0" w:space="0" w:color="auto"/>
        <w:left w:val="none" w:sz="0" w:space="0" w:color="auto"/>
        <w:bottom w:val="none" w:sz="0" w:space="0" w:color="auto"/>
        <w:right w:val="none" w:sz="0" w:space="0" w:color="auto"/>
      </w:divBdr>
    </w:div>
    <w:div w:id="1337923286">
      <w:bodyDiv w:val="1"/>
      <w:marLeft w:val="0"/>
      <w:marRight w:val="0"/>
      <w:marTop w:val="0"/>
      <w:marBottom w:val="0"/>
      <w:divBdr>
        <w:top w:val="none" w:sz="0" w:space="0" w:color="auto"/>
        <w:left w:val="none" w:sz="0" w:space="0" w:color="auto"/>
        <w:bottom w:val="none" w:sz="0" w:space="0" w:color="auto"/>
        <w:right w:val="none" w:sz="0" w:space="0" w:color="auto"/>
      </w:divBdr>
      <w:divsChild>
        <w:div w:id="58292459">
          <w:marLeft w:val="720"/>
          <w:marRight w:val="0"/>
          <w:marTop w:val="60"/>
          <w:marBottom w:val="60"/>
          <w:divBdr>
            <w:top w:val="none" w:sz="0" w:space="0" w:color="auto"/>
            <w:left w:val="none" w:sz="0" w:space="0" w:color="auto"/>
            <w:bottom w:val="none" w:sz="0" w:space="0" w:color="auto"/>
            <w:right w:val="none" w:sz="0" w:space="0" w:color="auto"/>
          </w:divBdr>
        </w:div>
        <w:div w:id="295140439">
          <w:marLeft w:val="720"/>
          <w:marRight w:val="0"/>
          <w:marTop w:val="60"/>
          <w:marBottom w:val="60"/>
          <w:divBdr>
            <w:top w:val="none" w:sz="0" w:space="0" w:color="auto"/>
            <w:left w:val="none" w:sz="0" w:space="0" w:color="auto"/>
            <w:bottom w:val="none" w:sz="0" w:space="0" w:color="auto"/>
            <w:right w:val="none" w:sz="0" w:space="0" w:color="auto"/>
          </w:divBdr>
        </w:div>
        <w:div w:id="334386542">
          <w:marLeft w:val="720"/>
          <w:marRight w:val="0"/>
          <w:marTop w:val="60"/>
          <w:marBottom w:val="60"/>
          <w:divBdr>
            <w:top w:val="none" w:sz="0" w:space="0" w:color="auto"/>
            <w:left w:val="none" w:sz="0" w:space="0" w:color="auto"/>
            <w:bottom w:val="none" w:sz="0" w:space="0" w:color="auto"/>
            <w:right w:val="none" w:sz="0" w:space="0" w:color="auto"/>
          </w:divBdr>
        </w:div>
        <w:div w:id="832454255">
          <w:marLeft w:val="720"/>
          <w:marRight w:val="0"/>
          <w:marTop w:val="60"/>
          <w:marBottom w:val="60"/>
          <w:divBdr>
            <w:top w:val="none" w:sz="0" w:space="0" w:color="auto"/>
            <w:left w:val="none" w:sz="0" w:space="0" w:color="auto"/>
            <w:bottom w:val="none" w:sz="0" w:space="0" w:color="auto"/>
            <w:right w:val="none" w:sz="0" w:space="0" w:color="auto"/>
          </w:divBdr>
        </w:div>
        <w:div w:id="844132891">
          <w:marLeft w:val="1354"/>
          <w:marRight w:val="0"/>
          <w:marTop w:val="60"/>
          <w:marBottom w:val="60"/>
          <w:divBdr>
            <w:top w:val="none" w:sz="0" w:space="0" w:color="auto"/>
            <w:left w:val="none" w:sz="0" w:space="0" w:color="auto"/>
            <w:bottom w:val="none" w:sz="0" w:space="0" w:color="auto"/>
            <w:right w:val="none" w:sz="0" w:space="0" w:color="auto"/>
          </w:divBdr>
        </w:div>
        <w:div w:id="1194416625">
          <w:marLeft w:val="720"/>
          <w:marRight w:val="0"/>
          <w:marTop w:val="60"/>
          <w:marBottom w:val="60"/>
          <w:divBdr>
            <w:top w:val="none" w:sz="0" w:space="0" w:color="auto"/>
            <w:left w:val="none" w:sz="0" w:space="0" w:color="auto"/>
            <w:bottom w:val="none" w:sz="0" w:space="0" w:color="auto"/>
            <w:right w:val="none" w:sz="0" w:space="0" w:color="auto"/>
          </w:divBdr>
        </w:div>
        <w:div w:id="1601646049">
          <w:marLeft w:val="1354"/>
          <w:marRight w:val="0"/>
          <w:marTop w:val="60"/>
          <w:marBottom w:val="60"/>
          <w:divBdr>
            <w:top w:val="none" w:sz="0" w:space="0" w:color="auto"/>
            <w:left w:val="none" w:sz="0" w:space="0" w:color="auto"/>
            <w:bottom w:val="none" w:sz="0" w:space="0" w:color="auto"/>
            <w:right w:val="none" w:sz="0" w:space="0" w:color="auto"/>
          </w:divBdr>
        </w:div>
        <w:div w:id="1605452890">
          <w:marLeft w:val="1354"/>
          <w:marRight w:val="0"/>
          <w:marTop w:val="60"/>
          <w:marBottom w:val="60"/>
          <w:divBdr>
            <w:top w:val="none" w:sz="0" w:space="0" w:color="auto"/>
            <w:left w:val="none" w:sz="0" w:space="0" w:color="auto"/>
            <w:bottom w:val="none" w:sz="0" w:space="0" w:color="auto"/>
            <w:right w:val="none" w:sz="0" w:space="0" w:color="auto"/>
          </w:divBdr>
        </w:div>
        <w:div w:id="1667632580">
          <w:marLeft w:val="1354"/>
          <w:marRight w:val="0"/>
          <w:marTop w:val="60"/>
          <w:marBottom w:val="60"/>
          <w:divBdr>
            <w:top w:val="none" w:sz="0" w:space="0" w:color="auto"/>
            <w:left w:val="none" w:sz="0" w:space="0" w:color="auto"/>
            <w:bottom w:val="none" w:sz="0" w:space="0" w:color="auto"/>
            <w:right w:val="none" w:sz="0" w:space="0" w:color="auto"/>
          </w:divBdr>
        </w:div>
        <w:div w:id="1762870292">
          <w:marLeft w:val="720"/>
          <w:marRight w:val="0"/>
          <w:marTop w:val="60"/>
          <w:marBottom w:val="60"/>
          <w:divBdr>
            <w:top w:val="none" w:sz="0" w:space="0" w:color="auto"/>
            <w:left w:val="none" w:sz="0" w:space="0" w:color="auto"/>
            <w:bottom w:val="none" w:sz="0" w:space="0" w:color="auto"/>
            <w:right w:val="none" w:sz="0" w:space="0" w:color="auto"/>
          </w:divBdr>
        </w:div>
        <w:div w:id="1785297813">
          <w:marLeft w:val="720"/>
          <w:marRight w:val="0"/>
          <w:marTop w:val="60"/>
          <w:marBottom w:val="60"/>
          <w:divBdr>
            <w:top w:val="none" w:sz="0" w:space="0" w:color="auto"/>
            <w:left w:val="none" w:sz="0" w:space="0" w:color="auto"/>
            <w:bottom w:val="none" w:sz="0" w:space="0" w:color="auto"/>
            <w:right w:val="none" w:sz="0" w:space="0" w:color="auto"/>
          </w:divBdr>
        </w:div>
        <w:div w:id="1836606764">
          <w:marLeft w:val="720"/>
          <w:marRight w:val="0"/>
          <w:marTop w:val="60"/>
          <w:marBottom w:val="60"/>
          <w:divBdr>
            <w:top w:val="none" w:sz="0" w:space="0" w:color="auto"/>
            <w:left w:val="none" w:sz="0" w:space="0" w:color="auto"/>
            <w:bottom w:val="none" w:sz="0" w:space="0" w:color="auto"/>
            <w:right w:val="none" w:sz="0" w:space="0" w:color="auto"/>
          </w:divBdr>
        </w:div>
        <w:div w:id="1948535576">
          <w:marLeft w:val="720"/>
          <w:marRight w:val="0"/>
          <w:marTop w:val="60"/>
          <w:marBottom w:val="60"/>
          <w:divBdr>
            <w:top w:val="none" w:sz="0" w:space="0" w:color="auto"/>
            <w:left w:val="none" w:sz="0" w:space="0" w:color="auto"/>
            <w:bottom w:val="none" w:sz="0" w:space="0" w:color="auto"/>
            <w:right w:val="none" w:sz="0" w:space="0" w:color="auto"/>
          </w:divBdr>
        </w:div>
      </w:divsChild>
    </w:div>
    <w:div w:id="1371105129">
      <w:bodyDiv w:val="1"/>
      <w:marLeft w:val="0"/>
      <w:marRight w:val="0"/>
      <w:marTop w:val="0"/>
      <w:marBottom w:val="0"/>
      <w:divBdr>
        <w:top w:val="none" w:sz="0" w:space="0" w:color="auto"/>
        <w:left w:val="none" w:sz="0" w:space="0" w:color="auto"/>
        <w:bottom w:val="none" w:sz="0" w:space="0" w:color="auto"/>
        <w:right w:val="none" w:sz="0" w:space="0" w:color="auto"/>
      </w:divBdr>
    </w:div>
    <w:div w:id="1401323455">
      <w:bodyDiv w:val="1"/>
      <w:marLeft w:val="0"/>
      <w:marRight w:val="0"/>
      <w:marTop w:val="0"/>
      <w:marBottom w:val="0"/>
      <w:divBdr>
        <w:top w:val="none" w:sz="0" w:space="0" w:color="auto"/>
        <w:left w:val="none" w:sz="0" w:space="0" w:color="auto"/>
        <w:bottom w:val="none" w:sz="0" w:space="0" w:color="auto"/>
        <w:right w:val="none" w:sz="0" w:space="0" w:color="auto"/>
      </w:divBdr>
    </w:div>
    <w:div w:id="1414738284">
      <w:bodyDiv w:val="1"/>
      <w:marLeft w:val="0"/>
      <w:marRight w:val="0"/>
      <w:marTop w:val="0"/>
      <w:marBottom w:val="0"/>
      <w:divBdr>
        <w:top w:val="none" w:sz="0" w:space="0" w:color="auto"/>
        <w:left w:val="none" w:sz="0" w:space="0" w:color="auto"/>
        <w:bottom w:val="none" w:sz="0" w:space="0" w:color="auto"/>
        <w:right w:val="none" w:sz="0" w:space="0" w:color="auto"/>
      </w:divBdr>
    </w:div>
    <w:div w:id="1418164392">
      <w:bodyDiv w:val="1"/>
      <w:marLeft w:val="0"/>
      <w:marRight w:val="0"/>
      <w:marTop w:val="0"/>
      <w:marBottom w:val="0"/>
      <w:divBdr>
        <w:top w:val="none" w:sz="0" w:space="0" w:color="auto"/>
        <w:left w:val="none" w:sz="0" w:space="0" w:color="auto"/>
        <w:bottom w:val="none" w:sz="0" w:space="0" w:color="auto"/>
        <w:right w:val="none" w:sz="0" w:space="0" w:color="auto"/>
      </w:divBdr>
      <w:divsChild>
        <w:div w:id="877666754">
          <w:marLeft w:val="547"/>
          <w:marRight w:val="0"/>
          <w:marTop w:val="115"/>
          <w:marBottom w:val="0"/>
          <w:divBdr>
            <w:top w:val="none" w:sz="0" w:space="0" w:color="auto"/>
            <w:left w:val="none" w:sz="0" w:space="0" w:color="auto"/>
            <w:bottom w:val="none" w:sz="0" w:space="0" w:color="auto"/>
            <w:right w:val="none" w:sz="0" w:space="0" w:color="auto"/>
          </w:divBdr>
        </w:div>
        <w:div w:id="1226910522">
          <w:marLeft w:val="547"/>
          <w:marRight w:val="0"/>
          <w:marTop w:val="115"/>
          <w:marBottom w:val="0"/>
          <w:divBdr>
            <w:top w:val="none" w:sz="0" w:space="0" w:color="auto"/>
            <w:left w:val="none" w:sz="0" w:space="0" w:color="auto"/>
            <w:bottom w:val="none" w:sz="0" w:space="0" w:color="auto"/>
            <w:right w:val="none" w:sz="0" w:space="0" w:color="auto"/>
          </w:divBdr>
        </w:div>
        <w:div w:id="1244024191">
          <w:marLeft w:val="547"/>
          <w:marRight w:val="0"/>
          <w:marTop w:val="115"/>
          <w:marBottom w:val="0"/>
          <w:divBdr>
            <w:top w:val="none" w:sz="0" w:space="0" w:color="auto"/>
            <w:left w:val="none" w:sz="0" w:space="0" w:color="auto"/>
            <w:bottom w:val="none" w:sz="0" w:space="0" w:color="auto"/>
            <w:right w:val="none" w:sz="0" w:space="0" w:color="auto"/>
          </w:divBdr>
        </w:div>
        <w:div w:id="1995795099">
          <w:marLeft w:val="547"/>
          <w:marRight w:val="0"/>
          <w:marTop w:val="115"/>
          <w:marBottom w:val="0"/>
          <w:divBdr>
            <w:top w:val="none" w:sz="0" w:space="0" w:color="auto"/>
            <w:left w:val="none" w:sz="0" w:space="0" w:color="auto"/>
            <w:bottom w:val="none" w:sz="0" w:space="0" w:color="auto"/>
            <w:right w:val="none" w:sz="0" w:space="0" w:color="auto"/>
          </w:divBdr>
        </w:div>
        <w:div w:id="2113894078">
          <w:marLeft w:val="547"/>
          <w:marRight w:val="0"/>
          <w:marTop w:val="115"/>
          <w:marBottom w:val="0"/>
          <w:divBdr>
            <w:top w:val="none" w:sz="0" w:space="0" w:color="auto"/>
            <w:left w:val="none" w:sz="0" w:space="0" w:color="auto"/>
            <w:bottom w:val="none" w:sz="0" w:space="0" w:color="auto"/>
            <w:right w:val="none" w:sz="0" w:space="0" w:color="auto"/>
          </w:divBdr>
        </w:div>
      </w:divsChild>
    </w:div>
    <w:div w:id="1422678161">
      <w:bodyDiv w:val="1"/>
      <w:marLeft w:val="0"/>
      <w:marRight w:val="0"/>
      <w:marTop w:val="0"/>
      <w:marBottom w:val="0"/>
      <w:divBdr>
        <w:top w:val="none" w:sz="0" w:space="0" w:color="auto"/>
        <w:left w:val="none" w:sz="0" w:space="0" w:color="auto"/>
        <w:bottom w:val="none" w:sz="0" w:space="0" w:color="auto"/>
        <w:right w:val="none" w:sz="0" w:space="0" w:color="auto"/>
      </w:divBdr>
    </w:div>
    <w:div w:id="1447039512">
      <w:bodyDiv w:val="1"/>
      <w:marLeft w:val="0"/>
      <w:marRight w:val="0"/>
      <w:marTop w:val="0"/>
      <w:marBottom w:val="0"/>
      <w:divBdr>
        <w:top w:val="none" w:sz="0" w:space="0" w:color="auto"/>
        <w:left w:val="none" w:sz="0" w:space="0" w:color="auto"/>
        <w:bottom w:val="none" w:sz="0" w:space="0" w:color="auto"/>
        <w:right w:val="none" w:sz="0" w:space="0" w:color="auto"/>
      </w:divBdr>
    </w:div>
    <w:div w:id="1482892439">
      <w:bodyDiv w:val="1"/>
      <w:marLeft w:val="0"/>
      <w:marRight w:val="0"/>
      <w:marTop w:val="0"/>
      <w:marBottom w:val="0"/>
      <w:divBdr>
        <w:top w:val="none" w:sz="0" w:space="0" w:color="auto"/>
        <w:left w:val="none" w:sz="0" w:space="0" w:color="auto"/>
        <w:bottom w:val="none" w:sz="0" w:space="0" w:color="auto"/>
        <w:right w:val="none" w:sz="0" w:space="0" w:color="auto"/>
      </w:divBdr>
    </w:div>
    <w:div w:id="1514225341">
      <w:bodyDiv w:val="1"/>
      <w:marLeft w:val="0"/>
      <w:marRight w:val="0"/>
      <w:marTop w:val="0"/>
      <w:marBottom w:val="0"/>
      <w:divBdr>
        <w:top w:val="none" w:sz="0" w:space="0" w:color="auto"/>
        <w:left w:val="none" w:sz="0" w:space="0" w:color="auto"/>
        <w:bottom w:val="none" w:sz="0" w:space="0" w:color="auto"/>
        <w:right w:val="none" w:sz="0" w:space="0" w:color="auto"/>
      </w:divBdr>
      <w:divsChild>
        <w:div w:id="570123433">
          <w:marLeft w:val="0"/>
          <w:marRight w:val="0"/>
          <w:marTop w:val="0"/>
          <w:marBottom w:val="0"/>
          <w:divBdr>
            <w:top w:val="none" w:sz="0" w:space="0" w:color="auto"/>
            <w:left w:val="none" w:sz="0" w:space="0" w:color="auto"/>
            <w:bottom w:val="none" w:sz="0" w:space="0" w:color="auto"/>
            <w:right w:val="none" w:sz="0" w:space="0" w:color="auto"/>
          </w:divBdr>
        </w:div>
        <w:div w:id="2126534106">
          <w:marLeft w:val="0"/>
          <w:marRight w:val="0"/>
          <w:marTop w:val="0"/>
          <w:marBottom w:val="0"/>
          <w:divBdr>
            <w:top w:val="none" w:sz="0" w:space="0" w:color="auto"/>
            <w:left w:val="none" w:sz="0" w:space="0" w:color="auto"/>
            <w:bottom w:val="none" w:sz="0" w:space="0" w:color="auto"/>
            <w:right w:val="none" w:sz="0" w:space="0" w:color="auto"/>
          </w:divBdr>
        </w:div>
      </w:divsChild>
    </w:div>
    <w:div w:id="1519079154">
      <w:bodyDiv w:val="1"/>
      <w:marLeft w:val="0"/>
      <w:marRight w:val="0"/>
      <w:marTop w:val="0"/>
      <w:marBottom w:val="0"/>
      <w:divBdr>
        <w:top w:val="none" w:sz="0" w:space="0" w:color="auto"/>
        <w:left w:val="none" w:sz="0" w:space="0" w:color="auto"/>
        <w:bottom w:val="none" w:sz="0" w:space="0" w:color="auto"/>
        <w:right w:val="none" w:sz="0" w:space="0" w:color="auto"/>
      </w:divBdr>
      <w:divsChild>
        <w:div w:id="29689506">
          <w:marLeft w:val="0"/>
          <w:marRight w:val="0"/>
          <w:marTop w:val="0"/>
          <w:marBottom w:val="0"/>
          <w:divBdr>
            <w:top w:val="none" w:sz="0" w:space="0" w:color="auto"/>
            <w:left w:val="none" w:sz="0" w:space="0" w:color="auto"/>
            <w:bottom w:val="none" w:sz="0" w:space="0" w:color="auto"/>
            <w:right w:val="none" w:sz="0" w:space="0" w:color="auto"/>
          </w:divBdr>
        </w:div>
        <w:div w:id="131023566">
          <w:marLeft w:val="0"/>
          <w:marRight w:val="0"/>
          <w:marTop w:val="0"/>
          <w:marBottom w:val="0"/>
          <w:divBdr>
            <w:top w:val="none" w:sz="0" w:space="0" w:color="auto"/>
            <w:left w:val="none" w:sz="0" w:space="0" w:color="auto"/>
            <w:bottom w:val="none" w:sz="0" w:space="0" w:color="auto"/>
            <w:right w:val="none" w:sz="0" w:space="0" w:color="auto"/>
          </w:divBdr>
        </w:div>
        <w:div w:id="647634968">
          <w:marLeft w:val="0"/>
          <w:marRight w:val="0"/>
          <w:marTop w:val="0"/>
          <w:marBottom w:val="0"/>
          <w:divBdr>
            <w:top w:val="none" w:sz="0" w:space="0" w:color="auto"/>
            <w:left w:val="none" w:sz="0" w:space="0" w:color="auto"/>
            <w:bottom w:val="none" w:sz="0" w:space="0" w:color="auto"/>
            <w:right w:val="none" w:sz="0" w:space="0" w:color="auto"/>
          </w:divBdr>
        </w:div>
        <w:div w:id="731850908">
          <w:marLeft w:val="0"/>
          <w:marRight w:val="0"/>
          <w:marTop w:val="0"/>
          <w:marBottom w:val="0"/>
          <w:divBdr>
            <w:top w:val="none" w:sz="0" w:space="0" w:color="auto"/>
            <w:left w:val="none" w:sz="0" w:space="0" w:color="auto"/>
            <w:bottom w:val="none" w:sz="0" w:space="0" w:color="auto"/>
            <w:right w:val="none" w:sz="0" w:space="0" w:color="auto"/>
          </w:divBdr>
        </w:div>
        <w:div w:id="930967670">
          <w:marLeft w:val="0"/>
          <w:marRight w:val="0"/>
          <w:marTop w:val="0"/>
          <w:marBottom w:val="0"/>
          <w:divBdr>
            <w:top w:val="none" w:sz="0" w:space="0" w:color="auto"/>
            <w:left w:val="none" w:sz="0" w:space="0" w:color="auto"/>
            <w:bottom w:val="none" w:sz="0" w:space="0" w:color="auto"/>
            <w:right w:val="none" w:sz="0" w:space="0" w:color="auto"/>
          </w:divBdr>
        </w:div>
        <w:div w:id="1315450916">
          <w:marLeft w:val="0"/>
          <w:marRight w:val="0"/>
          <w:marTop w:val="0"/>
          <w:marBottom w:val="0"/>
          <w:divBdr>
            <w:top w:val="none" w:sz="0" w:space="0" w:color="auto"/>
            <w:left w:val="none" w:sz="0" w:space="0" w:color="auto"/>
            <w:bottom w:val="none" w:sz="0" w:space="0" w:color="auto"/>
            <w:right w:val="none" w:sz="0" w:space="0" w:color="auto"/>
          </w:divBdr>
        </w:div>
        <w:div w:id="1469320152">
          <w:marLeft w:val="0"/>
          <w:marRight w:val="0"/>
          <w:marTop w:val="0"/>
          <w:marBottom w:val="0"/>
          <w:divBdr>
            <w:top w:val="none" w:sz="0" w:space="0" w:color="auto"/>
            <w:left w:val="none" w:sz="0" w:space="0" w:color="auto"/>
            <w:bottom w:val="none" w:sz="0" w:space="0" w:color="auto"/>
            <w:right w:val="none" w:sz="0" w:space="0" w:color="auto"/>
          </w:divBdr>
        </w:div>
        <w:div w:id="1795320658">
          <w:marLeft w:val="0"/>
          <w:marRight w:val="0"/>
          <w:marTop w:val="0"/>
          <w:marBottom w:val="0"/>
          <w:divBdr>
            <w:top w:val="none" w:sz="0" w:space="0" w:color="auto"/>
            <w:left w:val="none" w:sz="0" w:space="0" w:color="auto"/>
            <w:bottom w:val="none" w:sz="0" w:space="0" w:color="auto"/>
            <w:right w:val="none" w:sz="0" w:space="0" w:color="auto"/>
          </w:divBdr>
        </w:div>
        <w:div w:id="1883712209">
          <w:marLeft w:val="0"/>
          <w:marRight w:val="0"/>
          <w:marTop w:val="0"/>
          <w:marBottom w:val="0"/>
          <w:divBdr>
            <w:top w:val="none" w:sz="0" w:space="0" w:color="auto"/>
            <w:left w:val="none" w:sz="0" w:space="0" w:color="auto"/>
            <w:bottom w:val="none" w:sz="0" w:space="0" w:color="auto"/>
            <w:right w:val="none" w:sz="0" w:space="0" w:color="auto"/>
          </w:divBdr>
        </w:div>
        <w:div w:id="1912078467">
          <w:marLeft w:val="0"/>
          <w:marRight w:val="0"/>
          <w:marTop w:val="0"/>
          <w:marBottom w:val="0"/>
          <w:divBdr>
            <w:top w:val="none" w:sz="0" w:space="0" w:color="auto"/>
            <w:left w:val="none" w:sz="0" w:space="0" w:color="auto"/>
            <w:bottom w:val="none" w:sz="0" w:space="0" w:color="auto"/>
            <w:right w:val="none" w:sz="0" w:space="0" w:color="auto"/>
          </w:divBdr>
        </w:div>
        <w:div w:id="2040623809">
          <w:marLeft w:val="0"/>
          <w:marRight w:val="0"/>
          <w:marTop w:val="0"/>
          <w:marBottom w:val="0"/>
          <w:divBdr>
            <w:top w:val="none" w:sz="0" w:space="0" w:color="auto"/>
            <w:left w:val="none" w:sz="0" w:space="0" w:color="auto"/>
            <w:bottom w:val="none" w:sz="0" w:space="0" w:color="auto"/>
            <w:right w:val="none" w:sz="0" w:space="0" w:color="auto"/>
          </w:divBdr>
        </w:div>
        <w:div w:id="2049793624">
          <w:marLeft w:val="0"/>
          <w:marRight w:val="0"/>
          <w:marTop w:val="0"/>
          <w:marBottom w:val="0"/>
          <w:divBdr>
            <w:top w:val="none" w:sz="0" w:space="0" w:color="auto"/>
            <w:left w:val="none" w:sz="0" w:space="0" w:color="auto"/>
            <w:bottom w:val="none" w:sz="0" w:space="0" w:color="auto"/>
            <w:right w:val="none" w:sz="0" w:space="0" w:color="auto"/>
          </w:divBdr>
        </w:div>
        <w:div w:id="2108384648">
          <w:marLeft w:val="0"/>
          <w:marRight w:val="0"/>
          <w:marTop w:val="0"/>
          <w:marBottom w:val="0"/>
          <w:divBdr>
            <w:top w:val="none" w:sz="0" w:space="0" w:color="auto"/>
            <w:left w:val="none" w:sz="0" w:space="0" w:color="auto"/>
            <w:bottom w:val="none" w:sz="0" w:space="0" w:color="auto"/>
            <w:right w:val="none" w:sz="0" w:space="0" w:color="auto"/>
          </w:divBdr>
        </w:div>
      </w:divsChild>
    </w:div>
    <w:div w:id="1553811493">
      <w:bodyDiv w:val="1"/>
      <w:marLeft w:val="0"/>
      <w:marRight w:val="0"/>
      <w:marTop w:val="0"/>
      <w:marBottom w:val="0"/>
      <w:divBdr>
        <w:top w:val="none" w:sz="0" w:space="0" w:color="auto"/>
        <w:left w:val="none" w:sz="0" w:space="0" w:color="auto"/>
        <w:bottom w:val="none" w:sz="0" w:space="0" w:color="auto"/>
        <w:right w:val="none" w:sz="0" w:space="0" w:color="auto"/>
      </w:divBdr>
      <w:divsChild>
        <w:div w:id="394936958">
          <w:marLeft w:val="1166"/>
          <w:marRight w:val="0"/>
          <w:marTop w:val="20"/>
          <w:marBottom w:val="20"/>
          <w:divBdr>
            <w:top w:val="none" w:sz="0" w:space="0" w:color="auto"/>
            <w:left w:val="none" w:sz="0" w:space="0" w:color="auto"/>
            <w:bottom w:val="none" w:sz="0" w:space="0" w:color="auto"/>
            <w:right w:val="none" w:sz="0" w:space="0" w:color="auto"/>
          </w:divBdr>
        </w:div>
        <w:div w:id="1899508842">
          <w:marLeft w:val="1166"/>
          <w:marRight w:val="0"/>
          <w:marTop w:val="20"/>
          <w:marBottom w:val="20"/>
          <w:divBdr>
            <w:top w:val="none" w:sz="0" w:space="0" w:color="auto"/>
            <w:left w:val="none" w:sz="0" w:space="0" w:color="auto"/>
            <w:bottom w:val="none" w:sz="0" w:space="0" w:color="auto"/>
            <w:right w:val="none" w:sz="0" w:space="0" w:color="auto"/>
          </w:divBdr>
        </w:div>
        <w:div w:id="2125348344">
          <w:marLeft w:val="1166"/>
          <w:marRight w:val="0"/>
          <w:marTop w:val="20"/>
          <w:marBottom w:val="20"/>
          <w:divBdr>
            <w:top w:val="none" w:sz="0" w:space="0" w:color="auto"/>
            <w:left w:val="none" w:sz="0" w:space="0" w:color="auto"/>
            <w:bottom w:val="none" w:sz="0" w:space="0" w:color="auto"/>
            <w:right w:val="none" w:sz="0" w:space="0" w:color="auto"/>
          </w:divBdr>
        </w:div>
      </w:divsChild>
    </w:div>
    <w:div w:id="1555001262">
      <w:bodyDiv w:val="1"/>
      <w:marLeft w:val="0"/>
      <w:marRight w:val="0"/>
      <w:marTop w:val="0"/>
      <w:marBottom w:val="0"/>
      <w:divBdr>
        <w:top w:val="none" w:sz="0" w:space="0" w:color="auto"/>
        <w:left w:val="none" w:sz="0" w:space="0" w:color="auto"/>
        <w:bottom w:val="none" w:sz="0" w:space="0" w:color="auto"/>
        <w:right w:val="none" w:sz="0" w:space="0" w:color="auto"/>
      </w:divBdr>
      <w:divsChild>
        <w:div w:id="920138417">
          <w:marLeft w:val="0"/>
          <w:marRight w:val="0"/>
          <w:marTop w:val="0"/>
          <w:marBottom w:val="0"/>
          <w:divBdr>
            <w:top w:val="none" w:sz="0" w:space="0" w:color="auto"/>
            <w:left w:val="none" w:sz="0" w:space="0" w:color="auto"/>
            <w:bottom w:val="none" w:sz="0" w:space="0" w:color="auto"/>
            <w:right w:val="none" w:sz="0" w:space="0" w:color="auto"/>
          </w:divBdr>
          <w:divsChild>
            <w:div w:id="1944143845">
              <w:marLeft w:val="0"/>
              <w:marRight w:val="40"/>
              <w:marTop w:val="0"/>
              <w:marBottom w:val="0"/>
              <w:divBdr>
                <w:top w:val="none" w:sz="0" w:space="0" w:color="auto"/>
                <w:left w:val="none" w:sz="0" w:space="0" w:color="auto"/>
                <w:bottom w:val="none" w:sz="0" w:space="0" w:color="auto"/>
                <w:right w:val="none" w:sz="0" w:space="0" w:color="auto"/>
              </w:divBdr>
              <w:divsChild>
                <w:div w:id="48572219">
                  <w:marLeft w:val="0"/>
                  <w:marRight w:val="0"/>
                  <w:marTop w:val="0"/>
                  <w:marBottom w:val="80"/>
                  <w:divBdr>
                    <w:top w:val="single" w:sz="4" w:space="0" w:color="C0C0C0"/>
                    <w:left w:val="single" w:sz="4" w:space="0" w:color="D9D9D9"/>
                    <w:bottom w:val="single" w:sz="4" w:space="0" w:color="D9D9D9"/>
                    <w:right w:val="single" w:sz="4" w:space="0" w:color="D9D9D9"/>
                  </w:divBdr>
                  <w:divsChild>
                    <w:div w:id="1956014654">
                      <w:marLeft w:val="0"/>
                      <w:marRight w:val="0"/>
                      <w:marTop w:val="0"/>
                      <w:marBottom w:val="0"/>
                      <w:divBdr>
                        <w:top w:val="none" w:sz="0" w:space="0" w:color="auto"/>
                        <w:left w:val="none" w:sz="0" w:space="0" w:color="auto"/>
                        <w:bottom w:val="none" w:sz="0" w:space="0" w:color="auto"/>
                        <w:right w:val="none" w:sz="0" w:space="0" w:color="auto"/>
                      </w:divBdr>
                    </w:div>
                    <w:div w:id="2005358855">
                      <w:marLeft w:val="0"/>
                      <w:marRight w:val="0"/>
                      <w:marTop w:val="0"/>
                      <w:marBottom w:val="0"/>
                      <w:divBdr>
                        <w:top w:val="none" w:sz="0" w:space="0" w:color="auto"/>
                        <w:left w:val="none" w:sz="0" w:space="0" w:color="auto"/>
                        <w:bottom w:val="none" w:sz="0" w:space="0" w:color="auto"/>
                        <w:right w:val="none" w:sz="0" w:space="0" w:color="auto"/>
                      </w:divBdr>
                    </w:div>
                  </w:divsChild>
                </w:div>
                <w:div w:id="145325241">
                  <w:marLeft w:val="0"/>
                  <w:marRight w:val="0"/>
                  <w:marTop w:val="120"/>
                  <w:marBottom w:val="160"/>
                  <w:divBdr>
                    <w:top w:val="none" w:sz="0" w:space="0" w:color="auto"/>
                    <w:left w:val="none" w:sz="0" w:space="0" w:color="auto"/>
                    <w:bottom w:val="none" w:sz="0" w:space="0" w:color="auto"/>
                    <w:right w:val="none" w:sz="0" w:space="0" w:color="auto"/>
                  </w:divBdr>
                </w:div>
              </w:divsChild>
            </w:div>
          </w:divsChild>
        </w:div>
        <w:div w:id="1620792475">
          <w:marLeft w:val="0"/>
          <w:marRight w:val="0"/>
          <w:marTop w:val="0"/>
          <w:marBottom w:val="0"/>
          <w:divBdr>
            <w:top w:val="none" w:sz="0" w:space="0" w:color="auto"/>
            <w:left w:val="none" w:sz="0" w:space="0" w:color="auto"/>
            <w:bottom w:val="none" w:sz="0" w:space="0" w:color="auto"/>
            <w:right w:val="none" w:sz="0" w:space="0" w:color="auto"/>
          </w:divBdr>
          <w:divsChild>
            <w:div w:id="43483117">
              <w:marLeft w:val="40"/>
              <w:marRight w:val="0"/>
              <w:marTop w:val="0"/>
              <w:marBottom w:val="0"/>
              <w:divBdr>
                <w:top w:val="none" w:sz="0" w:space="0" w:color="auto"/>
                <w:left w:val="none" w:sz="0" w:space="0" w:color="auto"/>
                <w:bottom w:val="none" w:sz="0" w:space="0" w:color="auto"/>
                <w:right w:val="none" w:sz="0" w:space="0" w:color="auto"/>
              </w:divBdr>
              <w:divsChild>
                <w:div w:id="700210699">
                  <w:marLeft w:val="0"/>
                  <w:marRight w:val="0"/>
                  <w:marTop w:val="0"/>
                  <w:marBottom w:val="0"/>
                  <w:divBdr>
                    <w:top w:val="none" w:sz="0" w:space="0" w:color="auto"/>
                    <w:left w:val="none" w:sz="0" w:space="0" w:color="auto"/>
                    <w:bottom w:val="none" w:sz="0" w:space="0" w:color="auto"/>
                    <w:right w:val="none" w:sz="0" w:space="0" w:color="auto"/>
                  </w:divBdr>
                  <w:divsChild>
                    <w:div w:id="875116299">
                      <w:marLeft w:val="0"/>
                      <w:marRight w:val="0"/>
                      <w:marTop w:val="0"/>
                      <w:marBottom w:val="80"/>
                      <w:divBdr>
                        <w:top w:val="single" w:sz="4" w:space="0" w:color="F5F5F5"/>
                        <w:left w:val="single" w:sz="4" w:space="0" w:color="F5F5F5"/>
                        <w:bottom w:val="single" w:sz="4" w:space="0" w:color="F5F5F5"/>
                        <w:right w:val="single" w:sz="4" w:space="0" w:color="F5F5F5"/>
                      </w:divBdr>
                      <w:divsChild>
                        <w:div w:id="700087880">
                          <w:marLeft w:val="0"/>
                          <w:marRight w:val="0"/>
                          <w:marTop w:val="0"/>
                          <w:marBottom w:val="0"/>
                          <w:divBdr>
                            <w:top w:val="none" w:sz="0" w:space="0" w:color="auto"/>
                            <w:left w:val="none" w:sz="0" w:space="0" w:color="auto"/>
                            <w:bottom w:val="none" w:sz="0" w:space="0" w:color="auto"/>
                            <w:right w:val="none" w:sz="0" w:space="0" w:color="auto"/>
                          </w:divBdr>
                          <w:divsChild>
                            <w:div w:id="12267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662483">
      <w:bodyDiv w:val="1"/>
      <w:marLeft w:val="0"/>
      <w:marRight w:val="0"/>
      <w:marTop w:val="0"/>
      <w:marBottom w:val="0"/>
      <w:divBdr>
        <w:top w:val="none" w:sz="0" w:space="0" w:color="auto"/>
        <w:left w:val="none" w:sz="0" w:space="0" w:color="auto"/>
        <w:bottom w:val="none" w:sz="0" w:space="0" w:color="auto"/>
        <w:right w:val="none" w:sz="0" w:space="0" w:color="auto"/>
      </w:divBdr>
    </w:div>
    <w:div w:id="1585263797">
      <w:bodyDiv w:val="1"/>
      <w:marLeft w:val="0"/>
      <w:marRight w:val="0"/>
      <w:marTop w:val="0"/>
      <w:marBottom w:val="0"/>
      <w:divBdr>
        <w:top w:val="none" w:sz="0" w:space="0" w:color="auto"/>
        <w:left w:val="none" w:sz="0" w:space="0" w:color="auto"/>
        <w:bottom w:val="none" w:sz="0" w:space="0" w:color="auto"/>
        <w:right w:val="none" w:sz="0" w:space="0" w:color="auto"/>
      </w:divBdr>
    </w:div>
    <w:div w:id="1585609876">
      <w:bodyDiv w:val="1"/>
      <w:marLeft w:val="0"/>
      <w:marRight w:val="0"/>
      <w:marTop w:val="0"/>
      <w:marBottom w:val="0"/>
      <w:divBdr>
        <w:top w:val="none" w:sz="0" w:space="0" w:color="auto"/>
        <w:left w:val="none" w:sz="0" w:space="0" w:color="auto"/>
        <w:bottom w:val="none" w:sz="0" w:space="0" w:color="auto"/>
        <w:right w:val="none" w:sz="0" w:space="0" w:color="auto"/>
      </w:divBdr>
    </w:div>
    <w:div w:id="1657685406">
      <w:bodyDiv w:val="1"/>
      <w:marLeft w:val="0"/>
      <w:marRight w:val="0"/>
      <w:marTop w:val="0"/>
      <w:marBottom w:val="0"/>
      <w:divBdr>
        <w:top w:val="none" w:sz="0" w:space="0" w:color="auto"/>
        <w:left w:val="none" w:sz="0" w:space="0" w:color="auto"/>
        <w:bottom w:val="none" w:sz="0" w:space="0" w:color="auto"/>
        <w:right w:val="none" w:sz="0" w:space="0" w:color="auto"/>
      </w:divBdr>
      <w:divsChild>
        <w:div w:id="1871382838">
          <w:marLeft w:val="547"/>
          <w:marRight w:val="0"/>
          <w:marTop w:val="60"/>
          <w:marBottom w:val="60"/>
          <w:divBdr>
            <w:top w:val="none" w:sz="0" w:space="0" w:color="auto"/>
            <w:left w:val="none" w:sz="0" w:space="0" w:color="auto"/>
            <w:bottom w:val="none" w:sz="0" w:space="0" w:color="auto"/>
            <w:right w:val="none" w:sz="0" w:space="0" w:color="auto"/>
          </w:divBdr>
        </w:div>
      </w:divsChild>
    </w:div>
    <w:div w:id="1687559309">
      <w:bodyDiv w:val="1"/>
      <w:marLeft w:val="0"/>
      <w:marRight w:val="0"/>
      <w:marTop w:val="0"/>
      <w:marBottom w:val="0"/>
      <w:divBdr>
        <w:top w:val="none" w:sz="0" w:space="0" w:color="auto"/>
        <w:left w:val="none" w:sz="0" w:space="0" w:color="auto"/>
        <w:bottom w:val="none" w:sz="0" w:space="0" w:color="auto"/>
        <w:right w:val="none" w:sz="0" w:space="0" w:color="auto"/>
      </w:divBdr>
    </w:div>
    <w:div w:id="1742480977">
      <w:bodyDiv w:val="1"/>
      <w:marLeft w:val="0"/>
      <w:marRight w:val="0"/>
      <w:marTop w:val="0"/>
      <w:marBottom w:val="0"/>
      <w:divBdr>
        <w:top w:val="none" w:sz="0" w:space="0" w:color="auto"/>
        <w:left w:val="none" w:sz="0" w:space="0" w:color="auto"/>
        <w:bottom w:val="none" w:sz="0" w:space="0" w:color="auto"/>
        <w:right w:val="none" w:sz="0" w:space="0" w:color="auto"/>
      </w:divBdr>
    </w:div>
    <w:div w:id="1742604747">
      <w:bodyDiv w:val="1"/>
      <w:marLeft w:val="0"/>
      <w:marRight w:val="0"/>
      <w:marTop w:val="0"/>
      <w:marBottom w:val="0"/>
      <w:divBdr>
        <w:top w:val="none" w:sz="0" w:space="0" w:color="auto"/>
        <w:left w:val="none" w:sz="0" w:space="0" w:color="auto"/>
        <w:bottom w:val="none" w:sz="0" w:space="0" w:color="auto"/>
        <w:right w:val="none" w:sz="0" w:space="0" w:color="auto"/>
      </w:divBdr>
    </w:div>
    <w:div w:id="1761684040">
      <w:bodyDiv w:val="1"/>
      <w:marLeft w:val="0"/>
      <w:marRight w:val="0"/>
      <w:marTop w:val="0"/>
      <w:marBottom w:val="0"/>
      <w:divBdr>
        <w:top w:val="none" w:sz="0" w:space="0" w:color="auto"/>
        <w:left w:val="none" w:sz="0" w:space="0" w:color="auto"/>
        <w:bottom w:val="none" w:sz="0" w:space="0" w:color="auto"/>
        <w:right w:val="none" w:sz="0" w:space="0" w:color="auto"/>
      </w:divBdr>
    </w:div>
    <w:div w:id="1777364989">
      <w:bodyDiv w:val="1"/>
      <w:marLeft w:val="0"/>
      <w:marRight w:val="0"/>
      <w:marTop w:val="0"/>
      <w:marBottom w:val="0"/>
      <w:divBdr>
        <w:top w:val="none" w:sz="0" w:space="0" w:color="auto"/>
        <w:left w:val="none" w:sz="0" w:space="0" w:color="auto"/>
        <w:bottom w:val="none" w:sz="0" w:space="0" w:color="auto"/>
        <w:right w:val="none" w:sz="0" w:space="0" w:color="auto"/>
      </w:divBdr>
    </w:div>
    <w:div w:id="1795636795">
      <w:bodyDiv w:val="1"/>
      <w:marLeft w:val="0"/>
      <w:marRight w:val="0"/>
      <w:marTop w:val="0"/>
      <w:marBottom w:val="0"/>
      <w:divBdr>
        <w:top w:val="none" w:sz="0" w:space="0" w:color="auto"/>
        <w:left w:val="none" w:sz="0" w:space="0" w:color="auto"/>
        <w:bottom w:val="none" w:sz="0" w:space="0" w:color="auto"/>
        <w:right w:val="none" w:sz="0" w:space="0" w:color="auto"/>
      </w:divBdr>
    </w:div>
    <w:div w:id="1796438071">
      <w:bodyDiv w:val="1"/>
      <w:marLeft w:val="0"/>
      <w:marRight w:val="0"/>
      <w:marTop w:val="0"/>
      <w:marBottom w:val="0"/>
      <w:divBdr>
        <w:top w:val="none" w:sz="0" w:space="0" w:color="auto"/>
        <w:left w:val="none" w:sz="0" w:space="0" w:color="auto"/>
        <w:bottom w:val="none" w:sz="0" w:space="0" w:color="auto"/>
        <w:right w:val="none" w:sz="0" w:space="0" w:color="auto"/>
      </w:divBdr>
    </w:div>
    <w:div w:id="1817916497">
      <w:bodyDiv w:val="1"/>
      <w:marLeft w:val="0"/>
      <w:marRight w:val="0"/>
      <w:marTop w:val="0"/>
      <w:marBottom w:val="0"/>
      <w:divBdr>
        <w:top w:val="none" w:sz="0" w:space="0" w:color="auto"/>
        <w:left w:val="none" w:sz="0" w:space="0" w:color="auto"/>
        <w:bottom w:val="none" w:sz="0" w:space="0" w:color="auto"/>
        <w:right w:val="none" w:sz="0" w:space="0" w:color="auto"/>
      </w:divBdr>
    </w:div>
    <w:div w:id="1857234223">
      <w:bodyDiv w:val="1"/>
      <w:marLeft w:val="0"/>
      <w:marRight w:val="0"/>
      <w:marTop w:val="0"/>
      <w:marBottom w:val="0"/>
      <w:divBdr>
        <w:top w:val="none" w:sz="0" w:space="0" w:color="auto"/>
        <w:left w:val="none" w:sz="0" w:space="0" w:color="auto"/>
        <w:bottom w:val="none" w:sz="0" w:space="0" w:color="auto"/>
        <w:right w:val="none" w:sz="0" w:space="0" w:color="auto"/>
      </w:divBdr>
    </w:div>
    <w:div w:id="1909265395">
      <w:bodyDiv w:val="1"/>
      <w:marLeft w:val="0"/>
      <w:marRight w:val="0"/>
      <w:marTop w:val="0"/>
      <w:marBottom w:val="0"/>
      <w:divBdr>
        <w:top w:val="none" w:sz="0" w:space="0" w:color="auto"/>
        <w:left w:val="none" w:sz="0" w:space="0" w:color="auto"/>
        <w:bottom w:val="none" w:sz="0" w:space="0" w:color="auto"/>
        <w:right w:val="none" w:sz="0" w:space="0" w:color="auto"/>
      </w:divBdr>
    </w:div>
    <w:div w:id="1925603949">
      <w:bodyDiv w:val="1"/>
      <w:marLeft w:val="0"/>
      <w:marRight w:val="0"/>
      <w:marTop w:val="0"/>
      <w:marBottom w:val="0"/>
      <w:divBdr>
        <w:top w:val="none" w:sz="0" w:space="0" w:color="auto"/>
        <w:left w:val="none" w:sz="0" w:space="0" w:color="auto"/>
        <w:bottom w:val="none" w:sz="0" w:space="0" w:color="auto"/>
        <w:right w:val="none" w:sz="0" w:space="0" w:color="auto"/>
      </w:divBdr>
    </w:div>
    <w:div w:id="1954708555">
      <w:bodyDiv w:val="1"/>
      <w:marLeft w:val="0"/>
      <w:marRight w:val="0"/>
      <w:marTop w:val="0"/>
      <w:marBottom w:val="0"/>
      <w:divBdr>
        <w:top w:val="none" w:sz="0" w:space="0" w:color="auto"/>
        <w:left w:val="none" w:sz="0" w:space="0" w:color="auto"/>
        <w:bottom w:val="none" w:sz="0" w:space="0" w:color="auto"/>
        <w:right w:val="none" w:sz="0" w:space="0" w:color="auto"/>
      </w:divBdr>
    </w:div>
    <w:div w:id="1956473521">
      <w:bodyDiv w:val="1"/>
      <w:marLeft w:val="0"/>
      <w:marRight w:val="0"/>
      <w:marTop w:val="0"/>
      <w:marBottom w:val="0"/>
      <w:divBdr>
        <w:top w:val="none" w:sz="0" w:space="0" w:color="auto"/>
        <w:left w:val="none" w:sz="0" w:space="0" w:color="auto"/>
        <w:bottom w:val="none" w:sz="0" w:space="0" w:color="auto"/>
        <w:right w:val="none" w:sz="0" w:space="0" w:color="auto"/>
      </w:divBdr>
    </w:div>
    <w:div w:id="1963416994">
      <w:bodyDiv w:val="1"/>
      <w:marLeft w:val="0"/>
      <w:marRight w:val="0"/>
      <w:marTop w:val="0"/>
      <w:marBottom w:val="0"/>
      <w:divBdr>
        <w:top w:val="none" w:sz="0" w:space="0" w:color="auto"/>
        <w:left w:val="none" w:sz="0" w:space="0" w:color="auto"/>
        <w:bottom w:val="none" w:sz="0" w:space="0" w:color="auto"/>
        <w:right w:val="none" w:sz="0" w:space="0" w:color="auto"/>
      </w:divBdr>
    </w:div>
    <w:div w:id="2089379420">
      <w:bodyDiv w:val="1"/>
      <w:marLeft w:val="0"/>
      <w:marRight w:val="0"/>
      <w:marTop w:val="0"/>
      <w:marBottom w:val="0"/>
      <w:divBdr>
        <w:top w:val="none" w:sz="0" w:space="0" w:color="auto"/>
        <w:left w:val="none" w:sz="0" w:space="0" w:color="auto"/>
        <w:bottom w:val="none" w:sz="0" w:space="0" w:color="auto"/>
        <w:right w:val="none" w:sz="0" w:space="0" w:color="auto"/>
      </w:divBdr>
    </w:div>
    <w:div w:id="2100373274">
      <w:bodyDiv w:val="1"/>
      <w:marLeft w:val="0"/>
      <w:marRight w:val="0"/>
      <w:marTop w:val="0"/>
      <w:marBottom w:val="0"/>
      <w:divBdr>
        <w:top w:val="none" w:sz="0" w:space="0" w:color="auto"/>
        <w:left w:val="none" w:sz="0" w:space="0" w:color="auto"/>
        <w:bottom w:val="none" w:sz="0" w:space="0" w:color="auto"/>
        <w:right w:val="none" w:sz="0" w:space="0" w:color="auto"/>
      </w:divBdr>
    </w:div>
    <w:div w:id="2109154167">
      <w:bodyDiv w:val="1"/>
      <w:marLeft w:val="0"/>
      <w:marRight w:val="0"/>
      <w:marTop w:val="0"/>
      <w:marBottom w:val="0"/>
      <w:divBdr>
        <w:top w:val="none" w:sz="0" w:space="0" w:color="auto"/>
        <w:left w:val="none" w:sz="0" w:space="0" w:color="auto"/>
        <w:bottom w:val="none" w:sz="0" w:space="0" w:color="auto"/>
        <w:right w:val="none" w:sz="0" w:space="0" w:color="auto"/>
      </w:divBdr>
    </w:div>
    <w:div w:id="213478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tb/publications/global_report/en/" TargetMode="External"/><Relationship Id="rId2" Type="http://schemas.openxmlformats.org/officeDocument/2006/relationships/hyperlink" Target="http://data.worldbank.org/country/georgia" TargetMode="External"/><Relationship Id="rId1" Type="http://schemas.openxmlformats.org/officeDocument/2006/relationships/hyperlink" Target="http://www.geostat.ge" TargetMode="External"/><Relationship Id="rId4" Type="http://schemas.openxmlformats.org/officeDocument/2006/relationships/hyperlink" Target="http://www.who.int/tb/country/data/profil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3A739-B26E-4FBB-9E61-D0144353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59</Pages>
  <Words>31202</Words>
  <Characters>177853</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Mosneaga</dc:creator>
  <cp:lastModifiedBy>Tamar Gabunia</cp:lastModifiedBy>
  <cp:revision>7</cp:revision>
  <cp:lastPrinted>2018-06-13T03:13:00Z</cp:lastPrinted>
  <dcterms:created xsi:type="dcterms:W3CDTF">2018-06-24T11:51:00Z</dcterms:created>
  <dcterms:modified xsi:type="dcterms:W3CDTF">2018-06-24T14:06:00Z</dcterms:modified>
</cp:coreProperties>
</file>