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B5801" w14:textId="77777777" w:rsidR="00332FC3" w:rsidRPr="00657D64" w:rsidRDefault="00332FC3" w:rsidP="00657D64">
      <w:pPr>
        <w:spacing w:after="0"/>
        <w:jc w:val="both"/>
      </w:pPr>
    </w:p>
    <w:p w14:paraId="5EEC0B62" w14:textId="77777777" w:rsidR="0018063F" w:rsidRPr="00657D64" w:rsidRDefault="000364B9" w:rsidP="0047492C">
      <w:pPr>
        <w:spacing w:after="0"/>
        <w:jc w:val="center"/>
      </w:pPr>
      <w:bookmarkStart w:id="0" w:name="_Toc508721109"/>
      <w:bookmarkStart w:id="1" w:name="_Toc508721252"/>
      <w:bookmarkStart w:id="2" w:name="_Toc508721594"/>
      <w:bookmarkStart w:id="3" w:name="_Toc508721684"/>
      <w:bookmarkStart w:id="4" w:name="_Toc508722258"/>
      <w:r w:rsidRPr="00657D64">
        <w:rPr>
          <w:noProof/>
        </w:rPr>
        <w:drawing>
          <wp:inline distT="0" distB="0" distL="0" distR="0" wp14:anchorId="13DD8ABF" wp14:editId="35208BF1">
            <wp:extent cx="1457325" cy="1923415"/>
            <wp:effectExtent l="0" t="0" r="9525" b="635"/>
            <wp:docPr id="14" name="Picture 14" descr="C:\Users\admin\Local Settings\Temporary Internet Files\Content.Word\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Local Settings\Temporary Internet Files\Content.Word\logo_r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231" cy="1929890"/>
                    </a:xfrm>
                    <a:prstGeom prst="rect">
                      <a:avLst/>
                    </a:prstGeom>
                    <a:noFill/>
                    <a:ln>
                      <a:noFill/>
                    </a:ln>
                  </pic:spPr>
                </pic:pic>
              </a:graphicData>
            </a:graphic>
          </wp:inline>
        </w:drawing>
      </w:r>
      <w:bookmarkEnd w:id="0"/>
      <w:bookmarkEnd w:id="1"/>
      <w:bookmarkEnd w:id="2"/>
      <w:bookmarkEnd w:id="3"/>
      <w:bookmarkEnd w:id="4"/>
    </w:p>
    <w:p w14:paraId="207D9375" w14:textId="77777777" w:rsidR="00332FC3" w:rsidRPr="00657D64" w:rsidRDefault="00B45F61" w:rsidP="00657D64">
      <w:pPr>
        <w:pStyle w:val="Heading1"/>
        <w:numPr>
          <w:ilvl w:val="0"/>
          <w:numId w:val="0"/>
        </w:numPr>
        <w:ind w:left="360"/>
        <w:jc w:val="both"/>
        <w:rPr>
          <w:noProof/>
          <w:sz w:val="24"/>
          <w:szCs w:val="24"/>
        </w:rPr>
      </w:pPr>
      <w:bookmarkStart w:id="5" w:name="_Toc508719866"/>
      <w:r w:rsidRPr="00657D64">
        <w:rPr>
          <w:noProof/>
          <w:sz w:val="24"/>
          <w:szCs w:val="24"/>
        </w:rPr>
        <w:t xml:space="preserve">                                              </w:t>
      </w:r>
      <w:r w:rsidR="0041466E" w:rsidRPr="00657D64">
        <w:rPr>
          <w:noProof/>
          <w:sz w:val="24"/>
          <w:szCs w:val="24"/>
        </w:rPr>
        <w:t xml:space="preserve">  </w:t>
      </w:r>
      <w:r w:rsidRPr="00657D64">
        <w:rPr>
          <w:noProof/>
          <w:sz w:val="24"/>
          <w:szCs w:val="24"/>
        </w:rPr>
        <w:t xml:space="preserve"> </w:t>
      </w:r>
      <w:bookmarkEnd w:id="5"/>
      <w:r w:rsidR="0047492C">
        <w:rPr>
          <w:noProof/>
          <w:sz w:val="24"/>
          <w:szCs w:val="24"/>
        </w:rPr>
        <w:t xml:space="preserve">   </w:t>
      </w:r>
    </w:p>
    <w:bookmarkStart w:id="6" w:name="_Toc508719867"/>
    <w:bookmarkStart w:id="7" w:name="_Toc508721110"/>
    <w:bookmarkStart w:id="8" w:name="_Toc508721253"/>
    <w:bookmarkStart w:id="9" w:name="_Toc508721595"/>
    <w:bookmarkStart w:id="10" w:name="_Toc508721685"/>
    <w:bookmarkStart w:id="11" w:name="_Toc508722259"/>
    <w:bookmarkStart w:id="12" w:name="_Toc511392345"/>
    <w:bookmarkStart w:id="13" w:name="_Toc511392452"/>
    <w:bookmarkStart w:id="14" w:name="_Toc511392521"/>
    <w:bookmarkStart w:id="15" w:name="_Toc511392786"/>
    <w:p w14:paraId="0C8EB5B7" w14:textId="77777777" w:rsidR="00CB7376" w:rsidRPr="00657D64" w:rsidRDefault="000364B9" w:rsidP="00657D64">
      <w:pPr>
        <w:pStyle w:val="Heading1"/>
        <w:numPr>
          <w:ilvl w:val="0"/>
          <w:numId w:val="0"/>
        </w:numPr>
        <w:jc w:val="both"/>
        <w:rPr>
          <w:noProof/>
          <w:sz w:val="24"/>
          <w:szCs w:val="24"/>
        </w:rPr>
      </w:pPr>
      <w:r w:rsidRPr="00657D64">
        <w:rPr>
          <w:noProof/>
          <w:sz w:val="24"/>
          <w:szCs w:val="24"/>
        </w:rPr>
        <mc:AlternateContent>
          <mc:Choice Requires="wps">
            <w:drawing>
              <wp:anchor distT="0" distB="0" distL="114300" distR="114300" simplePos="0" relativeHeight="251660288" behindDoc="0" locked="0" layoutInCell="1" allowOverlap="1" wp14:anchorId="3CA56C20" wp14:editId="3131DDB8">
                <wp:simplePos x="0" y="0"/>
                <wp:positionH relativeFrom="margin">
                  <wp:align>right</wp:align>
                </wp:positionH>
                <wp:positionV relativeFrom="paragraph">
                  <wp:posOffset>598586</wp:posOffset>
                </wp:positionV>
                <wp:extent cx="5943600" cy="1809115"/>
                <wp:effectExtent l="0" t="0" r="0" b="635"/>
                <wp:wrapSquare wrapText="bothSides"/>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0911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740289" w14:textId="77777777" w:rsidR="002E7E63" w:rsidRDefault="002E7E63" w:rsidP="000364B9">
                            <w:pPr>
                              <w:autoSpaceDE w:val="0"/>
                              <w:autoSpaceDN w:val="0"/>
                              <w:adjustRightInd w:val="0"/>
                              <w:spacing w:after="0" w:line="360" w:lineRule="auto"/>
                              <w:jc w:val="center"/>
                              <w:rPr>
                                <w:b/>
                                <w:sz w:val="56"/>
                                <w:szCs w:val="56"/>
                              </w:rPr>
                            </w:pPr>
                            <w:r>
                              <w:rPr>
                                <w:b/>
                                <w:sz w:val="56"/>
                                <w:szCs w:val="56"/>
                              </w:rPr>
                              <w:t>The Welfare Monitoring Survey 2017</w:t>
                            </w:r>
                          </w:p>
                          <w:p w14:paraId="45923589" w14:textId="77777777" w:rsidR="002E7E63" w:rsidRPr="006729FE" w:rsidRDefault="002E7E63" w:rsidP="000364B9">
                            <w:pPr>
                              <w:autoSpaceDE w:val="0"/>
                              <w:autoSpaceDN w:val="0"/>
                              <w:adjustRightInd w:val="0"/>
                              <w:spacing w:after="0" w:line="360" w:lineRule="auto"/>
                              <w:jc w:val="center"/>
                              <w:rPr>
                                <w:rFonts w:ascii="Sylfaen" w:hAnsi="Sylfaen" w:cs="Sylfaen"/>
                                <w:b/>
                                <w:sz w:val="56"/>
                                <w:szCs w:val="56"/>
                              </w:rPr>
                            </w:pPr>
                            <w:r>
                              <w:rPr>
                                <w:b/>
                                <w:sz w:val="56"/>
                                <w:szCs w:val="56"/>
                              </w:rPr>
                              <w:t xml:space="preserve">Summary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56C20" id="Rounded Rectangle 15" o:spid="_x0000_s1026" style="position:absolute;left:0;text-align:left;margin-left:416.8pt;margin-top:47.15pt;width:468pt;height:142.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" stroked="f">
                <v:textbox>
                  <w:txbxContent>
                    <w:p w14:paraId="68740289" w14:textId="77777777" w:rsidR="002E7E63" w:rsidRDefault="002E7E63" w:rsidP="000364B9">
                      <w:pPr>
                        <w:autoSpaceDE w:val="0"/>
                        <w:autoSpaceDN w:val="0"/>
                        <w:adjustRightInd w:val="0"/>
                        <w:spacing w:after="0" w:line="360" w:lineRule="auto"/>
                        <w:jc w:val="center"/>
                        <w:rPr>
                          <w:b/>
                          <w:sz w:val="56"/>
                          <w:szCs w:val="56"/>
                        </w:rPr>
                      </w:pPr>
                      <w:r>
                        <w:rPr>
                          <w:b/>
                          <w:sz w:val="56"/>
                          <w:szCs w:val="56"/>
                        </w:rPr>
                        <w:t>The Welfare Monitoring Survey 2017</w:t>
                      </w:r>
                    </w:p>
                    <w:p w14:paraId="45923589" w14:textId="77777777" w:rsidR="002E7E63" w:rsidRPr="006729FE" w:rsidRDefault="002E7E63" w:rsidP="000364B9">
                      <w:pPr>
                        <w:autoSpaceDE w:val="0"/>
                        <w:autoSpaceDN w:val="0"/>
                        <w:adjustRightInd w:val="0"/>
                        <w:spacing w:after="0" w:line="360" w:lineRule="auto"/>
                        <w:jc w:val="center"/>
                        <w:rPr>
                          <w:rFonts w:ascii="Sylfaen" w:hAnsi="Sylfaen" w:cs="Sylfaen"/>
                          <w:b/>
                          <w:sz w:val="56"/>
                          <w:szCs w:val="56"/>
                        </w:rPr>
                      </w:pPr>
                      <w:r>
                        <w:rPr>
                          <w:b/>
                          <w:sz w:val="56"/>
                          <w:szCs w:val="56"/>
                        </w:rPr>
                        <w:t xml:space="preserve">Summary </w:t>
                      </w:r>
                    </w:p>
                  </w:txbxContent>
                </v:textbox>
                <w10:wrap type="square" anchorx="margin"/>
              </v:roundrect>
            </w:pict>
          </mc:Fallback>
        </mc:AlternateContent>
      </w:r>
      <w:r w:rsidR="006729FE" w:rsidRPr="00657D64">
        <w:rPr>
          <w:noProof/>
          <w:sz w:val="24"/>
          <w:szCs w:val="24"/>
        </w:rPr>
        <mc:AlternateContent>
          <mc:Choice Requires="wps">
            <w:drawing>
              <wp:anchor distT="0" distB="0" distL="114300" distR="114300" simplePos="0" relativeHeight="251659264" behindDoc="0" locked="0" layoutInCell="1" allowOverlap="1" wp14:anchorId="6113AA5E" wp14:editId="4A7BBFC6">
                <wp:simplePos x="0" y="0"/>
                <wp:positionH relativeFrom="margin">
                  <wp:align>center</wp:align>
                </wp:positionH>
                <wp:positionV relativeFrom="paragraph">
                  <wp:posOffset>2781935</wp:posOffset>
                </wp:positionV>
                <wp:extent cx="4079875" cy="2890520"/>
                <wp:effectExtent l="0" t="0" r="0" b="508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9875" cy="28905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7D8488" w14:textId="77777777" w:rsidR="002E7E63" w:rsidRPr="005E2BB6" w:rsidRDefault="002E7E63" w:rsidP="00332FC3">
                            <w:pPr>
                              <w:autoSpaceDE w:val="0"/>
                              <w:autoSpaceDN w:val="0"/>
                              <w:adjustRightInd w:val="0"/>
                              <w:spacing w:after="0" w:line="240" w:lineRule="auto"/>
                              <w:jc w:val="center"/>
                              <w:rPr>
                                <w:sz w:val="30"/>
                                <w:szCs w:val="30"/>
                              </w:rPr>
                            </w:pPr>
                          </w:p>
                          <w:p w14:paraId="5E520BCD" w14:textId="77777777" w:rsidR="002E7E63" w:rsidRDefault="002E7E63" w:rsidP="00332FC3">
                            <w:pPr>
                              <w:autoSpaceDE w:val="0"/>
                              <w:autoSpaceDN w:val="0"/>
                              <w:adjustRightInd w:val="0"/>
                              <w:spacing w:after="0" w:line="240" w:lineRule="auto"/>
                              <w:jc w:val="center"/>
                              <w:rPr>
                                <w:sz w:val="30"/>
                                <w:szCs w:val="30"/>
                              </w:rPr>
                            </w:pPr>
                          </w:p>
                          <w:p w14:paraId="0C9BB2BC" w14:textId="77777777" w:rsidR="002E7E63" w:rsidRPr="005E2BB6" w:rsidRDefault="002E7E63" w:rsidP="00332FC3">
                            <w:pPr>
                              <w:autoSpaceDE w:val="0"/>
                              <w:autoSpaceDN w:val="0"/>
                              <w:adjustRightInd w:val="0"/>
                              <w:spacing w:after="0" w:line="240" w:lineRule="auto"/>
                              <w:jc w:val="center"/>
                              <w:rPr>
                                <w:sz w:val="30"/>
                                <w:szCs w:val="30"/>
                              </w:rPr>
                            </w:pPr>
                            <w:r w:rsidRPr="005E2BB6">
                              <w:rPr>
                                <w:sz w:val="30"/>
                                <w:szCs w:val="30"/>
                              </w:rPr>
                              <w:t>Prepared by A</w:t>
                            </w:r>
                            <w:r>
                              <w:rPr>
                                <w:sz w:val="30"/>
                                <w:szCs w:val="30"/>
                              </w:rPr>
                              <w:t>nalysis and Consulting Team (A</w:t>
                            </w:r>
                            <w:r w:rsidRPr="005E2BB6">
                              <w:rPr>
                                <w:sz w:val="30"/>
                                <w:szCs w:val="30"/>
                              </w:rPr>
                              <w:t>CT</w:t>
                            </w:r>
                            <w:r>
                              <w:rPr>
                                <w:sz w:val="30"/>
                                <w:szCs w:val="30"/>
                              </w:rPr>
                              <w:t>)</w:t>
                            </w:r>
                          </w:p>
                          <w:p w14:paraId="4C24820E" w14:textId="77777777" w:rsidR="002E7E63" w:rsidRPr="005E2BB6" w:rsidRDefault="002E7E63" w:rsidP="00332FC3">
                            <w:pPr>
                              <w:autoSpaceDE w:val="0"/>
                              <w:autoSpaceDN w:val="0"/>
                              <w:adjustRightInd w:val="0"/>
                              <w:spacing w:after="0" w:line="240" w:lineRule="auto"/>
                              <w:rPr>
                                <w:sz w:val="30"/>
                                <w:szCs w:val="30"/>
                                <w:lang w:val="ka-GE"/>
                              </w:rPr>
                            </w:pPr>
                          </w:p>
                          <w:p w14:paraId="2F9E2FEC" w14:textId="77777777" w:rsidR="002E7E63" w:rsidRPr="005E2BB6" w:rsidRDefault="002E7E63" w:rsidP="00332FC3">
                            <w:pPr>
                              <w:autoSpaceDE w:val="0"/>
                              <w:autoSpaceDN w:val="0"/>
                              <w:adjustRightInd w:val="0"/>
                              <w:spacing w:after="0" w:line="240" w:lineRule="auto"/>
                              <w:rPr>
                                <w:sz w:val="30"/>
                                <w:szCs w:val="30"/>
                                <w:lang w:val="ka-GE"/>
                              </w:rPr>
                            </w:pPr>
                          </w:p>
                          <w:p w14:paraId="62A14C98" w14:textId="77777777" w:rsidR="002E7E63" w:rsidRPr="005E2BB6" w:rsidRDefault="002E7E63" w:rsidP="00332FC3">
                            <w:pPr>
                              <w:autoSpaceDE w:val="0"/>
                              <w:autoSpaceDN w:val="0"/>
                              <w:adjustRightInd w:val="0"/>
                              <w:spacing w:after="0" w:line="360" w:lineRule="auto"/>
                              <w:jc w:val="both"/>
                              <w:rPr>
                                <w:sz w:val="30"/>
                                <w:szCs w:val="30"/>
                              </w:rPr>
                            </w:pPr>
                          </w:p>
                          <w:p w14:paraId="61045795" w14:textId="33654ED9" w:rsidR="002E7E63" w:rsidRPr="005E2BB6" w:rsidRDefault="000166AC" w:rsidP="00332FC3">
                            <w:pPr>
                              <w:autoSpaceDE w:val="0"/>
                              <w:autoSpaceDN w:val="0"/>
                              <w:adjustRightInd w:val="0"/>
                              <w:spacing w:after="0" w:line="360" w:lineRule="auto"/>
                              <w:jc w:val="center"/>
                              <w:rPr>
                                <w:sz w:val="30"/>
                                <w:szCs w:val="30"/>
                              </w:rPr>
                            </w:pPr>
                            <w:r>
                              <w:rPr>
                                <w:sz w:val="30"/>
                                <w:szCs w:val="30"/>
                              </w:rPr>
                              <w:t>April 27</w:t>
                            </w:r>
                            <w:r w:rsidR="002E7E63">
                              <w:rPr>
                                <w:sz w:val="30"/>
                                <w:szCs w:val="30"/>
                              </w:rPr>
                              <w:t>, 2018</w:t>
                            </w:r>
                          </w:p>
                          <w:p w14:paraId="7EA0CC56" w14:textId="77777777" w:rsidR="002E7E63" w:rsidRPr="005E2BB6" w:rsidRDefault="002E7E63" w:rsidP="00332FC3">
                            <w:pPr>
                              <w:autoSpaceDE w:val="0"/>
                              <w:autoSpaceDN w:val="0"/>
                              <w:adjustRightInd w:val="0"/>
                              <w:spacing w:after="0" w:line="360" w:lineRule="auto"/>
                              <w:jc w:val="center"/>
                              <w:rPr>
                                <w:sz w:val="30"/>
                                <w:szCs w:val="30"/>
                              </w:rPr>
                            </w:pPr>
                            <w:r w:rsidRPr="005E2BB6">
                              <w:rPr>
                                <w:sz w:val="30"/>
                                <w:szCs w:val="30"/>
                              </w:rPr>
                              <w:t>Tbilisi, Georgia</w:t>
                            </w:r>
                          </w:p>
                          <w:p w14:paraId="79CBFDF1" w14:textId="77777777" w:rsidR="002E7E63" w:rsidRPr="005E2BB6" w:rsidRDefault="002E7E63" w:rsidP="00332FC3">
                            <w:pPr>
                              <w:rPr>
                                <w:sz w:val="30"/>
                                <w:szCs w:val="30"/>
                              </w:rPr>
                            </w:pPr>
                          </w:p>
                          <w:p w14:paraId="21DA0CC0" w14:textId="77777777" w:rsidR="002E7E63" w:rsidRPr="005E2BB6" w:rsidRDefault="002E7E63" w:rsidP="00332FC3">
                            <w:pP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3AA5E" id="Rounded Rectangle 16" o:spid="_x0000_s1027" style="position:absolute;left:0;text-align:left;margin-left:0;margin-top:219.05pt;width:321.25pt;height:22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" stroked="f">
                <v:textbox>
                  <w:txbxContent>
                    <w:p w14:paraId="047D8488" w14:textId="77777777" w:rsidR="002E7E63" w:rsidRPr="005E2BB6" w:rsidRDefault="002E7E63" w:rsidP="00332FC3">
                      <w:pPr>
                        <w:autoSpaceDE w:val="0"/>
                        <w:autoSpaceDN w:val="0"/>
                        <w:adjustRightInd w:val="0"/>
                        <w:spacing w:after="0" w:line="240" w:lineRule="auto"/>
                        <w:jc w:val="center"/>
                        <w:rPr>
                          <w:sz w:val="30"/>
                          <w:szCs w:val="30"/>
                        </w:rPr>
                      </w:pPr>
                    </w:p>
                    <w:p w14:paraId="5E520BCD" w14:textId="77777777" w:rsidR="002E7E63" w:rsidRDefault="002E7E63" w:rsidP="00332FC3">
                      <w:pPr>
                        <w:autoSpaceDE w:val="0"/>
                        <w:autoSpaceDN w:val="0"/>
                        <w:adjustRightInd w:val="0"/>
                        <w:spacing w:after="0" w:line="240" w:lineRule="auto"/>
                        <w:jc w:val="center"/>
                        <w:rPr>
                          <w:sz w:val="30"/>
                          <w:szCs w:val="30"/>
                        </w:rPr>
                      </w:pPr>
                    </w:p>
                    <w:p w14:paraId="0C9BB2BC" w14:textId="77777777" w:rsidR="002E7E63" w:rsidRPr="005E2BB6" w:rsidRDefault="002E7E63" w:rsidP="00332FC3">
                      <w:pPr>
                        <w:autoSpaceDE w:val="0"/>
                        <w:autoSpaceDN w:val="0"/>
                        <w:adjustRightInd w:val="0"/>
                        <w:spacing w:after="0" w:line="240" w:lineRule="auto"/>
                        <w:jc w:val="center"/>
                        <w:rPr>
                          <w:sz w:val="30"/>
                          <w:szCs w:val="30"/>
                        </w:rPr>
                      </w:pPr>
                      <w:r w:rsidRPr="005E2BB6">
                        <w:rPr>
                          <w:sz w:val="30"/>
                          <w:szCs w:val="30"/>
                        </w:rPr>
                        <w:t>Prepared by A</w:t>
                      </w:r>
                      <w:r>
                        <w:rPr>
                          <w:sz w:val="30"/>
                          <w:szCs w:val="30"/>
                        </w:rPr>
                        <w:t>nalysis and Consulting Team (A</w:t>
                      </w:r>
                      <w:r w:rsidRPr="005E2BB6">
                        <w:rPr>
                          <w:sz w:val="30"/>
                          <w:szCs w:val="30"/>
                        </w:rPr>
                        <w:t>CT</w:t>
                      </w:r>
                      <w:r>
                        <w:rPr>
                          <w:sz w:val="30"/>
                          <w:szCs w:val="30"/>
                        </w:rPr>
                        <w:t>)</w:t>
                      </w:r>
                    </w:p>
                    <w:p w14:paraId="4C24820E" w14:textId="77777777" w:rsidR="002E7E63" w:rsidRPr="005E2BB6" w:rsidRDefault="002E7E63" w:rsidP="00332FC3">
                      <w:pPr>
                        <w:autoSpaceDE w:val="0"/>
                        <w:autoSpaceDN w:val="0"/>
                        <w:adjustRightInd w:val="0"/>
                        <w:spacing w:after="0" w:line="240" w:lineRule="auto"/>
                        <w:rPr>
                          <w:sz w:val="30"/>
                          <w:szCs w:val="30"/>
                          <w:lang w:val="ka-GE"/>
                        </w:rPr>
                      </w:pPr>
                    </w:p>
                    <w:p w14:paraId="2F9E2FEC" w14:textId="77777777" w:rsidR="002E7E63" w:rsidRPr="005E2BB6" w:rsidRDefault="002E7E63" w:rsidP="00332FC3">
                      <w:pPr>
                        <w:autoSpaceDE w:val="0"/>
                        <w:autoSpaceDN w:val="0"/>
                        <w:adjustRightInd w:val="0"/>
                        <w:spacing w:after="0" w:line="240" w:lineRule="auto"/>
                        <w:rPr>
                          <w:sz w:val="30"/>
                          <w:szCs w:val="30"/>
                          <w:lang w:val="ka-GE"/>
                        </w:rPr>
                      </w:pPr>
                    </w:p>
                    <w:p w14:paraId="62A14C98" w14:textId="77777777" w:rsidR="002E7E63" w:rsidRPr="005E2BB6" w:rsidRDefault="002E7E63" w:rsidP="00332FC3">
                      <w:pPr>
                        <w:autoSpaceDE w:val="0"/>
                        <w:autoSpaceDN w:val="0"/>
                        <w:adjustRightInd w:val="0"/>
                        <w:spacing w:after="0" w:line="360" w:lineRule="auto"/>
                        <w:jc w:val="both"/>
                        <w:rPr>
                          <w:sz w:val="30"/>
                          <w:szCs w:val="30"/>
                        </w:rPr>
                      </w:pPr>
                    </w:p>
                    <w:p w14:paraId="61045795" w14:textId="33654ED9" w:rsidR="002E7E63" w:rsidRPr="005E2BB6" w:rsidRDefault="000166AC" w:rsidP="00332FC3">
                      <w:pPr>
                        <w:autoSpaceDE w:val="0"/>
                        <w:autoSpaceDN w:val="0"/>
                        <w:adjustRightInd w:val="0"/>
                        <w:spacing w:after="0" w:line="360" w:lineRule="auto"/>
                        <w:jc w:val="center"/>
                        <w:rPr>
                          <w:sz w:val="30"/>
                          <w:szCs w:val="30"/>
                        </w:rPr>
                      </w:pPr>
                      <w:r>
                        <w:rPr>
                          <w:sz w:val="30"/>
                          <w:szCs w:val="30"/>
                        </w:rPr>
                        <w:t>April 27</w:t>
                      </w:r>
                      <w:r w:rsidR="002E7E63">
                        <w:rPr>
                          <w:sz w:val="30"/>
                          <w:szCs w:val="30"/>
                        </w:rPr>
                        <w:t>, 2018</w:t>
                      </w:r>
                    </w:p>
                    <w:p w14:paraId="7EA0CC56" w14:textId="77777777" w:rsidR="002E7E63" w:rsidRPr="005E2BB6" w:rsidRDefault="002E7E63" w:rsidP="00332FC3">
                      <w:pPr>
                        <w:autoSpaceDE w:val="0"/>
                        <w:autoSpaceDN w:val="0"/>
                        <w:adjustRightInd w:val="0"/>
                        <w:spacing w:after="0" w:line="360" w:lineRule="auto"/>
                        <w:jc w:val="center"/>
                        <w:rPr>
                          <w:sz w:val="30"/>
                          <w:szCs w:val="30"/>
                        </w:rPr>
                      </w:pPr>
                      <w:r w:rsidRPr="005E2BB6">
                        <w:rPr>
                          <w:sz w:val="30"/>
                          <w:szCs w:val="30"/>
                        </w:rPr>
                        <w:t>Tbilisi, Georgia</w:t>
                      </w:r>
                    </w:p>
                    <w:p w14:paraId="79CBFDF1" w14:textId="77777777" w:rsidR="002E7E63" w:rsidRPr="005E2BB6" w:rsidRDefault="002E7E63" w:rsidP="00332FC3">
                      <w:pPr>
                        <w:rPr>
                          <w:sz w:val="30"/>
                          <w:szCs w:val="30"/>
                        </w:rPr>
                      </w:pPr>
                    </w:p>
                    <w:p w14:paraId="21DA0CC0" w14:textId="77777777" w:rsidR="002E7E63" w:rsidRPr="005E2BB6" w:rsidRDefault="002E7E63" w:rsidP="00332FC3">
                      <w:pPr>
                        <w:rPr>
                          <w:sz w:val="30"/>
                          <w:szCs w:val="30"/>
                        </w:rPr>
                      </w:pPr>
                    </w:p>
                  </w:txbxContent>
                </v:textbox>
                <w10:wrap type="square" anchorx="margin"/>
              </v:roundrect>
            </w:pict>
          </mc:Fallback>
        </mc:AlternateContent>
      </w:r>
      <w:bookmarkEnd w:id="6"/>
      <w:bookmarkEnd w:id="7"/>
      <w:bookmarkEnd w:id="8"/>
      <w:bookmarkEnd w:id="9"/>
      <w:bookmarkEnd w:id="10"/>
      <w:bookmarkEnd w:id="11"/>
      <w:bookmarkEnd w:id="12"/>
      <w:bookmarkEnd w:id="13"/>
      <w:bookmarkEnd w:id="14"/>
      <w:bookmarkEnd w:id="15"/>
      <w:r w:rsidR="00332FC3" w:rsidRPr="00657D64">
        <w:rPr>
          <w:noProof/>
          <w:sz w:val="24"/>
          <w:szCs w:val="24"/>
        </w:rPr>
        <w:br w:type="page"/>
      </w:r>
    </w:p>
    <w:p w14:paraId="59DDE886" w14:textId="77777777" w:rsidR="00CB7376" w:rsidRPr="0091101C" w:rsidRDefault="00004770" w:rsidP="00657D64">
      <w:pPr>
        <w:pStyle w:val="Heading1"/>
        <w:numPr>
          <w:ilvl w:val="0"/>
          <w:numId w:val="0"/>
        </w:numPr>
        <w:spacing w:before="0" w:after="240"/>
        <w:jc w:val="both"/>
        <w:rPr>
          <w:szCs w:val="28"/>
        </w:rPr>
      </w:pPr>
      <w:bookmarkStart w:id="16" w:name="_Toc511392453"/>
      <w:bookmarkStart w:id="17" w:name="_Toc511392522"/>
      <w:bookmarkStart w:id="18" w:name="_Toc511392787"/>
      <w:r w:rsidRPr="0091101C">
        <w:rPr>
          <w:szCs w:val="28"/>
        </w:rPr>
        <w:lastRenderedPageBreak/>
        <w:t>Introduction</w:t>
      </w:r>
      <w:bookmarkEnd w:id="16"/>
      <w:bookmarkEnd w:id="17"/>
      <w:bookmarkEnd w:id="18"/>
      <w:r w:rsidRPr="0091101C">
        <w:rPr>
          <w:szCs w:val="28"/>
        </w:rPr>
        <w:t xml:space="preserve"> </w:t>
      </w:r>
    </w:p>
    <w:p w14:paraId="312E3B9D" w14:textId="77777777" w:rsidR="00D20282" w:rsidRPr="00657D64" w:rsidRDefault="00B27D33" w:rsidP="00657D64">
      <w:pPr>
        <w:tabs>
          <w:tab w:val="right" w:pos="9026"/>
        </w:tabs>
        <w:spacing w:after="240"/>
        <w:jc w:val="both"/>
      </w:pPr>
      <w:r w:rsidRPr="00657D64">
        <w:t xml:space="preserve">This report presents a summary of the results of the Welfare Monitoring Survey (WMS) conducted from July to August 2017. </w:t>
      </w:r>
      <w:r w:rsidR="00002DB9" w:rsidRPr="00657D64">
        <w:t>The</w:t>
      </w:r>
      <w:r w:rsidR="007328FC" w:rsidRPr="00657D64">
        <w:t xml:space="preserve"> WMS 2017 is the fifth of a series </w:t>
      </w:r>
      <w:r w:rsidR="00216BBE" w:rsidRPr="00657D64">
        <w:t xml:space="preserve">that commenced in 2009. It is part of the concerted effort by the United Nations Children’s Fund (UNICEF) to provide relevant information for monitoring the </w:t>
      </w:r>
      <w:r w:rsidR="001748F1" w:rsidRPr="00657D64">
        <w:t xml:space="preserve">welfare status of the </w:t>
      </w:r>
      <w:r w:rsidR="00660C00" w:rsidRPr="00657D64">
        <w:t>children</w:t>
      </w:r>
      <w:r w:rsidR="000707CA" w:rsidRPr="00657D64">
        <w:t xml:space="preserve"> and their families in Georgia. WMS is a biennial longitudinal survey covering all the government-con</w:t>
      </w:r>
      <w:r w:rsidR="005D2BF1" w:rsidRPr="00657D64">
        <w:t>trolled regions of the</w:t>
      </w:r>
      <w:r w:rsidR="0099450D" w:rsidRPr="00657D64">
        <w:t xml:space="preserve"> country.</w:t>
      </w:r>
      <w:r w:rsidR="008A5388" w:rsidRPr="00657D64">
        <w:t xml:space="preserve"> The results for the fifth round are nationally representative, with 4,697 households having completed the questionnaire.</w:t>
      </w:r>
      <w:r w:rsidR="00D20282" w:rsidRPr="00657D64">
        <w:t xml:space="preserve"> </w:t>
      </w:r>
      <w:r w:rsidR="00E16C39" w:rsidRPr="00657D64">
        <w:t xml:space="preserve"> </w:t>
      </w:r>
    </w:p>
    <w:p w14:paraId="55B1D531" w14:textId="77777777" w:rsidR="009819B1" w:rsidRPr="00657D64" w:rsidRDefault="00DF79BB" w:rsidP="00657D64">
      <w:pPr>
        <w:tabs>
          <w:tab w:val="right" w:pos="9026"/>
        </w:tabs>
        <w:jc w:val="both"/>
      </w:pPr>
      <w:r w:rsidRPr="00657D64">
        <w:t>The aim of the study is</w:t>
      </w:r>
      <w:r w:rsidR="00B51CD9" w:rsidRPr="00657D64">
        <w:t xml:space="preserve"> three-fold</w:t>
      </w:r>
      <w:r w:rsidR="009819B1" w:rsidRPr="00657D64">
        <w:t>:</w:t>
      </w:r>
      <w:r w:rsidR="00B51CD9" w:rsidRPr="00657D64">
        <w:t xml:space="preserve"> </w:t>
      </w:r>
      <w:r w:rsidR="009819B1" w:rsidRPr="00657D64">
        <w:t xml:space="preserve">first, to review the recent socio-economic trends in Georgia; second, to assess dynamics of key welfare indicators and compare the findings with the results of earlier rounds of WMS; and finally, to capture the effects of Georgia’s Targeted Social Assistance (TSA) reform and provide policy-makers detailed information on the developments taken place since the introduction of the new methodology and benefit scheme. </w:t>
      </w:r>
    </w:p>
    <w:p w14:paraId="224CACDE" w14:textId="77777777" w:rsidR="007C3B68" w:rsidRPr="00657D64" w:rsidRDefault="007C3B68" w:rsidP="00657D64">
      <w:pPr>
        <w:tabs>
          <w:tab w:val="right" w:pos="9026"/>
        </w:tabs>
        <w:jc w:val="both"/>
      </w:pPr>
      <w:r w:rsidRPr="00657D64">
        <w:t>Based on the data obtained from the fifth round of the survey, the present study examines the prevalence and distribution of issues such as consumption poverty, material deprivation, subjective poverty and social exclusion, and makes a particular reference to the role of social transfers and the well-being of children.</w:t>
      </w:r>
      <w:r w:rsidR="00315818" w:rsidRPr="00657D64">
        <w:t xml:space="preserve"> </w:t>
      </w:r>
    </w:p>
    <w:p w14:paraId="729081FC" w14:textId="77777777" w:rsidR="00302D58" w:rsidRDefault="00FB2101" w:rsidP="00302D58">
      <w:pPr>
        <w:pStyle w:val="Heading1"/>
        <w:numPr>
          <w:ilvl w:val="0"/>
          <w:numId w:val="0"/>
        </w:numPr>
        <w:spacing w:after="240"/>
        <w:jc w:val="both"/>
        <w:rPr>
          <w:szCs w:val="28"/>
        </w:rPr>
      </w:pPr>
      <w:bookmarkStart w:id="19" w:name="_Toc511392454"/>
      <w:bookmarkStart w:id="20" w:name="_Toc511392523"/>
      <w:bookmarkStart w:id="21" w:name="_Toc511392788"/>
      <w:r w:rsidRPr="0091101C">
        <w:rPr>
          <w:szCs w:val="28"/>
        </w:rPr>
        <w:t>Socio-economic a</w:t>
      </w:r>
      <w:r w:rsidR="00946885" w:rsidRPr="0091101C">
        <w:rPr>
          <w:szCs w:val="28"/>
        </w:rPr>
        <w:t>nalysis</w:t>
      </w:r>
      <w:bookmarkEnd w:id="19"/>
      <w:bookmarkEnd w:id="20"/>
      <w:bookmarkEnd w:id="21"/>
      <w:r w:rsidR="00946885" w:rsidRPr="0091101C">
        <w:rPr>
          <w:szCs w:val="28"/>
        </w:rPr>
        <w:t xml:space="preserve"> </w:t>
      </w:r>
      <w:bookmarkStart w:id="22" w:name="_Toc511392455"/>
      <w:bookmarkStart w:id="23" w:name="_Toc511392524"/>
      <w:bookmarkStart w:id="24" w:name="_Toc511392789"/>
    </w:p>
    <w:p w14:paraId="2CD78960" w14:textId="77777777" w:rsidR="00C00C40" w:rsidRDefault="00302D58" w:rsidP="00B978FC">
      <w:pPr>
        <w:pStyle w:val="Heading1"/>
        <w:numPr>
          <w:ilvl w:val="0"/>
          <w:numId w:val="0"/>
        </w:numPr>
        <w:spacing w:after="240"/>
        <w:jc w:val="both"/>
        <w:rPr>
          <w:i/>
          <w:sz w:val="24"/>
          <w:szCs w:val="24"/>
        </w:rPr>
      </w:pPr>
      <w:r w:rsidRPr="00D82936">
        <w:rPr>
          <w:i/>
          <w:sz w:val="24"/>
          <w:szCs w:val="24"/>
        </w:rPr>
        <w:t>A Snapshot of Economic and Social Developments in Georgia</w:t>
      </w:r>
    </w:p>
    <w:p w14:paraId="63BDDFD8" w14:textId="77777777" w:rsidR="00302D58" w:rsidRPr="0013662A" w:rsidRDefault="00314BD8" w:rsidP="00115796">
      <w:pPr>
        <w:jc w:val="both"/>
      </w:pPr>
      <w:r w:rsidRPr="00314BD8">
        <w:rPr>
          <w:b/>
        </w:rPr>
        <w:t xml:space="preserve">Georgia’s economy </w:t>
      </w:r>
      <w:r>
        <w:rPr>
          <w:b/>
        </w:rPr>
        <w:t xml:space="preserve">rebounded in 2017 on the back of strong export performance, fast growing </w:t>
      </w:r>
      <w:r w:rsidR="007D73EC">
        <w:rPr>
          <w:b/>
        </w:rPr>
        <w:t xml:space="preserve">tourism, </w:t>
      </w:r>
      <w:r>
        <w:rPr>
          <w:b/>
        </w:rPr>
        <w:t xml:space="preserve">increasing </w:t>
      </w:r>
      <w:r w:rsidR="007D73EC">
        <w:rPr>
          <w:b/>
        </w:rPr>
        <w:t xml:space="preserve">foreign direct investments (FDI) and </w:t>
      </w:r>
      <w:r>
        <w:rPr>
          <w:b/>
        </w:rPr>
        <w:t>remittances</w:t>
      </w:r>
      <w:r w:rsidR="007D73EC">
        <w:rPr>
          <w:b/>
        </w:rPr>
        <w:t>.</w:t>
      </w:r>
      <w:r w:rsidR="0013662A">
        <w:rPr>
          <w:b/>
        </w:rPr>
        <w:t xml:space="preserve"> </w:t>
      </w:r>
      <w:r w:rsidR="00115796" w:rsidRPr="00657D64">
        <w:rPr>
          <w:color w:val="000000" w:themeColor="text1"/>
        </w:rPr>
        <w:t xml:space="preserve">In 2017, nominal Gross Domestic Product (GDP) of Georgia at market prices totaled 38,042 million GEL, a 11.8% increase as compared to the last year. According to the National Statistics Office of Georgia (Geostat), the real GDP expanded 5.0% year-on-year in 2017, following two years of below 3% growth in 2015-16. </w:t>
      </w:r>
      <w:r w:rsidR="0007030B" w:rsidRPr="00920DE6">
        <w:rPr>
          <w:rStyle w:val="Emphasis"/>
          <w:bCs/>
          <w:i w:val="0"/>
          <w:iCs w:val="0"/>
        </w:rPr>
        <w:t xml:space="preserve">Improvement of the economic growth has been supported by positive trends in the external sector – in particular, by an increase in </w:t>
      </w:r>
      <w:r w:rsidR="0007030B">
        <w:rPr>
          <w:rStyle w:val="Emphasis"/>
          <w:bCs/>
          <w:i w:val="0"/>
          <w:iCs w:val="0"/>
        </w:rPr>
        <w:t xml:space="preserve">exports (29.1%), </w:t>
      </w:r>
      <w:r w:rsidR="0007030B" w:rsidRPr="00920DE6">
        <w:rPr>
          <w:rStyle w:val="Emphasis"/>
          <w:bCs/>
          <w:i w:val="0"/>
          <w:iCs w:val="0"/>
        </w:rPr>
        <w:t>remittances (19.8</w:t>
      </w:r>
      <w:r w:rsidR="0007030B">
        <w:rPr>
          <w:rStyle w:val="Emphasis"/>
          <w:bCs/>
          <w:i w:val="0"/>
          <w:iCs w:val="0"/>
        </w:rPr>
        <w:t>%) and FDI inflows (16.2%).</w:t>
      </w:r>
      <w:r w:rsidR="0007030B">
        <w:rPr>
          <w:color w:val="000000" w:themeColor="text1"/>
        </w:rPr>
        <w:t xml:space="preserve"> </w:t>
      </w:r>
      <w:r w:rsidR="00115796" w:rsidRPr="00657D64">
        <w:rPr>
          <w:color w:val="000000" w:themeColor="text1"/>
        </w:rPr>
        <w:t>The strong performance reflected real gains of 11.2% in construction, 11.2% in hotels and restaurants, 9.2% in financial intermediation, 7.2% in transport, 7.1% in mining and quarrying, 6.6% in trade services, 6.3% in real estate, renting and business activities and 5.0% in manufacturing. A decrease in real value-added was registered in agriculture</w:t>
      </w:r>
      <w:r w:rsidR="000B6D36">
        <w:rPr>
          <w:color w:val="000000" w:themeColor="text1"/>
        </w:rPr>
        <w:t>,</w:t>
      </w:r>
      <w:r w:rsidR="00115796" w:rsidRPr="00657D64">
        <w:rPr>
          <w:color w:val="000000" w:themeColor="text1"/>
        </w:rPr>
        <w:t xml:space="preserve"> forestry and fishing (-2.7%) and processing of products by household’s (-</w:t>
      </w:r>
      <w:r w:rsidR="00115796">
        <w:rPr>
          <w:color w:val="000000" w:themeColor="text1"/>
        </w:rPr>
        <w:t xml:space="preserve">2.7%). </w:t>
      </w:r>
      <w:r w:rsidR="00115796" w:rsidRPr="00657D64">
        <w:rPr>
          <w:rStyle w:val="Emphasis"/>
          <w:bCs/>
          <w:i w:val="0"/>
          <w:iCs w:val="0"/>
        </w:rPr>
        <w:t xml:space="preserve">Georgia’s </w:t>
      </w:r>
      <w:r w:rsidR="00115796" w:rsidRPr="00657D64">
        <w:t xml:space="preserve">overall economic outlook remains positive in 2018. Pursuant to the Monetary Policy Report of the National Bank of Georgia </w:t>
      </w:r>
      <w:r w:rsidR="00115796" w:rsidRPr="00657D64">
        <w:lastRenderedPageBreak/>
        <w:t>(NBG) (2018)</w:t>
      </w:r>
      <w:r w:rsidR="00115796" w:rsidRPr="00657D64">
        <w:rPr>
          <w:rStyle w:val="FootnoteReference"/>
        </w:rPr>
        <w:footnoteReference w:id="1"/>
      </w:r>
      <w:r w:rsidR="00115796" w:rsidRPr="00657D64">
        <w:t>, annual GDP growth rate for 2018 is projected to be 4.5 %. In contrast, the World Bank Group (WBG)</w:t>
      </w:r>
      <w:r w:rsidR="00115796" w:rsidRPr="00657D64">
        <w:rPr>
          <w:rStyle w:val="FootnoteReference"/>
        </w:rPr>
        <w:footnoteReference w:id="2"/>
      </w:r>
      <w:r w:rsidR="00115796">
        <w:t xml:space="preserve"> and </w:t>
      </w:r>
      <w:r w:rsidR="00115796" w:rsidRPr="00657D64">
        <w:t>International Monetary Fund (IMF)</w:t>
      </w:r>
      <w:r w:rsidR="00115796" w:rsidRPr="00657D64">
        <w:rPr>
          <w:rStyle w:val="FootnoteReference"/>
        </w:rPr>
        <w:footnoteReference w:id="3"/>
      </w:r>
      <w:r w:rsidR="00115796" w:rsidRPr="00657D64">
        <w:t xml:space="preserve"> provide a more pessimistic forecast. Namely, the WBG and the IMF project GDP growth to reach 4.2% in 2018.</w:t>
      </w:r>
      <w:r w:rsidR="00115796">
        <w:t xml:space="preserve"> </w:t>
      </w:r>
    </w:p>
    <w:p w14:paraId="0641559D" w14:textId="77777777" w:rsidR="003660F6" w:rsidRDefault="00784E2C" w:rsidP="00420CD8">
      <w:pPr>
        <w:jc w:val="both"/>
        <w:rPr>
          <w:rFonts w:ascii="Sylfaen" w:hAnsi="Sylfaen"/>
          <w:color w:val="000000"/>
          <w:lang w:val="ka-GE"/>
        </w:rPr>
      </w:pPr>
      <w:r>
        <w:rPr>
          <w:b/>
        </w:rPr>
        <w:t>Though Georgia’s average annual inflation rate increased substantially in 2015, it tended to decrease through 2016 period</w:t>
      </w:r>
      <w:r w:rsidR="00E930B0">
        <w:rPr>
          <w:b/>
        </w:rPr>
        <w:t>,</w:t>
      </w:r>
      <w:r>
        <w:rPr>
          <w:b/>
        </w:rPr>
        <w:t xml:space="preserve"> ending at 2.2%. </w:t>
      </w:r>
      <w:r w:rsidR="00DD433B">
        <w:t>A</w:t>
      </w:r>
      <w:r w:rsidR="00C76CA4">
        <w:t xml:space="preserve">nnual inflation rate, as measured by the consumer price index (CPI), averaged to 4.0% in 2015. </w:t>
      </w:r>
      <w:r w:rsidR="00420CD8">
        <w:t xml:space="preserve">The CPI reflects an overall change </w:t>
      </w:r>
      <w:r w:rsidR="009F23F9">
        <w:t>in the level of average consumer</w:t>
      </w:r>
      <w:r w:rsidR="00420CD8">
        <w:t xml:space="preserve"> prices within the country.</w:t>
      </w:r>
      <w:r w:rsidR="00250325">
        <w:t xml:space="preserve"> </w:t>
      </w:r>
      <w:r w:rsidR="009F23F9">
        <w:t>The inflation rate increased 4.9% year-on-year in July 2015</w:t>
      </w:r>
      <w:r w:rsidR="003660F6">
        <w:t>.</w:t>
      </w:r>
      <w:r w:rsidR="009F23F9">
        <w:t xml:space="preserve"> </w:t>
      </w:r>
      <w:r w:rsidR="003660F6">
        <w:t xml:space="preserve">It was </w:t>
      </w:r>
      <w:r w:rsidR="009F23F9">
        <w:t xml:space="preserve">driven by </w:t>
      </w:r>
      <w:r w:rsidR="003660F6">
        <w:t xml:space="preserve">price changes for the following groups of the consumption basket: </w:t>
      </w:r>
      <w:r w:rsidR="00CF54E0">
        <w:t>a</w:t>
      </w:r>
      <w:r w:rsidR="00CF54E0" w:rsidRPr="00CF54E0">
        <w:t>lcoholic beverages and tobacco</w:t>
      </w:r>
      <w:r w:rsidR="00CF54E0">
        <w:t xml:space="preserve"> (+11.7%), </w:t>
      </w:r>
      <w:r w:rsidR="00CF54E0">
        <w:rPr>
          <w:rFonts w:ascii="Calibri" w:eastAsia="Times New Roman" w:hAnsi="Calibri" w:cs="Calibri"/>
          <w:color w:val="000000"/>
        </w:rPr>
        <w:t>f</w:t>
      </w:r>
      <w:r w:rsidR="00146DC0" w:rsidRPr="00CF54E0">
        <w:rPr>
          <w:rFonts w:ascii="Calibri" w:eastAsia="Times New Roman" w:hAnsi="Calibri" w:cs="Calibri"/>
          <w:color w:val="000000"/>
        </w:rPr>
        <w:t>ood and non-alcoholic beverages</w:t>
      </w:r>
      <w:r w:rsidR="00CF54E0">
        <w:rPr>
          <w:rFonts w:ascii="Calibri" w:eastAsia="Times New Roman" w:hAnsi="Calibri" w:cs="Calibri"/>
          <w:color w:val="000000"/>
        </w:rPr>
        <w:t xml:space="preserve"> (+7.1%) and healthcare (+7.3%).</w:t>
      </w:r>
      <w:r w:rsidR="0078451B">
        <w:rPr>
          <w:rFonts w:ascii="Calibri" w:eastAsia="Times New Roman" w:hAnsi="Calibri" w:cs="Calibri"/>
          <w:color w:val="000000"/>
        </w:rPr>
        <w:t xml:space="preserve"> </w:t>
      </w:r>
      <w:r w:rsidR="00135B65" w:rsidRPr="00657D64">
        <w:rPr>
          <w:color w:val="000000"/>
        </w:rPr>
        <w:t>In 2015, the inflation rate rose considerably due to the rise in excise tax on a</w:t>
      </w:r>
      <w:r w:rsidR="00284D74">
        <w:rPr>
          <w:color w:val="000000"/>
        </w:rPr>
        <w:t xml:space="preserve">lcoholic beverages and tobacco, </w:t>
      </w:r>
      <w:r w:rsidR="00135B65" w:rsidRPr="00657D64">
        <w:rPr>
          <w:color w:val="000000"/>
        </w:rPr>
        <w:t>electricity fees and increased prices on durable goods stemming from the exchange rate shock</w:t>
      </w:r>
      <w:r w:rsidR="00284D74">
        <w:rPr>
          <w:rStyle w:val="FootnoteReference"/>
          <w:color w:val="000000"/>
        </w:rPr>
        <w:footnoteReference w:id="4"/>
      </w:r>
      <w:r w:rsidR="002F41DE">
        <w:rPr>
          <w:color w:val="000000"/>
        </w:rPr>
        <w:t>.</w:t>
      </w:r>
      <w:r w:rsidR="00D83816">
        <w:rPr>
          <w:rFonts w:ascii="Sylfaen" w:hAnsi="Sylfaen"/>
          <w:color w:val="000000"/>
          <w:lang w:val="ka-GE"/>
        </w:rPr>
        <w:t xml:space="preserve"> </w:t>
      </w:r>
      <w:r w:rsidR="0078451B">
        <w:rPr>
          <w:rFonts w:ascii="Calibri" w:eastAsia="Times New Roman" w:hAnsi="Calibri" w:cs="Calibri"/>
          <w:color w:val="000000"/>
        </w:rPr>
        <w:t xml:space="preserve">Between July 2015 and July </w:t>
      </w:r>
      <w:r w:rsidR="00C210FE">
        <w:rPr>
          <w:rFonts w:ascii="Calibri" w:eastAsia="Times New Roman" w:hAnsi="Calibri" w:cs="Calibri"/>
          <w:color w:val="000000"/>
        </w:rPr>
        <w:t>2016, the CPI stood at 1.5% (</w:t>
      </w:r>
      <w:r w:rsidR="00FF14F0">
        <w:rPr>
          <w:rFonts w:ascii="Calibri" w:eastAsia="Times New Roman" w:hAnsi="Calibri" w:cs="Calibri"/>
          <w:color w:val="000000"/>
        </w:rPr>
        <w:t>average of 2.2% in 2016).</w:t>
      </w:r>
      <w:r w:rsidR="00E930B0">
        <w:rPr>
          <w:rFonts w:ascii="Sylfaen" w:eastAsia="Times New Roman" w:hAnsi="Sylfaen" w:cs="Calibri"/>
          <w:color w:val="000000"/>
          <w:lang w:val="ka-GE"/>
        </w:rPr>
        <w:t xml:space="preserve"> </w:t>
      </w:r>
      <w:r w:rsidR="00E930B0">
        <w:rPr>
          <w:rFonts w:eastAsia="Times New Roman"/>
          <w:color w:val="000000"/>
        </w:rPr>
        <w:t xml:space="preserve">Even though the annual inflation rate slowed down, </w:t>
      </w:r>
      <w:r w:rsidR="00F25E28" w:rsidRPr="00657D64">
        <w:rPr>
          <w:color w:val="000000"/>
        </w:rPr>
        <w:t xml:space="preserve">a more detailed examination of individual goods illustrates that the annual change in prices for goods falling into the “alcoholic beverages and tobacco” category reached to 13.1%. The prices increased for both tobacco (+20.5%) and alcoholic beverages (+7.1%). </w:t>
      </w:r>
      <w:r w:rsidR="00EB7E01">
        <w:rPr>
          <w:color w:val="000000"/>
        </w:rPr>
        <w:t xml:space="preserve">Price of food and non-alcoholic beverages increased by a mere 1.1%. </w:t>
      </w:r>
      <w:r w:rsidR="00F25E28" w:rsidRPr="00657D64">
        <w:rPr>
          <w:color w:val="000000"/>
        </w:rPr>
        <w:t>Meantime, the inflation rate for water, electricity, gas and other fuels group accelerated to 9.2%. It should be noted that, electricity tariffs rose by 27.5% in July 2016 compared to the same period of the previous year</w:t>
      </w:r>
      <w:r w:rsidR="00F25E28" w:rsidRPr="00657D64">
        <w:rPr>
          <w:color w:val="000000"/>
          <w:lang w:val="ka-GE"/>
        </w:rPr>
        <w:t xml:space="preserve">. </w:t>
      </w:r>
      <w:r w:rsidR="00F25E28" w:rsidRPr="00657D64">
        <w:rPr>
          <w:color w:val="000000"/>
        </w:rPr>
        <w:t>The health group registered the inflation of 4.1%, led by an 8.7% increase in out-patient services.</w:t>
      </w:r>
      <w:r w:rsidR="00F25E28">
        <w:rPr>
          <w:rFonts w:ascii="Sylfaen" w:hAnsi="Sylfaen"/>
          <w:color w:val="000000"/>
          <w:lang w:val="ka-GE"/>
        </w:rPr>
        <w:t xml:space="preserve"> </w:t>
      </w:r>
    </w:p>
    <w:p w14:paraId="137E09FB" w14:textId="6E4FCA92" w:rsidR="009650C6" w:rsidRPr="00C07D61" w:rsidRDefault="000C3648" w:rsidP="009A5F34">
      <w:pPr>
        <w:autoSpaceDE w:val="0"/>
        <w:autoSpaceDN w:val="0"/>
        <w:adjustRightInd w:val="0"/>
        <w:jc w:val="both"/>
        <w:rPr>
          <w:color w:val="000000"/>
        </w:rPr>
      </w:pPr>
      <w:r>
        <w:rPr>
          <w:b/>
          <w:color w:val="000000"/>
        </w:rPr>
        <w:t>In 2017, t</w:t>
      </w:r>
      <w:r w:rsidR="00962DDF" w:rsidRPr="006A6F58">
        <w:rPr>
          <w:b/>
          <w:color w:val="000000"/>
        </w:rPr>
        <w:t>he increase in inflation rate was heavily influenced by increase in</w:t>
      </w:r>
      <w:r w:rsidR="00962DDF">
        <w:rPr>
          <w:b/>
          <w:color w:val="000000"/>
        </w:rPr>
        <w:t xml:space="preserve"> prices on</w:t>
      </w:r>
      <w:r w:rsidR="00962DDF" w:rsidRPr="006A6F58">
        <w:rPr>
          <w:b/>
          <w:color w:val="000000"/>
        </w:rPr>
        <w:t xml:space="preserve"> food, tobacco</w:t>
      </w:r>
      <w:r w:rsidR="00962DDF">
        <w:rPr>
          <w:b/>
          <w:color w:val="000000"/>
        </w:rPr>
        <w:t>, alcoholic</w:t>
      </w:r>
      <w:r w:rsidR="00962DDF" w:rsidRPr="006A6F58">
        <w:rPr>
          <w:b/>
          <w:color w:val="000000"/>
        </w:rPr>
        <w:t xml:space="preserve"> beverages</w:t>
      </w:r>
      <w:r w:rsidR="00962DDF">
        <w:rPr>
          <w:b/>
          <w:color w:val="000000"/>
        </w:rPr>
        <w:t>, transport and healthcare -</w:t>
      </w:r>
      <w:r w:rsidR="00962DDF" w:rsidRPr="006A6F58">
        <w:rPr>
          <w:b/>
          <w:color w:val="000000"/>
        </w:rPr>
        <w:t xml:space="preserve"> ranging from 4% to 37%.</w:t>
      </w:r>
      <w:r w:rsidR="00962DDF">
        <w:rPr>
          <w:b/>
          <w:color w:val="000000"/>
        </w:rPr>
        <w:t xml:space="preserve"> </w:t>
      </w:r>
      <w:bookmarkEnd w:id="22"/>
      <w:bookmarkEnd w:id="23"/>
      <w:bookmarkEnd w:id="24"/>
      <w:r w:rsidR="00A3586F" w:rsidRPr="00657D64">
        <w:rPr>
          <w:color w:val="000000"/>
        </w:rPr>
        <w:t>T</w:t>
      </w:r>
      <w:r w:rsidR="00164928" w:rsidRPr="00657D64">
        <w:rPr>
          <w:color w:val="000000"/>
        </w:rPr>
        <w:t xml:space="preserve">he annual inflation rate strengthened its upward </w:t>
      </w:r>
      <w:r w:rsidR="00CA20F8" w:rsidRPr="00657D64">
        <w:rPr>
          <w:color w:val="000000"/>
        </w:rPr>
        <w:t>trend from July 201</w:t>
      </w:r>
      <w:r w:rsidR="000F4DCE" w:rsidRPr="00657D64">
        <w:rPr>
          <w:color w:val="000000"/>
        </w:rPr>
        <w:t xml:space="preserve">6 to July 2017, standing at 6%, well above the National Bank’s target of 4% for 2017. </w:t>
      </w:r>
      <w:r w:rsidR="0053714A" w:rsidRPr="00657D64">
        <w:rPr>
          <w:color w:val="000000"/>
        </w:rPr>
        <w:t xml:space="preserve">It was mainly influenced by price changes from the following groups: food </w:t>
      </w:r>
      <w:r w:rsidR="006B0DC3" w:rsidRPr="00657D64">
        <w:rPr>
          <w:color w:val="000000"/>
        </w:rPr>
        <w:t>and non-alcoholic beverages (+</w:t>
      </w:r>
      <w:r w:rsidR="0053714A" w:rsidRPr="00657D64">
        <w:rPr>
          <w:color w:val="000000"/>
        </w:rPr>
        <w:t>7.1%), alcoholic beverages and</w:t>
      </w:r>
      <w:r w:rsidR="006B0DC3" w:rsidRPr="00657D64">
        <w:rPr>
          <w:color w:val="000000"/>
        </w:rPr>
        <w:t xml:space="preserve"> tobacco (+</w:t>
      </w:r>
      <w:r w:rsidR="0053714A" w:rsidRPr="00657D64">
        <w:rPr>
          <w:color w:val="000000"/>
        </w:rPr>
        <w:t xml:space="preserve">17.3%), </w:t>
      </w:r>
      <w:r w:rsidR="006B0DC3" w:rsidRPr="00657D64">
        <w:rPr>
          <w:color w:val="000000"/>
        </w:rPr>
        <w:t>transport (+</w:t>
      </w:r>
      <w:r w:rsidR="0053714A" w:rsidRPr="00657D64">
        <w:rPr>
          <w:color w:val="000000"/>
        </w:rPr>
        <w:t xml:space="preserve">12.6%) and </w:t>
      </w:r>
      <w:r w:rsidR="006B0DC3" w:rsidRPr="00657D64">
        <w:rPr>
          <w:color w:val="000000"/>
        </w:rPr>
        <w:t>health</w:t>
      </w:r>
      <w:r w:rsidR="006C2C4F">
        <w:rPr>
          <w:color w:val="000000"/>
        </w:rPr>
        <w:t>care</w:t>
      </w:r>
      <w:r w:rsidR="006B0DC3" w:rsidRPr="00657D64">
        <w:rPr>
          <w:color w:val="000000"/>
        </w:rPr>
        <w:t xml:space="preserve"> (+</w:t>
      </w:r>
      <w:r w:rsidR="000F4DCE" w:rsidRPr="00657D64">
        <w:rPr>
          <w:color w:val="000000"/>
        </w:rPr>
        <w:t xml:space="preserve">6.9%). </w:t>
      </w:r>
      <w:r w:rsidR="0053714A" w:rsidRPr="00657D64">
        <w:rPr>
          <w:color w:val="000000"/>
        </w:rPr>
        <w:t>Within the subgroup of food and non-alcoholic beverages, significant upward contributions came from higher prices for vegetables (</w:t>
      </w:r>
      <w:r w:rsidR="006B0DC3" w:rsidRPr="00657D64">
        <w:rPr>
          <w:color w:val="000000"/>
        </w:rPr>
        <w:t>+25.6%), fruit and grapes (+</w:t>
      </w:r>
      <w:r w:rsidR="0053714A" w:rsidRPr="00657D64">
        <w:rPr>
          <w:color w:val="000000"/>
        </w:rPr>
        <w:t>15.9%), milk, chees</w:t>
      </w:r>
      <w:r w:rsidR="006B0DC3" w:rsidRPr="00657D64">
        <w:rPr>
          <w:color w:val="000000"/>
        </w:rPr>
        <w:t>e and eggs (+9.3%), meat (+</w:t>
      </w:r>
      <w:r w:rsidR="0053714A" w:rsidRPr="00657D64">
        <w:rPr>
          <w:color w:val="000000"/>
        </w:rPr>
        <w:t>9</w:t>
      </w:r>
      <w:r w:rsidR="006B0DC3" w:rsidRPr="00657D64">
        <w:rPr>
          <w:color w:val="000000"/>
        </w:rPr>
        <w:t>.1%), coffee, tea and cocoa (+5.6%), oils and fats (+5.5%) and fish (+</w:t>
      </w:r>
      <w:r w:rsidR="0053714A" w:rsidRPr="00657D64">
        <w:rPr>
          <w:color w:val="000000"/>
        </w:rPr>
        <w:t xml:space="preserve">4.4%). Besides, the prices advanced for alcoholic </w:t>
      </w:r>
      <w:r w:rsidR="0053714A" w:rsidRPr="00657D64">
        <w:rPr>
          <w:color w:val="000000"/>
        </w:rPr>
        <w:lastRenderedPageBreak/>
        <w:t>beverages and tobacco subgroups</w:t>
      </w:r>
      <w:r w:rsidR="006B0DC3" w:rsidRPr="00657D64">
        <w:rPr>
          <w:color w:val="000000"/>
        </w:rPr>
        <w:t xml:space="preserve"> (+17.3)</w:t>
      </w:r>
      <w:r w:rsidR="0053714A" w:rsidRPr="00657D64">
        <w:rPr>
          <w:color w:val="000000"/>
        </w:rPr>
        <w:t>. Rise was recorded in the pr</w:t>
      </w:r>
      <w:r w:rsidR="006B0DC3" w:rsidRPr="00657D64">
        <w:rPr>
          <w:color w:val="000000"/>
        </w:rPr>
        <w:t>ices of alcoholic beverages (+</w:t>
      </w:r>
      <w:r w:rsidR="0053714A" w:rsidRPr="00657D64">
        <w:rPr>
          <w:color w:val="000000"/>
        </w:rPr>
        <w:t xml:space="preserve">1.3%) </w:t>
      </w:r>
      <w:r w:rsidR="006B0DC3" w:rsidRPr="00657D64">
        <w:rPr>
          <w:color w:val="000000"/>
        </w:rPr>
        <w:t>and tobacco (+</w:t>
      </w:r>
      <w:r w:rsidR="0053714A" w:rsidRPr="00657D64">
        <w:rPr>
          <w:color w:val="000000"/>
        </w:rPr>
        <w:t xml:space="preserve">37.1%). </w:t>
      </w:r>
      <w:r w:rsidR="006B0DC3" w:rsidRPr="00657D64">
        <w:rPr>
          <w:rFonts w:eastAsia="Times New Roman"/>
          <w:color w:val="000000"/>
        </w:rPr>
        <w:t xml:space="preserve">Transport group recorded a positive inflation rate </w:t>
      </w:r>
      <w:r w:rsidR="008F6789" w:rsidRPr="00657D64">
        <w:rPr>
          <w:rFonts w:eastAsia="Times New Roman"/>
          <w:color w:val="000000"/>
        </w:rPr>
        <w:t xml:space="preserve">with prices rising </w:t>
      </w:r>
      <w:r w:rsidR="00075765" w:rsidRPr="00657D64">
        <w:rPr>
          <w:rFonts w:eastAsia="Times New Roman"/>
          <w:color w:val="000000"/>
        </w:rPr>
        <w:t>(</w:t>
      </w:r>
      <w:r w:rsidR="008F6789" w:rsidRPr="00657D64">
        <w:rPr>
          <w:rFonts w:eastAsia="Times New Roman"/>
          <w:color w:val="000000"/>
        </w:rPr>
        <w:t>+18.0</w:t>
      </w:r>
      <w:r w:rsidR="006B0DC3" w:rsidRPr="00657D64">
        <w:rPr>
          <w:rFonts w:eastAsia="Times New Roman"/>
          <w:color w:val="000000"/>
        </w:rPr>
        <w:t>%</w:t>
      </w:r>
      <w:r w:rsidR="00075765" w:rsidRPr="00657D64">
        <w:rPr>
          <w:rFonts w:eastAsia="Times New Roman"/>
          <w:color w:val="000000"/>
        </w:rPr>
        <w:t>)</w:t>
      </w:r>
      <w:r w:rsidR="006B0DC3" w:rsidRPr="00657D64">
        <w:rPr>
          <w:rFonts w:eastAsia="Times New Roman"/>
          <w:color w:val="000000"/>
        </w:rPr>
        <w:t xml:space="preserve"> for personal transport equipment</w:t>
      </w:r>
      <w:r w:rsidR="008F6789" w:rsidRPr="00657D64">
        <w:rPr>
          <w:rFonts w:eastAsia="Times New Roman"/>
          <w:color w:val="000000"/>
        </w:rPr>
        <w:t xml:space="preserve">, purchase of vehicles </w:t>
      </w:r>
      <w:r w:rsidR="00075765" w:rsidRPr="00657D64">
        <w:rPr>
          <w:rFonts w:eastAsia="Times New Roman"/>
          <w:color w:val="000000"/>
        </w:rPr>
        <w:t>(</w:t>
      </w:r>
      <w:r w:rsidR="008F6789" w:rsidRPr="00657D64">
        <w:rPr>
          <w:rFonts w:eastAsia="Times New Roman"/>
          <w:color w:val="000000"/>
        </w:rPr>
        <w:t>+4.0%</w:t>
      </w:r>
      <w:r w:rsidR="00075765" w:rsidRPr="00657D64">
        <w:rPr>
          <w:rFonts w:eastAsia="Times New Roman"/>
          <w:color w:val="000000"/>
        </w:rPr>
        <w:t>)</w:t>
      </w:r>
      <w:r w:rsidR="006B0DC3" w:rsidRPr="00657D64">
        <w:rPr>
          <w:rFonts w:eastAsia="Times New Roman"/>
          <w:color w:val="000000"/>
        </w:rPr>
        <w:t xml:space="preserve"> a</w:t>
      </w:r>
      <w:r w:rsidR="008F6789" w:rsidRPr="00657D64">
        <w:rPr>
          <w:rFonts w:eastAsia="Times New Roman"/>
          <w:color w:val="000000"/>
        </w:rPr>
        <w:t xml:space="preserve">nd transport services </w:t>
      </w:r>
      <w:r w:rsidR="00075765" w:rsidRPr="00657D64">
        <w:rPr>
          <w:rFonts w:eastAsia="Times New Roman"/>
          <w:color w:val="000000"/>
        </w:rPr>
        <w:t>(</w:t>
      </w:r>
      <w:r w:rsidR="008F6789" w:rsidRPr="00657D64">
        <w:rPr>
          <w:rFonts w:eastAsia="Times New Roman"/>
          <w:color w:val="000000"/>
        </w:rPr>
        <w:t>+3.4%</w:t>
      </w:r>
      <w:r w:rsidR="00075765" w:rsidRPr="00657D64">
        <w:rPr>
          <w:rFonts w:eastAsia="Times New Roman"/>
          <w:color w:val="000000"/>
        </w:rPr>
        <w:t>)</w:t>
      </w:r>
      <w:r w:rsidR="008F6789" w:rsidRPr="00657D64">
        <w:rPr>
          <w:rFonts w:eastAsia="Times New Roman"/>
          <w:color w:val="000000"/>
        </w:rPr>
        <w:t xml:space="preserve">. </w:t>
      </w:r>
      <w:r w:rsidR="0053714A" w:rsidRPr="00657D64">
        <w:rPr>
          <w:color w:val="000000"/>
        </w:rPr>
        <w:t>Within the healthcare group, increase was observed in prices of medical products</w:t>
      </w:r>
      <w:r w:rsidR="0053714A" w:rsidRPr="00657D64">
        <w:rPr>
          <w:color w:val="000000"/>
          <w:vertAlign w:val="superscript"/>
        </w:rPr>
        <w:footnoteReference w:id="5"/>
      </w:r>
      <w:r w:rsidR="006B0DC3" w:rsidRPr="00657D64">
        <w:rPr>
          <w:color w:val="000000"/>
        </w:rPr>
        <w:t>, appliances and equipment (+</w:t>
      </w:r>
      <w:r w:rsidR="0053714A" w:rsidRPr="00657D64">
        <w:rPr>
          <w:color w:val="000000"/>
        </w:rPr>
        <w:t>18.</w:t>
      </w:r>
      <w:r w:rsidR="006B0DC3" w:rsidRPr="00657D64">
        <w:rPr>
          <w:color w:val="000000"/>
        </w:rPr>
        <w:t>1%) and outpatient services (+</w:t>
      </w:r>
      <w:r w:rsidR="0053714A" w:rsidRPr="00657D64">
        <w:rPr>
          <w:color w:val="000000"/>
        </w:rPr>
        <w:t xml:space="preserve">5.5%). </w:t>
      </w:r>
      <w:r w:rsidR="000B11DC" w:rsidRPr="00657D64">
        <w:rPr>
          <w:color w:val="000000"/>
        </w:rPr>
        <w:t xml:space="preserve">Over 2017, one-time factors caused inflation to rise. Surge in oil prices on international market, the strong devaluation of nominal effective exchange rate and another wave of the excise tax </w:t>
      </w:r>
      <w:r w:rsidR="000B11DC" w:rsidRPr="00657D64">
        <w:rPr>
          <w:rStyle w:val="FootnoteReference"/>
          <w:color w:val="000000"/>
        </w:rPr>
        <w:footnoteReference w:id="6"/>
      </w:r>
      <w:r w:rsidR="000B11DC" w:rsidRPr="00657D64">
        <w:rPr>
          <w:color w:val="000000"/>
        </w:rPr>
        <w:t xml:space="preserve">increase on tobacco </w:t>
      </w:r>
      <w:r w:rsidR="00163417">
        <w:rPr>
          <w:color w:val="000000"/>
        </w:rPr>
        <w:t xml:space="preserve">and oil products </w:t>
      </w:r>
      <w:r w:rsidR="000B11DC" w:rsidRPr="00657D64">
        <w:rPr>
          <w:color w:val="000000"/>
        </w:rPr>
        <w:t xml:space="preserve">were the most visible inflationary forces. </w:t>
      </w:r>
      <w:r w:rsidR="009650C6" w:rsidRPr="00657D64">
        <w:rPr>
          <w:color w:val="000000"/>
        </w:rPr>
        <w:t>As a matter of fact, the annual inflation edged up to 7.6% in July 2017 compared to July 2015. The greatest pressure on the consumer price changes came from</w:t>
      </w:r>
      <w:r w:rsidR="0034715C" w:rsidRPr="00657D64">
        <w:rPr>
          <w:color w:val="000000"/>
        </w:rPr>
        <w:t xml:space="preserve"> the </w:t>
      </w:r>
      <w:r w:rsidR="005806BA" w:rsidRPr="00657D64">
        <w:rPr>
          <w:color w:val="000000"/>
        </w:rPr>
        <w:t xml:space="preserve">food and </w:t>
      </w:r>
      <w:r w:rsidR="0034715C" w:rsidRPr="00657D64">
        <w:rPr>
          <w:color w:val="000000"/>
        </w:rPr>
        <w:t>non-alcoholic beverages (+</w:t>
      </w:r>
      <w:r w:rsidR="009650C6" w:rsidRPr="00657D64">
        <w:rPr>
          <w:color w:val="000000"/>
        </w:rPr>
        <w:t>8.3%), alco</w:t>
      </w:r>
      <w:r w:rsidR="0034715C" w:rsidRPr="00657D64">
        <w:rPr>
          <w:color w:val="000000"/>
        </w:rPr>
        <w:t>holic beverages and tobacco (+</w:t>
      </w:r>
      <w:r w:rsidR="00C07D61">
        <w:rPr>
          <w:color w:val="000000"/>
        </w:rPr>
        <w:t xml:space="preserve">32.6%), </w:t>
      </w:r>
      <w:r w:rsidR="002075C4">
        <w:rPr>
          <w:rFonts w:ascii="Calibri" w:eastAsia="Times New Roman" w:hAnsi="Calibri" w:cs="Calibri"/>
          <w:color w:val="000000"/>
        </w:rPr>
        <w:t>h</w:t>
      </w:r>
      <w:r w:rsidR="00C07D61" w:rsidRPr="00C07D61">
        <w:rPr>
          <w:rFonts w:ascii="Calibri" w:eastAsia="Times New Roman" w:hAnsi="Calibri" w:cs="Calibri"/>
          <w:color w:val="000000"/>
        </w:rPr>
        <w:t>ousing, water, electricity, gas and other fuels</w:t>
      </w:r>
      <w:r w:rsidR="00C07D61">
        <w:rPr>
          <w:rFonts w:ascii="Calibri" w:eastAsia="Times New Roman" w:hAnsi="Calibri" w:cs="Calibri"/>
          <w:color w:val="000000"/>
        </w:rPr>
        <w:t xml:space="preserve"> (+7.2%) and </w:t>
      </w:r>
      <w:r w:rsidR="009650C6" w:rsidRPr="00657D64">
        <w:rPr>
          <w:color w:val="000000"/>
        </w:rPr>
        <w:t>heal</w:t>
      </w:r>
      <w:r w:rsidR="0034715C" w:rsidRPr="00657D64">
        <w:rPr>
          <w:color w:val="000000"/>
        </w:rPr>
        <w:t>thcare products and services (+</w:t>
      </w:r>
      <w:r w:rsidR="009650C6" w:rsidRPr="00657D64">
        <w:rPr>
          <w:color w:val="000000"/>
        </w:rPr>
        <w:t xml:space="preserve">11.3%) groups. </w:t>
      </w:r>
    </w:p>
    <w:p w14:paraId="6551A086" w14:textId="6453A127" w:rsidR="00BD52BD" w:rsidRDefault="002947D6" w:rsidP="00657D64">
      <w:pPr>
        <w:tabs>
          <w:tab w:val="right" w:pos="9026"/>
        </w:tabs>
        <w:jc w:val="both"/>
      </w:pPr>
      <w:r>
        <w:rPr>
          <w:b/>
          <w:color w:val="000000"/>
        </w:rPr>
        <w:t>Unemployment rate remains high in Georgia and the d</w:t>
      </w:r>
      <w:r w:rsidR="00E74415" w:rsidRPr="00E74415">
        <w:rPr>
          <w:b/>
          <w:color w:val="000000"/>
        </w:rPr>
        <w:t xml:space="preserve">istribution of employees </w:t>
      </w:r>
      <w:r>
        <w:rPr>
          <w:b/>
          <w:color w:val="000000"/>
        </w:rPr>
        <w:t xml:space="preserve">poses the most significant challenge in terms of employment. </w:t>
      </w:r>
      <w:r w:rsidR="007F0B02" w:rsidRPr="00E74415">
        <w:rPr>
          <w:color w:val="000000"/>
        </w:rPr>
        <w:t xml:space="preserve">The largest proportion of the labour force is self-employed </w:t>
      </w:r>
      <w:r w:rsidR="00E308D7" w:rsidRPr="00E74415">
        <w:rPr>
          <w:color w:val="000000"/>
        </w:rPr>
        <w:t xml:space="preserve">and mainly </w:t>
      </w:r>
      <w:r w:rsidR="007F0B02" w:rsidRPr="00E74415">
        <w:rPr>
          <w:color w:val="000000"/>
        </w:rPr>
        <w:t>concentrated in agriculture</w:t>
      </w:r>
      <w:r w:rsidR="00A27694" w:rsidRPr="00E74415">
        <w:rPr>
          <w:color w:val="000000"/>
        </w:rPr>
        <w:t>,</w:t>
      </w:r>
      <w:r w:rsidR="00E308D7" w:rsidRPr="00E74415">
        <w:rPr>
          <w:color w:val="000000"/>
        </w:rPr>
        <w:t xml:space="preserve"> which</w:t>
      </w:r>
      <w:r w:rsidR="007F0B02" w:rsidRPr="00E74415">
        <w:rPr>
          <w:color w:val="000000"/>
        </w:rPr>
        <w:t xml:space="preserve"> contri</w:t>
      </w:r>
      <w:r w:rsidR="00E308D7" w:rsidRPr="00E74415">
        <w:rPr>
          <w:color w:val="000000"/>
        </w:rPr>
        <w:t xml:space="preserve">butes 8.2% to </w:t>
      </w:r>
      <w:r w:rsidR="007F0B02" w:rsidRPr="00E74415">
        <w:rPr>
          <w:color w:val="000000"/>
        </w:rPr>
        <w:t>GDP.</w:t>
      </w:r>
      <w:r w:rsidR="00E74415">
        <w:rPr>
          <w:color w:val="000000"/>
        </w:rPr>
        <w:t xml:space="preserve"> </w:t>
      </w:r>
      <w:r w:rsidR="007258BB" w:rsidRPr="00657D64">
        <w:rPr>
          <w:color w:val="000000"/>
        </w:rPr>
        <w:t>The siz</w:t>
      </w:r>
      <w:r w:rsidR="00A27694">
        <w:rPr>
          <w:color w:val="000000"/>
        </w:rPr>
        <w:t>e of the labour force (employed</w:t>
      </w:r>
      <w:r w:rsidR="007258BB" w:rsidRPr="00657D64">
        <w:rPr>
          <w:color w:val="000000"/>
        </w:rPr>
        <w:t>+ unemployed) in Georgia ranged from 2021.5 thousand people in 2015 to 1998.3 in 2016 (</w:t>
      </w:r>
      <w:r w:rsidR="007258BB" w:rsidRPr="00657D64">
        <w:rPr>
          <w:rStyle w:val="Emphasis"/>
          <w:bCs/>
          <w:i w:val="0"/>
          <w:iCs w:val="0"/>
        </w:rPr>
        <w:t xml:space="preserve">latest figures published by Geostat). Among those who are considered as employed (self-employed and hired), the majority of them are self-employed. According to Geostat, this category is largely concentrated in agriculture, where self-employment rate is 48%. </w:t>
      </w:r>
      <w:r w:rsidR="009F05A5" w:rsidRPr="00657D64">
        <w:rPr>
          <w:rStyle w:val="Emphasis"/>
          <w:bCs/>
          <w:i w:val="0"/>
          <w:iCs w:val="0"/>
        </w:rPr>
        <w:t xml:space="preserve">In 2016, the share of self-employed and hired out of total employment equaled 57.3% and 42.3% respectively. Moreover, the number of hired employees declined by 1.1% and the number of self-employed by 0.7% in 2016 compared to the previous year. Interestingly enough unemployment rate together with an employment rate dropped by 0.2 percentage points </w:t>
      </w:r>
      <w:r w:rsidR="009F05A5" w:rsidRPr="00657D64">
        <w:t xml:space="preserve">(unemployment in 2016 - 11.8%, in 2015 - 12%; employment in 2016 - 59.5%, in 2015 - 59.7%). </w:t>
      </w:r>
      <w:r w:rsidR="00D46D79" w:rsidRPr="00657D64">
        <w:t xml:space="preserve">During the same period, the number of unemployed decreased by 6.5 thousand people. </w:t>
      </w:r>
      <w:r w:rsidR="009F05A5" w:rsidRPr="00657D64">
        <w:t>In 2016, urban unemployment rate significantly prevailed rural une</w:t>
      </w:r>
      <w:r w:rsidR="007F0B02">
        <w:t>mployment rate (21.1% vs</w:t>
      </w:r>
      <w:r w:rsidR="006D3A5E">
        <w:t>.</w:t>
      </w:r>
      <w:r w:rsidR="007F0B02">
        <w:t xml:space="preserve"> 5.0%) mainly because of employment in agriculture. </w:t>
      </w:r>
    </w:p>
    <w:p w14:paraId="07881351" w14:textId="77777777" w:rsidR="00DE2DC7" w:rsidRDefault="00D45A99" w:rsidP="00657D64">
      <w:pPr>
        <w:tabs>
          <w:tab w:val="right" w:pos="9026"/>
        </w:tabs>
        <w:jc w:val="both"/>
        <w:rPr>
          <w:rStyle w:val="Emphasis"/>
          <w:i w:val="0"/>
          <w:iCs w:val="0"/>
          <w:color w:val="000000" w:themeColor="text1"/>
          <w:shd w:val="clear" w:color="auto" w:fill="FFFFFF"/>
        </w:rPr>
      </w:pPr>
      <w:r>
        <w:rPr>
          <w:b/>
        </w:rPr>
        <w:t xml:space="preserve">High levels of youth unemployment stays the most important </w:t>
      </w:r>
      <w:r w:rsidR="000E161D">
        <w:rPr>
          <w:b/>
        </w:rPr>
        <w:t>problem</w:t>
      </w:r>
      <w:r w:rsidR="00701A74">
        <w:rPr>
          <w:b/>
        </w:rPr>
        <w:t xml:space="preserve"> of unemployment structure in Georgia. </w:t>
      </w:r>
      <w:r w:rsidR="007F0B02">
        <w:t>U</w:t>
      </w:r>
      <w:r w:rsidR="009F05A5" w:rsidRPr="00657D64">
        <w:t>nemployment rate by age groups shows that in 2016, young people aged 15-19 and 20-24 continued to be the most disadvantaged. The unemployment rate reached the highest level for the age group of 15-19 (31.9%), which is 5.7 percentage points higher compared to the last year’s indicator. Also, it was high for the age group of 15-24 and amounted to 30.0%.</w:t>
      </w:r>
      <w:r w:rsidR="00EA761A" w:rsidRPr="00657D64">
        <w:t xml:space="preserve"> </w:t>
      </w:r>
      <w:r w:rsidR="00436F20" w:rsidRPr="00657D64">
        <w:t xml:space="preserve">Meanwhile, the average Georgian earned 940 </w:t>
      </w:r>
      <w:r w:rsidR="00A05EEE" w:rsidRPr="00657D64">
        <w:t xml:space="preserve">GEL </w:t>
      </w:r>
      <w:r w:rsidR="00436F20" w:rsidRPr="00657D64">
        <w:t xml:space="preserve">per month </w:t>
      </w:r>
      <w:r w:rsidR="00851513" w:rsidRPr="00657D64">
        <w:t xml:space="preserve">in 2016, up from 900 </w:t>
      </w:r>
      <w:r w:rsidR="00A05EEE" w:rsidRPr="00657D64">
        <w:t xml:space="preserve">GEL </w:t>
      </w:r>
      <w:r w:rsidR="00851513" w:rsidRPr="00657D64">
        <w:t>in 2015</w:t>
      </w:r>
      <w:r w:rsidR="00436F20" w:rsidRPr="00657D64">
        <w:t xml:space="preserve">. </w:t>
      </w:r>
      <w:r w:rsidR="00436F20" w:rsidRPr="00657D64">
        <w:lastRenderedPageBreak/>
        <w:t xml:space="preserve">The annual growth rate of the average monthly real salary adjusted for 2010 prices stood at 2.2% in 2016 compared to the 2015. </w:t>
      </w:r>
      <w:r w:rsidR="00436F20" w:rsidRPr="00657D64">
        <w:rPr>
          <w:rStyle w:val="Emphasis"/>
          <w:i w:val="0"/>
          <w:iCs w:val="0"/>
          <w:color w:val="000000" w:themeColor="text1"/>
          <w:shd w:val="clear" w:color="auto" w:fill="FFFFFF"/>
        </w:rPr>
        <w:t xml:space="preserve">In absolute terms, men benefited more than women due to increased salaries. Men’s average nominal salary increased from 1074.3 </w:t>
      </w:r>
      <w:r w:rsidR="00A05EEE" w:rsidRPr="00657D64">
        <w:rPr>
          <w:rStyle w:val="Emphasis"/>
          <w:i w:val="0"/>
          <w:iCs w:val="0"/>
          <w:color w:val="000000" w:themeColor="text1"/>
          <w:shd w:val="clear" w:color="auto" w:fill="FFFFFF"/>
        </w:rPr>
        <w:t xml:space="preserve">GEL </w:t>
      </w:r>
      <w:r w:rsidR="00436F20" w:rsidRPr="00657D64">
        <w:rPr>
          <w:rStyle w:val="Emphasis"/>
          <w:i w:val="0"/>
          <w:iCs w:val="0"/>
          <w:color w:val="000000" w:themeColor="text1"/>
          <w:shd w:val="clear" w:color="auto" w:fill="FFFFFF"/>
        </w:rPr>
        <w:t xml:space="preserve">in 2015 to 1116.6 </w:t>
      </w:r>
      <w:r w:rsidR="00A05EEE" w:rsidRPr="00657D64">
        <w:rPr>
          <w:rStyle w:val="Emphasis"/>
          <w:i w:val="0"/>
          <w:iCs w:val="0"/>
          <w:color w:val="000000" w:themeColor="text1"/>
          <w:shd w:val="clear" w:color="auto" w:fill="FFFFFF"/>
        </w:rPr>
        <w:t xml:space="preserve">GEL </w:t>
      </w:r>
      <w:r w:rsidR="00436F20" w:rsidRPr="00657D64">
        <w:rPr>
          <w:rStyle w:val="Emphasis"/>
          <w:i w:val="0"/>
          <w:iCs w:val="0"/>
          <w:color w:val="000000" w:themeColor="text1"/>
          <w:shd w:val="clear" w:color="auto" w:fill="FFFFFF"/>
        </w:rPr>
        <w:t>in 2016. On the contrary, women’s average nominal salary increased from 692.5 GE</w:t>
      </w:r>
      <w:r w:rsidR="00681D58" w:rsidRPr="00657D64">
        <w:rPr>
          <w:rStyle w:val="Emphasis"/>
          <w:i w:val="0"/>
          <w:iCs w:val="0"/>
          <w:color w:val="000000" w:themeColor="text1"/>
          <w:shd w:val="clear" w:color="auto" w:fill="FFFFFF"/>
        </w:rPr>
        <w:t>L in 2015 to 731.2 GEL in 2016.</w:t>
      </w:r>
      <w:r w:rsidR="00A05EEE" w:rsidRPr="00657D64">
        <w:rPr>
          <w:rStyle w:val="Emphasis"/>
          <w:i w:val="0"/>
          <w:iCs w:val="0"/>
          <w:color w:val="000000" w:themeColor="text1"/>
          <w:shd w:val="clear" w:color="auto" w:fill="FFFFFF"/>
        </w:rPr>
        <w:t xml:space="preserve"> </w:t>
      </w:r>
    </w:p>
    <w:p w14:paraId="0A59CDB7" w14:textId="77777777" w:rsidR="00E92172" w:rsidRPr="00A35D56" w:rsidRDefault="00A35D56" w:rsidP="00657D64">
      <w:pPr>
        <w:tabs>
          <w:tab w:val="right" w:pos="9026"/>
        </w:tabs>
        <w:jc w:val="both"/>
        <w:rPr>
          <w:b/>
        </w:rPr>
      </w:pPr>
      <w:r>
        <w:rPr>
          <w:rStyle w:val="Emphasis"/>
          <w:b/>
          <w:i w:val="0"/>
          <w:iCs w:val="0"/>
        </w:rPr>
        <w:t>Government spending on healthcare and social protection out of the total budget decreased from 2016 to 2017.</w:t>
      </w:r>
      <w:r w:rsidR="00955BB3">
        <w:rPr>
          <w:rStyle w:val="Emphasis"/>
          <w:b/>
          <w:i w:val="0"/>
          <w:iCs w:val="0"/>
        </w:rPr>
        <w:t xml:space="preserve"> </w:t>
      </w:r>
      <w:r w:rsidR="00681D58" w:rsidRPr="00657D64">
        <w:rPr>
          <w:rStyle w:val="Emphasis"/>
          <w:i w:val="0"/>
          <w:iCs w:val="0"/>
          <w:color w:val="000000" w:themeColor="text1"/>
          <w:shd w:val="clear" w:color="auto" w:fill="FFFFFF"/>
        </w:rPr>
        <w:t xml:space="preserve">The state budget of Georgia </w:t>
      </w:r>
      <w:r w:rsidR="00045078" w:rsidRPr="00657D64">
        <w:rPr>
          <w:rStyle w:val="Emphasis"/>
          <w:i w:val="0"/>
          <w:iCs w:val="0"/>
          <w:color w:val="000000" w:themeColor="text1"/>
          <w:shd w:val="clear" w:color="auto" w:fill="FFFFFF"/>
        </w:rPr>
        <w:t xml:space="preserve">increased by </w:t>
      </w:r>
      <w:r w:rsidR="005140C5" w:rsidRPr="00657D64">
        <w:rPr>
          <w:rStyle w:val="Emphasis"/>
          <w:i w:val="0"/>
          <w:iCs w:val="0"/>
          <w:color w:val="000000" w:themeColor="text1"/>
          <w:shd w:val="clear" w:color="auto" w:fill="FFFFFF"/>
        </w:rPr>
        <w:t xml:space="preserve">6.4% and 10.0% in nominal terms </w:t>
      </w:r>
      <w:r w:rsidR="005A7DC7" w:rsidRPr="00657D64">
        <w:rPr>
          <w:rStyle w:val="Emphasis"/>
          <w:i w:val="0"/>
          <w:iCs w:val="0"/>
          <w:color w:val="000000" w:themeColor="text1"/>
          <w:shd w:val="clear" w:color="auto" w:fill="FFFFFF"/>
        </w:rPr>
        <w:t>in 2016 and 2017, respectively.</w:t>
      </w:r>
      <w:r w:rsidR="00B956EE" w:rsidRPr="00657D64">
        <w:rPr>
          <w:rStyle w:val="Emphasis"/>
          <w:i w:val="0"/>
          <w:iCs w:val="0"/>
          <w:color w:val="000000" w:themeColor="text1"/>
          <w:shd w:val="clear" w:color="auto" w:fill="FFFFFF"/>
        </w:rPr>
        <w:t xml:space="preserve"> </w:t>
      </w:r>
      <w:r w:rsidR="00940469" w:rsidRPr="00657D64">
        <w:rPr>
          <w:rStyle w:val="Emphasis"/>
          <w:i w:val="0"/>
          <w:iCs w:val="0"/>
          <w:color w:val="000000" w:themeColor="text1"/>
          <w:shd w:val="clear" w:color="auto" w:fill="FFFFFF"/>
        </w:rPr>
        <w:t>T</w:t>
      </w:r>
      <w:r w:rsidR="00B956EE" w:rsidRPr="00657D64">
        <w:rPr>
          <w:rStyle w:val="Emphasis"/>
          <w:i w:val="0"/>
          <w:iCs w:val="0"/>
          <w:color w:val="000000" w:themeColor="text1"/>
          <w:shd w:val="clear" w:color="auto" w:fill="FFFFFF"/>
        </w:rPr>
        <w:t xml:space="preserve">he share of education </w:t>
      </w:r>
      <w:r w:rsidR="006E7FE1" w:rsidRPr="00657D64">
        <w:rPr>
          <w:rStyle w:val="Emphasis"/>
          <w:i w:val="0"/>
          <w:iCs w:val="0"/>
          <w:color w:val="000000" w:themeColor="text1"/>
          <w:shd w:val="clear" w:color="auto" w:fill="FFFFFF"/>
        </w:rPr>
        <w:t xml:space="preserve">expenditures </w:t>
      </w:r>
      <w:r w:rsidR="00B956EE" w:rsidRPr="00657D64">
        <w:rPr>
          <w:rStyle w:val="Emphasis"/>
          <w:i w:val="0"/>
          <w:iCs w:val="0"/>
          <w:color w:val="000000" w:themeColor="text1"/>
          <w:shd w:val="clear" w:color="auto" w:fill="FFFFFF"/>
        </w:rPr>
        <w:t xml:space="preserve">out of the total budget </w:t>
      </w:r>
      <w:r w:rsidR="00EA1CBB" w:rsidRPr="00657D64">
        <w:rPr>
          <w:rStyle w:val="Emphasis"/>
          <w:i w:val="0"/>
          <w:iCs w:val="0"/>
          <w:color w:val="000000" w:themeColor="text1"/>
          <w:shd w:val="clear" w:color="auto" w:fill="FFFFFF"/>
        </w:rPr>
        <w:t>grew by 0.4 percentage points from 2016 to 2017.</w:t>
      </w:r>
      <w:r w:rsidR="005E7F2D" w:rsidRPr="00657D64">
        <w:rPr>
          <w:rStyle w:val="Emphasis"/>
          <w:i w:val="0"/>
          <w:iCs w:val="0"/>
          <w:color w:val="000000" w:themeColor="text1"/>
          <w:shd w:val="clear" w:color="auto" w:fill="FFFFFF"/>
        </w:rPr>
        <w:t xml:space="preserve"> </w:t>
      </w:r>
      <w:r w:rsidR="004C1116" w:rsidRPr="00657D64">
        <w:rPr>
          <w:rStyle w:val="Emphasis"/>
          <w:i w:val="0"/>
          <w:iCs w:val="0"/>
          <w:color w:val="000000" w:themeColor="text1"/>
          <w:shd w:val="clear" w:color="auto" w:fill="FFFFFF"/>
        </w:rPr>
        <w:t xml:space="preserve">On the other hand, the share of healthcare </w:t>
      </w:r>
      <w:r w:rsidR="006E7FE1" w:rsidRPr="00657D64">
        <w:rPr>
          <w:rStyle w:val="Emphasis"/>
          <w:i w:val="0"/>
          <w:iCs w:val="0"/>
          <w:color w:val="000000" w:themeColor="text1"/>
          <w:shd w:val="clear" w:color="auto" w:fill="FFFFFF"/>
        </w:rPr>
        <w:t xml:space="preserve">expenditures </w:t>
      </w:r>
      <w:r w:rsidR="000E2122" w:rsidRPr="00657D64">
        <w:rPr>
          <w:rStyle w:val="Emphasis"/>
          <w:i w:val="0"/>
          <w:iCs w:val="0"/>
          <w:color w:val="000000" w:themeColor="text1"/>
          <w:shd w:val="clear" w:color="auto" w:fill="FFFFFF"/>
        </w:rPr>
        <w:t xml:space="preserve">decreased by 0.6 percentage points from </w:t>
      </w:r>
      <w:r w:rsidR="006E7FE1" w:rsidRPr="00657D64">
        <w:rPr>
          <w:rStyle w:val="Emphasis"/>
          <w:i w:val="0"/>
          <w:iCs w:val="0"/>
          <w:color w:val="000000" w:themeColor="text1"/>
          <w:shd w:val="clear" w:color="auto" w:fill="FFFFFF"/>
        </w:rPr>
        <w:t>2016 to 2017,</w:t>
      </w:r>
      <w:r w:rsidR="000E2122" w:rsidRPr="00657D64">
        <w:rPr>
          <w:rStyle w:val="Emphasis"/>
          <w:i w:val="0"/>
          <w:iCs w:val="0"/>
          <w:color w:val="000000" w:themeColor="text1"/>
          <w:shd w:val="clear" w:color="auto" w:fill="FFFFFF"/>
        </w:rPr>
        <w:t xml:space="preserve"> and the share</w:t>
      </w:r>
      <w:r w:rsidR="00C52C8A" w:rsidRPr="00657D64">
        <w:rPr>
          <w:rStyle w:val="Emphasis"/>
          <w:i w:val="0"/>
          <w:iCs w:val="0"/>
          <w:color w:val="000000" w:themeColor="text1"/>
          <w:shd w:val="clear" w:color="auto" w:fill="FFFFFF"/>
        </w:rPr>
        <w:t xml:space="preserve"> of social protection </w:t>
      </w:r>
      <w:r w:rsidR="006E7FE1" w:rsidRPr="00657D64">
        <w:rPr>
          <w:rStyle w:val="Emphasis"/>
          <w:i w:val="0"/>
          <w:iCs w:val="0"/>
          <w:color w:val="000000" w:themeColor="text1"/>
          <w:shd w:val="clear" w:color="auto" w:fill="FFFFFF"/>
        </w:rPr>
        <w:t xml:space="preserve">spending </w:t>
      </w:r>
      <w:r w:rsidR="00C52C8A" w:rsidRPr="00657D64">
        <w:rPr>
          <w:rStyle w:val="Emphasis"/>
          <w:i w:val="0"/>
          <w:iCs w:val="0"/>
          <w:color w:val="000000" w:themeColor="text1"/>
          <w:shd w:val="clear" w:color="auto" w:fill="FFFFFF"/>
        </w:rPr>
        <w:t xml:space="preserve">dropped by </w:t>
      </w:r>
      <w:r w:rsidR="00955BB3">
        <w:rPr>
          <w:rStyle w:val="Emphasis"/>
          <w:i w:val="0"/>
          <w:iCs w:val="0"/>
          <w:color w:val="000000" w:themeColor="text1"/>
          <w:shd w:val="clear" w:color="auto" w:fill="FFFFFF"/>
        </w:rPr>
        <w:t xml:space="preserve">1 </w:t>
      </w:r>
      <w:r w:rsidR="006E7FE1" w:rsidRPr="00657D64">
        <w:rPr>
          <w:rStyle w:val="Emphasis"/>
          <w:i w:val="0"/>
          <w:iCs w:val="0"/>
          <w:color w:val="000000" w:themeColor="text1"/>
          <w:shd w:val="clear" w:color="auto" w:fill="FFFFFF"/>
        </w:rPr>
        <w:t xml:space="preserve">percentage points. </w:t>
      </w:r>
      <w:r w:rsidR="00A05EEE" w:rsidRPr="00657D64">
        <w:t>Aggregate government spending is projected to be 11.4 billion GEL in 2018</w:t>
      </w:r>
      <w:r w:rsidR="00021A77" w:rsidRPr="00657D64">
        <w:t>, 9.7%</w:t>
      </w:r>
      <w:r w:rsidR="00A05EEE" w:rsidRPr="00657D64">
        <w:t xml:space="preserve"> increase compared to the last year.</w:t>
      </w:r>
      <w:r w:rsidR="006E7FE1" w:rsidRPr="00657D64">
        <w:t xml:space="preserve"> In 2018, the share of e</w:t>
      </w:r>
      <w:r w:rsidR="00E84962" w:rsidRPr="00657D64">
        <w:t xml:space="preserve">ducation expenditures </w:t>
      </w:r>
      <w:r w:rsidR="00FD5946" w:rsidRPr="00657D64">
        <w:t xml:space="preserve">out of the total budget </w:t>
      </w:r>
      <w:r w:rsidR="00E92172" w:rsidRPr="00657D64">
        <w:t xml:space="preserve">will </w:t>
      </w:r>
      <w:r w:rsidR="00E84962" w:rsidRPr="00657D64">
        <w:t xml:space="preserve">decrease by 0.4 percentage points. Also, the share of healthcare </w:t>
      </w:r>
      <w:r w:rsidR="00E92172" w:rsidRPr="00657D64">
        <w:t>exp</w:t>
      </w:r>
      <w:r w:rsidR="00130422" w:rsidRPr="00657D64">
        <w:t xml:space="preserve">enditures is expected to fall by 0.7 percentage points and the social protection spending by 1.0 percentage points. </w:t>
      </w:r>
    </w:p>
    <w:p w14:paraId="32359D4E" w14:textId="77777777" w:rsidR="00A838EF" w:rsidRPr="00DB06C9" w:rsidRDefault="00526C66" w:rsidP="006058F1">
      <w:pPr>
        <w:tabs>
          <w:tab w:val="right" w:pos="9026"/>
        </w:tabs>
        <w:spacing w:after="0"/>
        <w:jc w:val="both"/>
        <w:rPr>
          <w:b/>
          <w:color w:val="000000" w:themeColor="text1"/>
          <w:shd w:val="clear" w:color="auto" w:fill="FFFFFF"/>
        </w:rPr>
      </w:pPr>
      <w:r w:rsidRPr="00526C66">
        <w:rPr>
          <w:rStyle w:val="Emphasis"/>
          <w:b/>
          <w:i w:val="0"/>
          <w:iCs w:val="0"/>
          <w:color w:val="000000" w:themeColor="text1"/>
          <w:shd w:val="clear" w:color="auto" w:fill="FFFFFF"/>
        </w:rPr>
        <w:t xml:space="preserve">Pensions, Targeted Social Assistance (TSA) coupled with the Child Benefit </w:t>
      </w:r>
      <w:r>
        <w:rPr>
          <w:rStyle w:val="Emphasis"/>
          <w:b/>
          <w:i w:val="0"/>
          <w:iCs w:val="0"/>
          <w:color w:val="000000" w:themeColor="text1"/>
          <w:shd w:val="clear" w:color="auto" w:fill="FFFFFF"/>
        </w:rPr>
        <w:t xml:space="preserve">Programme (CBP) and </w:t>
      </w:r>
      <w:r w:rsidRPr="00526C66">
        <w:rPr>
          <w:rStyle w:val="Emphasis"/>
          <w:b/>
          <w:i w:val="0"/>
          <w:iCs w:val="0"/>
          <w:color w:val="000000" w:themeColor="text1"/>
          <w:shd w:val="clear" w:color="auto" w:fill="FFFFFF"/>
        </w:rPr>
        <w:t xml:space="preserve">Categorical Benefits are </w:t>
      </w:r>
      <w:r w:rsidR="00932E43">
        <w:rPr>
          <w:rStyle w:val="Emphasis"/>
          <w:b/>
          <w:i w:val="0"/>
          <w:iCs w:val="0"/>
          <w:color w:val="000000" w:themeColor="text1"/>
          <w:shd w:val="clear" w:color="auto" w:fill="FFFFFF"/>
        </w:rPr>
        <w:t xml:space="preserve">the main </w:t>
      </w:r>
      <w:r w:rsidRPr="00526C66">
        <w:rPr>
          <w:rStyle w:val="Emphasis"/>
          <w:b/>
          <w:i w:val="0"/>
          <w:iCs w:val="0"/>
          <w:color w:val="000000" w:themeColor="text1"/>
          <w:shd w:val="clear" w:color="auto" w:fill="FFFFFF"/>
        </w:rPr>
        <w:t>social security assistance in Georgia.</w:t>
      </w:r>
      <w:r>
        <w:rPr>
          <w:rStyle w:val="Emphasis"/>
          <w:i w:val="0"/>
          <w:iCs w:val="0"/>
          <w:color w:val="000000" w:themeColor="text1"/>
          <w:shd w:val="clear" w:color="auto" w:fill="FFFFFF"/>
        </w:rPr>
        <w:t xml:space="preserve"> </w:t>
      </w:r>
      <w:r w:rsidR="003D2073" w:rsidRPr="00657D64">
        <w:rPr>
          <w:rStyle w:val="Emphasis"/>
          <w:i w:val="0"/>
          <w:iCs w:val="0"/>
          <w:color w:val="000000" w:themeColor="text1"/>
          <w:shd w:val="clear" w:color="auto" w:fill="FFFFFF"/>
        </w:rPr>
        <w:t>It is noteworthy that, social protection expenditure is the largest spending item of the state budget, accounting for 24.6% of the central public expenditure, (6.7% of GDP) in 2017.</w:t>
      </w:r>
      <w:r w:rsidR="002B2182">
        <w:rPr>
          <w:rStyle w:val="Emphasis"/>
          <w:i w:val="0"/>
          <w:iCs w:val="0"/>
          <w:color w:val="000000" w:themeColor="text1"/>
          <w:shd w:val="clear" w:color="auto" w:fill="FFFFFF"/>
        </w:rPr>
        <w:t xml:space="preserve"> Social pensions </w:t>
      </w:r>
      <w:r w:rsidR="00FF6945">
        <w:rPr>
          <w:rStyle w:val="Emphasis"/>
          <w:i w:val="0"/>
          <w:iCs w:val="0"/>
          <w:color w:val="000000" w:themeColor="text1"/>
          <w:shd w:val="clear" w:color="auto" w:fill="FFFFFF"/>
        </w:rPr>
        <w:t>constituted approximately 62% of the total social security spending.</w:t>
      </w:r>
      <w:r w:rsidR="006058F1">
        <w:rPr>
          <w:rStyle w:val="Emphasis"/>
          <w:i w:val="0"/>
          <w:iCs w:val="0"/>
          <w:color w:val="000000" w:themeColor="text1"/>
          <w:shd w:val="clear" w:color="auto" w:fill="FFFFFF"/>
        </w:rPr>
        <w:t xml:space="preserve"> </w:t>
      </w:r>
      <w:r w:rsidR="00001EF1" w:rsidRPr="00657D64">
        <w:t>An</w:t>
      </w:r>
      <w:r w:rsidR="00B225C4" w:rsidRPr="00657D64">
        <w:t xml:space="preserve"> old age pension scheme </w:t>
      </w:r>
      <w:r w:rsidR="004C6126" w:rsidRPr="00657D64">
        <w:t>in Georgia is the lar</w:t>
      </w:r>
      <w:r w:rsidR="00065361" w:rsidRPr="00657D64">
        <w:t>gest social assistance programme</w:t>
      </w:r>
      <w:r w:rsidR="004C6126" w:rsidRPr="00657D64">
        <w:t xml:space="preserve">, </w:t>
      </w:r>
      <w:r w:rsidR="00300E93" w:rsidRPr="00657D64">
        <w:t>costing 4.2% of GDP in 2017. It provides a flat rate benefit to all people of pension age – men over 65, and women over the age of 60. In September 2017, 729,162 p</w:t>
      </w:r>
      <w:r w:rsidR="00BD31B4" w:rsidRPr="00657D64">
        <w:t>ensioners received the benefit totaling of 132,268,484 GEL</w:t>
      </w:r>
      <w:r w:rsidR="00704F8C" w:rsidRPr="00657D64">
        <w:rPr>
          <w:rStyle w:val="FootnoteReference"/>
        </w:rPr>
        <w:footnoteReference w:id="7"/>
      </w:r>
      <w:r w:rsidR="00DB06C9">
        <w:t xml:space="preserve">. </w:t>
      </w:r>
      <w:r w:rsidR="00776767" w:rsidRPr="00657D64">
        <w:t xml:space="preserve">In contrast, </w:t>
      </w:r>
      <w:r w:rsidR="00F15FE0" w:rsidRPr="00657D64">
        <w:t xml:space="preserve">Targeted Social Assistance (TSA) is the second largest cash-assistance programme of Georgia’s social security system. </w:t>
      </w:r>
      <w:r w:rsidR="001537E5" w:rsidRPr="00657D64">
        <w:t xml:space="preserve">It </w:t>
      </w:r>
      <w:r w:rsidR="00686EE5" w:rsidRPr="00657D64">
        <w:t xml:space="preserve">aims to improve socio-economic conditions of those families, which are experiencing financial and material hardships.  </w:t>
      </w:r>
      <w:r w:rsidR="00AB694D" w:rsidRPr="00657D64">
        <w:t>At the end of 2013, the government of Georgia (</w:t>
      </w:r>
      <w:proofErr w:type="spellStart"/>
      <w:r w:rsidR="00AB694D" w:rsidRPr="00657D64">
        <w:t>GoG</w:t>
      </w:r>
      <w:proofErr w:type="spellEnd"/>
      <w:r w:rsidR="00AB694D" w:rsidRPr="00657D64">
        <w:t xml:space="preserve">) </w:t>
      </w:r>
      <w:r w:rsidR="004051F0" w:rsidRPr="00657D64">
        <w:t xml:space="preserve">started a technical review of the TSA. As a result, new legislation was passed that </w:t>
      </w:r>
      <w:r w:rsidR="00686EE5" w:rsidRPr="00657D64">
        <w:t xml:space="preserve">modified </w:t>
      </w:r>
      <w:r w:rsidR="004051F0" w:rsidRPr="00657D64">
        <w:t>the targeting formula and benefit scheme of the TSA alongside with a new targeting programme: t</w:t>
      </w:r>
      <w:bookmarkStart w:id="25" w:name="_GoBack"/>
      <w:bookmarkEnd w:id="25"/>
      <w:r w:rsidR="004051F0" w:rsidRPr="00657D64">
        <w:t xml:space="preserve">he Child Benefit </w:t>
      </w:r>
      <w:r w:rsidR="00065361" w:rsidRPr="00657D64">
        <w:t>Programme (CPB</w:t>
      </w:r>
      <w:r w:rsidR="0019710F" w:rsidRPr="00657D64">
        <w:t xml:space="preserve">). </w:t>
      </w:r>
      <w:r w:rsidR="00BD32B5" w:rsidRPr="00657D64">
        <w:t>The implementation process started in June 2015</w:t>
      </w:r>
      <w:r w:rsidR="00BD32B5" w:rsidRPr="00657D64">
        <w:rPr>
          <w:rStyle w:val="FootnoteReference"/>
        </w:rPr>
        <w:footnoteReference w:id="8"/>
      </w:r>
      <w:r w:rsidR="00BD32B5" w:rsidRPr="00657D64">
        <w:t xml:space="preserve">, and compensation measures </w:t>
      </w:r>
      <w:r w:rsidR="00BD404C" w:rsidRPr="00657D64">
        <w:t xml:space="preserve">were adopted in August 2015. </w:t>
      </w:r>
      <w:r w:rsidR="00821EF4" w:rsidRPr="00657D64">
        <w:t xml:space="preserve">The size of the TSA benefit ranges from 30 GEL to 60 GEL depending on vulnerability scores. In addition, each household receives 10 GEL child benefit </w:t>
      </w:r>
      <w:r w:rsidR="00534962" w:rsidRPr="00657D64">
        <w:t xml:space="preserve">(CB) </w:t>
      </w:r>
      <w:r w:rsidR="00821EF4" w:rsidRPr="00657D64">
        <w:t xml:space="preserve">for children under the age of 16. As of September 2017, 324,177 households comprised of 977,055 people were registered in the unified database for socially vulnerable </w:t>
      </w:r>
      <w:r w:rsidR="00821EF4" w:rsidRPr="00657D64">
        <w:lastRenderedPageBreak/>
        <w:t>families</w:t>
      </w:r>
      <w:r w:rsidR="00821EF4" w:rsidRPr="00657D64">
        <w:rPr>
          <w:rStyle w:val="FootnoteReference"/>
        </w:rPr>
        <w:footnoteReference w:id="9"/>
      </w:r>
      <w:r w:rsidR="00821EF4" w:rsidRPr="00657D64">
        <w:t>. During this time, 132,051 families (12.4% of the total households), corresponding to a total of 459,699 people received a monthly cash benefit. The monthly budget for the TSA programme was 21,128,468 GEL</w:t>
      </w:r>
      <w:r w:rsidR="00A838EF" w:rsidRPr="00657D64">
        <w:t xml:space="preserve">. Categorical benefits are another type of social security assistance in Georgia. It includes a social package, family assistance, utilities, and IDP benefits. </w:t>
      </w:r>
      <w:r w:rsidR="00534962" w:rsidRPr="00657D64">
        <w:t>The categorical benefit is</w:t>
      </w:r>
      <w:r w:rsidR="00A838EF" w:rsidRPr="00657D64">
        <w:t xml:space="preserve"> received by survivors, people with a first-degree disability, and war veterans or victims of political repression</w:t>
      </w:r>
      <w:r w:rsidR="001213CB" w:rsidRPr="00657D64">
        <w:t xml:space="preserve">. In addition, most municipalities also provide cash and in-kind benefits, however their coverage and the value are quite low. </w:t>
      </w:r>
    </w:p>
    <w:p w14:paraId="4DE0792D" w14:textId="77777777" w:rsidR="00534962" w:rsidRPr="00657D64" w:rsidRDefault="00534962" w:rsidP="00657D64">
      <w:pPr>
        <w:autoSpaceDE w:val="0"/>
        <w:autoSpaceDN w:val="0"/>
        <w:adjustRightInd w:val="0"/>
        <w:spacing w:after="0"/>
        <w:jc w:val="both"/>
      </w:pPr>
    </w:p>
    <w:p w14:paraId="379583E5" w14:textId="77777777" w:rsidR="0062021E" w:rsidRDefault="00921272" w:rsidP="00657D64">
      <w:pPr>
        <w:autoSpaceDE w:val="0"/>
        <w:autoSpaceDN w:val="0"/>
        <w:adjustRightInd w:val="0"/>
        <w:spacing w:after="0"/>
        <w:jc w:val="both"/>
      </w:pPr>
      <w:r w:rsidRPr="00657D64">
        <w:t xml:space="preserve">With this context in mind, </w:t>
      </w:r>
      <w:r w:rsidR="0014538C" w:rsidRPr="00657D64">
        <w:t xml:space="preserve">the results of the Welfare Monitoring Survey (WMS) 2017 </w:t>
      </w:r>
      <w:r w:rsidR="00D96B14" w:rsidRPr="00657D64">
        <w:t>are furthe</w:t>
      </w:r>
      <w:r w:rsidR="00542429" w:rsidRPr="00657D64">
        <w:t xml:space="preserve">r analyzed in the next sections and sub-sections. </w:t>
      </w:r>
      <w:r w:rsidR="00D96B14" w:rsidRPr="00657D64">
        <w:t xml:space="preserve"> </w:t>
      </w:r>
    </w:p>
    <w:p w14:paraId="7DF1CC24" w14:textId="77777777" w:rsidR="002B2182" w:rsidRDefault="002B2182" w:rsidP="00657D64">
      <w:pPr>
        <w:autoSpaceDE w:val="0"/>
        <w:autoSpaceDN w:val="0"/>
        <w:adjustRightInd w:val="0"/>
        <w:spacing w:after="0"/>
        <w:jc w:val="both"/>
      </w:pPr>
    </w:p>
    <w:p w14:paraId="40318D1F" w14:textId="77777777" w:rsidR="00D96B14" w:rsidRDefault="00D96B14" w:rsidP="00C826A8">
      <w:pPr>
        <w:pStyle w:val="Heading2"/>
        <w:numPr>
          <w:ilvl w:val="0"/>
          <w:numId w:val="0"/>
        </w:numPr>
        <w:spacing w:after="240"/>
        <w:jc w:val="both"/>
        <w:rPr>
          <w:rFonts w:cstheme="minorHAnsi"/>
          <w:b/>
          <w:i/>
          <w:szCs w:val="24"/>
        </w:rPr>
      </w:pPr>
      <w:bookmarkStart w:id="26" w:name="_Toc511392456"/>
      <w:bookmarkStart w:id="27" w:name="_Toc511392525"/>
      <w:bookmarkStart w:id="28" w:name="_Toc511392790"/>
      <w:r w:rsidRPr="0091101C">
        <w:rPr>
          <w:rFonts w:cstheme="minorHAnsi"/>
          <w:b/>
          <w:i/>
          <w:szCs w:val="24"/>
        </w:rPr>
        <w:t>Household Income and Expenditure</w:t>
      </w:r>
      <w:bookmarkEnd w:id="26"/>
      <w:bookmarkEnd w:id="27"/>
      <w:bookmarkEnd w:id="28"/>
      <w:r w:rsidRPr="0091101C">
        <w:rPr>
          <w:rFonts w:cstheme="minorHAnsi"/>
          <w:b/>
          <w:i/>
          <w:szCs w:val="24"/>
        </w:rPr>
        <w:t xml:space="preserve">  </w:t>
      </w:r>
    </w:p>
    <w:p w14:paraId="47FFA478" w14:textId="77777777" w:rsidR="00C826A8" w:rsidRDefault="00C826A8" w:rsidP="00C826A8">
      <w:pPr>
        <w:spacing w:after="240"/>
        <w:jc w:val="both"/>
      </w:pPr>
      <w:r w:rsidRPr="00C826A8">
        <w:rPr>
          <w:b/>
          <w:color w:val="000000"/>
        </w:rPr>
        <w:t>The WMS 2017 shows a real increase in in</w:t>
      </w:r>
      <w:r w:rsidR="00EA518A">
        <w:rPr>
          <w:b/>
          <w:color w:val="000000"/>
        </w:rPr>
        <w:t xml:space="preserve">comes over the last two years. </w:t>
      </w:r>
      <w:r w:rsidRPr="00C826A8">
        <w:t>Georgia’s mean monthly household nominal income rose from 608.9 GEL in 2015 to 771.9 GEL</w:t>
      </w:r>
      <w:r w:rsidRPr="00C826A8">
        <w:rPr>
          <w:vertAlign w:val="superscript"/>
        </w:rPr>
        <w:footnoteReference w:id="10"/>
      </w:r>
      <w:r w:rsidRPr="00C826A8">
        <w:t xml:space="preserve"> in 2017, a 26.8% increase. Salary constitutes the largest part of the average monthly household income 52.2%, followed by income from social transfers (22.4%), self-employment (19.1%) the other components, such as income from rent, remittances or private transfers constitutes 7% of the income. The real mean monthly household income</w:t>
      </w:r>
      <w:r w:rsidRPr="00C826A8">
        <w:rPr>
          <w:vertAlign w:val="superscript"/>
        </w:rPr>
        <w:footnoteReference w:id="11"/>
      </w:r>
      <w:r w:rsidRPr="00C826A8">
        <w:t xml:space="preserve"> increased by 18.8% compared to previous round. The estimated mean nominal income per adult equivalent (PAE)</w:t>
      </w:r>
      <w:r w:rsidRPr="00C826A8">
        <w:rPr>
          <w:vertAlign w:val="superscript"/>
        </w:rPr>
        <w:footnoteReference w:id="12"/>
      </w:r>
      <w:r w:rsidRPr="00C826A8">
        <w:t xml:space="preserve"> also increased for 2017 by 31.3% and constituted 348.1 GEL.</w:t>
      </w:r>
      <w:r>
        <w:t xml:space="preserve"> </w:t>
      </w:r>
    </w:p>
    <w:p w14:paraId="35557100" w14:textId="77777777" w:rsidR="00515158" w:rsidRDefault="00323554" w:rsidP="00515158">
      <w:pPr>
        <w:jc w:val="both"/>
        <w:rPr>
          <w:b/>
        </w:rPr>
      </w:pPr>
      <w:r>
        <w:rPr>
          <w:b/>
        </w:rPr>
        <w:t xml:space="preserve">Urban households receive higher income compared to rural households. </w:t>
      </w:r>
      <w:r w:rsidR="00C826A8" w:rsidRPr="00657D64">
        <w:t>In 2017, urban household’s nominal income was 867.1 GEL while rural household’s earnings stood at 672.7 GEL. On average, urban households received the monthly income of more than 29% of that of rural households. Salaries represent 64.8% of the total monthly household income in urban areas and 35.2% in rural areas. On the contrary, “self-employment income” is higher in rural areas (around 30% of the total income) than in urban counterparts (10.9%). Moreover, “social transfers income” is significantly higher in rural settlements (27.1%) in comparison to urban ones (18.9%).</w:t>
      </w:r>
      <w:r w:rsidR="00C826A8">
        <w:t xml:space="preserve"> T</w:t>
      </w:r>
      <w:r w:rsidR="00C826A8" w:rsidRPr="00657D64">
        <w:t>he estimated mean nominal income per adult equivalent</w:t>
      </w:r>
      <w:r w:rsidR="00C826A8">
        <w:t xml:space="preserve"> </w:t>
      </w:r>
      <w:r w:rsidR="00C826A8" w:rsidRPr="00657D64">
        <w:t xml:space="preserve">was higher in urban areas (399.9 GEL) compared with rural areas (294.1 GEL). In nominal terms, urban households received an income </w:t>
      </w:r>
      <w:r w:rsidR="00C826A8" w:rsidRPr="00657D64">
        <w:lastRenderedPageBreak/>
        <w:t>(PAE) of more than 36% of that of rural households. After adjusting for inflation, mean household PAE income grew by 23.1% from 2015 to 2017.</w:t>
      </w:r>
      <w:r>
        <w:t xml:space="preserve"> </w:t>
      </w:r>
    </w:p>
    <w:p w14:paraId="29DCEBF0" w14:textId="77777777" w:rsidR="00CE733C" w:rsidRPr="00515158" w:rsidRDefault="00456CFF" w:rsidP="00515158">
      <w:pPr>
        <w:jc w:val="both"/>
        <w:rPr>
          <w:b/>
        </w:rPr>
      </w:pPr>
      <w:r w:rsidRPr="00456CFF">
        <w:rPr>
          <w:b/>
        </w:rPr>
        <w:t xml:space="preserve">The survey results show the real decrease in </w:t>
      </w:r>
      <w:r w:rsidR="009C32DD">
        <w:rPr>
          <w:b/>
        </w:rPr>
        <w:t xml:space="preserve">household </w:t>
      </w:r>
      <w:r w:rsidRPr="00456CFF">
        <w:rPr>
          <w:b/>
        </w:rPr>
        <w:t>expenditure</w:t>
      </w:r>
      <w:r w:rsidR="009C32DD">
        <w:rPr>
          <w:b/>
        </w:rPr>
        <w:t xml:space="preserve">s between 2015 to 2017. </w:t>
      </w:r>
      <w:r w:rsidR="00B306F6" w:rsidRPr="00657D64">
        <w:t xml:space="preserve">According to </w:t>
      </w:r>
      <w:r w:rsidR="00656F78" w:rsidRPr="00657D64">
        <w:t xml:space="preserve">the </w:t>
      </w:r>
      <w:r w:rsidR="00B306F6" w:rsidRPr="00657D64">
        <w:t xml:space="preserve">survey results, the estimated average nominal household monthly expenditure (788.6 GEL) in Georgia decreased by 4.1% over the last two years. </w:t>
      </w:r>
      <w:r w:rsidR="009960F2" w:rsidRPr="00657D64">
        <w:t xml:space="preserve">When adjusting for inflation, mean household consumption per month dropped by 10.1% between 2015 and 2017. </w:t>
      </w:r>
      <w:r w:rsidR="002B6CC5" w:rsidRPr="00657D64">
        <w:t>In terms of consumptio</w:t>
      </w:r>
      <w:r w:rsidR="00656F78" w:rsidRPr="00657D64">
        <w:t xml:space="preserve">n expenditure distribution, the households </w:t>
      </w:r>
      <w:r w:rsidR="002B6CC5" w:rsidRPr="00657D64">
        <w:t xml:space="preserve">spent </w:t>
      </w:r>
      <w:r w:rsidR="00656F78" w:rsidRPr="00657D64">
        <w:t>36.7% on food</w:t>
      </w:r>
      <w:r w:rsidR="002B6CC5" w:rsidRPr="00657D64">
        <w:t xml:space="preserve"> in 2017. </w:t>
      </w:r>
      <w:r w:rsidR="00656F78" w:rsidRPr="00657D64">
        <w:t>The average h</w:t>
      </w:r>
      <w:r w:rsidR="002B6CC5" w:rsidRPr="00657D64">
        <w:t xml:space="preserve">ousehold long-term non-food expenditure accounted for </w:t>
      </w:r>
      <w:r w:rsidR="00656F78" w:rsidRPr="00657D64">
        <w:t xml:space="preserve">33.8%, while spending on healthcare and current non-food amounted to </w:t>
      </w:r>
      <w:r w:rsidR="008C6C3F" w:rsidRPr="00657D64">
        <w:t xml:space="preserve">8.7% and 14.8% respectively. In addition, small shares of earnings were spent on </w:t>
      </w:r>
      <w:r w:rsidR="0054685B" w:rsidRPr="00657D64">
        <w:t>education (</w:t>
      </w:r>
      <w:r w:rsidR="005255D5" w:rsidRPr="00657D64">
        <w:t xml:space="preserve">2.8%), as well as eating out of home (3.1%). </w:t>
      </w:r>
      <w:r w:rsidR="004E36B8" w:rsidRPr="00657D64">
        <w:t xml:space="preserve">From 2015 to 2017, in the </w:t>
      </w:r>
      <w:r w:rsidR="00D268E0" w:rsidRPr="00657D64">
        <w:t xml:space="preserve">real </w:t>
      </w:r>
      <w:r w:rsidR="000B799A" w:rsidRPr="00657D64">
        <w:rPr>
          <w:rStyle w:val="FootnoteReference"/>
        </w:rPr>
        <w:footnoteReference w:id="13"/>
      </w:r>
      <w:r w:rsidR="004E36B8" w:rsidRPr="00657D64">
        <w:t xml:space="preserve">household </w:t>
      </w:r>
      <w:r w:rsidR="001F4094" w:rsidRPr="00657D64">
        <w:t xml:space="preserve">monthly </w:t>
      </w:r>
      <w:r w:rsidR="004E36B8" w:rsidRPr="00657D64">
        <w:t xml:space="preserve">expenditure structure, </w:t>
      </w:r>
      <w:r w:rsidR="00D268E0" w:rsidRPr="00657D64">
        <w:t xml:space="preserve">the share of food, long-term non-food and education contracted by 17.5%, 20.1% and 20.3% respectively. Conversely, the share of healthcare, eating out of home and current-non-food increased by 6.3%, 8.0% and 51.8% respectively. </w:t>
      </w:r>
      <w:r w:rsidR="00A645D2">
        <w:t xml:space="preserve">The estimated mean monthly household consumption PAE was 356.7 GEL in 2017. </w:t>
      </w:r>
      <w:r w:rsidR="004D084F" w:rsidRPr="00657D64">
        <w:t>Inflation adjusted mean household consumption PAE decreased by 6.3% between 2015 and 2017.</w:t>
      </w:r>
      <w:r w:rsidR="004D084F">
        <w:t xml:space="preserve"> </w:t>
      </w:r>
    </w:p>
    <w:p w14:paraId="1B540EFC" w14:textId="77777777" w:rsidR="00C6773C" w:rsidRPr="000D5BE9" w:rsidRDefault="00BF55CB" w:rsidP="00456CFF">
      <w:pPr>
        <w:autoSpaceDE w:val="0"/>
        <w:autoSpaceDN w:val="0"/>
        <w:adjustRightInd w:val="0"/>
        <w:jc w:val="both"/>
        <w:rPr>
          <w:b/>
        </w:rPr>
      </w:pPr>
      <w:r>
        <w:rPr>
          <w:b/>
        </w:rPr>
        <w:t>On average, urban households spend</w:t>
      </w:r>
      <w:r w:rsidR="000D5BE9">
        <w:rPr>
          <w:b/>
        </w:rPr>
        <w:t xml:space="preserve"> more on long-term non-food items, eating out of home, and education whereas </w:t>
      </w:r>
      <w:r w:rsidR="00EE25F2">
        <w:rPr>
          <w:b/>
        </w:rPr>
        <w:t>rural</w:t>
      </w:r>
      <w:r w:rsidR="000D5BE9">
        <w:rPr>
          <w:b/>
        </w:rPr>
        <w:t xml:space="preserve"> counterparts spent more on eating at home and healthcare. </w:t>
      </w:r>
      <w:r w:rsidR="001F1C7E" w:rsidRPr="00657D64">
        <w:t>In nominal terms, urban residents spent 827.3 GEL on average in 2017, which was 10.6% more than the 748.2 GEL spent by rural residents in the same period.</w:t>
      </w:r>
      <w:r w:rsidR="001F1C7E">
        <w:t xml:space="preserve"> </w:t>
      </w:r>
      <w:r w:rsidR="00C6773C">
        <w:t xml:space="preserve">Food expenditures at home </w:t>
      </w:r>
      <w:r w:rsidR="002918BE">
        <w:t xml:space="preserve">represent 32.9% </w:t>
      </w:r>
      <w:r w:rsidR="00F068DA">
        <w:t xml:space="preserve">of the total monthly household consumption </w:t>
      </w:r>
      <w:r w:rsidR="002918BE">
        <w:t xml:space="preserve">in urban areas and 41.2% in rural areas. Conversely, </w:t>
      </w:r>
      <w:r w:rsidR="002948FC">
        <w:t>“eating out of home” is higher in urban areas (3.7% of the total expenditure) than in rural counterparts (</w:t>
      </w:r>
      <w:r w:rsidR="00E60F5F">
        <w:t xml:space="preserve">2.4%). </w:t>
      </w:r>
      <w:r w:rsidR="00641266">
        <w:t xml:space="preserve">In addition, </w:t>
      </w:r>
      <w:r w:rsidR="00E60F5F">
        <w:t>“</w:t>
      </w:r>
      <w:r w:rsidR="00641266">
        <w:t>long-term non-food</w:t>
      </w:r>
      <w:r w:rsidR="00E60F5F">
        <w:t>”</w:t>
      </w:r>
      <w:r w:rsidR="00641266">
        <w:t xml:space="preserve"> </w:t>
      </w:r>
      <w:r w:rsidR="00E60F5F">
        <w:t xml:space="preserve">and “education” </w:t>
      </w:r>
      <w:r w:rsidR="00641266">
        <w:t>expenditure</w:t>
      </w:r>
      <w:r w:rsidR="00E60F5F">
        <w:t>s</w:t>
      </w:r>
      <w:r w:rsidR="00641266">
        <w:t xml:space="preserve"> </w:t>
      </w:r>
      <w:r w:rsidR="00E60F5F">
        <w:t>are significantly higher in urban settlements (36.3% and 3.7%) in contrast to rural ones (30.9% and 1.8%).</w:t>
      </w:r>
      <w:r w:rsidR="00A645D2">
        <w:t xml:space="preserve"> Spending on healthcare accounts for 8.5% of the total monthly expenditures in urban areas and 8.9% in rural areas. </w:t>
      </w:r>
      <w:r w:rsidR="00456CFF">
        <w:t>In 2017, a</w:t>
      </w:r>
      <w:r w:rsidR="004D084F" w:rsidRPr="00657D64">
        <w:t xml:space="preserve">verage monthly consumption PAE for urban households was 376.4 GEL compared to </w:t>
      </w:r>
      <w:r w:rsidR="004D084F">
        <w:t>336.3 GEL for rural households.</w:t>
      </w:r>
      <w:r w:rsidR="00456CFF" w:rsidRPr="00456CFF">
        <w:t xml:space="preserve"> </w:t>
      </w:r>
      <w:r w:rsidR="00456CFF" w:rsidRPr="00657D64">
        <w:t>Meanwhile, the real consumption expenditures PAE by rural households fell 0.4% and by urban households 10.9%</w:t>
      </w:r>
      <w:r w:rsidR="00456CFF">
        <w:t xml:space="preserve">. </w:t>
      </w:r>
    </w:p>
    <w:p w14:paraId="02CFA740" w14:textId="1734F87E" w:rsidR="0047492C" w:rsidRDefault="00D8678B" w:rsidP="00AE6E7D">
      <w:pPr>
        <w:autoSpaceDE w:val="0"/>
        <w:autoSpaceDN w:val="0"/>
        <w:adjustRightInd w:val="0"/>
        <w:jc w:val="both"/>
      </w:pPr>
      <w:r w:rsidRPr="00D8678B">
        <w:rPr>
          <w:b/>
        </w:rPr>
        <w:t>In Georgia, income inequality decreased</w:t>
      </w:r>
      <w:r>
        <w:rPr>
          <w:b/>
        </w:rPr>
        <w:t>,</w:t>
      </w:r>
      <w:r w:rsidRPr="00D8678B">
        <w:rPr>
          <w:b/>
        </w:rPr>
        <w:t xml:space="preserve"> while consumption inequality remained at the same level</w:t>
      </w:r>
      <w:r>
        <w:t xml:space="preserve">. </w:t>
      </w:r>
      <w:r w:rsidR="000F259A" w:rsidRPr="00657D64">
        <w:t xml:space="preserve">Inequality </w:t>
      </w:r>
      <w:r w:rsidR="00E2247C" w:rsidRPr="00657D64">
        <w:t xml:space="preserve">in income (PAE) has decreased in Georgia since 2015 from 0.43 to 0.42 in 2017. </w:t>
      </w:r>
      <w:r w:rsidR="00301475" w:rsidRPr="00657D64">
        <w:t xml:space="preserve">In urban areas it went down from 0.42 to 0.41, whereas in rural areas it increased from 0.39 to 0.42. </w:t>
      </w:r>
      <w:r>
        <w:t>In Georgia, overall consumption inequality has not changed since 2015 (2015 - gini coefficient = 0.36 vs</w:t>
      </w:r>
      <w:r w:rsidR="006D3A5E">
        <w:t>.</w:t>
      </w:r>
      <w:r>
        <w:t xml:space="preserve"> 2017 - gini coefficient = 0.36). Nevertheless, </w:t>
      </w:r>
      <w:r w:rsidR="001870D6" w:rsidRPr="00657D64">
        <w:t xml:space="preserve">inequality </w:t>
      </w:r>
      <w:r w:rsidR="00AD24AC" w:rsidRPr="00657D64">
        <w:t xml:space="preserve">in consumption </w:t>
      </w:r>
      <w:r w:rsidR="001870D6" w:rsidRPr="00657D64">
        <w:t xml:space="preserve">was greater in rural (Gini coefficient = 0.36) areas than it was in urban areas (Gini coefficient = 0.35). </w:t>
      </w:r>
      <w:bookmarkStart w:id="29" w:name="_Toc511392457"/>
      <w:bookmarkStart w:id="30" w:name="_Toc511392526"/>
      <w:bookmarkStart w:id="31" w:name="_Toc511392791"/>
    </w:p>
    <w:p w14:paraId="73500396" w14:textId="77777777" w:rsidR="00315818" w:rsidRPr="0091101C" w:rsidRDefault="00F95048" w:rsidP="0047492C">
      <w:pPr>
        <w:pStyle w:val="Heading2"/>
        <w:numPr>
          <w:ilvl w:val="0"/>
          <w:numId w:val="0"/>
        </w:numPr>
        <w:jc w:val="both"/>
        <w:rPr>
          <w:rFonts w:cstheme="minorHAnsi"/>
          <w:b/>
          <w:szCs w:val="24"/>
        </w:rPr>
      </w:pPr>
      <w:r w:rsidRPr="0091101C">
        <w:rPr>
          <w:rFonts w:cstheme="minorHAnsi"/>
          <w:b/>
          <w:szCs w:val="24"/>
        </w:rPr>
        <w:lastRenderedPageBreak/>
        <w:t>Welfare Profile</w:t>
      </w:r>
      <w:bookmarkEnd w:id="29"/>
      <w:bookmarkEnd w:id="30"/>
      <w:bookmarkEnd w:id="31"/>
      <w:r w:rsidRPr="0091101C">
        <w:rPr>
          <w:rFonts w:cstheme="minorHAnsi"/>
          <w:b/>
          <w:szCs w:val="24"/>
        </w:rPr>
        <w:t xml:space="preserve"> </w:t>
      </w:r>
    </w:p>
    <w:p w14:paraId="5FA67A51" w14:textId="77777777" w:rsidR="00CD67FE" w:rsidRPr="0091101C" w:rsidRDefault="00F02395" w:rsidP="00A05B6C">
      <w:pPr>
        <w:pStyle w:val="Heading3"/>
        <w:spacing w:after="240"/>
        <w:jc w:val="both"/>
        <w:rPr>
          <w:rFonts w:asciiTheme="minorHAnsi" w:hAnsiTheme="minorHAnsi" w:cstheme="minorHAnsi"/>
          <w:b/>
          <w:i/>
          <w:color w:val="000000" w:themeColor="text1"/>
        </w:rPr>
      </w:pPr>
      <w:bookmarkStart w:id="32" w:name="_Toc511392458"/>
      <w:bookmarkStart w:id="33" w:name="_Toc511392527"/>
      <w:bookmarkStart w:id="34" w:name="_Toc511392792"/>
      <w:r w:rsidRPr="0091101C">
        <w:rPr>
          <w:rFonts w:asciiTheme="minorHAnsi" w:hAnsiTheme="minorHAnsi" w:cstheme="minorHAnsi"/>
          <w:b/>
          <w:i/>
          <w:color w:val="000000" w:themeColor="text1"/>
        </w:rPr>
        <w:t>Monetary dimensions of Poverty</w:t>
      </w:r>
      <w:bookmarkEnd w:id="32"/>
      <w:bookmarkEnd w:id="33"/>
      <w:bookmarkEnd w:id="34"/>
    </w:p>
    <w:p w14:paraId="349CC60B" w14:textId="4B624B2A" w:rsidR="00E02057" w:rsidRPr="006D3A5E" w:rsidRDefault="006D3A5E" w:rsidP="00963218">
      <w:pPr>
        <w:autoSpaceDE w:val="0"/>
        <w:autoSpaceDN w:val="0"/>
        <w:adjustRightInd w:val="0"/>
        <w:spacing w:after="240"/>
        <w:jc w:val="both"/>
        <w:rPr>
          <w:b/>
        </w:rPr>
      </w:pPr>
      <w:r w:rsidRPr="003D6625">
        <w:rPr>
          <w:b/>
        </w:rPr>
        <w:t xml:space="preserve">The latest Welfare Monitoring Survey (WMS) </w:t>
      </w:r>
      <w:r w:rsidR="00D64F0F" w:rsidRPr="00D64F0F">
        <w:rPr>
          <w:b/>
        </w:rPr>
        <w:t>findings s</w:t>
      </w:r>
      <w:r w:rsidR="009706EF">
        <w:rPr>
          <w:b/>
        </w:rPr>
        <w:t xml:space="preserve">how </w:t>
      </w:r>
      <w:r w:rsidR="00125EC3">
        <w:rPr>
          <w:b/>
        </w:rPr>
        <w:t xml:space="preserve">substantial </w:t>
      </w:r>
      <w:r w:rsidR="009706EF">
        <w:rPr>
          <w:b/>
        </w:rPr>
        <w:t xml:space="preserve">increase in </w:t>
      </w:r>
      <w:r w:rsidR="00D64F0F" w:rsidRPr="00D64F0F">
        <w:rPr>
          <w:b/>
        </w:rPr>
        <w:t xml:space="preserve">poverty </w:t>
      </w:r>
      <w:r w:rsidR="009706EF">
        <w:rPr>
          <w:b/>
        </w:rPr>
        <w:t xml:space="preserve">rates </w:t>
      </w:r>
      <w:r w:rsidR="004F0408">
        <w:rPr>
          <w:b/>
        </w:rPr>
        <w:t xml:space="preserve">in Georgia. </w:t>
      </w:r>
      <w:r w:rsidR="004F0408" w:rsidRPr="00657D64">
        <w:t>As in previous WMS reports, the present analysis uses consumption expenditure to assess the changes in poverty and welfare of the Georgian population.</w:t>
      </w:r>
      <w:r w:rsidR="004F0408">
        <w:rPr>
          <w:b/>
        </w:rPr>
        <w:t xml:space="preserve"> </w:t>
      </w:r>
      <w:r w:rsidRPr="006D3A5E">
        <w:t>At the national level,</w:t>
      </w:r>
      <w:r>
        <w:rPr>
          <w:b/>
        </w:rPr>
        <w:t xml:space="preserve"> </w:t>
      </w:r>
      <w:r w:rsidR="00531ADB" w:rsidRPr="00657D64">
        <w:t xml:space="preserve">an estimated 4.3% of all households, 5.0% of the population, </w:t>
      </w:r>
      <w:r w:rsidR="002B49B6" w:rsidRPr="00657D64">
        <w:t xml:space="preserve">6.8% of children and 3.7% of pensioners live below the extreme poverty line (1.25 USD per day threshold, corresponding to </w:t>
      </w:r>
      <w:r w:rsidR="007E5CDE" w:rsidRPr="00657D64">
        <w:t>82.8 GEL PAE per month)</w:t>
      </w:r>
      <w:r w:rsidR="00312922" w:rsidRPr="00657D64">
        <w:t xml:space="preserve">. The extremely poor households are estimated at 4.0% in rural areas and 4.5% in urban areas. </w:t>
      </w:r>
      <w:r w:rsidR="00D522F1" w:rsidRPr="00657D64">
        <w:t xml:space="preserve">From 2015 to 2017, the number of households, population, children and pensioners below the extreme poverty line increased by </w:t>
      </w:r>
      <w:r w:rsidR="00DC24E5" w:rsidRPr="00657D64">
        <w:t>2.6, 2.9, 4.3, and 2.0 percentage points respectively.</w:t>
      </w:r>
      <w:r w:rsidR="00C14E52" w:rsidRPr="00657D64">
        <w:t xml:space="preserve"> </w:t>
      </w:r>
    </w:p>
    <w:p w14:paraId="5BAD9224" w14:textId="2FAA49DD" w:rsidR="008E0A3F" w:rsidRPr="0081028B" w:rsidRDefault="00701C86" w:rsidP="00657D64">
      <w:pPr>
        <w:autoSpaceDE w:val="0"/>
        <w:autoSpaceDN w:val="0"/>
        <w:adjustRightInd w:val="0"/>
        <w:spacing w:after="0"/>
        <w:jc w:val="both"/>
      </w:pPr>
      <w:r w:rsidRPr="00701C86">
        <w:rPr>
          <w:b/>
        </w:rPr>
        <w:t xml:space="preserve">The survey revealed that 22.5% of households live below relative poverty line with a marked rural vs. urban difference (24.1% vs. 20.9%). </w:t>
      </w:r>
      <w:r w:rsidR="009E301D" w:rsidRPr="00657D64">
        <w:t xml:space="preserve">Over the last two years, the share of households and population </w:t>
      </w:r>
      <w:r w:rsidR="004255F9" w:rsidRPr="00657D64">
        <w:t xml:space="preserve">below the relative poverty line </w:t>
      </w:r>
      <w:r w:rsidR="009E301D" w:rsidRPr="00657D64">
        <w:t xml:space="preserve">(60% of median consumption corresponding to 177.1 GEL PAE per month) increased from 20.7% to 22.5% and from 23.1% to </w:t>
      </w:r>
      <w:r w:rsidR="006E161D" w:rsidRPr="00657D64">
        <w:t xml:space="preserve">24.8% </w:t>
      </w:r>
      <w:r w:rsidR="00D92141">
        <w:t xml:space="preserve">respectively. </w:t>
      </w:r>
      <w:r w:rsidR="004255F9" w:rsidRPr="00657D64">
        <w:t xml:space="preserve">The percentage of children living in poor households increased from 26.8% to 31.6%. </w:t>
      </w:r>
      <w:r w:rsidR="00135852" w:rsidRPr="00657D64">
        <w:t>T</w:t>
      </w:r>
      <w:r w:rsidR="004255F9" w:rsidRPr="00657D64">
        <w:t xml:space="preserve">he share of pensioners </w:t>
      </w:r>
      <w:r w:rsidR="00F82B43" w:rsidRPr="00657D64">
        <w:t xml:space="preserve">under the relative poverty line </w:t>
      </w:r>
      <w:r w:rsidR="004255F9" w:rsidRPr="00657D64">
        <w:t>also rose from 19.3% to 20.4%.</w:t>
      </w:r>
      <w:r w:rsidR="008E0A3F" w:rsidRPr="00657D64">
        <w:t xml:space="preserve"> </w:t>
      </w:r>
      <w:r w:rsidR="0097549E">
        <w:t>A</w:t>
      </w:r>
      <w:r w:rsidR="0081028B">
        <w:t xml:space="preserve">n estimated </w:t>
      </w:r>
      <w:r w:rsidR="008E0A3F" w:rsidRPr="00657D64">
        <w:t xml:space="preserve">24.1% of households below relative poverty live in rural areas and 20.9% in urban areas. </w:t>
      </w:r>
    </w:p>
    <w:p w14:paraId="43E8A497" w14:textId="0002BA50" w:rsidR="00701C86" w:rsidRDefault="00701C86" w:rsidP="00657D64">
      <w:pPr>
        <w:autoSpaceDE w:val="0"/>
        <w:autoSpaceDN w:val="0"/>
        <w:adjustRightInd w:val="0"/>
        <w:spacing w:after="0"/>
        <w:jc w:val="both"/>
      </w:pPr>
    </w:p>
    <w:p w14:paraId="344FAE75" w14:textId="4DD862B1" w:rsidR="00A25AEF" w:rsidRPr="0030186E" w:rsidRDefault="0030186E" w:rsidP="00657D64">
      <w:pPr>
        <w:autoSpaceDE w:val="0"/>
        <w:autoSpaceDN w:val="0"/>
        <w:adjustRightInd w:val="0"/>
        <w:spacing w:after="0"/>
        <w:jc w:val="both"/>
        <w:rPr>
          <w:b/>
        </w:rPr>
      </w:pPr>
      <w:r w:rsidRPr="0030186E">
        <w:rPr>
          <w:b/>
        </w:rPr>
        <w:t xml:space="preserve">In Georgia, the general poverty incidence has gone up from 16.4% of the total households’ in 2015 to 19.6% in 2017; however, the country is still better off compared to 2013. </w:t>
      </w:r>
      <w:r w:rsidR="00103852" w:rsidRPr="00657D64">
        <w:t xml:space="preserve">Under the general poverty threshold (2.5 USD per day, corresponding to 165.5 GEL PAE </w:t>
      </w:r>
      <w:r w:rsidR="007E7E78" w:rsidRPr="00657D64">
        <w:t xml:space="preserve">per </w:t>
      </w:r>
      <w:r w:rsidR="00103852" w:rsidRPr="00657D64">
        <w:t xml:space="preserve">month) 19.6% of households, 21.7% of population, 27.6% of children and 17.6% of pensioners live in Georgia. The percentage of households living under the general poverty is estimated at </w:t>
      </w:r>
      <w:r w:rsidR="00EA1714" w:rsidRPr="00657D64">
        <w:t xml:space="preserve">20.8% in rural settlements and 18.4% in urban settlements. </w:t>
      </w:r>
      <w:r w:rsidR="00A25AEF" w:rsidRPr="00657D64">
        <w:t xml:space="preserve">In 2017 compared with 2015, the number of households, population, children and pensioners below general poverty line increased by 3.2, 3.3, 5.9 and 2.6 percentage points respectively. </w:t>
      </w:r>
      <w:r w:rsidR="00A25AEF" w:rsidRPr="00657D64">
        <w:rPr>
          <w:color w:val="000000" w:themeColor="text1"/>
        </w:rPr>
        <w:t>While the recent increase in general</w:t>
      </w:r>
      <w:r w:rsidR="007267B4" w:rsidRPr="00657D64">
        <w:rPr>
          <w:color w:val="000000" w:themeColor="text1"/>
        </w:rPr>
        <w:t xml:space="preserve"> poverty is unfortunate, country</w:t>
      </w:r>
      <w:r w:rsidR="00A25AEF" w:rsidRPr="00657D64">
        <w:rPr>
          <w:color w:val="000000" w:themeColor="text1"/>
        </w:rPr>
        <w:t xml:space="preserve"> is still better off compared to the poverty situation in 2013 when it was estimated that 21.8% of households, 24.6% of population, 28.4% of children and 20.6% of pensione</w:t>
      </w:r>
      <w:r w:rsidR="00420850" w:rsidRPr="00657D64">
        <w:rPr>
          <w:color w:val="000000" w:themeColor="text1"/>
        </w:rPr>
        <w:t>rs were living below the general</w:t>
      </w:r>
      <w:r w:rsidR="00A25AEF" w:rsidRPr="00657D64">
        <w:rPr>
          <w:color w:val="000000" w:themeColor="text1"/>
        </w:rPr>
        <w:t xml:space="preserve"> poverty line. </w:t>
      </w:r>
    </w:p>
    <w:p w14:paraId="2EC9843F" w14:textId="277C963E" w:rsidR="000D2D35" w:rsidRDefault="0086116A" w:rsidP="009F4822">
      <w:pPr>
        <w:autoSpaceDE w:val="0"/>
        <w:autoSpaceDN w:val="0"/>
        <w:adjustRightInd w:val="0"/>
        <w:spacing w:before="240" w:after="0"/>
        <w:jc w:val="both"/>
        <w:rPr>
          <w:color w:val="000000" w:themeColor="text1"/>
        </w:rPr>
      </w:pPr>
      <w:r w:rsidRPr="0086116A">
        <w:rPr>
          <w:b/>
          <w:color w:val="000000" w:themeColor="text1"/>
        </w:rPr>
        <w:t>The key findings of the survey indicate that there has been a considerable increase in the share of children living under the subsistence minimum, every fifth child lives in a household where the minimum needs of the household members are not met.</w:t>
      </w:r>
      <w:r w:rsidRPr="00657D64">
        <w:rPr>
          <w:color w:val="000000" w:themeColor="text1"/>
        </w:rPr>
        <w:t xml:space="preserve"> </w:t>
      </w:r>
      <w:r>
        <w:rPr>
          <w:color w:val="000000" w:themeColor="text1"/>
        </w:rPr>
        <w:t>Nationally, an estimated</w:t>
      </w:r>
      <w:r w:rsidR="00575B41">
        <w:rPr>
          <w:color w:val="000000" w:themeColor="text1"/>
        </w:rPr>
        <w:t xml:space="preserve"> </w:t>
      </w:r>
      <w:r w:rsidR="00DF1EFB" w:rsidRPr="00657D64">
        <w:rPr>
          <w:color w:val="000000" w:themeColor="text1"/>
        </w:rPr>
        <w:t xml:space="preserve">15.8% of households, 17.5% of population, 22.1% of children and 13.9% pensioners live under </w:t>
      </w:r>
      <w:r w:rsidR="00575B41">
        <w:rPr>
          <w:color w:val="000000" w:themeColor="text1"/>
        </w:rPr>
        <w:t xml:space="preserve">the subsistence minimum </w:t>
      </w:r>
      <w:r w:rsidR="00575B41" w:rsidRPr="00657D64">
        <w:rPr>
          <w:color w:val="000000" w:themeColor="text1"/>
        </w:rPr>
        <w:t>(corresponding to 148.3 GEL PAE per month</w:t>
      </w:r>
      <w:r w:rsidR="00575B41">
        <w:rPr>
          <w:color w:val="000000" w:themeColor="text1"/>
        </w:rPr>
        <w:t xml:space="preserve">). </w:t>
      </w:r>
      <w:r w:rsidR="000D2D35" w:rsidRPr="00657D64">
        <w:rPr>
          <w:color w:val="000000" w:themeColor="text1"/>
        </w:rPr>
        <w:t xml:space="preserve">Between 2015 and 2017, </w:t>
      </w:r>
      <w:r w:rsidR="00F80A7D" w:rsidRPr="00657D64">
        <w:rPr>
          <w:color w:val="000000" w:themeColor="text1"/>
        </w:rPr>
        <w:t xml:space="preserve">the </w:t>
      </w:r>
      <w:r w:rsidR="00F80A7D" w:rsidRPr="00657D64">
        <w:rPr>
          <w:color w:val="000000" w:themeColor="text1"/>
        </w:rPr>
        <w:lastRenderedPageBreak/>
        <w:t>number of households, population, children and pensioners below the subsistence minimum</w:t>
      </w:r>
      <w:r w:rsidR="000D2D35" w:rsidRPr="00657D64">
        <w:rPr>
          <w:color w:val="000000" w:themeColor="text1"/>
        </w:rPr>
        <w:t xml:space="preserve"> increased</w:t>
      </w:r>
      <w:r w:rsidR="00F80A7D" w:rsidRPr="00657D64">
        <w:rPr>
          <w:color w:val="000000" w:themeColor="text1"/>
        </w:rPr>
        <w:t xml:space="preserve"> by 3.9, 4.2, 6.5 and 3.5 percentage points </w:t>
      </w:r>
      <w:r w:rsidR="000D2D35" w:rsidRPr="00657D64">
        <w:rPr>
          <w:color w:val="000000" w:themeColor="text1"/>
        </w:rPr>
        <w:t>respectively</w:t>
      </w:r>
      <w:r>
        <w:rPr>
          <w:color w:val="000000" w:themeColor="text1"/>
        </w:rPr>
        <w:t xml:space="preserve">. </w:t>
      </w:r>
      <w:r w:rsidR="003C46BD" w:rsidRPr="00657D64">
        <w:rPr>
          <w:color w:val="000000" w:themeColor="text1"/>
        </w:rPr>
        <w:t xml:space="preserve"> </w:t>
      </w:r>
    </w:p>
    <w:p w14:paraId="5597A211" w14:textId="65EE8CC6" w:rsidR="00153F23" w:rsidRDefault="009F4822" w:rsidP="00724AC7">
      <w:pPr>
        <w:autoSpaceDE w:val="0"/>
        <w:autoSpaceDN w:val="0"/>
        <w:adjustRightInd w:val="0"/>
        <w:spacing w:before="240" w:after="0"/>
        <w:jc w:val="both"/>
        <w:rPr>
          <w:color w:val="000000" w:themeColor="text1"/>
        </w:rPr>
      </w:pPr>
      <w:r>
        <w:rPr>
          <w:b/>
          <w:color w:val="000000" w:themeColor="text1"/>
        </w:rPr>
        <w:t>P</w:t>
      </w:r>
      <w:r w:rsidRPr="009F4822">
        <w:rPr>
          <w:b/>
          <w:color w:val="000000" w:themeColor="text1"/>
        </w:rPr>
        <w:t>overty rates are higher in households that have children in them than in those without.</w:t>
      </w:r>
      <w:r>
        <w:rPr>
          <w:color w:val="000000" w:themeColor="text1"/>
        </w:rPr>
        <w:t xml:space="preserve"> </w:t>
      </w:r>
      <w:r w:rsidR="004C7943" w:rsidRPr="00657D64">
        <w:rPr>
          <w:color w:val="000000" w:themeColor="text1"/>
        </w:rPr>
        <w:t xml:space="preserve">In 2017, </w:t>
      </w:r>
      <w:r w:rsidR="00395DBD" w:rsidRPr="00657D64">
        <w:rPr>
          <w:color w:val="000000" w:themeColor="text1"/>
        </w:rPr>
        <w:t xml:space="preserve">33% of all households included at least one child. </w:t>
      </w:r>
      <w:r w:rsidR="00B64A1C" w:rsidRPr="00657D64">
        <w:rPr>
          <w:color w:val="000000" w:themeColor="text1"/>
        </w:rPr>
        <w:t xml:space="preserve">It should be noted that as the number of children in the household increases, poverty rates measured on the relative and general thresholds all remain significantly higher. </w:t>
      </w:r>
      <w:r w:rsidR="000875A1" w:rsidRPr="00657D64">
        <w:rPr>
          <w:color w:val="000000" w:themeColor="text1"/>
        </w:rPr>
        <w:t>For instance, 27.2% and 24.1% of households with one or two children live i</w:t>
      </w:r>
      <w:r w:rsidR="000A224B" w:rsidRPr="00657D64">
        <w:rPr>
          <w:color w:val="000000" w:themeColor="text1"/>
        </w:rPr>
        <w:t>n relative and general poverty</w:t>
      </w:r>
      <w:r w:rsidR="000875A1" w:rsidRPr="00657D64">
        <w:rPr>
          <w:color w:val="000000" w:themeColor="text1"/>
        </w:rPr>
        <w:t xml:space="preserve"> respectively. These figure</w:t>
      </w:r>
      <w:r w:rsidR="007B2B4D" w:rsidRPr="00657D64">
        <w:rPr>
          <w:color w:val="000000" w:themeColor="text1"/>
        </w:rPr>
        <w:t>s rise</w:t>
      </w:r>
      <w:r w:rsidR="000875A1" w:rsidRPr="00657D64">
        <w:rPr>
          <w:color w:val="000000" w:themeColor="text1"/>
        </w:rPr>
        <w:t xml:space="preserve"> significantly to almost 39.9% </w:t>
      </w:r>
      <w:r w:rsidR="007B2B4D" w:rsidRPr="00657D64">
        <w:rPr>
          <w:color w:val="000000" w:themeColor="text1"/>
        </w:rPr>
        <w:t xml:space="preserve">for </w:t>
      </w:r>
      <w:r w:rsidR="000875A1" w:rsidRPr="00657D64">
        <w:rPr>
          <w:color w:val="000000" w:themeColor="text1"/>
        </w:rPr>
        <w:t>households</w:t>
      </w:r>
      <w:r w:rsidR="008E0A3F" w:rsidRPr="00657D64">
        <w:rPr>
          <w:color w:val="000000" w:themeColor="text1"/>
        </w:rPr>
        <w:t>,</w:t>
      </w:r>
      <w:r w:rsidR="000875A1" w:rsidRPr="00657D64">
        <w:rPr>
          <w:color w:val="000000" w:themeColor="text1"/>
        </w:rPr>
        <w:t xml:space="preserve"> </w:t>
      </w:r>
      <w:r w:rsidR="007B2B4D" w:rsidRPr="00657D64">
        <w:rPr>
          <w:color w:val="000000" w:themeColor="text1"/>
        </w:rPr>
        <w:t>with three or more children</w:t>
      </w:r>
      <w:r w:rsidR="008E0A3F" w:rsidRPr="00657D64">
        <w:rPr>
          <w:color w:val="000000" w:themeColor="text1"/>
        </w:rPr>
        <w:t xml:space="preserve"> under</w:t>
      </w:r>
      <w:r w:rsidR="007B2B4D" w:rsidRPr="00657D64">
        <w:rPr>
          <w:color w:val="000000" w:themeColor="text1"/>
        </w:rPr>
        <w:t xml:space="preserve"> relative poverty </w:t>
      </w:r>
      <w:r w:rsidR="000875A1" w:rsidRPr="00657D64">
        <w:rPr>
          <w:color w:val="000000" w:themeColor="text1"/>
        </w:rPr>
        <w:t xml:space="preserve">and to 33.4% for households </w:t>
      </w:r>
      <w:r w:rsidR="008E0A3F" w:rsidRPr="00657D64">
        <w:rPr>
          <w:color w:val="000000" w:themeColor="text1"/>
        </w:rPr>
        <w:t>under general poverty.</w:t>
      </w:r>
      <w:r w:rsidR="00B338A5" w:rsidRPr="00657D64">
        <w:rPr>
          <w:color w:val="000000" w:themeColor="text1"/>
        </w:rPr>
        <w:t xml:space="preserve"> </w:t>
      </w:r>
    </w:p>
    <w:p w14:paraId="14FBFCFA" w14:textId="77777777" w:rsidR="00153F23" w:rsidRDefault="00153F23" w:rsidP="00657D64">
      <w:pPr>
        <w:autoSpaceDE w:val="0"/>
        <w:autoSpaceDN w:val="0"/>
        <w:adjustRightInd w:val="0"/>
        <w:spacing w:after="0"/>
        <w:jc w:val="both"/>
        <w:rPr>
          <w:color w:val="000000" w:themeColor="text1"/>
        </w:rPr>
      </w:pPr>
    </w:p>
    <w:p w14:paraId="7F642FE4" w14:textId="1EE7F43A" w:rsidR="00C461A7" w:rsidRDefault="004C6262" w:rsidP="00147D56">
      <w:pPr>
        <w:autoSpaceDE w:val="0"/>
        <w:autoSpaceDN w:val="0"/>
        <w:adjustRightInd w:val="0"/>
        <w:spacing w:after="0"/>
        <w:jc w:val="both"/>
        <w:rPr>
          <w:b/>
          <w:color w:val="000000" w:themeColor="text1"/>
        </w:rPr>
      </w:pPr>
      <w:r>
        <w:rPr>
          <w:b/>
          <w:color w:val="000000" w:themeColor="text1"/>
        </w:rPr>
        <w:t>Higher level</w:t>
      </w:r>
      <w:r w:rsidRPr="004C6262">
        <w:rPr>
          <w:b/>
          <w:color w:val="000000" w:themeColor="text1"/>
        </w:rPr>
        <w:t xml:space="preserve"> of education and regular paid work of a household </w:t>
      </w:r>
      <w:r>
        <w:rPr>
          <w:b/>
          <w:color w:val="000000" w:themeColor="text1"/>
        </w:rPr>
        <w:t>member</w:t>
      </w:r>
      <w:r w:rsidRPr="004C6262">
        <w:rPr>
          <w:b/>
          <w:color w:val="000000" w:themeColor="text1"/>
        </w:rPr>
        <w:t xml:space="preserve"> reduces child poverty incidence. </w:t>
      </w:r>
      <w:r>
        <w:rPr>
          <w:color w:val="000000" w:themeColor="text1"/>
        </w:rPr>
        <w:t>F</w:t>
      </w:r>
      <w:r w:rsidR="00B338A5" w:rsidRPr="00657D64">
        <w:rPr>
          <w:color w:val="000000" w:themeColor="text1"/>
        </w:rPr>
        <w:t xml:space="preserve">or every poverty threshold, </w:t>
      </w:r>
      <w:r w:rsidR="00CC14C2" w:rsidRPr="00657D64">
        <w:rPr>
          <w:color w:val="000000" w:themeColor="text1"/>
        </w:rPr>
        <w:t xml:space="preserve">the percentage of children living in poor households exceed the poverty rates for the entire population and pensioners. </w:t>
      </w:r>
      <w:r w:rsidR="0077438A" w:rsidRPr="00657D64">
        <w:rPr>
          <w:color w:val="000000" w:themeColor="text1"/>
        </w:rPr>
        <w:t xml:space="preserve">On the one hand, lower poverty rates for households, population and children are associated with higher levels of education attained by adults in the household. On the other hand, a household member who is receiving regular paid work reduces the general and relative child poverty incidence by more than twice. </w:t>
      </w:r>
    </w:p>
    <w:p w14:paraId="25A8F6D6" w14:textId="77777777" w:rsidR="00C461A7" w:rsidRDefault="00C461A7" w:rsidP="00147D56">
      <w:pPr>
        <w:autoSpaceDE w:val="0"/>
        <w:autoSpaceDN w:val="0"/>
        <w:adjustRightInd w:val="0"/>
        <w:spacing w:after="0"/>
        <w:jc w:val="both"/>
        <w:rPr>
          <w:b/>
          <w:color w:val="000000" w:themeColor="text1"/>
        </w:rPr>
      </w:pPr>
    </w:p>
    <w:p w14:paraId="06EC3026" w14:textId="62318163" w:rsidR="00657D64" w:rsidRPr="004341C5" w:rsidRDefault="002B58A3" w:rsidP="00147D56">
      <w:pPr>
        <w:autoSpaceDE w:val="0"/>
        <w:autoSpaceDN w:val="0"/>
        <w:adjustRightInd w:val="0"/>
        <w:spacing w:after="0"/>
        <w:jc w:val="both"/>
        <w:rPr>
          <w:b/>
          <w:color w:val="000000" w:themeColor="text1"/>
        </w:rPr>
      </w:pPr>
      <w:r>
        <w:rPr>
          <w:b/>
          <w:color w:val="000000" w:themeColor="text1"/>
        </w:rPr>
        <w:t>Low to moderate econo</w:t>
      </w:r>
      <w:r w:rsidR="00640169">
        <w:rPr>
          <w:b/>
          <w:color w:val="000000" w:themeColor="text1"/>
        </w:rPr>
        <w:t xml:space="preserve">mic growth, high unemployment and </w:t>
      </w:r>
      <w:r w:rsidR="004341C5">
        <w:rPr>
          <w:b/>
          <w:color w:val="000000" w:themeColor="text1"/>
        </w:rPr>
        <w:t xml:space="preserve">increased consumer prices are likely reasons for increased poverty rates. </w:t>
      </w:r>
      <w:r w:rsidR="00E36981">
        <w:rPr>
          <w:color w:val="000000" w:themeColor="text1"/>
        </w:rPr>
        <w:t>While poverty incidence has been declining over 2013-15, existing levels has subs</w:t>
      </w:r>
      <w:r w:rsidR="00E7020F">
        <w:rPr>
          <w:color w:val="000000" w:themeColor="text1"/>
        </w:rPr>
        <w:t>tantial</w:t>
      </w:r>
      <w:r w:rsidR="00E119FA">
        <w:rPr>
          <w:color w:val="000000" w:themeColor="text1"/>
        </w:rPr>
        <w:t>ly increased in Georgia.</w:t>
      </w:r>
      <w:r w:rsidR="00F479B7">
        <w:rPr>
          <w:color w:val="000000" w:themeColor="text1"/>
        </w:rPr>
        <w:t xml:space="preserve"> </w:t>
      </w:r>
      <w:r w:rsidR="002A5CDA">
        <w:rPr>
          <w:color w:val="000000" w:themeColor="text1"/>
        </w:rPr>
        <w:t xml:space="preserve">It is assumed that country’s </w:t>
      </w:r>
      <w:r w:rsidR="00623EA8">
        <w:rPr>
          <w:color w:val="000000" w:themeColor="text1"/>
        </w:rPr>
        <w:t>macro</w:t>
      </w:r>
      <w:r w:rsidR="002A5CDA">
        <w:rPr>
          <w:color w:val="000000" w:themeColor="text1"/>
        </w:rPr>
        <w:t>economic performance influenced households and individuals’</w:t>
      </w:r>
      <w:r w:rsidR="0049516D">
        <w:rPr>
          <w:color w:val="000000" w:themeColor="text1"/>
        </w:rPr>
        <w:t xml:space="preserve"> </w:t>
      </w:r>
      <w:r w:rsidR="002A5CDA">
        <w:rPr>
          <w:color w:val="000000" w:themeColor="text1"/>
        </w:rPr>
        <w:t>vulnerability to</w:t>
      </w:r>
      <w:r w:rsidR="00C22071">
        <w:rPr>
          <w:color w:val="000000" w:themeColor="text1"/>
        </w:rPr>
        <w:t xml:space="preserve"> poverty. </w:t>
      </w:r>
      <w:r w:rsidR="005B2825">
        <w:rPr>
          <w:color w:val="000000" w:themeColor="text1"/>
        </w:rPr>
        <w:t>Economic performance</w:t>
      </w:r>
      <w:r w:rsidR="00771E1D">
        <w:rPr>
          <w:rStyle w:val="FootnoteReference"/>
          <w:color w:val="000000" w:themeColor="text1"/>
        </w:rPr>
        <w:footnoteReference w:id="14"/>
      </w:r>
      <w:r w:rsidR="005B2825">
        <w:rPr>
          <w:color w:val="000000" w:themeColor="text1"/>
        </w:rPr>
        <w:t xml:space="preserve"> </w:t>
      </w:r>
      <w:r w:rsidR="00623EA8">
        <w:rPr>
          <w:color w:val="000000" w:themeColor="text1"/>
        </w:rPr>
        <w:t xml:space="preserve">of the country is commonly regarded as the main determinant of poverty. </w:t>
      </w:r>
      <w:r w:rsidR="00CB4348">
        <w:rPr>
          <w:color w:val="000000" w:themeColor="text1"/>
        </w:rPr>
        <w:t xml:space="preserve">Georgia’s economy slumped between 2015 and 2016, when the real GDP </w:t>
      </w:r>
      <w:r w:rsidR="005250D8">
        <w:rPr>
          <w:color w:val="000000" w:themeColor="text1"/>
        </w:rPr>
        <w:t xml:space="preserve">expanded by less than </w:t>
      </w:r>
      <w:r w:rsidR="00CB4348">
        <w:rPr>
          <w:color w:val="000000" w:themeColor="text1"/>
        </w:rPr>
        <w:t>3%.</w:t>
      </w:r>
      <w:r w:rsidR="005250D8">
        <w:rPr>
          <w:color w:val="000000" w:themeColor="text1"/>
        </w:rPr>
        <w:t xml:space="preserve"> </w:t>
      </w:r>
      <w:r w:rsidR="00CB4348">
        <w:rPr>
          <w:color w:val="000000" w:themeColor="text1"/>
        </w:rPr>
        <w:t xml:space="preserve">Only recently it has returned to its moderate </w:t>
      </w:r>
      <w:r w:rsidR="005250D8">
        <w:rPr>
          <w:color w:val="000000" w:themeColor="text1"/>
        </w:rPr>
        <w:t xml:space="preserve">growth rate of around 5%. </w:t>
      </w:r>
      <w:r w:rsidR="00BA0F0F">
        <w:rPr>
          <w:color w:val="000000" w:themeColor="text1"/>
        </w:rPr>
        <w:t xml:space="preserve">The economy </w:t>
      </w:r>
      <w:r w:rsidR="00EE570E">
        <w:rPr>
          <w:color w:val="000000" w:themeColor="text1"/>
        </w:rPr>
        <w:t xml:space="preserve">still </w:t>
      </w:r>
      <w:r w:rsidR="00BA0F0F">
        <w:rPr>
          <w:color w:val="000000" w:themeColor="text1"/>
        </w:rPr>
        <w:t>failed to create more jobs as the number of employed decreased by 16.7 thousand people from 2015 to 2016 (the latest figure</w:t>
      </w:r>
      <w:r w:rsidR="00EE570E">
        <w:rPr>
          <w:color w:val="000000" w:themeColor="text1"/>
        </w:rPr>
        <w:t>s</w:t>
      </w:r>
      <w:r w:rsidR="00BA0F0F">
        <w:rPr>
          <w:color w:val="000000" w:themeColor="text1"/>
        </w:rPr>
        <w:t xml:space="preserve"> published by Geostat).</w:t>
      </w:r>
      <w:r w:rsidR="00DA02AB">
        <w:rPr>
          <w:color w:val="000000" w:themeColor="text1"/>
        </w:rPr>
        <w:t xml:space="preserve"> Meantime,</w:t>
      </w:r>
      <w:r w:rsidR="00EE570E">
        <w:rPr>
          <w:color w:val="000000" w:themeColor="text1"/>
        </w:rPr>
        <w:t xml:space="preserve"> </w:t>
      </w:r>
      <w:r w:rsidR="00DA02AB">
        <w:rPr>
          <w:color w:val="000000" w:themeColor="text1"/>
        </w:rPr>
        <w:t>t</w:t>
      </w:r>
      <w:r w:rsidR="00EE570E">
        <w:rPr>
          <w:color w:val="000000" w:themeColor="text1"/>
        </w:rPr>
        <w:t xml:space="preserve">he number of unemployed also decreased by </w:t>
      </w:r>
      <w:r w:rsidR="002A72BF">
        <w:rPr>
          <w:color w:val="000000" w:themeColor="text1"/>
        </w:rPr>
        <w:t xml:space="preserve">6.5 thousand people. It means that more than 10.2 thousand people became jobless in 2016 compared to the previous year. </w:t>
      </w:r>
      <w:r w:rsidR="00E61BA9">
        <w:rPr>
          <w:color w:val="000000" w:themeColor="text1"/>
        </w:rPr>
        <w:t>This has increased the likelihood of the non-poor to</w:t>
      </w:r>
      <w:r w:rsidR="00DA02AB">
        <w:rPr>
          <w:color w:val="000000" w:themeColor="text1"/>
        </w:rPr>
        <w:t xml:space="preserve"> pull down</w:t>
      </w:r>
      <w:r w:rsidR="00E61BA9">
        <w:rPr>
          <w:color w:val="000000" w:themeColor="text1"/>
        </w:rPr>
        <w:t xml:space="preserve"> into poverty. </w:t>
      </w:r>
      <w:r w:rsidR="003747DF">
        <w:t xml:space="preserve">High inflation rate, as measured by the Consumer Price Index (CPI), further reduced </w:t>
      </w:r>
      <w:r w:rsidR="000314BC">
        <w:t xml:space="preserve">the </w:t>
      </w:r>
      <w:r w:rsidR="003747DF">
        <w:t>impact of economic growth on poverty.</w:t>
      </w:r>
      <w:r w:rsidR="009167D1">
        <w:t xml:space="preserve"> </w:t>
      </w:r>
      <w:r w:rsidR="00C07D61">
        <w:t xml:space="preserve">Over the last two years, consumer prices significantly increased on food, tobacco, alcoholic beverages, </w:t>
      </w:r>
      <w:r w:rsidR="006C75D2">
        <w:t>healthcare</w:t>
      </w:r>
      <w:r w:rsidR="002075C4">
        <w:t xml:space="preserve">, utilities </w:t>
      </w:r>
      <w:r w:rsidR="006C75D2">
        <w:t xml:space="preserve">and transport alongside with the strong devaluation of the Georgian lari (GEL). </w:t>
      </w:r>
      <w:r w:rsidR="00D97A03">
        <w:t>Under this economic pressures, hous</w:t>
      </w:r>
      <w:r w:rsidR="00E43366">
        <w:t xml:space="preserve">ehold expenditure structure has changed. </w:t>
      </w:r>
      <w:r w:rsidR="00B5562E">
        <w:t>According to the WMS 2015</w:t>
      </w:r>
      <w:r w:rsidR="00BF2CC8">
        <w:t xml:space="preserve">, </w:t>
      </w:r>
      <w:r w:rsidR="00BF2CC8">
        <w:lastRenderedPageBreak/>
        <w:t xml:space="preserve">households </w:t>
      </w:r>
      <w:r w:rsidR="00CC6765">
        <w:t>tended to spend</w:t>
      </w:r>
      <w:r w:rsidR="00B5562E">
        <w:t xml:space="preserve"> more with less income (average expenditure </w:t>
      </w:r>
      <w:r w:rsidR="00D94E20">
        <w:t>8</w:t>
      </w:r>
      <w:r w:rsidR="00B5562E">
        <w:t>21.8 GEL vs</w:t>
      </w:r>
      <w:r w:rsidR="006D3A5E">
        <w:t>.</w:t>
      </w:r>
      <w:r w:rsidR="00B5562E">
        <w:t xml:space="preserve"> average income 608.9 GEL). </w:t>
      </w:r>
      <w:r w:rsidR="00371709">
        <w:t>One can assume that, overspending was com</w:t>
      </w:r>
      <w:r w:rsidR="00AB3E07">
        <w:t>pensated by savings</w:t>
      </w:r>
      <w:r w:rsidR="00B574F8">
        <w:t xml:space="preserve">. </w:t>
      </w:r>
      <w:r w:rsidR="00C125F5">
        <w:t xml:space="preserve">In 2017, the households </w:t>
      </w:r>
      <w:r w:rsidR="00CC6765">
        <w:t>started to spend</w:t>
      </w:r>
      <w:r w:rsidR="00C125F5">
        <w:t xml:space="preserve"> less with substantially </w:t>
      </w:r>
      <w:r w:rsidR="004934A3">
        <w:t xml:space="preserve">higher </w:t>
      </w:r>
      <w:r w:rsidR="00C125F5">
        <w:t>incomes (average expenditure 788.6 GEL vs</w:t>
      </w:r>
      <w:r w:rsidR="006D3A5E">
        <w:t>.</w:t>
      </w:r>
      <w:r w:rsidR="00C125F5">
        <w:t xml:space="preserve"> average income 771.9 GEL). </w:t>
      </w:r>
      <w:r w:rsidR="0081047C">
        <w:t>On the bac</w:t>
      </w:r>
      <w:r w:rsidR="00581CF2">
        <w:t>kground of high consumer prices</w:t>
      </w:r>
      <w:r w:rsidR="0081047C">
        <w:t xml:space="preserve"> and </w:t>
      </w:r>
      <w:r w:rsidR="00AB3E07">
        <w:t xml:space="preserve">reduced </w:t>
      </w:r>
      <w:r w:rsidR="0081047C">
        <w:t xml:space="preserve">purchasing power of the local </w:t>
      </w:r>
      <w:r w:rsidR="00581CF2">
        <w:t xml:space="preserve">currency, increase in income level was not translated into prosperity of </w:t>
      </w:r>
      <w:r w:rsidR="00050032">
        <w:t xml:space="preserve">the </w:t>
      </w:r>
      <w:r w:rsidR="00581CF2">
        <w:t>households.</w:t>
      </w:r>
      <w:r w:rsidR="009249F6">
        <w:t xml:space="preserve"> In general, household spending patterns reflect both the price of goods and the amount of the good that is consumed</w:t>
      </w:r>
      <w:r w:rsidR="00895531">
        <w:t xml:space="preserve">. </w:t>
      </w:r>
      <w:r w:rsidR="00023BF1">
        <w:t xml:space="preserve">As survey results demonstrate, household expenditure decreased on food, </w:t>
      </w:r>
      <w:r w:rsidR="004234B0">
        <w:t xml:space="preserve">education and long-term non-food items alongside with increased consumer price levels. </w:t>
      </w:r>
      <w:r w:rsidR="009249F6">
        <w:t>It is highly likely that</w:t>
      </w:r>
      <w:r w:rsidR="003E3ADD">
        <w:t xml:space="preserve"> households exhausted </w:t>
      </w:r>
      <w:r w:rsidR="006F1CD4">
        <w:t xml:space="preserve">savings, </w:t>
      </w:r>
      <w:r w:rsidR="007572B1">
        <w:t xml:space="preserve">had limited access to additional financial resources and </w:t>
      </w:r>
      <w:r w:rsidR="006F1CD4">
        <w:t>became more vulnerable</w:t>
      </w:r>
      <w:r w:rsidR="007572B1">
        <w:t>.</w:t>
      </w:r>
      <w:r w:rsidR="000C2D1A">
        <w:t xml:space="preserve"> </w:t>
      </w:r>
      <w:r w:rsidR="003753EA">
        <w:t>Moreover, i</w:t>
      </w:r>
      <w:r w:rsidR="000C2D1A">
        <w:t xml:space="preserve">t is a widespread fact that low-income households spent </w:t>
      </w:r>
      <w:r w:rsidR="00516F18">
        <w:t xml:space="preserve">a higher share of their budgets on food. This means that since 2015, households with low income experienced </w:t>
      </w:r>
      <w:r w:rsidR="00D160DC">
        <w:t xml:space="preserve">relatively higher inflation compared to those with higher incomes. </w:t>
      </w:r>
      <w:r w:rsidR="006E29E1">
        <w:t xml:space="preserve">The last two years </w:t>
      </w:r>
      <w:r w:rsidR="00CC6765" w:rsidRPr="00657D64">
        <w:rPr>
          <w:color w:val="000000" w:themeColor="text1"/>
        </w:rPr>
        <w:t>has seen the financial health of Georgian households weaken and more households and individuals pulled down into poverty</w:t>
      </w:r>
      <w:r w:rsidR="006E29E1">
        <w:rPr>
          <w:color w:val="000000" w:themeColor="text1"/>
        </w:rPr>
        <w:t xml:space="preserve">. </w:t>
      </w:r>
      <w:bookmarkStart w:id="35" w:name="_Toc511392459"/>
      <w:bookmarkStart w:id="36" w:name="_Toc511392528"/>
      <w:bookmarkStart w:id="37" w:name="_Toc511392793"/>
    </w:p>
    <w:p w14:paraId="2DFFDC2D" w14:textId="77777777" w:rsidR="004900A1" w:rsidRPr="00657D64" w:rsidRDefault="004900A1" w:rsidP="004900A1">
      <w:pPr>
        <w:autoSpaceDE w:val="0"/>
        <w:autoSpaceDN w:val="0"/>
        <w:adjustRightInd w:val="0"/>
        <w:spacing w:after="0"/>
        <w:jc w:val="both"/>
        <w:rPr>
          <w:color w:val="000000" w:themeColor="text1"/>
        </w:rPr>
      </w:pPr>
    </w:p>
    <w:p w14:paraId="4BAE70EE" w14:textId="77777777" w:rsidR="00224A2A" w:rsidRPr="0091101C" w:rsidRDefault="00316CCF" w:rsidP="00657D64">
      <w:pPr>
        <w:pStyle w:val="Heading3"/>
        <w:jc w:val="both"/>
        <w:rPr>
          <w:rFonts w:asciiTheme="minorHAnsi" w:hAnsiTheme="minorHAnsi" w:cstheme="minorHAnsi"/>
          <w:b/>
          <w:i/>
          <w:color w:val="000000" w:themeColor="text1"/>
        </w:rPr>
      </w:pPr>
      <w:r w:rsidRPr="0091101C">
        <w:rPr>
          <w:rFonts w:asciiTheme="minorHAnsi" w:hAnsiTheme="minorHAnsi" w:cstheme="minorHAnsi"/>
          <w:b/>
          <w:i/>
          <w:color w:val="000000" w:themeColor="text1"/>
        </w:rPr>
        <w:t>Non-monetary dimensions of poverty</w:t>
      </w:r>
      <w:bookmarkEnd w:id="35"/>
      <w:bookmarkEnd w:id="36"/>
      <w:bookmarkEnd w:id="37"/>
      <w:r w:rsidRPr="0091101C">
        <w:rPr>
          <w:rFonts w:asciiTheme="minorHAnsi" w:hAnsiTheme="minorHAnsi" w:cstheme="minorHAnsi"/>
          <w:b/>
          <w:i/>
          <w:color w:val="000000" w:themeColor="text1"/>
        </w:rPr>
        <w:t xml:space="preserve"> </w:t>
      </w:r>
    </w:p>
    <w:p w14:paraId="7E2F3858" w14:textId="77777777" w:rsidR="00224A2A" w:rsidRPr="00657D64" w:rsidRDefault="00224A2A" w:rsidP="00657D64">
      <w:pPr>
        <w:autoSpaceDE w:val="0"/>
        <w:autoSpaceDN w:val="0"/>
        <w:adjustRightInd w:val="0"/>
        <w:spacing w:after="0"/>
        <w:jc w:val="both"/>
      </w:pPr>
    </w:p>
    <w:p w14:paraId="749178A8" w14:textId="77777777" w:rsidR="004900A1" w:rsidRPr="004900A1" w:rsidRDefault="004900A1" w:rsidP="00657D64">
      <w:pPr>
        <w:autoSpaceDE w:val="0"/>
        <w:autoSpaceDN w:val="0"/>
        <w:adjustRightInd w:val="0"/>
        <w:spacing w:after="0"/>
        <w:jc w:val="both"/>
        <w:rPr>
          <w:b/>
        </w:rPr>
      </w:pPr>
      <w:r w:rsidRPr="004900A1">
        <w:rPr>
          <w:b/>
        </w:rPr>
        <w:t xml:space="preserve">Poverty is a multidimensional phenomenon. </w:t>
      </w:r>
      <w:r w:rsidR="00F57E18" w:rsidRPr="00657D64">
        <w:t xml:space="preserve">The above analysis of welfare in Georgia relied on consumption information to capture household living conditions and identify those who are poor. </w:t>
      </w:r>
      <w:r w:rsidR="00410021" w:rsidRPr="00657D64">
        <w:t xml:space="preserve">Since poverty is not </w:t>
      </w:r>
      <w:r w:rsidR="00EE3BDF" w:rsidRPr="00657D64">
        <w:t>merely</w:t>
      </w:r>
      <w:r w:rsidR="00410021" w:rsidRPr="00657D64">
        <w:t xml:space="preserve"> about consumption deficits, and it has multidimensional nature, the present analysis </w:t>
      </w:r>
      <w:r w:rsidR="004929B5" w:rsidRPr="00657D64">
        <w:t xml:space="preserve">also </w:t>
      </w:r>
      <w:r w:rsidR="00EE3BDF" w:rsidRPr="00657D64">
        <w:t>assesses</w:t>
      </w:r>
      <w:r w:rsidR="00410021" w:rsidRPr="00657D64">
        <w:t xml:space="preserve"> well-being in Georgia </w:t>
      </w:r>
      <w:r w:rsidR="00EE3BDF" w:rsidRPr="00657D64">
        <w:t xml:space="preserve">based on non-monetary dimensions of poverty. </w:t>
      </w:r>
    </w:p>
    <w:p w14:paraId="0BCECC6E" w14:textId="77777777" w:rsidR="004900A1" w:rsidRDefault="004900A1" w:rsidP="00657D64">
      <w:pPr>
        <w:autoSpaceDE w:val="0"/>
        <w:autoSpaceDN w:val="0"/>
        <w:adjustRightInd w:val="0"/>
        <w:spacing w:after="0"/>
        <w:jc w:val="both"/>
      </w:pPr>
    </w:p>
    <w:p w14:paraId="17855422" w14:textId="77777777" w:rsidR="00F705A1" w:rsidRPr="000B4A33" w:rsidRDefault="004900A1" w:rsidP="000B4A33">
      <w:pPr>
        <w:autoSpaceDE w:val="0"/>
        <w:autoSpaceDN w:val="0"/>
        <w:adjustRightInd w:val="0"/>
        <w:spacing w:after="0"/>
        <w:jc w:val="both"/>
        <w:rPr>
          <w:b/>
        </w:rPr>
      </w:pPr>
      <w:r w:rsidRPr="004900A1">
        <w:rPr>
          <w:b/>
        </w:rPr>
        <w:t xml:space="preserve">Material deprivation </w:t>
      </w:r>
      <w:r>
        <w:rPr>
          <w:b/>
        </w:rPr>
        <w:t xml:space="preserve">decreased for children while </w:t>
      </w:r>
      <w:r w:rsidR="000B4A33">
        <w:rPr>
          <w:b/>
        </w:rPr>
        <w:t xml:space="preserve">housing deprivation reduced for households, population, children and pensioners. </w:t>
      </w:r>
      <w:r w:rsidR="004929B5" w:rsidRPr="00657D64">
        <w:t xml:space="preserve">Survey results indicate that </w:t>
      </w:r>
      <w:r w:rsidR="00244989" w:rsidRPr="00657D64">
        <w:t>6.1% of households were materially deprived</w:t>
      </w:r>
      <w:r w:rsidR="00D122A6" w:rsidRPr="00657D64">
        <w:rPr>
          <w:rStyle w:val="FootnoteReference"/>
        </w:rPr>
        <w:footnoteReference w:id="15"/>
      </w:r>
      <w:r w:rsidR="00244989" w:rsidRPr="00657D64">
        <w:t xml:space="preserve"> in 2017.</w:t>
      </w:r>
      <w:r w:rsidR="007347CB" w:rsidRPr="00657D64">
        <w:t xml:space="preserve"> Though, it affects more pensioners (7.1%) than children (2.4%) or the population as a whole (3.7%). </w:t>
      </w:r>
      <w:r w:rsidR="00D122A6" w:rsidRPr="00657D64">
        <w:t>Ove</w:t>
      </w:r>
      <w:r w:rsidR="00BF3C26" w:rsidRPr="00657D64">
        <w:t>r</w:t>
      </w:r>
      <w:r w:rsidR="00D122A6" w:rsidRPr="00657D64">
        <w:t xml:space="preserve"> the last two years, material deprivation has grown </w:t>
      </w:r>
      <w:r w:rsidR="00210D65" w:rsidRPr="00657D64">
        <w:t xml:space="preserve">slightly </w:t>
      </w:r>
      <w:r w:rsidR="00D122A6" w:rsidRPr="00657D64">
        <w:t xml:space="preserve">across all groups except for children (down 0.4 percentage points). </w:t>
      </w:r>
      <w:r w:rsidR="001B0B74" w:rsidRPr="00657D64">
        <w:t>Regarding housing deprivation</w:t>
      </w:r>
      <w:r w:rsidR="001B0B74" w:rsidRPr="00657D64">
        <w:rPr>
          <w:rStyle w:val="FootnoteReference"/>
        </w:rPr>
        <w:footnoteReference w:id="16"/>
      </w:r>
      <w:r w:rsidR="001B0B74" w:rsidRPr="00657D64">
        <w:t>, this is significantly worse in rural settlements compared with urban settlements.</w:t>
      </w:r>
      <w:r w:rsidR="0054552F" w:rsidRPr="00657D64">
        <w:t xml:space="preserve"> From 2015 to 2017,</w:t>
      </w:r>
      <w:r w:rsidR="001B0B74" w:rsidRPr="00657D64">
        <w:t xml:space="preserve"> </w:t>
      </w:r>
      <w:r w:rsidR="0054552F" w:rsidRPr="00657D64">
        <w:t>the number of households, population, children and pensioners living in housing deprivation decreased by 4.7, 4.3, 3.5 and 4.8 percentage points respectively.</w:t>
      </w:r>
      <w:r w:rsidR="00F705A1" w:rsidRPr="00657D64">
        <w:t xml:space="preserve"> </w:t>
      </w:r>
    </w:p>
    <w:p w14:paraId="26A67321" w14:textId="2F7DAB94" w:rsidR="00163E61" w:rsidRDefault="00163E61" w:rsidP="00657D64">
      <w:pPr>
        <w:autoSpaceDE w:val="0"/>
        <w:autoSpaceDN w:val="0"/>
        <w:adjustRightInd w:val="0"/>
        <w:spacing w:after="0"/>
        <w:jc w:val="both"/>
      </w:pPr>
    </w:p>
    <w:p w14:paraId="5A9B8C62" w14:textId="77777777" w:rsidR="000F109D" w:rsidRPr="00163E61" w:rsidRDefault="00163E61" w:rsidP="00CE21A5">
      <w:pPr>
        <w:autoSpaceDE w:val="0"/>
        <w:autoSpaceDN w:val="0"/>
        <w:adjustRightInd w:val="0"/>
        <w:jc w:val="both"/>
        <w:rPr>
          <w:b/>
        </w:rPr>
      </w:pPr>
      <w:r w:rsidRPr="00163E61">
        <w:rPr>
          <w:b/>
        </w:rPr>
        <w:lastRenderedPageBreak/>
        <w:t xml:space="preserve">Subjective </w:t>
      </w:r>
      <w:r>
        <w:rPr>
          <w:b/>
        </w:rPr>
        <w:t xml:space="preserve">assessment of the </w:t>
      </w:r>
      <w:r w:rsidRPr="00163E61">
        <w:rPr>
          <w:b/>
        </w:rPr>
        <w:t xml:space="preserve">poverty declined </w:t>
      </w:r>
      <w:r>
        <w:rPr>
          <w:b/>
        </w:rPr>
        <w:t xml:space="preserve">across all groups. </w:t>
      </w:r>
      <w:r w:rsidR="00F705A1" w:rsidRPr="00657D64">
        <w:t xml:space="preserve">Even though there was an increase in consumption poverty in 2017, people’s perception of being in poverty have improved. </w:t>
      </w:r>
      <w:r w:rsidR="00820904" w:rsidRPr="00657D64">
        <w:t xml:space="preserve">Interestingly enough, </w:t>
      </w:r>
      <w:r w:rsidR="008C11A5" w:rsidRPr="00657D64">
        <w:t xml:space="preserve">in 2017, 33.7% of households were </w:t>
      </w:r>
      <w:r w:rsidR="00050063">
        <w:t>subjectively poor</w:t>
      </w:r>
      <w:r w:rsidR="005D7C2E" w:rsidRPr="00657D64">
        <w:rPr>
          <w:rStyle w:val="FootnoteReference"/>
        </w:rPr>
        <w:footnoteReference w:id="17"/>
      </w:r>
      <w:r w:rsidR="008C11A5" w:rsidRPr="00657D64">
        <w:t xml:space="preserve">versus 38.4% in 2015. </w:t>
      </w:r>
      <w:r w:rsidR="003E68CE" w:rsidRPr="00657D64">
        <w:t xml:space="preserve">Moreover, </w:t>
      </w:r>
      <w:r w:rsidR="00BF3C26" w:rsidRPr="00657D64">
        <w:t xml:space="preserve">such </w:t>
      </w:r>
      <w:r w:rsidR="003E68CE" w:rsidRPr="00657D64">
        <w:t xml:space="preserve">households comprised 30% of the population, 27.5% of children and 36.0% of all pensioners. </w:t>
      </w:r>
      <w:r w:rsidR="000F109D" w:rsidRPr="00657D64">
        <w:t xml:space="preserve">Survey findings demonstrate that </w:t>
      </w:r>
      <w:r w:rsidR="00F93E99" w:rsidRPr="00657D64">
        <w:t xml:space="preserve">the gap between </w:t>
      </w:r>
      <w:r w:rsidR="008C79E2" w:rsidRPr="00657D64">
        <w:t xml:space="preserve">the general </w:t>
      </w:r>
      <w:r w:rsidR="00F93E99" w:rsidRPr="00657D64">
        <w:t>and subjective assessment</w:t>
      </w:r>
      <w:r w:rsidR="00C560F1" w:rsidRPr="00657D64">
        <w:t>s</w:t>
      </w:r>
      <w:r w:rsidR="00F93E99" w:rsidRPr="00657D64">
        <w:t xml:space="preserve"> of children’s poverty is marginal. In particular, 27.6% of children live in households below general poverty and 27.5% of them live in poor households </w:t>
      </w:r>
      <w:r w:rsidR="008C79E2" w:rsidRPr="00657D64">
        <w:t xml:space="preserve">based on subjective assessment. </w:t>
      </w:r>
      <w:r w:rsidR="00DC7E84">
        <w:t xml:space="preserve">Decrease in subjective poverty rates can be attributed to the real increase in income level. </w:t>
      </w:r>
    </w:p>
    <w:p w14:paraId="1C656BD0" w14:textId="17C1CC4B" w:rsidR="00F95652" w:rsidRPr="00CE21A5" w:rsidRDefault="00934403" w:rsidP="00CE21A5">
      <w:pPr>
        <w:autoSpaceDE w:val="0"/>
        <w:autoSpaceDN w:val="0"/>
        <w:adjustRightInd w:val="0"/>
        <w:jc w:val="both"/>
        <w:rPr>
          <w:b/>
        </w:rPr>
      </w:pPr>
      <w:r w:rsidRPr="00CE21A5">
        <w:rPr>
          <w:b/>
        </w:rPr>
        <w:t xml:space="preserve">Unemployment is a pressing issue for households with children, whereas the cost of medicines </w:t>
      </w:r>
      <w:r w:rsidR="00CE21A5" w:rsidRPr="00CE21A5">
        <w:rPr>
          <w:b/>
        </w:rPr>
        <w:t>is the main co</w:t>
      </w:r>
      <w:r w:rsidR="00CE21A5">
        <w:rPr>
          <w:b/>
        </w:rPr>
        <w:t xml:space="preserve">ncern for childless households. </w:t>
      </w:r>
      <w:r w:rsidR="003C3AB1" w:rsidRPr="00657D64">
        <w:t xml:space="preserve">The 2017 Welfare Monitoring Survey results also revealed that </w:t>
      </w:r>
      <w:r w:rsidR="00F95652" w:rsidRPr="00657D64">
        <w:t>in households with children the issue of unemployment was particularly common (28% of households with children vs</w:t>
      </w:r>
      <w:r w:rsidR="006D3A5E">
        <w:t>.</w:t>
      </w:r>
      <w:r w:rsidR="00F95652" w:rsidRPr="00657D64">
        <w:t xml:space="preserve"> 19% of households without children). In households without children purchasing of medicines was pressing issue (33% of households without children vs</w:t>
      </w:r>
      <w:r w:rsidR="006D3A5E">
        <w:t>.</w:t>
      </w:r>
      <w:r w:rsidR="00F95652" w:rsidRPr="00657D64">
        <w:t xml:space="preserve"> 17% of households with children). The percentage of families with children in which paying off debts or bank loans was the </w:t>
      </w:r>
      <w:r w:rsidR="00AA522F" w:rsidRPr="00657D64">
        <w:t xml:space="preserve">main problem increased from 16% to 17%, whereas in childless households the figure reached 8% in 2017, down from 10% in 2015. </w:t>
      </w:r>
    </w:p>
    <w:p w14:paraId="79E5C6BA" w14:textId="77777777" w:rsidR="00F11F12" w:rsidRPr="00657D64" w:rsidRDefault="00F2184F" w:rsidP="00657D64">
      <w:pPr>
        <w:autoSpaceDE w:val="0"/>
        <w:autoSpaceDN w:val="0"/>
        <w:adjustRightInd w:val="0"/>
        <w:spacing w:after="0"/>
        <w:jc w:val="both"/>
      </w:pPr>
      <w:r w:rsidRPr="00F2184F">
        <w:rPr>
          <w:b/>
        </w:rPr>
        <w:t>The share of households and the population with no access to improved water decreases in Georgia.</w:t>
      </w:r>
      <w:r>
        <w:t xml:space="preserve"> </w:t>
      </w:r>
      <w:r w:rsidR="00F11F12" w:rsidRPr="00657D64">
        <w:t xml:space="preserve">At the national level, the share of population living in households with no access to improved water decreased by 1.7 percentage points from 4.2% in 2015 to 2.5% in 2017. Moreover, </w:t>
      </w:r>
      <w:r w:rsidR="00644559" w:rsidRPr="00657D64">
        <w:t xml:space="preserve">20.1% of the population live in households with no access to improved sanitation, a 3.8 percentage points decrease from 2015. </w:t>
      </w:r>
    </w:p>
    <w:p w14:paraId="7F05C84D" w14:textId="77777777" w:rsidR="006948DD" w:rsidRPr="00657D64" w:rsidRDefault="006948DD" w:rsidP="00657D64">
      <w:pPr>
        <w:autoSpaceDE w:val="0"/>
        <w:autoSpaceDN w:val="0"/>
        <w:adjustRightInd w:val="0"/>
        <w:spacing w:after="0"/>
        <w:jc w:val="both"/>
      </w:pPr>
    </w:p>
    <w:p w14:paraId="1BE22032" w14:textId="77777777" w:rsidR="004F550B" w:rsidRPr="007E52DA" w:rsidRDefault="007E52DA" w:rsidP="00657D64">
      <w:pPr>
        <w:autoSpaceDE w:val="0"/>
        <w:autoSpaceDN w:val="0"/>
        <w:adjustRightInd w:val="0"/>
        <w:spacing w:after="0"/>
        <w:jc w:val="both"/>
        <w:rPr>
          <w:b/>
        </w:rPr>
      </w:pPr>
      <w:r w:rsidRPr="007E52DA">
        <w:rPr>
          <w:b/>
        </w:rPr>
        <w:t xml:space="preserve">All aspects of social inclusion except “accessing land ownership or employment” shows impressive decline. </w:t>
      </w:r>
      <w:r w:rsidR="006948DD" w:rsidRPr="00657D64">
        <w:t>Another dimension of non-monetary poverty considered in this report is social exclusion</w:t>
      </w:r>
      <w:r w:rsidR="00B21ED0" w:rsidRPr="00657D64">
        <w:rPr>
          <w:rStyle w:val="FootnoteReference"/>
        </w:rPr>
        <w:footnoteReference w:id="18"/>
      </w:r>
      <w:r w:rsidR="006948DD" w:rsidRPr="00657D64">
        <w:t xml:space="preserve">. </w:t>
      </w:r>
      <w:r w:rsidR="002A1FAB" w:rsidRPr="00657D64">
        <w:t xml:space="preserve">At the household level, there have been considerable improvements in all aspects of social exclusion </w:t>
      </w:r>
      <w:r w:rsidR="00D16CDB" w:rsidRPr="00657D64">
        <w:t xml:space="preserve">since 2015, </w:t>
      </w:r>
      <w:r w:rsidR="002A1FAB" w:rsidRPr="00657D64">
        <w:t xml:space="preserve">except </w:t>
      </w:r>
      <w:r w:rsidR="004F550B" w:rsidRPr="00657D64">
        <w:t xml:space="preserve">in </w:t>
      </w:r>
      <w:r w:rsidR="006310E8" w:rsidRPr="00657D64">
        <w:t xml:space="preserve">excess to land ownership or employment. </w:t>
      </w:r>
      <w:r w:rsidR="00AE5649" w:rsidRPr="00657D64">
        <w:t xml:space="preserve">The percentage of households experiencing problems accessing land ownership or employment increased by 3.5 percentage from 2015 to 2017. Conversely, the share of households </w:t>
      </w:r>
      <w:r w:rsidR="00C40245" w:rsidRPr="00657D64">
        <w:t>experiencing difficulties in access to healthcare decreased from 44.1% to 22.9%</w:t>
      </w:r>
      <w:r w:rsidR="00CB5906" w:rsidRPr="00657D64">
        <w:t xml:space="preserve">, and the share of households with limited access to education </w:t>
      </w:r>
      <w:r w:rsidR="00F92FFE" w:rsidRPr="00657D64">
        <w:t xml:space="preserve">decreased from 15.3% to 8.2%. In addition, the share </w:t>
      </w:r>
      <w:r w:rsidR="00F92FFE" w:rsidRPr="00657D64">
        <w:lastRenderedPageBreak/>
        <w:t xml:space="preserve">of households with lack of access to credit declined from 5.0% to 3.6%, and the share of households with </w:t>
      </w:r>
      <w:r w:rsidR="00CF4111" w:rsidRPr="00657D64">
        <w:t xml:space="preserve">limited access to </w:t>
      </w:r>
      <w:r w:rsidR="00F92FFE" w:rsidRPr="00657D64">
        <w:t>social assistanc</w:t>
      </w:r>
      <w:r w:rsidR="004C4576" w:rsidRPr="00657D64">
        <w:t xml:space="preserve">e decreased from 11.9% to 9.5%. Overall in 2017, 2.8% of households, including 2.6% of the total population, 2.9% of all children and 2.5% of all pensioners were socially excluded. </w:t>
      </w:r>
    </w:p>
    <w:p w14:paraId="4CF9D922" w14:textId="77777777" w:rsidR="00657D64" w:rsidRPr="00657D64" w:rsidRDefault="00657D64" w:rsidP="00657D64">
      <w:pPr>
        <w:pStyle w:val="Heading3"/>
        <w:jc w:val="both"/>
        <w:rPr>
          <w:rFonts w:asciiTheme="minorHAnsi" w:eastAsiaTheme="minorHAnsi" w:hAnsiTheme="minorHAnsi" w:cstheme="minorHAnsi"/>
          <w:color w:val="auto"/>
        </w:rPr>
      </w:pPr>
      <w:bookmarkStart w:id="38" w:name="_Toc511392460"/>
      <w:bookmarkStart w:id="39" w:name="_Toc511392529"/>
      <w:bookmarkStart w:id="40" w:name="_Toc511392794"/>
    </w:p>
    <w:p w14:paraId="280BC552" w14:textId="77777777" w:rsidR="001125B1" w:rsidRPr="0091101C" w:rsidRDefault="007A292C" w:rsidP="00657D64">
      <w:pPr>
        <w:pStyle w:val="Heading3"/>
        <w:jc w:val="both"/>
        <w:rPr>
          <w:rFonts w:asciiTheme="minorHAnsi" w:hAnsiTheme="minorHAnsi" w:cstheme="minorHAnsi"/>
          <w:b/>
          <w:i/>
          <w:color w:val="000000" w:themeColor="text1"/>
        </w:rPr>
      </w:pPr>
      <w:r w:rsidRPr="0091101C">
        <w:rPr>
          <w:rFonts w:asciiTheme="minorHAnsi" w:hAnsiTheme="minorHAnsi" w:cstheme="minorHAnsi"/>
          <w:b/>
          <w:i/>
          <w:color w:val="000000" w:themeColor="text1"/>
        </w:rPr>
        <w:t>Characteristics of newly-poor households</w:t>
      </w:r>
      <w:bookmarkEnd w:id="38"/>
      <w:bookmarkEnd w:id="39"/>
      <w:bookmarkEnd w:id="40"/>
    </w:p>
    <w:p w14:paraId="669D97B4" w14:textId="77777777" w:rsidR="00BA0103" w:rsidRDefault="00BA0103" w:rsidP="00BA0103">
      <w:pPr>
        <w:autoSpaceDE w:val="0"/>
        <w:autoSpaceDN w:val="0"/>
        <w:adjustRightInd w:val="0"/>
        <w:spacing w:after="0"/>
        <w:jc w:val="both"/>
      </w:pPr>
    </w:p>
    <w:p w14:paraId="46D1C814" w14:textId="3B046CC5" w:rsidR="00BA0103" w:rsidRDefault="008F4005" w:rsidP="00BA0103">
      <w:pPr>
        <w:autoSpaceDE w:val="0"/>
        <w:autoSpaceDN w:val="0"/>
        <w:adjustRightInd w:val="0"/>
        <w:spacing w:after="0"/>
        <w:jc w:val="both"/>
      </w:pPr>
      <w:r>
        <w:rPr>
          <w:b/>
        </w:rPr>
        <w:t xml:space="preserve">At the general poverty threshold, significantly more </w:t>
      </w:r>
      <w:r w:rsidR="00697932" w:rsidRPr="00B01344">
        <w:rPr>
          <w:b/>
        </w:rPr>
        <w:t>p</w:t>
      </w:r>
      <w:r w:rsidR="00023596" w:rsidRPr="00B01344">
        <w:rPr>
          <w:b/>
        </w:rPr>
        <w:t xml:space="preserve">anel households </w:t>
      </w:r>
      <w:r>
        <w:rPr>
          <w:b/>
        </w:rPr>
        <w:t>became newly poor, than rose</w:t>
      </w:r>
      <w:r w:rsidR="005A05F0">
        <w:rPr>
          <w:b/>
        </w:rPr>
        <w:t xml:space="preserve"> </w:t>
      </w:r>
      <w:r w:rsidR="004E7977">
        <w:rPr>
          <w:b/>
        </w:rPr>
        <w:t>out of poverty from</w:t>
      </w:r>
      <w:r w:rsidR="005A05F0">
        <w:rPr>
          <w:b/>
        </w:rPr>
        <w:t xml:space="preserve"> 2015 to 2017.</w:t>
      </w:r>
      <w:r w:rsidR="005A05F0" w:rsidRPr="00030C70">
        <w:t xml:space="preserve"> </w:t>
      </w:r>
      <w:r w:rsidR="00030C70" w:rsidRPr="00030C70">
        <w:t>Households</w:t>
      </w:r>
      <w:r w:rsidR="00030C70">
        <w:rPr>
          <w:b/>
        </w:rPr>
        <w:t xml:space="preserve"> </w:t>
      </w:r>
      <w:r w:rsidR="00030C70" w:rsidRPr="00030C70">
        <w:t>that</w:t>
      </w:r>
      <w:r w:rsidR="00030C70">
        <w:t xml:space="preserve"> participated in the WMS survey in 2015 and in 2017 are considered as panel households</w:t>
      </w:r>
      <w:r w:rsidR="00DA272C">
        <w:t>.</w:t>
      </w:r>
      <w:r w:rsidR="005A6E4E">
        <w:t xml:space="preserve"> </w:t>
      </w:r>
      <w:r w:rsidR="002D505B">
        <w:t xml:space="preserve">The </w:t>
      </w:r>
      <w:r w:rsidR="00723353">
        <w:t>survey results reveal that</w:t>
      </w:r>
      <w:r w:rsidR="0047790F">
        <w:t xml:space="preserve">, </w:t>
      </w:r>
      <w:r w:rsidR="00BA0103">
        <w:t>only 9.4%</w:t>
      </w:r>
      <w:r w:rsidR="00BA0103" w:rsidRPr="00657D64">
        <w:t xml:space="preserve"> of all </w:t>
      </w:r>
      <w:r w:rsidR="00DA272C">
        <w:t xml:space="preserve">panel </w:t>
      </w:r>
      <w:r w:rsidR="00BA0103" w:rsidRPr="00657D64">
        <w:t>househ</w:t>
      </w:r>
      <w:r w:rsidR="00BA0103">
        <w:t xml:space="preserve">olds were </w:t>
      </w:r>
      <w:r w:rsidR="004E7977">
        <w:t xml:space="preserve">lifted out </w:t>
      </w:r>
      <w:r w:rsidR="00BA0103">
        <w:t>of general</w:t>
      </w:r>
      <w:r w:rsidR="00BA0103" w:rsidRPr="00657D64">
        <w:t xml:space="preserve"> pove</w:t>
      </w:r>
      <w:r w:rsidR="00BA0103">
        <w:t>rty over the two years, while 13.5%</w:t>
      </w:r>
      <w:r w:rsidR="00BA0103" w:rsidRPr="00657D64">
        <w:t xml:space="preserve"> of </w:t>
      </w:r>
      <w:r w:rsidR="00DA272C">
        <w:t xml:space="preserve">them </w:t>
      </w:r>
      <w:r w:rsidR="004E7977">
        <w:t xml:space="preserve">became newly poor. </w:t>
      </w:r>
    </w:p>
    <w:p w14:paraId="7E7E7AD2" w14:textId="77777777" w:rsidR="00CA5E0A" w:rsidRDefault="00CA5E0A" w:rsidP="00657D64">
      <w:pPr>
        <w:autoSpaceDE w:val="0"/>
        <w:autoSpaceDN w:val="0"/>
        <w:adjustRightInd w:val="0"/>
        <w:spacing w:after="0"/>
        <w:jc w:val="both"/>
      </w:pPr>
    </w:p>
    <w:p w14:paraId="00019C7B" w14:textId="17038E80" w:rsidR="00C109F3" w:rsidRPr="00B01344" w:rsidRDefault="00B01344" w:rsidP="00657D64">
      <w:pPr>
        <w:autoSpaceDE w:val="0"/>
        <w:autoSpaceDN w:val="0"/>
        <w:adjustRightInd w:val="0"/>
        <w:spacing w:after="0"/>
        <w:jc w:val="both"/>
        <w:rPr>
          <w:color w:val="000000" w:themeColor="text1"/>
        </w:rPr>
      </w:pPr>
      <w:r w:rsidRPr="00B01344">
        <w:rPr>
          <w:b/>
          <w:color w:val="000000" w:themeColor="text1"/>
        </w:rPr>
        <w:t>Children remain the least dynamic group in terms of movement across consumption quintiles.</w:t>
      </w:r>
      <w:r>
        <w:rPr>
          <w:color w:val="000000" w:themeColor="text1"/>
        </w:rPr>
        <w:t xml:space="preserve"> </w:t>
      </w:r>
      <w:r>
        <w:t xml:space="preserve">An estimated </w:t>
      </w:r>
      <w:r w:rsidR="00DC256A" w:rsidRPr="00657D64">
        <w:t xml:space="preserve">44% of the first quintile households in 2015 remained in the first quintile in 2017, whereas 11% and 3% of them moved to the fourth and fifth quintiles respectively in 2017. In terms </w:t>
      </w:r>
      <w:r w:rsidR="00120B36" w:rsidRPr="00657D64">
        <w:t>of movement dynamics across households, population, childre</w:t>
      </w:r>
      <w:r>
        <w:t>n and pensioners, poor children are</w:t>
      </w:r>
      <w:r w:rsidR="00C95771" w:rsidRPr="00657D64">
        <w:t xml:space="preserve"> </w:t>
      </w:r>
      <w:r w:rsidR="00120B36" w:rsidRPr="00657D64">
        <w:t xml:space="preserve">the least dynamic group. In particular, the highest share of children from the first quintile in 2015 </w:t>
      </w:r>
      <w:r w:rsidR="007505BA" w:rsidRPr="00657D64">
        <w:t xml:space="preserve">remained in the first quintile in 2017 </w:t>
      </w:r>
      <w:r w:rsidR="00120B36" w:rsidRPr="00657D64">
        <w:t>(</w:t>
      </w:r>
      <w:r w:rsidR="007505BA" w:rsidRPr="00657D64">
        <w:t xml:space="preserve">56%). </w:t>
      </w:r>
    </w:p>
    <w:p w14:paraId="58DCD0DB" w14:textId="77777777" w:rsidR="00C07AAE" w:rsidRPr="00657D64" w:rsidRDefault="00C07AAE" w:rsidP="00657D64">
      <w:pPr>
        <w:autoSpaceDE w:val="0"/>
        <w:autoSpaceDN w:val="0"/>
        <w:adjustRightInd w:val="0"/>
        <w:spacing w:after="0"/>
        <w:jc w:val="both"/>
      </w:pPr>
    </w:p>
    <w:p w14:paraId="2A4547EA" w14:textId="77777777" w:rsidR="00DA5AA7" w:rsidRPr="002A7EB9" w:rsidRDefault="002A7EB9" w:rsidP="00657D64">
      <w:pPr>
        <w:autoSpaceDE w:val="0"/>
        <w:autoSpaceDN w:val="0"/>
        <w:adjustRightInd w:val="0"/>
        <w:spacing w:after="0"/>
        <w:jc w:val="both"/>
      </w:pPr>
      <w:r w:rsidRPr="002A7EB9">
        <w:rPr>
          <w:b/>
        </w:rPr>
        <w:t xml:space="preserve">More than half of the families in general poverty are chronically poor. </w:t>
      </w:r>
      <w:r w:rsidR="00334533" w:rsidRPr="00657D64">
        <w:t xml:space="preserve">Based on the panel data of </w:t>
      </w:r>
      <w:r w:rsidR="007E3A03" w:rsidRPr="00657D64">
        <w:t xml:space="preserve">the </w:t>
      </w:r>
      <w:r w:rsidR="00334533" w:rsidRPr="00657D64">
        <w:t xml:space="preserve">Welfare Monitoring Survey (WMS), the chronic poverty has been assessed. The household is defined as being chronically poor if it falls under poverty threshold </w:t>
      </w:r>
      <w:r w:rsidR="007E3A03" w:rsidRPr="00657D64">
        <w:t xml:space="preserve">three and more times </w:t>
      </w:r>
      <w:r w:rsidR="00614AC2" w:rsidRPr="00657D64">
        <w:t xml:space="preserve">since the WMS 2011. </w:t>
      </w:r>
      <w:r>
        <w:t xml:space="preserve">Results indicate that an estimated 12.2% of households, 14.5% of population, 18.2% of children and 10.1% of pensioners are chronically poor and live below general poverty line. </w:t>
      </w:r>
      <w:r w:rsidR="00162C7C" w:rsidRPr="00657D64">
        <w:t xml:space="preserve">The results suggest that </w:t>
      </w:r>
      <w:r w:rsidR="00874F14" w:rsidRPr="00657D64">
        <w:t xml:space="preserve">policy instruments should be elaborated and integrated into development and social assistance programmes in order to more effectively support the chronic poor. </w:t>
      </w:r>
    </w:p>
    <w:p w14:paraId="3EE4A1FE" w14:textId="77777777" w:rsidR="00E558BF" w:rsidRPr="00657D64" w:rsidRDefault="00E558BF" w:rsidP="00657D64">
      <w:pPr>
        <w:autoSpaceDE w:val="0"/>
        <w:autoSpaceDN w:val="0"/>
        <w:adjustRightInd w:val="0"/>
        <w:spacing w:after="0"/>
        <w:jc w:val="both"/>
      </w:pPr>
    </w:p>
    <w:p w14:paraId="642759C6" w14:textId="77777777" w:rsidR="00E558BF" w:rsidRPr="0091101C" w:rsidRDefault="007F1193" w:rsidP="00657D64">
      <w:pPr>
        <w:pStyle w:val="Heading2"/>
        <w:numPr>
          <w:ilvl w:val="0"/>
          <w:numId w:val="0"/>
        </w:numPr>
        <w:ind w:left="360" w:hanging="360"/>
        <w:jc w:val="both"/>
        <w:rPr>
          <w:rFonts w:cstheme="minorHAnsi"/>
          <w:b/>
          <w:i/>
          <w:szCs w:val="24"/>
        </w:rPr>
      </w:pPr>
      <w:bookmarkStart w:id="41" w:name="_Toc511392461"/>
      <w:bookmarkStart w:id="42" w:name="_Toc511392530"/>
      <w:bookmarkStart w:id="43" w:name="_Toc511392795"/>
      <w:r w:rsidRPr="0091101C">
        <w:rPr>
          <w:rFonts w:cstheme="minorHAnsi"/>
          <w:b/>
          <w:i/>
          <w:szCs w:val="24"/>
        </w:rPr>
        <w:t>Social transfers</w:t>
      </w:r>
      <w:bookmarkEnd w:id="41"/>
      <w:bookmarkEnd w:id="42"/>
      <w:bookmarkEnd w:id="43"/>
      <w:r w:rsidRPr="0091101C">
        <w:rPr>
          <w:rFonts w:cstheme="minorHAnsi"/>
          <w:b/>
          <w:i/>
          <w:szCs w:val="24"/>
        </w:rPr>
        <w:t xml:space="preserve"> </w:t>
      </w:r>
    </w:p>
    <w:p w14:paraId="14865FD5" w14:textId="77777777" w:rsidR="00C45586" w:rsidRDefault="00C45586" w:rsidP="0078544C">
      <w:pPr>
        <w:autoSpaceDE w:val="0"/>
        <w:autoSpaceDN w:val="0"/>
        <w:adjustRightInd w:val="0"/>
        <w:spacing w:after="0"/>
        <w:jc w:val="both"/>
      </w:pPr>
    </w:p>
    <w:p w14:paraId="27662F15" w14:textId="74D5BFEC" w:rsidR="0023692F" w:rsidRDefault="0078544C" w:rsidP="0023692F">
      <w:pPr>
        <w:autoSpaceDE w:val="0"/>
        <w:autoSpaceDN w:val="0"/>
        <w:adjustRightInd w:val="0"/>
        <w:spacing w:after="0"/>
        <w:jc w:val="both"/>
      </w:pPr>
      <w:r w:rsidRPr="0078544C">
        <w:rPr>
          <w:b/>
        </w:rPr>
        <w:t>According to the survey findings, 67.5% of all households received some form of social transfer in 2017.</w:t>
      </w:r>
      <w:r w:rsidR="00C45586">
        <w:rPr>
          <w:b/>
        </w:rPr>
        <w:t xml:space="preserve"> </w:t>
      </w:r>
      <w:r w:rsidR="00534962" w:rsidRPr="00657D64">
        <w:t xml:space="preserve">The analysis of the WMS 2017 focuses on three main classes of benefits: pensions, targeted social assistance (TSA) </w:t>
      </w:r>
      <w:r w:rsidR="002307DC" w:rsidRPr="00657D64">
        <w:t xml:space="preserve">with child benefit (hereinafter referred as TSA+CB) </w:t>
      </w:r>
      <w:r w:rsidR="00534962" w:rsidRPr="00657D64">
        <w:t>and categorical benefits.</w:t>
      </w:r>
      <w:r>
        <w:t xml:space="preserve"> </w:t>
      </w:r>
      <w:r w:rsidR="000F0B09">
        <w:t xml:space="preserve">An estimated </w:t>
      </w:r>
      <w:r w:rsidRPr="00657D64">
        <w:t xml:space="preserve">57.8% of households were in receipt of a pension. The number of families receiving TSA+CB stood at 10%, while categorical benefits were received by </w:t>
      </w:r>
      <w:r w:rsidR="0023692F">
        <w:t xml:space="preserve">11.7% in 2017. </w:t>
      </w:r>
      <w:bookmarkStart w:id="44" w:name="_Toc511392462"/>
      <w:bookmarkStart w:id="45" w:name="_Toc511392531"/>
      <w:bookmarkStart w:id="46" w:name="_Toc511392796"/>
    </w:p>
    <w:p w14:paraId="4698458D" w14:textId="77777777" w:rsidR="0023692F" w:rsidRDefault="0023692F" w:rsidP="0023692F">
      <w:pPr>
        <w:autoSpaceDE w:val="0"/>
        <w:autoSpaceDN w:val="0"/>
        <w:adjustRightInd w:val="0"/>
        <w:spacing w:after="0"/>
        <w:jc w:val="both"/>
      </w:pPr>
    </w:p>
    <w:p w14:paraId="4D4668B1" w14:textId="7334AB30" w:rsidR="00BD235C" w:rsidRPr="0023692F" w:rsidRDefault="00BD235C" w:rsidP="0023692F">
      <w:pPr>
        <w:autoSpaceDE w:val="0"/>
        <w:autoSpaceDN w:val="0"/>
        <w:adjustRightInd w:val="0"/>
        <w:spacing w:after="0"/>
        <w:jc w:val="both"/>
        <w:rPr>
          <w:b/>
        </w:rPr>
      </w:pPr>
      <w:r w:rsidRPr="0091101C">
        <w:rPr>
          <w:b/>
          <w:i/>
          <w:color w:val="000000" w:themeColor="text1"/>
        </w:rPr>
        <w:t>Impact of pensions</w:t>
      </w:r>
      <w:r w:rsidR="00C96F45" w:rsidRPr="0091101C">
        <w:rPr>
          <w:b/>
          <w:i/>
          <w:color w:val="000000" w:themeColor="text1"/>
        </w:rPr>
        <w:t xml:space="preserve"> and </w:t>
      </w:r>
      <w:r w:rsidRPr="0091101C">
        <w:rPr>
          <w:b/>
          <w:i/>
          <w:color w:val="000000" w:themeColor="text1"/>
        </w:rPr>
        <w:t>TSA</w:t>
      </w:r>
      <w:r w:rsidR="00C96F45" w:rsidRPr="0091101C">
        <w:rPr>
          <w:b/>
          <w:i/>
          <w:color w:val="000000" w:themeColor="text1"/>
        </w:rPr>
        <w:t>+CB on poverty</w:t>
      </w:r>
      <w:bookmarkEnd w:id="44"/>
      <w:bookmarkEnd w:id="45"/>
      <w:bookmarkEnd w:id="46"/>
      <w:r w:rsidR="00C96F45" w:rsidRPr="0091101C">
        <w:rPr>
          <w:b/>
          <w:i/>
          <w:color w:val="000000" w:themeColor="text1"/>
        </w:rPr>
        <w:t xml:space="preserve"> </w:t>
      </w:r>
    </w:p>
    <w:p w14:paraId="212B3182" w14:textId="77777777" w:rsidR="00C96F45" w:rsidRPr="00657D64" w:rsidRDefault="00C96F45" w:rsidP="00657D64">
      <w:pPr>
        <w:autoSpaceDE w:val="0"/>
        <w:autoSpaceDN w:val="0"/>
        <w:adjustRightInd w:val="0"/>
        <w:spacing w:after="0"/>
        <w:jc w:val="both"/>
        <w:rPr>
          <w:i/>
        </w:rPr>
      </w:pPr>
    </w:p>
    <w:p w14:paraId="11170E96" w14:textId="77777777" w:rsidR="00315F77" w:rsidRPr="00657D64" w:rsidRDefault="0065160C" w:rsidP="00315F77">
      <w:pPr>
        <w:autoSpaceDE w:val="0"/>
        <w:autoSpaceDN w:val="0"/>
        <w:adjustRightInd w:val="0"/>
        <w:spacing w:after="0"/>
        <w:jc w:val="both"/>
      </w:pPr>
      <w:r w:rsidRPr="0065160C">
        <w:rPr>
          <w:b/>
        </w:rPr>
        <w:t>Income from pensions constitute more than 60% of consumption in single pensioner or pensioner only households</w:t>
      </w:r>
      <w:r>
        <w:t xml:space="preserve">. </w:t>
      </w:r>
      <w:r w:rsidR="00B640B6" w:rsidRPr="00657D64">
        <w:t xml:space="preserve">More than half (58.9%) of all households in Georgia include at least one person of pension age. </w:t>
      </w:r>
      <w:r w:rsidR="00A7583C" w:rsidRPr="00657D64">
        <w:t>In households that include people of pension age the average amount of pension received was 234 GEL per month per household</w:t>
      </w:r>
      <w:r w:rsidR="00244F07" w:rsidRPr="00657D64">
        <w:t xml:space="preserve"> in 2017</w:t>
      </w:r>
      <w:r w:rsidR="00A7583C" w:rsidRPr="00657D64">
        <w:t xml:space="preserve">. In households with a single pensioner, the average total pensions received </w:t>
      </w:r>
      <w:r w:rsidR="00244F07" w:rsidRPr="00657D64">
        <w:t>constitutes 61.3% of mean consumption</w:t>
      </w:r>
      <w:r w:rsidR="00927598" w:rsidRPr="00657D64">
        <w:t xml:space="preserve"> (</w:t>
      </w:r>
      <w:r w:rsidR="001D2AC1" w:rsidRPr="00657D64">
        <w:t>up 10.1 percentage points from</w:t>
      </w:r>
      <w:r w:rsidR="001D735E" w:rsidRPr="00657D64">
        <w:t xml:space="preserve"> 2015)</w:t>
      </w:r>
      <w:r w:rsidR="00244F07" w:rsidRPr="00657D64">
        <w:t>, and in households with more than one pensioner, it constitutes 68.</w:t>
      </w:r>
      <w:r w:rsidR="001D2AC1" w:rsidRPr="00657D64">
        <w:t xml:space="preserve">7% (up 11.7 percentage points from 2015). </w:t>
      </w:r>
      <w:r w:rsidR="00315F77" w:rsidRPr="00657D64">
        <w:t xml:space="preserve">If pension income was removed from household consumption, extreme poverty among pensioners would have risen sharply from 3.7% to 34.1% and among children from 6.8% to 13.1%. The survey results suggest that pensions have the highest impact on pensioners. </w:t>
      </w:r>
      <w:r w:rsidR="00315F77">
        <w:t xml:space="preserve"> </w:t>
      </w:r>
      <w:r w:rsidR="00054730">
        <w:t>In 2017,</w:t>
      </w:r>
      <w:r w:rsidR="008E1ED6">
        <w:t xml:space="preserve"> the</w:t>
      </w:r>
      <w:r w:rsidR="00054730">
        <w:t xml:space="preserve"> government spent </w:t>
      </w:r>
      <w:r w:rsidR="00885D36">
        <w:t xml:space="preserve">1.6 billion </w:t>
      </w:r>
      <w:r w:rsidR="00D30762">
        <w:t xml:space="preserve">GEL </w:t>
      </w:r>
      <w:r w:rsidR="00885D36">
        <w:t xml:space="preserve">on </w:t>
      </w:r>
      <w:r w:rsidR="00054730">
        <w:t>pensions.</w:t>
      </w:r>
      <w:r w:rsidR="00885D36">
        <w:t xml:space="preserve"> </w:t>
      </w:r>
      <w:r w:rsidR="00054730">
        <w:t xml:space="preserve">  </w:t>
      </w:r>
    </w:p>
    <w:p w14:paraId="3C975979" w14:textId="77777777" w:rsidR="00315F77" w:rsidRDefault="00315F77" w:rsidP="00657D64">
      <w:pPr>
        <w:autoSpaceDE w:val="0"/>
        <w:autoSpaceDN w:val="0"/>
        <w:adjustRightInd w:val="0"/>
        <w:spacing w:after="0"/>
        <w:jc w:val="both"/>
      </w:pPr>
    </w:p>
    <w:p w14:paraId="15504DA7" w14:textId="4DA02417" w:rsidR="001C50D5" w:rsidRPr="00657D64" w:rsidRDefault="008052A7" w:rsidP="00657D64">
      <w:pPr>
        <w:autoSpaceDE w:val="0"/>
        <w:autoSpaceDN w:val="0"/>
        <w:adjustRightInd w:val="0"/>
        <w:spacing w:after="0"/>
        <w:jc w:val="both"/>
      </w:pPr>
      <w:r w:rsidRPr="008052A7">
        <w:rPr>
          <w:b/>
        </w:rPr>
        <w:t>TSA+CB has the highest positive impact on reducing child poverty.</w:t>
      </w:r>
      <w:r>
        <w:t xml:space="preserve"> </w:t>
      </w:r>
      <w:r w:rsidR="00CE4E23" w:rsidRPr="00657D64">
        <w:t xml:space="preserve">With regard to </w:t>
      </w:r>
      <w:r w:rsidR="00DF3821" w:rsidRPr="00657D64">
        <w:t xml:space="preserve">TSA+CB, 69.7% of all benefit paid goes to households in the poorest decile and 54.3% of </w:t>
      </w:r>
      <w:r w:rsidR="00580067" w:rsidRPr="00657D64">
        <w:t xml:space="preserve">those </w:t>
      </w:r>
      <w:r w:rsidR="00C06269">
        <w:t xml:space="preserve">households receive the benefit. </w:t>
      </w:r>
      <w:r w:rsidR="00DF3821" w:rsidRPr="00657D64">
        <w:t>E</w:t>
      </w:r>
      <w:r w:rsidR="00580067" w:rsidRPr="00657D64">
        <w:t>xcluding child assistance</w:t>
      </w:r>
      <w:r w:rsidR="00DF3821" w:rsidRPr="00657D64">
        <w:t xml:space="preserve">, 69.5% of all TSA (up from </w:t>
      </w:r>
      <w:r w:rsidR="00580067" w:rsidRPr="00657D64">
        <w:t xml:space="preserve">64.8% in 2015) </w:t>
      </w:r>
      <w:r w:rsidR="00DF3821" w:rsidRPr="00657D64">
        <w:t xml:space="preserve">paid goes to </w:t>
      </w:r>
      <w:r w:rsidR="00F74B5B">
        <w:t xml:space="preserve">the </w:t>
      </w:r>
      <w:r w:rsidR="00DF3821" w:rsidRPr="00657D64">
        <w:t xml:space="preserve">poorest families and </w:t>
      </w:r>
      <w:r w:rsidR="00C06269">
        <w:t>the proportion of those families that receive TSA equals 52.3% (down from 59.4% in 2015). These results indicate</w:t>
      </w:r>
      <w:r w:rsidR="00B76302">
        <w:t xml:space="preserve"> that</w:t>
      </w:r>
      <w:r w:rsidR="00C06269">
        <w:t xml:space="preserve"> targeting of TSA increased</w:t>
      </w:r>
      <w:r w:rsidR="00B76302">
        <w:t>,</w:t>
      </w:r>
      <w:r w:rsidR="00C06269">
        <w:t xml:space="preserve"> while the coverage decreased. </w:t>
      </w:r>
      <w:r w:rsidR="00A153E5" w:rsidRPr="00657D64">
        <w:t>H</w:t>
      </w:r>
      <w:r w:rsidR="00580067" w:rsidRPr="00657D64">
        <w:t xml:space="preserve">ouseholds that do receive TSA, the benefit can make an important contribution to total consumption. </w:t>
      </w:r>
      <w:r w:rsidR="00D917A4" w:rsidRPr="00657D64">
        <w:t>On average, these</w:t>
      </w:r>
      <w:r w:rsidR="00454E38" w:rsidRPr="00657D64">
        <w:t xml:space="preserve"> </w:t>
      </w:r>
      <w:r w:rsidR="00A153E5" w:rsidRPr="00657D64">
        <w:t xml:space="preserve">families </w:t>
      </w:r>
      <w:r w:rsidR="00454E38" w:rsidRPr="00657D64">
        <w:t xml:space="preserve">receive </w:t>
      </w:r>
      <w:r w:rsidR="00D917A4" w:rsidRPr="00657D64">
        <w:t xml:space="preserve">70.9 GEL PAE. TSA constitutes the equivalent of 39% of </w:t>
      </w:r>
      <w:r w:rsidR="0060673C">
        <w:t xml:space="preserve">TSA recipient household consumption PAE. </w:t>
      </w:r>
      <w:r w:rsidR="00CE4E23" w:rsidRPr="00657D64">
        <w:t xml:space="preserve">If TSA income </w:t>
      </w:r>
      <w:r w:rsidR="00144EDB" w:rsidRPr="00657D64">
        <w:t xml:space="preserve">was </w:t>
      </w:r>
      <w:r w:rsidR="00CE4E23" w:rsidRPr="00657D64">
        <w:t xml:space="preserve">removed from the household consumption, </w:t>
      </w:r>
      <w:r w:rsidR="00144EDB" w:rsidRPr="00657D64">
        <w:t xml:space="preserve">the extreme poverty among children would have risen from 6.8% to 12.9%, and among pensioners from 3.7% to 5.6%. </w:t>
      </w:r>
      <w:r w:rsidR="001C50D5" w:rsidRPr="00657D64">
        <w:t>In</w:t>
      </w:r>
      <w:r w:rsidR="003463C8" w:rsidRPr="00657D64">
        <w:t xml:space="preserve"> case TSA with child assistance was </w:t>
      </w:r>
      <w:r w:rsidR="001C50D5" w:rsidRPr="00657D64">
        <w:t xml:space="preserve">removed from the household consumption, the extreme poverty among children would have increased from 6.8% to 13.1%. The findings demonstrate that TSA+CB has the highest impact on children. </w:t>
      </w:r>
      <w:r w:rsidR="00D30762">
        <w:t xml:space="preserve">The government spending on TSA+CB constituted 258 million GEL in 2017. </w:t>
      </w:r>
    </w:p>
    <w:p w14:paraId="44BFB937" w14:textId="77777777" w:rsidR="001C50D5" w:rsidRPr="00657D64" w:rsidRDefault="001C50D5" w:rsidP="00657D64">
      <w:pPr>
        <w:autoSpaceDE w:val="0"/>
        <w:autoSpaceDN w:val="0"/>
        <w:adjustRightInd w:val="0"/>
        <w:spacing w:after="0"/>
        <w:jc w:val="both"/>
      </w:pPr>
    </w:p>
    <w:p w14:paraId="0A3139A4" w14:textId="77777777" w:rsidR="006216BD" w:rsidRPr="0091101C" w:rsidRDefault="006216BD" w:rsidP="008E1ED6">
      <w:pPr>
        <w:pStyle w:val="Heading2"/>
        <w:numPr>
          <w:ilvl w:val="0"/>
          <w:numId w:val="0"/>
        </w:numPr>
        <w:spacing w:after="240"/>
        <w:ind w:left="360" w:hanging="360"/>
        <w:jc w:val="both"/>
        <w:rPr>
          <w:rFonts w:cstheme="minorHAnsi"/>
          <w:b/>
          <w:i/>
          <w:szCs w:val="24"/>
        </w:rPr>
      </w:pPr>
      <w:bookmarkStart w:id="47" w:name="_Toc511392463"/>
      <w:bookmarkStart w:id="48" w:name="_Toc511392532"/>
      <w:bookmarkStart w:id="49" w:name="_Toc511392797"/>
      <w:r w:rsidRPr="0091101C">
        <w:rPr>
          <w:rFonts w:cstheme="minorHAnsi"/>
          <w:b/>
          <w:i/>
          <w:szCs w:val="24"/>
        </w:rPr>
        <w:t>Impact of categorical benefits on poverty</w:t>
      </w:r>
      <w:bookmarkEnd w:id="47"/>
      <w:bookmarkEnd w:id="48"/>
      <w:bookmarkEnd w:id="49"/>
    </w:p>
    <w:p w14:paraId="1D7D0712" w14:textId="05AA2D5E" w:rsidR="00184FE2" w:rsidRDefault="008E1ED6" w:rsidP="003515A4">
      <w:pPr>
        <w:autoSpaceDE w:val="0"/>
        <w:autoSpaceDN w:val="0"/>
        <w:adjustRightInd w:val="0"/>
        <w:spacing w:after="240"/>
        <w:jc w:val="both"/>
        <w:rPr>
          <w:color w:val="000000" w:themeColor="text1"/>
        </w:rPr>
      </w:pPr>
      <w:r w:rsidRPr="008E1ED6">
        <w:rPr>
          <w:b/>
          <w:color w:val="000000" w:themeColor="text1"/>
        </w:rPr>
        <w:t>In 2017, 11.7% of households received at least one kind of categorical benefit.</w:t>
      </w:r>
      <w:r>
        <w:rPr>
          <w:b/>
          <w:color w:val="000000" w:themeColor="text1"/>
        </w:rPr>
        <w:t xml:space="preserve"> </w:t>
      </w:r>
      <w:r w:rsidR="00184FE2" w:rsidRPr="00657D64">
        <w:rPr>
          <w:color w:val="000000" w:themeColor="text1"/>
        </w:rPr>
        <w:t xml:space="preserve">In the WMS 2017, categorical benefits are no longer comparable with </w:t>
      </w:r>
      <w:r w:rsidR="006B2D34" w:rsidRPr="00657D64">
        <w:rPr>
          <w:color w:val="000000" w:themeColor="text1"/>
        </w:rPr>
        <w:t xml:space="preserve">the findings of the previous rounds </w:t>
      </w:r>
      <w:r w:rsidR="00184FE2" w:rsidRPr="00657D64">
        <w:rPr>
          <w:color w:val="000000" w:themeColor="text1"/>
        </w:rPr>
        <w:t xml:space="preserve">since database have been corrected and updated. </w:t>
      </w:r>
      <w:r>
        <w:rPr>
          <w:color w:val="000000" w:themeColor="text1"/>
        </w:rPr>
        <w:t>The c</w:t>
      </w:r>
      <w:r w:rsidR="00E025EE" w:rsidRPr="00657D64">
        <w:rPr>
          <w:color w:val="000000" w:themeColor="text1"/>
        </w:rPr>
        <w:t xml:space="preserve">overage </w:t>
      </w:r>
      <w:r>
        <w:rPr>
          <w:color w:val="000000" w:themeColor="text1"/>
        </w:rPr>
        <w:t xml:space="preserve">of the categorical benefit </w:t>
      </w:r>
      <w:r w:rsidR="00E025EE" w:rsidRPr="00657D64">
        <w:rPr>
          <w:color w:val="000000" w:themeColor="text1"/>
        </w:rPr>
        <w:t xml:space="preserve">is substantially high in the poorest tenth of household, 34.2% of which receive the benefit. </w:t>
      </w:r>
      <w:r w:rsidR="001F77C7" w:rsidRPr="00657D64">
        <w:rPr>
          <w:color w:val="000000" w:themeColor="text1"/>
        </w:rPr>
        <w:t xml:space="preserve">The average amount of categorical benefits in recipient households is </w:t>
      </w:r>
      <w:r w:rsidR="005122EB" w:rsidRPr="00657D64">
        <w:rPr>
          <w:color w:val="000000" w:themeColor="text1"/>
        </w:rPr>
        <w:t xml:space="preserve">79.7 GEL per month PAE. Recipient households with orphans receive 72.7 GEL per month PAE.  </w:t>
      </w:r>
      <w:r w:rsidR="00B0118E" w:rsidRPr="00657D64">
        <w:rPr>
          <w:color w:val="000000" w:themeColor="text1"/>
        </w:rPr>
        <w:t xml:space="preserve">On the other hand, 62.4% of households that contain a person with disability are in receipt of categorical benefits, at an average rate of 75.7 GEL PAE per month; and 75.4% of households with an IDP receive categorical </w:t>
      </w:r>
      <w:r w:rsidR="00B0118E" w:rsidRPr="00657D64">
        <w:rPr>
          <w:color w:val="000000" w:themeColor="text1"/>
        </w:rPr>
        <w:lastRenderedPageBreak/>
        <w:t xml:space="preserve">benefits at a rate of 67.5 GEL PAE per month. </w:t>
      </w:r>
      <w:r w:rsidR="003515A4">
        <w:t xml:space="preserve">The annual government spending on categorical benefits equaled 525.5 million GEL in 2017. </w:t>
      </w:r>
    </w:p>
    <w:p w14:paraId="3079017B" w14:textId="77777777" w:rsidR="00E00574" w:rsidRDefault="00E00574" w:rsidP="00253BD8">
      <w:pPr>
        <w:autoSpaceDE w:val="0"/>
        <w:autoSpaceDN w:val="0"/>
        <w:adjustRightInd w:val="0"/>
        <w:spacing w:after="240"/>
        <w:jc w:val="both"/>
        <w:rPr>
          <w:b/>
          <w:color w:val="000000" w:themeColor="text1"/>
        </w:rPr>
      </w:pPr>
      <w:r>
        <w:rPr>
          <w:b/>
        </w:rPr>
        <w:t xml:space="preserve">Categorical benefits significantly reduce poverty incidence </w:t>
      </w:r>
    </w:p>
    <w:p w14:paraId="141E62A3" w14:textId="0120C501" w:rsidR="00E00574" w:rsidRPr="00275036" w:rsidRDefault="002A4257" w:rsidP="00253BD8">
      <w:pPr>
        <w:autoSpaceDE w:val="0"/>
        <w:autoSpaceDN w:val="0"/>
        <w:adjustRightInd w:val="0"/>
        <w:spacing w:after="240"/>
        <w:jc w:val="both"/>
        <w:rPr>
          <w:b/>
          <w:color w:val="000000" w:themeColor="text1"/>
        </w:rPr>
      </w:pPr>
      <w:r w:rsidRPr="00657D64">
        <w:t xml:space="preserve">If </w:t>
      </w:r>
      <w:r w:rsidR="00D371CD" w:rsidRPr="00657D64">
        <w:t xml:space="preserve">the </w:t>
      </w:r>
      <w:r w:rsidR="00E07AE0" w:rsidRPr="00657D64">
        <w:t xml:space="preserve">categorical benefits were removed from household consumption, extreme poverty among households with disabled person would have increased from 11.2% to 23.8%. </w:t>
      </w:r>
      <w:r w:rsidR="000916B4" w:rsidRPr="00657D64">
        <w:t xml:space="preserve">For those households including someone with </w:t>
      </w:r>
      <w:r w:rsidR="00E00574">
        <w:t>the status of internally displaced person (</w:t>
      </w:r>
      <w:r w:rsidR="000916B4" w:rsidRPr="00657D64">
        <w:t>IDP</w:t>
      </w:r>
      <w:r w:rsidR="00E00574">
        <w:t xml:space="preserve">), </w:t>
      </w:r>
      <w:r w:rsidR="00E63C80" w:rsidRPr="00657D64">
        <w:t xml:space="preserve">extreme poverty rate </w:t>
      </w:r>
      <w:r w:rsidR="000916B4" w:rsidRPr="00657D64">
        <w:t xml:space="preserve">would have risen from 8.5% to 15.6%. </w:t>
      </w:r>
      <w:r w:rsidR="00475772">
        <w:t>It should be emphasized that</w:t>
      </w:r>
      <w:r w:rsidR="000B637B" w:rsidRPr="00657D64">
        <w:t xml:space="preserve">, </w:t>
      </w:r>
      <w:r w:rsidR="00020DC9" w:rsidRPr="00657D64">
        <w:t xml:space="preserve">around 60% of all households receiving categorical benefits </w:t>
      </w:r>
      <w:r w:rsidR="00CE09E1" w:rsidRPr="00657D64">
        <w:t xml:space="preserve">also receive either pensions or TSA, so the net effect of social transfers is underestimated. </w:t>
      </w:r>
    </w:p>
    <w:p w14:paraId="69ED97CB" w14:textId="77777777" w:rsidR="00B0118E" w:rsidRPr="000C57F9" w:rsidRDefault="0042332B" w:rsidP="00253BD8">
      <w:pPr>
        <w:pStyle w:val="Heading2"/>
        <w:numPr>
          <w:ilvl w:val="0"/>
          <w:numId w:val="0"/>
        </w:numPr>
        <w:spacing w:after="240"/>
        <w:ind w:left="360" w:hanging="360"/>
        <w:jc w:val="both"/>
        <w:rPr>
          <w:rFonts w:cstheme="minorHAnsi"/>
          <w:szCs w:val="24"/>
        </w:rPr>
      </w:pPr>
      <w:bookmarkStart w:id="50" w:name="_Toc511392464"/>
      <w:bookmarkStart w:id="51" w:name="_Toc511392533"/>
      <w:bookmarkStart w:id="52" w:name="_Toc511392798"/>
      <w:r w:rsidRPr="0091101C">
        <w:rPr>
          <w:rFonts w:cstheme="minorHAnsi"/>
          <w:b/>
          <w:i/>
          <w:szCs w:val="24"/>
        </w:rPr>
        <w:t>Healthcare</w:t>
      </w:r>
      <w:bookmarkEnd w:id="50"/>
      <w:bookmarkEnd w:id="51"/>
      <w:bookmarkEnd w:id="52"/>
      <w:r w:rsidRPr="0091101C">
        <w:rPr>
          <w:rFonts w:cstheme="minorHAnsi"/>
          <w:b/>
          <w:i/>
          <w:szCs w:val="24"/>
        </w:rPr>
        <w:t xml:space="preserve"> </w:t>
      </w:r>
    </w:p>
    <w:p w14:paraId="5AE525AE" w14:textId="1262F236" w:rsidR="00B0118E" w:rsidRPr="00340B8C" w:rsidRDefault="00340B8C" w:rsidP="00253BD8">
      <w:pPr>
        <w:autoSpaceDE w:val="0"/>
        <w:autoSpaceDN w:val="0"/>
        <w:adjustRightInd w:val="0"/>
        <w:spacing w:after="240"/>
        <w:jc w:val="both"/>
        <w:rPr>
          <w:b/>
        </w:rPr>
      </w:pPr>
      <w:r w:rsidRPr="00340B8C">
        <w:rPr>
          <w:b/>
        </w:rPr>
        <w:t xml:space="preserve">An estimated 82% of the population is covered by universal health </w:t>
      </w:r>
      <w:r>
        <w:rPr>
          <w:b/>
        </w:rPr>
        <w:t xml:space="preserve">programme; </w:t>
      </w:r>
      <w:r w:rsidRPr="00340B8C">
        <w:rPr>
          <w:b/>
        </w:rPr>
        <w:t>however</w:t>
      </w:r>
      <w:r>
        <w:rPr>
          <w:b/>
        </w:rPr>
        <w:t>,</w:t>
      </w:r>
      <w:r w:rsidRPr="00340B8C">
        <w:rPr>
          <w:b/>
        </w:rPr>
        <w:t xml:space="preserve"> about 11% of the population are not aware of their health coverage plan. </w:t>
      </w:r>
      <w:r w:rsidR="00392B46" w:rsidRPr="00657D64">
        <w:t xml:space="preserve">From 2013, the government of Georgia introduced a universal health programme, which guarantees state support to all citizens in need of health treatment. </w:t>
      </w:r>
      <w:r w:rsidR="00C870C9" w:rsidRPr="00657D64">
        <w:t xml:space="preserve">About 82% of the population is covered by universal health coverage. Corporate, employer sponsored or private insurance is more common in urban areas than it is in rural areas. Almost 11% of the population are unaware of their health coverage plans and assume that they are not enrolled in any of them. </w:t>
      </w:r>
    </w:p>
    <w:p w14:paraId="23E3635F" w14:textId="77777777" w:rsidR="00663DEF" w:rsidRPr="000C57F9" w:rsidRDefault="000C57F9" w:rsidP="00657D64">
      <w:pPr>
        <w:autoSpaceDE w:val="0"/>
        <w:autoSpaceDN w:val="0"/>
        <w:adjustRightInd w:val="0"/>
        <w:spacing w:after="0"/>
        <w:jc w:val="both"/>
        <w:rPr>
          <w:b/>
        </w:rPr>
      </w:pPr>
      <w:r w:rsidRPr="000C57F9">
        <w:rPr>
          <w:b/>
        </w:rPr>
        <w:t>The WMS 2017 results show significant drop in the percentage of households with the barriers to acc</w:t>
      </w:r>
      <w:r>
        <w:rPr>
          <w:b/>
        </w:rPr>
        <w:t xml:space="preserve">ess health services. </w:t>
      </w:r>
      <w:r w:rsidR="00C870C9" w:rsidRPr="00657D64">
        <w:t>The mean annual household expenditure</w:t>
      </w:r>
      <w:r w:rsidR="00942B64" w:rsidRPr="00657D64">
        <w:rPr>
          <w:rStyle w:val="FootnoteReference"/>
        </w:rPr>
        <w:footnoteReference w:id="19"/>
      </w:r>
      <w:r w:rsidR="00C870C9" w:rsidRPr="00657D64">
        <w:t xml:space="preserve"> on healthcare in 2017 was 430.7 GEL</w:t>
      </w:r>
      <w:r w:rsidR="006B46D3" w:rsidRPr="00657D64">
        <w:t xml:space="preserve"> per equivalent adult (median 200.9 GEL</w:t>
      </w:r>
      <w:r w:rsidR="00D80AF5" w:rsidRPr="00657D64">
        <w:t xml:space="preserve"> PAE). Adjusted for 2015 prices, this shows an increase of 16.4% from mean expenditure of 346.8 GEL, and a 6.4% increase from median expenditure of 177 GEL in 2015. </w:t>
      </w:r>
      <w:r w:rsidR="00C6757D" w:rsidRPr="00657D64">
        <w:t xml:space="preserve">On average, urban households spent 448.7 GEL annually on healthcare while rural households 412 GEL.  Only 3.6% of households in the survey incurred no health costs at all. </w:t>
      </w:r>
      <w:r w:rsidR="00BD6292" w:rsidRPr="00657D64">
        <w:t xml:space="preserve">With respect to annual healthcare expenditure distribution, the households spent the highest share (69%) on medicines. </w:t>
      </w:r>
      <w:r w:rsidR="00686AE0" w:rsidRPr="00657D64">
        <w:t xml:space="preserve">About 43.1% of all households in 2015 included at least one person who needed medical services, for which the household could not afford to pay. </w:t>
      </w:r>
      <w:r w:rsidR="00931E02" w:rsidRPr="00657D64">
        <w:t xml:space="preserve">Two years after, the percentage of households with the barriers to access health services substantially dropped and stood at 22.3%. Such a dramatic fall can be regard to the effectiveness of the universal healthcare programme. </w:t>
      </w:r>
    </w:p>
    <w:p w14:paraId="65680136" w14:textId="77777777" w:rsidR="00530692" w:rsidRDefault="00530692" w:rsidP="00657D64">
      <w:pPr>
        <w:autoSpaceDE w:val="0"/>
        <w:autoSpaceDN w:val="0"/>
        <w:adjustRightInd w:val="0"/>
        <w:spacing w:after="0"/>
        <w:jc w:val="both"/>
      </w:pPr>
    </w:p>
    <w:p w14:paraId="62035C51" w14:textId="3F82A963" w:rsidR="0048526F" w:rsidRPr="00657D64" w:rsidRDefault="00B10722" w:rsidP="00657D64">
      <w:pPr>
        <w:autoSpaceDE w:val="0"/>
        <w:autoSpaceDN w:val="0"/>
        <w:adjustRightInd w:val="0"/>
        <w:spacing w:after="0"/>
        <w:jc w:val="both"/>
      </w:pPr>
      <w:r w:rsidRPr="00530692">
        <w:rPr>
          <w:b/>
        </w:rPr>
        <w:lastRenderedPageBreak/>
        <w:t xml:space="preserve">For some households, out-of-pocket expenditure on medical services and medicines </w:t>
      </w:r>
      <w:r w:rsidR="00437B76">
        <w:rPr>
          <w:b/>
        </w:rPr>
        <w:t xml:space="preserve">are </w:t>
      </w:r>
      <w:r w:rsidRPr="00530692">
        <w:rPr>
          <w:b/>
        </w:rPr>
        <w:t>catastrophic</w:t>
      </w:r>
      <w:r w:rsidRPr="00530692">
        <w:rPr>
          <w:rStyle w:val="FootnoteReference"/>
          <w:b/>
        </w:rPr>
        <w:footnoteReference w:id="20"/>
      </w:r>
      <w:r w:rsidRPr="00530692">
        <w:rPr>
          <w:b/>
        </w:rPr>
        <w:t>.</w:t>
      </w:r>
      <w:r w:rsidRPr="00657D64">
        <w:t xml:space="preserve"> </w:t>
      </w:r>
      <w:r w:rsidR="00663DEF" w:rsidRPr="00657D64">
        <w:t>These costs constituted over 10 percent of total consumpt</w:t>
      </w:r>
      <w:r w:rsidR="009C5722">
        <w:t>ion in 34.2% of all households -</w:t>
      </w:r>
      <w:r w:rsidR="00663DEF" w:rsidRPr="00657D64">
        <w:t xml:space="preserve"> more than in 2015 (29.8%). Moreover, in 26.4% households, healthcare expenditure accounted for more than 25% of non-food-consumption, which marks an increase from 2015 when the figure was 25.1%. </w:t>
      </w:r>
      <w:r w:rsidR="004065CB" w:rsidRPr="00657D64">
        <w:t>One reason for this increase is associated with the cost of medicines. Almost 27.8% of households (up from 26.4% in 2015) reported buying medicines to be their main problem. A</w:t>
      </w:r>
      <w:r w:rsidR="00602CC4" w:rsidRPr="00657D64">
        <w:t xml:space="preserve">verage expenditures on medications increased significantly across consumption quintiles.  </w:t>
      </w:r>
    </w:p>
    <w:p w14:paraId="35F97840" w14:textId="77777777" w:rsidR="0048526F" w:rsidRPr="00657D64" w:rsidRDefault="0048526F" w:rsidP="00657D64">
      <w:pPr>
        <w:autoSpaceDE w:val="0"/>
        <w:autoSpaceDN w:val="0"/>
        <w:adjustRightInd w:val="0"/>
        <w:spacing w:after="0"/>
        <w:jc w:val="both"/>
      </w:pPr>
    </w:p>
    <w:p w14:paraId="3E870D83" w14:textId="77777777" w:rsidR="0048526F" w:rsidRPr="0091101C" w:rsidRDefault="0048526F" w:rsidP="00657D64">
      <w:pPr>
        <w:pStyle w:val="Heading2"/>
        <w:numPr>
          <w:ilvl w:val="0"/>
          <w:numId w:val="0"/>
        </w:numPr>
        <w:ind w:left="360" w:hanging="360"/>
        <w:jc w:val="both"/>
        <w:rPr>
          <w:rFonts w:cstheme="minorHAnsi"/>
          <w:b/>
          <w:i/>
          <w:szCs w:val="24"/>
        </w:rPr>
      </w:pPr>
      <w:bookmarkStart w:id="53" w:name="_Toc511392465"/>
      <w:bookmarkStart w:id="54" w:name="_Toc511392534"/>
      <w:bookmarkStart w:id="55" w:name="_Toc511392799"/>
      <w:r w:rsidRPr="0091101C">
        <w:rPr>
          <w:rFonts w:cstheme="minorHAnsi"/>
          <w:b/>
          <w:i/>
          <w:szCs w:val="24"/>
        </w:rPr>
        <w:t>Household coping strategies</w:t>
      </w:r>
      <w:bookmarkEnd w:id="53"/>
      <w:bookmarkEnd w:id="54"/>
      <w:bookmarkEnd w:id="55"/>
    </w:p>
    <w:p w14:paraId="5E1E2165" w14:textId="77777777" w:rsidR="0048526F" w:rsidRDefault="0048526F" w:rsidP="00657D64">
      <w:pPr>
        <w:autoSpaceDE w:val="0"/>
        <w:autoSpaceDN w:val="0"/>
        <w:adjustRightInd w:val="0"/>
        <w:spacing w:after="0"/>
        <w:jc w:val="both"/>
      </w:pPr>
    </w:p>
    <w:p w14:paraId="44F4127B" w14:textId="6017D09C" w:rsidR="0048526F" w:rsidRPr="00F61D90" w:rsidRDefault="003E4071" w:rsidP="00657D64">
      <w:pPr>
        <w:autoSpaceDE w:val="0"/>
        <w:autoSpaceDN w:val="0"/>
        <w:adjustRightInd w:val="0"/>
        <w:spacing w:after="0"/>
        <w:jc w:val="both"/>
        <w:rPr>
          <w:b/>
        </w:rPr>
      </w:pPr>
      <w:r>
        <w:rPr>
          <w:b/>
        </w:rPr>
        <w:t>Taking a loan</w:t>
      </w:r>
      <w:r w:rsidR="00F61D90" w:rsidRPr="00F61D90">
        <w:rPr>
          <w:b/>
        </w:rPr>
        <w:t xml:space="preserve"> from banks and pawn shops considerably increased in the poorest quintile. </w:t>
      </w:r>
      <w:r w:rsidR="0048526F" w:rsidRPr="00657D64">
        <w:t xml:space="preserve">Economic situations were reported as “worsening” over the previous year in 43.2% of      households. Increased prices, serious illness and a decrease in family income were reported as the key drivers for this change. </w:t>
      </w:r>
      <w:r w:rsidR="00AC42E3" w:rsidRPr="00657D64">
        <w:t xml:space="preserve">Taking a loan was reported as one of the source of livelihood. 1,629 types of borrowing were reported among 1,534 households (bank or pawn shops 80.3%; relatives/friends 6.1% and micro-financing organizations 8.7%). </w:t>
      </w:r>
      <w:r w:rsidR="004027B2" w:rsidRPr="00AD47E7">
        <w:t>It should be highlighted that use of banks and pawn shops considerably increased in the bottom quintile</w:t>
      </w:r>
      <w:r w:rsidR="004027B2" w:rsidRPr="00657D64">
        <w:t xml:space="preserve">. </w:t>
      </w:r>
      <w:r w:rsidR="00913A47" w:rsidRPr="00657D64">
        <w:t xml:space="preserve">As for the future prospects, from those households who had an opinion about this, only 10.3% stated that things would improve compared to 15.2% in 2015. </w:t>
      </w:r>
      <w:r w:rsidR="0006638B" w:rsidRPr="00657D64">
        <w:t xml:space="preserve">In the poorest quintile, </w:t>
      </w:r>
      <w:r w:rsidR="00913A47" w:rsidRPr="00657D64">
        <w:t xml:space="preserve">households who perceive that will not be able to satisfy their minimum needs over the next 12 months </w:t>
      </w:r>
      <w:r w:rsidR="0006638B" w:rsidRPr="00657D64">
        <w:t xml:space="preserve">decreased from 72.1% in 2015 to 63.9% in 2017. </w:t>
      </w:r>
    </w:p>
    <w:p w14:paraId="6275DD03" w14:textId="77777777" w:rsidR="0006638B" w:rsidRPr="00657D64" w:rsidRDefault="0006638B" w:rsidP="00657D64">
      <w:pPr>
        <w:autoSpaceDE w:val="0"/>
        <w:autoSpaceDN w:val="0"/>
        <w:adjustRightInd w:val="0"/>
        <w:spacing w:after="0"/>
        <w:jc w:val="both"/>
      </w:pPr>
    </w:p>
    <w:p w14:paraId="5EAC9E3F" w14:textId="77777777" w:rsidR="0006638B" w:rsidRPr="0091101C" w:rsidRDefault="0006638B" w:rsidP="00657D64">
      <w:pPr>
        <w:pStyle w:val="Heading1"/>
        <w:numPr>
          <w:ilvl w:val="0"/>
          <w:numId w:val="0"/>
        </w:numPr>
        <w:ind w:left="360" w:hanging="360"/>
        <w:jc w:val="both"/>
        <w:rPr>
          <w:szCs w:val="28"/>
        </w:rPr>
      </w:pPr>
      <w:bookmarkStart w:id="56" w:name="_Toc511392466"/>
      <w:bookmarkStart w:id="57" w:name="_Toc511392535"/>
      <w:bookmarkStart w:id="58" w:name="_Toc511392800"/>
      <w:r w:rsidRPr="0091101C">
        <w:rPr>
          <w:szCs w:val="28"/>
        </w:rPr>
        <w:t>Child development</w:t>
      </w:r>
      <w:bookmarkEnd w:id="56"/>
      <w:bookmarkEnd w:id="57"/>
      <w:bookmarkEnd w:id="58"/>
    </w:p>
    <w:p w14:paraId="1F3FAEC8" w14:textId="77777777" w:rsidR="0006638B" w:rsidRPr="00657D64" w:rsidRDefault="0006638B" w:rsidP="00657D64">
      <w:pPr>
        <w:autoSpaceDE w:val="0"/>
        <w:autoSpaceDN w:val="0"/>
        <w:adjustRightInd w:val="0"/>
        <w:spacing w:after="0"/>
        <w:jc w:val="both"/>
      </w:pPr>
    </w:p>
    <w:p w14:paraId="6920E49A" w14:textId="52A37B8B" w:rsidR="00C40926" w:rsidRPr="00C3554E" w:rsidRDefault="00696CFD" w:rsidP="00657D64">
      <w:pPr>
        <w:autoSpaceDE w:val="0"/>
        <w:autoSpaceDN w:val="0"/>
        <w:adjustRightInd w:val="0"/>
        <w:spacing w:after="0"/>
        <w:jc w:val="both"/>
        <w:rPr>
          <w:b/>
          <w:color w:val="000000" w:themeColor="text1"/>
        </w:rPr>
      </w:pPr>
      <w:r w:rsidRPr="00696CFD">
        <w:rPr>
          <w:b/>
          <w:color w:val="000000" w:themeColor="text1"/>
        </w:rPr>
        <w:t xml:space="preserve">Consumption poverty for children is on the rise, while non-monetary indicators of child poverty have improved. </w:t>
      </w:r>
      <w:r w:rsidR="00F2747C" w:rsidRPr="00657D64">
        <w:rPr>
          <w:color w:val="000000" w:themeColor="text1"/>
        </w:rPr>
        <w:t xml:space="preserve">In the WMS 2017 sample, </w:t>
      </w:r>
      <w:r w:rsidR="00A7001C" w:rsidRPr="00657D64">
        <w:rPr>
          <w:color w:val="000000" w:themeColor="text1"/>
        </w:rPr>
        <w:t xml:space="preserve">33.4% of households include at least one child under 16 years of age, and 50% of all households with children are situated in rural areas. As survey findings show children are more likely to be poor than the general population or pensioners. </w:t>
      </w:r>
      <w:r w:rsidR="00143064" w:rsidRPr="00657D64">
        <w:rPr>
          <w:color w:val="000000" w:themeColor="text1"/>
        </w:rPr>
        <w:t>The material living conditions of children have improved in terms of durable goods in households and there are substantial reduc</w:t>
      </w:r>
      <w:r w:rsidR="00F67C07" w:rsidRPr="00657D64">
        <w:rPr>
          <w:color w:val="000000" w:themeColor="text1"/>
        </w:rPr>
        <w:t xml:space="preserve">tions in the proportion of children living in dwellings that are in poor condition. </w:t>
      </w:r>
      <w:r w:rsidR="0042050C" w:rsidRPr="00657D64">
        <w:rPr>
          <w:color w:val="000000" w:themeColor="text1"/>
        </w:rPr>
        <w:t>Subjective poverty and s</w:t>
      </w:r>
      <w:r w:rsidR="001629D6" w:rsidRPr="00657D64">
        <w:rPr>
          <w:color w:val="000000" w:themeColor="text1"/>
        </w:rPr>
        <w:t>ocial exclusion also decreased for children. However, monetar</w:t>
      </w:r>
      <w:r>
        <w:rPr>
          <w:color w:val="000000" w:themeColor="text1"/>
        </w:rPr>
        <w:t xml:space="preserve">y </w:t>
      </w:r>
      <w:r w:rsidR="0042050C" w:rsidRPr="00657D64">
        <w:rPr>
          <w:color w:val="000000" w:themeColor="text1"/>
        </w:rPr>
        <w:t>poverty indicators</w:t>
      </w:r>
      <w:r w:rsidR="001629D6" w:rsidRPr="00657D64">
        <w:rPr>
          <w:color w:val="000000" w:themeColor="text1"/>
        </w:rPr>
        <w:t xml:space="preserve"> are on the rise in 2017.</w:t>
      </w:r>
      <w:r w:rsidR="0042050C" w:rsidRPr="00657D64">
        <w:rPr>
          <w:color w:val="000000" w:themeColor="text1"/>
        </w:rPr>
        <w:t xml:space="preserve"> </w:t>
      </w:r>
      <w:r w:rsidR="006B15F5" w:rsidRPr="00657D64">
        <w:rPr>
          <w:color w:val="000000" w:themeColor="text1"/>
        </w:rPr>
        <w:t xml:space="preserve">Furthermore, 4.1% of children in rural Georgia live in households where there is no improved source of drinking water. Almost 9.3% </w:t>
      </w:r>
      <w:r w:rsidR="006B15F5" w:rsidRPr="00657D64">
        <w:rPr>
          <w:color w:val="000000" w:themeColor="text1"/>
        </w:rPr>
        <w:lastRenderedPageBreak/>
        <w:t>urban children live in households with unimproved sanitation facilities vs</w:t>
      </w:r>
      <w:r w:rsidR="006D3A5E">
        <w:rPr>
          <w:color w:val="000000" w:themeColor="text1"/>
        </w:rPr>
        <w:t>.</w:t>
      </w:r>
      <w:r w:rsidR="006B15F5" w:rsidRPr="00657D64">
        <w:rPr>
          <w:color w:val="000000" w:themeColor="text1"/>
        </w:rPr>
        <w:t xml:space="preserve"> 32.9% of rural children. </w:t>
      </w:r>
      <w:r w:rsidR="00C40926" w:rsidRPr="00657D64">
        <w:rPr>
          <w:color w:val="000000" w:themeColor="text1"/>
        </w:rPr>
        <w:t xml:space="preserve">Households without children receive on average 122.8 GEL PAE/month as social assistance, whereas the amount is 50.5 GEL on average for households with children. Average household consumption is 53% higher in households with children than it is in households without. In contrast, PAE consumption is 19.5% lower in households with children.   </w:t>
      </w:r>
    </w:p>
    <w:p w14:paraId="2DEEDFC2" w14:textId="77777777" w:rsidR="00C40926" w:rsidRPr="00657D64" w:rsidRDefault="00C40926" w:rsidP="00657D64">
      <w:pPr>
        <w:autoSpaceDE w:val="0"/>
        <w:autoSpaceDN w:val="0"/>
        <w:adjustRightInd w:val="0"/>
        <w:spacing w:after="0"/>
        <w:jc w:val="both"/>
        <w:rPr>
          <w:color w:val="000000" w:themeColor="text1"/>
        </w:rPr>
      </w:pPr>
    </w:p>
    <w:p w14:paraId="400AD9F6" w14:textId="4AF5B2BE" w:rsidR="00C40926" w:rsidRPr="0050036E" w:rsidRDefault="00706E4A" w:rsidP="00657D64">
      <w:pPr>
        <w:autoSpaceDE w:val="0"/>
        <w:autoSpaceDN w:val="0"/>
        <w:adjustRightInd w:val="0"/>
        <w:spacing w:after="0"/>
        <w:jc w:val="both"/>
        <w:rPr>
          <w:b/>
          <w:color w:val="000000" w:themeColor="text1"/>
        </w:rPr>
      </w:pPr>
      <w:r>
        <w:rPr>
          <w:b/>
          <w:color w:val="000000" w:themeColor="text1"/>
        </w:rPr>
        <w:t>D</w:t>
      </w:r>
      <w:r w:rsidRPr="0050036E">
        <w:rPr>
          <w:b/>
          <w:color w:val="000000" w:themeColor="text1"/>
        </w:rPr>
        <w:t>ue to absence of kindergartens</w:t>
      </w:r>
      <w:r>
        <w:rPr>
          <w:b/>
          <w:color w:val="000000" w:themeColor="text1"/>
        </w:rPr>
        <w:t>,</w:t>
      </w:r>
      <w:r w:rsidRPr="0050036E">
        <w:rPr>
          <w:b/>
          <w:color w:val="000000" w:themeColor="text1"/>
        </w:rPr>
        <w:t xml:space="preserve"> </w:t>
      </w:r>
      <w:r w:rsidR="0050036E" w:rsidRPr="0050036E">
        <w:rPr>
          <w:b/>
          <w:color w:val="000000" w:themeColor="text1"/>
        </w:rPr>
        <w:t xml:space="preserve">8.9% of children do not attend preschool services. </w:t>
      </w:r>
      <w:r w:rsidR="001156E9" w:rsidRPr="00657D64">
        <w:rPr>
          <w:color w:val="000000" w:themeColor="text1"/>
        </w:rPr>
        <w:t>Of the 3-5 year-olds in the WMS 2017 sample, 63.7% attended k</w:t>
      </w:r>
      <w:r w:rsidR="00F74A53">
        <w:rPr>
          <w:color w:val="000000" w:themeColor="text1"/>
        </w:rPr>
        <w:t xml:space="preserve">indergarten. </w:t>
      </w:r>
      <w:r w:rsidR="002714B1" w:rsidRPr="00657D64">
        <w:rPr>
          <w:color w:val="000000" w:themeColor="text1"/>
        </w:rPr>
        <w:t>The vast majority of kindergartners attended public institutions. The overall kindergarten attendance rate of 3-5 year-olds in urban areas is higher than in rural areas (78% vs</w:t>
      </w:r>
      <w:r w:rsidR="006D3A5E">
        <w:rPr>
          <w:color w:val="000000" w:themeColor="text1"/>
        </w:rPr>
        <w:t>.</w:t>
      </w:r>
      <w:r w:rsidR="002714B1" w:rsidRPr="00657D64">
        <w:rPr>
          <w:color w:val="000000" w:themeColor="text1"/>
        </w:rPr>
        <w:t xml:space="preserve"> 51%). While almost 64% of 3 to 5-year-ols in the richest fifth of households attended kindergarten, only 57.7% in the poorest fifth did. </w:t>
      </w:r>
      <w:r w:rsidR="0008740A" w:rsidRPr="00657D64">
        <w:rPr>
          <w:color w:val="000000" w:themeColor="text1"/>
        </w:rPr>
        <w:t xml:space="preserve">8.9% of all children aged 3 to 5 do not attend preschool services due to the absence of kindergartens in their districts. The absence of infrastructure is more common in rural (16.8%). Because of absence of places in existing kindergartens nearly 5.1% of all children do not attend it. </w:t>
      </w:r>
    </w:p>
    <w:p w14:paraId="7B588CF4" w14:textId="77777777" w:rsidR="00C40926" w:rsidRDefault="00C40926" w:rsidP="00657D64">
      <w:pPr>
        <w:autoSpaceDE w:val="0"/>
        <w:autoSpaceDN w:val="0"/>
        <w:adjustRightInd w:val="0"/>
        <w:spacing w:after="0"/>
        <w:jc w:val="both"/>
        <w:rPr>
          <w:color w:val="000000" w:themeColor="text1"/>
        </w:rPr>
      </w:pPr>
    </w:p>
    <w:p w14:paraId="0F245DA3" w14:textId="18340AA9" w:rsidR="00E7795A" w:rsidRDefault="00FC511C" w:rsidP="00E7795A">
      <w:pPr>
        <w:autoSpaceDE w:val="0"/>
        <w:autoSpaceDN w:val="0"/>
        <w:adjustRightInd w:val="0"/>
        <w:spacing w:after="0"/>
        <w:jc w:val="both"/>
        <w:rPr>
          <w:color w:val="000000" w:themeColor="text1"/>
        </w:rPr>
      </w:pPr>
      <w:r>
        <w:rPr>
          <w:b/>
          <w:color w:val="000000" w:themeColor="text1"/>
        </w:rPr>
        <w:t>S</w:t>
      </w:r>
      <w:r w:rsidR="00B75091" w:rsidRPr="006C5C7A">
        <w:rPr>
          <w:b/>
          <w:color w:val="000000" w:themeColor="text1"/>
        </w:rPr>
        <w:t xml:space="preserve">chool attendance in </w:t>
      </w:r>
      <w:r>
        <w:rPr>
          <w:b/>
          <w:color w:val="000000" w:themeColor="text1"/>
        </w:rPr>
        <w:t>the mandatory education is 97%</w:t>
      </w:r>
      <w:r w:rsidR="00B476FB">
        <w:rPr>
          <w:b/>
          <w:color w:val="000000" w:themeColor="text1"/>
        </w:rPr>
        <w:t xml:space="preserve">; </w:t>
      </w:r>
      <w:r w:rsidR="00B75091" w:rsidRPr="006C5C7A">
        <w:rPr>
          <w:b/>
          <w:color w:val="000000" w:themeColor="text1"/>
        </w:rPr>
        <w:t>however, every fourth child aged 15-18 is no longer involved in the education.</w:t>
      </w:r>
      <w:r w:rsidR="00B75091" w:rsidRPr="006C5C7A">
        <w:rPr>
          <w:color w:val="000000" w:themeColor="text1"/>
        </w:rPr>
        <w:t xml:space="preserve"> </w:t>
      </w:r>
      <w:r w:rsidR="003F1D08">
        <w:rPr>
          <w:color w:val="000000" w:themeColor="text1"/>
        </w:rPr>
        <w:t>The formal education attendance rate significantly differs between the poores</w:t>
      </w:r>
      <w:r w:rsidR="00B75091">
        <w:rPr>
          <w:color w:val="000000" w:themeColor="text1"/>
        </w:rPr>
        <w:t>t and the wealthies</w:t>
      </w:r>
      <w:r w:rsidR="009D39ED">
        <w:rPr>
          <w:color w:val="000000" w:themeColor="text1"/>
        </w:rPr>
        <w:t>t quintiles</w:t>
      </w:r>
      <w:r w:rsidR="00B75091">
        <w:rPr>
          <w:color w:val="000000" w:themeColor="text1"/>
        </w:rPr>
        <w:t>. Children from poor households tend not to attend preschool or primary</w:t>
      </w:r>
      <w:r w:rsidR="009D39ED">
        <w:rPr>
          <w:color w:val="000000" w:themeColor="text1"/>
        </w:rPr>
        <w:t xml:space="preserve"> school. Nearly 81% of worse-off children aged 15-18 attended school</w:t>
      </w:r>
      <w:r w:rsidR="00E7795A">
        <w:rPr>
          <w:color w:val="000000" w:themeColor="text1"/>
        </w:rPr>
        <w:t>,</w:t>
      </w:r>
      <w:r w:rsidR="009D39ED">
        <w:rPr>
          <w:color w:val="000000" w:themeColor="text1"/>
        </w:rPr>
        <w:t xml:space="preserve"> whereas</w:t>
      </w:r>
      <w:r w:rsidR="00E7795A">
        <w:rPr>
          <w:color w:val="000000" w:themeColor="text1"/>
        </w:rPr>
        <w:t xml:space="preserve"> in the wealthiest quintile,</w:t>
      </w:r>
      <w:r w:rsidR="009D39ED">
        <w:rPr>
          <w:color w:val="000000" w:themeColor="text1"/>
        </w:rPr>
        <w:t xml:space="preserve"> </w:t>
      </w:r>
      <w:r w:rsidR="00E7795A">
        <w:rPr>
          <w:color w:val="000000" w:themeColor="text1"/>
        </w:rPr>
        <w:t>98%</w:t>
      </w:r>
      <w:r w:rsidR="00F541FB">
        <w:rPr>
          <w:color w:val="000000" w:themeColor="text1"/>
        </w:rPr>
        <w:t xml:space="preserve"> </w:t>
      </w:r>
      <w:r w:rsidR="00E7795A">
        <w:rPr>
          <w:color w:val="000000" w:themeColor="text1"/>
        </w:rPr>
        <w:t xml:space="preserve">of the same age group continues to pursue school. The difference becomes more evident after age of 18, when children from poor households drop out of educational institution. </w:t>
      </w:r>
      <w:r w:rsidR="00CD289F">
        <w:rPr>
          <w:color w:val="000000" w:themeColor="text1"/>
        </w:rPr>
        <w:t xml:space="preserve">Nearly 5% of 20 year-olds from the poorest quintile attended some type of educational institution versus 77% from the richest quintile. </w:t>
      </w:r>
    </w:p>
    <w:p w14:paraId="0128E666" w14:textId="77777777" w:rsidR="006C5C7A" w:rsidRDefault="006C5C7A" w:rsidP="00657D64">
      <w:pPr>
        <w:autoSpaceDE w:val="0"/>
        <w:autoSpaceDN w:val="0"/>
        <w:adjustRightInd w:val="0"/>
        <w:spacing w:after="0"/>
        <w:jc w:val="both"/>
        <w:rPr>
          <w:color w:val="000000" w:themeColor="text1"/>
        </w:rPr>
      </w:pPr>
    </w:p>
    <w:p w14:paraId="191B82AA" w14:textId="0E424DA2" w:rsidR="0008740A" w:rsidRPr="00AB4F3C" w:rsidRDefault="00AB4F3C" w:rsidP="00657D64">
      <w:pPr>
        <w:autoSpaceDE w:val="0"/>
        <w:autoSpaceDN w:val="0"/>
        <w:adjustRightInd w:val="0"/>
        <w:spacing w:after="0"/>
        <w:jc w:val="both"/>
        <w:rPr>
          <w:b/>
          <w:color w:val="000000" w:themeColor="text1"/>
        </w:rPr>
      </w:pPr>
      <w:r>
        <w:rPr>
          <w:b/>
          <w:color w:val="000000" w:themeColor="text1"/>
        </w:rPr>
        <w:t xml:space="preserve">Every </w:t>
      </w:r>
      <w:r w:rsidR="0097638B" w:rsidRPr="0097638B">
        <w:rPr>
          <w:b/>
          <w:color w:val="000000" w:themeColor="text1"/>
        </w:rPr>
        <w:t>6 in 10 chil</w:t>
      </w:r>
      <w:r>
        <w:rPr>
          <w:b/>
          <w:color w:val="000000" w:themeColor="text1"/>
        </w:rPr>
        <w:t>dren from poor families have no</w:t>
      </w:r>
      <w:r w:rsidR="0097638B" w:rsidRPr="0097638B">
        <w:rPr>
          <w:b/>
          <w:color w:val="000000" w:themeColor="text1"/>
        </w:rPr>
        <w:t xml:space="preserve"> or insuffi</w:t>
      </w:r>
      <w:r>
        <w:rPr>
          <w:b/>
          <w:color w:val="000000" w:themeColor="text1"/>
        </w:rPr>
        <w:t>cient access to children</w:t>
      </w:r>
      <w:r w:rsidR="00D30FB9">
        <w:rPr>
          <w:b/>
          <w:color w:val="000000" w:themeColor="text1"/>
        </w:rPr>
        <w:t>’s</w:t>
      </w:r>
      <w:r>
        <w:rPr>
          <w:b/>
          <w:color w:val="000000" w:themeColor="text1"/>
        </w:rPr>
        <w:t xml:space="preserve"> books. </w:t>
      </w:r>
      <w:r w:rsidR="0008740A" w:rsidRPr="00657D64">
        <w:rPr>
          <w:color w:val="000000" w:themeColor="text1"/>
        </w:rPr>
        <w:t xml:space="preserve">An adult </w:t>
      </w:r>
      <w:r w:rsidR="00F25F9A" w:rsidRPr="00657D64">
        <w:rPr>
          <w:color w:val="000000" w:themeColor="text1"/>
        </w:rPr>
        <w:t xml:space="preserve">is </w:t>
      </w:r>
      <w:r w:rsidR="0008740A" w:rsidRPr="00657D64">
        <w:rPr>
          <w:color w:val="000000" w:themeColor="text1"/>
        </w:rPr>
        <w:t xml:space="preserve">engaged in more than four activities that promote learning and school readiness in </w:t>
      </w:r>
      <w:r w:rsidR="00F25F9A" w:rsidRPr="00657D64">
        <w:rPr>
          <w:color w:val="000000" w:themeColor="text1"/>
        </w:rPr>
        <w:t>86.3%</w:t>
      </w:r>
      <w:r w:rsidR="00CD289F">
        <w:rPr>
          <w:color w:val="000000" w:themeColor="text1"/>
        </w:rPr>
        <w:t xml:space="preserve"> (82% in poorest and 96% in richest)</w:t>
      </w:r>
      <w:r w:rsidR="00F25F9A" w:rsidRPr="00657D64">
        <w:rPr>
          <w:color w:val="000000" w:themeColor="text1"/>
        </w:rPr>
        <w:t xml:space="preserve"> of children aged 3-5 years-old. But, the father’s involvement in at least one of these activities is the case only 46.7% of the time. Adult engagement in activities with children was the greatest in Shida Kartli (100%) and the lowest in Samtskhe-Javakheti (64.8%). </w:t>
      </w:r>
      <w:r w:rsidR="00CD5B8A" w:rsidRPr="00657D64">
        <w:rPr>
          <w:color w:val="000000" w:themeColor="text1"/>
        </w:rPr>
        <w:t xml:space="preserve">In Georgia, only 59% of children aged 36-59 months have three or more children’s </w:t>
      </w:r>
      <w:r w:rsidR="0097638B">
        <w:rPr>
          <w:color w:val="000000" w:themeColor="text1"/>
        </w:rPr>
        <w:t xml:space="preserve">books and only 36% from the poorest groups have that compared to 88% in the richest. </w:t>
      </w:r>
      <w:r w:rsidR="00CD5B8A" w:rsidRPr="00657D64">
        <w:rPr>
          <w:color w:val="000000" w:themeColor="text1"/>
        </w:rPr>
        <w:t xml:space="preserve">In addition, urban children appear to have more access to children’s books (66.3%) than do those living in rural households (52.6%). The survey results show that 92.8% of children aged 3-5 years are developmentally on track based on Early Childhood Development (ECD) index. </w:t>
      </w:r>
    </w:p>
    <w:p w14:paraId="4F7082A8" w14:textId="77777777" w:rsidR="006C5C7A" w:rsidRDefault="006C5C7A" w:rsidP="00657D64">
      <w:pPr>
        <w:autoSpaceDE w:val="0"/>
        <w:autoSpaceDN w:val="0"/>
        <w:adjustRightInd w:val="0"/>
        <w:spacing w:after="0"/>
        <w:jc w:val="both"/>
        <w:rPr>
          <w:color w:val="000000" w:themeColor="text1"/>
        </w:rPr>
      </w:pPr>
    </w:p>
    <w:p w14:paraId="3BDEAAC9" w14:textId="6FC1B41F" w:rsidR="00C40926" w:rsidRPr="00537CE6" w:rsidRDefault="00537CE6" w:rsidP="00657D64">
      <w:pPr>
        <w:autoSpaceDE w:val="0"/>
        <w:autoSpaceDN w:val="0"/>
        <w:adjustRightInd w:val="0"/>
        <w:spacing w:after="0"/>
        <w:jc w:val="both"/>
        <w:rPr>
          <w:b/>
          <w:color w:val="000000" w:themeColor="text1"/>
        </w:rPr>
      </w:pPr>
      <w:r w:rsidRPr="00537CE6">
        <w:rPr>
          <w:b/>
          <w:color w:val="000000" w:themeColor="text1"/>
        </w:rPr>
        <w:lastRenderedPageBreak/>
        <w:t xml:space="preserve">Inadequate care is </w:t>
      </w:r>
      <w:r w:rsidR="00AD77BF">
        <w:rPr>
          <w:b/>
          <w:color w:val="000000" w:themeColor="text1"/>
        </w:rPr>
        <w:t xml:space="preserve">more </w:t>
      </w:r>
      <w:r w:rsidRPr="00537CE6">
        <w:rPr>
          <w:b/>
          <w:color w:val="000000" w:themeColor="text1"/>
        </w:rPr>
        <w:t>prevalent in urban households than in rural households.</w:t>
      </w:r>
      <w:r>
        <w:rPr>
          <w:b/>
          <w:color w:val="000000" w:themeColor="text1"/>
        </w:rPr>
        <w:t xml:space="preserve"> </w:t>
      </w:r>
      <w:r w:rsidR="00192AC6" w:rsidRPr="00657D64">
        <w:rPr>
          <w:color w:val="000000" w:themeColor="text1"/>
        </w:rPr>
        <w:t xml:space="preserve">Almost 7.1% of children aged 3-5 were left in </w:t>
      </w:r>
      <w:r w:rsidR="00D47706" w:rsidRPr="00657D64">
        <w:rPr>
          <w:color w:val="000000" w:themeColor="text1"/>
        </w:rPr>
        <w:t>inadequate care</w:t>
      </w:r>
      <w:r w:rsidR="00D47706" w:rsidRPr="00657D64">
        <w:rPr>
          <w:rStyle w:val="FootnoteReference"/>
          <w:color w:val="000000" w:themeColor="text1"/>
        </w:rPr>
        <w:footnoteReference w:id="21"/>
      </w:r>
      <w:r w:rsidR="00192AC6" w:rsidRPr="00657D64">
        <w:rPr>
          <w:color w:val="000000" w:themeColor="text1"/>
        </w:rPr>
        <w:t xml:space="preserve"> during the week prior to the survey. The highest share of them was observed in the Samegrelo, </w:t>
      </w:r>
      <w:r w:rsidR="00B63A3F" w:rsidRPr="00657D64">
        <w:rPr>
          <w:color w:val="000000" w:themeColor="text1"/>
        </w:rPr>
        <w:t>Mtskheta-M</w:t>
      </w:r>
      <w:r w:rsidR="004F6FAC">
        <w:rPr>
          <w:color w:val="000000" w:themeColor="text1"/>
        </w:rPr>
        <w:t>tianeti and Tbilisi. Finally, u</w:t>
      </w:r>
      <w:r w:rsidR="00B63A3F" w:rsidRPr="00657D64">
        <w:rPr>
          <w:color w:val="000000" w:themeColor="text1"/>
        </w:rPr>
        <w:t>rban households tend to leave young children alone more than rural households (10.9% vs</w:t>
      </w:r>
      <w:r w:rsidR="006D3A5E">
        <w:rPr>
          <w:color w:val="000000" w:themeColor="text1"/>
        </w:rPr>
        <w:t>.</w:t>
      </w:r>
      <w:r w:rsidR="00B63A3F" w:rsidRPr="00657D64">
        <w:rPr>
          <w:color w:val="000000" w:themeColor="text1"/>
        </w:rPr>
        <w:t xml:space="preserve"> 3.8%). </w:t>
      </w:r>
    </w:p>
    <w:p w14:paraId="684AA67A" w14:textId="77777777" w:rsidR="00C40926" w:rsidRPr="00657D64" w:rsidRDefault="00C40926" w:rsidP="00657D64">
      <w:pPr>
        <w:autoSpaceDE w:val="0"/>
        <w:autoSpaceDN w:val="0"/>
        <w:adjustRightInd w:val="0"/>
        <w:spacing w:after="0"/>
        <w:jc w:val="both"/>
        <w:rPr>
          <w:color w:val="000000" w:themeColor="text1"/>
        </w:rPr>
      </w:pPr>
    </w:p>
    <w:p w14:paraId="12E17EC6" w14:textId="77777777" w:rsidR="00C40926" w:rsidRPr="00657D64" w:rsidRDefault="00C40926" w:rsidP="00657D64">
      <w:pPr>
        <w:autoSpaceDE w:val="0"/>
        <w:autoSpaceDN w:val="0"/>
        <w:adjustRightInd w:val="0"/>
        <w:spacing w:after="0"/>
        <w:jc w:val="both"/>
        <w:rPr>
          <w:color w:val="000000" w:themeColor="text1"/>
        </w:rPr>
      </w:pPr>
    </w:p>
    <w:p w14:paraId="6FC92D58" w14:textId="26747108" w:rsidR="00BD4EFD" w:rsidRPr="00657D64" w:rsidRDefault="00BD4EFD" w:rsidP="009E11B9">
      <w:pPr>
        <w:autoSpaceDE w:val="0"/>
        <w:autoSpaceDN w:val="0"/>
        <w:adjustRightInd w:val="0"/>
        <w:spacing w:after="0"/>
        <w:jc w:val="both"/>
      </w:pPr>
    </w:p>
    <w:sectPr w:rsidR="00BD4EFD" w:rsidRPr="00657D64" w:rsidSect="00BD5D94">
      <w:headerReference w:type="default" r:id="rId9"/>
      <w:footerReference w:type="even" r:id="rId10"/>
      <w:footerReference w:type="default" r:id="rId11"/>
      <w:pgSz w:w="12240" w:h="15840"/>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2A91E" w14:textId="77777777" w:rsidR="000C378A" w:rsidRDefault="000C378A">
      <w:pPr>
        <w:spacing w:after="0" w:line="240" w:lineRule="auto"/>
      </w:pPr>
      <w:r>
        <w:separator/>
      </w:r>
    </w:p>
  </w:endnote>
  <w:endnote w:type="continuationSeparator" w:id="0">
    <w:p w14:paraId="13BFE1F8" w14:textId="77777777" w:rsidR="000C378A" w:rsidRDefault="000C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Optima">
    <w:charset w:val="00"/>
    <w:family w:val="auto"/>
    <w:pitch w:val="variable"/>
    <w:sig w:usb0="80000067" w:usb1="00000000" w:usb2="00000000" w:usb3="00000000" w:csb0="00000001" w:csb1="00000000"/>
  </w:font>
  <w:font w:name="BPG Glaho Mix">
    <w:panose1 w:val="020B0604020202020204"/>
    <w:charset w:val="00"/>
    <w:family w:val="swiss"/>
    <w:pitch w:val="variable"/>
    <w:sig w:usb0="84000023" w:usb1="1000004A" w:usb2="00000000" w:usb3="00000000" w:csb0="00000001" w:csb1="00000000"/>
  </w:font>
  <w:font w:name="BPGGlaho">
    <w:charset w:val="CC"/>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B31EA" w14:textId="77777777" w:rsidR="002E7E63" w:rsidRDefault="002E7E63" w:rsidP="00BD5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6BFDD" w14:textId="77777777" w:rsidR="002E7E63" w:rsidRDefault="002E7E63" w:rsidP="00BD5D9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tblBorders>
      <w:tblLook w:val="00A0" w:firstRow="1" w:lastRow="0" w:firstColumn="1" w:lastColumn="0" w:noHBand="0" w:noVBand="0"/>
    </w:tblPr>
    <w:tblGrid>
      <w:gridCol w:w="6656"/>
      <w:gridCol w:w="2704"/>
    </w:tblGrid>
    <w:tr w:rsidR="002E7E63" w:rsidRPr="00C76F1C" w14:paraId="1A2FCC18" w14:textId="77777777" w:rsidTr="00BD5D94">
      <w:trPr>
        <w:trHeight w:val="347"/>
      </w:trPr>
      <w:tc>
        <w:tcPr>
          <w:tcW w:w="7054" w:type="dxa"/>
          <w:tcBorders>
            <w:top w:val="single" w:sz="4" w:space="0" w:color="E31F26"/>
          </w:tcBorders>
        </w:tcPr>
        <w:p w14:paraId="33FB5DA1" w14:textId="77777777" w:rsidR="002E7E63" w:rsidRPr="003823ED" w:rsidRDefault="002E7E63" w:rsidP="00BD5D94">
          <w:pPr>
            <w:autoSpaceDE w:val="0"/>
            <w:autoSpaceDN w:val="0"/>
            <w:adjustRightInd w:val="0"/>
            <w:spacing w:after="0" w:line="240" w:lineRule="auto"/>
            <w:ind w:right="360"/>
            <w:rPr>
              <w:rFonts w:ascii="BPG Glaho Mix" w:hAnsi="BPG Glaho Mix" w:cs="BPGGlaho"/>
              <w:sz w:val="16"/>
              <w:szCs w:val="16"/>
            </w:rPr>
          </w:pPr>
        </w:p>
      </w:tc>
      <w:tc>
        <w:tcPr>
          <w:tcW w:w="2851" w:type="dxa"/>
          <w:tcBorders>
            <w:top w:val="single" w:sz="4" w:space="0" w:color="E31F26"/>
          </w:tcBorders>
        </w:tcPr>
        <w:p w14:paraId="4D43C068" w14:textId="77777777" w:rsidR="002E7E63" w:rsidRPr="00C76F1C" w:rsidRDefault="002E7E63" w:rsidP="00BD5D94">
          <w:pPr>
            <w:pStyle w:val="Footer"/>
            <w:jc w:val="right"/>
            <w:rPr>
              <w:rStyle w:val="PageNumber"/>
            </w:rPr>
          </w:pPr>
        </w:p>
        <w:p w14:paraId="3B39243B" w14:textId="30344614" w:rsidR="002E7E63" w:rsidRPr="00DE47EF" w:rsidRDefault="002E7E63" w:rsidP="00BD5D94">
          <w:pPr>
            <w:pStyle w:val="Footer"/>
            <w:jc w:val="right"/>
            <w:rPr>
              <w:rFonts w:ascii="Sylfaen" w:hAnsi="Sylfaen"/>
              <w:lang w:val="ka-GE"/>
            </w:rPr>
          </w:pPr>
          <w:r w:rsidRPr="00C76F1C">
            <w:rPr>
              <w:rStyle w:val="PageNumber"/>
            </w:rPr>
            <w:fldChar w:fldCharType="begin"/>
          </w:r>
          <w:r w:rsidRPr="00C76F1C">
            <w:rPr>
              <w:rStyle w:val="PageNumber"/>
            </w:rPr>
            <w:instrText xml:space="preserve">PAGE  </w:instrText>
          </w:r>
          <w:r w:rsidRPr="00C76F1C">
            <w:rPr>
              <w:rStyle w:val="PageNumber"/>
            </w:rPr>
            <w:fldChar w:fldCharType="separate"/>
          </w:r>
          <w:r w:rsidR="009E4C1F">
            <w:rPr>
              <w:rStyle w:val="PageNumber"/>
              <w:noProof/>
            </w:rPr>
            <w:t>7</w:t>
          </w:r>
          <w:r w:rsidRPr="00C76F1C">
            <w:rPr>
              <w:rStyle w:val="PageNumber"/>
            </w:rPr>
            <w:fldChar w:fldCharType="end"/>
          </w:r>
          <w:r w:rsidRPr="00C76F1C">
            <w:rPr>
              <w:rStyle w:val="PageNumber"/>
            </w:rPr>
            <w:t xml:space="preserve"> </w:t>
          </w:r>
        </w:p>
      </w:tc>
    </w:tr>
  </w:tbl>
  <w:p w14:paraId="36B57455" w14:textId="77777777" w:rsidR="002E7E63" w:rsidRDefault="002E7E63" w:rsidP="00BD5D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BB946" w14:textId="77777777" w:rsidR="000C378A" w:rsidRDefault="000C378A">
      <w:pPr>
        <w:spacing w:after="0" w:line="240" w:lineRule="auto"/>
      </w:pPr>
      <w:r>
        <w:separator/>
      </w:r>
    </w:p>
  </w:footnote>
  <w:footnote w:type="continuationSeparator" w:id="0">
    <w:p w14:paraId="621140EA" w14:textId="77777777" w:rsidR="000C378A" w:rsidRDefault="000C378A">
      <w:pPr>
        <w:spacing w:after="0" w:line="240" w:lineRule="auto"/>
      </w:pPr>
      <w:r>
        <w:continuationSeparator/>
      </w:r>
    </w:p>
  </w:footnote>
  <w:footnote w:id="1">
    <w:p w14:paraId="4862C74C" w14:textId="77777777" w:rsidR="002E7E63" w:rsidRDefault="002E7E63" w:rsidP="00115796">
      <w:pPr>
        <w:pStyle w:val="FootnoteText"/>
      </w:pPr>
      <w:r>
        <w:rPr>
          <w:rStyle w:val="FootnoteReference"/>
        </w:rPr>
        <w:footnoteRef/>
      </w:r>
      <w:r>
        <w:t xml:space="preserve"> National Bank of Georgia (2018), “Monetary Policy Report - February”, available at:</w:t>
      </w:r>
      <w:r w:rsidRPr="00A2275C">
        <w:t xml:space="preserve"> </w:t>
      </w:r>
      <w:hyperlink r:id="rId1" w:history="1">
        <w:r w:rsidRPr="003C4701">
          <w:rPr>
            <w:rStyle w:val="Hyperlink"/>
            <w:rFonts w:cstheme="minorBidi"/>
          </w:rPr>
          <w:t>https://www.nbg.gov.ge/uploads/publications/inflationreport/2018/mpr_2018q1_publish_eng.pdf</w:t>
        </w:r>
      </w:hyperlink>
      <w:r>
        <w:t xml:space="preserve"> </w:t>
      </w:r>
    </w:p>
  </w:footnote>
  <w:footnote w:id="2">
    <w:p w14:paraId="10847A37" w14:textId="77777777" w:rsidR="002E7E63" w:rsidRDefault="002E7E63" w:rsidP="00115796">
      <w:pPr>
        <w:spacing w:after="0"/>
        <w:rPr>
          <w:sz w:val="20"/>
          <w:szCs w:val="20"/>
        </w:rPr>
      </w:pPr>
      <w:r>
        <w:rPr>
          <w:rStyle w:val="FootnoteReference"/>
        </w:rPr>
        <w:footnoteRef/>
      </w:r>
      <w:r>
        <w:t xml:space="preserve"> </w:t>
      </w:r>
      <w:r w:rsidRPr="00A2275C">
        <w:rPr>
          <w:rFonts w:eastAsia="Calibri"/>
          <w:sz w:val="20"/>
          <w:szCs w:val="20"/>
        </w:rPr>
        <w:t>World Bank 2018, “Global Economic Prospects”, available at:</w:t>
      </w:r>
      <w:r w:rsidRPr="00A2275C">
        <w:rPr>
          <w:sz w:val="20"/>
          <w:szCs w:val="20"/>
        </w:rPr>
        <w:t xml:space="preserve"> </w:t>
      </w:r>
    </w:p>
    <w:p w14:paraId="45514E05" w14:textId="77777777" w:rsidR="002E7E63" w:rsidRPr="0031789E" w:rsidRDefault="000C378A" w:rsidP="00115796">
      <w:pPr>
        <w:spacing w:after="0"/>
        <w:rPr>
          <w:sz w:val="20"/>
          <w:szCs w:val="20"/>
        </w:rPr>
      </w:pPr>
      <w:hyperlink r:id="rId2" w:history="1">
        <w:r w:rsidR="002E7E63" w:rsidRPr="00A2275C">
          <w:rPr>
            <w:rStyle w:val="Hyperlink"/>
            <w:rFonts w:eastAsia="Calibri" w:cstheme="minorHAnsi"/>
            <w:sz w:val="20"/>
            <w:szCs w:val="20"/>
          </w:rPr>
          <w:t>http://www.worldbank.org/en/publication/global-economic-prospects</w:t>
        </w:r>
      </w:hyperlink>
    </w:p>
  </w:footnote>
  <w:footnote w:id="3">
    <w:p w14:paraId="5B2AFEF1" w14:textId="77777777" w:rsidR="002E7E63" w:rsidRPr="00284D74" w:rsidRDefault="002E7E63" w:rsidP="00115796">
      <w:pPr>
        <w:pStyle w:val="FootnoteText"/>
        <w:rPr>
          <w:rFonts w:cstheme="minorHAnsi"/>
          <w:color w:val="0000FF"/>
          <w:u w:val="single"/>
        </w:rPr>
      </w:pPr>
      <w:r>
        <w:rPr>
          <w:rStyle w:val="FootnoteReference"/>
        </w:rPr>
        <w:footnoteRef/>
      </w:r>
      <w:r>
        <w:t xml:space="preserve"> </w:t>
      </w:r>
      <w:r w:rsidRPr="00FF44CA">
        <w:rPr>
          <w:rFonts w:eastAsia="Calibri" w:cstheme="minorHAnsi"/>
        </w:rPr>
        <w:t>International Monetary Fund (2017), “World Economic Outlook”, available at:</w:t>
      </w:r>
      <w:r w:rsidRPr="00FF44CA">
        <w:rPr>
          <w:rFonts w:cstheme="minorHAnsi"/>
        </w:rPr>
        <w:t xml:space="preserve"> </w:t>
      </w:r>
      <w:hyperlink r:id="rId3" w:history="1">
        <w:r w:rsidRPr="003C4701">
          <w:rPr>
            <w:rStyle w:val="Hyperlink"/>
            <w:rFonts w:cstheme="minorHAnsi"/>
          </w:rPr>
          <w:t>http://www.imf.org/en/Publications/WEO/Issues/2017/09/19/world-economic-outlook-october-2017</w:t>
        </w:r>
      </w:hyperlink>
      <w:r>
        <w:rPr>
          <w:rFonts w:cstheme="minorHAnsi"/>
        </w:rPr>
        <w:t xml:space="preserve"> </w:t>
      </w:r>
    </w:p>
  </w:footnote>
  <w:footnote w:id="4">
    <w:p w14:paraId="1B833753" w14:textId="77777777" w:rsidR="002E7E63" w:rsidRPr="00284D74" w:rsidRDefault="002E7E63" w:rsidP="00284D74">
      <w:pPr>
        <w:jc w:val="both"/>
      </w:pPr>
      <w:r>
        <w:rPr>
          <w:rStyle w:val="FootnoteReference"/>
        </w:rPr>
        <w:footnoteRef/>
      </w:r>
      <w:r>
        <w:t xml:space="preserve"> </w:t>
      </w:r>
      <w:r w:rsidRPr="00284D74">
        <w:rPr>
          <w:sz w:val="20"/>
          <w:szCs w:val="20"/>
        </w:rPr>
        <w:t>On average, the Georgian lari (GEL) depreciated against the US dollar (USD) by 28.5% in 2015</w:t>
      </w:r>
      <w:r>
        <w:rPr>
          <w:rFonts w:ascii="Sylfaen" w:hAnsi="Sylfaen"/>
          <w:sz w:val="20"/>
          <w:szCs w:val="20"/>
          <w:lang w:val="ka-GE"/>
        </w:rPr>
        <w:t xml:space="preserve">. </w:t>
      </w:r>
    </w:p>
  </w:footnote>
  <w:footnote w:id="5">
    <w:p w14:paraId="13EE217A" w14:textId="77777777" w:rsidR="002E7E63" w:rsidRPr="00AC24AD" w:rsidRDefault="002E7E63" w:rsidP="0053714A">
      <w:pPr>
        <w:pStyle w:val="FootnoteText"/>
        <w:jc w:val="both"/>
      </w:pPr>
      <w:r>
        <w:rPr>
          <w:rStyle w:val="FootnoteReference"/>
        </w:rPr>
        <w:footnoteRef/>
      </w:r>
      <w:r>
        <w:t xml:space="preserve"> </w:t>
      </w:r>
      <w:r w:rsidRPr="00AC24AD">
        <w:t xml:space="preserve">Cardiovascular dilative medicaments (up 25.2%), </w:t>
      </w:r>
      <w:proofErr w:type="spellStart"/>
      <w:r w:rsidRPr="00AC24AD">
        <w:rPr>
          <w:rFonts w:cstheme="minorHAnsi"/>
        </w:rPr>
        <w:t>analgetics</w:t>
      </w:r>
      <w:proofErr w:type="spellEnd"/>
      <w:r w:rsidRPr="00AC24AD">
        <w:t xml:space="preserve"> (up 4.4%), antibiotics (up 13.6%), vitamins (up 18.5%), </w:t>
      </w:r>
    </w:p>
    <w:p w14:paraId="3187133F" w14:textId="77777777" w:rsidR="002E7E63" w:rsidRDefault="002E7E63" w:rsidP="0053714A">
      <w:pPr>
        <w:pStyle w:val="FootnoteText"/>
        <w:jc w:val="both"/>
      </w:pPr>
      <w:r w:rsidRPr="00AC24AD">
        <w:t>digestive system medicaments (up 23.2%) and anti-inflammatory medicaments (14.0%).</w:t>
      </w:r>
      <w:r>
        <w:t xml:space="preserve"> </w:t>
      </w:r>
    </w:p>
  </w:footnote>
  <w:footnote w:id="6">
    <w:p w14:paraId="25FA2E22" w14:textId="77777777" w:rsidR="002E7E63" w:rsidRDefault="002E7E63">
      <w:pPr>
        <w:pStyle w:val="FootnoteText"/>
      </w:pPr>
      <w:r>
        <w:rPr>
          <w:rStyle w:val="FootnoteReference"/>
        </w:rPr>
        <w:footnoteRef/>
      </w:r>
      <w:r>
        <w:t xml:space="preserve"> From January 1, 2017, </w:t>
      </w:r>
      <w:r w:rsidRPr="00F01A01">
        <w:t xml:space="preserve">excise </w:t>
      </w:r>
      <w:r>
        <w:t xml:space="preserve">tax </w:t>
      </w:r>
      <w:r w:rsidRPr="00F01A01">
        <w:t>rates have been increased on tobacco products, c</w:t>
      </w:r>
      <w:r>
        <w:t xml:space="preserve">ars, oil, oil products, and oil </w:t>
      </w:r>
      <w:r w:rsidRPr="00F01A01">
        <w:t>distillates</w:t>
      </w:r>
      <w:r>
        <w:t xml:space="preserve">. </w:t>
      </w:r>
    </w:p>
  </w:footnote>
  <w:footnote w:id="7">
    <w:p w14:paraId="09C88474" w14:textId="77777777" w:rsidR="002E7E63" w:rsidRDefault="002E7E63">
      <w:pPr>
        <w:pStyle w:val="FootnoteText"/>
      </w:pPr>
      <w:r>
        <w:rPr>
          <w:rStyle w:val="FootnoteReference"/>
        </w:rPr>
        <w:footnoteRef/>
      </w:r>
      <w:r>
        <w:t xml:space="preserve"> Social Service Agency, 2017 </w:t>
      </w:r>
    </w:p>
  </w:footnote>
  <w:footnote w:id="8">
    <w:p w14:paraId="6C8E0F29" w14:textId="77777777" w:rsidR="002E7E63" w:rsidRDefault="002E7E63">
      <w:pPr>
        <w:pStyle w:val="FootnoteText"/>
      </w:pPr>
      <w:r>
        <w:rPr>
          <w:rStyle w:val="FootnoteReference"/>
        </w:rPr>
        <w:footnoteRef/>
      </w:r>
      <w:r>
        <w:t xml:space="preserve"> World Bank 2016, “Continuous Improvement: Strengthening Georgia’s Targeted Social Assistance Program”, available at: </w:t>
      </w:r>
      <w:hyperlink r:id="rId4" w:history="1">
        <w:r w:rsidRPr="003C4701">
          <w:rPr>
            <w:rStyle w:val="Hyperlink"/>
            <w:rFonts w:cstheme="minorBidi"/>
          </w:rPr>
          <w:t>https://openknowledge.worldbank.org/handle/10986/24812</w:t>
        </w:r>
      </w:hyperlink>
      <w:r>
        <w:t xml:space="preserve"> </w:t>
      </w:r>
    </w:p>
  </w:footnote>
  <w:footnote w:id="9">
    <w:p w14:paraId="20E87A81" w14:textId="77777777" w:rsidR="002E7E63" w:rsidRDefault="002E7E63" w:rsidP="00821EF4">
      <w:pPr>
        <w:pStyle w:val="FootnoteText"/>
      </w:pPr>
      <w:r>
        <w:rPr>
          <w:rStyle w:val="FootnoteReference"/>
        </w:rPr>
        <w:footnoteRef/>
      </w:r>
      <w:r>
        <w:t xml:space="preserve"> Social Service Agency, 2017 </w:t>
      </w:r>
    </w:p>
  </w:footnote>
  <w:footnote w:id="10">
    <w:p w14:paraId="11B05BD7" w14:textId="77777777" w:rsidR="002E7E63" w:rsidRDefault="002E7E63" w:rsidP="00C826A8">
      <w:pPr>
        <w:pStyle w:val="FootnoteText"/>
      </w:pPr>
      <w:r>
        <w:rPr>
          <w:rStyle w:val="FootnoteReference"/>
        </w:rPr>
        <w:footnoteRef/>
      </w:r>
      <w:r>
        <w:t xml:space="preserve"> In 2017, 1 GEL has the same purchasing power as 0.951 international dollars (IMF World Economic Outlook Database, October 2017). </w:t>
      </w:r>
    </w:p>
  </w:footnote>
  <w:footnote w:id="11">
    <w:p w14:paraId="35C00AB1" w14:textId="77777777" w:rsidR="002E7E63" w:rsidRDefault="002E7E63" w:rsidP="00C826A8">
      <w:pPr>
        <w:pStyle w:val="FootnoteText"/>
      </w:pPr>
      <w:r>
        <w:rPr>
          <w:rStyle w:val="FootnoteReference"/>
        </w:rPr>
        <w:footnoteRef/>
      </w:r>
      <w:r>
        <w:t xml:space="preserve"> </w:t>
      </w:r>
      <w:r w:rsidRPr="00657D64">
        <w:t>adjusted for the inflation of 2009 prices using Consumer Price Index (CPI</w:t>
      </w:r>
    </w:p>
  </w:footnote>
  <w:footnote w:id="12">
    <w:p w14:paraId="2366FBFF" w14:textId="77777777" w:rsidR="002E7E63" w:rsidRDefault="002E7E63" w:rsidP="00C826A8">
      <w:pPr>
        <w:pStyle w:val="FootnoteText"/>
        <w:jc w:val="both"/>
      </w:pPr>
      <w:r w:rsidRPr="00911288">
        <w:rPr>
          <w:rStyle w:val="FootnoteReference"/>
          <w:color w:val="000000" w:themeColor="text1"/>
        </w:rPr>
        <w:footnoteRef/>
      </w:r>
      <w:r w:rsidRPr="00911288">
        <w:rPr>
          <w:color w:val="000000" w:themeColor="text1"/>
        </w:rPr>
        <w:t xml:space="preserve"> Household income </w:t>
      </w:r>
      <w:r>
        <w:rPr>
          <w:color w:val="000000" w:themeColor="text1"/>
        </w:rPr>
        <w:t xml:space="preserve">is expressed as per adult equivalent (PAE) in order to account for household size and composition. </w:t>
      </w:r>
    </w:p>
  </w:footnote>
  <w:footnote w:id="13">
    <w:p w14:paraId="40DE3B5B" w14:textId="77777777" w:rsidR="002E7E63" w:rsidRDefault="002E7E63">
      <w:pPr>
        <w:pStyle w:val="FootnoteText"/>
      </w:pPr>
      <w:r>
        <w:rPr>
          <w:rStyle w:val="FootnoteReference"/>
        </w:rPr>
        <w:footnoteRef/>
      </w:r>
      <w:r>
        <w:t xml:space="preserve"> Adjusted for 2009 prices. </w:t>
      </w:r>
    </w:p>
  </w:footnote>
  <w:footnote w:id="14">
    <w:p w14:paraId="2897E41B" w14:textId="77777777" w:rsidR="00771E1D" w:rsidRDefault="00771E1D" w:rsidP="00A15C28">
      <w:pPr>
        <w:pStyle w:val="FootnoteText"/>
        <w:jc w:val="both"/>
      </w:pPr>
      <w:r>
        <w:rPr>
          <w:rStyle w:val="FootnoteReference"/>
        </w:rPr>
        <w:footnoteRef/>
      </w:r>
      <w:r>
        <w:t xml:space="preserve"> </w:t>
      </w:r>
      <w:r w:rsidR="00305256">
        <w:t xml:space="preserve">Iceland, J., Kenworthy, L., &amp; Scopilliti, M. (2005), Macroeconomic performance and poverty in the 1980s and 1990s:  A state level analysis. Discussion Paper, 1299-05. Madison, WI: Institute for Research on Poverty.  </w:t>
      </w:r>
    </w:p>
  </w:footnote>
  <w:footnote w:id="15">
    <w:p w14:paraId="6616B5AD" w14:textId="77777777" w:rsidR="002E7E63" w:rsidRDefault="002E7E63" w:rsidP="001B0B74">
      <w:pPr>
        <w:pStyle w:val="FootnoteText"/>
        <w:jc w:val="both"/>
      </w:pPr>
      <w:r>
        <w:rPr>
          <w:rStyle w:val="FootnoteReference"/>
        </w:rPr>
        <w:footnoteRef/>
      </w:r>
      <w:r>
        <w:t xml:space="preserve"> </w:t>
      </w:r>
      <w:r w:rsidRPr="00D122A6">
        <w:t xml:space="preserve">A household is regarded as materially deprived if it lacks five or more of the </w:t>
      </w:r>
      <w:r>
        <w:t xml:space="preserve">following </w:t>
      </w:r>
      <w:r w:rsidRPr="00D122A6">
        <w:t>items</w:t>
      </w:r>
      <w:r>
        <w:t xml:space="preserve">: vacuum cleaner, car, washing machine, refrigerator, cell phone, iron and television. </w:t>
      </w:r>
    </w:p>
  </w:footnote>
  <w:footnote w:id="16">
    <w:p w14:paraId="10448DD6" w14:textId="77777777" w:rsidR="002E7E63" w:rsidRDefault="002E7E63" w:rsidP="001B0B74">
      <w:pPr>
        <w:pStyle w:val="FootnoteText"/>
        <w:jc w:val="both"/>
      </w:pPr>
      <w:r>
        <w:rPr>
          <w:rStyle w:val="FootnoteReference"/>
        </w:rPr>
        <w:footnoteRef/>
      </w:r>
      <w:r>
        <w:t xml:space="preserve"> </w:t>
      </w:r>
      <w:r w:rsidRPr="001B0B74">
        <w:t>Households are deemed to be experiencing housing deprivation if they experience at least two major housin</w:t>
      </w:r>
      <w:r>
        <w:t>g problems from the following list: leaking roof, damaged floors or walls, earth floor, dwelling is damp, broken windows, insufficient light, noise and dwelling is too small. Moreover, dwelling condition should be</w:t>
      </w:r>
      <w:r w:rsidRPr="001B0B74">
        <w:t xml:space="preserve"> confirmed by the interviewer to be in bad or very bad condition</w:t>
      </w:r>
      <w:r>
        <w:t xml:space="preserve">. </w:t>
      </w:r>
    </w:p>
  </w:footnote>
  <w:footnote w:id="17">
    <w:p w14:paraId="3101F201" w14:textId="77777777" w:rsidR="002E7E63" w:rsidRPr="005D7C2E" w:rsidRDefault="002E7E63" w:rsidP="005D7C2E">
      <w:pPr>
        <w:autoSpaceDE w:val="0"/>
        <w:autoSpaceDN w:val="0"/>
        <w:adjustRightInd w:val="0"/>
        <w:spacing w:after="0" w:line="240" w:lineRule="auto"/>
        <w:jc w:val="both"/>
        <w:rPr>
          <w:rFonts w:ascii="Calibri" w:hAnsi="Calibri" w:cs="Calibri"/>
          <w:sz w:val="22"/>
          <w:szCs w:val="22"/>
        </w:rPr>
      </w:pPr>
      <w:r>
        <w:rPr>
          <w:rStyle w:val="FootnoteReference"/>
        </w:rPr>
        <w:footnoteRef/>
      </w:r>
      <w:r>
        <w:t xml:space="preserve"> </w:t>
      </w:r>
      <w:r w:rsidRPr="005D7C2E">
        <w:rPr>
          <w:rFonts w:ascii="Calibri" w:hAnsi="Calibri" w:cs="Calibri"/>
          <w:sz w:val="20"/>
          <w:szCs w:val="20"/>
        </w:rPr>
        <w:t>Subjective poverty is based on the self-assessment of households. Households are considered subjectively poor if they state that either they cannot provide enough food for themselves, or that they feed themselves so poorly that their health is endangered.</w:t>
      </w:r>
      <w:r>
        <w:rPr>
          <w:rFonts w:ascii="Calibri" w:hAnsi="Calibri" w:cs="Calibri"/>
          <w:sz w:val="22"/>
          <w:szCs w:val="22"/>
        </w:rPr>
        <w:t xml:space="preserve"> </w:t>
      </w:r>
    </w:p>
  </w:footnote>
  <w:footnote w:id="18">
    <w:p w14:paraId="32ADF119" w14:textId="77777777" w:rsidR="002E7E63" w:rsidRDefault="002E7E63" w:rsidP="00B21ED0">
      <w:pPr>
        <w:pStyle w:val="FootnoteText"/>
        <w:jc w:val="both"/>
      </w:pPr>
      <w:r>
        <w:rPr>
          <w:rStyle w:val="FootnoteReference"/>
        </w:rPr>
        <w:footnoteRef/>
      </w:r>
      <w:r>
        <w:t xml:space="preserve"> A household is regards as socially excluded if it experiences at least three out of the following exclusion aspects: incomplete education, no land ownership or employment, lack of access to healthcare, lack of access to credit and lack of access to social assistance. </w:t>
      </w:r>
    </w:p>
  </w:footnote>
  <w:footnote w:id="19">
    <w:p w14:paraId="560712AA" w14:textId="77777777" w:rsidR="002E7E63" w:rsidRPr="00942B64" w:rsidRDefault="002E7E63" w:rsidP="00942B64">
      <w:pPr>
        <w:autoSpaceDE w:val="0"/>
        <w:autoSpaceDN w:val="0"/>
        <w:adjustRightInd w:val="0"/>
        <w:spacing w:after="0" w:line="240" w:lineRule="auto"/>
        <w:jc w:val="both"/>
        <w:rPr>
          <w:rFonts w:ascii="Calibri" w:hAnsi="Calibri" w:cs="Calibri"/>
          <w:sz w:val="20"/>
          <w:szCs w:val="20"/>
        </w:rPr>
      </w:pPr>
      <w:r>
        <w:rPr>
          <w:rStyle w:val="FootnoteReference"/>
        </w:rPr>
        <w:footnoteRef/>
      </w:r>
      <w:r>
        <w:t xml:space="preserve"> </w:t>
      </w:r>
      <w:r w:rsidRPr="00942B64">
        <w:rPr>
          <w:rFonts w:ascii="Calibri" w:hAnsi="Calibri" w:cs="Calibri"/>
          <w:sz w:val="20"/>
          <w:szCs w:val="20"/>
        </w:rPr>
        <w:t>Expenditures on healthcare covers emergency medical assistance</w:t>
      </w:r>
      <w:r>
        <w:rPr>
          <w:rFonts w:ascii="Calibri" w:hAnsi="Calibri" w:cs="Calibri"/>
          <w:sz w:val="20"/>
          <w:szCs w:val="20"/>
        </w:rPr>
        <w:t xml:space="preserve"> </w:t>
      </w:r>
      <w:r w:rsidRPr="00942B64">
        <w:rPr>
          <w:rFonts w:ascii="Calibri" w:hAnsi="Calibri" w:cs="Calibri"/>
          <w:sz w:val="20"/>
          <w:szCs w:val="20"/>
        </w:rPr>
        <w:t xml:space="preserve">(including transportation costs), visits to doctors, medical procedures, surgical operations, hospital services, maternity care fees, women’s consultations, regular checkups, </w:t>
      </w:r>
      <w:r>
        <w:rPr>
          <w:rFonts w:ascii="Calibri" w:hAnsi="Calibri" w:cs="Calibri"/>
          <w:sz w:val="20"/>
          <w:szCs w:val="20"/>
        </w:rPr>
        <w:t xml:space="preserve">immunization costs, nursing and </w:t>
      </w:r>
      <w:r w:rsidRPr="00942B64">
        <w:rPr>
          <w:rFonts w:ascii="Calibri" w:hAnsi="Calibri" w:cs="Calibri"/>
          <w:sz w:val="20"/>
          <w:szCs w:val="20"/>
        </w:rPr>
        <w:t>care fees, purchase of medicines, medical insurance premiums and other informal costs</w:t>
      </w:r>
      <w:r>
        <w:rPr>
          <w:rFonts w:ascii="Calibri" w:hAnsi="Calibri" w:cs="Calibri"/>
          <w:sz w:val="20"/>
          <w:szCs w:val="20"/>
        </w:rPr>
        <w:t xml:space="preserve">. </w:t>
      </w:r>
    </w:p>
  </w:footnote>
  <w:footnote w:id="20">
    <w:p w14:paraId="6863E1A4" w14:textId="77777777" w:rsidR="002E7E63" w:rsidRPr="00B10722" w:rsidRDefault="002E7E63" w:rsidP="00B10722">
      <w:pPr>
        <w:autoSpaceDE w:val="0"/>
        <w:autoSpaceDN w:val="0"/>
        <w:adjustRightInd w:val="0"/>
        <w:spacing w:after="0" w:line="240" w:lineRule="auto"/>
        <w:jc w:val="both"/>
        <w:rPr>
          <w:rFonts w:ascii="Calibri" w:hAnsi="Calibri" w:cs="Calibri"/>
          <w:sz w:val="20"/>
          <w:szCs w:val="20"/>
        </w:rPr>
      </w:pPr>
      <w:r>
        <w:rPr>
          <w:rStyle w:val="FootnoteReference"/>
        </w:rPr>
        <w:footnoteRef/>
      </w:r>
      <w:r w:rsidRPr="00B10722">
        <w:rPr>
          <w:rFonts w:ascii="Calibri" w:hAnsi="Calibri" w:cs="Calibri"/>
          <w:sz w:val="20"/>
          <w:szCs w:val="20"/>
        </w:rPr>
        <w:t>The costs of healthcare in a household are defined as ‘catastrophic’ if they constitute over 10 percent</w:t>
      </w:r>
      <w:r>
        <w:rPr>
          <w:rFonts w:ascii="Calibri" w:hAnsi="Calibri" w:cs="Calibri"/>
          <w:sz w:val="20"/>
          <w:szCs w:val="20"/>
        </w:rPr>
        <w:t xml:space="preserve"> </w:t>
      </w:r>
      <w:r w:rsidRPr="00B10722">
        <w:rPr>
          <w:rFonts w:ascii="Calibri" w:hAnsi="Calibri" w:cs="Calibri"/>
          <w:sz w:val="20"/>
          <w:szCs w:val="20"/>
        </w:rPr>
        <w:t>of total household consumption, or over 25 percent of household non-food consumption.</w:t>
      </w:r>
    </w:p>
  </w:footnote>
  <w:footnote w:id="21">
    <w:p w14:paraId="5AD44145" w14:textId="77777777" w:rsidR="002E7E63" w:rsidRDefault="002E7E63" w:rsidP="00D47706">
      <w:pPr>
        <w:pStyle w:val="FootnoteText"/>
        <w:jc w:val="both"/>
      </w:pPr>
      <w:r>
        <w:rPr>
          <w:rStyle w:val="FootnoteReference"/>
        </w:rPr>
        <w:footnoteRef/>
      </w:r>
      <w:r>
        <w:t xml:space="preserve"> Inadequate care - defined as children left alone or in the care of another child younger than 10 years of age more than one hour or at least once in the past week.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000BD" w14:textId="77777777" w:rsidR="002E7E63" w:rsidRDefault="002E7E63">
    <w:pPr>
      <w:pStyle w:val="Header"/>
    </w:pPr>
    <w:r>
      <w:rPr>
        <w:rFonts w:ascii="Sylfaen" w:hAnsi="Sylfaen"/>
        <w:color w:val="1F497D"/>
        <w:sz w:val="18"/>
        <w:szCs w:val="18"/>
        <w:lang w:val="ka-GE"/>
      </w:rPr>
      <w:t xml:space="preserve">                                                                                                                                                                                         </w:t>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Pr>
        <w:rFonts w:ascii="Optima" w:hAnsi="Optima"/>
        <w:color w:val="1F497D"/>
        <w:sz w:val="18"/>
        <w:szCs w:val="18"/>
      </w:rPr>
      <w:fldChar w:fldCharType="begin"/>
    </w:r>
    <w:r>
      <w:rPr>
        <w:rFonts w:ascii="Optima" w:hAnsi="Optima"/>
        <w:color w:val="1F497D"/>
        <w:sz w:val="18"/>
        <w:szCs w:val="18"/>
      </w:rPr>
      <w:instrText xml:space="preserve"> INCLUDEPICTURE  "cid:image001.png@01D1B5D2.D8981460" \* MERGEFORMATINET </w:instrText>
    </w:r>
    <w:r>
      <w:rPr>
        <w:rFonts w:ascii="Optima" w:hAnsi="Optima"/>
        <w:color w:val="1F497D"/>
        <w:sz w:val="18"/>
        <w:szCs w:val="18"/>
      </w:rPr>
      <w:fldChar w:fldCharType="separate"/>
    </w:r>
    <w:r w:rsidR="009C0846">
      <w:rPr>
        <w:rFonts w:ascii="Optima" w:hAnsi="Optima"/>
        <w:color w:val="1F497D"/>
        <w:sz w:val="18"/>
        <w:szCs w:val="18"/>
      </w:rPr>
      <w:fldChar w:fldCharType="begin"/>
    </w:r>
    <w:r w:rsidR="009C0846">
      <w:rPr>
        <w:rFonts w:ascii="Optima" w:hAnsi="Optima"/>
        <w:color w:val="1F497D"/>
        <w:sz w:val="18"/>
        <w:szCs w:val="18"/>
      </w:rPr>
      <w:instrText xml:space="preserve"> INCLUDEPICTURE  "cid:image001.png@01D1B5D2.D8981460" \* MERGEFORMATINET </w:instrText>
    </w:r>
    <w:r w:rsidR="009C0846">
      <w:rPr>
        <w:rFonts w:ascii="Optima" w:hAnsi="Optima"/>
        <w:color w:val="1F497D"/>
        <w:sz w:val="18"/>
        <w:szCs w:val="18"/>
      </w:rPr>
      <w:fldChar w:fldCharType="separate"/>
    </w:r>
    <w:r w:rsidR="006A5A05">
      <w:rPr>
        <w:rFonts w:ascii="Optima" w:hAnsi="Optima"/>
        <w:color w:val="1F497D"/>
        <w:sz w:val="18"/>
        <w:szCs w:val="18"/>
      </w:rPr>
      <w:fldChar w:fldCharType="begin"/>
    </w:r>
    <w:r w:rsidR="006A5A05">
      <w:rPr>
        <w:rFonts w:ascii="Optima" w:hAnsi="Optima"/>
        <w:color w:val="1F497D"/>
        <w:sz w:val="18"/>
        <w:szCs w:val="18"/>
      </w:rPr>
      <w:instrText xml:space="preserve"> INCLUDEPICTURE  "cid:image001.png@01D1B5D2.D8981460" \* MERGEFORMATINET </w:instrText>
    </w:r>
    <w:r w:rsidR="006A5A05">
      <w:rPr>
        <w:rFonts w:ascii="Optima" w:hAnsi="Optima"/>
        <w:color w:val="1F497D"/>
        <w:sz w:val="18"/>
        <w:szCs w:val="18"/>
      </w:rPr>
      <w:fldChar w:fldCharType="separate"/>
    </w:r>
    <w:r w:rsidR="00231566">
      <w:rPr>
        <w:rFonts w:ascii="Optima" w:hAnsi="Optima"/>
        <w:color w:val="1F497D"/>
        <w:sz w:val="18"/>
        <w:szCs w:val="18"/>
      </w:rPr>
      <w:fldChar w:fldCharType="begin"/>
    </w:r>
    <w:r w:rsidR="00231566">
      <w:rPr>
        <w:rFonts w:ascii="Optima" w:hAnsi="Optima"/>
        <w:color w:val="1F497D"/>
        <w:sz w:val="18"/>
        <w:szCs w:val="18"/>
      </w:rPr>
      <w:instrText xml:space="preserve"> INCLUDEPICTURE  "cid:image001.png@01D1B5D2.D8981460" \* MERGEFORMATINET </w:instrText>
    </w:r>
    <w:r w:rsidR="00231566">
      <w:rPr>
        <w:rFonts w:ascii="Optima" w:hAnsi="Optima"/>
        <w:color w:val="1F497D"/>
        <w:sz w:val="18"/>
        <w:szCs w:val="18"/>
      </w:rPr>
      <w:fldChar w:fldCharType="separate"/>
    </w:r>
    <w:r w:rsidR="00303514">
      <w:rPr>
        <w:rFonts w:ascii="Optima" w:hAnsi="Optima"/>
        <w:color w:val="1F497D"/>
        <w:sz w:val="18"/>
        <w:szCs w:val="18"/>
      </w:rPr>
      <w:fldChar w:fldCharType="begin"/>
    </w:r>
    <w:r w:rsidR="00303514">
      <w:rPr>
        <w:rFonts w:ascii="Optima" w:hAnsi="Optima"/>
        <w:color w:val="1F497D"/>
        <w:sz w:val="18"/>
        <w:szCs w:val="18"/>
      </w:rPr>
      <w:instrText xml:space="preserve"> INCLUDEPICTURE  "cid:image001.png@01D1B5D2.D8981460" \* MERGEFORMATINET </w:instrText>
    </w:r>
    <w:r w:rsidR="00303514">
      <w:rPr>
        <w:rFonts w:ascii="Optima" w:hAnsi="Optima"/>
        <w:color w:val="1F497D"/>
        <w:sz w:val="18"/>
        <w:szCs w:val="18"/>
      </w:rPr>
      <w:fldChar w:fldCharType="separate"/>
    </w:r>
    <w:r w:rsidR="00B411B9">
      <w:rPr>
        <w:rFonts w:ascii="Optima" w:hAnsi="Optima"/>
        <w:color w:val="1F497D"/>
        <w:sz w:val="18"/>
        <w:szCs w:val="18"/>
      </w:rPr>
      <w:fldChar w:fldCharType="begin"/>
    </w:r>
    <w:r w:rsidR="00B411B9">
      <w:rPr>
        <w:rFonts w:ascii="Optima" w:hAnsi="Optima"/>
        <w:color w:val="1F497D"/>
        <w:sz w:val="18"/>
        <w:szCs w:val="18"/>
      </w:rPr>
      <w:instrText xml:space="preserve"> INCLUDEPICTURE  "cid:image001.png@01D1B5D2.D8981460" \* MERGEFORMATINET </w:instrText>
    </w:r>
    <w:r w:rsidR="00B411B9">
      <w:rPr>
        <w:rFonts w:ascii="Optima" w:hAnsi="Optima"/>
        <w:color w:val="1F497D"/>
        <w:sz w:val="18"/>
        <w:szCs w:val="18"/>
      </w:rPr>
      <w:fldChar w:fldCharType="separate"/>
    </w:r>
    <w:r w:rsidR="000C378A">
      <w:rPr>
        <w:rFonts w:ascii="Optima" w:hAnsi="Optima"/>
        <w:color w:val="1F497D"/>
        <w:sz w:val="18"/>
        <w:szCs w:val="18"/>
      </w:rPr>
      <w:fldChar w:fldCharType="begin"/>
    </w:r>
    <w:r w:rsidR="000C378A">
      <w:rPr>
        <w:rFonts w:ascii="Optima" w:hAnsi="Optima"/>
        <w:color w:val="1F497D"/>
        <w:sz w:val="18"/>
        <w:szCs w:val="18"/>
      </w:rPr>
      <w:instrText xml:space="preserve"> </w:instrText>
    </w:r>
    <w:r w:rsidR="000C378A">
      <w:rPr>
        <w:rFonts w:ascii="Optima" w:hAnsi="Optima"/>
        <w:color w:val="1F497D"/>
        <w:sz w:val="18"/>
        <w:szCs w:val="18"/>
      </w:rPr>
      <w:instrText>INCLUDEPICTURE  "cid:image001.png@01D1B5D2.D8981460" \* MERGEFORMATINET</w:instrText>
    </w:r>
    <w:r w:rsidR="000C378A">
      <w:rPr>
        <w:rFonts w:ascii="Optima" w:hAnsi="Optima"/>
        <w:color w:val="1F497D"/>
        <w:sz w:val="18"/>
        <w:szCs w:val="18"/>
      </w:rPr>
      <w:instrText xml:space="preserve"> </w:instrText>
    </w:r>
    <w:r w:rsidR="000C378A">
      <w:rPr>
        <w:rFonts w:ascii="Optima" w:hAnsi="Optima"/>
        <w:color w:val="1F497D"/>
        <w:sz w:val="18"/>
        <w:szCs w:val="18"/>
      </w:rPr>
      <w:fldChar w:fldCharType="separate"/>
    </w:r>
    <w:r w:rsidR="00105440">
      <w:rPr>
        <w:rFonts w:ascii="Optima" w:hAnsi="Optima"/>
        <w:color w:val="1F497D"/>
        <w:sz w:val="18"/>
        <w:szCs w:val="18"/>
      </w:rPr>
      <w:pict w14:anchorId="70A01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47.25pt;height:66pt">
          <v:imagedata r:id="rId1" r:href="rId2"/>
        </v:shape>
      </w:pict>
    </w:r>
    <w:r w:rsidR="000C378A">
      <w:rPr>
        <w:rFonts w:ascii="Optima" w:hAnsi="Optima"/>
        <w:color w:val="1F497D"/>
        <w:sz w:val="18"/>
        <w:szCs w:val="18"/>
      </w:rPr>
      <w:fldChar w:fldCharType="end"/>
    </w:r>
    <w:r w:rsidR="00B411B9">
      <w:rPr>
        <w:rFonts w:ascii="Optima" w:hAnsi="Optima"/>
        <w:color w:val="1F497D"/>
        <w:sz w:val="18"/>
        <w:szCs w:val="18"/>
      </w:rPr>
      <w:fldChar w:fldCharType="end"/>
    </w:r>
    <w:r w:rsidR="00303514">
      <w:rPr>
        <w:rFonts w:ascii="Optima" w:hAnsi="Optima"/>
        <w:color w:val="1F497D"/>
        <w:sz w:val="18"/>
        <w:szCs w:val="18"/>
      </w:rPr>
      <w:fldChar w:fldCharType="end"/>
    </w:r>
    <w:r w:rsidR="00231566">
      <w:rPr>
        <w:rFonts w:ascii="Optima" w:hAnsi="Optima"/>
        <w:color w:val="1F497D"/>
        <w:sz w:val="18"/>
        <w:szCs w:val="18"/>
      </w:rPr>
      <w:fldChar w:fldCharType="end"/>
    </w:r>
    <w:r w:rsidR="006A5A05">
      <w:rPr>
        <w:rFonts w:ascii="Optima" w:hAnsi="Optima"/>
        <w:color w:val="1F497D"/>
        <w:sz w:val="18"/>
        <w:szCs w:val="18"/>
      </w:rPr>
      <w:fldChar w:fldCharType="end"/>
    </w:r>
    <w:r w:rsidR="009C0846">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rFonts w:ascii="Optima" w:hAnsi="Optima"/>
        <w:color w:val="1F497D"/>
        <w:sz w:val="18"/>
        <w:szCs w:val="18"/>
      </w:rPr>
      <w:fldChar w:fldCharType="end"/>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646"/>
    <w:multiLevelType w:val="multilevel"/>
    <w:tmpl w:val="C212CC7A"/>
    <w:styleLink w:val="Style1"/>
    <w:lvl w:ilvl="0">
      <w:start w:val="1"/>
      <w:numFmt w:val="decimal"/>
      <w:lvlText w:val="%1."/>
      <w:lvlJc w:val="left"/>
      <w:pPr>
        <w:ind w:left="720" w:hanging="360"/>
      </w:pPr>
      <w:rPr>
        <w:rFonts w:eastAsia="Calibri"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D56B25"/>
    <w:multiLevelType w:val="multilevel"/>
    <w:tmpl w:val="7EB6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80B64"/>
    <w:multiLevelType w:val="multilevel"/>
    <w:tmpl w:val="6A20C90C"/>
    <w:styleLink w:val="Styl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A21B75"/>
    <w:multiLevelType w:val="multilevel"/>
    <w:tmpl w:val="4592670A"/>
    <w:lvl w:ilvl="0">
      <w:start w:val="1"/>
      <w:numFmt w:val="decimal"/>
      <w:lvlText w:val="%1."/>
      <w:lvlJc w:val="left"/>
      <w:pPr>
        <w:ind w:left="360" w:hanging="360"/>
      </w:pPr>
      <w:rPr>
        <w:rFonts w:eastAsia="Calibri" w:hint="default"/>
        <w:sz w:val="28"/>
        <w:szCs w:val="28"/>
      </w:rPr>
    </w:lvl>
    <w:lvl w:ilvl="1">
      <w:start w:val="2"/>
      <w:numFmt w:val="none"/>
      <w:pStyle w:val="Heading2"/>
      <w:isLgl/>
      <w:lvlText w:val="2.7"/>
      <w:lvlJc w:val="left"/>
      <w:pPr>
        <w:ind w:left="36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C91F47"/>
    <w:multiLevelType w:val="multilevel"/>
    <w:tmpl w:val="1C6E29B0"/>
    <w:lvl w:ilvl="0">
      <w:start w:val="1"/>
      <w:numFmt w:val="decimal"/>
      <w:pStyle w:val="Heading1"/>
      <w:lvlText w:val="%1."/>
      <w:lvlJc w:val="left"/>
      <w:pPr>
        <w:ind w:left="360" w:hanging="360"/>
      </w:pPr>
      <w:rPr>
        <w:rFonts w:hint="default"/>
        <w:b w:val="0"/>
        <w:i w:val="0"/>
        <w:sz w:val="28"/>
        <w:szCs w:val="28"/>
      </w:rPr>
    </w:lvl>
    <w:lvl w:ilvl="1">
      <w:start w:val="3"/>
      <w:numFmt w:val="decimal"/>
      <w:isLgl/>
      <w:lvlText w:val="%1.%2"/>
      <w:lvlJc w:val="left"/>
      <w:pPr>
        <w:ind w:left="36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B00069"/>
    <w:multiLevelType w:val="multilevel"/>
    <w:tmpl w:val="AFE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C3"/>
    <w:rsid w:val="0000105E"/>
    <w:rsid w:val="00001122"/>
    <w:rsid w:val="00001586"/>
    <w:rsid w:val="00001EF1"/>
    <w:rsid w:val="00002C3A"/>
    <w:rsid w:val="00002CCD"/>
    <w:rsid w:val="00002DB9"/>
    <w:rsid w:val="00002DFF"/>
    <w:rsid w:val="000030E8"/>
    <w:rsid w:val="00003D6E"/>
    <w:rsid w:val="00004770"/>
    <w:rsid w:val="0000521C"/>
    <w:rsid w:val="00005C7E"/>
    <w:rsid w:val="00005E1A"/>
    <w:rsid w:val="000063BD"/>
    <w:rsid w:val="00007573"/>
    <w:rsid w:val="00007BA0"/>
    <w:rsid w:val="00010F04"/>
    <w:rsid w:val="00012B8E"/>
    <w:rsid w:val="00012C02"/>
    <w:rsid w:val="00013F1D"/>
    <w:rsid w:val="000146EE"/>
    <w:rsid w:val="00014D13"/>
    <w:rsid w:val="00015114"/>
    <w:rsid w:val="0001518C"/>
    <w:rsid w:val="00016519"/>
    <w:rsid w:val="000166AC"/>
    <w:rsid w:val="00020AF1"/>
    <w:rsid w:val="00020DC9"/>
    <w:rsid w:val="00020EA1"/>
    <w:rsid w:val="00021A77"/>
    <w:rsid w:val="000220FF"/>
    <w:rsid w:val="00023596"/>
    <w:rsid w:val="000235DF"/>
    <w:rsid w:val="00023BF1"/>
    <w:rsid w:val="00023F21"/>
    <w:rsid w:val="00024237"/>
    <w:rsid w:val="00024550"/>
    <w:rsid w:val="00025F96"/>
    <w:rsid w:val="000262D3"/>
    <w:rsid w:val="00026841"/>
    <w:rsid w:val="000272F1"/>
    <w:rsid w:val="00030390"/>
    <w:rsid w:val="00030877"/>
    <w:rsid w:val="00030C70"/>
    <w:rsid w:val="000314BC"/>
    <w:rsid w:val="00031659"/>
    <w:rsid w:val="000320E7"/>
    <w:rsid w:val="00032221"/>
    <w:rsid w:val="00032407"/>
    <w:rsid w:val="00032FD1"/>
    <w:rsid w:val="000337C8"/>
    <w:rsid w:val="000348F8"/>
    <w:rsid w:val="00034955"/>
    <w:rsid w:val="00035442"/>
    <w:rsid w:val="0003578F"/>
    <w:rsid w:val="00035F1A"/>
    <w:rsid w:val="000360AC"/>
    <w:rsid w:val="000364B9"/>
    <w:rsid w:val="000365FE"/>
    <w:rsid w:val="00036B96"/>
    <w:rsid w:val="00036F52"/>
    <w:rsid w:val="0003733F"/>
    <w:rsid w:val="00037C94"/>
    <w:rsid w:val="00040215"/>
    <w:rsid w:val="0004055C"/>
    <w:rsid w:val="000405E3"/>
    <w:rsid w:val="0004066D"/>
    <w:rsid w:val="00043573"/>
    <w:rsid w:val="000436A4"/>
    <w:rsid w:val="00045078"/>
    <w:rsid w:val="0004583F"/>
    <w:rsid w:val="00046EA7"/>
    <w:rsid w:val="00050032"/>
    <w:rsid w:val="00050063"/>
    <w:rsid w:val="00050B62"/>
    <w:rsid w:val="000511C2"/>
    <w:rsid w:val="00053390"/>
    <w:rsid w:val="00053AAA"/>
    <w:rsid w:val="00054730"/>
    <w:rsid w:val="000561DB"/>
    <w:rsid w:val="00057595"/>
    <w:rsid w:val="00060497"/>
    <w:rsid w:val="00060D3C"/>
    <w:rsid w:val="00060E74"/>
    <w:rsid w:val="00062A8F"/>
    <w:rsid w:val="00062EED"/>
    <w:rsid w:val="00063B93"/>
    <w:rsid w:val="00063CFE"/>
    <w:rsid w:val="00064A46"/>
    <w:rsid w:val="00064AF3"/>
    <w:rsid w:val="00065002"/>
    <w:rsid w:val="000652AF"/>
    <w:rsid w:val="00065361"/>
    <w:rsid w:val="00065EFA"/>
    <w:rsid w:val="0006638B"/>
    <w:rsid w:val="000665F4"/>
    <w:rsid w:val="00067168"/>
    <w:rsid w:val="0007030B"/>
    <w:rsid w:val="00070738"/>
    <w:rsid w:val="000707CA"/>
    <w:rsid w:val="00071052"/>
    <w:rsid w:val="00071824"/>
    <w:rsid w:val="000731E7"/>
    <w:rsid w:val="00074681"/>
    <w:rsid w:val="00075765"/>
    <w:rsid w:val="00076342"/>
    <w:rsid w:val="00077546"/>
    <w:rsid w:val="00077798"/>
    <w:rsid w:val="000802FE"/>
    <w:rsid w:val="000804A5"/>
    <w:rsid w:val="0008148F"/>
    <w:rsid w:val="00081A0E"/>
    <w:rsid w:val="00082278"/>
    <w:rsid w:val="00083D38"/>
    <w:rsid w:val="00083FD5"/>
    <w:rsid w:val="0008417E"/>
    <w:rsid w:val="00084A88"/>
    <w:rsid w:val="000850D4"/>
    <w:rsid w:val="000852C5"/>
    <w:rsid w:val="000857E8"/>
    <w:rsid w:val="00086312"/>
    <w:rsid w:val="00086341"/>
    <w:rsid w:val="00086F70"/>
    <w:rsid w:val="00086FE7"/>
    <w:rsid w:val="0008740A"/>
    <w:rsid w:val="000875A1"/>
    <w:rsid w:val="000877FD"/>
    <w:rsid w:val="0009166E"/>
    <w:rsid w:val="000916B4"/>
    <w:rsid w:val="00091A62"/>
    <w:rsid w:val="00092698"/>
    <w:rsid w:val="00092E35"/>
    <w:rsid w:val="000940CC"/>
    <w:rsid w:val="000951EB"/>
    <w:rsid w:val="00095D6C"/>
    <w:rsid w:val="00097252"/>
    <w:rsid w:val="000A224B"/>
    <w:rsid w:val="000A29C4"/>
    <w:rsid w:val="000A2BDE"/>
    <w:rsid w:val="000A2D47"/>
    <w:rsid w:val="000A3043"/>
    <w:rsid w:val="000A3F66"/>
    <w:rsid w:val="000A4DBA"/>
    <w:rsid w:val="000A5910"/>
    <w:rsid w:val="000A5F1B"/>
    <w:rsid w:val="000A63DB"/>
    <w:rsid w:val="000A66BF"/>
    <w:rsid w:val="000A6D06"/>
    <w:rsid w:val="000A6E89"/>
    <w:rsid w:val="000A6EC0"/>
    <w:rsid w:val="000A7068"/>
    <w:rsid w:val="000A70E4"/>
    <w:rsid w:val="000A73A6"/>
    <w:rsid w:val="000B00AE"/>
    <w:rsid w:val="000B01F0"/>
    <w:rsid w:val="000B11DC"/>
    <w:rsid w:val="000B207F"/>
    <w:rsid w:val="000B219C"/>
    <w:rsid w:val="000B238F"/>
    <w:rsid w:val="000B248A"/>
    <w:rsid w:val="000B2521"/>
    <w:rsid w:val="000B2809"/>
    <w:rsid w:val="000B2C6A"/>
    <w:rsid w:val="000B4A33"/>
    <w:rsid w:val="000B4AB1"/>
    <w:rsid w:val="000B51D4"/>
    <w:rsid w:val="000B551F"/>
    <w:rsid w:val="000B5AE3"/>
    <w:rsid w:val="000B637B"/>
    <w:rsid w:val="000B6D36"/>
    <w:rsid w:val="000B744D"/>
    <w:rsid w:val="000B799A"/>
    <w:rsid w:val="000C084A"/>
    <w:rsid w:val="000C0A70"/>
    <w:rsid w:val="000C0A7E"/>
    <w:rsid w:val="000C1A98"/>
    <w:rsid w:val="000C29ED"/>
    <w:rsid w:val="000C2D1A"/>
    <w:rsid w:val="000C3031"/>
    <w:rsid w:val="000C31BF"/>
    <w:rsid w:val="000C3648"/>
    <w:rsid w:val="000C378A"/>
    <w:rsid w:val="000C387E"/>
    <w:rsid w:val="000C3F1A"/>
    <w:rsid w:val="000C4A99"/>
    <w:rsid w:val="000C4F4B"/>
    <w:rsid w:val="000C57F9"/>
    <w:rsid w:val="000C58E9"/>
    <w:rsid w:val="000C5EF4"/>
    <w:rsid w:val="000C5FD8"/>
    <w:rsid w:val="000C6559"/>
    <w:rsid w:val="000C6717"/>
    <w:rsid w:val="000C788B"/>
    <w:rsid w:val="000D04CF"/>
    <w:rsid w:val="000D114D"/>
    <w:rsid w:val="000D1A2B"/>
    <w:rsid w:val="000D23D3"/>
    <w:rsid w:val="000D2789"/>
    <w:rsid w:val="000D2A1F"/>
    <w:rsid w:val="000D2A80"/>
    <w:rsid w:val="000D2D35"/>
    <w:rsid w:val="000D2F5E"/>
    <w:rsid w:val="000D3D7E"/>
    <w:rsid w:val="000D3DCC"/>
    <w:rsid w:val="000D4930"/>
    <w:rsid w:val="000D4972"/>
    <w:rsid w:val="000D513D"/>
    <w:rsid w:val="000D527C"/>
    <w:rsid w:val="000D5BE9"/>
    <w:rsid w:val="000D608D"/>
    <w:rsid w:val="000D6588"/>
    <w:rsid w:val="000D72E4"/>
    <w:rsid w:val="000D795A"/>
    <w:rsid w:val="000D7D21"/>
    <w:rsid w:val="000D7EA7"/>
    <w:rsid w:val="000E027F"/>
    <w:rsid w:val="000E0C0A"/>
    <w:rsid w:val="000E14D0"/>
    <w:rsid w:val="000E161D"/>
    <w:rsid w:val="000E2122"/>
    <w:rsid w:val="000E3BCA"/>
    <w:rsid w:val="000E558C"/>
    <w:rsid w:val="000E62F3"/>
    <w:rsid w:val="000E645F"/>
    <w:rsid w:val="000E7B3C"/>
    <w:rsid w:val="000F0056"/>
    <w:rsid w:val="000F0552"/>
    <w:rsid w:val="000F05F9"/>
    <w:rsid w:val="000F0A95"/>
    <w:rsid w:val="000F0B09"/>
    <w:rsid w:val="000F0D20"/>
    <w:rsid w:val="000F1066"/>
    <w:rsid w:val="000F109D"/>
    <w:rsid w:val="000F11C6"/>
    <w:rsid w:val="000F12CD"/>
    <w:rsid w:val="000F1D0B"/>
    <w:rsid w:val="000F1F50"/>
    <w:rsid w:val="000F202F"/>
    <w:rsid w:val="000F20C9"/>
    <w:rsid w:val="000F22C2"/>
    <w:rsid w:val="000F259A"/>
    <w:rsid w:val="000F2908"/>
    <w:rsid w:val="000F3022"/>
    <w:rsid w:val="000F3BD8"/>
    <w:rsid w:val="000F3E5D"/>
    <w:rsid w:val="000F494E"/>
    <w:rsid w:val="000F49C8"/>
    <w:rsid w:val="000F4DCE"/>
    <w:rsid w:val="000F4F89"/>
    <w:rsid w:val="000F584B"/>
    <w:rsid w:val="000F63BD"/>
    <w:rsid w:val="000F7B35"/>
    <w:rsid w:val="001006C4"/>
    <w:rsid w:val="00101A3B"/>
    <w:rsid w:val="00102365"/>
    <w:rsid w:val="00103852"/>
    <w:rsid w:val="00104196"/>
    <w:rsid w:val="0010428A"/>
    <w:rsid w:val="001043FA"/>
    <w:rsid w:val="001049A8"/>
    <w:rsid w:val="00105111"/>
    <w:rsid w:val="00105440"/>
    <w:rsid w:val="0010693E"/>
    <w:rsid w:val="00106989"/>
    <w:rsid w:val="00106D3F"/>
    <w:rsid w:val="001076F6"/>
    <w:rsid w:val="001114AC"/>
    <w:rsid w:val="0011222A"/>
    <w:rsid w:val="001125B1"/>
    <w:rsid w:val="00113637"/>
    <w:rsid w:val="0011392B"/>
    <w:rsid w:val="00114016"/>
    <w:rsid w:val="001141AB"/>
    <w:rsid w:val="00114EE6"/>
    <w:rsid w:val="0011520C"/>
    <w:rsid w:val="00115487"/>
    <w:rsid w:val="001156E9"/>
    <w:rsid w:val="00115796"/>
    <w:rsid w:val="00115C1F"/>
    <w:rsid w:val="001169FD"/>
    <w:rsid w:val="00117D43"/>
    <w:rsid w:val="0012008A"/>
    <w:rsid w:val="00120713"/>
    <w:rsid w:val="00120B36"/>
    <w:rsid w:val="00120E5E"/>
    <w:rsid w:val="001213CB"/>
    <w:rsid w:val="0012149A"/>
    <w:rsid w:val="0012171C"/>
    <w:rsid w:val="00122254"/>
    <w:rsid w:val="00122539"/>
    <w:rsid w:val="00123A8A"/>
    <w:rsid w:val="00123EA1"/>
    <w:rsid w:val="00124401"/>
    <w:rsid w:val="00124BA1"/>
    <w:rsid w:val="00124C6E"/>
    <w:rsid w:val="00124DD3"/>
    <w:rsid w:val="0012507E"/>
    <w:rsid w:val="00125EC3"/>
    <w:rsid w:val="001270B8"/>
    <w:rsid w:val="001272A7"/>
    <w:rsid w:val="001272AD"/>
    <w:rsid w:val="0012770E"/>
    <w:rsid w:val="001277BF"/>
    <w:rsid w:val="00130422"/>
    <w:rsid w:val="00130996"/>
    <w:rsid w:val="00131183"/>
    <w:rsid w:val="00132241"/>
    <w:rsid w:val="00133726"/>
    <w:rsid w:val="00133D81"/>
    <w:rsid w:val="0013429E"/>
    <w:rsid w:val="00134C03"/>
    <w:rsid w:val="00134CB4"/>
    <w:rsid w:val="00135852"/>
    <w:rsid w:val="00135A21"/>
    <w:rsid w:val="00135B65"/>
    <w:rsid w:val="0013662A"/>
    <w:rsid w:val="00140A57"/>
    <w:rsid w:val="00140ED6"/>
    <w:rsid w:val="00142194"/>
    <w:rsid w:val="00142841"/>
    <w:rsid w:val="00142A63"/>
    <w:rsid w:val="00143059"/>
    <w:rsid w:val="00143064"/>
    <w:rsid w:val="00143409"/>
    <w:rsid w:val="00143826"/>
    <w:rsid w:val="00144764"/>
    <w:rsid w:val="0014484A"/>
    <w:rsid w:val="00144C18"/>
    <w:rsid w:val="00144DCF"/>
    <w:rsid w:val="00144EDB"/>
    <w:rsid w:val="0014538C"/>
    <w:rsid w:val="00145FFB"/>
    <w:rsid w:val="001466BA"/>
    <w:rsid w:val="00146DC0"/>
    <w:rsid w:val="001470FD"/>
    <w:rsid w:val="00147804"/>
    <w:rsid w:val="0014799F"/>
    <w:rsid w:val="00147D56"/>
    <w:rsid w:val="001505EB"/>
    <w:rsid w:val="00150869"/>
    <w:rsid w:val="0015095E"/>
    <w:rsid w:val="00150DDA"/>
    <w:rsid w:val="00151700"/>
    <w:rsid w:val="00151735"/>
    <w:rsid w:val="00151C3C"/>
    <w:rsid w:val="00151E2C"/>
    <w:rsid w:val="00152254"/>
    <w:rsid w:val="001537E5"/>
    <w:rsid w:val="001538D7"/>
    <w:rsid w:val="00153F23"/>
    <w:rsid w:val="00153FA6"/>
    <w:rsid w:val="00154B81"/>
    <w:rsid w:val="0015515B"/>
    <w:rsid w:val="001557BA"/>
    <w:rsid w:val="0015614B"/>
    <w:rsid w:val="0015755F"/>
    <w:rsid w:val="0016118F"/>
    <w:rsid w:val="001614EB"/>
    <w:rsid w:val="00161F7D"/>
    <w:rsid w:val="001629D6"/>
    <w:rsid w:val="00162C7C"/>
    <w:rsid w:val="00163417"/>
    <w:rsid w:val="00163E61"/>
    <w:rsid w:val="00164441"/>
    <w:rsid w:val="00164928"/>
    <w:rsid w:val="0016645E"/>
    <w:rsid w:val="001675EA"/>
    <w:rsid w:val="00171141"/>
    <w:rsid w:val="001712F7"/>
    <w:rsid w:val="00171CCB"/>
    <w:rsid w:val="0017294B"/>
    <w:rsid w:val="00172B11"/>
    <w:rsid w:val="00173253"/>
    <w:rsid w:val="00173C5D"/>
    <w:rsid w:val="00174093"/>
    <w:rsid w:val="001748F1"/>
    <w:rsid w:val="00174AFB"/>
    <w:rsid w:val="00175830"/>
    <w:rsid w:val="00176418"/>
    <w:rsid w:val="0017668D"/>
    <w:rsid w:val="00176756"/>
    <w:rsid w:val="00176763"/>
    <w:rsid w:val="001779B8"/>
    <w:rsid w:val="00177B51"/>
    <w:rsid w:val="0018063F"/>
    <w:rsid w:val="00183293"/>
    <w:rsid w:val="00183957"/>
    <w:rsid w:val="00184066"/>
    <w:rsid w:val="00184245"/>
    <w:rsid w:val="00184DE9"/>
    <w:rsid w:val="00184E70"/>
    <w:rsid w:val="00184FE2"/>
    <w:rsid w:val="00185BEE"/>
    <w:rsid w:val="00186148"/>
    <w:rsid w:val="00186F97"/>
    <w:rsid w:val="001870D6"/>
    <w:rsid w:val="00187DA1"/>
    <w:rsid w:val="00190802"/>
    <w:rsid w:val="00192AC6"/>
    <w:rsid w:val="0019303D"/>
    <w:rsid w:val="001930D8"/>
    <w:rsid w:val="00193BB1"/>
    <w:rsid w:val="00194533"/>
    <w:rsid w:val="0019521F"/>
    <w:rsid w:val="00195FC2"/>
    <w:rsid w:val="0019611A"/>
    <w:rsid w:val="0019710F"/>
    <w:rsid w:val="00197D95"/>
    <w:rsid w:val="001A034D"/>
    <w:rsid w:val="001A0F47"/>
    <w:rsid w:val="001A15F4"/>
    <w:rsid w:val="001A1DDC"/>
    <w:rsid w:val="001A21F6"/>
    <w:rsid w:val="001A2410"/>
    <w:rsid w:val="001A242F"/>
    <w:rsid w:val="001A2D5A"/>
    <w:rsid w:val="001A3706"/>
    <w:rsid w:val="001A3A63"/>
    <w:rsid w:val="001A542C"/>
    <w:rsid w:val="001A5522"/>
    <w:rsid w:val="001A5819"/>
    <w:rsid w:val="001A6683"/>
    <w:rsid w:val="001A6715"/>
    <w:rsid w:val="001A72CF"/>
    <w:rsid w:val="001A7913"/>
    <w:rsid w:val="001B048B"/>
    <w:rsid w:val="001B062F"/>
    <w:rsid w:val="001B0B74"/>
    <w:rsid w:val="001B120E"/>
    <w:rsid w:val="001B1413"/>
    <w:rsid w:val="001B1B97"/>
    <w:rsid w:val="001B336B"/>
    <w:rsid w:val="001B359F"/>
    <w:rsid w:val="001B516E"/>
    <w:rsid w:val="001B558C"/>
    <w:rsid w:val="001B5F73"/>
    <w:rsid w:val="001B642B"/>
    <w:rsid w:val="001B70D0"/>
    <w:rsid w:val="001B7B5F"/>
    <w:rsid w:val="001B7DC1"/>
    <w:rsid w:val="001C0EC9"/>
    <w:rsid w:val="001C15D4"/>
    <w:rsid w:val="001C1AEA"/>
    <w:rsid w:val="001C1FB1"/>
    <w:rsid w:val="001C3909"/>
    <w:rsid w:val="001C429A"/>
    <w:rsid w:val="001C430B"/>
    <w:rsid w:val="001C4366"/>
    <w:rsid w:val="001C4AAF"/>
    <w:rsid w:val="001C4BCF"/>
    <w:rsid w:val="001C4F34"/>
    <w:rsid w:val="001C50D5"/>
    <w:rsid w:val="001C5B8B"/>
    <w:rsid w:val="001C6621"/>
    <w:rsid w:val="001C6AF0"/>
    <w:rsid w:val="001C79BF"/>
    <w:rsid w:val="001C7BB3"/>
    <w:rsid w:val="001D02E5"/>
    <w:rsid w:val="001D0A61"/>
    <w:rsid w:val="001D125F"/>
    <w:rsid w:val="001D2272"/>
    <w:rsid w:val="001D24C4"/>
    <w:rsid w:val="001D2AC1"/>
    <w:rsid w:val="001D2E07"/>
    <w:rsid w:val="001D346A"/>
    <w:rsid w:val="001D3DAF"/>
    <w:rsid w:val="001D3EEF"/>
    <w:rsid w:val="001D4301"/>
    <w:rsid w:val="001D4334"/>
    <w:rsid w:val="001D4720"/>
    <w:rsid w:val="001D64EC"/>
    <w:rsid w:val="001D663C"/>
    <w:rsid w:val="001D735E"/>
    <w:rsid w:val="001D7815"/>
    <w:rsid w:val="001D7837"/>
    <w:rsid w:val="001D7C0A"/>
    <w:rsid w:val="001E0206"/>
    <w:rsid w:val="001E0612"/>
    <w:rsid w:val="001E1512"/>
    <w:rsid w:val="001E1F08"/>
    <w:rsid w:val="001E2627"/>
    <w:rsid w:val="001E26B8"/>
    <w:rsid w:val="001E2769"/>
    <w:rsid w:val="001E3C86"/>
    <w:rsid w:val="001E3C96"/>
    <w:rsid w:val="001E47ED"/>
    <w:rsid w:val="001E4D5E"/>
    <w:rsid w:val="001E4DCB"/>
    <w:rsid w:val="001E568A"/>
    <w:rsid w:val="001E5DAA"/>
    <w:rsid w:val="001E64A7"/>
    <w:rsid w:val="001E6B7F"/>
    <w:rsid w:val="001E7200"/>
    <w:rsid w:val="001E73C0"/>
    <w:rsid w:val="001E7EF3"/>
    <w:rsid w:val="001F0B3F"/>
    <w:rsid w:val="001F0CAD"/>
    <w:rsid w:val="001F1C7E"/>
    <w:rsid w:val="001F1CFC"/>
    <w:rsid w:val="001F2B8D"/>
    <w:rsid w:val="001F323C"/>
    <w:rsid w:val="001F3A3D"/>
    <w:rsid w:val="001F4094"/>
    <w:rsid w:val="001F42BE"/>
    <w:rsid w:val="001F47D6"/>
    <w:rsid w:val="001F5884"/>
    <w:rsid w:val="001F5EAA"/>
    <w:rsid w:val="001F670F"/>
    <w:rsid w:val="001F6B40"/>
    <w:rsid w:val="001F77C7"/>
    <w:rsid w:val="002001E1"/>
    <w:rsid w:val="00200605"/>
    <w:rsid w:val="00201004"/>
    <w:rsid w:val="00202991"/>
    <w:rsid w:val="00202B37"/>
    <w:rsid w:val="00202D59"/>
    <w:rsid w:val="0020429F"/>
    <w:rsid w:val="002045CB"/>
    <w:rsid w:val="00204754"/>
    <w:rsid w:val="00204CF6"/>
    <w:rsid w:val="00206CF8"/>
    <w:rsid w:val="002075C4"/>
    <w:rsid w:val="0021005D"/>
    <w:rsid w:val="00210B22"/>
    <w:rsid w:val="00210D65"/>
    <w:rsid w:val="00211A29"/>
    <w:rsid w:val="0021233D"/>
    <w:rsid w:val="002130AA"/>
    <w:rsid w:val="00213200"/>
    <w:rsid w:val="00213950"/>
    <w:rsid w:val="002141CB"/>
    <w:rsid w:val="00215615"/>
    <w:rsid w:val="002156BB"/>
    <w:rsid w:val="00215FA9"/>
    <w:rsid w:val="00216BBE"/>
    <w:rsid w:val="00217074"/>
    <w:rsid w:val="002179F4"/>
    <w:rsid w:val="00217A83"/>
    <w:rsid w:val="00217AB4"/>
    <w:rsid w:val="00220C47"/>
    <w:rsid w:val="00220F84"/>
    <w:rsid w:val="00221424"/>
    <w:rsid w:val="00221C03"/>
    <w:rsid w:val="00223D4D"/>
    <w:rsid w:val="00224568"/>
    <w:rsid w:val="00224A2A"/>
    <w:rsid w:val="0022600E"/>
    <w:rsid w:val="002277E2"/>
    <w:rsid w:val="00227815"/>
    <w:rsid w:val="00227C37"/>
    <w:rsid w:val="0023031B"/>
    <w:rsid w:val="002307DC"/>
    <w:rsid w:val="00230F9E"/>
    <w:rsid w:val="00231566"/>
    <w:rsid w:val="002323A5"/>
    <w:rsid w:val="0023297C"/>
    <w:rsid w:val="00232DDF"/>
    <w:rsid w:val="00232FE6"/>
    <w:rsid w:val="002333AF"/>
    <w:rsid w:val="00235E0E"/>
    <w:rsid w:val="0023692F"/>
    <w:rsid w:val="00236BA9"/>
    <w:rsid w:val="00236EAB"/>
    <w:rsid w:val="00236F6B"/>
    <w:rsid w:val="00237805"/>
    <w:rsid w:val="00240D84"/>
    <w:rsid w:val="00241C73"/>
    <w:rsid w:val="00242AF8"/>
    <w:rsid w:val="002433F9"/>
    <w:rsid w:val="00243B93"/>
    <w:rsid w:val="00244120"/>
    <w:rsid w:val="0024470B"/>
    <w:rsid w:val="00244989"/>
    <w:rsid w:val="00244CBB"/>
    <w:rsid w:val="00244D0B"/>
    <w:rsid w:val="00244F07"/>
    <w:rsid w:val="002457EF"/>
    <w:rsid w:val="00245F6F"/>
    <w:rsid w:val="00246EFF"/>
    <w:rsid w:val="00250325"/>
    <w:rsid w:val="0025143D"/>
    <w:rsid w:val="00251C4A"/>
    <w:rsid w:val="002526B8"/>
    <w:rsid w:val="00252AFF"/>
    <w:rsid w:val="002530DA"/>
    <w:rsid w:val="00253BD8"/>
    <w:rsid w:val="002545C9"/>
    <w:rsid w:val="00255E57"/>
    <w:rsid w:val="00257976"/>
    <w:rsid w:val="00257B62"/>
    <w:rsid w:val="00257E1C"/>
    <w:rsid w:val="00260A25"/>
    <w:rsid w:val="0026115D"/>
    <w:rsid w:val="0026200A"/>
    <w:rsid w:val="0026200C"/>
    <w:rsid w:val="00263A38"/>
    <w:rsid w:val="00263DA6"/>
    <w:rsid w:val="00263E76"/>
    <w:rsid w:val="00263E9A"/>
    <w:rsid w:val="00264609"/>
    <w:rsid w:val="002647CC"/>
    <w:rsid w:val="00264A09"/>
    <w:rsid w:val="00265207"/>
    <w:rsid w:val="00265B3F"/>
    <w:rsid w:val="00267905"/>
    <w:rsid w:val="0027053F"/>
    <w:rsid w:val="0027091E"/>
    <w:rsid w:val="00270E98"/>
    <w:rsid w:val="00270FAB"/>
    <w:rsid w:val="002714B1"/>
    <w:rsid w:val="002718EA"/>
    <w:rsid w:val="00272CC0"/>
    <w:rsid w:val="002732C7"/>
    <w:rsid w:val="0027337E"/>
    <w:rsid w:val="00273685"/>
    <w:rsid w:val="00273D15"/>
    <w:rsid w:val="00273D68"/>
    <w:rsid w:val="002742EB"/>
    <w:rsid w:val="0027441F"/>
    <w:rsid w:val="00274523"/>
    <w:rsid w:val="00274EC2"/>
    <w:rsid w:val="00274F25"/>
    <w:rsid w:val="00274F91"/>
    <w:rsid w:val="00275036"/>
    <w:rsid w:val="002767FB"/>
    <w:rsid w:val="002802E0"/>
    <w:rsid w:val="00280F9D"/>
    <w:rsid w:val="0028109E"/>
    <w:rsid w:val="002815AB"/>
    <w:rsid w:val="002815BF"/>
    <w:rsid w:val="002815DC"/>
    <w:rsid w:val="002821AF"/>
    <w:rsid w:val="00282CCB"/>
    <w:rsid w:val="002834DF"/>
    <w:rsid w:val="00283A5C"/>
    <w:rsid w:val="00283AE2"/>
    <w:rsid w:val="00283C75"/>
    <w:rsid w:val="00283F02"/>
    <w:rsid w:val="0028486D"/>
    <w:rsid w:val="00284D74"/>
    <w:rsid w:val="00285265"/>
    <w:rsid w:val="00285BDB"/>
    <w:rsid w:val="00287324"/>
    <w:rsid w:val="0028762F"/>
    <w:rsid w:val="00287A7A"/>
    <w:rsid w:val="00287B91"/>
    <w:rsid w:val="00290618"/>
    <w:rsid w:val="002918BE"/>
    <w:rsid w:val="0029362A"/>
    <w:rsid w:val="00293FC6"/>
    <w:rsid w:val="002947D6"/>
    <w:rsid w:val="002948AA"/>
    <w:rsid w:val="002948FC"/>
    <w:rsid w:val="00294988"/>
    <w:rsid w:val="00294F16"/>
    <w:rsid w:val="00294F2D"/>
    <w:rsid w:val="00295E46"/>
    <w:rsid w:val="00296366"/>
    <w:rsid w:val="00296B9C"/>
    <w:rsid w:val="00296C85"/>
    <w:rsid w:val="002976F8"/>
    <w:rsid w:val="00297993"/>
    <w:rsid w:val="002A0730"/>
    <w:rsid w:val="002A17A3"/>
    <w:rsid w:val="002A1FAB"/>
    <w:rsid w:val="002A29DA"/>
    <w:rsid w:val="002A310B"/>
    <w:rsid w:val="002A37DD"/>
    <w:rsid w:val="002A3E9F"/>
    <w:rsid w:val="002A4186"/>
    <w:rsid w:val="002A41A9"/>
    <w:rsid w:val="002A4257"/>
    <w:rsid w:val="002A57DC"/>
    <w:rsid w:val="002A5CDA"/>
    <w:rsid w:val="002A6229"/>
    <w:rsid w:val="002A6730"/>
    <w:rsid w:val="002A72BF"/>
    <w:rsid w:val="002A7EB9"/>
    <w:rsid w:val="002B2182"/>
    <w:rsid w:val="002B26A1"/>
    <w:rsid w:val="002B349B"/>
    <w:rsid w:val="002B3797"/>
    <w:rsid w:val="002B3FF5"/>
    <w:rsid w:val="002B4361"/>
    <w:rsid w:val="002B49B6"/>
    <w:rsid w:val="002B4AB7"/>
    <w:rsid w:val="002B4D19"/>
    <w:rsid w:val="002B58A3"/>
    <w:rsid w:val="002B5D83"/>
    <w:rsid w:val="002B627A"/>
    <w:rsid w:val="002B6C7A"/>
    <w:rsid w:val="002B6CC5"/>
    <w:rsid w:val="002B7072"/>
    <w:rsid w:val="002B7092"/>
    <w:rsid w:val="002C011F"/>
    <w:rsid w:val="002C083C"/>
    <w:rsid w:val="002C1386"/>
    <w:rsid w:val="002C148C"/>
    <w:rsid w:val="002C31A2"/>
    <w:rsid w:val="002C3AAE"/>
    <w:rsid w:val="002C4309"/>
    <w:rsid w:val="002C4697"/>
    <w:rsid w:val="002C4B29"/>
    <w:rsid w:val="002C6B1A"/>
    <w:rsid w:val="002C7016"/>
    <w:rsid w:val="002C7A4E"/>
    <w:rsid w:val="002D01E9"/>
    <w:rsid w:val="002D145B"/>
    <w:rsid w:val="002D2424"/>
    <w:rsid w:val="002D29CC"/>
    <w:rsid w:val="002D2F83"/>
    <w:rsid w:val="002D3E96"/>
    <w:rsid w:val="002D44EC"/>
    <w:rsid w:val="002D505B"/>
    <w:rsid w:val="002D5291"/>
    <w:rsid w:val="002D53F1"/>
    <w:rsid w:val="002D5898"/>
    <w:rsid w:val="002D621F"/>
    <w:rsid w:val="002D624F"/>
    <w:rsid w:val="002D6697"/>
    <w:rsid w:val="002D7B42"/>
    <w:rsid w:val="002D7BFB"/>
    <w:rsid w:val="002E1AED"/>
    <w:rsid w:val="002E1EA4"/>
    <w:rsid w:val="002E1FE3"/>
    <w:rsid w:val="002E26CE"/>
    <w:rsid w:val="002E368A"/>
    <w:rsid w:val="002E3B91"/>
    <w:rsid w:val="002E6778"/>
    <w:rsid w:val="002E6D0B"/>
    <w:rsid w:val="002E6FEE"/>
    <w:rsid w:val="002E7E63"/>
    <w:rsid w:val="002F0472"/>
    <w:rsid w:val="002F2DE4"/>
    <w:rsid w:val="002F2E27"/>
    <w:rsid w:val="002F301F"/>
    <w:rsid w:val="002F30C8"/>
    <w:rsid w:val="002F41DE"/>
    <w:rsid w:val="002F421F"/>
    <w:rsid w:val="002F4237"/>
    <w:rsid w:val="002F646F"/>
    <w:rsid w:val="002F72DA"/>
    <w:rsid w:val="002F7D86"/>
    <w:rsid w:val="003008FA"/>
    <w:rsid w:val="00300E4B"/>
    <w:rsid w:val="00300E93"/>
    <w:rsid w:val="00301475"/>
    <w:rsid w:val="0030186E"/>
    <w:rsid w:val="00302D58"/>
    <w:rsid w:val="00302E4E"/>
    <w:rsid w:val="00303218"/>
    <w:rsid w:val="00303233"/>
    <w:rsid w:val="00303514"/>
    <w:rsid w:val="00304483"/>
    <w:rsid w:val="0030449B"/>
    <w:rsid w:val="00305256"/>
    <w:rsid w:val="00305B01"/>
    <w:rsid w:val="00305BE9"/>
    <w:rsid w:val="00306D78"/>
    <w:rsid w:val="003070C3"/>
    <w:rsid w:val="00311199"/>
    <w:rsid w:val="00311855"/>
    <w:rsid w:val="00311BB1"/>
    <w:rsid w:val="00312753"/>
    <w:rsid w:val="00312922"/>
    <w:rsid w:val="00312986"/>
    <w:rsid w:val="003135BC"/>
    <w:rsid w:val="00313AB5"/>
    <w:rsid w:val="00314727"/>
    <w:rsid w:val="00314AC3"/>
    <w:rsid w:val="00314BD8"/>
    <w:rsid w:val="0031546C"/>
    <w:rsid w:val="00315818"/>
    <w:rsid w:val="00315F77"/>
    <w:rsid w:val="00316530"/>
    <w:rsid w:val="00316CCF"/>
    <w:rsid w:val="0031789E"/>
    <w:rsid w:val="003210AB"/>
    <w:rsid w:val="00321455"/>
    <w:rsid w:val="00321B00"/>
    <w:rsid w:val="003233A0"/>
    <w:rsid w:val="00323554"/>
    <w:rsid w:val="00323C11"/>
    <w:rsid w:val="003244B6"/>
    <w:rsid w:val="003249CE"/>
    <w:rsid w:val="003265A4"/>
    <w:rsid w:val="00326A5D"/>
    <w:rsid w:val="00330A15"/>
    <w:rsid w:val="003318F6"/>
    <w:rsid w:val="00331C4F"/>
    <w:rsid w:val="0033256B"/>
    <w:rsid w:val="00332A32"/>
    <w:rsid w:val="00332AFF"/>
    <w:rsid w:val="00332C4C"/>
    <w:rsid w:val="00332EE9"/>
    <w:rsid w:val="00332FC3"/>
    <w:rsid w:val="00333A38"/>
    <w:rsid w:val="00333A79"/>
    <w:rsid w:val="0033415A"/>
    <w:rsid w:val="00334533"/>
    <w:rsid w:val="00334E20"/>
    <w:rsid w:val="003352BB"/>
    <w:rsid w:val="00335548"/>
    <w:rsid w:val="003358B1"/>
    <w:rsid w:val="00335A03"/>
    <w:rsid w:val="00335FFC"/>
    <w:rsid w:val="003360F2"/>
    <w:rsid w:val="003365C7"/>
    <w:rsid w:val="0033669E"/>
    <w:rsid w:val="003370DA"/>
    <w:rsid w:val="00337E0E"/>
    <w:rsid w:val="00337EAB"/>
    <w:rsid w:val="00340489"/>
    <w:rsid w:val="00340B8C"/>
    <w:rsid w:val="00340CB2"/>
    <w:rsid w:val="00341587"/>
    <w:rsid w:val="003420A9"/>
    <w:rsid w:val="00342830"/>
    <w:rsid w:val="00343003"/>
    <w:rsid w:val="003431FE"/>
    <w:rsid w:val="003448DA"/>
    <w:rsid w:val="003454AA"/>
    <w:rsid w:val="003454EB"/>
    <w:rsid w:val="00345650"/>
    <w:rsid w:val="003459CE"/>
    <w:rsid w:val="003463C8"/>
    <w:rsid w:val="00347051"/>
    <w:rsid w:val="0034715C"/>
    <w:rsid w:val="00347188"/>
    <w:rsid w:val="003474D6"/>
    <w:rsid w:val="00347DA4"/>
    <w:rsid w:val="003515A4"/>
    <w:rsid w:val="0035178D"/>
    <w:rsid w:val="003523A4"/>
    <w:rsid w:val="0035466A"/>
    <w:rsid w:val="00354766"/>
    <w:rsid w:val="00355108"/>
    <w:rsid w:val="003554AE"/>
    <w:rsid w:val="00356746"/>
    <w:rsid w:val="00362474"/>
    <w:rsid w:val="003624E6"/>
    <w:rsid w:val="0036312B"/>
    <w:rsid w:val="003632C9"/>
    <w:rsid w:val="0036359E"/>
    <w:rsid w:val="00364D2A"/>
    <w:rsid w:val="00365070"/>
    <w:rsid w:val="00365660"/>
    <w:rsid w:val="003660F6"/>
    <w:rsid w:val="0036658E"/>
    <w:rsid w:val="00366E97"/>
    <w:rsid w:val="00371709"/>
    <w:rsid w:val="0037254A"/>
    <w:rsid w:val="00373049"/>
    <w:rsid w:val="003747DF"/>
    <w:rsid w:val="003753EA"/>
    <w:rsid w:val="0037581D"/>
    <w:rsid w:val="00377800"/>
    <w:rsid w:val="00377874"/>
    <w:rsid w:val="00380024"/>
    <w:rsid w:val="003804CE"/>
    <w:rsid w:val="003804F1"/>
    <w:rsid w:val="00380C53"/>
    <w:rsid w:val="00380C57"/>
    <w:rsid w:val="00381C38"/>
    <w:rsid w:val="00381D91"/>
    <w:rsid w:val="00381E4F"/>
    <w:rsid w:val="003826B4"/>
    <w:rsid w:val="003829B7"/>
    <w:rsid w:val="00382D9B"/>
    <w:rsid w:val="00383E90"/>
    <w:rsid w:val="00384530"/>
    <w:rsid w:val="00385C3B"/>
    <w:rsid w:val="003863D3"/>
    <w:rsid w:val="0038671F"/>
    <w:rsid w:val="00387710"/>
    <w:rsid w:val="00387777"/>
    <w:rsid w:val="0039057B"/>
    <w:rsid w:val="003905E2"/>
    <w:rsid w:val="003912EA"/>
    <w:rsid w:val="003925FE"/>
    <w:rsid w:val="00392790"/>
    <w:rsid w:val="00392B46"/>
    <w:rsid w:val="00392FFA"/>
    <w:rsid w:val="003935A3"/>
    <w:rsid w:val="00394332"/>
    <w:rsid w:val="003953F8"/>
    <w:rsid w:val="00395DBD"/>
    <w:rsid w:val="00396A26"/>
    <w:rsid w:val="003974B3"/>
    <w:rsid w:val="00397704"/>
    <w:rsid w:val="003A1E9D"/>
    <w:rsid w:val="003A2126"/>
    <w:rsid w:val="003A3213"/>
    <w:rsid w:val="003A5465"/>
    <w:rsid w:val="003A5BBC"/>
    <w:rsid w:val="003A6123"/>
    <w:rsid w:val="003A6640"/>
    <w:rsid w:val="003A6793"/>
    <w:rsid w:val="003A6C2A"/>
    <w:rsid w:val="003A7A0B"/>
    <w:rsid w:val="003A7DAE"/>
    <w:rsid w:val="003B06B2"/>
    <w:rsid w:val="003B1809"/>
    <w:rsid w:val="003B1EA3"/>
    <w:rsid w:val="003B1EA8"/>
    <w:rsid w:val="003B2014"/>
    <w:rsid w:val="003B2271"/>
    <w:rsid w:val="003B2335"/>
    <w:rsid w:val="003B2FE2"/>
    <w:rsid w:val="003B3311"/>
    <w:rsid w:val="003B3EA8"/>
    <w:rsid w:val="003B462C"/>
    <w:rsid w:val="003B4928"/>
    <w:rsid w:val="003B5644"/>
    <w:rsid w:val="003B5B8E"/>
    <w:rsid w:val="003B5F39"/>
    <w:rsid w:val="003B6110"/>
    <w:rsid w:val="003B76F0"/>
    <w:rsid w:val="003B7C70"/>
    <w:rsid w:val="003C0A03"/>
    <w:rsid w:val="003C0CEB"/>
    <w:rsid w:val="003C16A1"/>
    <w:rsid w:val="003C1EE2"/>
    <w:rsid w:val="003C2037"/>
    <w:rsid w:val="003C2A1C"/>
    <w:rsid w:val="003C2A4C"/>
    <w:rsid w:val="003C2AF9"/>
    <w:rsid w:val="003C34BC"/>
    <w:rsid w:val="003C365D"/>
    <w:rsid w:val="003C3893"/>
    <w:rsid w:val="003C3AB1"/>
    <w:rsid w:val="003C3C6E"/>
    <w:rsid w:val="003C46BD"/>
    <w:rsid w:val="003C4767"/>
    <w:rsid w:val="003C733A"/>
    <w:rsid w:val="003D0614"/>
    <w:rsid w:val="003D0E66"/>
    <w:rsid w:val="003D1180"/>
    <w:rsid w:val="003D2073"/>
    <w:rsid w:val="003D2C4E"/>
    <w:rsid w:val="003D3A6A"/>
    <w:rsid w:val="003D3DA6"/>
    <w:rsid w:val="003D4561"/>
    <w:rsid w:val="003D4D41"/>
    <w:rsid w:val="003D63D8"/>
    <w:rsid w:val="003D64C8"/>
    <w:rsid w:val="003D6625"/>
    <w:rsid w:val="003D6CE4"/>
    <w:rsid w:val="003D6E9E"/>
    <w:rsid w:val="003D7127"/>
    <w:rsid w:val="003D7C4A"/>
    <w:rsid w:val="003E02F4"/>
    <w:rsid w:val="003E0BF9"/>
    <w:rsid w:val="003E18D9"/>
    <w:rsid w:val="003E25DD"/>
    <w:rsid w:val="003E29DE"/>
    <w:rsid w:val="003E2AC0"/>
    <w:rsid w:val="003E2FEA"/>
    <w:rsid w:val="003E3ADD"/>
    <w:rsid w:val="003E3E25"/>
    <w:rsid w:val="003E4071"/>
    <w:rsid w:val="003E4543"/>
    <w:rsid w:val="003E474E"/>
    <w:rsid w:val="003E4CF1"/>
    <w:rsid w:val="003E4E1D"/>
    <w:rsid w:val="003E6102"/>
    <w:rsid w:val="003E6545"/>
    <w:rsid w:val="003E68CE"/>
    <w:rsid w:val="003E7D18"/>
    <w:rsid w:val="003F0CE4"/>
    <w:rsid w:val="003F0F3C"/>
    <w:rsid w:val="003F1B77"/>
    <w:rsid w:val="003F1D08"/>
    <w:rsid w:val="003F2B40"/>
    <w:rsid w:val="003F31B5"/>
    <w:rsid w:val="003F49BA"/>
    <w:rsid w:val="003F58F9"/>
    <w:rsid w:val="003F5F57"/>
    <w:rsid w:val="003F7399"/>
    <w:rsid w:val="003F77D4"/>
    <w:rsid w:val="003F78DD"/>
    <w:rsid w:val="004005A6"/>
    <w:rsid w:val="004017D4"/>
    <w:rsid w:val="0040184E"/>
    <w:rsid w:val="004018A1"/>
    <w:rsid w:val="004027B2"/>
    <w:rsid w:val="0040296B"/>
    <w:rsid w:val="0040404E"/>
    <w:rsid w:val="0040505A"/>
    <w:rsid w:val="004051F0"/>
    <w:rsid w:val="00406568"/>
    <w:rsid w:val="004065CB"/>
    <w:rsid w:val="00406DBC"/>
    <w:rsid w:val="00407319"/>
    <w:rsid w:val="00410021"/>
    <w:rsid w:val="004111DF"/>
    <w:rsid w:val="0041156C"/>
    <w:rsid w:val="0041182D"/>
    <w:rsid w:val="00412DAE"/>
    <w:rsid w:val="004133AE"/>
    <w:rsid w:val="004133B8"/>
    <w:rsid w:val="00413F48"/>
    <w:rsid w:val="00414017"/>
    <w:rsid w:val="0041466E"/>
    <w:rsid w:val="00414AE8"/>
    <w:rsid w:val="004157FA"/>
    <w:rsid w:val="00417025"/>
    <w:rsid w:val="004176E2"/>
    <w:rsid w:val="004179F7"/>
    <w:rsid w:val="004200CC"/>
    <w:rsid w:val="004202B5"/>
    <w:rsid w:val="0042050C"/>
    <w:rsid w:val="00420850"/>
    <w:rsid w:val="00420B38"/>
    <w:rsid w:val="00420CD8"/>
    <w:rsid w:val="00420EA4"/>
    <w:rsid w:val="00420EB3"/>
    <w:rsid w:val="0042135A"/>
    <w:rsid w:val="0042167A"/>
    <w:rsid w:val="00421EB1"/>
    <w:rsid w:val="00422C10"/>
    <w:rsid w:val="0042332B"/>
    <w:rsid w:val="004234B0"/>
    <w:rsid w:val="00423B6E"/>
    <w:rsid w:val="00423C66"/>
    <w:rsid w:val="004241D4"/>
    <w:rsid w:val="0042459C"/>
    <w:rsid w:val="00424613"/>
    <w:rsid w:val="00424876"/>
    <w:rsid w:val="004248CB"/>
    <w:rsid w:val="004254EB"/>
    <w:rsid w:val="004255F9"/>
    <w:rsid w:val="00426AC3"/>
    <w:rsid w:val="00426EBC"/>
    <w:rsid w:val="0042784C"/>
    <w:rsid w:val="00427EBE"/>
    <w:rsid w:val="00430C74"/>
    <w:rsid w:val="004326A9"/>
    <w:rsid w:val="00433583"/>
    <w:rsid w:val="00433DAB"/>
    <w:rsid w:val="00433E2C"/>
    <w:rsid w:val="004341C5"/>
    <w:rsid w:val="004352A8"/>
    <w:rsid w:val="004357BA"/>
    <w:rsid w:val="0043590F"/>
    <w:rsid w:val="00435B0F"/>
    <w:rsid w:val="00436F20"/>
    <w:rsid w:val="00437ABA"/>
    <w:rsid w:val="00437B76"/>
    <w:rsid w:val="00437C61"/>
    <w:rsid w:val="004403E5"/>
    <w:rsid w:val="004407B0"/>
    <w:rsid w:val="00440D7B"/>
    <w:rsid w:val="00441FA9"/>
    <w:rsid w:val="00443061"/>
    <w:rsid w:val="00443D88"/>
    <w:rsid w:val="004440BA"/>
    <w:rsid w:val="004443A7"/>
    <w:rsid w:val="004447DA"/>
    <w:rsid w:val="0044790B"/>
    <w:rsid w:val="00450FE3"/>
    <w:rsid w:val="004519F8"/>
    <w:rsid w:val="004521A3"/>
    <w:rsid w:val="00453669"/>
    <w:rsid w:val="004540AB"/>
    <w:rsid w:val="00454935"/>
    <w:rsid w:val="00454E38"/>
    <w:rsid w:val="0045565E"/>
    <w:rsid w:val="00456691"/>
    <w:rsid w:val="004569B5"/>
    <w:rsid w:val="00456CFF"/>
    <w:rsid w:val="0045715D"/>
    <w:rsid w:val="00461595"/>
    <w:rsid w:val="0046327B"/>
    <w:rsid w:val="00463E0B"/>
    <w:rsid w:val="004679E1"/>
    <w:rsid w:val="00467ABF"/>
    <w:rsid w:val="00467F2A"/>
    <w:rsid w:val="00470694"/>
    <w:rsid w:val="00470968"/>
    <w:rsid w:val="00471662"/>
    <w:rsid w:val="00472262"/>
    <w:rsid w:val="004723D9"/>
    <w:rsid w:val="00472773"/>
    <w:rsid w:val="0047492C"/>
    <w:rsid w:val="00475272"/>
    <w:rsid w:val="00475772"/>
    <w:rsid w:val="004758D2"/>
    <w:rsid w:val="004763A6"/>
    <w:rsid w:val="00476F66"/>
    <w:rsid w:val="0047790F"/>
    <w:rsid w:val="0048181B"/>
    <w:rsid w:val="00481D8D"/>
    <w:rsid w:val="00481E51"/>
    <w:rsid w:val="00481E86"/>
    <w:rsid w:val="00481EE9"/>
    <w:rsid w:val="00482168"/>
    <w:rsid w:val="0048352F"/>
    <w:rsid w:val="00484AAD"/>
    <w:rsid w:val="0048526F"/>
    <w:rsid w:val="004864BA"/>
    <w:rsid w:val="0048670E"/>
    <w:rsid w:val="00487DE6"/>
    <w:rsid w:val="004900A1"/>
    <w:rsid w:val="00490255"/>
    <w:rsid w:val="00490A13"/>
    <w:rsid w:val="00490A49"/>
    <w:rsid w:val="0049128E"/>
    <w:rsid w:val="004929B5"/>
    <w:rsid w:val="00492ADE"/>
    <w:rsid w:val="004934A3"/>
    <w:rsid w:val="0049358C"/>
    <w:rsid w:val="00493F6D"/>
    <w:rsid w:val="00494124"/>
    <w:rsid w:val="00494C92"/>
    <w:rsid w:val="0049509D"/>
    <w:rsid w:val="0049516D"/>
    <w:rsid w:val="00495314"/>
    <w:rsid w:val="00495E82"/>
    <w:rsid w:val="0049631B"/>
    <w:rsid w:val="00497499"/>
    <w:rsid w:val="00497B8D"/>
    <w:rsid w:val="004A05D8"/>
    <w:rsid w:val="004A0A0A"/>
    <w:rsid w:val="004A1307"/>
    <w:rsid w:val="004A190E"/>
    <w:rsid w:val="004A1B3D"/>
    <w:rsid w:val="004A2079"/>
    <w:rsid w:val="004A22DC"/>
    <w:rsid w:val="004A381C"/>
    <w:rsid w:val="004A3A38"/>
    <w:rsid w:val="004A3F83"/>
    <w:rsid w:val="004A4383"/>
    <w:rsid w:val="004A54E0"/>
    <w:rsid w:val="004A5D97"/>
    <w:rsid w:val="004A6D3E"/>
    <w:rsid w:val="004A6EE3"/>
    <w:rsid w:val="004A7417"/>
    <w:rsid w:val="004B053A"/>
    <w:rsid w:val="004B074F"/>
    <w:rsid w:val="004B0B2F"/>
    <w:rsid w:val="004B0ED3"/>
    <w:rsid w:val="004B1A49"/>
    <w:rsid w:val="004B2EB9"/>
    <w:rsid w:val="004B4B65"/>
    <w:rsid w:val="004B4D15"/>
    <w:rsid w:val="004B4D51"/>
    <w:rsid w:val="004B6202"/>
    <w:rsid w:val="004B6554"/>
    <w:rsid w:val="004B74E4"/>
    <w:rsid w:val="004C0B2B"/>
    <w:rsid w:val="004C109A"/>
    <w:rsid w:val="004C1116"/>
    <w:rsid w:val="004C148B"/>
    <w:rsid w:val="004C1A83"/>
    <w:rsid w:val="004C1F16"/>
    <w:rsid w:val="004C251B"/>
    <w:rsid w:val="004C289B"/>
    <w:rsid w:val="004C327F"/>
    <w:rsid w:val="004C32AD"/>
    <w:rsid w:val="004C3399"/>
    <w:rsid w:val="004C3AF9"/>
    <w:rsid w:val="004C4576"/>
    <w:rsid w:val="004C4704"/>
    <w:rsid w:val="004C4728"/>
    <w:rsid w:val="004C4B4D"/>
    <w:rsid w:val="004C4B5B"/>
    <w:rsid w:val="004C4DEC"/>
    <w:rsid w:val="004C5DEE"/>
    <w:rsid w:val="004C6126"/>
    <w:rsid w:val="004C6262"/>
    <w:rsid w:val="004C66C3"/>
    <w:rsid w:val="004C6A7E"/>
    <w:rsid w:val="004C6F40"/>
    <w:rsid w:val="004C7943"/>
    <w:rsid w:val="004D084F"/>
    <w:rsid w:val="004D0957"/>
    <w:rsid w:val="004D1B60"/>
    <w:rsid w:val="004D286D"/>
    <w:rsid w:val="004D287B"/>
    <w:rsid w:val="004D29B4"/>
    <w:rsid w:val="004D3426"/>
    <w:rsid w:val="004D388A"/>
    <w:rsid w:val="004D5EC4"/>
    <w:rsid w:val="004D7425"/>
    <w:rsid w:val="004D7C4D"/>
    <w:rsid w:val="004E069B"/>
    <w:rsid w:val="004E15AB"/>
    <w:rsid w:val="004E1829"/>
    <w:rsid w:val="004E1CBA"/>
    <w:rsid w:val="004E23AB"/>
    <w:rsid w:val="004E36B8"/>
    <w:rsid w:val="004E3D02"/>
    <w:rsid w:val="004E4336"/>
    <w:rsid w:val="004E49E8"/>
    <w:rsid w:val="004E4DF1"/>
    <w:rsid w:val="004E6BA6"/>
    <w:rsid w:val="004E7977"/>
    <w:rsid w:val="004E7D67"/>
    <w:rsid w:val="004F0408"/>
    <w:rsid w:val="004F0DB7"/>
    <w:rsid w:val="004F0DC9"/>
    <w:rsid w:val="004F49C4"/>
    <w:rsid w:val="004F550B"/>
    <w:rsid w:val="004F6021"/>
    <w:rsid w:val="004F6FAC"/>
    <w:rsid w:val="004F71D9"/>
    <w:rsid w:val="00500165"/>
    <w:rsid w:val="0050036E"/>
    <w:rsid w:val="005010B8"/>
    <w:rsid w:val="005015C7"/>
    <w:rsid w:val="00502C7D"/>
    <w:rsid w:val="005034C5"/>
    <w:rsid w:val="005042D9"/>
    <w:rsid w:val="005049B2"/>
    <w:rsid w:val="00505C21"/>
    <w:rsid w:val="0050661F"/>
    <w:rsid w:val="00506D4E"/>
    <w:rsid w:val="005072D1"/>
    <w:rsid w:val="00511DE2"/>
    <w:rsid w:val="005122EB"/>
    <w:rsid w:val="005130B7"/>
    <w:rsid w:val="005130E9"/>
    <w:rsid w:val="005132C2"/>
    <w:rsid w:val="00513563"/>
    <w:rsid w:val="005140C5"/>
    <w:rsid w:val="00514415"/>
    <w:rsid w:val="005146CB"/>
    <w:rsid w:val="00514C79"/>
    <w:rsid w:val="00514D64"/>
    <w:rsid w:val="00515142"/>
    <w:rsid w:val="00515158"/>
    <w:rsid w:val="00515533"/>
    <w:rsid w:val="00516F18"/>
    <w:rsid w:val="00517CDA"/>
    <w:rsid w:val="00522098"/>
    <w:rsid w:val="005250D8"/>
    <w:rsid w:val="0052518B"/>
    <w:rsid w:val="00525232"/>
    <w:rsid w:val="005255D5"/>
    <w:rsid w:val="0052623F"/>
    <w:rsid w:val="00526640"/>
    <w:rsid w:val="00526730"/>
    <w:rsid w:val="00526C66"/>
    <w:rsid w:val="005303EF"/>
    <w:rsid w:val="00530692"/>
    <w:rsid w:val="0053099A"/>
    <w:rsid w:val="005309AD"/>
    <w:rsid w:val="00530BF9"/>
    <w:rsid w:val="005317FB"/>
    <w:rsid w:val="00531ADB"/>
    <w:rsid w:val="00531D31"/>
    <w:rsid w:val="005332C4"/>
    <w:rsid w:val="0053351E"/>
    <w:rsid w:val="0053428C"/>
    <w:rsid w:val="00534962"/>
    <w:rsid w:val="00535C2C"/>
    <w:rsid w:val="0053714A"/>
    <w:rsid w:val="00537287"/>
    <w:rsid w:val="00537CE6"/>
    <w:rsid w:val="00537F63"/>
    <w:rsid w:val="00541708"/>
    <w:rsid w:val="005417F0"/>
    <w:rsid w:val="00541C62"/>
    <w:rsid w:val="00542429"/>
    <w:rsid w:val="0054274D"/>
    <w:rsid w:val="00543F94"/>
    <w:rsid w:val="0054404A"/>
    <w:rsid w:val="005445B8"/>
    <w:rsid w:val="005448CC"/>
    <w:rsid w:val="005449AC"/>
    <w:rsid w:val="0054552F"/>
    <w:rsid w:val="00545EDC"/>
    <w:rsid w:val="0054685B"/>
    <w:rsid w:val="00546ADB"/>
    <w:rsid w:val="00547679"/>
    <w:rsid w:val="00547FB4"/>
    <w:rsid w:val="0055024B"/>
    <w:rsid w:val="00550260"/>
    <w:rsid w:val="005512DA"/>
    <w:rsid w:val="005518DE"/>
    <w:rsid w:val="0055202A"/>
    <w:rsid w:val="005528D1"/>
    <w:rsid w:val="00553EFD"/>
    <w:rsid w:val="0055455E"/>
    <w:rsid w:val="00556270"/>
    <w:rsid w:val="00556B8C"/>
    <w:rsid w:val="00556E2A"/>
    <w:rsid w:val="0056054D"/>
    <w:rsid w:val="00560E07"/>
    <w:rsid w:val="005612C9"/>
    <w:rsid w:val="005617C8"/>
    <w:rsid w:val="005619D2"/>
    <w:rsid w:val="005624D3"/>
    <w:rsid w:val="00562C1D"/>
    <w:rsid w:val="00562D67"/>
    <w:rsid w:val="00563638"/>
    <w:rsid w:val="00564DF5"/>
    <w:rsid w:val="0056540E"/>
    <w:rsid w:val="005655B7"/>
    <w:rsid w:val="005656B9"/>
    <w:rsid w:val="00565D42"/>
    <w:rsid w:val="00566D85"/>
    <w:rsid w:val="00566E0A"/>
    <w:rsid w:val="005677D7"/>
    <w:rsid w:val="00567FB6"/>
    <w:rsid w:val="005706CD"/>
    <w:rsid w:val="00570BF3"/>
    <w:rsid w:val="00570C23"/>
    <w:rsid w:val="00571386"/>
    <w:rsid w:val="00571442"/>
    <w:rsid w:val="00571FB8"/>
    <w:rsid w:val="00572692"/>
    <w:rsid w:val="005734C8"/>
    <w:rsid w:val="00573580"/>
    <w:rsid w:val="00573DA7"/>
    <w:rsid w:val="00573E6E"/>
    <w:rsid w:val="00574D08"/>
    <w:rsid w:val="0057542E"/>
    <w:rsid w:val="00575B41"/>
    <w:rsid w:val="005761E2"/>
    <w:rsid w:val="005765F6"/>
    <w:rsid w:val="00576A8B"/>
    <w:rsid w:val="0057752C"/>
    <w:rsid w:val="00577DAA"/>
    <w:rsid w:val="00577EA8"/>
    <w:rsid w:val="00577F4A"/>
    <w:rsid w:val="00580051"/>
    <w:rsid w:val="00580067"/>
    <w:rsid w:val="005804C1"/>
    <w:rsid w:val="005806BA"/>
    <w:rsid w:val="00580750"/>
    <w:rsid w:val="0058164D"/>
    <w:rsid w:val="00581A2F"/>
    <w:rsid w:val="00581CF2"/>
    <w:rsid w:val="0058254B"/>
    <w:rsid w:val="0058311B"/>
    <w:rsid w:val="0058373A"/>
    <w:rsid w:val="00583C47"/>
    <w:rsid w:val="00583E32"/>
    <w:rsid w:val="00587251"/>
    <w:rsid w:val="00587542"/>
    <w:rsid w:val="0058775B"/>
    <w:rsid w:val="005901AB"/>
    <w:rsid w:val="0059058D"/>
    <w:rsid w:val="00590AE2"/>
    <w:rsid w:val="00590DC2"/>
    <w:rsid w:val="00591383"/>
    <w:rsid w:val="00591AB3"/>
    <w:rsid w:val="00592820"/>
    <w:rsid w:val="005928DC"/>
    <w:rsid w:val="00594B8F"/>
    <w:rsid w:val="00594F1E"/>
    <w:rsid w:val="00594F3B"/>
    <w:rsid w:val="00595260"/>
    <w:rsid w:val="0059552F"/>
    <w:rsid w:val="005964C4"/>
    <w:rsid w:val="005966E4"/>
    <w:rsid w:val="005967B6"/>
    <w:rsid w:val="00596980"/>
    <w:rsid w:val="005971AD"/>
    <w:rsid w:val="005A05F0"/>
    <w:rsid w:val="005A0A6E"/>
    <w:rsid w:val="005A0AD5"/>
    <w:rsid w:val="005A0B7A"/>
    <w:rsid w:val="005A1E25"/>
    <w:rsid w:val="005A1EB5"/>
    <w:rsid w:val="005A32DB"/>
    <w:rsid w:val="005A3312"/>
    <w:rsid w:val="005A3CB1"/>
    <w:rsid w:val="005A545F"/>
    <w:rsid w:val="005A6C04"/>
    <w:rsid w:val="005A6E07"/>
    <w:rsid w:val="005A6E4E"/>
    <w:rsid w:val="005A7DC7"/>
    <w:rsid w:val="005B01C3"/>
    <w:rsid w:val="005B0418"/>
    <w:rsid w:val="005B0C79"/>
    <w:rsid w:val="005B147C"/>
    <w:rsid w:val="005B168A"/>
    <w:rsid w:val="005B182C"/>
    <w:rsid w:val="005B18EA"/>
    <w:rsid w:val="005B19D8"/>
    <w:rsid w:val="005B1A29"/>
    <w:rsid w:val="005B1A43"/>
    <w:rsid w:val="005B21A4"/>
    <w:rsid w:val="005B2825"/>
    <w:rsid w:val="005B2EF1"/>
    <w:rsid w:val="005B3795"/>
    <w:rsid w:val="005B4B63"/>
    <w:rsid w:val="005B4D04"/>
    <w:rsid w:val="005B5261"/>
    <w:rsid w:val="005B72B2"/>
    <w:rsid w:val="005C0ADF"/>
    <w:rsid w:val="005C0D79"/>
    <w:rsid w:val="005C1B3E"/>
    <w:rsid w:val="005C2258"/>
    <w:rsid w:val="005C2A54"/>
    <w:rsid w:val="005C2D1F"/>
    <w:rsid w:val="005C384E"/>
    <w:rsid w:val="005C4063"/>
    <w:rsid w:val="005C46B2"/>
    <w:rsid w:val="005C4AD3"/>
    <w:rsid w:val="005C4F2B"/>
    <w:rsid w:val="005C5123"/>
    <w:rsid w:val="005C5A24"/>
    <w:rsid w:val="005C62BD"/>
    <w:rsid w:val="005C640D"/>
    <w:rsid w:val="005C66E1"/>
    <w:rsid w:val="005C769E"/>
    <w:rsid w:val="005C7BA9"/>
    <w:rsid w:val="005D04E1"/>
    <w:rsid w:val="005D0708"/>
    <w:rsid w:val="005D1BEC"/>
    <w:rsid w:val="005D1D72"/>
    <w:rsid w:val="005D2BF1"/>
    <w:rsid w:val="005D2FB4"/>
    <w:rsid w:val="005D320F"/>
    <w:rsid w:val="005D3D1B"/>
    <w:rsid w:val="005D3E46"/>
    <w:rsid w:val="005D44E8"/>
    <w:rsid w:val="005D4782"/>
    <w:rsid w:val="005D50F3"/>
    <w:rsid w:val="005D579A"/>
    <w:rsid w:val="005D5947"/>
    <w:rsid w:val="005D5DDF"/>
    <w:rsid w:val="005D799C"/>
    <w:rsid w:val="005D79BB"/>
    <w:rsid w:val="005D7B4D"/>
    <w:rsid w:val="005D7C2E"/>
    <w:rsid w:val="005E1225"/>
    <w:rsid w:val="005E18CB"/>
    <w:rsid w:val="005E1A98"/>
    <w:rsid w:val="005E2460"/>
    <w:rsid w:val="005E2BB6"/>
    <w:rsid w:val="005E3C8D"/>
    <w:rsid w:val="005E401B"/>
    <w:rsid w:val="005E5283"/>
    <w:rsid w:val="005E539C"/>
    <w:rsid w:val="005E5668"/>
    <w:rsid w:val="005E5D05"/>
    <w:rsid w:val="005E7F2D"/>
    <w:rsid w:val="005F08B7"/>
    <w:rsid w:val="005F1035"/>
    <w:rsid w:val="005F1B28"/>
    <w:rsid w:val="005F1D22"/>
    <w:rsid w:val="005F1E84"/>
    <w:rsid w:val="005F3463"/>
    <w:rsid w:val="005F4516"/>
    <w:rsid w:val="005F47E6"/>
    <w:rsid w:val="005F528E"/>
    <w:rsid w:val="005F594E"/>
    <w:rsid w:val="005F7BA2"/>
    <w:rsid w:val="005F7EA2"/>
    <w:rsid w:val="005F7FC9"/>
    <w:rsid w:val="006001C6"/>
    <w:rsid w:val="00600A32"/>
    <w:rsid w:val="006014BB"/>
    <w:rsid w:val="0060297A"/>
    <w:rsid w:val="00602CC4"/>
    <w:rsid w:val="00603C9B"/>
    <w:rsid w:val="00604E4E"/>
    <w:rsid w:val="006057F9"/>
    <w:rsid w:val="006058F1"/>
    <w:rsid w:val="00605D19"/>
    <w:rsid w:val="00605E63"/>
    <w:rsid w:val="0060673C"/>
    <w:rsid w:val="00606A55"/>
    <w:rsid w:val="00606C9C"/>
    <w:rsid w:val="0060769C"/>
    <w:rsid w:val="00610EC3"/>
    <w:rsid w:val="006115E6"/>
    <w:rsid w:val="00611F67"/>
    <w:rsid w:val="0061266A"/>
    <w:rsid w:val="00613952"/>
    <w:rsid w:val="006147B4"/>
    <w:rsid w:val="00614A79"/>
    <w:rsid w:val="00614AC2"/>
    <w:rsid w:val="00614D88"/>
    <w:rsid w:val="00615074"/>
    <w:rsid w:val="00615F6F"/>
    <w:rsid w:val="0062021E"/>
    <w:rsid w:val="00620C00"/>
    <w:rsid w:val="00620F8E"/>
    <w:rsid w:val="006216BD"/>
    <w:rsid w:val="00621759"/>
    <w:rsid w:val="00621AB0"/>
    <w:rsid w:val="006226E1"/>
    <w:rsid w:val="006232AB"/>
    <w:rsid w:val="00623EA8"/>
    <w:rsid w:val="006242ED"/>
    <w:rsid w:val="006243BA"/>
    <w:rsid w:val="00624DEE"/>
    <w:rsid w:val="0062526F"/>
    <w:rsid w:val="0062624C"/>
    <w:rsid w:val="006266E3"/>
    <w:rsid w:val="00626D78"/>
    <w:rsid w:val="00626F3F"/>
    <w:rsid w:val="0063092A"/>
    <w:rsid w:val="006310E8"/>
    <w:rsid w:val="00631182"/>
    <w:rsid w:val="006315D4"/>
    <w:rsid w:val="0063283B"/>
    <w:rsid w:val="0063519B"/>
    <w:rsid w:val="006354B1"/>
    <w:rsid w:val="00635605"/>
    <w:rsid w:val="006363FD"/>
    <w:rsid w:val="00637A26"/>
    <w:rsid w:val="00637E87"/>
    <w:rsid w:val="00637F5D"/>
    <w:rsid w:val="00640169"/>
    <w:rsid w:val="0064022A"/>
    <w:rsid w:val="00640899"/>
    <w:rsid w:val="00641266"/>
    <w:rsid w:val="00642C55"/>
    <w:rsid w:val="00643407"/>
    <w:rsid w:val="0064358D"/>
    <w:rsid w:val="00644559"/>
    <w:rsid w:val="00645D8B"/>
    <w:rsid w:val="00645ED6"/>
    <w:rsid w:val="00646230"/>
    <w:rsid w:val="00646596"/>
    <w:rsid w:val="00650522"/>
    <w:rsid w:val="00650741"/>
    <w:rsid w:val="006507AF"/>
    <w:rsid w:val="006509FB"/>
    <w:rsid w:val="0065160C"/>
    <w:rsid w:val="006522DC"/>
    <w:rsid w:val="006523BD"/>
    <w:rsid w:val="00652832"/>
    <w:rsid w:val="00652C30"/>
    <w:rsid w:val="0065327E"/>
    <w:rsid w:val="00653789"/>
    <w:rsid w:val="0065488F"/>
    <w:rsid w:val="00654B40"/>
    <w:rsid w:val="00654D76"/>
    <w:rsid w:val="00655C35"/>
    <w:rsid w:val="00655CC6"/>
    <w:rsid w:val="00655D65"/>
    <w:rsid w:val="006567DE"/>
    <w:rsid w:val="00656F78"/>
    <w:rsid w:val="00657D64"/>
    <w:rsid w:val="00660150"/>
    <w:rsid w:val="00660C00"/>
    <w:rsid w:val="00661080"/>
    <w:rsid w:val="00661400"/>
    <w:rsid w:val="006620C8"/>
    <w:rsid w:val="00663081"/>
    <w:rsid w:val="006631E3"/>
    <w:rsid w:val="00663D47"/>
    <w:rsid w:val="00663DEF"/>
    <w:rsid w:val="00664895"/>
    <w:rsid w:val="006651BF"/>
    <w:rsid w:val="006655B6"/>
    <w:rsid w:val="006666A6"/>
    <w:rsid w:val="006667EA"/>
    <w:rsid w:val="0066695F"/>
    <w:rsid w:val="00666F5C"/>
    <w:rsid w:val="00667170"/>
    <w:rsid w:val="00667705"/>
    <w:rsid w:val="00670961"/>
    <w:rsid w:val="00671B15"/>
    <w:rsid w:val="00671CE7"/>
    <w:rsid w:val="00671F58"/>
    <w:rsid w:val="006726EA"/>
    <w:rsid w:val="006729FE"/>
    <w:rsid w:val="006749CD"/>
    <w:rsid w:val="00674A2D"/>
    <w:rsid w:val="00674DE7"/>
    <w:rsid w:val="0067512D"/>
    <w:rsid w:val="00675DA4"/>
    <w:rsid w:val="00675FB4"/>
    <w:rsid w:val="006802C4"/>
    <w:rsid w:val="00680614"/>
    <w:rsid w:val="0068068F"/>
    <w:rsid w:val="00680A01"/>
    <w:rsid w:val="00680D03"/>
    <w:rsid w:val="00680D3B"/>
    <w:rsid w:val="00681A60"/>
    <w:rsid w:val="00681D58"/>
    <w:rsid w:val="00683246"/>
    <w:rsid w:val="0068367D"/>
    <w:rsid w:val="00684073"/>
    <w:rsid w:val="00684715"/>
    <w:rsid w:val="006849B3"/>
    <w:rsid w:val="00684BA5"/>
    <w:rsid w:val="00684CDF"/>
    <w:rsid w:val="00684DF5"/>
    <w:rsid w:val="006864C1"/>
    <w:rsid w:val="00686AE0"/>
    <w:rsid w:val="00686EE5"/>
    <w:rsid w:val="00687400"/>
    <w:rsid w:val="00687C04"/>
    <w:rsid w:val="00690BB9"/>
    <w:rsid w:val="00690F65"/>
    <w:rsid w:val="0069138D"/>
    <w:rsid w:val="0069280F"/>
    <w:rsid w:val="00692C81"/>
    <w:rsid w:val="006936A5"/>
    <w:rsid w:val="006944DB"/>
    <w:rsid w:val="00694761"/>
    <w:rsid w:val="006948DD"/>
    <w:rsid w:val="00694E0E"/>
    <w:rsid w:val="00694EC2"/>
    <w:rsid w:val="006952AD"/>
    <w:rsid w:val="006954CC"/>
    <w:rsid w:val="0069613F"/>
    <w:rsid w:val="0069668B"/>
    <w:rsid w:val="006967DF"/>
    <w:rsid w:val="00696B45"/>
    <w:rsid w:val="00696B88"/>
    <w:rsid w:val="00696CFD"/>
    <w:rsid w:val="00697932"/>
    <w:rsid w:val="00697BBD"/>
    <w:rsid w:val="006A13FB"/>
    <w:rsid w:val="006A14C9"/>
    <w:rsid w:val="006A1714"/>
    <w:rsid w:val="006A186A"/>
    <w:rsid w:val="006A1C56"/>
    <w:rsid w:val="006A236B"/>
    <w:rsid w:val="006A5A05"/>
    <w:rsid w:val="006A5A37"/>
    <w:rsid w:val="006A615E"/>
    <w:rsid w:val="006B0139"/>
    <w:rsid w:val="006B05E6"/>
    <w:rsid w:val="006B0DC3"/>
    <w:rsid w:val="006B0F01"/>
    <w:rsid w:val="006B15F5"/>
    <w:rsid w:val="006B1C9D"/>
    <w:rsid w:val="006B229B"/>
    <w:rsid w:val="006B2549"/>
    <w:rsid w:val="006B2D34"/>
    <w:rsid w:val="006B2FCC"/>
    <w:rsid w:val="006B35D4"/>
    <w:rsid w:val="006B39A9"/>
    <w:rsid w:val="006B43C4"/>
    <w:rsid w:val="006B46D3"/>
    <w:rsid w:val="006B47B9"/>
    <w:rsid w:val="006B4D98"/>
    <w:rsid w:val="006B5248"/>
    <w:rsid w:val="006B5C5E"/>
    <w:rsid w:val="006B72D2"/>
    <w:rsid w:val="006B7809"/>
    <w:rsid w:val="006C00E0"/>
    <w:rsid w:val="006C0231"/>
    <w:rsid w:val="006C08D0"/>
    <w:rsid w:val="006C12D1"/>
    <w:rsid w:val="006C14C6"/>
    <w:rsid w:val="006C192F"/>
    <w:rsid w:val="006C254C"/>
    <w:rsid w:val="006C2C4F"/>
    <w:rsid w:val="006C403C"/>
    <w:rsid w:val="006C42DD"/>
    <w:rsid w:val="006C4B31"/>
    <w:rsid w:val="006C5278"/>
    <w:rsid w:val="006C5C7A"/>
    <w:rsid w:val="006C727A"/>
    <w:rsid w:val="006C75D2"/>
    <w:rsid w:val="006C7C23"/>
    <w:rsid w:val="006D226F"/>
    <w:rsid w:val="006D2749"/>
    <w:rsid w:val="006D3669"/>
    <w:rsid w:val="006D3A5E"/>
    <w:rsid w:val="006D4544"/>
    <w:rsid w:val="006D4C64"/>
    <w:rsid w:val="006D5B51"/>
    <w:rsid w:val="006D60BA"/>
    <w:rsid w:val="006D6D39"/>
    <w:rsid w:val="006D7383"/>
    <w:rsid w:val="006D7D97"/>
    <w:rsid w:val="006E161D"/>
    <w:rsid w:val="006E1764"/>
    <w:rsid w:val="006E1C24"/>
    <w:rsid w:val="006E1F57"/>
    <w:rsid w:val="006E29E1"/>
    <w:rsid w:val="006E31AB"/>
    <w:rsid w:val="006E3AF2"/>
    <w:rsid w:val="006E428D"/>
    <w:rsid w:val="006E494E"/>
    <w:rsid w:val="006E5BB3"/>
    <w:rsid w:val="006E637D"/>
    <w:rsid w:val="006E72EC"/>
    <w:rsid w:val="006E79E8"/>
    <w:rsid w:val="006E7FE1"/>
    <w:rsid w:val="006F1AB3"/>
    <w:rsid w:val="006F1CD4"/>
    <w:rsid w:val="006F2B07"/>
    <w:rsid w:val="006F3EF6"/>
    <w:rsid w:val="006F48B3"/>
    <w:rsid w:val="006F535E"/>
    <w:rsid w:val="006F5D13"/>
    <w:rsid w:val="006F65F7"/>
    <w:rsid w:val="006F6782"/>
    <w:rsid w:val="006F7064"/>
    <w:rsid w:val="006F7146"/>
    <w:rsid w:val="00701A74"/>
    <w:rsid w:val="00701C86"/>
    <w:rsid w:val="00702AF9"/>
    <w:rsid w:val="00702E1E"/>
    <w:rsid w:val="00703993"/>
    <w:rsid w:val="007049F0"/>
    <w:rsid w:val="00704F8C"/>
    <w:rsid w:val="007054E4"/>
    <w:rsid w:val="00706277"/>
    <w:rsid w:val="00706543"/>
    <w:rsid w:val="00706B31"/>
    <w:rsid w:val="00706E4A"/>
    <w:rsid w:val="00706F91"/>
    <w:rsid w:val="0070737F"/>
    <w:rsid w:val="0071097C"/>
    <w:rsid w:val="00710E8F"/>
    <w:rsid w:val="007134AA"/>
    <w:rsid w:val="00713DBC"/>
    <w:rsid w:val="00713EA4"/>
    <w:rsid w:val="007140D0"/>
    <w:rsid w:val="00714E60"/>
    <w:rsid w:val="00716B53"/>
    <w:rsid w:val="00716EA6"/>
    <w:rsid w:val="00717144"/>
    <w:rsid w:val="007202CB"/>
    <w:rsid w:val="00720832"/>
    <w:rsid w:val="007211D5"/>
    <w:rsid w:val="00721AE8"/>
    <w:rsid w:val="00721C42"/>
    <w:rsid w:val="00722742"/>
    <w:rsid w:val="0072317D"/>
    <w:rsid w:val="00723223"/>
    <w:rsid w:val="00723353"/>
    <w:rsid w:val="00723F91"/>
    <w:rsid w:val="007241A0"/>
    <w:rsid w:val="00724311"/>
    <w:rsid w:val="0072441C"/>
    <w:rsid w:val="00724AC7"/>
    <w:rsid w:val="00724EDC"/>
    <w:rsid w:val="007258BB"/>
    <w:rsid w:val="00725B24"/>
    <w:rsid w:val="0072643C"/>
    <w:rsid w:val="007267B4"/>
    <w:rsid w:val="00726B7E"/>
    <w:rsid w:val="007272D5"/>
    <w:rsid w:val="00730045"/>
    <w:rsid w:val="0073078E"/>
    <w:rsid w:val="00730794"/>
    <w:rsid w:val="00730A1E"/>
    <w:rsid w:val="00730C16"/>
    <w:rsid w:val="007317F3"/>
    <w:rsid w:val="007327F2"/>
    <w:rsid w:val="007328FC"/>
    <w:rsid w:val="00732F52"/>
    <w:rsid w:val="00732FA3"/>
    <w:rsid w:val="00733625"/>
    <w:rsid w:val="007338D3"/>
    <w:rsid w:val="00733C49"/>
    <w:rsid w:val="00733DAE"/>
    <w:rsid w:val="007347CB"/>
    <w:rsid w:val="00735A2C"/>
    <w:rsid w:val="00737258"/>
    <w:rsid w:val="007377A7"/>
    <w:rsid w:val="007377C7"/>
    <w:rsid w:val="00741B6F"/>
    <w:rsid w:val="0074206F"/>
    <w:rsid w:val="0074234F"/>
    <w:rsid w:val="00742933"/>
    <w:rsid w:val="007430E8"/>
    <w:rsid w:val="00743B0F"/>
    <w:rsid w:val="0074405F"/>
    <w:rsid w:val="007469FD"/>
    <w:rsid w:val="00746D4F"/>
    <w:rsid w:val="00747D20"/>
    <w:rsid w:val="00750275"/>
    <w:rsid w:val="007505BA"/>
    <w:rsid w:val="00750617"/>
    <w:rsid w:val="00750E25"/>
    <w:rsid w:val="00751151"/>
    <w:rsid w:val="00751CD5"/>
    <w:rsid w:val="007525BE"/>
    <w:rsid w:val="007527B8"/>
    <w:rsid w:val="0075341B"/>
    <w:rsid w:val="00754349"/>
    <w:rsid w:val="007572B1"/>
    <w:rsid w:val="00761B29"/>
    <w:rsid w:val="00761E94"/>
    <w:rsid w:val="00762068"/>
    <w:rsid w:val="007624F9"/>
    <w:rsid w:val="00763546"/>
    <w:rsid w:val="0076380E"/>
    <w:rsid w:val="00763A39"/>
    <w:rsid w:val="00763A70"/>
    <w:rsid w:val="00763AA5"/>
    <w:rsid w:val="00764E0A"/>
    <w:rsid w:val="00764EF5"/>
    <w:rsid w:val="007662F4"/>
    <w:rsid w:val="007667C1"/>
    <w:rsid w:val="00767416"/>
    <w:rsid w:val="0076755E"/>
    <w:rsid w:val="007710D5"/>
    <w:rsid w:val="00771E1D"/>
    <w:rsid w:val="00772940"/>
    <w:rsid w:val="00772BEE"/>
    <w:rsid w:val="00772C99"/>
    <w:rsid w:val="007741CB"/>
    <w:rsid w:val="0077438A"/>
    <w:rsid w:val="00775470"/>
    <w:rsid w:val="00775814"/>
    <w:rsid w:val="007764F2"/>
    <w:rsid w:val="00776767"/>
    <w:rsid w:val="00776A4D"/>
    <w:rsid w:val="00777E33"/>
    <w:rsid w:val="00780107"/>
    <w:rsid w:val="00780E33"/>
    <w:rsid w:val="007813D6"/>
    <w:rsid w:val="0078158D"/>
    <w:rsid w:val="007819E7"/>
    <w:rsid w:val="00782174"/>
    <w:rsid w:val="00782E50"/>
    <w:rsid w:val="007837AA"/>
    <w:rsid w:val="00784337"/>
    <w:rsid w:val="0078451B"/>
    <w:rsid w:val="007849C3"/>
    <w:rsid w:val="00784E2C"/>
    <w:rsid w:val="007851C7"/>
    <w:rsid w:val="0078544C"/>
    <w:rsid w:val="00786953"/>
    <w:rsid w:val="00790058"/>
    <w:rsid w:val="00790117"/>
    <w:rsid w:val="00790583"/>
    <w:rsid w:val="0079074A"/>
    <w:rsid w:val="00791994"/>
    <w:rsid w:val="00792025"/>
    <w:rsid w:val="007939CD"/>
    <w:rsid w:val="00793D8B"/>
    <w:rsid w:val="00794360"/>
    <w:rsid w:val="00794BE4"/>
    <w:rsid w:val="007954C8"/>
    <w:rsid w:val="00795AE1"/>
    <w:rsid w:val="0079622F"/>
    <w:rsid w:val="007963CE"/>
    <w:rsid w:val="0079750E"/>
    <w:rsid w:val="007A0BE2"/>
    <w:rsid w:val="007A0EFC"/>
    <w:rsid w:val="007A1A16"/>
    <w:rsid w:val="007A264C"/>
    <w:rsid w:val="007A292C"/>
    <w:rsid w:val="007A2B86"/>
    <w:rsid w:val="007A2DC1"/>
    <w:rsid w:val="007A4837"/>
    <w:rsid w:val="007A4AD1"/>
    <w:rsid w:val="007A4CA2"/>
    <w:rsid w:val="007A5756"/>
    <w:rsid w:val="007A5B76"/>
    <w:rsid w:val="007A5DCD"/>
    <w:rsid w:val="007A621A"/>
    <w:rsid w:val="007A6A71"/>
    <w:rsid w:val="007A6C01"/>
    <w:rsid w:val="007A79A4"/>
    <w:rsid w:val="007B086C"/>
    <w:rsid w:val="007B0B75"/>
    <w:rsid w:val="007B12EC"/>
    <w:rsid w:val="007B14B3"/>
    <w:rsid w:val="007B1FE0"/>
    <w:rsid w:val="007B2B4D"/>
    <w:rsid w:val="007B410E"/>
    <w:rsid w:val="007B4128"/>
    <w:rsid w:val="007B4DBA"/>
    <w:rsid w:val="007B5672"/>
    <w:rsid w:val="007B5C20"/>
    <w:rsid w:val="007B64D9"/>
    <w:rsid w:val="007B67CC"/>
    <w:rsid w:val="007B75F1"/>
    <w:rsid w:val="007B78EA"/>
    <w:rsid w:val="007B79D0"/>
    <w:rsid w:val="007B7CAE"/>
    <w:rsid w:val="007B7CF4"/>
    <w:rsid w:val="007C0AE8"/>
    <w:rsid w:val="007C0C3A"/>
    <w:rsid w:val="007C137B"/>
    <w:rsid w:val="007C209A"/>
    <w:rsid w:val="007C232C"/>
    <w:rsid w:val="007C2F92"/>
    <w:rsid w:val="007C30BD"/>
    <w:rsid w:val="007C3543"/>
    <w:rsid w:val="007C3B68"/>
    <w:rsid w:val="007C40D8"/>
    <w:rsid w:val="007C596A"/>
    <w:rsid w:val="007C5D90"/>
    <w:rsid w:val="007C602F"/>
    <w:rsid w:val="007C7003"/>
    <w:rsid w:val="007C70AD"/>
    <w:rsid w:val="007D0DB1"/>
    <w:rsid w:val="007D0F7B"/>
    <w:rsid w:val="007D15FC"/>
    <w:rsid w:val="007D1B41"/>
    <w:rsid w:val="007D1C04"/>
    <w:rsid w:val="007D1D38"/>
    <w:rsid w:val="007D27A2"/>
    <w:rsid w:val="007D34D0"/>
    <w:rsid w:val="007D3B2F"/>
    <w:rsid w:val="007D42A0"/>
    <w:rsid w:val="007D4EB6"/>
    <w:rsid w:val="007D4FAD"/>
    <w:rsid w:val="007D5C5B"/>
    <w:rsid w:val="007D6B28"/>
    <w:rsid w:val="007D73EC"/>
    <w:rsid w:val="007E0E21"/>
    <w:rsid w:val="007E1C34"/>
    <w:rsid w:val="007E1D1A"/>
    <w:rsid w:val="007E2BB7"/>
    <w:rsid w:val="007E3A03"/>
    <w:rsid w:val="007E52DA"/>
    <w:rsid w:val="007E5669"/>
    <w:rsid w:val="007E56F2"/>
    <w:rsid w:val="007E5CDE"/>
    <w:rsid w:val="007E5E98"/>
    <w:rsid w:val="007E666D"/>
    <w:rsid w:val="007E76BF"/>
    <w:rsid w:val="007E7E78"/>
    <w:rsid w:val="007F052A"/>
    <w:rsid w:val="007F06A3"/>
    <w:rsid w:val="007F0B02"/>
    <w:rsid w:val="007F0CFF"/>
    <w:rsid w:val="007F1193"/>
    <w:rsid w:val="007F1A8F"/>
    <w:rsid w:val="007F2614"/>
    <w:rsid w:val="007F2B45"/>
    <w:rsid w:val="007F2CB1"/>
    <w:rsid w:val="007F3721"/>
    <w:rsid w:val="007F3854"/>
    <w:rsid w:val="007F386B"/>
    <w:rsid w:val="007F444A"/>
    <w:rsid w:val="007F4563"/>
    <w:rsid w:val="00800C51"/>
    <w:rsid w:val="00802CB5"/>
    <w:rsid w:val="00803024"/>
    <w:rsid w:val="008034B6"/>
    <w:rsid w:val="00803D3D"/>
    <w:rsid w:val="008042F4"/>
    <w:rsid w:val="00804C99"/>
    <w:rsid w:val="00804DB0"/>
    <w:rsid w:val="008052A7"/>
    <w:rsid w:val="00805F9D"/>
    <w:rsid w:val="00806125"/>
    <w:rsid w:val="00806294"/>
    <w:rsid w:val="0081028B"/>
    <w:rsid w:val="0081047C"/>
    <w:rsid w:val="008105C3"/>
    <w:rsid w:val="008111E3"/>
    <w:rsid w:val="008122DA"/>
    <w:rsid w:val="00812354"/>
    <w:rsid w:val="00812796"/>
    <w:rsid w:val="0081386F"/>
    <w:rsid w:val="00813D29"/>
    <w:rsid w:val="00815113"/>
    <w:rsid w:val="00817C78"/>
    <w:rsid w:val="00820904"/>
    <w:rsid w:val="0082194D"/>
    <w:rsid w:val="00821EF4"/>
    <w:rsid w:val="00822415"/>
    <w:rsid w:val="0082360A"/>
    <w:rsid w:val="00823E93"/>
    <w:rsid w:val="00823FA9"/>
    <w:rsid w:val="00824117"/>
    <w:rsid w:val="00824699"/>
    <w:rsid w:val="00824CD2"/>
    <w:rsid w:val="008256BE"/>
    <w:rsid w:val="008256C8"/>
    <w:rsid w:val="00826AD0"/>
    <w:rsid w:val="0082712E"/>
    <w:rsid w:val="0082745D"/>
    <w:rsid w:val="0083320E"/>
    <w:rsid w:val="00834546"/>
    <w:rsid w:val="00835829"/>
    <w:rsid w:val="00835AE7"/>
    <w:rsid w:val="00835BCC"/>
    <w:rsid w:val="00837036"/>
    <w:rsid w:val="00840E92"/>
    <w:rsid w:val="00841E93"/>
    <w:rsid w:val="0084226F"/>
    <w:rsid w:val="00842FA1"/>
    <w:rsid w:val="0084345A"/>
    <w:rsid w:val="00843A02"/>
    <w:rsid w:val="00844A6E"/>
    <w:rsid w:val="0084511B"/>
    <w:rsid w:val="00846299"/>
    <w:rsid w:val="00846403"/>
    <w:rsid w:val="00846F2C"/>
    <w:rsid w:val="00847515"/>
    <w:rsid w:val="00847B62"/>
    <w:rsid w:val="00850008"/>
    <w:rsid w:val="0085047C"/>
    <w:rsid w:val="008506D7"/>
    <w:rsid w:val="00850FBB"/>
    <w:rsid w:val="00851442"/>
    <w:rsid w:val="00851513"/>
    <w:rsid w:val="0085226F"/>
    <w:rsid w:val="008522AC"/>
    <w:rsid w:val="00852D88"/>
    <w:rsid w:val="00854AB4"/>
    <w:rsid w:val="00854DC5"/>
    <w:rsid w:val="00855216"/>
    <w:rsid w:val="008557E6"/>
    <w:rsid w:val="0085686C"/>
    <w:rsid w:val="00857704"/>
    <w:rsid w:val="00857A99"/>
    <w:rsid w:val="0086116A"/>
    <w:rsid w:val="00861BA3"/>
    <w:rsid w:val="00861BEB"/>
    <w:rsid w:val="00861CED"/>
    <w:rsid w:val="00862707"/>
    <w:rsid w:val="0086394B"/>
    <w:rsid w:val="0086417D"/>
    <w:rsid w:val="0086479C"/>
    <w:rsid w:val="00864DCC"/>
    <w:rsid w:val="008664FA"/>
    <w:rsid w:val="00866D3E"/>
    <w:rsid w:val="00866DB3"/>
    <w:rsid w:val="00867002"/>
    <w:rsid w:val="00867ACD"/>
    <w:rsid w:val="00867CD3"/>
    <w:rsid w:val="00867E4D"/>
    <w:rsid w:val="00867F8D"/>
    <w:rsid w:val="008705DE"/>
    <w:rsid w:val="00871908"/>
    <w:rsid w:val="00871B49"/>
    <w:rsid w:val="00871D0C"/>
    <w:rsid w:val="008746B1"/>
    <w:rsid w:val="00874C26"/>
    <w:rsid w:val="00874F14"/>
    <w:rsid w:val="00875229"/>
    <w:rsid w:val="00875A89"/>
    <w:rsid w:val="00876765"/>
    <w:rsid w:val="00877B0F"/>
    <w:rsid w:val="00880EA8"/>
    <w:rsid w:val="008822C7"/>
    <w:rsid w:val="00882333"/>
    <w:rsid w:val="00882DB0"/>
    <w:rsid w:val="008831FD"/>
    <w:rsid w:val="008834EE"/>
    <w:rsid w:val="008841CF"/>
    <w:rsid w:val="00884FE6"/>
    <w:rsid w:val="008852AC"/>
    <w:rsid w:val="00885D36"/>
    <w:rsid w:val="00886FCF"/>
    <w:rsid w:val="00887C08"/>
    <w:rsid w:val="00890EFB"/>
    <w:rsid w:val="00891934"/>
    <w:rsid w:val="00891B93"/>
    <w:rsid w:val="00891F23"/>
    <w:rsid w:val="0089217A"/>
    <w:rsid w:val="00893F77"/>
    <w:rsid w:val="00894085"/>
    <w:rsid w:val="00894166"/>
    <w:rsid w:val="00894F43"/>
    <w:rsid w:val="008951D7"/>
    <w:rsid w:val="00895531"/>
    <w:rsid w:val="00896233"/>
    <w:rsid w:val="008965F5"/>
    <w:rsid w:val="00897E02"/>
    <w:rsid w:val="008A14B2"/>
    <w:rsid w:val="008A1F73"/>
    <w:rsid w:val="008A27FE"/>
    <w:rsid w:val="008A3E75"/>
    <w:rsid w:val="008A4228"/>
    <w:rsid w:val="008A4D54"/>
    <w:rsid w:val="008A5144"/>
    <w:rsid w:val="008A5388"/>
    <w:rsid w:val="008A5662"/>
    <w:rsid w:val="008A588E"/>
    <w:rsid w:val="008A5DED"/>
    <w:rsid w:val="008A5EF7"/>
    <w:rsid w:val="008A7AB5"/>
    <w:rsid w:val="008B08C3"/>
    <w:rsid w:val="008B08DA"/>
    <w:rsid w:val="008B0A07"/>
    <w:rsid w:val="008B17CD"/>
    <w:rsid w:val="008B1810"/>
    <w:rsid w:val="008B1AF0"/>
    <w:rsid w:val="008B1B80"/>
    <w:rsid w:val="008B23F3"/>
    <w:rsid w:val="008B2457"/>
    <w:rsid w:val="008B3100"/>
    <w:rsid w:val="008B4054"/>
    <w:rsid w:val="008B4610"/>
    <w:rsid w:val="008B52E7"/>
    <w:rsid w:val="008B5A4E"/>
    <w:rsid w:val="008B6A19"/>
    <w:rsid w:val="008C009E"/>
    <w:rsid w:val="008C0670"/>
    <w:rsid w:val="008C09C1"/>
    <w:rsid w:val="008C0E82"/>
    <w:rsid w:val="008C11A5"/>
    <w:rsid w:val="008C19E1"/>
    <w:rsid w:val="008C365D"/>
    <w:rsid w:val="008C3A53"/>
    <w:rsid w:val="008C403C"/>
    <w:rsid w:val="008C522C"/>
    <w:rsid w:val="008C5F27"/>
    <w:rsid w:val="008C61F9"/>
    <w:rsid w:val="008C6C3F"/>
    <w:rsid w:val="008C6E11"/>
    <w:rsid w:val="008C6E1F"/>
    <w:rsid w:val="008C787F"/>
    <w:rsid w:val="008C79E2"/>
    <w:rsid w:val="008D02CA"/>
    <w:rsid w:val="008D0DC7"/>
    <w:rsid w:val="008D0F66"/>
    <w:rsid w:val="008D13C5"/>
    <w:rsid w:val="008D155A"/>
    <w:rsid w:val="008D1825"/>
    <w:rsid w:val="008D1D53"/>
    <w:rsid w:val="008D2474"/>
    <w:rsid w:val="008D2DF1"/>
    <w:rsid w:val="008D3033"/>
    <w:rsid w:val="008D3149"/>
    <w:rsid w:val="008D3623"/>
    <w:rsid w:val="008D38D9"/>
    <w:rsid w:val="008D4912"/>
    <w:rsid w:val="008D6463"/>
    <w:rsid w:val="008D6EAF"/>
    <w:rsid w:val="008D7BEF"/>
    <w:rsid w:val="008E0A3F"/>
    <w:rsid w:val="008E1A64"/>
    <w:rsid w:val="008E1ED6"/>
    <w:rsid w:val="008E24DC"/>
    <w:rsid w:val="008E2BBA"/>
    <w:rsid w:val="008E34D1"/>
    <w:rsid w:val="008E35B9"/>
    <w:rsid w:val="008E3C4E"/>
    <w:rsid w:val="008E40BC"/>
    <w:rsid w:val="008E4A9F"/>
    <w:rsid w:val="008E5FE7"/>
    <w:rsid w:val="008E69EC"/>
    <w:rsid w:val="008F08CC"/>
    <w:rsid w:val="008F12FB"/>
    <w:rsid w:val="008F3066"/>
    <w:rsid w:val="008F4005"/>
    <w:rsid w:val="008F559D"/>
    <w:rsid w:val="008F63EB"/>
    <w:rsid w:val="008F6789"/>
    <w:rsid w:val="008F6A4A"/>
    <w:rsid w:val="009003CB"/>
    <w:rsid w:val="009011C9"/>
    <w:rsid w:val="009015AA"/>
    <w:rsid w:val="00902846"/>
    <w:rsid w:val="00902AD4"/>
    <w:rsid w:val="00902E5D"/>
    <w:rsid w:val="0090442A"/>
    <w:rsid w:val="009051B5"/>
    <w:rsid w:val="0090623C"/>
    <w:rsid w:val="00906CDB"/>
    <w:rsid w:val="00906EB5"/>
    <w:rsid w:val="0091089A"/>
    <w:rsid w:val="00910CF6"/>
    <w:rsid w:val="00910D48"/>
    <w:rsid w:val="00910D89"/>
    <w:rsid w:val="0091101C"/>
    <w:rsid w:val="00911194"/>
    <w:rsid w:val="00911288"/>
    <w:rsid w:val="00911882"/>
    <w:rsid w:val="009123C6"/>
    <w:rsid w:val="00912ABA"/>
    <w:rsid w:val="00913665"/>
    <w:rsid w:val="00913A47"/>
    <w:rsid w:val="00914187"/>
    <w:rsid w:val="009167D1"/>
    <w:rsid w:val="0092002D"/>
    <w:rsid w:val="0092029E"/>
    <w:rsid w:val="00920792"/>
    <w:rsid w:val="00920857"/>
    <w:rsid w:val="00920DDA"/>
    <w:rsid w:val="00920DE6"/>
    <w:rsid w:val="00920FC1"/>
    <w:rsid w:val="00921272"/>
    <w:rsid w:val="009237D3"/>
    <w:rsid w:val="0092396F"/>
    <w:rsid w:val="009247FE"/>
    <w:rsid w:val="009249F6"/>
    <w:rsid w:val="00924C92"/>
    <w:rsid w:val="00924E73"/>
    <w:rsid w:val="00925743"/>
    <w:rsid w:val="00925A62"/>
    <w:rsid w:val="00927000"/>
    <w:rsid w:val="00927598"/>
    <w:rsid w:val="00927AA0"/>
    <w:rsid w:val="0093091D"/>
    <w:rsid w:val="00930B8C"/>
    <w:rsid w:val="0093144A"/>
    <w:rsid w:val="00931E02"/>
    <w:rsid w:val="00931EC9"/>
    <w:rsid w:val="00932910"/>
    <w:rsid w:val="00932975"/>
    <w:rsid w:val="00932995"/>
    <w:rsid w:val="00932E43"/>
    <w:rsid w:val="00932F1B"/>
    <w:rsid w:val="00933239"/>
    <w:rsid w:val="00933261"/>
    <w:rsid w:val="00934403"/>
    <w:rsid w:val="009345B0"/>
    <w:rsid w:val="009346EE"/>
    <w:rsid w:val="00934D28"/>
    <w:rsid w:val="00935374"/>
    <w:rsid w:val="00936E92"/>
    <w:rsid w:val="009377F2"/>
    <w:rsid w:val="009377F8"/>
    <w:rsid w:val="00937B1F"/>
    <w:rsid w:val="00940469"/>
    <w:rsid w:val="009405ED"/>
    <w:rsid w:val="00940B9C"/>
    <w:rsid w:val="00941DC7"/>
    <w:rsid w:val="00941F2E"/>
    <w:rsid w:val="00942B64"/>
    <w:rsid w:val="00942B95"/>
    <w:rsid w:val="0094334A"/>
    <w:rsid w:val="0094369E"/>
    <w:rsid w:val="00943DD3"/>
    <w:rsid w:val="00944387"/>
    <w:rsid w:val="00944522"/>
    <w:rsid w:val="00945571"/>
    <w:rsid w:val="00945787"/>
    <w:rsid w:val="00946558"/>
    <w:rsid w:val="009466F7"/>
    <w:rsid w:val="00946885"/>
    <w:rsid w:val="009472B2"/>
    <w:rsid w:val="0094759E"/>
    <w:rsid w:val="00947E64"/>
    <w:rsid w:val="00950499"/>
    <w:rsid w:val="00951255"/>
    <w:rsid w:val="009512C7"/>
    <w:rsid w:val="00952807"/>
    <w:rsid w:val="00953340"/>
    <w:rsid w:val="0095369D"/>
    <w:rsid w:val="00953D7C"/>
    <w:rsid w:val="00954257"/>
    <w:rsid w:val="00954A99"/>
    <w:rsid w:val="00955BB3"/>
    <w:rsid w:val="009569F5"/>
    <w:rsid w:val="00957657"/>
    <w:rsid w:val="0096017F"/>
    <w:rsid w:val="009606FF"/>
    <w:rsid w:val="00961FCA"/>
    <w:rsid w:val="00962888"/>
    <w:rsid w:val="00962D54"/>
    <w:rsid w:val="00962DAF"/>
    <w:rsid w:val="00962DDF"/>
    <w:rsid w:val="00963218"/>
    <w:rsid w:val="00963950"/>
    <w:rsid w:val="00964A32"/>
    <w:rsid w:val="009650C6"/>
    <w:rsid w:val="0096617C"/>
    <w:rsid w:val="00967186"/>
    <w:rsid w:val="00967D03"/>
    <w:rsid w:val="00967F1B"/>
    <w:rsid w:val="00970312"/>
    <w:rsid w:val="00970377"/>
    <w:rsid w:val="009706EF"/>
    <w:rsid w:val="00970A80"/>
    <w:rsid w:val="00970EE9"/>
    <w:rsid w:val="00971DB7"/>
    <w:rsid w:val="00972FD5"/>
    <w:rsid w:val="009737E5"/>
    <w:rsid w:val="0097549E"/>
    <w:rsid w:val="0097638B"/>
    <w:rsid w:val="009766D5"/>
    <w:rsid w:val="00976E2B"/>
    <w:rsid w:val="00977433"/>
    <w:rsid w:val="00977665"/>
    <w:rsid w:val="00977FC4"/>
    <w:rsid w:val="009819B1"/>
    <w:rsid w:val="00983116"/>
    <w:rsid w:val="00983323"/>
    <w:rsid w:val="00983BFC"/>
    <w:rsid w:val="009840A2"/>
    <w:rsid w:val="00984A2A"/>
    <w:rsid w:val="0098511C"/>
    <w:rsid w:val="00986A8E"/>
    <w:rsid w:val="00987734"/>
    <w:rsid w:val="009906E3"/>
    <w:rsid w:val="00991C1C"/>
    <w:rsid w:val="0099216B"/>
    <w:rsid w:val="0099252C"/>
    <w:rsid w:val="00993309"/>
    <w:rsid w:val="009933EA"/>
    <w:rsid w:val="009935F8"/>
    <w:rsid w:val="00993F40"/>
    <w:rsid w:val="009940F3"/>
    <w:rsid w:val="0099450D"/>
    <w:rsid w:val="009957E4"/>
    <w:rsid w:val="009960F2"/>
    <w:rsid w:val="009965D9"/>
    <w:rsid w:val="009967E2"/>
    <w:rsid w:val="009A0824"/>
    <w:rsid w:val="009A320C"/>
    <w:rsid w:val="009A38A3"/>
    <w:rsid w:val="009A3AE3"/>
    <w:rsid w:val="009A475E"/>
    <w:rsid w:val="009A5F34"/>
    <w:rsid w:val="009A7B74"/>
    <w:rsid w:val="009A7DF6"/>
    <w:rsid w:val="009B0A57"/>
    <w:rsid w:val="009B0EDD"/>
    <w:rsid w:val="009B107E"/>
    <w:rsid w:val="009B163B"/>
    <w:rsid w:val="009B234F"/>
    <w:rsid w:val="009B28D5"/>
    <w:rsid w:val="009B3C7C"/>
    <w:rsid w:val="009B3C8B"/>
    <w:rsid w:val="009B40F6"/>
    <w:rsid w:val="009B411C"/>
    <w:rsid w:val="009B6BD8"/>
    <w:rsid w:val="009B6DF3"/>
    <w:rsid w:val="009B71A0"/>
    <w:rsid w:val="009B73FA"/>
    <w:rsid w:val="009C0846"/>
    <w:rsid w:val="009C0DFE"/>
    <w:rsid w:val="009C2299"/>
    <w:rsid w:val="009C28DF"/>
    <w:rsid w:val="009C32DD"/>
    <w:rsid w:val="009C3C67"/>
    <w:rsid w:val="009C4024"/>
    <w:rsid w:val="009C5722"/>
    <w:rsid w:val="009C595D"/>
    <w:rsid w:val="009C5D49"/>
    <w:rsid w:val="009C621C"/>
    <w:rsid w:val="009C6E07"/>
    <w:rsid w:val="009C6F93"/>
    <w:rsid w:val="009D0749"/>
    <w:rsid w:val="009D111A"/>
    <w:rsid w:val="009D1DCA"/>
    <w:rsid w:val="009D28B0"/>
    <w:rsid w:val="009D34BF"/>
    <w:rsid w:val="009D39ED"/>
    <w:rsid w:val="009D42FC"/>
    <w:rsid w:val="009D5B14"/>
    <w:rsid w:val="009D7C0A"/>
    <w:rsid w:val="009D7E26"/>
    <w:rsid w:val="009D7FE6"/>
    <w:rsid w:val="009E0320"/>
    <w:rsid w:val="009E0334"/>
    <w:rsid w:val="009E0A7E"/>
    <w:rsid w:val="009E11B9"/>
    <w:rsid w:val="009E2F42"/>
    <w:rsid w:val="009E301D"/>
    <w:rsid w:val="009E3352"/>
    <w:rsid w:val="009E3779"/>
    <w:rsid w:val="009E3A7B"/>
    <w:rsid w:val="009E4365"/>
    <w:rsid w:val="009E437C"/>
    <w:rsid w:val="009E4AFE"/>
    <w:rsid w:val="009E4C1F"/>
    <w:rsid w:val="009E4CC1"/>
    <w:rsid w:val="009E4D3E"/>
    <w:rsid w:val="009E5450"/>
    <w:rsid w:val="009E6115"/>
    <w:rsid w:val="009E61CE"/>
    <w:rsid w:val="009E6776"/>
    <w:rsid w:val="009E6836"/>
    <w:rsid w:val="009E7F20"/>
    <w:rsid w:val="009F05A5"/>
    <w:rsid w:val="009F08A7"/>
    <w:rsid w:val="009F0E78"/>
    <w:rsid w:val="009F0FD6"/>
    <w:rsid w:val="009F11A6"/>
    <w:rsid w:val="009F2194"/>
    <w:rsid w:val="009F23F9"/>
    <w:rsid w:val="009F3CFC"/>
    <w:rsid w:val="009F4141"/>
    <w:rsid w:val="009F44D0"/>
    <w:rsid w:val="009F4822"/>
    <w:rsid w:val="009F5614"/>
    <w:rsid w:val="009F57EE"/>
    <w:rsid w:val="009F78FC"/>
    <w:rsid w:val="00A02588"/>
    <w:rsid w:val="00A02CAA"/>
    <w:rsid w:val="00A02CE3"/>
    <w:rsid w:val="00A04674"/>
    <w:rsid w:val="00A05B6C"/>
    <w:rsid w:val="00A05C41"/>
    <w:rsid w:val="00A05D8D"/>
    <w:rsid w:val="00A05EEE"/>
    <w:rsid w:val="00A0632E"/>
    <w:rsid w:val="00A064DB"/>
    <w:rsid w:val="00A06510"/>
    <w:rsid w:val="00A076E0"/>
    <w:rsid w:val="00A10940"/>
    <w:rsid w:val="00A10C61"/>
    <w:rsid w:val="00A11118"/>
    <w:rsid w:val="00A123D3"/>
    <w:rsid w:val="00A12D20"/>
    <w:rsid w:val="00A137C4"/>
    <w:rsid w:val="00A14381"/>
    <w:rsid w:val="00A148C4"/>
    <w:rsid w:val="00A14F78"/>
    <w:rsid w:val="00A153E5"/>
    <w:rsid w:val="00A15C28"/>
    <w:rsid w:val="00A16FC9"/>
    <w:rsid w:val="00A2007E"/>
    <w:rsid w:val="00A20F5D"/>
    <w:rsid w:val="00A21637"/>
    <w:rsid w:val="00A2275C"/>
    <w:rsid w:val="00A239EE"/>
    <w:rsid w:val="00A23D8D"/>
    <w:rsid w:val="00A249DA"/>
    <w:rsid w:val="00A25950"/>
    <w:rsid w:val="00A25AEF"/>
    <w:rsid w:val="00A264C4"/>
    <w:rsid w:val="00A2721C"/>
    <w:rsid w:val="00A27514"/>
    <w:rsid w:val="00A27694"/>
    <w:rsid w:val="00A27695"/>
    <w:rsid w:val="00A2794B"/>
    <w:rsid w:val="00A27D6E"/>
    <w:rsid w:val="00A310DF"/>
    <w:rsid w:val="00A31304"/>
    <w:rsid w:val="00A31507"/>
    <w:rsid w:val="00A31E17"/>
    <w:rsid w:val="00A329E4"/>
    <w:rsid w:val="00A32BEE"/>
    <w:rsid w:val="00A32E56"/>
    <w:rsid w:val="00A33D43"/>
    <w:rsid w:val="00A352D6"/>
    <w:rsid w:val="00A35831"/>
    <w:rsid w:val="00A3586F"/>
    <w:rsid w:val="00A35A94"/>
    <w:rsid w:val="00A35B6F"/>
    <w:rsid w:val="00A35D56"/>
    <w:rsid w:val="00A35FE0"/>
    <w:rsid w:val="00A36063"/>
    <w:rsid w:val="00A36CC2"/>
    <w:rsid w:val="00A36CF4"/>
    <w:rsid w:val="00A36ECC"/>
    <w:rsid w:val="00A4002F"/>
    <w:rsid w:val="00A41F8C"/>
    <w:rsid w:val="00A4262B"/>
    <w:rsid w:val="00A438ED"/>
    <w:rsid w:val="00A440FC"/>
    <w:rsid w:val="00A44684"/>
    <w:rsid w:val="00A44B54"/>
    <w:rsid w:val="00A44D2B"/>
    <w:rsid w:val="00A45C55"/>
    <w:rsid w:val="00A465E7"/>
    <w:rsid w:val="00A46724"/>
    <w:rsid w:val="00A46A95"/>
    <w:rsid w:val="00A4765C"/>
    <w:rsid w:val="00A4767F"/>
    <w:rsid w:val="00A50602"/>
    <w:rsid w:val="00A50A66"/>
    <w:rsid w:val="00A50DC7"/>
    <w:rsid w:val="00A51128"/>
    <w:rsid w:val="00A512B0"/>
    <w:rsid w:val="00A53525"/>
    <w:rsid w:val="00A53FEC"/>
    <w:rsid w:val="00A542E8"/>
    <w:rsid w:val="00A54340"/>
    <w:rsid w:val="00A546F3"/>
    <w:rsid w:val="00A55C74"/>
    <w:rsid w:val="00A56896"/>
    <w:rsid w:val="00A568F5"/>
    <w:rsid w:val="00A57089"/>
    <w:rsid w:val="00A571AA"/>
    <w:rsid w:val="00A573CE"/>
    <w:rsid w:val="00A5773D"/>
    <w:rsid w:val="00A60095"/>
    <w:rsid w:val="00A60FB2"/>
    <w:rsid w:val="00A63435"/>
    <w:rsid w:val="00A645D2"/>
    <w:rsid w:val="00A64BAC"/>
    <w:rsid w:val="00A6500A"/>
    <w:rsid w:val="00A655D4"/>
    <w:rsid w:val="00A660DD"/>
    <w:rsid w:val="00A7001C"/>
    <w:rsid w:val="00A702E0"/>
    <w:rsid w:val="00A707EA"/>
    <w:rsid w:val="00A71D1E"/>
    <w:rsid w:val="00A7332C"/>
    <w:rsid w:val="00A735C1"/>
    <w:rsid w:val="00A73851"/>
    <w:rsid w:val="00A738B7"/>
    <w:rsid w:val="00A74092"/>
    <w:rsid w:val="00A74798"/>
    <w:rsid w:val="00A74DB6"/>
    <w:rsid w:val="00A7583C"/>
    <w:rsid w:val="00A76219"/>
    <w:rsid w:val="00A76CD4"/>
    <w:rsid w:val="00A816BA"/>
    <w:rsid w:val="00A82F99"/>
    <w:rsid w:val="00A832CA"/>
    <w:rsid w:val="00A838EF"/>
    <w:rsid w:val="00A83B04"/>
    <w:rsid w:val="00A858FC"/>
    <w:rsid w:val="00A8648C"/>
    <w:rsid w:val="00A87415"/>
    <w:rsid w:val="00A87B22"/>
    <w:rsid w:val="00A87C1A"/>
    <w:rsid w:val="00A90694"/>
    <w:rsid w:val="00A90A4C"/>
    <w:rsid w:val="00A927D1"/>
    <w:rsid w:val="00A92D41"/>
    <w:rsid w:val="00A95435"/>
    <w:rsid w:val="00A96D71"/>
    <w:rsid w:val="00A97ABC"/>
    <w:rsid w:val="00A97F9A"/>
    <w:rsid w:val="00AA0D0A"/>
    <w:rsid w:val="00AA1180"/>
    <w:rsid w:val="00AA2F28"/>
    <w:rsid w:val="00AA313A"/>
    <w:rsid w:val="00AA3B17"/>
    <w:rsid w:val="00AA4728"/>
    <w:rsid w:val="00AA522F"/>
    <w:rsid w:val="00AA5CDD"/>
    <w:rsid w:val="00AA6186"/>
    <w:rsid w:val="00AA7EF1"/>
    <w:rsid w:val="00AB00A6"/>
    <w:rsid w:val="00AB0B87"/>
    <w:rsid w:val="00AB13B6"/>
    <w:rsid w:val="00AB184C"/>
    <w:rsid w:val="00AB2138"/>
    <w:rsid w:val="00AB2C82"/>
    <w:rsid w:val="00AB3D0B"/>
    <w:rsid w:val="00AB3E07"/>
    <w:rsid w:val="00AB3FAA"/>
    <w:rsid w:val="00AB4717"/>
    <w:rsid w:val="00AB4F3C"/>
    <w:rsid w:val="00AB503E"/>
    <w:rsid w:val="00AB5406"/>
    <w:rsid w:val="00AB58C1"/>
    <w:rsid w:val="00AB5AF2"/>
    <w:rsid w:val="00AB5D3F"/>
    <w:rsid w:val="00AB607C"/>
    <w:rsid w:val="00AB655C"/>
    <w:rsid w:val="00AB6883"/>
    <w:rsid w:val="00AB694D"/>
    <w:rsid w:val="00AB7B18"/>
    <w:rsid w:val="00AC0A4E"/>
    <w:rsid w:val="00AC0ABC"/>
    <w:rsid w:val="00AC0DF0"/>
    <w:rsid w:val="00AC1990"/>
    <w:rsid w:val="00AC1B33"/>
    <w:rsid w:val="00AC1ECB"/>
    <w:rsid w:val="00AC24AD"/>
    <w:rsid w:val="00AC2510"/>
    <w:rsid w:val="00AC29B6"/>
    <w:rsid w:val="00AC2EE1"/>
    <w:rsid w:val="00AC42E3"/>
    <w:rsid w:val="00AC4D98"/>
    <w:rsid w:val="00AC6DE6"/>
    <w:rsid w:val="00AC7104"/>
    <w:rsid w:val="00AC7A4C"/>
    <w:rsid w:val="00AC7AFC"/>
    <w:rsid w:val="00AD04F7"/>
    <w:rsid w:val="00AD06F5"/>
    <w:rsid w:val="00AD14AC"/>
    <w:rsid w:val="00AD1A37"/>
    <w:rsid w:val="00AD24AC"/>
    <w:rsid w:val="00AD24FE"/>
    <w:rsid w:val="00AD38A8"/>
    <w:rsid w:val="00AD3EB6"/>
    <w:rsid w:val="00AD4301"/>
    <w:rsid w:val="00AD47E7"/>
    <w:rsid w:val="00AD53EF"/>
    <w:rsid w:val="00AD6272"/>
    <w:rsid w:val="00AD64BE"/>
    <w:rsid w:val="00AD7030"/>
    <w:rsid w:val="00AD77BF"/>
    <w:rsid w:val="00AD7DC5"/>
    <w:rsid w:val="00AE0C65"/>
    <w:rsid w:val="00AE121D"/>
    <w:rsid w:val="00AE1A15"/>
    <w:rsid w:val="00AE1C1E"/>
    <w:rsid w:val="00AE2373"/>
    <w:rsid w:val="00AE28AC"/>
    <w:rsid w:val="00AE2D98"/>
    <w:rsid w:val="00AE33D6"/>
    <w:rsid w:val="00AE3417"/>
    <w:rsid w:val="00AE448F"/>
    <w:rsid w:val="00AE47D3"/>
    <w:rsid w:val="00AE47E2"/>
    <w:rsid w:val="00AE48D5"/>
    <w:rsid w:val="00AE4D20"/>
    <w:rsid w:val="00AE5649"/>
    <w:rsid w:val="00AE5C92"/>
    <w:rsid w:val="00AE5D4B"/>
    <w:rsid w:val="00AE5FC3"/>
    <w:rsid w:val="00AE65F0"/>
    <w:rsid w:val="00AE6BE6"/>
    <w:rsid w:val="00AE6E7D"/>
    <w:rsid w:val="00AE7650"/>
    <w:rsid w:val="00AE7A49"/>
    <w:rsid w:val="00AF1677"/>
    <w:rsid w:val="00AF1AE7"/>
    <w:rsid w:val="00AF2A29"/>
    <w:rsid w:val="00AF3964"/>
    <w:rsid w:val="00AF3ABD"/>
    <w:rsid w:val="00AF422E"/>
    <w:rsid w:val="00AF453A"/>
    <w:rsid w:val="00AF4635"/>
    <w:rsid w:val="00AF4FAD"/>
    <w:rsid w:val="00AF502E"/>
    <w:rsid w:val="00AF7350"/>
    <w:rsid w:val="00AF756B"/>
    <w:rsid w:val="00AF7A50"/>
    <w:rsid w:val="00B0118E"/>
    <w:rsid w:val="00B01344"/>
    <w:rsid w:val="00B013BD"/>
    <w:rsid w:val="00B02522"/>
    <w:rsid w:val="00B02E2B"/>
    <w:rsid w:val="00B032CE"/>
    <w:rsid w:val="00B045E9"/>
    <w:rsid w:val="00B0554D"/>
    <w:rsid w:val="00B06803"/>
    <w:rsid w:val="00B06EF5"/>
    <w:rsid w:val="00B1004A"/>
    <w:rsid w:val="00B10722"/>
    <w:rsid w:val="00B1077B"/>
    <w:rsid w:val="00B10B00"/>
    <w:rsid w:val="00B110B7"/>
    <w:rsid w:val="00B11453"/>
    <w:rsid w:val="00B1240F"/>
    <w:rsid w:val="00B12737"/>
    <w:rsid w:val="00B138E8"/>
    <w:rsid w:val="00B13A95"/>
    <w:rsid w:val="00B142D8"/>
    <w:rsid w:val="00B14D7C"/>
    <w:rsid w:val="00B14F05"/>
    <w:rsid w:val="00B15A80"/>
    <w:rsid w:val="00B1685A"/>
    <w:rsid w:val="00B172B9"/>
    <w:rsid w:val="00B17B4C"/>
    <w:rsid w:val="00B20096"/>
    <w:rsid w:val="00B2011D"/>
    <w:rsid w:val="00B20D11"/>
    <w:rsid w:val="00B20F02"/>
    <w:rsid w:val="00B21ED0"/>
    <w:rsid w:val="00B2237D"/>
    <w:rsid w:val="00B225C4"/>
    <w:rsid w:val="00B2273B"/>
    <w:rsid w:val="00B22B7F"/>
    <w:rsid w:val="00B22F87"/>
    <w:rsid w:val="00B2330A"/>
    <w:rsid w:val="00B233DE"/>
    <w:rsid w:val="00B259A9"/>
    <w:rsid w:val="00B25E01"/>
    <w:rsid w:val="00B25EE9"/>
    <w:rsid w:val="00B26EFC"/>
    <w:rsid w:val="00B27395"/>
    <w:rsid w:val="00B27D33"/>
    <w:rsid w:val="00B27F9C"/>
    <w:rsid w:val="00B30406"/>
    <w:rsid w:val="00B306F6"/>
    <w:rsid w:val="00B3136F"/>
    <w:rsid w:val="00B32286"/>
    <w:rsid w:val="00B338A5"/>
    <w:rsid w:val="00B34D8F"/>
    <w:rsid w:val="00B367AA"/>
    <w:rsid w:val="00B372C4"/>
    <w:rsid w:val="00B376DE"/>
    <w:rsid w:val="00B377EA"/>
    <w:rsid w:val="00B37954"/>
    <w:rsid w:val="00B37F59"/>
    <w:rsid w:val="00B4019E"/>
    <w:rsid w:val="00B4083B"/>
    <w:rsid w:val="00B40922"/>
    <w:rsid w:val="00B411B9"/>
    <w:rsid w:val="00B4162F"/>
    <w:rsid w:val="00B41DC2"/>
    <w:rsid w:val="00B41EDE"/>
    <w:rsid w:val="00B42E8F"/>
    <w:rsid w:val="00B44AC9"/>
    <w:rsid w:val="00B45B3D"/>
    <w:rsid w:val="00B45F61"/>
    <w:rsid w:val="00B4618E"/>
    <w:rsid w:val="00B46679"/>
    <w:rsid w:val="00B4684C"/>
    <w:rsid w:val="00B46AFF"/>
    <w:rsid w:val="00B471A2"/>
    <w:rsid w:val="00B476FB"/>
    <w:rsid w:val="00B47C93"/>
    <w:rsid w:val="00B5071A"/>
    <w:rsid w:val="00B50742"/>
    <w:rsid w:val="00B5117E"/>
    <w:rsid w:val="00B5135F"/>
    <w:rsid w:val="00B51CD9"/>
    <w:rsid w:val="00B51EB9"/>
    <w:rsid w:val="00B52828"/>
    <w:rsid w:val="00B52A9A"/>
    <w:rsid w:val="00B53A46"/>
    <w:rsid w:val="00B5473C"/>
    <w:rsid w:val="00B54901"/>
    <w:rsid w:val="00B5562E"/>
    <w:rsid w:val="00B56153"/>
    <w:rsid w:val="00B5621D"/>
    <w:rsid w:val="00B57138"/>
    <w:rsid w:val="00B574F8"/>
    <w:rsid w:val="00B579D6"/>
    <w:rsid w:val="00B60FD9"/>
    <w:rsid w:val="00B61BED"/>
    <w:rsid w:val="00B61D59"/>
    <w:rsid w:val="00B61FE4"/>
    <w:rsid w:val="00B6239A"/>
    <w:rsid w:val="00B63204"/>
    <w:rsid w:val="00B6324C"/>
    <w:rsid w:val="00B6333E"/>
    <w:rsid w:val="00B63A39"/>
    <w:rsid w:val="00B63A3F"/>
    <w:rsid w:val="00B640B6"/>
    <w:rsid w:val="00B64986"/>
    <w:rsid w:val="00B64A1C"/>
    <w:rsid w:val="00B64C49"/>
    <w:rsid w:val="00B64FDE"/>
    <w:rsid w:val="00B65738"/>
    <w:rsid w:val="00B70007"/>
    <w:rsid w:val="00B701DF"/>
    <w:rsid w:val="00B70DF6"/>
    <w:rsid w:val="00B745A7"/>
    <w:rsid w:val="00B7484B"/>
    <w:rsid w:val="00B74FDF"/>
    <w:rsid w:val="00B75091"/>
    <w:rsid w:val="00B757B3"/>
    <w:rsid w:val="00B75E32"/>
    <w:rsid w:val="00B76302"/>
    <w:rsid w:val="00B76D89"/>
    <w:rsid w:val="00B77729"/>
    <w:rsid w:val="00B77A60"/>
    <w:rsid w:val="00B80B22"/>
    <w:rsid w:val="00B80BD1"/>
    <w:rsid w:val="00B817A8"/>
    <w:rsid w:val="00B81FF5"/>
    <w:rsid w:val="00B822A3"/>
    <w:rsid w:val="00B85BC6"/>
    <w:rsid w:val="00B86049"/>
    <w:rsid w:val="00B867CE"/>
    <w:rsid w:val="00B869DB"/>
    <w:rsid w:val="00B86F1E"/>
    <w:rsid w:val="00B87BB3"/>
    <w:rsid w:val="00B90A76"/>
    <w:rsid w:val="00B91966"/>
    <w:rsid w:val="00B927C1"/>
    <w:rsid w:val="00B93F85"/>
    <w:rsid w:val="00B945D2"/>
    <w:rsid w:val="00B947C3"/>
    <w:rsid w:val="00B94888"/>
    <w:rsid w:val="00B950A2"/>
    <w:rsid w:val="00B956EE"/>
    <w:rsid w:val="00B95C60"/>
    <w:rsid w:val="00B967F1"/>
    <w:rsid w:val="00B97219"/>
    <w:rsid w:val="00B978FC"/>
    <w:rsid w:val="00BA0103"/>
    <w:rsid w:val="00BA07EF"/>
    <w:rsid w:val="00BA0B01"/>
    <w:rsid w:val="00BA0F0F"/>
    <w:rsid w:val="00BA22CF"/>
    <w:rsid w:val="00BA449A"/>
    <w:rsid w:val="00BA4557"/>
    <w:rsid w:val="00BA4A32"/>
    <w:rsid w:val="00BA51BF"/>
    <w:rsid w:val="00BA7428"/>
    <w:rsid w:val="00BB0158"/>
    <w:rsid w:val="00BB0EC7"/>
    <w:rsid w:val="00BB108C"/>
    <w:rsid w:val="00BB1493"/>
    <w:rsid w:val="00BB1687"/>
    <w:rsid w:val="00BB1ACD"/>
    <w:rsid w:val="00BB1AF7"/>
    <w:rsid w:val="00BB28AD"/>
    <w:rsid w:val="00BB2A92"/>
    <w:rsid w:val="00BB2B77"/>
    <w:rsid w:val="00BB318F"/>
    <w:rsid w:val="00BB3396"/>
    <w:rsid w:val="00BB4028"/>
    <w:rsid w:val="00BB54A7"/>
    <w:rsid w:val="00BB593C"/>
    <w:rsid w:val="00BB605F"/>
    <w:rsid w:val="00BB606F"/>
    <w:rsid w:val="00BB6805"/>
    <w:rsid w:val="00BB68AB"/>
    <w:rsid w:val="00BB6E76"/>
    <w:rsid w:val="00BB74BE"/>
    <w:rsid w:val="00BC09BE"/>
    <w:rsid w:val="00BC1CCF"/>
    <w:rsid w:val="00BC23C5"/>
    <w:rsid w:val="00BC27A2"/>
    <w:rsid w:val="00BC281A"/>
    <w:rsid w:val="00BC3170"/>
    <w:rsid w:val="00BC3256"/>
    <w:rsid w:val="00BC334B"/>
    <w:rsid w:val="00BC3F26"/>
    <w:rsid w:val="00BC4297"/>
    <w:rsid w:val="00BC4D4D"/>
    <w:rsid w:val="00BC5109"/>
    <w:rsid w:val="00BC70BE"/>
    <w:rsid w:val="00BC73B9"/>
    <w:rsid w:val="00BC7A3E"/>
    <w:rsid w:val="00BC7FA6"/>
    <w:rsid w:val="00BD0A72"/>
    <w:rsid w:val="00BD11A9"/>
    <w:rsid w:val="00BD1B29"/>
    <w:rsid w:val="00BD1E1D"/>
    <w:rsid w:val="00BD235C"/>
    <w:rsid w:val="00BD292B"/>
    <w:rsid w:val="00BD2D67"/>
    <w:rsid w:val="00BD31B4"/>
    <w:rsid w:val="00BD31E3"/>
    <w:rsid w:val="00BD32B5"/>
    <w:rsid w:val="00BD351F"/>
    <w:rsid w:val="00BD3D3E"/>
    <w:rsid w:val="00BD404C"/>
    <w:rsid w:val="00BD4E13"/>
    <w:rsid w:val="00BD4EFD"/>
    <w:rsid w:val="00BD51B5"/>
    <w:rsid w:val="00BD5217"/>
    <w:rsid w:val="00BD52BD"/>
    <w:rsid w:val="00BD5840"/>
    <w:rsid w:val="00BD5D94"/>
    <w:rsid w:val="00BD6292"/>
    <w:rsid w:val="00BD6878"/>
    <w:rsid w:val="00BD6B84"/>
    <w:rsid w:val="00BD76F4"/>
    <w:rsid w:val="00BE0159"/>
    <w:rsid w:val="00BE025B"/>
    <w:rsid w:val="00BE02B1"/>
    <w:rsid w:val="00BE0B90"/>
    <w:rsid w:val="00BE0C5C"/>
    <w:rsid w:val="00BE30C1"/>
    <w:rsid w:val="00BE4BE8"/>
    <w:rsid w:val="00BE4DBC"/>
    <w:rsid w:val="00BE503B"/>
    <w:rsid w:val="00BE5F19"/>
    <w:rsid w:val="00BE68A0"/>
    <w:rsid w:val="00BF020D"/>
    <w:rsid w:val="00BF07E6"/>
    <w:rsid w:val="00BF081B"/>
    <w:rsid w:val="00BF0DE4"/>
    <w:rsid w:val="00BF1F70"/>
    <w:rsid w:val="00BF246A"/>
    <w:rsid w:val="00BF2CC8"/>
    <w:rsid w:val="00BF3170"/>
    <w:rsid w:val="00BF3AFA"/>
    <w:rsid w:val="00BF3C26"/>
    <w:rsid w:val="00BF4289"/>
    <w:rsid w:val="00BF529A"/>
    <w:rsid w:val="00BF55CB"/>
    <w:rsid w:val="00BF5677"/>
    <w:rsid w:val="00BF5981"/>
    <w:rsid w:val="00BF5C16"/>
    <w:rsid w:val="00BF797F"/>
    <w:rsid w:val="00BF7A34"/>
    <w:rsid w:val="00BF7BDC"/>
    <w:rsid w:val="00BF7C7A"/>
    <w:rsid w:val="00C002CF"/>
    <w:rsid w:val="00C009A5"/>
    <w:rsid w:val="00C00C40"/>
    <w:rsid w:val="00C019D0"/>
    <w:rsid w:val="00C0210C"/>
    <w:rsid w:val="00C033F9"/>
    <w:rsid w:val="00C04BD7"/>
    <w:rsid w:val="00C05E53"/>
    <w:rsid w:val="00C06269"/>
    <w:rsid w:val="00C06418"/>
    <w:rsid w:val="00C07731"/>
    <w:rsid w:val="00C07AAE"/>
    <w:rsid w:val="00C07D61"/>
    <w:rsid w:val="00C109F3"/>
    <w:rsid w:val="00C113A8"/>
    <w:rsid w:val="00C1241A"/>
    <w:rsid w:val="00C125F5"/>
    <w:rsid w:val="00C12650"/>
    <w:rsid w:val="00C126B4"/>
    <w:rsid w:val="00C13053"/>
    <w:rsid w:val="00C13247"/>
    <w:rsid w:val="00C13A1B"/>
    <w:rsid w:val="00C13F44"/>
    <w:rsid w:val="00C147A2"/>
    <w:rsid w:val="00C14E52"/>
    <w:rsid w:val="00C1550C"/>
    <w:rsid w:val="00C156A3"/>
    <w:rsid w:val="00C15D61"/>
    <w:rsid w:val="00C162EB"/>
    <w:rsid w:val="00C1639C"/>
    <w:rsid w:val="00C1692C"/>
    <w:rsid w:val="00C17AF7"/>
    <w:rsid w:val="00C17F6B"/>
    <w:rsid w:val="00C20F1A"/>
    <w:rsid w:val="00C210E1"/>
    <w:rsid w:val="00C210FE"/>
    <w:rsid w:val="00C22071"/>
    <w:rsid w:val="00C2259A"/>
    <w:rsid w:val="00C226CC"/>
    <w:rsid w:val="00C22BDD"/>
    <w:rsid w:val="00C2340D"/>
    <w:rsid w:val="00C23F32"/>
    <w:rsid w:val="00C24826"/>
    <w:rsid w:val="00C24886"/>
    <w:rsid w:val="00C262C5"/>
    <w:rsid w:val="00C267C3"/>
    <w:rsid w:val="00C26C9C"/>
    <w:rsid w:val="00C2770F"/>
    <w:rsid w:val="00C3010E"/>
    <w:rsid w:val="00C303CF"/>
    <w:rsid w:val="00C30EAF"/>
    <w:rsid w:val="00C319E9"/>
    <w:rsid w:val="00C31A31"/>
    <w:rsid w:val="00C31EEB"/>
    <w:rsid w:val="00C33BB6"/>
    <w:rsid w:val="00C33F5B"/>
    <w:rsid w:val="00C3554E"/>
    <w:rsid w:val="00C3591A"/>
    <w:rsid w:val="00C3687F"/>
    <w:rsid w:val="00C40245"/>
    <w:rsid w:val="00C408F4"/>
    <w:rsid w:val="00C40926"/>
    <w:rsid w:val="00C41AFB"/>
    <w:rsid w:val="00C41E7E"/>
    <w:rsid w:val="00C4242D"/>
    <w:rsid w:val="00C42660"/>
    <w:rsid w:val="00C447A9"/>
    <w:rsid w:val="00C44D77"/>
    <w:rsid w:val="00C45132"/>
    <w:rsid w:val="00C45586"/>
    <w:rsid w:val="00C45DB6"/>
    <w:rsid w:val="00C45EA7"/>
    <w:rsid w:val="00C461A7"/>
    <w:rsid w:val="00C50CF5"/>
    <w:rsid w:val="00C519DE"/>
    <w:rsid w:val="00C5237B"/>
    <w:rsid w:val="00C5285B"/>
    <w:rsid w:val="00C52C8A"/>
    <w:rsid w:val="00C5382B"/>
    <w:rsid w:val="00C53FD6"/>
    <w:rsid w:val="00C540A2"/>
    <w:rsid w:val="00C5445F"/>
    <w:rsid w:val="00C54691"/>
    <w:rsid w:val="00C55290"/>
    <w:rsid w:val="00C55885"/>
    <w:rsid w:val="00C560F1"/>
    <w:rsid w:val="00C56A5E"/>
    <w:rsid w:val="00C57BEA"/>
    <w:rsid w:val="00C60809"/>
    <w:rsid w:val="00C613FB"/>
    <w:rsid w:val="00C61434"/>
    <w:rsid w:val="00C616DE"/>
    <w:rsid w:val="00C619C1"/>
    <w:rsid w:val="00C61D3F"/>
    <w:rsid w:val="00C61DCE"/>
    <w:rsid w:val="00C621F3"/>
    <w:rsid w:val="00C6236A"/>
    <w:rsid w:val="00C625E7"/>
    <w:rsid w:val="00C62C20"/>
    <w:rsid w:val="00C6453E"/>
    <w:rsid w:val="00C649DC"/>
    <w:rsid w:val="00C65A7E"/>
    <w:rsid w:val="00C66637"/>
    <w:rsid w:val="00C666DA"/>
    <w:rsid w:val="00C66CFB"/>
    <w:rsid w:val="00C66E6F"/>
    <w:rsid w:val="00C671F3"/>
    <w:rsid w:val="00C6757D"/>
    <w:rsid w:val="00C6773C"/>
    <w:rsid w:val="00C70E68"/>
    <w:rsid w:val="00C714F0"/>
    <w:rsid w:val="00C72207"/>
    <w:rsid w:val="00C725AF"/>
    <w:rsid w:val="00C72CE0"/>
    <w:rsid w:val="00C72DB6"/>
    <w:rsid w:val="00C72E35"/>
    <w:rsid w:val="00C734E4"/>
    <w:rsid w:val="00C741B0"/>
    <w:rsid w:val="00C7445C"/>
    <w:rsid w:val="00C767F4"/>
    <w:rsid w:val="00C76CA4"/>
    <w:rsid w:val="00C80317"/>
    <w:rsid w:val="00C807DA"/>
    <w:rsid w:val="00C8140F"/>
    <w:rsid w:val="00C81A2D"/>
    <w:rsid w:val="00C81A35"/>
    <w:rsid w:val="00C81F14"/>
    <w:rsid w:val="00C82285"/>
    <w:rsid w:val="00C826A8"/>
    <w:rsid w:val="00C8281D"/>
    <w:rsid w:val="00C83E7B"/>
    <w:rsid w:val="00C84009"/>
    <w:rsid w:val="00C856A6"/>
    <w:rsid w:val="00C85906"/>
    <w:rsid w:val="00C85F2D"/>
    <w:rsid w:val="00C864F9"/>
    <w:rsid w:val="00C870C9"/>
    <w:rsid w:val="00C871C0"/>
    <w:rsid w:val="00C873FA"/>
    <w:rsid w:val="00C90C55"/>
    <w:rsid w:val="00C90EA2"/>
    <w:rsid w:val="00C90F2F"/>
    <w:rsid w:val="00C9121E"/>
    <w:rsid w:val="00C91B86"/>
    <w:rsid w:val="00C92420"/>
    <w:rsid w:val="00C924D1"/>
    <w:rsid w:val="00C925E0"/>
    <w:rsid w:val="00C926A8"/>
    <w:rsid w:val="00C93020"/>
    <w:rsid w:val="00C93160"/>
    <w:rsid w:val="00C947B5"/>
    <w:rsid w:val="00C94BCD"/>
    <w:rsid w:val="00C95246"/>
    <w:rsid w:val="00C95771"/>
    <w:rsid w:val="00C957AB"/>
    <w:rsid w:val="00C96894"/>
    <w:rsid w:val="00C96A58"/>
    <w:rsid w:val="00C96F45"/>
    <w:rsid w:val="00C97767"/>
    <w:rsid w:val="00C97D7C"/>
    <w:rsid w:val="00CA019A"/>
    <w:rsid w:val="00CA0359"/>
    <w:rsid w:val="00CA1541"/>
    <w:rsid w:val="00CA1649"/>
    <w:rsid w:val="00CA1CD5"/>
    <w:rsid w:val="00CA20F8"/>
    <w:rsid w:val="00CA210C"/>
    <w:rsid w:val="00CA2840"/>
    <w:rsid w:val="00CA2D5A"/>
    <w:rsid w:val="00CA3D24"/>
    <w:rsid w:val="00CA430F"/>
    <w:rsid w:val="00CA5CEF"/>
    <w:rsid w:val="00CA5E0A"/>
    <w:rsid w:val="00CA750D"/>
    <w:rsid w:val="00CB086B"/>
    <w:rsid w:val="00CB0C1F"/>
    <w:rsid w:val="00CB1732"/>
    <w:rsid w:val="00CB1942"/>
    <w:rsid w:val="00CB3514"/>
    <w:rsid w:val="00CB3E79"/>
    <w:rsid w:val="00CB40C8"/>
    <w:rsid w:val="00CB4348"/>
    <w:rsid w:val="00CB576D"/>
    <w:rsid w:val="00CB5906"/>
    <w:rsid w:val="00CB5AED"/>
    <w:rsid w:val="00CB6136"/>
    <w:rsid w:val="00CB6316"/>
    <w:rsid w:val="00CB6AF0"/>
    <w:rsid w:val="00CB6E0D"/>
    <w:rsid w:val="00CB7376"/>
    <w:rsid w:val="00CB79C0"/>
    <w:rsid w:val="00CC0759"/>
    <w:rsid w:val="00CC1216"/>
    <w:rsid w:val="00CC14C2"/>
    <w:rsid w:val="00CC1E36"/>
    <w:rsid w:val="00CC33DE"/>
    <w:rsid w:val="00CC37FA"/>
    <w:rsid w:val="00CC39F6"/>
    <w:rsid w:val="00CC4469"/>
    <w:rsid w:val="00CC4AC7"/>
    <w:rsid w:val="00CC55EA"/>
    <w:rsid w:val="00CC575F"/>
    <w:rsid w:val="00CC651E"/>
    <w:rsid w:val="00CC65EE"/>
    <w:rsid w:val="00CC6765"/>
    <w:rsid w:val="00CD07AA"/>
    <w:rsid w:val="00CD086B"/>
    <w:rsid w:val="00CD0E84"/>
    <w:rsid w:val="00CD12E2"/>
    <w:rsid w:val="00CD18BC"/>
    <w:rsid w:val="00CD24ED"/>
    <w:rsid w:val="00CD289F"/>
    <w:rsid w:val="00CD2C9F"/>
    <w:rsid w:val="00CD2E2C"/>
    <w:rsid w:val="00CD51B8"/>
    <w:rsid w:val="00CD5516"/>
    <w:rsid w:val="00CD5B8A"/>
    <w:rsid w:val="00CD621C"/>
    <w:rsid w:val="00CD67FE"/>
    <w:rsid w:val="00CD7A23"/>
    <w:rsid w:val="00CE02F2"/>
    <w:rsid w:val="00CE05CE"/>
    <w:rsid w:val="00CE09E1"/>
    <w:rsid w:val="00CE16DA"/>
    <w:rsid w:val="00CE21A5"/>
    <w:rsid w:val="00CE231C"/>
    <w:rsid w:val="00CE2655"/>
    <w:rsid w:val="00CE3CC8"/>
    <w:rsid w:val="00CE3D3F"/>
    <w:rsid w:val="00CE41B5"/>
    <w:rsid w:val="00CE44B2"/>
    <w:rsid w:val="00CE4E23"/>
    <w:rsid w:val="00CE52B4"/>
    <w:rsid w:val="00CE5533"/>
    <w:rsid w:val="00CE5E6F"/>
    <w:rsid w:val="00CE6108"/>
    <w:rsid w:val="00CE733C"/>
    <w:rsid w:val="00CF0C1D"/>
    <w:rsid w:val="00CF0FC2"/>
    <w:rsid w:val="00CF1730"/>
    <w:rsid w:val="00CF1770"/>
    <w:rsid w:val="00CF1796"/>
    <w:rsid w:val="00CF23FF"/>
    <w:rsid w:val="00CF2DB9"/>
    <w:rsid w:val="00CF3406"/>
    <w:rsid w:val="00CF3E10"/>
    <w:rsid w:val="00CF4111"/>
    <w:rsid w:val="00CF5431"/>
    <w:rsid w:val="00CF54E0"/>
    <w:rsid w:val="00CF55A2"/>
    <w:rsid w:val="00CF5E38"/>
    <w:rsid w:val="00CF7892"/>
    <w:rsid w:val="00D0055B"/>
    <w:rsid w:val="00D008B1"/>
    <w:rsid w:val="00D00E0D"/>
    <w:rsid w:val="00D01C4B"/>
    <w:rsid w:val="00D01D91"/>
    <w:rsid w:val="00D01FD3"/>
    <w:rsid w:val="00D02135"/>
    <w:rsid w:val="00D02885"/>
    <w:rsid w:val="00D02A51"/>
    <w:rsid w:val="00D032B2"/>
    <w:rsid w:val="00D0341C"/>
    <w:rsid w:val="00D03AB2"/>
    <w:rsid w:val="00D03B84"/>
    <w:rsid w:val="00D0429E"/>
    <w:rsid w:val="00D043FD"/>
    <w:rsid w:val="00D04731"/>
    <w:rsid w:val="00D057E4"/>
    <w:rsid w:val="00D05A9D"/>
    <w:rsid w:val="00D07E44"/>
    <w:rsid w:val="00D07F28"/>
    <w:rsid w:val="00D106AF"/>
    <w:rsid w:val="00D122A6"/>
    <w:rsid w:val="00D13851"/>
    <w:rsid w:val="00D13883"/>
    <w:rsid w:val="00D13A30"/>
    <w:rsid w:val="00D13A46"/>
    <w:rsid w:val="00D13C53"/>
    <w:rsid w:val="00D145BA"/>
    <w:rsid w:val="00D14F20"/>
    <w:rsid w:val="00D1586F"/>
    <w:rsid w:val="00D160DC"/>
    <w:rsid w:val="00D16CDB"/>
    <w:rsid w:val="00D17030"/>
    <w:rsid w:val="00D17838"/>
    <w:rsid w:val="00D20282"/>
    <w:rsid w:val="00D203CE"/>
    <w:rsid w:val="00D20935"/>
    <w:rsid w:val="00D2108A"/>
    <w:rsid w:val="00D216F5"/>
    <w:rsid w:val="00D21814"/>
    <w:rsid w:val="00D22485"/>
    <w:rsid w:val="00D22F95"/>
    <w:rsid w:val="00D230E9"/>
    <w:rsid w:val="00D23189"/>
    <w:rsid w:val="00D23B16"/>
    <w:rsid w:val="00D24DCA"/>
    <w:rsid w:val="00D25B8C"/>
    <w:rsid w:val="00D268E0"/>
    <w:rsid w:val="00D26A88"/>
    <w:rsid w:val="00D26F5A"/>
    <w:rsid w:val="00D30384"/>
    <w:rsid w:val="00D30762"/>
    <w:rsid w:val="00D30D28"/>
    <w:rsid w:val="00D30FB9"/>
    <w:rsid w:val="00D334BE"/>
    <w:rsid w:val="00D33AF1"/>
    <w:rsid w:val="00D33B7E"/>
    <w:rsid w:val="00D34DB0"/>
    <w:rsid w:val="00D35CE7"/>
    <w:rsid w:val="00D35E9B"/>
    <w:rsid w:val="00D36D74"/>
    <w:rsid w:val="00D371CD"/>
    <w:rsid w:val="00D374A5"/>
    <w:rsid w:val="00D37FF8"/>
    <w:rsid w:val="00D40F95"/>
    <w:rsid w:val="00D4121D"/>
    <w:rsid w:val="00D42B35"/>
    <w:rsid w:val="00D4320E"/>
    <w:rsid w:val="00D433FD"/>
    <w:rsid w:val="00D43D39"/>
    <w:rsid w:val="00D45A99"/>
    <w:rsid w:val="00D45EC7"/>
    <w:rsid w:val="00D46D79"/>
    <w:rsid w:val="00D4755D"/>
    <w:rsid w:val="00D47706"/>
    <w:rsid w:val="00D477B9"/>
    <w:rsid w:val="00D47C86"/>
    <w:rsid w:val="00D5135A"/>
    <w:rsid w:val="00D51D7D"/>
    <w:rsid w:val="00D520B0"/>
    <w:rsid w:val="00D52145"/>
    <w:rsid w:val="00D52282"/>
    <w:rsid w:val="00D522B5"/>
    <w:rsid w:val="00D522F1"/>
    <w:rsid w:val="00D52931"/>
    <w:rsid w:val="00D531E0"/>
    <w:rsid w:val="00D5351A"/>
    <w:rsid w:val="00D54E06"/>
    <w:rsid w:val="00D55A99"/>
    <w:rsid w:val="00D55BFA"/>
    <w:rsid w:val="00D55CBE"/>
    <w:rsid w:val="00D57AC7"/>
    <w:rsid w:val="00D57BD4"/>
    <w:rsid w:val="00D61AEA"/>
    <w:rsid w:val="00D61EE3"/>
    <w:rsid w:val="00D62626"/>
    <w:rsid w:val="00D62BC4"/>
    <w:rsid w:val="00D63DC4"/>
    <w:rsid w:val="00D64F0F"/>
    <w:rsid w:val="00D65840"/>
    <w:rsid w:val="00D662A7"/>
    <w:rsid w:val="00D663C3"/>
    <w:rsid w:val="00D6674D"/>
    <w:rsid w:val="00D66ADE"/>
    <w:rsid w:val="00D66B1B"/>
    <w:rsid w:val="00D672F3"/>
    <w:rsid w:val="00D6777F"/>
    <w:rsid w:val="00D678C2"/>
    <w:rsid w:val="00D67AB2"/>
    <w:rsid w:val="00D67D00"/>
    <w:rsid w:val="00D70BEE"/>
    <w:rsid w:val="00D72337"/>
    <w:rsid w:val="00D724E3"/>
    <w:rsid w:val="00D7290B"/>
    <w:rsid w:val="00D735D8"/>
    <w:rsid w:val="00D73997"/>
    <w:rsid w:val="00D73ED2"/>
    <w:rsid w:val="00D74084"/>
    <w:rsid w:val="00D75348"/>
    <w:rsid w:val="00D75BD3"/>
    <w:rsid w:val="00D760F4"/>
    <w:rsid w:val="00D761A2"/>
    <w:rsid w:val="00D767DE"/>
    <w:rsid w:val="00D77CD0"/>
    <w:rsid w:val="00D80AF5"/>
    <w:rsid w:val="00D81299"/>
    <w:rsid w:val="00D82936"/>
    <w:rsid w:val="00D83684"/>
    <w:rsid w:val="00D83816"/>
    <w:rsid w:val="00D83BFA"/>
    <w:rsid w:val="00D84748"/>
    <w:rsid w:val="00D8490A"/>
    <w:rsid w:val="00D84B12"/>
    <w:rsid w:val="00D84D0E"/>
    <w:rsid w:val="00D85193"/>
    <w:rsid w:val="00D853E9"/>
    <w:rsid w:val="00D8678B"/>
    <w:rsid w:val="00D86A7F"/>
    <w:rsid w:val="00D8741D"/>
    <w:rsid w:val="00D877EF"/>
    <w:rsid w:val="00D87E3E"/>
    <w:rsid w:val="00D917A4"/>
    <w:rsid w:val="00D91C13"/>
    <w:rsid w:val="00D92141"/>
    <w:rsid w:val="00D92215"/>
    <w:rsid w:val="00D922D0"/>
    <w:rsid w:val="00D926BA"/>
    <w:rsid w:val="00D93122"/>
    <w:rsid w:val="00D93B3F"/>
    <w:rsid w:val="00D93D69"/>
    <w:rsid w:val="00D94E20"/>
    <w:rsid w:val="00D96312"/>
    <w:rsid w:val="00D967EC"/>
    <w:rsid w:val="00D96B14"/>
    <w:rsid w:val="00D975BF"/>
    <w:rsid w:val="00D97A03"/>
    <w:rsid w:val="00DA02AB"/>
    <w:rsid w:val="00DA06DE"/>
    <w:rsid w:val="00DA078D"/>
    <w:rsid w:val="00DA0969"/>
    <w:rsid w:val="00DA09F8"/>
    <w:rsid w:val="00DA189D"/>
    <w:rsid w:val="00DA191B"/>
    <w:rsid w:val="00DA19CF"/>
    <w:rsid w:val="00DA26D1"/>
    <w:rsid w:val="00DA272C"/>
    <w:rsid w:val="00DA2C8F"/>
    <w:rsid w:val="00DA4DA9"/>
    <w:rsid w:val="00DA51F6"/>
    <w:rsid w:val="00DA5422"/>
    <w:rsid w:val="00DA5AA7"/>
    <w:rsid w:val="00DA6FD7"/>
    <w:rsid w:val="00DA7109"/>
    <w:rsid w:val="00DB054B"/>
    <w:rsid w:val="00DB06C9"/>
    <w:rsid w:val="00DB1BB5"/>
    <w:rsid w:val="00DB1F47"/>
    <w:rsid w:val="00DB234A"/>
    <w:rsid w:val="00DB324C"/>
    <w:rsid w:val="00DB34EE"/>
    <w:rsid w:val="00DB3520"/>
    <w:rsid w:val="00DB3681"/>
    <w:rsid w:val="00DB4F29"/>
    <w:rsid w:val="00DB59E4"/>
    <w:rsid w:val="00DB5C6D"/>
    <w:rsid w:val="00DB6BBC"/>
    <w:rsid w:val="00DB757B"/>
    <w:rsid w:val="00DC0182"/>
    <w:rsid w:val="00DC0F55"/>
    <w:rsid w:val="00DC150F"/>
    <w:rsid w:val="00DC18DE"/>
    <w:rsid w:val="00DC24E5"/>
    <w:rsid w:val="00DC256A"/>
    <w:rsid w:val="00DC38B7"/>
    <w:rsid w:val="00DC419F"/>
    <w:rsid w:val="00DC507D"/>
    <w:rsid w:val="00DC6C98"/>
    <w:rsid w:val="00DC7E84"/>
    <w:rsid w:val="00DD127A"/>
    <w:rsid w:val="00DD18CD"/>
    <w:rsid w:val="00DD433B"/>
    <w:rsid w:val="00DD5013"/>
    <w:rsid w:val="00DD79A9"/>
    <w:rsid w:val="00DD7CDB"/>
    <w:rsid w:val="00DE22E4"/>
    <w:rsid w:val="00DE23BD"/>
    <w:rsid w:val="00DE2578"/>
    <w:rsid w:val="00DE2A34"/>
    <w:rsid w:val="00DE2BF5"/>
    <w:rsid w:val="00DE2DC7"/>
    <w:rsid w:val="00DE35D8"/>
    <w:rsid w:val="00DE3826"/>
    <w:rsid w:val="00DE4319"/>
    <w:rsid w:val="00DE46C3"/>
    <w:rsid w:val="00DE49BF"/>
    <w:rsid w:val="00DE53DA"/>
    <w:rsid w:val="00DE63F4"/>
    <w:rsid w:val="00DE7523"/>
    <w:rsid w:val="00DF0D22"/>
    <w:rsid w:val="00DF101C"/>
    <w:rsid w:val="00DF11A8"/>
    <w:rsid w:val="00DF1EFB"/>
    <w:rsid w:val="00DF2638"/>
    <w:rsid w:val="00DF376D"/>
    <w:rsid w:val="00DF3821"/>
    <w:rsid w:val="00DF3D9C"/>
    <w:rsid w:val="00DF493B"/>
    <w:rsid w:val="00DF49C2"/>
    <w:rsid w:val="00DF49E2"/>
    <w:rsid w:val="00DF4F8B"/>
    <w:rsid w:val="00DF6076"/>
    <w:rsid w:val="00DF60AA"/>
    <w:rsid w:val="00DF624A"/>
    <w:rsid w:val="00DF6606"/>
    <w:rsid w:val="00DF6649"/>
    <w:rsid w:val="00DF6BD1"/>
    <w:rsid w:val="00DF7081"/>
    <w:rsid w:val="00DF7083"/>
    <w:rsid w:val="00DF7988"/>
    <w:rsid w:val="00DF79BB"/>
    <w:rsid w:val="00DF7D95"/>
    <w:rsid w:val="00E00429"/>
    <w:rsid w:val="00E00574"/>
    <w:rsid w:val="00E00915"/>
    <w:rsid w:val="00E01A61"/>
    <w:rsid w:val="00E02057"/>
    <w:rsid w:val="00E025EE"/>
    <w:rsid w:val="00E0316F"/>
    <w:rsid w:val="00E0451C"/>
    <w:rsid w:val="00E05FEA"/>
    <w:rsid w:val="00E06554"/>
    <w:rsid w:val="00E06984"/>
    <w:rsid w:val="00E06E54"/>
    <w:rsid w:val="00E07A82"/>
    <w:rsid w:val="00E07AE0"/>
    <w:rsid w:val="00E1039F"/>
    <w:rsid w:val="00E105A0"/>
    <w:rsid w:val="00E10FF3"/>
    <w:rsid w:val="00E11217"/>
    <w:rsid w:val="00E112BF"/>
    <w:rsid w:val="00E119FA"/>
    <w:rsid w:val="00E11F0B"/>
    <w:rsid w:val="00E1217B"/>
    <w:rsid w:val="00E12FB1"/>
    <w:rsid w:val="00E136FC"/>
    <w:rsid w:val="00E140A6"/>
    <w:rsid w:val="00E150B0"/>
    <w:rsid w:val="00E1531D"/>
    <w:rsid w:val="00E154DD"/>
    <w:rsid w:val="00E15B43"/>
    <w:rsid w:val="00E1639B"/>
    <w:rsid w:val="00E1656F"/>
    <w:rsid w:val="00E16990"/>
    <w:rsid w:val="00E16C39"/>
    <w:rsid w:val="00E17622"/>
    <w:rsid w:val="00E202EA"/>
    <w:rsid w:val="00E2089E"/>
    <w:rsid w:val="00E21272"/>
    <w:rsid w:val="00E21A5C"/>
    <w:rsid w:val="00E2247C"/>
    <w:rsid w:val="00E23D78"/>
    <w:rsid w:val="00E2442A"/>
    <w:rsid w:val="00E25530"/>
    <w:rsid w:val="00E268AC"/>
    <w:rsid w:val="00E27662"/>
    <w:rsid w:val="00E2768D"/>
    <w:rsid w:val="00E3039B"/>
    <w:rsid w:val="00E3064F"/>
    <w:rsid w:val="00E30881"/>
    <w:rsid w:val="00E308D7"/>
    <w:rsid w:val="00E3162F"/>
    <w:rsid w:val="00E3184D"/>
    <w:rsid w:val="00E33715"/>
    <w:rsid w:val="00E33EC6"/>
    <w:rsid w:val="00E34E29"/>
    <w:rsid w:val="00E35458"/>
    <w:rsid w:val="00E35AC7"/>
    <w:rsid w:val="00E36981"/>
    <w:rsid w:val="00E370D8"/>
    <w:rsid w:val="00E37726"/>
    <w:rsid w:val="00E377FF"/>
    <w:rsid w:val="00E40778"/>
    <w:rsid w:val="00E40C15"/>
    <w:rsid w:val="00E40D93"/>
    <w:rsid w:val="00E40DA0"/>
    <w:rsid w:val="00E43348"/>
    <w:rsid w:val="00E43366"/>
    <w:rsid w:val="00E44873"/>
    <w:rsid w:val="00E45507"/>
    <w:rsid w:val="00E45839"/>
    <w:rsid w:val="00E46680"/>
    <w:rsid w:val="00E4692B"/>
    <w:rsid w:val="00E46E0A"/>
    <w:rsid w:val="00E4766C"/>
    <w:rsid w:val="00E4774B"/>
    <w:rsid w:val="00E47BD2"/>
    <w:rsid w:val="00E50C59"/>
    <w:rsid w:val="00E51C11"/>
    <w:rsid w:val="00E53880"/>
    <w:rsid w:val="00E53AD3"/>
    <w:rsid w:val="00E5501A"/>
    <w:rsid w:val="00E5581C"/>
    <w:rsid w:val="00E558BF"/>
    <w:rsid w:val="00E55E34"/>
    <w:rsid w:val="00E560CC"/>
    <w:rsid w:val="00E5650A"/>
    <w:rsid w:val="00E566CF"/>
    <w:rsid w:val="00E5693E"/>
    <w:rsid w:val="00E577E6"/>
    <w:rsid w:val="00E577FC"/>
    <w:rsid w:val="00E607B3"/>
    <w:rsid w:val="00E60BE3"/>
    <w:rsid w:val="00E60DC7"/>
    <w:rsid w:val="00E60E31"/>
    <w:rsid w:val="00E60F5F"/>
    <w:rsid w:val="00E616BB"/>
    <w:rsid w:val="00E61AAD"/>
    <w:rsid w:val="00E61BA9"/>
    <w:rsid w:val="00E62648"/>
    <w:rsid w:val="00E6265D"/>
    <w:rsid w:val="00E63C80"/>
    <w:rsid w:val="00E64D95"/>
    <w:rsid w:val="00E6581D"/>
    <w:rsid w:val="00E674C8"/>
    <w:rsid w:val="00E7020F"/>
    <w:rsid w:val="00E70D0E"/>
    <w:rsid w:val="00E74415"/>
    <w:rsid w:val="00E745DE"/>
    <w:rsid w:val="00E74744"/>
    <w:rsid w:val="00E75331"/>
    <w:rsid w:val="00E7577F"/>
    <w:rsid w:val="00E757ED"/>
    <w:rsid w:val="00E75CED"/>
    <w:rsid w:val="00E76C6D"/>
    <w:rsid w:val="00E77834"/>
    <w:rsid w:val="00E7795A"/>
    <w:rsid w:val="00E779E0"/>
    <w:rsid w:val="00E77AD5"/>
    <w:rsid w:val="00E80B59"/>
    <w:rsid w:val="00E80DD7"/>
    <w:rsid w:val="00E8104E"/>
    <w:rsid w:val="00E82273"/>
    <w:rsid w:val="00E826CA"/>
    <w:rsid w:val="00E82B7A"/>
    <w:rsid w:val="00E82CC7"/>
    <w:rsid w:val="00E83C8A"/>
    <w:rsid w:val="00E84962"/>
    <w:rsid w:val="00E8585D"/>
    <w:rsid w:val="00E86C04"/>
    <w:rsid w:val="00E8737A"/>
    <w:rsid w:val="00E87C04"/>
    <w:rsid w:val="00E9044D"/>
    <w:rsid w:val="00E90694"/>
    <w:rsid w:val="00E90CB5"/>
    <w:rsid w:val="00E91FCF"/>
    <w:rsid w:val="00E92126"/>
    <w:rsid w:val="00E92172"/>
    <w:rsid w:val="00E930B0"/>
    <w:rsid w:val="00E93634"/>
    <w:rsid w:val="00E9366F"/>
    <w:rsid w:val="00E939A1"/>
    <w:rsid w:val="00E93E8E"/>
    <w:rsid w:val="00E94DA3"/>
    <w:rsid w:val="00E96E81"/>
    <w:rsid w:val="00EA0032"/>
    <w:rsid w:val="00EA0DDC"/>
    <w:rsid w:val="00EA1714"/>
    <w:rsid w:val="00EA1CBB"/>
    <w:rsid w:val="00EA3467"/>
    <w:rsid w:val="00EA3479"/>
    <w:rsid w:val="00EA3CC5"/>
    <w:rsid w:val="00EA518A"/>
    <w:rsid w:val="00EA5C8E"/>
    <w:rsid w:val="00EA5CFF"/>
    <w:rsid w:val="00EA716F"/>
    <w:rsid w:val="00EA740B"/>
    <w:rsid w:val="00EA761A"/>
    <w:rsid w:val="00EB060A"/>
    <w:rsid w:val="00EB0B9A"/>
    <w:rsid w:val="00EB1099"/>
    <w:rsid w:val="00EB2FFE"/>
    <w:rsid w:val="00EB31CD"/>
    <w:rsid w:val="00EB32C6"/>
    <w:rsid w:val="00EB35C0"/>
    <w:rsid w:val="00EB3A5D"/>
    <w:rsid w:val="00EB3FB9"/>
    <w:rsid w:val="00EB42ED"/>
    <w:rsid w:val="00EB5336"/>
    <w:rsid w:val="00EB66D2"/>
    <w:rsid w:val="00EB68C0"/>
    <w:rsid w:val="00EB7B44"/>
    <w:rsid w:val="00EB7E01"/>
    <w:rsid w:val="00EC00AB"/>
    <w:rsid w:val="00EC0692"/>
    <w:rsid w:val="00EC10C6"/>
    <w:rsid w:val="00EC1440"/>
    <w:rsid w:val="00EC1D2B"/>
    <w:rsid w:val="00EC32E6"/>
    <w:rsid w:val="00EC3E4C"/>
    <w:rsid w:val="00EC4DB3"/>
    <w:rsid w:val="00EC5579"/>
    <w:rsid w:val="00EC579E"/>
    <w:rsid w:val="00EC64A1"/>
    <w:rsid w:val="00EC6C3D"/>
    <w:rsid w:val="00EC6D07"/>
    <w:rsid w:val="00EC7B3E"/>
    <w:rsid w:val="00ED0CC8"/>
    <w:rsid w:val="00ED145D"/>
    <w:rsid w:val="00ED1C50"/>
    <w:rsid w:val="00ED4225"/>
    <w:rsid w:val="00ED497B"/>
    <w:rsid w:val="00ED5405"/>
    <w:rsid w:val="00ED6A2B"/>
    <w:rsid w:val="00EE043B"/>
    <w:rsid w:val="00EE0C2F"/>
    <w:rsid w:val="00EE106D"/>
    <w:rsid w:val="00EE10AA"/>
    <w:rsid w:val="00EE150E"/>
    <w:rsid w:val="00EE1B51"/>
    <w:rsid w:val="00EE20BF"/>
    <w:rsid w:val="00EE25F2"/>
    <w:rsid w:val="00EE2EFF"/>
    <w:rsid w:val="00EE3BDF"/>
    <w:rsid w:val="00EE495F"/>
    <w:rsid w:val="00EE4B71"/>
    <w:rsid w:val="00EE52CD"/>
    <w:rsid w:val="00EE5673"/>
    <w:rsid w:val="00EE570E"/>
    <w:rsid w:val="00EE5772"/>
    <w:rsid w:val="00EE5B3D"/>
    <w:rsid w:val="00EE6F2A"/>
    <w:rsid w:val="00EE74C0"/>
    <w:rsid w:val="00EF1EB5"/>
    <w:rsid w:val="00EF21A5"/>
    <w:rsid w:val="00EF2204"/>
    <w:rsid w:val="00EF2726"/>
    <w:rsid w:val="00EF319D"/>
    <w:rsid w:val="00EF3305"/>
    <w:rsid w:val="00EF3CF8"/>
    <w:rsid w:val="00EF539F"/>
    <w:rsid w:val="00EF6447"/>
    <w:rsid w:val="00EF67B2"/>
    <w:rsid w:val="00EF6EB0"/>
    <w:rsid w:val="00EF7203"/>
    <w:rsid w:val="00EF74C1"/>
    <w:rsid w:val="00EF76CC"/>
    <w:rsid w:val="00F00E7C"/>
    <w:rsid w:val="00F01A01"/>
    <w:rsid w:val="00F01E7E"/>
    <w:rsid w:val="00F02395"/>
    <w:rsid w:val="00F03C0E"/>
    <w:rsid w:val="00F047A8"/>
    <w:rsid w:val="00F04E5D"/>
    <w:rsid w:val="00F0542E"/>
    <w:rsid w:val="00F05AFE"/>
    <w:rsid w:val="00F06332"/>
    <w:rsid w:val="00F06867"/>
    <w:rsid w:val="00F068DA"/>
    <w:rsid w:val="00F07D0C"/>
    <w:rsid w:val="00F07FAD"/>
    <w:rsid w:val="00F10CE3"/>
    <w:rsid w:val="00F11015"/>
    <w:rsid w:val="00F1136E"/>
    <w:rsid w:val="00F11F12"/>
    <w:rsid w:val="00F12423"/>
    <w:rsid w:val="00F13147"/>
    <w:rsid w:val="00F137E1"/>
    <w:rsid w:val="00F13C2B"/>
    <w:rsid w:val="00F13CA6"/>
    <w:rsid w:val="00F145C7"/>
    <w:rsid w:val="00F147C5"/>
    <w:rsid w:val="00F14B20"/>
    <w:rsid w:val="00F154D9"/>
    <w:rsid w:val="00F15FE0"/>
    <w:rsid w:val="00F1656E"/>
    <w:rsid w:val="00F1761E"/>
    <w:rsid w:val="00F209EB"/>
    <w:rsid w:val="00F20EE3"/>
    <w:rsid w:val="00F2184F"/>
    <w:rsid w:val="00F21DE8"/>
    <w:rsid w:val="00F228D9"/>
    <w:rsid w:val="00F23131"/>
    <w:rsid w:val="00F231C9"/>
    <w:rsid w:val="00F23861"/>
    <w:rsid w:val="00F252B6"/>
    <w:rsid w:val="00F25934"/>
    <w:rsid w:val="00F25A51"/>
    <w:rsid w:val="00F25E28"/>
    <w:rsid w:val="00F25F9A"/>
    <w:rsid w:val="00F2653F"/>
    <w:rsid w:val="00F26BF6"/>
    <w:rsid w:val="00F26C85"/>
    <w:rsid w:val="00F271EA"/>
    <w:rsid w:val="00F2747C"/>
    <w:rsid w:val="00F32095"/>
    <w:rsid w:val="00F33328"/>
    <w:rsid w:val="00F3361A"/>
    <w:rsid w:val="00F35766"/>
    <w:rsid w:val="00F36256"/>
    <w:rsid w:val="00F366C3"/>
    <w:rsid w:val="00F400CB"/>
    <w:rsid w:val="00F40D49"/>
    <w:rsid w:val="00F418AF"/>
    <w:rsid w:val="00F42BB6"/>
    <w:rsid w:val="00F4402C"/>
    <w:rsid w:val="00F44257"/>
    <w:rsid w:val="00F4432F"/>
    <w:rsid w:val="00F44B67"/>
    <w:rsid w:val="00F44BB1"/>
    <w:rsid w:val="00F44FE7"/>
    <w:rsid w:val="00F45B5E"/>
    <w:rsid w:val="00F46613"/>
    <w:rsid w:val="00F47428"/>
    <w:rsid w:val="00F479B7"/>
    <w:rsid w:val="00F47B68"/>
    <w:rsid w:val="00F50021"/>
    <w:rsid w:val="00F5006A"/>
    <w:rsid w:val="00F5260C"/>
    <w:rsid w:val="00F53B9F"/>
    <w:rsid w:val="00F53EEF"/>
    <w:rsid w:val="00F541FB"/>
    <w:rsid w:val="00F54611"/>
    <w:rsid w:val="00F5615E"/>
    <w:rsid w:val="00F5687F"/>
    <w:rsid w:val="00F578A2"/>
    <w:rsid w:val="00F57E18"/>
    <w:rsid w:val="00F61082"/>
    <w:rsid w:val="00F61D90"/>
    <w:rsid w:val="00F62257"/>
    <w:rsid w:val="00F628E6"/>
    <w:rsid w:val="00F62E5A"/>
    <w:rsid w:val="00F636D7"/>
    <w:rsid w:val="00F63AD3"/>
    <w:rsid w:val="00F63B8E"/>
    <w:rsid w:val="00F644EA"/>
    <w:rsid w:val="00F64CE1"/>
    <w:rsid w:val="00F64E9E"/>
    <w:rsid w:val="00F65C22"/>
    <w:rsid w:val="00F67C07"/>
    <w:rsid w:val="00F70118"/>
    <w:rsid w:val="00F705A1"/>
    <w:rsid w:val="00F73A31"/>
    <w:rsid w:val="00F74A53"/>
    <w:rsid w:val="00F74B5B"/>
    <w:rsid w:val="00F74BA1"/>
    <w:rsid w:val="00F74F34"/>
    <w:rsid w:val="00F7524D"/>
    <w:rsid w:val="00F7585A"/>
    <w:rsid w:val="00F75FC9"/>
    <w:rsid w:val="00F762A1"/>
    <w:rsid w:val="00F765B0"/>
    <w:rsid w:val="00F76D39"/>
    <w:rsid w:val="00F7747B"/>
    <w:rsid w:val="00F77ED1"/>
    <w:rsid w:val="00F80A39"/>
    <w:rsid w:val="00F80A7D"/>
    <w:rsid w:val="00F814CD"/>
    <w:rsid w:val="00F82221"/>
    <w:rsid w:val="00F82B43"/>
    <w:rsid w:val="00F834F0"/>
    <w:rsid w:val="00F837F7"/>
    <w:rsid w:val="00F84A29"/>
    <w:rsid w:val="00F85014"/>
    <w:rsid w:val="00F857D4"/>
    <w:rsid w:val="00F8583A"/>
    <w:rsid w:val="00F85AC5"/>
    <w:rsid w:val="00F86122"/>
    <w:rsid w:val="00F87357"/>
    <w:rsid w:val="00F87364"/>
    <w:rsid w:val="00F873CB"/>
    <w:rsid w:val="00F8758D"/>
    <w:rsid w:val="00F9077A"/>
    <w:rsid w:val="00F9108C"/>
    <w:rsid w:val="00F92FFE"/>
    <w:rsid w:val="00F93E99"/>
    <w:rsid w:val="00F95048"/>
    <w:rsid w:val="00F95652"/>
    <w:rsid w:val="00F95EA0"/>
    <w:rsid w:val="00F96423"/>
    <w:rsid w:val="00F971C0"/>
    <w:rsid w:val="00F977E2"/>
    <w:rsid w:val="00F97844"/>
    <w:rsid w:val="00FA09A1"/>
    <w:rsid w:val="00FA1E73"/>
    <w:rsid w:val="00FA229F"/>
    <w:rsid w:val="00FA24DD"/>
    <w:rsid w:val="00FA273F"/>
    <w:rsid w:val="00FA3242"/>
    <w:rsid w:val="00FA34B4"/>
    <w:rsid w:val="00FA48D2"/>
    <w:rsid w:val="00FA4F8F"/>
    <w:rsid w:val="00FA5175"/>
    <w:rsid w:val="00FA65B6"/>
    <w:rsid w:val="00FA65BA"/>
    <w:rsid w:val="00FA6ADB"/>
    <w:rsid w:val="00FA72A5"/>
    <w:rsid w:val="00FA7ED0"/>
    <w:rsid w:val="00FB05B7"/>
    <w:rsid w:val="00FB1086"/>
    <w:rsid w:val="00FB114E"/>
    <w:rsid w:val="00FB1162"/>
    <w:rsid w:val="00FB2101"/>
    <w:rsid w:val="00FB2EF6"/>
    <w:rsid w:val="00FB2F1A"/>
    <w:rsid w:val="00FB36D2"/>
    <w:rsid w:val="00FB3E3B"/>
    <w:rsid w:val="00FB3F7D"/>
    <w:rsid w:val="00FB4F91"/>
    <w:rsid w:val="00FB6EA9"/>
    <w:rsid w:val="00FB7B4E"/>
    <w:rsid w:val="00FB7FAD"/>
    <w:rsid w:val="00FC01F7"/>
    <w:rsid w:val="00FC04B0"/>
    <w:rsid w:val="00FC225D"/>
    <w:rsid w:val="00FC22A1"/>
    <w:rsid w:val="00FC2D5F"/>
    <w:rsid w:val="00FC34EB"/>
    <w:rsid w:val="00FC3B3E"/>
    <w:rsid w:val="00FC4ADD"/>
    <w:rsid w:val="00FC511C"/>
    <w:rsid w:val="00FC74EA"/>
    <w:rsid w:val="00FC7864"/>
    <w:rsid w:val="00FD0288"/>
    <w:rsid w:val="00FD10B5"/>
    <w:rsid w:val="00FD1656"/>
    <w:rsid w:val="00FD1DDC"/>
    <w:rsid w:val="00FD2D95"/>
    <w:rsid w:val="00FD30B5"/>
    <w:rsid w:val="00FD3307"/>
    <w:rsid w:val="00FD33B8"/>
    <w:rsid w:val="00FD400B"/>
    <w:rsid w:val="00FD5321"/>
    <w:rsid w:val="00FD5946"/>
    <w:rsid w:val="00FD6458"/>
    <w:rsid w:val="00FD6A5F"/>
    <w:rsid w:val="00FD7BB2"/>
    <w:rsid w:val="00FE010F"/>
    <w:rsid w:val="00FE066B"/>
    <w:rsid w:val="00FE0F5A"/>
    <w:rsid w:val="00FE172C"/>
    <w:rsid w:val="00FE2347"/>
    <w:rsid w:val="00FE24E1"/>
    <w:rsid w:val="00FE392C"/>
    <w:rsid w:val="00FE411D"/>
    <w:rsid w:val="00FE4DA9"/>
    <w:rsid w:val="00FE4F22"/>
    <w:rsid w:val="00FE547D"/>
    <w:rsid w:val="00FE6610"/>
    <w:rsid w:val="00FE679D"/>
    <w:rsid w:val="00FE7A47"/>
    <w:rsid w:val="00FF14F0"/>
    <w:rsid w:val="00FF1A5E"/>
    <w:rsid w:val="00FF2188"/>
    <w:rsid w:val="00FF21C4"/>
    <w:rsid w:val="00FF246B"/>
    <w:rsid w:val="00FF32B2"/>
    <w:rsid w:val="00FF3EC3"/>
    <w:rsid w:val="00FF44A2"/>
    <w:rsid w:val="00FF44AD"/>
    <w:rsid w:val="00FF44CA"/>
    <w:rsid w:val="00FF5113"/>
    <w:rsid w:val="00FF5131"/>
    <w:rsid w:val="00FF555E"/>
    <w:rsid w:val="00FF6853"/>
    <w:rsid w:val="00FF691E"/>
    <w:rsid w:val="00FF6945"/>
    <w:rsid w:val="00FF6D6E"/>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6D04"/>
  <w15:chartTrackingRefBased/>
  <w15:docId w15:val="{D9A2B50F-327A-4137-9935-22492062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6A"/>
    <w:pPr>
      <w:spacing w:after="200" w:line="276" w:lineRule="auto"/>
    </w:pPr>
  </w:style>
  <w:style w:type="paragraph" w:styleId="Heading1">
    <w:name w:val="heading 1"/>
    <w:basedOn w:val="Normal"/>
    <w:next w:val="Normal"/>
    <w:link w:val="Heading1Char"/>
    <w:uiPriority w:val="9"/>
    <w:qFormat/>
    <w:rsid w:val="00657D64"/>
    <w:pPr>
      <w:keepNext/>
      <w:keepLines/>
      <w:numPr>
        <w:numId w:val="1"/>
      </w:numPr>
      <w:spacing w:before="240" w:after="0"/>
      <w:outlineLvl w:val="0"/>
    </w:pPr>
    <w:rPr>
      <w:rFonts w:eastAsiaTheme="majorEastAsia"/>
      <w:b/>
      <w:sz w:val="28"/>
      <w:szCs w:val="32"/>
    </w:rPr>
  </w:style>
  <w:style w:type="paragraph" w:styleId="Heading2">
    <w:name w:val="heading 2"/>
    <w:basedOn w:val="Normal"/>
    <w:next w:val="Normal"/>
    <w:link w:val="Heading2Char"/>
    <w:uiPriority w:val="9"/>
    <w:unhideWhenUsed/>
    <w:qFormat/>
    <w:rsid w:val="00315818"/>
    <w:pPr>
      <w:keepNext/>
      <w:keepLines/>
      <w:numPr>
        <w:ilvl w:val="1"/>
        <w:numId w:val="4"/>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A0DD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2FC3"/>
    <w:pPr>
      <w:tabs>
        <w:tab w:val="center" w:pos="4844"/>
        <w:tab w:val="right" w:pos="9689"/>
      </w:tabs>
      <w:spacing w:after="0" w:line="240" w:lineRule="auto"/>
    </w:pPr>
  </w:style>
  <w:style w:type="character" w:customStyle="1" w:styleId="HeaderChar">
    <w:name w:val="Header Char"/>
    <w:basedOn w:val="DefaultParagraphFont"/>
    <w:link w:val="Header"/>
    <w:uiPriority w:val="99"/>
    <w:rsid w:val="00332FC3"/>
    <w:rPr>
      <w:rFonts w:ascii="Calibri" w:eastAsia="Calibri" w:hAnsi="Calibri" w:cs="Times New Roman"/>
    </w:rPr>
  </w:style>
  <w:style w:type="paragraph" w:styleId="Footer">
    <w:name w:val="footer"/>
    <w:basedOn w:val="Normal"/>
    <w:link w:val="FooterChar"/>
    <w:uiPriority w:val="99"/>
    <w:rsid w:val="00332FC3"/>
    <w:pPr>
      <w:tabs>
        <w:tab w:val="center" w:pos="4844"/>
        <w:tab w:val="right" w:pos="9689"/>
      </w:tabs>
      <w:spacing w:after="0" w:line="240" w:lineRule="auto"/>
    </w:pPr>
  </w:style>
  <w:style w:type="character" w:customStyle="1" w:styleId="FooterChar">
    <w:name w:val="Footer Char"/>
    <w:basedOn w:val="DefaultParagraphFont"/>
    <w:link w:val="Footer"/>
    <w:uiPriority w:val="99"/>
    <w:rsid w:val="00332FC3"/>
    <w:rPr>
      <w:rFonts w:ascii="Calibri" w:eastAsia="Calibri" w:hAnsi="Calibri" w:cs="Times New Roman"/>
    </w:rPr>
  </w:style>
  <w:style w:type="character" w:styleId="Hyperlink">
    <w:name w:val="Hyperlink"/>
    <w:uiPriority w:val="99"/>
    <w:rsid w:val="00332FC3"/>
    <w:rPr>
      <w:rFonts w:cs="Times New Roman"/>
      <w:color w:val="0000FF"/>
      <w:u w:val="single"/>
    </w:rPr>
  </w:style>
  <w:style w:type="paragraph" w:styleId="TOC1">
    <w:name w:val="toc 1"/>
    <w:basedOn w:val="Normal"/>
    <w:next w:val="Normal"/>
    <w:autoRedefine/>
    <w:uiPriority w:val="39"/>
    <w:rsid w:val="00332FC3"/>
    <w:pPr>
      <w:spacing w:before="120" w:after="0"/>
    </w:pPr>
    <w:rPr>
      <w:b/>
      <w:bCs/>
      <w:i/>
      <w:iCs/>
    </w:rPr>
  </w:style>
  <w:style w:type="paragraph" w:styleId="TOC2">
    <w:name w:val="toc 2"/>
    <w:basedOn w:val="Normal"/>
    <w:next w:val="Normal"/>
    <w:autoRedefine/>
    <w:uiPriority w:val="39"/>
    <w:rsid w:val="00332FC3"/>
    <w:pPr>
      <w:spacing w:before="120" w:after="0"/>
      <w:ind w:left="240"/>
    </w:pPr>
    <w:rPr>
      <w:b/>
      <w:bCs/>
      <w:sz w:val="22"/>
      <w:szCs w:val="22"/>
    </w:rPr>
  </w:style>
  <w:style w:type="character" w:styleId="PageNumber">
    <w:name w:val="page number"/>
    <w:uiPriority w:val="99"/>
    <w:rsid w:val="00332FC3"/>
    <w:rPr>
      <w:rFonts w:cs="Times New Roman"/>
    </w:rPr>
  </w:style>
  <w:style w:type="paragraph" w:styleId="Caption">
    <w:name w:val="caption"/>
    <w:basedOn w:val="Normal"/>
    <w:next w:val="Normal"/>
    <w:uiPriority w:val="35"/>
    <w:unhideWhenUsed/>
    <w:qFormat/>
    <w:rsid w:val="00332FC3"/>
    <w:pPr>
      <w:spacing w:line="240" w:lineRule="auto"/>
    </w:pPr>
    <w:rPr>
      <w:i/>
      <w:iCs/>
      <w:color w:val="44546A"/>
      <w:sz w:val="18"/>
      <w:szCs w:val="18"/>
    </w:rPr>
  </w:style>
  <w:style w:type="paragraph" w:styleId="TableofFigures">
    <w:name w:val="table of figures"/>
    <w:basedOn w:val="Normal"/>
    <w:next w:val="Normal"/>
    <w:uiPriority w:val="99"/>
    <w:unhideWhenUsed/>
    <w:rsid w:val="00332FC3"/>
    <w:pPr>
      <w:spacing w:after="0" w:line="259" w:lineRule="auto"/>
    </w:pPr>
  </w:style>
  <w:style w:type="character" w:customStyle="1" w:styleId="Heading1Char">
    <w:name w:val="Heading 1 Char"/>
    <w:basedOn w:val="DefaultParagraphFont"/>
    <w:link w:val="Heading1"/>
    <w:uiPriority w:val="9"/>
    <w:rsid w:val="00906CDB"/>
    <w:rPr>
      <w:rFonts w:eastAsiaTheme="majorEastAsia"/>
      <w:b/>
      <w:sz w:val="28"/>
      <w:szCs w:val="32"/>
    </w:rPr>
  </w:style>
  <w:style w:type="paragraph" w:styleId="TOCHeading">
    <w:name w:val="TOC Heading"/>
    <w:basedOn w:val="Heading1"/>
    <w:next w:val="Normal"/>
    <w:uiPriority w:val="39"/>
    <w:unhideWhenUsed/>
    <w:qFormat/>
    <w:rsid w:val="00332FC3"/>
    <w:pPr>
      <w:spacing w:line="259" w:lineRule="auto"/>
      <w:outlineLvl w:val="9"/>
    </w:pPr>
    <w:rPr>
      <w:rFonts w:ascii="Calibri Light" w:eastAsia="Times New Roman" w:hAnsi="Calibri Light" w:cs="Times New Roman"/>
      <w:color w:val="2E74B5"/>
    </w:rPr>
  </w:style>
  <w:style w:type="paragraph" w:styleId="CommentText">
    <w:name w:val="annotation text"/>
    <w:basedOn w:val="Normal"/>
    <w:link w:val="CommentTextChar"/>
    <w:uiPriority w:val="99"/>
    <w:unhideWhenUsed/>
    <w:rsid w:val="005E2BB6"/>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rsid w:val="005E2BB6"/>
    <w:rPr>
      <w:rFonts w:cstheme="minorBidi"/>
      <w:sz w:val="20"/>
      <w:szCs w:val="20"/>
    </w:rPr>
  </w:style>
  <w:style w:type="paragraph" w:styleId="ListParagraph">
    <w:name w:val="List Paragraph"/>
    <w:basedOn w:val="Normal"/>
    <w:uiPriority w:val="34"/>
    <w:qFormat/>
    <w:rsid w:val="00010F04"/>
    <w:pPr>
      <w:ind w:left="720"/>
      <w:contextualSpacing/>
    </w:pPr>
  </w:style>
  <w:style w:type="character" w:customStyle="1" w:styleId="Heading2Char">
    <w:name w:val="Heading 2 Char"/>
    <w:basedOn w:val="DefaultParagraphFont"/>
    <w:link w:val="Heading2"/>
    <w:uiPriority w:val="9"/>
    <w:rsid w:val="00315818"/>
    <w:rPr>
      <w:rFonts w:eastAsiaTheme="majorEastAsia" w:cstheme="majorBidi"/>
      <w:szCs w:val="26"/>
    </w:rPr>
  </w:style>
  <w:style w:type="character" w:styleId="Emphasis">
    <w:name w:val="Emphasis"/>
    <w:basedOn w:val="DefaultParagraphFont"/>
    <w:uiPriority w:val="20"/>
    <w:qFormat/>
    <w:rsid w:val="009F0FD6"/>
    <w:rPr>
      <w:i/>
      <w:iCs/>
    </w:rPr>
  </w:style>
  <w:style w:type="paragraph" w:customStyle="1" w:styleId="Default">
    <w:name w:val="Default"/>
    <w:rsid w:val="00C72CE0"/>
    <w:pPr>
      <w:autoSpaceDE w:val="0"/>
      <w:autoSpaceDN w:val="0"/>
      <w:adjustRightInd w:val="0"/>
      <w:spacing w:after="0" w:line="240" w:lineRule="auto"/>
    </w:pPr>
    <w:rPr>
      <w:rFonts w:ascii="Myriad Pro Light" w:hAnsi="Myriad Pro Light" w:cs="Myriad Pro Light"/>
      <w:color w:val="000000"/>
    </w:rPr>
  </w:style>
  <w:style w:type="character" w:customStyle="1" w:styleId="A8">
    <w:name w:val="A8"/>
    <w:uiPriority w:val="99"/>
    <w:rsid w:val="00C72CE0"/>
    <w:rPr>
      <w:rFonts w:cs="Myriad Pro Light"/>
      <w:color w:val="211D1E"/>
      <w:sz w:val="23"/>
      <w:szCs w:val="23"/>
    </w:rPr>
  </w:style>
  <w:style w:type="character" w:styleId="Strong">
    <w:name w:val="Strong"/>
    <w:basedOn w:val="DefaultParagraphFont"/>
    <w:uiPriority w:val="22"/>
    <w:qFormat/>
    <w:rsid w:val="00C714F0"/>
    <w:rPr>
      <w:b/>
      <w:bCs/>
    </w:rPr>
  </w:style>
  <w:style w:type="paragraph" w:styleId="FootnoteText">
    <w:name w:val="footnote text"/>
    <w:basedOn w:val="Normal"/>
    <w:link w:val="FootnoteTextChar"/>
    <w:uiPriority w:val="99"/>
    <w:unhideWhenUsed/>
    <w:rsid w:val="001E7200"/>
    <w:pPr>
      <w:spacing w:after="0" w:line="240" w:lineRule="auto"/>
    </w:pPr>
    <w:rPr>
      <w:rFonts w:cstheme="minorBidi"/>
      <w:sz w:val="20"/>
      <w:szCs w:val="20"/>
    </w:rPr>
  </w:style>
  <w:style w:type="character" w:customStyle="1" w:styleId="FootnoteTextChar">
    <w:name w:val="Footnote Text Char"/>
    <w:basedOn w:val="DefaultParagraphFont"/>
    <w:link w:val="FootnoteText"/>
    <w:uiPriority w:val="99"/>
    <w:rsid w:val="001E7200"/>
    <w:rPr>
      <w:rFonts w:cstheme="minorBidi"/>
      <w:sz w:val="20"/>
      <w:szCs w:val="20"/>
    </w:rPr>
  </w:style>
  <w:style w:type="character" w:styleId="FootnoteReference">
    <w:name w:val="footnote reference"/>
    <w:basedOn w:val="DefaultParagraphFont"/>
    <w:uiPriority w:val="99"/>
    <w:semiHidden/>
    <w:unhideWhenUsed/>
    <w:rsid w:val="001E7200"/>
    <w:rPr>
      <w:vertAlign w:val="superscript"/>
    </w:rPr>
  </w:style>
  <w:style w:type="character" w:customStyle="1" w:styleId="correction">
    <w:name w:val="correction"/>
    <w:basedOn w:val="DefaultParagraphFont"/>
    <w:rsid w:val="00086312"/>
  </w:style>
  <w:style w:type="character" w:customStyle="1" w:styleId="A7">
    <w:name w:val="A7"/>
    <w:uiPriority w:val="99"/>
    <w:rsid w:val="003C4767"/>
    <w:rPr>
      <w:rFonts w:cs="Myriad Pro"/>
      <w:color w:val="211D1E"/>
      <w:sz w:val="23"/>
      <w:szCs w:val="23"/>
    </w:rPr>
  </w:style>
  <w:style w:type="paragraph" w:styleId="TOC3">
    <w:name w:val="toc 3"/>
    <w:basedOn w:val="Normal"/>
    <w:next w:val="Normal"/>
    <w:autoRedefine/>
    <w:uiPriority w:val="39"/>
    <w:unhideWhenUsed/>
    <w:rsid w:val="00AF502E"/>
    <w:pPr>
      <w:spacing w:after="0"/>
      <w:ind w:left="480"/>
    </w:pPr>
    <w:rPr>
      <w:sz w:val="20"/>
      <w:szCs w:val="20"/>
    </w:rPr>
  </w:style>
  <w:style w:type="paragraph" w:styleId="NormalWeb">
    <w:name w:val="Normal (Web)"/>
    <w:basedOn w:val="Normal"/>
    <w:uiPriority w:val="99"/>
    <w:unhideWhenUsed/>
    <w:rsid w:val="00D17030"/>
    <w:pPr>
      <w:spacing w:before="100" w:beforeAutospacing="1" w:after="100" w:afterAutospacing="1" w:line="240" w:lineRule="auto"/>
    </w:pPr>
    <w:rPr>
      <w:rFonts w:ascii="Times New Roman" w:eastAsia="Times New Roman" w:hAnsi="Times New Roman" w:cs="Times New Roman"/>
    </w:rPr>
  </w:style>
  <w:style w:type="character" w:customStyle="1" w:styleId="f">
    <w:name w:val="f"/>
    <w:basedOn w:val="DefaultParagraphFont"/>
    <w:rsid w:val="005E3C8D"/>
  </w:style>
  <w:style w:type="table" w:styleId="GridTable2-Accent1">
    <w:name w:val="Grid Table 2 Accent 1"/>
    <w:basedOn w:val="TableNormal"/>
    <w:uiPriority w:val="47"/>
    <w:rsid w:val="00C6143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5">
    <w:name w:val="Grid Table 6 Colorful Accent 5"/>
    <w:basedOn w:val="TableNormal"/>
    <w:uiPriority w:val="51"/>
    <w:rsid w:val="00C6143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link w:val="NoSpacingChar"/>
    <w:uiPriority w:val="1"/>
    <w:qFormat/>
    <w:rsid w:val="00A2794B"/>
    <w:pPr>
      <w:spacing w:after="0" w:line="240" w:lineRule="auto"/>
    </w:pPr>
    <w:rPr>
      <w:rFonts w:eastAsiaTheme="minorEastAsia" w:cstheme="minorBidi"/>
      <w:sz w:val="22"/>
      <w:szCs w:val="22"/>
    </w:rPr>
  </w:style>
  <w:style w:type="character" w:customStyle="1" w:styleId="NoSpacingChar">
    <w:name w:val="No Spacing Char"/>
    <w:basedOn w:val="DefaultParagraphFont"/>
    <w:link w:val="NoSpacing"/>
    <w:uiPriority w:val="1"/>
    <w:rsid w:val="00A2794B"/>
    <w:rPr>
      <w:rFonts w:eastAsiaTheme="minorEastAsia" w:cstheme="minorBidi"/>
      <w:sz w:val="22"/>
      <w:szCs w:val="22"/>
    </w:rPr>
  </w:style>
  <w:style w:type="table" w:styleId="GridTable1Light-Accent1">
    <w:name w:val="Grid Table 1 Light Accent 1"/>
    <w:basedOn w:val="TableNormal"/>
    <w:uiPriority w:val="46"/>
    <w:rsid w:val="002A3E9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2A3E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2A3E9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4">
    <w:name w:val="toc 4"/>
    <w:basedOn w:val="Normal"/>
    <w:next w:val="Normal"/>
    <w:autoRedefine/>
    <w:uiPriority w:val="39"/>
    <w:unhideWhenUsed/>
    <w:rsid w:val="006729FE"/>
    <w:pPr>
      <w:spacing w:after="0"/>
      <w:ind w:left="720"/>
    </w:pPr>
    <w:rPr>
      <w:sz w:val="20"/>
      <w:szCs w:val="20"/>
    </w:rPr>
  </w:style>
  <w:style w:type="paragraph" w:styleId="TOC5">
    <w:name w:val="toc 5"/>
    <w:basedOn w:val="Normal"/>
    <w:next w:val="Normal"/>
    <w:autoRedefine/>
    <w:uiPriority w:val="39"/>
    <w:unhideWhenUsed/>
    <w:rsid w:val="006729FE"/>
    <w:pPr>
      <w:spacing w:after="0"/>
      <w:ind w:left="960"/>
    </w:pPr>
    <w:rPr>
      <w:sz w:val="20"/>
      <w:szCs w:val="20"/>
    </w:rPr>
  </w:style>
  <w:style w:type="paragraph" w:styleId="TOC6">
    <w:name w:val="toc 6"/>
    <w:basedOn w:val="Normal"/>
    <w:next w:val="Normal"/>
    <w:autoRedefine/>
    <w:uiPriority w:val="39"/>
    <w:unhideWhenUsed/>
    <w:rsid w:val="006729FE"/>
    <w:pPr>
      <w:spacing w:after="0"/>
      <w:ind w:left="1200"/>
    </w:pPr>
    <w:rPr>
      <w:sz w:val="20"/>
      <w:szCs w:val="20"/>
    </w:rPr>
  </w:style>
  <w:style w:type="paragraph" w:styleId="TOC7">
    <w:name w:val="toc 7"/>
    <w:basedOn w:val="Normal"/>
    <w:next w:val="Normal"/>
    <w:autoRedefine/>
    <w:uiPriority w:val="39"/>
    <w:unhideWhenUsed/>
    <w:rsid w:val="006729FE"/>
    <w:pPr>
      <w:spacing w:after="0"/>
      <w:ind w:left="1440"/>
    </w:pPr>
    <w:rPr>
      <w:sz w:val="20"/>
      <w:szCs w:val="20"/>
    </w:rPr>
  </w:style>
  <w:style w:type="paragraph" w:styleId="TOC8">
    <w:name w:val="toc 8"/>
    <w:basedOn w:val="Normal"/>
    <w:next w:val="Normal"/>
    <w:autoRedefine/>
    <w:uiPriority w:val="39"/>
    <w:unhideWhenUsed/>
    <w:rsid w:val="006729FE"/>
    <w:pPr>
      <w:spacing w:after="0"/>
      <w:ind w:left="1680"/>
    </w:pPr>
    <w:rPr>
      <w:sz w:val="20"/>
      <w:szCs w:val="20"/>
    </w:rPr>
  </w:style>
  <w:style w:type="paragraph" w:styleId="TOC9">
    <w:name w:val="toc 9"/>
    <w:basedOn w:val="Normal"/>
    <w:next w:val="Normal"/>
    <w:autoRedefine/>
    <w:uiPriority w:val="39"/>
    <w:unhideWhenUsed/>
    <w:rsid w:val="006729FE"/>
    <w:pPr>
      <w:spacing w:after="0"/>
      <w:ind w:left="1920"/>
    </w:pPr>
    <w:rPr>
      <w:sz w:val="20"/>
      <w:szCs w:val="20"/>
    </w:rPr>
  </w:style>
  <w:style w:type="table" w:customStyle="1" w:styleId="GridTable6Colorful-Accent51">
    <w:name w:val="Grid Table 6 Colorful - Accent 51"/>
    <w:basedOn w:val="TableNormal"/>
    <w:next w:val="GridTable6Colorful-Accent5"/>
    <w:uiPriority w:val="51"/>
    <w:rsid w:val="0053714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2">
    <w:name w:val="Grid Table 6 Colorful - Accent 52"/>
    <w:basedOn w:val="TableNormal"/>
    <w:next w:val="GridTable6Colorful-Accent5"/>
    <w:uiPriority w:val="51"/>
    <w:rsid w:val="006A1C5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DocumentMapChar">
    <w:name w:val="Document Map Char"/>
    <w:link w:val="DocumentMap"/>
    <w:semiHidden/>
    <w:rsid w:val="007A4CA2"/>
    <w:rPr>
      <w:rFonts w:ascii="Tahoma" w:hAnsi="Tahoma" w:cs="Tahoma"/>
      <w:shd w:val="clear" w:color="auto" w:fill="000080"/>
      <w:lang w:val="ru-RU" w:eastAsia="ru-RU"/>
    </w:rPr>
  </w:style>
  <w:style w:type="paragraph" w:styleId="DocumentMap">
    <w:name w:val="Document Map"/>
    <w:basedOn w:val="Normal"/>
    <w:link w:val="DocumentMapChar"/>
    <w:semiHidden/>
    <w:rsid w:val="007A4CA2"/>
    <w:pPr>
      <w:shd w:val="clear" w:color="auto" w:fill="000080"/>
      <w:spacing w:after="0" w:line="240" w:lineRule="auto"/>
    </w:pPr>
    <w:rPr>
      <w:rFonts w:ascii="Tahoma" w:hAnsi="Tahoma" w:cs="Tahoma"/>
      <w:lang w:val="ru-RU" w:eastAsia="ru-RU"/>
    </w:rPr>
  </w:style>
  <w:style w:type="character" w:customStyle="1" w:styleId="DocumentMapChar1">
    <w:name w:val="Document Map Char1"/>
    <w:basedOn w:val="DefaultParagraphFont"/>
    <w:uiPriority w:val="99"/>
    <w:semiHidden/>
    <w:rsid w:val="007A4CA2"/>
    <w:rPr>
      <w:rFonts w:ascii="Segoe UI" w:hAnsi="Segoe UI" w:cs="Segoe UI"/>
      <w:sz w:val="16"/>
      <w:szCs w:val="16"/>
    </w:rPr>
  </w:style>
  <w:style w:type="character" w:customStyle="1" w:styleId="Heading3Char">
    <w:name w:val="Heading 3 Char"/>
    <w:basedOn w:val="DefaultParagraphFont"/>
    <w:link w:val="Heading3"/>
    <w:uiPriority w:val="9"/>
    <w:rsid w:val="00EA0DDC"/>
    <w:rPr>
      <w:rFonts w:asciiTheme="majorHAnsi" w:eastAsiaTheme="majorEastAsia" w:hAnsiTheme="majorHAnsi" w:cstheme="majorBidi"/>
      <w:color w:val="1F4D78" w:themeColor="accent1" w:themeShade="7F"/>
    </w:rPr>
  </w:style>
  <w:style w:type="numbering" w:customStyle="1" w:styleId="Style1">
    <w:name w:val="Style1"/>
    <w:uiPriority w:val="99"/>
    <w:rsid w:val="00315818"/>
    <w:pPr>
      <w:numPr>
        <w:numId w:val="2"/>
      </w:numPr>
    </w:pPr>
  </w:style>
  <w:style w:type="paragraph" w:styleId="Subtitle">
    <w:name w:val="Subtitle"/>
    <w:basedOn w:val="Normal"/>
    <w:next w:val="Normal"/>
    <w:link w:val="SubtitleChar"/>
    <w:uiPriority w:val="11"/>
    <w:qFormat/>
    <w:rsid w:val="0031581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5818"/>
    <w:rPr>
      <w:rFonts w:eastAsiaTheme="minorEastAsia" w:cstheme="minorBidi"/>
      <w:color w:val="5A5A5A" w:themeColor="text1" w:themeTint="A5"/>
      <w:spacing w:val="15"/>
      <w:sz w:val="22"/>
      <w:szCs w:val="22"/>
    </w:rPr>
  </w:style>
  <w:style w:type="numbering" w:customStyle="1" w:styleId="Style2">
    <w:name w:val="Style2"/>
    <w:uiPriority w:val="99"/>
    <w:rsid w:val="00315818"/>
    <w:pPr>
      <w:numPr>
        <w:numId w:val="3"/>
      </w:numPr>
    </w:pPr>
  </w:style>
  <w:style w:type="character" w:styleId="CommentReference">
    <w:name w:val="annotation reference"/>
    <w:basedOn w:val="DefaultParagraphFont"/>
    <w:uiPriority w:val="99"/>
    <w:semiHidden/>
    <w:unhideWhenUsed/>
    <w:rsid w:val="009E11B9"/>
    <w:rPr>
      <w:sz w:val="16"/>
      <w:szCs w:val="16"/>
    </w:rPr>
  </w:style>
  <w:style w:type="paragraph" w:styleId="BalloonText">
    <w:name w:val="Balloon Text"/>
    <w:basedOn w:val="Normal"/>
    <w:link w:val="BalloonTextChar"/>
    <w:uiPriority w:val="99"/>
    <w:semiHidden/>
    <w:unhideWhenUsed/>
    <w:rsid w:val="009E1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671">
      <w:bodyDiv w:val="1"/>
      <w:marLeft w:val="0"/>
      <w:marRight w:val="0"/>
      <w:marTop w:val="0"/>
      <w:marBottom w:val="0"/>
      <w:divBdr>
        <w:top w:val="none" w:sz="0" w:space="0" w:color="auto"/>
        <w:left w:val="none" w:sz="0" w:space="0" w:color="auto"/>
        <w:bottom w:val="none" w:sz="0" w:space="0" w:color="auto"/>
        <w:right w:val="none" w:sz="0" w:space="0" w:color="auto"/>
      </w:divBdr>
    </w:div>
    <w:div w:id="51926700">
      <w:bodyDiv w:val="1"/>
      <w:marLeft w:val="0"/>
      <w:marRight w:val="0"/>
      <w:marTop w:val="0"/>
      <w:marBottom w:val="0"/>
      <w:divBdr>
        <w:top w:val="none" w:sz="0" w:space="0" w:color="auto"/>
        <w:left w:val="none" w:sz="0" w:space="0" w:color="auto"/>
        <w:bottom w:val="none" w:sz="0" w:space="0" w:color="auto"/>
        <w:right w:val="none" w:sz="0" w:space="0" w:color="auto"/>
      </w:divBdr>
    </w:div>
    <w:div w:id="225336515">
      <w:bodyDiv w:val="1"/>
      <w:marLeft w:val="0"/>
      <w:marRight w:val="0"/>
      <w:marTop w:val="0"/>
      <w:marBottom w:val="0"/>
      <w:divBdr>
        <w:top w:val="none" w:sz="0" w:space="0" w:color="auto"/>
        <w:left w:val="none" w:sz="0" w:space="0" w:color="auto"/>
        <w:bottom w:val="none" w:sz="0" w:space="0" w:color="auto"/>
        <w:right w:val="none" w:sz="0" w:space="0" w:color="auto"/>
      </w:divBdr>
    </w:div>
    <w:div w:id="296109030">
      <w:bodyDiv w:val="1"/>
      <w:marLeft w:val="0"/>
      <w:marRight w:val="0"/>
      <w:marTop w:val="0"/>
      <w:marBottom w:val="0"/>
      <w:divBdr>
        <w:top w:val="none" w:sz="0" w:space="0" w:color="auto"/>
        <w:left w:val="none" w:sz="0" w:space="0" w:color="auto"/>
        <w:bottom w:val="none" w:sz="0" w:space="0" w:color="auto"/>
        <w:right w:val="none" w:sz="0" w:space="0" w:color="auto"/>
      </w:divBdr>
    </w:div>
    <w:div w:id="356663529">
      <w:bodyDiv w:val="1"/>
      <w:marLeft w:val="0"/>
      <w:marRight w:val="0"/>
      <w:marTop w:val="0"/>
      <w:marBottom w:val="0"/>
      <w:divBdr>
        <w:top w:val="none" w:sz="0" w:space="0" w:color="auto"/>
        <w:left w:val="none" w:sz="0" w:space="0" w:color="auto"/>
        <w:bottom w:val="none" w:sz="0" w:space="0" w:color="auto"/>
        <w:right w:val="none" w:sz="0" w:space="0" w:color="auto"/>
      </w:divBdr>
    </w:div>
    <w:div w:id="388191570">
      <w:bodyDiv w:val="1"/>
      <w:marLeft w:val="0"/>
      <w:marRight w:val="0"/>
      <w:marTop w:val="0"/>
      <w:marBottom w:val="0"/>
      <w:divBdr>
        <w:top w:val="none" w:sz="0" w:space="0" w:color="auto"/>
        <w:left w:val="none" w:sz="0" w:space="0" w:color="auto"/>
        <w:bottom w:val="none" w:sz="0" w:space="0" w:color="auto"/>
        <w:right w:val="none" w:sz="0" w:space="0" w:color="auto"/>
      </w:divBdr>
    </w:div>
    <w:div w:id="393969239">
      <w:bodyDiv w:val="1"/>
      <w:marLeft w:val="0"/>
      <w:marRight w:val="0"/>
      <w:marTop w:val="0"/>
      <w:marBottom w:val="0"/>
      <w:divBdr>
        <w:top w:val="none" w:sz="0" w:space="0" w:color="auto"/>
        <w:left w:val="none" w:sz="0" w:space="0" w:color="auto"/>
        <w:bottom w:val="none" w:sz="0" w:space="0" w:color="auto"/>
        <w:right w:val="none" w:sz="0" w:space="0" w:color="auto"/>
      </w:divBdr>
    </w:div>
    <w:div w:id="492526082">
      <w:bodyDiv w:val="1"/>
      <w:marLeft w:val="0"/>
      <w:marRight w:val="0"/>
      <w:marTop w:val="0"/>
      <w:marBottom w:val="0"/>
      <w:divBdr>
        <w:top w:val="none" w:sz="0" w:space="0" w:color="auto"/>
        <w:left w:val="none" w:sz="0" w:space="0" w:color="auto"/>
        <w:bottom w:val="none" w:sz="0" w:space="0" w:color="auto"/>
        <w:right w:val="none" w:sz="0" w:space="0" w:color="auto"/>
      </w:divBdr>
      <w:divsChild>
        <w:div w:id="843325362">
          <w:marLeft w:val="0"/>
          <w:marRight w:val="0"/>
          <w:marTop w:val="0"/>
          <w:marBottom w:val="0"/>
          <w:divBdr>
            <w:top w:val="none" w:sz="0" w:space="0" w:color="auto"/>
            <w:left w:val="none" w:sz="0" w:space="0" w:color="auto"/>
            <w:bottom w:val="none" w:sz="0" w:space="0" w:color="auto"/>
            <w:right w:val="none" w:sz="0" w:space="0" w:color="auto"/>
          </w:divBdr>
        </w:div>
        <w:div w:id="148793022">
          <w:marLeft w:val="0"/>
          <w:marRight w:val="0"/>
          <w:marTop w:val="0"/>
          <w:marBottom w:val="0"/>
          <w:divBdr>
            <w:top w:val="none" w:sz="0" w:space="0" w:color="auto"/>
            <w:left w:val="none" w:sz="0" w:space="0" w:color="auto"/>
            <w:bottom w:val="none" w:sz="0" w:space="0" w:color="auto"/>
            <w:right w:val="none" w:sz="0" w:space="0" w:color="auto"/>
          </w:divBdr>
        </w:div>
      </w:divsChild>
    </w:div>
    <w:div w:id="515536632">
      <w:bodyDiv w:val="1"/>
      <w:marLeft w:val="0"/>
      <w:marRight w:val="0"/>
      <w:marTop w:val="0"/>
      <w:marBottom w:val="0"/>
      <w:divBdr>
        <w:top w:val="none" w:sz="0" w:space="0" w:color="auto"/>
        <w:left w:val="none" w:sz="0" w:space="0" w:color="auto"/>
        <w:bottom w:val="none" w:sz="0" w:space="0" w:color="auto"/>
        <w:right w:val="none" w:sz="0" w:space="0" w:color="auto"/>
      </w:divBdr>
    </w:div>
    <w:div w:id="677999154">
      <w:bodyDiv w:val="1"/>
      <w:marLeft w:val="0"/>
      <w:marRight w:val="0"/>
      <w:marTop w:val="0"/>
      <w:marBottom w:val="0"/>
      <w:divBdr>
        <w:top w:val="none" w:sz="0" w:space="0" w:color="auto"/>
        <w:left w:val="none" w:sz="0" w:space="0" w:color="auto"/>
        <w:bottom w:val="none" w:sz="0" w:space="0" w:color="auto"/>
        <w:right w:val="none" w:sz="0" w:space="0" w:color="auto"/>
      </w:divBdr>
    </w:div>
    <w:div w:id="752747724">
      <w:bodyDiv w:val="1"/>
      <w:marLeft w:val="0"/>
      <w:marRight w:val="0"/>
      <w:marTop w:val="0"/>
      <w:marBottom w:val="0"/>
      <w:divBdr>
        <w:top w:val="none" w:sz="0" w:space="0" w:color="auto"/>
        <w:left w:val="none" w:sz="0" w:space="0" w:color="auto"/>
        <w:bottom w:val="none" w:sz="0" w:space="0" w:color="auto"/>
        <w:right w:val="none" w:sz="0" w:space="0" w:color="auto"/>
      </w:divBdr>
    </w:div>
    <w:div w:id="1185285880">
      <w:bodyDiv w:val="1"/>
      <w:marLeft w:val="0"/>
      <w:marRight w:val="0"/>
      <w:marTop w:val="0"/>
      <w:marBottom w:val="0"/>
      <w:divBdr>
        <w:top w:val="none" w:sz="0" w:space="0" w:color="auto"/>
        <w:left w:val="none" w:sz="0" w:space="0" w:color="auto"/>
        <w:bottom w:val="none" w:sz="0" w:space="0" w:color="auto"/>
        <w:right w:val="none" w:sz="0" w:space="0" w:color="auto"/>
      </w:divBdr>
    </w:div>
    <w:div w:id="1196893928">
      <w:bodyDiv w:val="1"/>
      <w:marLeft w:val="0"/>
      <w:marRight w:val="0"/>
      <w:marTop w:val="0"/>
      <w:marBottom w:val="0"/>
      <w:divBdr>
        <w:top w:val="none" w:sz="0" w:space="0" w:color="auto"/>
        <w:left w:val="none" w:sz="0" w:space="0" w:color="auto"/>
        <w:bottom w:val="none" w:sz="0" w:space="0" w:color="auto"/>
        <w:right w:val="none" w:sz="0" w:space="0" w:color="auto"/>
      </w:divBdr>
    </w:div>
    <w:div w:id="1246300621">
      <w:bodyDiv w:val="1"/>
      <w:marLeft w:val="0"/>
      <w:marRight w:val="0"/>
      <w:marTop w:val="0"/>
      <w:marBottom w:val="0"/>
      <w:divBdr>
        <w:top w:val="none" w:sz="0" w:space="0" w:color="auto"/>
        <w:left w:val="none" w:sz="0" w:space="0" w:color="auto"/>
        <w:bottom w:val="none" w:sz="0" w:space="0" w:color="auto"/>
        <w:right w:val="none" w:sz="0" w:space="0" w:color="auto"/>
      </w:divBdr>
    </w:div>
    <w:div w:id="1259216495">
      <w:bodyDiv w:val="1"/>
      <w:marLeft w:val="0"/>
      <w:marRight w:val="0"/>
      <w:marTop w:val="0"/>
      <w:marBottom w:val="0"/>
      <w:divBdr>
        <w:top w:val="none" w:sz="0" w:space="0" w:color="auto"/>
        <w:left w:val="none" w:sz="0" w:space="0" w:color="auto"/>
        <w:bottom w:val="none" w:sz="0" w:space="0" w:color="auto"/>
        <w:right w:val="none" w:sz="0" w:space="0" w:color="auto"/>
      </w:divBdr>
    </w:div>
    <w:div w:id="1299529033">
      <w:bodyDiv w:val="1"/>
      <w:marLeft w:val="0"/>
      <w:marRight w:val="0"/>
      <w:marTop w:val="0"/>
      <w:marBottom w:val="0"/>
      <w:divBdr>
        <w:top w:val="none" w:sz="0" w:space="0" w:color="auto"/>
        <w:left w:val="none" w:sz="0" w:space="0" w:color="auto"/>
        <w:bottom w:val="none" w:sz="0" w:space="0" w:color="auto"/>
        <w:right w:val="none" w:sz="0" w:space="0" w:color="auto"/>
      </w:divBdr>
    </w:div>
    <w:div w:id="1304696215">
      <w:bodyDiv w:val="1"/>
      <w:marLeft w:val="0"/>
      <w:marRight w:val="0"/>
      <w:marTop w:val="0"/>
      <w:marBottom w:val="0"/>
      <w:divBdr>
        <w:top w:val="none" w:sz="0" w:space="0" w:color="auto"/>
        <w:left w:val="none" w:sz="0" w:space="0" w:color="auto"/>
        <w:bottom w:val="none" w:sz="0" w:space="0" w:color="auto"/>
        <w:right w:val="none" w:sz="0" w:space="0" w:color="auto"/>
      </w:divBdr>
    </w:div>
    <w:div w:id="1360087269">
      <w:bodyDiv w:val="1"/>
      <w:marLeft w:val="0"/>
      <w:marRight w:val="0"/>
      <w:marTop w:val="0"/>
      <w:marBottom w:val="0"/>
      <w:divBdr>
        <w:top w:val="none" w:sz="0" w:space="0" w:color="auto"/>
        <w:left w:val="none" w:sz="0" w:space="0" w:color="auto"/>
        <w:bottom w:val="none" w:sz="0" w:space="0" w:color="auto"/>
        <w:right w:val="none" w:sz="0" w:space="0" w:color="auto"/>
      </w:divBdr>
    </w:div>
    <w:div w:id="1493712301">
      <w:bodyDiv w:val="1"/>
      <w:marLeft w:val="0"/>
      <w:marRight w:val="0"/>
      <w:marTop w:val="0"/>
      <w:marBottom w:val="0"/>
      <w:divBdr>
        <w:top w:val="none" w:sz="0" w:space="0" w:color="auto"/>
        <w:left w:val="none" w:sz="0" w:space="0" w:color="auto"/>
        <w:bottom w:val="none" w:sz="0" w:space="0" w:color="auto"/>
        <w:right w:val="none" w:sz="0" w:space="0" w:color="auto"/>
      </w:divBdr>
    </w:div>
    <w:div w:id="1540362880">
      <w:bodyDiv w:val="1"/>
      <w:marLeft w:val="0"/>
      <w:marRight w:val="0"/>
      <w:marTop w:val="0"/>
      <w:marBottom w:val="0"/>
      <w:divBdr>
        <w:top w:val="none" w:sz="0" w:space="0" w:color="auto"/>
        <w:left w:val="none" w:sz="0" w:space="0" w:color="auto"/>
        <w:bottom w:val="none" w:sz="0" w:space="0" w:color="auto"/>
        <w:right w:val="none" w:sz="0" w:space="0" w:color="auto"/>
      </w:divBdr>
    </w:div>
    <w:div w:id="1622110823">
      <w:bodyDiv w:val="1"/>
      <w:marLeft w:val="0"/>
      <w:marRight w:val="0"/>
      <w:marTop w:val="0"/>
      <w:marBottom w:val="0"/>
      <w:divBdr>
        <w:top w:val="none" w:sz="0" w:space="0" w:color="auto"/>
        <w:left w:val="none" w:sz="0" w:space="0" w:color="auto"/>
        <w:bottom w:val="none" w:sz="0" w:space="0" w:color="auto"/>
        <w:right w:val="none" w:sz="0" w:space="0" w:color="auto"/>
      </w:divBdr>
    </w:div>
    <w:div w:id="1688287519">
      <w:bodyDiv w:val="1"/>
      <w:marLeft w:val="0"/>
      <w:marRight w:val="0"/>
      <w:marTop w:val="0"/>
      <w:marBottom w:val="0"/>
      <w:divBdr>
        <w:top w:val="none" w:sz="0" w:space="0" w:color="auto"/>
        <w:left w:val="none" w:sz="0" w:space="0" w:color="auto"/>
        <w:bottom w:val="none" w:sz="0" w:space="0" w:color="auto"/>
        <w:right w:val="none" w:sz="0" w:space="0" w:color="auto"/>
      </w:divBdr>
    </w:div>
    <w:div w:id="1692410362">
      <w:bodyDiv w:val="1"/>
      <w:marLeft w:val="0"/>
      <w:marRight w:val="0"/>
      <w:marTop w:val="0"/>
      <w:marBottom w:val="0"/>
      <w:divBdr>
        <w:top w:val="none" w:sz="0" w:space="0" w:color="auto"/>
        <w:left w:val="none" w:sz="0" w:space="0" w:color="auto"/>
        <w:bottom w:val="none" w:sz="0" w:space="0" w:color="auto"/>
        <w:right w:val="none" w:sz="0" w:space="0" w:color="auto"/>
      </w:divBdr>
    </w:div>
    <w:div w:id="18175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mf.org/en/Publications/WEO/Issues/2017/09/19/world-economic-outlook-october-2017" TargetMode="External"/><Relationship Id="rId2" Type="http://schemas.openxmlformats.org/officeDocument/2006/relationships/hyperlink" Target="http://www.worldbank.org/en/publication/global-economic-prospects" TargetMode="External"/><Relationship Id="rId1" Type="http://schemas.openxmlformats.org/officeDocument/2006/relationships/hyperlink" Target="https://www.nbg.gov.ge/uploads/publications/inflationreport/2018/mpr_2018q1_publish_eng.pdf" TargetMode="External"/><Relationship Id="rId4" Type="http://schemas.openxmlformats.org/officeDocument/2006/relationships/hyperlink" Target="https://openknowledge.worldbank.org/handle/10986/24812"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B5D2.D898146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4461-2FE5-4CA6-83DD-E3708936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24340</TotalTime>
  <Pages>17</Pages>
  <Words>5719</Words>
  <Characters>35287</Characters>
  <Application>Microsoft Office Word</Application>
  <DocSecurity>0</DocSecurity>
  <Lines>1470</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Gogilashvili</dc:creator>
  <cp:keywords/>
  <dc:description/>
  <cp:lastModifiedBy>Davit Gogilashvili</cp:lastModifiedBy>
  <cp:revision>5209</cp:revision>
  <dcterms:created xsi:type="dcterms:W3CDTF">2017-09-21T10:21:00Z</dcterms:created>
  <dcterms:modified xsi:type="dcterms:W3CDTF">2018-04-29T09:26:00Z</dcterms:modified>
</cp:coreProperties>
</file>