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C8" w:rsidRDefault="00B86265" w:rsidP="00640EC8">
      <w:pPr>
        <w:pStyle w:val="ListParagraph"/>
        <w:spacing w:after="0"/>
        <w:ind w:firstLine="0"/>
        <w:jc w:val="both"/>
        <w:rPr>
          <w:rFonts w:ascii="Sylfaen" w:hAnsi="Sylfaen"/>
          <w:b/>
          <w:color w:val="000000" w:themeColor="text1"/>
          <w:sz w:val="24"/>
          <w:szCs w:val="24"/>
          <w:lang w:val="en-US"/>
        </w:rPr>
      </w:pPr>
      <w:r>
        <w:rPr>
          <w:rFonts w:ascii="Sylfaen" w:hAnsi="Sylfaen"/>
          <w:b/>
          <w:color w:val="000000" w:themeColor="text1"/>
          <w:sz w:val="24"/>
          <w:szCs w:val="24"/>
          <w:lang w:val="en-US"/>
        </w:rPr>
        <w:t xml:space="preserve">Epidemiological situation of </w:t>
      </w:r>
      <w:r w:rsidR="00640EC8">
        <w:rPr>
          <w:rFonts w:ascii="Sylfaen" w:hAnsi="Sylfaen"/>
          <w:b/>
          <w:color w:val="000000" w:themeColor="text1"/>
          <w:sz w:val="24"/>
          <w:szCs w:val="24"/>
          <w:lang w:val="en-US"/>
        </w:rPr>
        <w:t xml:space="preserve">Rabies in Georgia and in some other countries  </w:t>
      </w:r>
    </w:p>
    <w:p w:rsidR="00640EC8" w:rsidRDefault="00640EC8" w:rsidP="00640EC8">
      <w:pPr>
        <w:pStyle w:val="ListParagraph"/>
        <w:spacing w:after="0"/>
        <w:ind w:firstLine="0"/>
        <w:jc w:val="both"/>
        <w:rPr>
          <w:rFonts w:ascii="Sylfaen" w:hAnsi="Sylfaen"/>
          <w:b/>
          <w:color w:val="000000" w:themeColor="text1"/>
          <w:sz w:val="24"/>
          <w:szCs w:val="24"/>
          <w:lang w:val="ka-GE"/>
        </w:rPr>
      </w:pPr>
    </w:p>
    <w:p w:rsidR="00F906CC" w:rsidRPr="00F906CC" w:rsidRDefault="00640EC8" w:rsidP="00F906CC">
      <w:pPr>
        <w:pStyle w:val="ListParagraph"/>
        <w:numPr>
          <w:ilvl w:val="0"/>
          <w:numId w:val="3"/>
        </w:numPr>
        <w:spacing w:after="0"/>
        <w:jc w:val="both"/>
        <w:rPr>
          <w:rFonts w:ascii="Sylfaen" w:hAnsi="Sylfaen"/>
          <w:b/>
          <w:color w:val="000000" w:themeColor="text1"/>
          <w:sz w:val="24"/>
          <w:szCs w:val="24"/>
          <w:lang w:val="ka-GE"/>
        </w:rPr>
      </w:pPr>
      <w:r>
        <w:rPr>
          <w:rFonts w:ascii="Sylfaen" w:eastAsia="Times New Roman" w:hAnsi="Sylfaen" w:cs="Times New Roman"/>
          <w:color w:val="000000" w:themeColor="text1"/>
          <w:sz w:val="24"/>
          <w:szCs w:val="24"/>
          <w:lang w:val="ka-GE" w:eastAsia="ru-RU"/>
        </w:rPr>
        <w:t>Rabies</w:t>
      </w:r>
      <w:r>
        <w:rPr>
          <w:rFonts w:ascii="Sylfaen" w:eastAsia="Times New Roman" w:hAnsi="Sylfaen" w:cs="Times New Roman"/>
          <w:color w:val="000000" w:themeColor="text1"/>
          <w:sz w:val="24"/>
          <w:szCs w:val="24"/>
          <w:lang w:val="en-US" w:eastAsia="ru-RU"/>
        </w:rPr>
        <w:t xml:space="preserve"> </w:t>
      </w:r>
      <w:r>
        <w:rPr>
          <w:rFonts w:ascii="Sylfaen" w:eastAsia="Times New Roman" w:hAnsi="Sylfaen" w:cs="Times New Roman"/>
          <w:color w:val="000000" w:themeColor="text1"/>
          <w:sz w:val="24"/>
          <w:szCs w:val="24"/>
          <w:lang w:val="ka-GE" w:eastAsia="ru-RU"/>
        </w:rPr>
        <w:t xml:space="preserve">- </w:t>
      </w:r>
      <w:r>
        <w:rPr>
          <w:rFonts w:ascii="Sylfaen" w:eastAsia="Times New Roman" w:hAnsi="Sylfaen" w:cs="Times New Roman"/>
          <w:color w:val="000000" w:themeColor="text1"/>
          <w:sz w:val="24"/>
          <w:szCs w:val="24"/>
          <w:lang w:val="en-US" w:eastAsia="ru-RU"/>
        </w:rPr>
        <w:t>acute</w:t>
      </w:r>
      <w:r>
        <w:rPr>
          <w:rFonts w:ascii="Sylfaen" w:eastAsia="Times New Roman" w:hAnsi="Sylfaen" w:cs="Times New Roman"/>
          <w:color w:val="000000" w:themeColor="text1"/>
          <w:sz w:val="24"/>
          <w:szCs w:val="24"/>
          <w:lang w:val="ka-GE" w:eastAsia="ru-RU"/>
        </w:rPr>
        <w:t xml:space="preserve"> zoonotic viral disease, which is distributed in </w:t>
      </w:r>
      <w:r>
        <w:rPr>
          <w:rFonts w:ascii="Sylfaen" w:eastAsia="Times New Roman" w:hAnsi="Sylfaen" w:cs="Times New Roman"/>
          <w:color w:val="000000" w:themeColor="text1"/>
          <w:sz w:val="24"/>
          <w:szCs w:val="24"/>
          <w:lang w:val="en-US" w:eastAsia="ru-RU"/>
        </w:rPr>
        <w:t xml:space="preserve">more then </w:t>
      </w:r>
      <w:r>
        <w:rPr>
          <w:rFonts w:ascii="Sylfaen" w:eastAsia="Times New Roman" w:hAnsi="Sylfaen" w:cs="Times New Roman"/>
          <w:color w:val="000000" w:themeColor="text1"/>
          <w:sz w:val="24"/>
          <w:szCs w:val="24"/>
          <w:lang w:val="ka-GE" w:eastAsia="ru-RU"/>
        </w:rPr>
        <w:t xml:space="preserve">150  </w:t>
      </w:r>
      <w:r w:rsidR="00B86265">
        <w:rPr>
          <w:rFonts w:ascii="Sylfaen" w:eastAsia="Times New Roman" w:hAnsi="Sylfaen" w:cs="Times New Roman"/>
          <w:color w:val="000000" w:themeColor="text1"/>
          <w:sz w:val="24"/>
          <w:szCs w:val="24"/>
          <w:lang w:val="en-US" w:eastAsia="ru-RU"/>
        </w:rPr>
        <w:t>countries and territories</w:t>
      </w:r>
      <w:r>
        <w:rPr>
          <w:rFonts w:ascii="Sylfaen" w:eastAsia="Times New Roman" w:hAnsi="Sylfaen" w:cs="Times New Roman"/>
          <w:color w:val="000000" w:themeColor="text1"/>
          <w:sz w:val="24"/>
          <w:szCs w:val="24"/>
          <w:lang w:val="en-US" w:eastAsia="ru-RU"/>
        </w:rPr>
        <w:t>.</w:t>
      </w:r>
    </w:p>
    <w:p w:rsidR="0086466C" w:rsidRPr="0086466C" w:rsidRDefault="00640EC8" w:rsidP="0086466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ka-GE"/>
        </w:rPr>
        <w:t>Dogs are the main source of human rabies deaths, contributing up to 99% of all rabies transmissions to humans.</w:t>
      </w:r>
      <w:r w:rsidRPr="0086466C">
        <w:rPr>
          <w:lang w:val="en-US"/>
        </w:rPr>
        <w:t xml:space="preserve"> </w:t>
      </w:r>
      <w:r w:rsidRPr="0086466C">
        <w:rPr>
          <w:rFonts w:ascii="Sylfaen" w:hAnsi="Sylfaen"/>
          <w:color w:val="000000" w:themeColor="text1"/>
          <w:sz w:val="24"/>
          <w:szCs w:val="24"/>
          <w:lang w:val="ka-GE"/>
        </w:rPr>
        <w:t>40% of people bitten by suspect rabid animals are children under 15 years of age</w:t>
      </w:r>
      <w:r w:rsidR="00B86265" w:rsidRPr="0086466C">
        <w:rPr>
          <w:rFonts w:ascii="Sylfaen" w:hAnsi="Sylfaen"/>
          <w:color w:val="000000" w:themeColor="text1"/>
          <w:sz w:val="24"/>
          <w:szCs w:val="24"/>
          <w:lang w:val="en-US"/>
        </w:rPr>
        <w:t>.</w:t>
      </w:r>
    </w:p>
    <w:p w:rsidR="0086466C" w:rsidRPr="0086466C" w:rsidRDefault="00B86265" w:rsidP="0086466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ka-GE"/>
        </w:rPr>
        <w:t>Rabies elimination is feasible through vaccination of dogs and prevention of dog bites</w:t>
      </w:r>
      <w:r w:rsidRPr="0086466C">
        <w:rPr>
          <w:rFonts w:ascii="Sylfaen" w:hAnsi="Sylfaen"/>
          <w:color w:val="000000" w:themeColor="text1"/>
          <w:sz w:val="24"/>
          <w:szCs w:val="24"/>
          <w:lang w:val="en-US"/>
        </w:rPr>
        <w:t>.</w:t>
      </w:r>
    </w:p>
    <w:p w:rsidR="0086466C" w:rsidRPr="0086466C" w:rsidRDefault="00B86265" w:rsidP="00F906C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ka-GE"/>
        </w:rPr>
        <w:t>Tens of thousands die every year from this infectious disease, mainly in Asia and Africa. According to the data</w:t>
      </w:r>
      <w:r w:rsidRPr="0086466C">
        <w:rPr>
          <w:rFonts w:ascii="Sylfaen" w:hAnsi="Sylfaen"/>
          <w:color w:val="000000" w:themeColor="text1"/>
          <w:sz w:val="24"/>
          <w:szCs w:val="24"/>
          <w:lang w:val="en-US"/>
        </w:rPr>
        <w:t xml:space="preserve"> of WHO </w:t>
      </w:r>
      <w:r w:rsidRPr="0086466C">
        <w:rPr>
          <w:rFonts w:ascii="Sylfaen" w:hAnsi="Sylfaen"/>
          <w:color w:val="000000" w:themeColor="text1"/>
          <w:sz w:val="24"/>
          <w:szCs w:val="24"/>
          <w:lang w:val="ka-GE"/>
        </w:rPr>
        <w:t>2015, 7 cases of rabies</w:t>
      </w:r>
      <w:r w:rsidRPr="0086466C">
        <w:rPr>
          <w:rFonts w:ascii="Sylfaen" w:hAnsi="Sylfaen"/>
          <w:color w:val="000000" w:themeColor="text1"/>
          <w:sz w:val="24"/>
          <w:szCs w:val="24"/>
          <w:lang w:val="en-US"/>
        </w:rPr>
        <w:t xml:space="preserve"> were registered</w:t>
      </w:r>
      <w:r w:rsidRPr="0086466C">
        <w:rPr>
          <w:rFonts w:ascii="Sylfaen" w:hAnsi="Sylfaen"/>
          <w:color w:val="000000" w:themeColor="text1"/>
          <w:sz w:val="24"/>
          <w:szCs w:val="24"/>
          <w:lang w:val="ka-GE"/>
        </w:rPr>
        <w:t xml:space="preserve"> in Algeria, 854 in China, 4 in Iran, 8 in Madagascar, 236 in Philippines, 19 in Sri Lanka, 23 in Uganda, 78 in </w:t>
      </w:r>
      <w:r w:rsidRPr="0086466C">
        <w:rPr>
          <w:rFonts w:ascii="Sylfaen" w:hAnsi="Sylfaen"/>
          <w:color w:val="000000" w:themeColor="text1"/>
          <w:sz w:val="24"/>
          <w:szCs w:val="24"/>
          <w:lang w:val="en-US"/>
        </w:rPr>
        <w:t>Viet Nam</w:t>
      </w:r>
      <w:r w:rsidRPr="0086466C">
        <w:rPr>
          <w:rFonts w:ascii="Sylfaen" w:hAnsi="Sylfaen"/>
          <w:color w:val="000000" w:themeColor="text1"/>
          <w:sz w:val="24"/>
          <w:szCs w:val="24"/>
          <w:lang w:val="ka-GE"/>
        </w:rPr>
        <w:t>, 16 in Zimbabwe, and 800 in Cambodia. There is a particularly difficult situation in India where 20565 people died from rabies in 2015.</w:t>
      </w:r>
      <w:r w:rsidR="00F906CC">
        <w:rPr>
          <w:rFonts w:ascii="Sylfaen" w:hAnsi="Sylfaen"/>
          <w:color w:val="000000" w:themeColor="text1"/>
          <w:sz w:val="24"/>
          <w:szCs w:val="24"/>
          <w:lang w:val="en-US"/>
        </w:rPr>
        <w:t xml:space="preserve"> Countries free of Rabies in Asia – Japan, M</w:t>
      </w:r>
      <w:r w:rsidR="00F906CC" w:rsidRPr="00F906CC">
        <w:rPr>
          <w:rFonts w:ascii="Sylfaen" w:hAnsi="Sylfaen"/>
          <w:color w:val="000000" w:themeColor="text1"/>
          <w:sz w:val="24"/>
          <w:szCs w:val="24"/>
          <w:lang w:val="en-US"/>
        </w:rPr>
        <w:t>alaysia</w:t>
      </w:r>
      <w:r w:rsidR="00F906CC">
        <w:rPr>
          <w:rFonts w:ascii="Sylfaen" w:hAnsi="Sylfaen"/>
          <w:color w:val="000000" w:themeColor="text1"/>
          <w:sz w:val="24"/>
          <w:szCs w:val="24"/>
          <w:lang w:val="en-US"/>
        </w:rPr>
        <w:t>, Oman, Qatar</w:t>
      </w:r>
    </w:p>
    <w:p w:rsidR="0086466C" w:rsidRPr="0086466C" w:rsidRDefault="00640EC8" w:rsidP="0086466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ka-GE"/>
        </w:rPr>
        <w:t>3 case</w:t>
      </w:r>
      <w:r w:rsidRPr="0086466C">
        <w:rPr>
          <w:rFonts w:ascii="Sylfaen" w:hAnsi="Sylfaen"/>
          <w:color w:val="000000" w:themeColor="text1"/>
          <w:sz w:val="24"/>
          <w:szCs w:val="24"/>
          <w:lang w:val="en-US"/>
        </w:rPr>
        <w:t>s</w:t>
      </w:r>
      <w:r w:rsidRPr="0086466C">
        <w:rPr>
          <w:rFonts w:ascii="Sylfaen" w:hAnsi="Sylfaen"/>
          <w:color w:val="000000" w:themeColor="text1"/>
          <w:sz w:val="24"/>
          <w:szCs w:val="24"/>
          <w:lang w:val="ka-GE"/>
        </w:rPr>
        <w:t xml:space="preserve"> of rabies in Brazil, 2 i</w:t>
      </w:r>
      <w:r w:rsidR="00B6157A" w:rsidRPr="0086466C">
        <w:rPr>
          <w:rFonts w:ascii="Sylfaen" w:hAnsi="Sylfaen"/>
          <w:color w:val="000000" w:themeColor="text1"/>
          <w:sz w:val="24"/>
          <w:szCs w:val="24"/>
          <w:lang w:val="ka-GE"/>
        </w:rPr>
        <w:t>n Columbia, 3 in Guatemala,  8</w:t>
      </w:r>
      <w:r w:rsidR="00B6157A" w:rsidRPr="0086466C">
        <w:rPr>
          <w:rFonts w:ascii="Sylfaen" w:hAnsi="Sylfaen"/>
          <w:color w:val="000000" w:themeColor="text1"/>
          <w:sz w:val="24"/>
          <w:szCs w:val="24"/>
          <w:lang w:val="en-US"/>
        </w:rPr>
        <w:t xml:space="preserve"> </w:t>
      </w:r>
      <w:r w:rsidR="00B6157A" w:rsidRPr="0086466C">
        <w:rPr>
          <w:rFonts w:ascii="Sylfaen" w:hAnsi="Sylfaen"/>
          <w:color w:val="000000" w:themeColor="text1"/>
          <w:sz w:val="24"/>
          <w:szCs w:val="24"/>
          <w:lang w:val="ka-GE"/>
        </w:rPr>
        <w:t>in</w:t>
      </w:r>
      <w:r w:rsidRPr="0086466C">
        <w:rPr>
          <w:rFonts w:ascii="Sylfaen" w:hAnsi="Sylfaen"/>
          <w:color w:val="000000" w:themeColor="text1"/>
          <w:sz w:val="24"/>
          <w:szCs w:val="24"/>
          <w:lang w:val="ka-GE"/>
        </w:rPr>
        <w:t xml:space="preserve"> Haiti, </w:t>
      </w:r>
      <w:r w:rsidR="00B6157A" w:rsidRPr="0086466C">
        <w:rPr>
          <w:rFonts w:ascii="Sylfaen" w:hAnsi="Sylfaen"/>
          <w:color w:val="000000" w:themeColor="text1"/>
          <w:sz w:val="24"/>
          <w:szCs w:val="24"/>
          <w:lang w:val="en-US"/>
        </w:rPr>
        <w:t xml:space="preserve">2 </w:t>
      </w:r>
      <w:r w:rsidRPr="0086466C">
        <w:rPr>
          <w:rFonts w:ascii="Sylfaen" w:hAnsi="Sylfaen"/>
          <w:color w:val="000000" w:themeColor="text1"/>
          <w:sz w:val="24"/>
          <w:szCs w:val="24"/>
          <w:lang w:val="ka-GE"/>
        </w:rPr>
        <w:t>in Mexico, 15 in Peru were regis</w:t>
      </w:r>
      <w:r w:rsidR="00B86265" w:rsidRPr="0086466C">
        <w:rPr>
          <w:rFonts w:ascii="Sylfaen" w:hAnsi="Sylfaen"/>
          <w:color w:val="000000" w:themeColor="text1"/>
          <w:sz w:val="24"/>
          <w:szCs w:val="24"/>
          <w:lang w:val="ka-GE"/>
        </w:rPr>
        <w:t>tered in 2016, in America</w:t>
      </w:r>
      <w:r w:rsidR="008403EA">
        <w:rPr>
          <w:rFonts w:ascii="Sylfaen" w:hAnsi="Sylfaen"/>
          <w:color w:val="000000" w:themeColor="text1"/>
          <w:sz w:val="24"/>
          <w:szCs w:val="24"/>
          <w:lang w:val="en-US"/>
        </w:rPr>
        <w:t>s</w:t>
      </w:r>
      <w:r w:rsidR="008403EA">
        <w:rPr>
          <w:rFonts w:ascii="Sylfaen" w:hAnsi="Sylfaen"/>
          <w:color w:val="000000" w:themeColor="text1"/>
          <w:sz w:val="24"/>
          <w:szCs w:val="24"/>
          <w:lang w:val="ka-GE"/>
        </w:rPr>
        <w:t xml:space="preserve">. </w:t>
      </w:r>
      <w:r w:rsidR="008403EA">
        <w:rPr>
          <w:rFonts w:ascii="Sylfaen" w:hAnsi="Sylfaen"/>
          <w:color w:val="000000" w:themeColor="text1"/>
          <w:sz w:val="24"/>
          <w:szCs w:val="24"/>
          <w:lang w:val="en-US"/>
        </w:rPr>
        <w:t xml:space="preserve">Countries free of Rabies: </w:t>
      </w:r>
      <w:r w:rsidR="008403EA">
        <w:rPr>
          <w:rFonts w:ascii="Sylfaen" w:hAnsi="Sylfaen"/>
          <w:color w:val="000000" w:themeColor="text1"/>
          <w:sz w:val="24"/>
          <w:szCs w:val="24"/>
          <w:lang w:val="en-US"/>
        </w:rPr>
        <w:t xml:space="preserve">French Guinea, Uruguay and Jamaica.  </w:t>
      </w:r>
    </w:p>
    <w:p w:rsidR="0086466C" w:rsidRPr="0086466C" w:rsidRDefault="00640EC8" w:rsidP="0086466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en-US"/>
        </w:rPr>
        <w:t>It should be noted, that in poor countries</w:t>
      </w:r>
      <w:r w:rsidR="00B6157A" w:rsidRPr="0086466C">
        <w:rPr>
          <w:rFonts w:ascii="Sylfaen" w:hAnsi="Sylfaen"/>
          <w:color w:val="000000" w:themeColor="text1"/>
          <w:sz w:val="24"/>
          <w:szCs w:val="24"/>
          <w:lang w:val="en-US"/>
        </w:rPr>
        <w:t>,</w:t>
      </w:r>
      <w:r w:rsidRPr="0086466C">
        <w:rPr>
          <w:rFonts w:ascii="Sylfaen" w:hAnsi="Sylfaen"/>
          <w:color w:val="000000" w:themeColor="text1"/>
          <w:sz w:val="24"/>
          <w:szCs w:val="24"/>
          <w:lang w:val="en-US"/>
        </w:rPr>
        <w:t xml:space="preserve"> where accessibility of veterinary and medical services is limited, the registration of rabies cases is imperfect.</w:t>
      </w:r>
    </w:p>
    <w:p w:rsidR="0086466C" w:rsidRPr="0086466C" w:rsidRDefault="00B86265" w:rsidP="00F906CC">
      <w:pPr>
        <w:pStyle w:val="ListParagraph"/>
        <w:numPr>
          <w:ilvl w:val="0"/>
          <w:numId w:val="3"/>
        </w:numPr>
        <w:spacing w:after="0"/>
        <w:jc w:val="both"/>
        <w:rPr>
          <w:rFonts w:ascii="Sylfaen" w:hAnsi="Sylfaen"/>
          <w:b/>
          <w:color w:val="000000" w:themeColor="text1"/>
          <w:sz w:val="24"/>
          <w:szCs w:val="24"/>
          <w:lang w:val="ka-GE"/>
        </w:rPr>
      </w:pPr>
      <w:r w:rsidRPr="0086466C">
        <w:rPr>
          <w:rFonts w:ascii="Sylfaen" w:hAnsi="Sylfaen"/>
          <w:color w:val="000000" w:themeColor="text1"/>
          <w:sz w:val="24"/>
          <w:szCs w:val="24"/>
          <w:lang w:val="en-US"/>
        </w:rPr>
        <w:t xml:space="preserve">It has been already </w:t>
      </w:r>
      <w:r w:rsidR="00640EC8" w:rsidRPr="0086466C">
        <w:rPr>
          <w:rFonts w:ascii="Sylfaen" w:hAnsi="Sylfaen"/>
          <w:color w:val="000000" w:themeColor="text1"/>
          <w:sz w:val="24"/>
          <w:szCs w:val="24"/>
          <w:lang w:val="en-US"/>
        </w:rPr>
        <w:t xml:space="preserve">40-50 years </w:t>
      </w:r>
      <w:r w:rsidRPr="0086466C">
        <w:rPr>
          <w:rFonts w:ascii="Sylfaen" w:hAnsi="Sylfaen"/>
          <w:color w:val="000000" w:themeColor="text1"/>
          <w:sz w:val="24"/>
          <w:szCs w:val="24"/>
          <w:lang w:val="en-US"/>
        </w:rPr>
        <w:t xml:space="preserve">that </w:t>
      </w:r>
      <w:r w:rsidR="00640EC8" w:rsidRPr="0086466C">
        <w:rPr>
          <w:rFonts w:ascii="Sylfaen" w:hAnsi="Sylfaen"/>
          <w:color w:val="000000" w:themeColor="text1"/>
          <w:sz w:val="24"/>
          <w:szCs w:val="24"/>
          <w:lang w:val="en-US"/>
        </w:rPr>
        <w:t>rabies cases are not</w:t>
      </w:r>
      <w:r w:rsidRPr="0086466C">
        <w:rPr>
          <w:rFonts w:ascii="Sylfaen" w:hAnsi="Sylfaen"/>
          <w:color w:val="000000" w:themeColor="text1"/>
          <w:sz w:val="24"/>
          <w:szCs w:val="24"/>
          <w:lang w:val="en-US"/>
        </w:rPr>
        <w:t xml:space="preserve"> being</w:t>
      </w:r>
      <w:r w:rsidR="00640EC8" w:rsidRPr="0086466C">
        <w:rPr>
          <w:rFonts w:ascii="Sylfaen" w:hAnsi="Sylfaen"/>
          <w:color w:val="000000" w:themeColor="text1"/>
          <w:sz w:val="24"/>
          <w:szCs w:val="24"/>
          <w:lang w:val="en-US"/>
        </w:rPr>
        <w:t xml:space="preserve"> registered in a different Northern American and European countries. This epizootic and epidemiological</w:t>
      </w:r>
      <w:r w:rsidRPr="0086466C">
        <w:rPr>
          <w:rFonts w:ascii="Sylfaen" w:hAnsi="Sylfaen"/>
          <w:color w:val="000000" w:themeColor="text1"/>
          <w:sz w:val="24"/>
          <w:szCs w:val="24"/>
          <w:lang w:val="en-US"/>
        </w:rPr>
        <w:t xml:space="preserve"> situation</w:t>
      </w:r>
      <w:r w:rsidR="00640EC8" w:rsidRPr="0086466C">
        <w:rPr>
          <w:rFonts w:ascii="Sylfaen" w:hAnsi="Sylfaen"/>
          <w:color w:val="000000" w:themeColor="text1"/>
          <w:sz w:val="24"/>
          <w:szCs w:val="24"/>
          <w:lang w:val="en-US"/>
        </w:rPr>
        <w:t xml:space="preserve"> was achieved by accessibility of human anti-rabies treatment, full vaccination coverage of domestic animals and implementation of oral vaccination in wild animals</w:t>
      </w:r>
      <w:r w:rsidRPr="0086466C">
        <w:rPr>
          <w:rFonts w:ascii="Sylfaen" w:hAnsi="Sylfaen"/>
          <w:color w:val="000000" w:themeColor="text1"/>
          <w:sz w:val="24"/>
          <w:szCs w:val="24"/>
          <w:lang w:val="en-US"/>
        </w:rPr>
        <w:t>.</w:t>
      </w:r>
      <w:r w:rsidR="00F906CC">
        <w:rPr>
          <w:rFonts w:ascii="Sylfaen" w:hAnsi="Sylfaen"/>
          <w:color w:val="000000" w:themeColor="text1"/>
          <w:sz w:val="24"/>
          <w:szCs w:val="24"/>
          <w:lang w:val="en-US"/>
        </w:rPr>
        <w:t xml:space="preserve"> Countries free of Rabies in Europe: UK, </w:t>
      </w:r>
      <w:r w:rsidR="00F906CC" w:rsidRPr="00F906CC">
        <w:rPr>
          <w:rFonts w:ascii="Sylfaen" w:hAnsi="Sylfaen"/>
          <w:color w:val="000000" w:themeColor="text1"/>
          <w:sz w:val="24"/>
          <w:szCs w:val="24"/>
          <w:lang w:val="en-US"/>
        </w:rPr>
        <w:t>Scandinavian countries</w:t>
      </w:r>
      <w:r w:rsidR="008403EA">
        <w:rPr>
          <w:rFonts w:ascii="Sylfaen" w:hAnsi="Sylfaen"/>
          <w:color w:val="000000" w:themeColor="text1"/>
          <w:sz w:val="24"/>
          <w:szCs w:val="24"/>
          <w:lang w:val="en-US"/>
        </w:rPr>
        <w:t>, Spain, Portugal.</w:t>
      </w:r>
      <w:r w:rsidR="00F906CC">
        <w:rPr>
          <w:rFonts w:ascii="Sylfaen" w:hAnsi="Sylfaen"/>
          <w:color w:val="000000" w:themeColor="text1"/>
          <w:sz w:val="24"/>
          <w:szCs w:val="24"/>
          <w:lang w:val="en-US"/>
        </w:rPr>
        <w:t xml:space="preserve"> </w:t>
      </w:r>
      <w:bookmarkStart w:id="0" w:name="_GoBack"/>
      <w:bookmarkEnd w:id="0"/>
    </w:p>
    <w:p w:rsidR="00640EC8" w:rsidRPr="0086466C" w:rsidRDefault="00640EC8" w:rsidP="0086466C">
      <w:pPr>
        <w:pStyle w:val="ListParagraph"/>
        <w:numPr>
          <w:ilvl w:val="0"/>
          <w:numId w:val="3"/>
        </w:numPr>
        <w:spacing w:after="0"/>
        <w:jc w:val="both"/>
        <w:rPr>
          <w:rFonts w:ascii="Sylfaen" w:hAnsi="Sylfaen"/>
          <w:b/>
          <w:color w:val="000000" w:themeColor="text1"/>
          <w:sz w:val="24"/>
          <w:szCs w:val="24"/>
          <w:lang w:val="ka-GE"/>
        </w:rPr>
      </w:pPr>
      <w:r w:rsidRPr="0086466C">
        <w:rPr>
          <w:rFonts w:ascii="Sylfaen" w:eastAsia="Times New Roman" w:hAnsi="Sylfaen" w:cs="Times New Roman"/>
          <w:noProof/>
          <w:color w:val="000000"/>
          <w:sz w:val="24"/>
          <w:szCs w:val="24"/>
          <w:lang w:val="ka-GE"/>
        </w:rPr>
        <w:t>WHO, the World Organisation for Animal Health (OIE), the Food and Agriculture Organization of the United Nations (FAO) and the Global Alliance for Rabies Control (GARC) have established a global “United Against Rabies” collaboration to provide a common strategy to achieve "Zero human rabies deaths by 2030"</w:t>
      </w:r>
      <w:r w:rsidR="00B86265" w:rsidRPr="0086466C">
        <w:rPr>
          <w:rFonts w:ascii="Sylfaen" w:eastAsia="Times New Roman" w:hAnsi="Sylfaen" w:cs="Times New Roman"/>
          <w:noProof/>
          <w:color w:val="000000"/>
          <w:sz w:val="24"/>
          <w:szCs w:val="24"/>
          <w:lang w:val="en-US"/>
        </w:rPr>
        <w:t>.</w:t>
      </w:r>
    </w:p>
    <w:p w:rsidR="00640EC8" w:rsidRDefault="00640EC8" w:rsidP="00640EC8">
      <w:pPr>
        <w:pStyle w:val="ListParagraph"/>
        <w:spacing w:after="0"/>
        <w:ind w:left="644" w:firstLine="0"/>
        <w:jc w:val="both"/>
        <w:rPr>
          <w:rFonts w:ascii="Sylfaen" w:eastAsia="Times New Roman" w:hAnsi="Sylfaen" w:cs="Times New Roman"/>
          <w:noProof/>
          <w:color w:val="000000"/>
          <w:sz w:val="24"/>
          <w:szCs w:val="24"/>
          <w:lang w:val="ka-GE"/>
        </w:rPr>
      </w:pPr>
    </w:p>
    <w:p w:rsidR="00640EC8" w:rsidRDefault="00640EC8" w:rsidP="00640EC8">
      <w:pPr>
        <w:jc w:val="center"/>
        <w:rPr>
          <w:rFonts w:ascii="Sylfaen" w:hAnsi="Sylfaen"/>
          <w:b/>
        </w:rPr>
      </w:pPr>
      <w:r>
        <w:rPr>
          <w:rFonts w:ascii="Sylfaen" w:hAnsi="Sylfaen"/>
          <w:b/>
        </w:rPr>
        <w:t>Rabies cases in Georgia</w:t>
      </w:r>
    </w:p>
    <w:p w:rsidR="00156B07" w:rsidRDefault="00156B07" w:rsidP="00640EC8">
      <w:pPr>
        <w:jc w:val="center"/>
        <w:rPr>
          <w:rFonts w:ascii="Sylfaen" w:hAnsi="Sylfaen"/>
          <w:b/>
        </w:rPr>
      </w:pPr>
    </w:p>
    <w:p w:rsidR="00640EC8" w:rsidRDefault="00156B07" w:rsidP="00640EC8">
      <w:pPr>
        <w:jc w:val="both"/>
        <w:rPr>
          <w:rFonts w:ascii="Sylfaen" w:hAnsi="Sylfaen"/>
          <w:color w:val="000000"/>
        </w:rPr>
      </w:pPr>
      <w:r>
        <w:rPr>
          <w:rFonts w:ascii="Sylfaen" w:hAnsi="Sylfaen"/>
          <w:color w:val="000000"/>
          <w:lang w:val="en-US"/>
        </w:rPr>
        <w:t>D</w:t>
      </w:r>
      <w:r>
        <w:rPr>
          <w:rFonts w:ascii="Sylfaen" w:hAnsi="Sylfaen"/>
          <w:color w:val="000000"/>
        </w:rPr>
        <w:t>uring ten-year period</w:t>
      </w:r>
      <w:r>
        <w:rPr>
          <w:rFonts w:ascii="Sylfaen" w:hAnsi="Sylfaen"/>
          <w:color w:val="000000"/>
          <w:lang w:val="en-US"/>
        </w:rPr>
        <w:t xml:space="preserve"> </w:t>
      </w:r>
      <w:r>
        <w:rPr>
          <w:rFonts w:ascii="Sylfaen" w:hAnsi="Sylfaen"/>
          <w:color w:val="000000"/>
        </w:rPr>
        <w:t>- 1997-2006</w:t>
      </w:r>
      <w:r>
        <w:rPr>
          <w:rFonts w:ascii="Sylfaen" w:hAnsi="Sylfaen"/>
          <w:color w:val="000000"/>
          <w:lang w:val="en-US"/>
        </w:rPr>
        <w:t>,</w:t>
      </w:r>
      <w:r>
        <w:rPr>
          <w:rFonts w:ascii="Sylfaen" w:hAnsi="Sylfaen"/>
          <w:color w:val="000000"/>
        </w:rPr>
        <w:t xml:space="preserve"> </w:t>
      </w:r>
      <w:r w:rsidR="00640EC8">
        <w:rPr>
          <w:rFonts w:ascii="Sylfaen" w:hAnsi="Sylfaen"/>
          <w:color w:val="000000"/>
        </w:rPr>
        <w:t>96</w:t>
      </w:r>
      <w:r>
        <w:rPr>
          <w:rFonts w:ascii="Sylfaen" w:hAnsi="Sylfaen"/>
          <w:color w:val="000000"/>
          <w:lang w:val="en-US"/>
        </w:rPr>
        <w:t xml:space="preserve"> cases were registered</w:t>
      </w:r>
      <w:r w:rsidR="00640EC8">
        <w:rPr>
          <w:rFonts w:ascii="Sylfaen" w:hAnsi="Sylfaen"/>
          <w:color w:val="000000"/>
        </w:rPr>
        <w:t>, after the decate</w:t>
      </w:r>
      <w:r>
        <w:rPr>
          <w:rFonts w:ascii="Sylfaen" w:hAnsi="Sylfaen"/>
          <w:color w:val="000000"/>
          <w:lang w:val="en-US"/>
        </w:rPr>
        <w:t>,</w:t>
      </w:r>
      <w:r w:rsidR="00640EC8">
        <w:rPr>
          <w:rFonts w:ascii="Sylfaen" w:hAnsi="Sylfaen"/>
          <w:color w:val="000000"/>
        </w:rPr>
        <w:t xml:space="preserve"> in 2007-2016</w:t>
      </w:r>
      <w:r>
        <w:rPr>
          <w:rFonts w:ascii="Sylfaen" w:hAnsi="Sylfaen"/>
          <w:color w:val="000000"/>
          <w:lang w:val="en-US"/>
        </w:rPr>
        <w:t>,</w:t>
      </w:r>
      <w:r w:rsidR="00640EC8">
        <w:rPr>
          <w:rFonts w:ascii="Sylfaen" w:hAnsi="Sylfaen"/>
          <w:color w:val="000000"/>
        </w:rPr>
        <w:t xml:space="preserve"> 42 hydrophobia cases were recorded,</w:t>
      </w:r>
      <w:r>
        <w:rPr>
          <w:rFonts w:ascii="Sylfaen" w:hAnsi="Sylfaen"/>
          <w:color w:val="000000"/>
        </w:rPr>
        <w:t xml:space="preserve"> the number of cases decresed 2,</w:t>
      </w:r>
      <w:r w:rsidR="00640EC8">
        <w:rPr>
          <w:rFonts w:ascii="Sylfaen" w:hAnsi="Sylfaen"/>
          <w:color w:val="000000"/>
        </w:rPr>
        <w:t>3 times.</w:t>
      </w:r>
    </w:p>
    <w:p w:rsidR="00640EC8" w:rsidRDefault="00640EC8" w:rsidP="00640EC8">
      <w:pPr>
        <w:jc w:val="both"/>
        <w:rPr>
          <w:rFonts w:ascii="Sylfaen" w:hAnsi="Sylfaen"/>
          <w:color w:val="000000"/>
        </w:rPr>
      </w:pPr>
    </w:p>
    <w:p w:rsidR="00640EC8" w:rsidRPr="00156B07" w:rsidRDefault="00640EC8" w:rsidP="00640EC8">
      <w:pPr>
        <w:jc w:val="both"/>
        <w:rPr>
          <w:rFonts w:ascii="Sylfaen" w:hAnsi="Sylfaen"/>
          <w:lang w:val="en-US"/>
        </w:rPr>
      </w:pPr>
      <w:r>
        <w:rPr>
          <w:rFonts w:ascii="Sylfaen" w:hAnsi="Sylfaen"/>
        </w:rPr>
        <w:t>Human rabies cases in Georgia, 1997-2016 (Absolute Numbers).</w:t>
      </w:r>
      <w:r w:rsidR="00156B07">
        <w:rPr>
          <w:rFonts w:ascii="Sylfaen" w:hAnsi="Sylfaen"/>
          <w:lang w:val="en-US"/>
        </w:rPr>
        <w:t xml:space="preserve"> </w:t>
      </w:r>
    </w:p>
    <w:p w:rsidR="005A341B" w:rsidRDefault="005A341B">
      <w:pPr>
        <w:rPr>
          <w:rFonts w:asciiTheme="minorHAnsi" w:hAnsiTheme="minorHAnsi"/>
        </w:rPr>
      </w:pPr>
      <w:r>
        <w:rPr>
          <w:rFonts w:asciiTheme="minorHAnsi" w:hAnsiTheme="minorHAnsi"/>
        </w:rPr>
        <w:t>1997- 12;</w:t>
      </w:r>
    </w:p>
    <w:p w:rsidR="005A341B" w:rsidRDefault="005A341B">
      <w:pPr>
        <w:rPr>
          <w:rFonts w:asciiTheme="minorHAnsi" w:hAnsiTheme="minorHAnsi"/>
        </w:rPr>
      </w:pPr>
      <w:r>
        <w:rPr>
          <w:rFonts w:asciiTheme="minorHAnsi" w:hAnsiTheme="minorHAnsi"/>
        </w:rPr>
        <w:t>1998-4;</w:t>
      </w:r>
    </w:p>
    <w:p w:rsidR="005A341B" w:rsidRDefault="005A341B">
      <w:pPr>
        <w:rPr>
          <w:rFonts w:asciiTheme="minorHAnsi" w:hAnsiTheme="minorHAnsi"/>
        </w:rPr>
      </w:pPr>
      <w:r>
        <w:rPr>
          <w:rFonts w:asciiTheme="minorHAnsi" w:hAnsiTheme="minorHAnsi"/>
        </w:rPr>
        <w:t>1999-13;</w:t>
      </w:r>
    </w:p>
    <w:p w:rsidR="005A341B" w:rsidRDefault="005A341B">
      <w:pPr>
        <w:rPr>
          <w:rFonts w:asciiTheme="minorHAnsi" w:hAnsiTheme="minorHAnsi"/>
        </w:rPr>
      </w:pPr>
      <w:r>
        <w:rPr>
          <w:rFonts w:asciiTheme="minorHAnsi" w:hAnsiTheme="minorHAnsi"/>
        </w:rPr>
        <w:t>2000- 7;</w:t>
      </w:r>
    </w:p>
    <w:p w:rsidR="005A341B" w:rsidRDefault="005A341B">
      <w:pPr>
        <w:rPr>
          <w:rFonts w:asciiTheme="minorHAnsi" w:hAnsiTheme="minorHAnsi"/>
        </w:rPr>
      </w:pPr>
      <w:r>
        <w:rPr>
          <w:rFonts w:asciiTheme="minorHAnsi" w:hAnsiTheme="minorHAnsi"/>
        </w:rPr>
        <w:t>2001-10;</w:t>
      </w:r>
    </w:p>
    <w:p w:rsidR="005A341B" w:rsidRDefault="005A341B">
      <w:pPr>
        <w:rPr>
          <w:rFonts w:asciiTheme="minorHAnsi" w:hAnsiTheme="minorHAnsi"/>
        </w:rPr>
      </w:pPr>
      <w:r>
        <w:rPr>
          <w:rFonts w:asciiTheme="minorHAnsi" w:hAnsiTheme="minorHAnsi"/>
        </w:rPr>
        <w:t>2002-10;</w:t>
      </w:r>
    </w:p>
    <w:p w:rsidR="005A341B" w:rsidRDefault="005A341B">
      <w:pPr>
        <w:rPr>
          <w:rFonts w:asciiTheme="minorHAnsi" w:hAnsiTheme="minorHAnsi"/>
        </w:rPr>
      </w:pPr>
      <w:r>
        <w:rPr>
          <w:rFonts w:asciiTheme="minorHAnsi" w:hAnsiTheme="minorHAnsi"/>
        </w:rPr>
        <w:t>2003-11;</w:t>
      </w:r>
    </w:p>
    <w:p w:rsidR="005A341B" w:rsidRDefault="005A341B">
      <w:pPr>
        <w:rPr>
          <w:rFonts w:asciiTheme="minorHAnsi" w:hAnsiTheme="minorHAnsi"/>
        </w:rPr>
      </w:pPr>
      <w:r>
        <w:rPr>
          <w:rFonts w:asciiTheme="minorHAnsi" w:hAnsiTheme="minorHAnsi"/>
        </w:rPr>
        <w:lastRenderedPageBreak/>
        <w:t>2004-12;</w:t>
      </w:r>
    </w:p>
    <w:p w:rsidR="005A341B" w:rsidRDefault="005A341B">
      <w:pPr>
        <w:rPr>
          <w:rFonts w:asciiTheme="minorHAnsi" w:hAnsiTheme="minorHAnsi"/>
        </w:rPr>
      </w:pPr>
      <w:r>
        <w:rPr>
          <w:rFonts w:asciiTheme="minorHAnsi" w:hAnsiTheme="minorHAnsi"/>
        </w:rPr>
        <w:t>2005-10;</w:t>
      </w:r>
    </w:p>
    <w:p w:rsidR="005A341B" w:rsidRDefault="005A341B">
      <w:pPr>
        <w:rPr>
          <w:rFonts w:asciiTheme="minorHAnsi" w:hAnsiTheme="minorHAnsi"/>
        </w:rPr>
      </w:pPr>
      <w:r>
        <w:rPr>
          <w:rFonts w:asciiTheme="minorHAnsi" w:hAnsiTheme="minorHAnsi"/>
        </w:rPr>
        <w:t>2006-7;</w:t>
      </w:r>
    </w:p>
    <w:p w:rsidR="005A341B" w:rsidRDefault="005A341B">
      <w:pPr>
        <w:rPr>
          <w:rFonts w:asciiTheme="minorHAnsi" w:hAnsiTheme="minorHAnsi"/>
        </w:rPr>
      </w:pPr>
      <w:r>
        <w:rPr>
          <w:rFonts w:asciiTheme="minorHAnsi" w:hAnsiTheme="minorHAnsi"/>
        </w:rPr>
        <w:t>2007-10;</w:t>
      </w:r>
    </w:p>
    <w:p w:rsidR="005A341B" w:rsidRDefault="005A341B">
      <w:pPr>
        <w:rPr>
          <w:rFonts w:asciiTheme="minorHAnsi" w:hAnsiTheme="minorHAnsi"/>
        </w:rPr>
      </w:pPr>
      <w:r>
        <w:rPr>
          <w:rFonts w:asciiTheme="minorHAnsi" w:hAnsiTheme="minorHAnsi"/>
        </w:rPr>
        <w:t>2008-7;</w:t>
      </w:r>
    </w:p>
    <w:p w:rsidR="005A341B" w:rsidRDefault="005A341B">
      <w:pPr>
        <w:rPr>
          <w:rFonts w:asciiTheme="minorHAnsi" w:hAnsiTheme="minorHAnsi"/>
        </w:rPr>
      </w:pPr>
      <w:r>
        <w:rPr>
          <w:rFonts w:asciiTheme="minorHAnsi" w:hAnsiTheme="minorHAnsi"/>
        </w:rPr>
        <w:t>2009-6;</w:t>
      </w:r>
    </w:p>
    <w:p w:rsidR="005A341B" w:rsidRDefault="005A341B">
      <w:pPr>
        <w:rPr>
          <w:rFonts w:asciiTheme="minorHAnsi" w:hAnsiTheme="minorHAnsi"/>
        </w:rPr>
      </w:pPr>
      <w:r>
        <w:rPr>
          <w:rFonts w:asciiTheme="minorHAnsi" w:hAnsiTheme="minorHAnsi"/>
        </w:rPr>
        <w:t>2010-5;</w:t>
      </w:r>
    </w:p>
    <w:p w:rsidR="005A341B" w:rsidRDefault="005A341B">
      <w:pPr>
        <w:rPr>
          <w:rFonts w:asciiTheme="minorHAnsi" w:hAnsiTheme="minorHAnsi"/>
        </w:rPr>
      </w:pPr>
      <w:r>
        <w:rPr>
          <w:rFonts w:asciiTheme="minorHAnsi" w:hAnsiTheme="minorHAnsi"/>
        </w:rPr>
        <w:t>2011-3;</w:t>
      </w:r>
    </w:p>
    <w:p w:rsidR="005A341B" w:rsidRDefault="005A341B">
      <w:pPr>
        <w:rPr>
          <w:rFonts w:asciiTheme="minorHAnsi" w:hAnsiTheme="minorHAnsi"/>
        </w:rPr>
      </w:pPr>
      <w:r>
        <w:rPr>
          <w:rFonts w:asciiTheme="minorHAnsi" w:hAnsiTheme="minorHAnsi"/>
        </w:rPr>
        <w:t>2012-3;</w:t>
      </w:r>
    </w:p>
    <w:p w:rsidR="005A341B" w:rsidRDefault="005A341B">
      <w:pPr>
        <w:rPr>
          <w:rFonts w:asciiTheme="minorHAnsi" w:hAnsiTheme="minorHAnsi"/>
        </w:rPr>
      </w:pPr>
      <w:r>
        <w:rPr>
          <w:rFonts w:asciiTheme="minorHAnsi" w:hAnsiTheme="minorHAnsi"/>
        </w:rPr>
        <w:t>2013-4;</w:t>
      </w:r>
    </w:p>
    <w:p w:rsidR="005A341B" w:rsidRDefault="005A341B">
      <w:pPr>
        <w:rPr>
          <w:rFonts w:asciiTheme="minorHAnsi" w:hAnsiTheme="minorHAnsi"/>
        </w:rPr>
      </w:pPr>
      <w:r>
        <w:rPr>
          <w:rFonts w:asciiTheme="minorHAnsi" w:hAnsiTheme="minorHAnsi"/>
        </w:rPr>
        <w:t>2014-4;</w:t>
      </w:r>
    </w:p>
    <w:p w:rsidR="005A341B" w:rsidRDefault="005A341B">
      <w:pPr>
        <w:rPr>
          <w:rFonts w:asciiTheme="minorHAnsi" w:hAnsiTheme="minorHAnsi"/>
        </w:rPr>
      </w:pPr>
    </w:p>
    <w:p w:rsidR="005A341B" w:rsidRDefault="005A341B">
      <w:pPr>
        <w:rPr>
          <w:rFonts w:asciiTheme="minorHAnsi" w:hAnsiTheme="minorHAnsi"/>
        </w:rPr>
      </w:pPr>
      <w:r>
        <w:rPr>
          <w:rFonts w:ascii="Sylfaen" w:hAnsi="Sylfaen"/>
          <w:lang w:eastAsia="ka-GE"/>
        </w:rPr>
        <w:drawing>
          <wp:inline distT="0" distB="0" distL="0" distR="0" wp14:anchorId="2479CD39" wp14:editId="6FC2D620">
            <wp:extent cx="5486400" cy="284797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A341B" w:rsidRDefault="005A341B">
      <w:pPr>
        <w:rPr>
          <w:rFonts w:asciiTheme="minorHAnsi" w:hAnsiTheme="minorHAnsi"/>
        </w:rPr>
      </w:pPr>
    </w:p>
    <w:p w:rsidR="00640EC8" w:rsidRPr="00156B07" w:rsidRDefault="00640EC8" w:rsidP="00640EC8">
      <w:pPr>
        <w:spacing w:line="276" w:lineRule="auto"/>
        <w:jc w:val="both"/>
        <w:rPr>
          <w:rFonts w:asciiTheme="minorHAnsi" w:hAnsiTheme="minorHAnsi"/>
          <w:lang w:val="en-US"/>
        </w:rPr>
      </w:pPr>
      <w:r>
        <w:rPr>
          <w:rFonts w:asciiTheme="minorHAnsi" w:hAnsiTheme="minorHAnsi"/>
        </w:rPr>
        <w:t xml:space="preserve">Human rabies cases </w:t>
      </w:r>
      <w:r w:rsidR="00156B07">
        <w:rPr>
          <w:rFonts w:asciiTheme="minorHAnsi" w:hAnsiTheme="minorHAnsi"/>
          <w:lang w:val="en-US"/>
        </w:rPr>
        <w:t>upward</w:t>
      </w:r>
      <w:r>
        <w:rPr>
          <w:rFonts w:asciiTheme="minorHAnsi" w:hAnsiTheme="minorHAnsi"/>
        </w:rPr>
        <w:t xml:space="preserve"> trend reached the maximum number in 1996,</w:t>
      </w:r>
      <w:r>
        <w:t xml:space="preserve"> </w:t>
      </w:r>
      <w:r w:rsidR="005B05E2">
        <w:rPr>
          <w:rFonts w:asciiTheme="minorHAnsi" w:hAnsiTheme="minorHAnsi"/>
          <w:lang w:val="en-US"/>
        </w:rPr>
        <w:t>by then</w:t>
      </w:r>
      <w:r w:rsidR="005B05E2">
        <w:rPr>
          <w:rFonts w:asciiTheme="minorHAnsi" w:hAnsiTheme="minorHAnsi"/>
        </w:rPr>
        <w:t xml:space="preserve"> 21 people died</w:t>
      </w:r>
      <w:r>
        <w:rPr>
          <w:rFonts w:asciiTheme="minorHAnsi" w:hAnsiTheme="minorHAnsi"/>
        </w:rPr>
        <w:t xml:space="preserve"> </w:t>
      </w:r>
      <w:r w:rsidR="005B05E2">
        <w:rPr>
          <w:rFonts w:asciiTheme="minorHAnsi" w:hAnsiTheme="minorHAnsi"/>
          <w:lang w:val="en-US"/>
        </w:rPr>
        <w:t xml:space="preserve">from </w:t>
      </w:r>
      <w:r>
        <w:rPr>
          <w:rFonts w:asciiTheme="minorHAnsi" w:hAnsiTheme="minorHAnsi"/>
        </w:rPr>
        <w:t>this disease.</w:t>
      </w:r>
      <w:r>
        <w:t xml:space="preserve"> </w:t>
      </w:r>
      <w:r>
        <w:rPr>
          <w:rFonts w:asciiTheme="minorHAnsi" w:hAnsiTheme="minorHAnsi"/>
        </w:rPr>
        <w:t>Since 2015</w:t>
      </w:r>
      <w:r w:rsidR="005B05E2">
        <w:rPr>
          <w:rFonts w:asciiTheme="minorHAnsi" w:hAnsiTheme="minorHAnsi"/>
          <w:lang w:val="en-US"/>
        </w:rPr>
        <w:t>,</w:t>
      </w:r>
      <w:r>
        <w:rPr>
          <w:rFonts w:asciiTheme="minorHAnsi" w:hAnsiTheme="minorHAnsi"/>
        </w:rPr>
        <w:t xml:space="preserve"> there </w:t>
      </w:r>
      <w:r w:rsidR="005B05E2">
        <w:rPr>
          <w:rFonts w:asciiTheme="minorHAnsi" w:hAnsiTheme="minorHAnsi"/>
          <w:lang w:val="en-US"/>
        </w:rPr>
        <w:t>are</w:t>
      </w:r>
      <w:r>
        <w:rPr>
          <w:rFonts w:asciiTheme="minorHAnsi" w:hAnsiTheme="minorHAnsi"/>
        </w:rPr>
        <w:t xml:space="preserve"> no human rabies cases registered in Georgia.</w:t>
      </w:r>
      <w:r w:rsidR="00156B07">
        <w:rPr>
          <w:rFonts w:asciiTheme="minorHAnsi" w:hAnsiTheme="minorHAnsi"/>
          <w:lang w:val="en-US"/>
        </w:rPr>
        <w:t xml:space="preserve"> </w:t>
      </w:r>
    </w:p>
    <w:p w:rsidR="00640EC8" w:rsidRDefault="00640EC8" w:rsidP="00640EC8">
      <w:pPr>
        <w:rPr>
          <w:rFonts w:asciiTheme="minorHAnsi" w:hAnsiTheme="minorHAnsi"/>
        </w:rPr>
      </w:pPr>
    </w:p>
    <w:p w:rsidR="00640EC8" w:rsidRPr="005B05E2" w:rsidRDefault="00640EC8" w:rsidP="00640EC8">
      <w:pPr>
        <w:jc w:val="both"/>
        <w:rPr>
          <w:rFonts w:asciiTheme="minorHAnsi" w:hAnsiTheme="minorHAnsi"/>
          <w:lang w:val="en-US"/>
        </w:rPr>
      </w:pPr>
      <w:r>
        <w:rPr>
          <w:rFonts w:asciiTheme="minorHAnsi" w:hAnsiTheme="minorHAnsi"/>
        </w:rPr>
        <w:t xml:space="preserve">The number of persons </w:t>
      </w:r>
      <w:r w:rsidR="005B05E2">
        <w:rPr>
          <w:rFonts w:asciiTheme="minorHAnsi" w:hAnsiTheme="minorHAnsi"/>
        </w:rPr>
        <w:t xml:space="preserve">who received </w:t>
      </w:r>
      <w:r>
        <w:rPr>
          <w:rFonts w:asciiTheme="minorHAnsi" w:hAnsiTheme="minorHAnsi"/>
        </w:rPr>
        <w:t>ant</w:t>
      </w:r>
      <w:r w:rsidR="005B05E2">
        <w:rPr>
          <w:rFonts w:asciiTheme="minorHAnsi" w:hAnsiTheme="minorHAnsi"/>
        </w:rPr>
        <w:t xml:space="preserve">i-rabies vaccination varied </w:t>
      </w:r>
      <w:r w:rsidR="005B05E2">
        <w:rPr>
          <w:rFonts w:asciiTheme="minorHAnsi" w:hAnsiTheme="minorHAnsi"/>
          <w:lang w:val="en-US"/>
        </w:rPr>
        <w:t>by</w:t>
      </w:r>
      <w:r w:rsidR="005B05E2">
        <w:rPr>
          <w:rFonts w:asciiTheme="minorHAnsi" w:hAnsiTheme="minorHAnsi"/>
        </w:rPr>
        <w:t xml:space="preserve"> years from</w:t>
      </w:r>
      <w:r w:rsidR="005B05E2">
        <w:rPr>
          <w:rFonts w:asciiTheme="minorHAnsi" w:hAnsiTheme="minorHAnsi"/>
          <w:lang w:val="en-US"/>
        </w:rPr>
        <w:t xml:space="preserve"> </w:t>
      </w:r>
      <w:r w:rsidR="005B05E2">
        <w:rPr>
          <w:rFonts w:asciiTheme="minorHAnsi" w:hAnsiTheme="minorHAnsi"/>
        </w:rPr>
        <w:t xml:space="preserve">35000 to </w:t>
      </w:r>
      <w:r>
        <w:rPr>
          <w:rFonts w:asciiTheme="minorHAnsi" w:hAnsiTheme="minorHAnsi"/>
        </w:rPr>
        <w:t>49000.</w:t>
      </w:r>
      <w:r>
        <w:t xml:space="preserve"> </w:t>
      </w:r>
      <w:r>
        <w:rPr>
          <w:rFonts w:asciiTheme="minorHAnsi" w:hAnsiTheme="minorHAnsi"/>
        </w:rPr>
        <w:t xml:space="preserve">Specifically: in 2016 anti-rabies prophylaxis was </w:t>
      </w:r>
      <w:r w:rsidR="005B05E2">
        <w:rPr>
          <w:rFonts w:asciiTheme="minorHAnsi" w:hAnsiTheme="minorHAnsi"/>
          <w:lang w:val="en-US"/>
        </w:rPr>
        <w:t>provided</w:t>
      </w:r>
      <w:r>
        <w:rPr>
          <w:rFonts w:asciiTheme="minorHAnsi" w:hAnsiTheme="minorHAnsi"/>
          <w:lang w:val="en-US"/>
        </w:rPr>
        <w:t xml:space="preserve"> </w:t>
      </w:r>
      <w:r>
        <w:rPr>
          <w:rFonts w:asciiTheme="minorHAnsi" w:hAnsiTheme="minorHAnsi"/>
        </w:rPr>
        <w:t xml:space="preserve">to 48786 </w:t>
      </w:r>
      <w:r>
        <w:rPr>
          <w:rFonts w:asciiTheme="minorHAnsi" w:hAnsiTheme="minorHAnsi"/>
          <w:lang w:val="en-US"/>
        </w:rPr>
        <w:t xml:space="preserve">affected persons  </w:t>
      </w:r>
      <w:r>
        <w:rPr>
          <w:rFonts w:asciiTheme="minorHAnsi" w:hAnsiTheme="minorHAnsi"/>
        </w:rPr>
        <w:t>(90%); among them</w:t>
      </w:r>
      <w:r w:rsidR="005B05E2">
        <w:rPr>
          <w:rFonts w:asciiTheme="minorHAnsi" w:hAnsiTheme="minorHAnsi"/>
          <w:lang w:val="en-US"/>
        </w:rPr>
        <w:t>,</w:t>
      </w:r>
      <w:r>
        <w:rPr>
          <w:rFonts w:asciiTheme="minorHAnsi" w:hAnsiTheme="minorHAnsi"/>
          <w:lang w:val="en-US"/>
        </w:rPr>
        <w:t xml:space="preserve"> </w:t>
      </w:r>
      <w:r>
        <w:rPr>
          <w:rFonts w:asciiTheme="minorHAnsi" w:hAnsiTheme="minorHAnsi"/>
        </w:rPr>
        <w:t xml:space="preserve">19,2% of the </w:t>
      </w:r>
      <w:r w:rsidR="005B05E2">
        <w:rPr>
          <w:rFonts w:asciiTheme="minorHAnsi" w:hAnsiTheme="minorHAnsi"/>
          <w:lang w:val="en-US"/>
        </w:rPr>
        <w:t>affected persons</w:t>
      </w:r>
      <w:r>
        <w:rPr>
          <w:rFonts w:asciiTheme="minorHAnsi" w:hAnsiTheme="minorHAnsi"/>
          <w:lang w:val="en-US"/>
        </w:rPr>
        <w:t xml:space="preserve"> </w:t>
      </w:r>
      <w:r w:rsidR="005B05E2">
        <w:rPr>
          <w:rFonts w:asciiTheme="minorHAnsi" w:hAnsiTheme="minorHAnsi"/>
          <w:lang w:val="en-US"/>
        </w:rPr>
        <w:t xml:space="preserve">received </w:t>
      </w:r>
      <w:r>
        <w:rPr>
          <w:rFonts w:asciiTheme="minorHAnsi" w:hAnsiTheme="minorHAnsi"/>
        </w:rPr>
        <w:t>com</w:t>
      </w:r>
      <w:r w:rsidR="005B05E2">
        <w:rPr>
          <w:rFonts w:asciiTheme="minorHAnsi" w:hAnsiTheme="minorHAnsi"/>
        </w:rPr>
        <w:t>bined anti-rabies prophylaxis</w:t>
      </w:r>
      <w:r>
        <w:rPr>
          <w:rFonts w:asciiTheme="minorHAnsi" w:hAnsiTheme="minorHAnsi"/>
        </w:rPr>
        <w:t xml:space="preserve"> (vaccine + immunoglobulin).</w:t>
      </w:r>
      <w:r>
        <w:t xml:space="preserve"> </w:t>
      </w:r>
      <w:r>
        <w:rPr>
          <w:rFonts w:asciiTheme="minorHAnsi" w:hAnsiTheme="minorHAnsi"/>
        </w:rPr>
        <w:t xml:space="preserve">These medical services are </w:t>
      </w:r>
      <w:r>
        <w:rPr>
          <w:rFonts w:asciiTheme="minorHAnsi" w:hAnsiTheme="minorHAnsi"/>
          <w:lang w:val="en-US"/>
        </w:rPr>
        <w:t xml:space="preserve">provided under </w:t>
      </w:r>
      <w:r>
        <w:rPr>
          <w:rFonts w:asciiTheme="minorHAnsi" w:hAnsiTheme="minorHAnsi"/>
        </w:rPr>
        <w:t>the state program.</w:t>
      </w:r>
    </w:p>
    <w:p w:rsidR="00593AE2" w:rsidRDefault="00593AE2">
      <w:pPr>
        <w:rPr>
          <w:rFonts w:asciiTheme="minorHAnsi" w:hAnsiTheme="minorHAnsi"/>
        </w:rPr>
      </w:pPr>
    </w:p>
    <w:p w:rsidR="00640EC8" w:rsidRDefault="00640EC8" w:rsidP="00712CF4">
      <w:pPr>
        <w:rPr>
          <w:rFonts w:ascii="Sylfaen" w:hAnsi="Sylfaen" w:cs="Sylfaen"/>
          <w:b/>
          <w:bCs/>
          <w:sz w:val="22"/>
          <w:szCs w:val="22"/>
          <w:lang w:val="en-US"/>
        </w:rPr>
      </w:pPr>
    </w:p>
    <w:p w:rsidR="00640EC8" w:rsidRDefault="00640EC8" w:rsidP="00593AE2">
      <w:pPr>
        <w:jc w:val="center"/>
        <w:rPr>
          <w:rFonts w:ascii="Sylfaen" w:hAnsi="Sylfaen" w:cs="Sylfaen"/>
          <w:b/>
          <w:bCs/>
          <w:sz w:val="22"/>
          <w:szCs w:val="22"/>
          <w:lang w:val="en-US"/>
        </w:rPr>
      </w:pPr>
    </w:p>
    <w:p w:rsidR="00640EC8" w:rsidRPr="00593AE2" w:rsidRDefault="00640EC8" w:rsidP="00593AE2">
      <w:pPr>
        <w:jc w:val="cente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86466C" w:rsidRDefault="0086466C" w:rsidP="00712CF4">
      <w:pPr>
        <w:rPr>
          <w:rFonts w:ascii="Sylfaen" w:hAnsi="Sylfaen" w:cs="Sylfaen"/>
          <w:b/>
          <w:bCs/>
          <w:sz w:val="22"/>
          <w:szCs w:val="22"/>
          <w:lang w:val="en-US"/>
        </w:rPr>
      </w:pPr>
    </w:p>
    <w:p w:rsidR="00593AE2" w:rsidRPr="00D375A3" w:rsidRDefault="00640EC8" w:rsidP="00712CF4">
      <w:pPr>
        <w:rPr>
          <w:rFonts w:ascii="Sylfaen" w:hAnsi="Sylfaen" w:cs="Sylfaen"/>
          <w:b/>
          <w:bCs/>
          <w:lang w:val="en-US"/>
        </w:rPr>
      </w:pPr>
      <w:r w:rsidRPr="00D375A3">
        <w:rPr>
          <w:rFonts w:ascii="Sylfaen" w:hAnsi="Sylfaen" w:cs="Sylfaen"/>
          <w:b/>
          <w:bCs/>
          <w:lang w:val="en-US"/>
        </w:rPr>
        <w:t>Anti -</w:t>
      </w:r>
      <w:r w:rsidR="005B05E2" w:rsidRPr="00D375A3">
        <w:rPr>
          <w:rFonts w:ascii="Sylfaen" w:hAnsi="Sylfaen" w:cs="Sylfaen"/>
          <w:b/>
          <w:bCs/>
          <w:lang w:val="en-US"/>
        </w:rPr>
        <w:t xml:space="preserve"> </w:t>
      </w:r>
      <w:r w:rsidRPr="00D375A3">
        <w:rPr>
          <w:rFonts w:ascii="Sylfaen" w:hAnsi="Sylfaen" w:cs="Sylfaen"/>
          <w:b/>
          <w:bCs/>
          <w:lang w:val="en-US"/>
        </w:rPr>
        <w:t>rabies prophylactic treatment after exposure to animals,</w:t>
      </w:r>
      <w:r w:rsidRPr="00D375A3">
        <w:t xml:space="preserve"> </w:t>
      </w:r>
      <w:r w:rsidRPr="00D375A3">
        <w:rPr>
          <w:rFonts w:ascii="Sylfaen" w:hAnsi="Sylfaen" w:cs="Sylfaen"/>
          <w:b/>
          <w:bCs/>
          <w:lang w:val="en-US"/>
        </w:rPr>
        <w:t xml:space="preserve">according to the type of anti -rabies service, 2007- </w:t>
      </w:r>
      <w:r w:rsidR="00085ABE" w:rsidRPr="00D375A3">
        <w:rPr>
          <w:rFonts w:ascii="Sylfaen" w:hAnsi="Sylfaen" w:cs="Sylfaen"/>
          <w:b/>
          <w:bCs/>
          <w:lang w:val="en-US"/>
        </w:rPr>
        <w:t xml:space="preserve">2016, </w:t>
      </w:r>
      <w:r w:rsidRPr="00D375A3">
        <w:rPr>
          <w:rFonts w:ascii="Sylfaen" w:hAnsi="Sylfaen" w:cs="Sylfaen"/>
          <w:b/>
          <w:bCs/>
          <w:lang w:val="en-US"/>
        </w:rPr>
        <w:t>Georgia</w:t>
      </w:r>
    </w:p>
    <w:p w:rsidR="00593AE2" w:rsidRPr="00A27A91" w:rsidRDefault="00593AE2" w:rsidP="00593AE2">
      <w:pPr>
        <w:jc w:val="center"/>
        <w:rPr>
          <w:rFonts w:ascii="Sylfaen" w:hAnsi="Sylfaen" w:cs="Sylfaen"/>
          <w:b/>
          <w:bCs/>
        </w:rPr>
      </w:pPr>
    </w:p>
    <w:p w:rsidR="00593AE2" w:rsidRDefault="0086466C">
      <w:pPr>
        <w:rPr>
          <w:rFonts w:asciiTheme="minorHAnsi" w:hAnsiTheme="minorHAnsi"/>
        </w:rPr>
      </w:pPr>
      <w:r>
        <w:rPr>
          <w:rFonts w:asciiTheme="minorHAnsi" w:hAnsiTheme="minorHAnsi"/>
          <w:lang w:eastAsia="ka-GE"/>
        </w:rPr>
        <w:drawing>
          <wp:inline distT="0" distB="0" distL="0" distR="0" wp14:anchorId="5412FF0B">
            <wp:extent cx="5742940" cy="320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3206750"/>
                    </a:xfrm>
                    <a:prstGeom prst="rect">
                      <a:avLst/>
                    </a:prstGeom>
                    <a:noFill/>
                  </pic:spPr>
                </pic:pic>
              </a:graphicData>
            </a:graphic>
          </wp:inline>
        </w:drawing>
      </w:r>
    </w:p>
    <w:p w:rsidR="00EA5ACD" w:rsidRDefault="00EA5ACD">
      <w:pPr>
        <w:rPr>
          <w:rFonts w:asciiTheme="minorHAnsi" w:hAnsiTheme="minorHAnsi"/>
        </w:rPr>
      </w:pPr>
    </w:p>
    <w:p w:rsidR="001836B0" w:rsidRDefault="001836B0" w:rsidP="00EA5ACD">
      <w:pPr>
        <w:jc w:val="both"/>
        <w:rPr>
          <w:rFonts w:ascii="Sylfaen" w:hAnsi="Sylfaen"/>
        </w:rPr>
      </w:pPr>
    </w:p>
    <w:p w:rsidR="00E33456" w:rsidRDefault="00E33456" w:rsidP="00E33456">
      <w:pPr>
        <w:jc w:val="both"/>
        <w:rPr>
          <w:rFonts w:ascii="Sylfaen" w:hAnsi="Sylfaen"/>
        </w:rPr>
      </w:pPr>
      <w:r>
        <w:rPr>
          <w:rFonts w:ascii="Sylfaen" w:hAnsi="Sylfaen"/>
        </w:rPr>
        <w:t>Since 2011</w:t>
      </w:r>
      <w:r>
        <w:rPr>
          <w:rFonts w:ascii="Sylfaen" w:hAnsi="Sylfaen"/>
          <w:lang w:val="en-US"/>
        </w:rPr>
        <w:t>,</w:t>
      </w:r>
      <w:r>
        <w:rPr>
          <w:rFonts w:ascii="Sylfaen" w:hAnsi="Sylfaen"/>
        </w:rPr>
        <w:t xml:space="preserve"> number of a</w:t>
      </w:r>
      <w:r w:rsidRPr="00E33456">
        <w:rPr>
          <w:rFonts w:ascii="Sylfaen" w:hAnsi="Sylfaen"/>
        </w:rPr>
        <w:t xml:space="preserve">ffected </w:t>
      </w:r>
      <w:r>
        <w:rPr>
          <w:rFonts w:ascii="Sylfaen" w:hAnsi="Sylfaen"/>
          <w:lang w:val="en-US"/>
        </w:rPr>
        <w:t>was</w:t>
      </w:r>
      <w:r w:rsidRPr="00E33456">
        <w:rPr>
          <w:rFonts w:ascii="Sylfaen" w:hAnsi="Sylfaen"/>
        </w:rPr>
        <w:t xml:space="preserve"> ste</w:t>
      </w:r>
      <w:r>
        <w:rPr>
          <w:rFonts w:ascii="Sylfaen" w:hAnsi="Sylfaen"/>
        </w:rPr>
        <w:t>adily high, but from 2016</w:t>
      </w:r>
      <w:r>
        <w:rPr>
          <w:rFonts w:ascii="Sylfaen" w:hAnsi="Sylfaen"/>
          <w:lang w:val="en-US"/>
        </w:rPr>
        <w:t>,</w:t>
      </w:r>
      <w:r>
        <w:rPr>
          <w:rFonts w:ascii="Sylfaen" w:hAnsi="Sylfaen"/>
        </w:rPr>
        <w:t xml:space="preserve"> downward trend </w:t>
      </w:r>
      <w:r>
        <w:rPr>
          <w:rFonts w:ascii="Sylfaen" w:hAnsi="Sylfaen"/>
          <w:lang w:val="en-US"/>
        </w:rPr>
        <w:t>was</w:t>
      </w:r>
      <w:r w:rsidRPr="00E33456">
        <w:rPr>
          <w:rFonts w:ascii="Sylfaen" w:hAnsi="Sylfaen"/>
        </w:rPr>
        <w:t xml:space="preserve"> revealed.</w:t>
      </w:r>
    </w:p>
    <w:p w:rsidR="00E33456" w:rsidRDefault="00E33456" w:rsidP="00E33456">
      <w:pPr>
        <w:jc w:val="both"/>
        <w:rPr>
          <w:rFonts w:ascii="Sylfaen" w:hAnsi="Sylfaen"/>
        </w:rPr>
      </w:pPr>
      <w:r w:rsidRPr="00E33456">
        <w:rPr>
          <w:rFonts w:ascii="Sylfaen" w:hAnsi="Sylfaen"/>
        </w:rPr>
        <w:t xml:space="preserve">Georgia is one of the first </w:t>
      </w:r>
      <w:r>
        <w:rPr>
          <w:rFonts w:ascii="Sylfaen" w:hAnsi="Sylfaen"/>
        </w:rPr>
        <w:t>in the world for p</w:t>
      </w:r>
      <w:r w:rsidRPr="00E33456">
        <w:rPr>
          <w:rFonts w:ascii="Sylfaen" w:hAnsi="Sylfaen"/>
        </w:rPr>
        <w:t>ost-exposure anti-rabies prophylactic vaccination rates</w:t>
      </w:r>
      <w:r>
        <w:rPr>
          <w:rFonts w:ascii="Sylfaen" w:hAnsi="Sylfaen"/>
          <w:lang w:val="en-US"/>
        </w:rPr>
        <w:t xml:space="preserve"> </w:t>
      </w:r>
      <w:r w:rsidRPr="00C50380">
        <w:rPr>
          <w:rFonts w:ascii="Sylfaen" w:hAnsi="Sylfaen"/>
        </w:rPr>
        <w:t>(</w:t>
      </w:r>
      <w:r>
        <w:rPr>
          <w:rFonts w:ascii="Sylfaen" w:hAnsi="Sylfaen" w:cs="Sylfaen"/>
          <w:lang w:val="en-US"/>
        </w:rPr>
        <w:t>per</w:t>
      </w:r>
      <w:r w:rsidRPr="00C50380">
        <w:rPr>
          <w:rFonts w:ascii="Sylfaen" w:hAnsi="Sylfaen"/>
        </w:rPr>
        <w:t xml:space="preserve"> 100</w:t>
      </w:r>
      <w:r>
        <w:rPr>
          <w:rFonts w:ascii="Sylfaen" w:hAnsi="Sylfaen"/>
        </w:rPr>
        <w:t> </w:t>
      </w:r>
      <w:r w:rsidRPr="00C50380">
        <w:rPr>
          <w:rFonts w:ascii="Sylfaen" w:hAnsi="Sylfaen"/>
        </w:rPr>
        <w:t>000</w:t>
      </w:r>
      <w:r>
        <w:rPr>
          <w:rFonts w:ascii="Sylfaen" w:hAnsi="Sylfaen"/>
          <w:lang w:val="en-US"/>
        </w:rPr>
        <w:t xml:space="preserve"> </w:t>
      </w:r>
      <w:r w:rsidRPr="0011076B">
        <w:rPr>
          <w:rFonts w:ascii="Sylfaen" w:hAnsi="Sylfaen"/>
        </w:rPr>
        <w:t>1</w:t>
      </w:r>
      <w:r>
        <w:rPr>
          <w:rFonts w:ascii="Sylfaen" w:hAnsi="Sylfaen"/>
        </w:rPr>
        <w:t>311,3</w:t>
      </w:r>
      <w:r>
        <w:rPr>
          <w:rFonts w:ascii="Sylfaen" w:hAnsi="Sylfaen"/>
          <w:lang w:val="en-US"/>
        </w:rPr>
        <w:t xml:space="preserve"> are vaccinated</w:t>
      </w:r>
      <w:r w:rsidRPr="00C50380">
        <w:rPr>
          <w:rFonts w:ascii="Sylfaen" w:hAnsi="Sylfaen"/>
        </w:rPr>
        <w:t>)</w:t>
      </w:r>
      <w:r>
        <w:rPr>
          <w:rFonts w:ascii="Sylfaen" w:hAnsi="Sylfaen"/>
          <w:lang w:val="en-US"/>
        </w:rPr>
        <w:t>.</w:t>
      </w:r>
      <w:r w:rsidR="00712CF4">
        <w:rPr>
          <w:rFonts w:ascii="Sylfaen" w:hAnsi="Sylfaen"/>
          <w:lang w:val="en-US"/>
        </w:rPr>
        <w:t xml:space="preserve"> Improvement of</w:t>
      </w:r>
      <w:r w:rsidR="00712CF4" w:rsidRPr="00712CF4">
        <w:rPr>
          <w:rFonts w:ascii="Sylfaen" w:hAnsi="Sylfaen"/>
          <w:lang w:val="en-US"/>
        </w:rPr>
        <w:t xml:space="preserve"> access to health services </w:t>
      </w:r>
      <w:r w:rsidR="00712CF4">
        <w:rPr>
          <w:rFonts w:ascii="Sylfaen" w:hAnsi="Sylfaen"/>
        </w:rPr>
        <w:t>w</w:t>
      </w:r>
      <w:r w:rsidR="00712CF4" w:rsidRPr="00E33456">
        <w:rPr>
          <w:rFonts w:ascii="Sylfaen" w:hAnsi="Sylfaen"/>
        </w:rPr>
        <w:t>ithout</w:t>
      </w:r>
      <w:r w:rsidR="00712CF4">
        <w:rPr>
          <w:rFonts w:ascii="Sylfaen" w:hAnsi="Sylfaen"/>
          <w:lang w:val="en-US"/>
        </w:rPr>
        <w:t xml:space="preserve"> the </w:t>
      </w:r>
      <w:r>
        <w:rPr>
          <w:rFonts w:ascii="Sylfaen" w:hAnsi="Sylfaen"/>
          <w:lang w:val="en-US"/>
        </w:rPr>
        <w:t xml:space="preserve">Regulation of </w:t>
      </w:r>
      <w:r w:rsidR="00712CF4">
        <w:rPr>
          <w:rFonts w:ascii="Sylfaen" w:hAnsi="Sylfaen"/>
        </w:rPr>
        <w:t>s</w:t>
      </w:r>
      <w:r w:rsidRPr="00E33456">
        <w:rPr>
          <w:rFonts w:ascii="Sylfaen" w:hAnsi="Sylfaen"/>
        </w:rPr>
        <w:t xml:space="preserve">tray / homeless </w:t>
      </w:r>
      <w:r>
        <w:rPr>
          <w:rFonts w:ascii="Sylfaen" w:hAnsi="Sylfaen"/>
          <w:lang w:val="en-US"/>
        </w:rPr>
        <w:t xml:space="preserve">animals, </w:t>
      </w:r>
      <w:r w:rsidR="00712CF4">
        <w:rPr>
          <w:rFonts w:ascii="Sylfaen" w:hAnsi="Sylfaen"/>
          <w:lang w:val="en-US"/>
        </w:rPr>
        <w:t>dealing with the</w:t>
      </w:r>
      <w:r w:rsidRPr="00E33456">
        <w:rPr>
          <w:rFonts w:ascii="Sylfaen" w:hAnsi="Sylfaen"/>
        </w:rPr>
        <w:t xml:space="preserve"> issue of vaccination, registration of </w:t>
      </w:r>
      <w:r>
        <w:rPr>
          <w:rFonts w:ascii="Sylfaen" w:hAnsi="Sylfaen"/>
          <w:lang w:val="en-US"/>
        </w:rPr>
        <w:t>domestic animals</w:t>
      </w:r>
      <w:r w:rsidRPr="00E33456">
        <w:rPr>
          <w:rFonts w:ascii="Sylfaen" w:hAnsi="Sylfaen"/>
        </w:rPr>
        <w:t xml:space="preserve"> and the improvement of their vaccination coverage</w:t>
      </w:r>
      <w:r w:rsidR="00712CF4">
        <w:rPr>
          <w:rFonts w:ascii="Sylfaen" w:hAnsi="Sylfaen"/>
          <w:lang w:val="en-US"/>
        </w:rPr>
        <w:t xml:space="preserve"> is not enough to resolve the problem, as cases of hydrophobia may still reveal.</w:t>
      </w:r>
      <w:r w:rsidR="00712CF4">
        <w:rPr>
          <w:rFonts w:ascii="Sylfaen" w:hAnsi="Sylfaen"/>
        </w:rPr>
        <w:t xml:space="preserve"> </w:t>
      </w:r>
    </w:p>
    <w:p w:rsidR="00712CF4" w:rsidRPr="00712CF4" w:rsidRDefault="00712CF4" w:rsidP="00E33456">
      <w:pPr>
        <w:jc w:val="both"/>
        <w:rPr>
          <w:rFonts w:ascii="Sylfaen" w:hAnsi="Sylfaen"/>
          <w:lang w:val="en-US"/>
        </w:rPr>
      </w:pPr>
      <w:r>
        <w:rPr>
          <w:rFonts w:ascii="Sylfaen" w:hAnsi="Sylfaen"/>
          <w:lang w:val="en-US"/>
        </w:rPr>
        <w:t xml:space="preserve">41794 patient addresed </w:t>
      </w:r>
      <w:r w:rsidR="00B6157A">
        <w:rPr>
          <w:rFonts w:ascii="Sylfaen" w:hAnsi="Sylfaen"/>
          <w:lang w:val="en-US"/>
        </w:rPr>
        <w:t xml:space="preserve">medical services </w:t>
      </w:r>
      <w:r>
        <w:rPr>
          <w:rFonts w:ascii="Sylfaen" w:hAnsi="Sylfaen"/>
          <w:lang w:val="en-US"/>
        </w:rPr>
        <w:t>to receive anti-rabial t</w:t>
      </w:r>
      <w:r w:rsidR="00B6157A">
        <w:rPr>
          <w:rFonts w:ascii="Sylfaen" w:hAnsi="Sylfaen"/>
          <w:lang w:val="en-US"/>
        </w:rPr>
        <w:t>reatment during 9 months in 2017</w:t>
      </w:r>
      <w:r>
        <w:rPr>
          <w:rFonts w:ascii="Sylfaen" w:hAnsi="Sylfaen"/>
          <w:lang w:val="en-US"/>
        </w:rPr>
        <w:t xml:space="preserve">. </w:t>
      </w:r>
    </w:p>
    <w:p w:rsidR="002E73FA" w:rsidRDefault="002E73FA" w:rsidP="00EA5ACD">
      <w:pPr>
        <w:jc w:val="both"/>
        <w:rPr>
          <w:rFonts w:ascii="Sylfaen" w:hAnsi="Sylfaen"/>
        </w:rPr>
      </w:pPr>
    </w:p>
    <w:p w:rsidR="008E4AE6" w:rsidRPr="00C50380" w:rsidRDefault="00C50380" w:rsidP="00EA5ACD">
      <w:pPr>
        <w:jc w:val="both"/>
        <w:rPr>
          <w:rFonts w:ascii="Sylfaen" w:hAnsi="Sylfaen"/>
          <w:lang w:val="en-US"/>
        </w:rPr>
      </w:pPr>
      <w:r w:rsidRPr="00C50380">
        <w:rPr>
          <w:rFonts w:ascii="Sylfaen" w:hAnsi="Sylfaen"/>
        </w:rPr>
        <w:t>In order to reduce the cases of rabies, responsibilities were defined for MoH, MoAg</w:t>
      </w:r>
      <w:r w:rsidRPr="00640EC8">
        <w:rPr>
          <w:rFonts w:ascii="Sylfaen" w:hAnsi="Sylfaen"/>
        </w:rPr>
        <w:t>,</w:t>
      </w:r>
      <w:r w:rsidRPr="00C50380">
        <w:t xml:space="preserve"> </w:t>
      </w:r>
      <w:r w:rsidRPr="00640EC8">
        <w:rPr>
          <w:rFonts w:ascii="Sylfaen" w:hAnsi="Sylfaen"/>
        </w:rPr>
        <w:t xml:space="preserve">Ministry of Environment and Natural Resources Protection of Georgia and for local self-governments in the direction of rabies prevention within </w:t>
      </w:r>
      <w:r>
        <w:rPr>
          <w:rFonts w:ascii="Sylfaen" w:hAnsi="Sylfaen"/>
        </w:rPr>
        <w:t>N69</w:t>
      </w:r>
      <w:r w:rsidR="00B6157A">
        <w:rPr>
          <w:rFonts w:ascii="Sylfaen" w:hAnsi="Sylfaen"/>
          <w:lang w:val="en-US"/>
        </w:rPr>
        <w:t>0</w:t>
      </w:r>
      <w:r w:rsidRPr="00640EC8">
        <w:rPr>
          <w:rFonts w:ascii="Sylfaen" w:hAnsi="Sylfaen"/>
        </w:rPr>
        <w:t xml:space="preserve"> </w:t>
      </w:r>
      <w:r w:rsidR="00DD4528" w:rsidRPr="00640EC8">
        <w:rPr>
          <w:rFonts w:ascii="Sylfaen" w:hAnsi="Sylfaen"/>
        </w:rPr>
        <w:t>governmental</w:t>
      </w:r>
      <w:r w:rsidRPr="00640EC8">
        <w:rPr>
          <w:rFonts w:ascii="Sylfaen" w:hAnsi="Sylfaen"/>
        </w:rPr>
        <w:t xml:space="preserve"> order </w:t>
      </w:r>
      <w:r w:rsidR="00B6157A">
        <w:rPr>
          <w:rFonts w:ascii="Sylfaen" w:hAnsi="Sylfaen"/>
          <w:lang w:val="en-US"/>
        </w:rPr>
        <w:t>(</w:t>
      </w:r>
      <w:r w:rsidR="00B6157A" w:rsidRPr="00640EC8">
        <w:rPr>
          <w:rFonts w:ascii="Sylfaen" w:hAnsi="Sylfaen"/>
        </w:rPr>
        <w:t>April 14, 2014</w:t>
      </w:r>
      <w:r w:rsidR="00B6157A">
        <w:rPr>
          <w:rFonts w:ascii="Sylfaen" w:hAnsi="Sylfaen"/>
          <w:lang w:val="en-US"/>
        </w:rPr>
        <w:t xml:space="preserve">) </w:t>
      </w:r>
      <w:r w:rsidRPr="00640EC8">
        <w:rPr>
          <w:rFonts w:ascii="Sylfaen" w:hAnsi="Sylfaen"/>
        </w:rPr>
        <w:t xml:space="preserve">on </w:t>
      </w:r>
      <w:r w:rsidR="00DD4528" w:rsidRPr="00640EC8">
        <w:rPr>
          <w:rFonts w:ascii="Sylfaen" w:hAnsi="Sylfaen"/>
        </w:rPr>
        <w:t xml:space="preserve">preventive </w:t>
      </w:r>
      <w:r w:rsidR="00B6157A">
        <w:rPr>
          <w:rFonts w:ascii="Sylfaen" w:hAnsi="Sylfaen"/>
        </w:rPr>
        <w:t>measures against rabies</w:t>
      </w:r>
      <w:r w:rsidRPr="00640EC8">
        <w:rPr>
          <w:rFonts w:ascii="Sylfaen" w:hAnsi="Sylfaen"/>
        </w:rPr>
        <w:t>.</w:t>
      </w:r>
      <w:r w:rsidR="00DD4528" w:rsidRPr="00640EC8">
        <w:rPr>
          <w:rFonts w:ascii="Sylfaen" w:hAnsi="Sylfaen"/>
        </w:rPr>
        <w:t xml:space="preserve"> </w:t>
      </w:r>
      <w:r w:rsidR="00DD4528">
        <w:rPr>
          <w:rFonts w:ascii="Sylfaen" w:hAnsi="Sylfaen"/>
          <w:lang w:val="en-US"/>
        </w:rPr>
        <w:t xml:space="preserve">Within this framework, Ministry of Labour Health and Social </w:t>
      </w:r>
      <w:r w:rsidR="00B6157A">
        <w:rPr>
          <w:rFonts w:ascii="Sylfaen" w:hAnsi="Sylfaen"/>
          <w:lang w:val="en-US"/>
        </w:rPr>
        <w:t>Affairs provides regular procure</w:t>
      </w:r>
      <w:r w:rsidR="00DD4528">
        <w:rPr>
          <w:rFonts w:ascii="Sylfaen" w:hAnsi="Sylfaen"/>
          <w:lang w:val="en-US"/>
        </w:rPr>
        <w:t>ment of anti-rabies vaccine and immunoglobulin and provides it for free for affected ones within the national immunization program.</w:t>
      </w:r>
    </w:p>
    <w:p w:rsidR="008E4AE6" w:rsidRDefault="008E4AE6" w:rsidP="00EA5ACD">
      <w:pPr>
        <w:jc w:val="both"/>
        <w:rPr>
          <w:rFonts w:ascii="Sylfaen" w:hAnsi="Sylfaen"/>
        </w:rPr>
      </w:pPr>
    </w:p>
    <w:p w:rsidR="00DD4528" w:rsidRPr="00D74075" w:rsidRDefault="00DD4528" w:rsidP="00EA5ACD">
      <w:pPr>
        <w:jc w:val="both"/>
        <w:rPr>
          <w:rFonts w:ascii="Sylfaen" w:hAnsi="Sylfaen"/>
          <w:lang w:val="en-US"/>
        </w:rPr>
      </w:pPr>
      <w:r w:rsidRPr="00640EC8">
        <w:rPr>
          <w:rFonts w:ascii="Sylfaen" w:hAnsi="Sylfaen"/>
        </w:rPr>
        <w:t xml:space="preserve">According to the same </w:t>
      </w:r>
      <w:r w:rsidR="005B05E2">
        <w:rPr>
          <w:rFonts w:ascii="Sylfaen" w:hAnsi="Sylfaen"/>
          <w:lang w:val="en-US"/>
        </w:rPr>
        <w:t>framework</w:t>
      </w:r>
      <w:r w:rsidR="00D74075" w:rsidRPr="00640EC8">
        <w:rPr>
          <w:rFonts w:ascii="Sylfaen" w:hAnsi="Sylfaen"/>
        </w:rPr>
        <w:t>,</w:t>
      </w:r>
      <w:r w:rsidRPr="00640EC8">
        <w:rPr>
          <w:rFonts w:ascii="Sylfaen" w:hAnsi="Sylfaen"/>
        </w:rPr>
        <w:t xml:space="preserve"> National Food Agency initiated the registration of </w:t>
      </w:r>
      <w:r w:rsidR="00085ABE">
        <w:rPr>
          <w:rFonts w:ascii="Sylfaen" w:hAnsi="Sylfaen"/>
          <w:lang w:val="en-US"/>
        </w:rPr>
        <w:t xml:space="preserve">carnivores </w:t>
      </w:r>
      <w:r w:rsidR="00085ABE">
        <w:rPr>
          <w:rFonts w:ascii="Sylfaen" w:hAnsi="Sylfaen"/>
        </w:rPr>
        <w:t>(</w:t>
      </w:r>
      <w:r w:rsidRPr="00640EC8">
        <w:rPr>
          <w:rFonts w:ascii="Sylfaen" w:hAnsi="Sylfaen"/>
        </w:rPr>
        <w:t>cats and dogs)</w:t>
      </w:r>
      <w:r w:rsidR="00D74075" w:rsidRPr="00640EC8">
        <w:rPr>
          <w:rFonts w:ascii="Sylfaen" w:hAnsi="Sylfaen"/>
        </w:rPr>
        <w:t xml:space="preserve">, with the relevant marking and massive anti-rabies vaccination </w:t>
      </w:r>
      <w:r w:rsidR="00D74075" w:rsidRPr="00640EC8">
        <w:rPr>
          <w:rFonts w:ascii="Sylfaen" w:hAnsi="Sylfaen"/>
        </w:rPr>
        <w:lastRenderedPageBreak/>
        <w:t xml:space="preserve">campaign. </w:t>
      </w:r>
      <w:r w:rsidR="00D74075" w:rsidRPr="00D74075">
        <w:rPr>
          <w:rFonts w:ascii="Sylfaen" w:hAnsi="Sylfaen"/>
          <w:lang w:val="en-US"/>
        </w:rPr>
        <w:t>More then 3000 residential areas are covered by vaccination in every region</w:t>
      </w:r>
      <w:r w:rsidR="005B05E2">
        <w:rPr>
          <w:rFonts w:ascii="Sylfaen" w:hAnsi="Sylfaen"/>
          <w:lang w:val="en-US"/>
        </w:rPr>
        <w:t>,</w:t>
      </w:r>
      <w:r w:rsidR="00D74075" w:rsidRPr="00D74075">
        <w:rPr>
          <w:rFonts w:ascii="Sylfaen" w:hAnsi="Sylfaen"/>
          <w:lang w:val="en-US"/>
        </w:rPr>
        <w:t xml:space="preserve"> each year.</w:t>
      </w:r>
    </w:p>
    <w:p w:rsidR="008E4AE6" w:rsidRDefault="008E4AE6" w:rsidP="00EA5ACD">
      <w:pPr>
        <w:jc w:val="both"/>
        <w:rPr>
          <w:rFonts w:ascii="Sylfaen" w:hAnsi="Sylfaen"/>
          <w:sz w:val="22"/>
        </w:rPr>
      </w:pPr>
    </w:p>
    <w:p w:rsidR="00D74075" w:rsidRPr="00D375A3" w:rsidRDefault="00D74075" w:rsidP="008E4AE6">
      <w:pPr>
        <w:spacing w:before="120" w:line="276" w:lineRule="auto"/>
        <w:ind w:firstLine="360"/>
        <w:jc w:val="center"/>
        <w:rPr>
          <w:rFonts w:ascii="Sylfaen" w:hAnsi="Sylfaen"/>
          <w:b/>
          <w:lang w:val="en-US"/>
        </w:rPr>
      </w:pPr>
      <w:r w:rsidRPr="00D375A3">
        <w:rPr>
          <w:rFonts w:ascii="Sylfaen" w:hAnsi="Sylfaen"/>
          <w:b/>
        </w:rPr>
        <w:t>Number of vaccinated animals</w:t>
      </w:r>
      <w:r w:rsidRPr="00D375A3">
        <w:rPr>
          <w:rFonts w:ascii="Sylfaen" w:hAnsi="Sylfaen"/>
          <w:b/>
          <w:lang w:val="en-US"/>
        </w:rPr>
        <w:t xml:space="preserve"> by years</w:t>
      </w:r>
    </w:p>
    <w:p w:rsidR="008E4AE6" w:rsidRDefault="008E4AE6" w:rsidP="00EA5ACD">
      <w:pPr>
        <w:jc w:val="both"/>
        <w:rPr>
          <w:rFonts w:ascii="Sylfaen" w:hAnsi="Sylfae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4770"/>
      </w:tblGrid>
      <w:tr w:rsidR="008E4AE6" w:rsidRPr="007D208E" w:rsidTr="00C868BF">
        <w:trPr>
          <w:trHeight w:val="20"/>
          <w:jc w:val="center"/>
        </w:trPr>
        <w:tc>
          <w:tcPr>
            <w:tcW w:w="2970" w:type="dxa"/>
            <w:shd w:val="clear" w:color="auto" w:fill="auto"/>
          </w:tcPr>
          <w:p w:rsidR="008E4AE6" w:rsidRPr="00D74075" w:rsidRDefault="00D74075" w:rsidP="00C868BF">
            <w:pPr>
              <w:spacing w:line="276" w:lineRule="auto"/>
              <w:jc w:val="center"/>
              <w:rPr>
                <w:rFonts w:ascii="Sylfaen" w:hAnsi="Sylfaen"/>
                <w:b/>
                <w:bCs/>
                <w:sz w:val="22"/>
                <w:lang w:val="en-US"/>
              </w:rPr>
            </w:pPr>
            <w:r>
              <w:rPr>
                <w:rFonts w:ascii="Sylfaen" w:hAnsi="Sylfaen"/>
                <w:b/>
                <w:bCs/>
                <w:sz w:val="22"/>
                <w:lang w:val="en-US"/>
              </w:rPr>
              <w:t xml:space="preserve">Year </w:t>
            </w:r>
          </w:p>
        </w:tc>
        <w:tc>
          <w:tcPr>
            <w:tcW w:w="4770" w:type="dxa"/>
            <w:shd w:val="clear" w:color="auto" w:fill="auto"/>
          </w:tcPr>
          <w:p w:rsidR="008E4AE6" w:rsidRPr="00D74075" w:rsidRDefault="00D74075" w:rsidP="00C868BF">
            <w:pPr>
              <w:spacing w:line="276" w:lineRule="auto"/>
              <w:jc w:val="center"/>
              <w:rPr>
                <w:rFonts w:ascii="Sylfaen" w:hAnsi="Sylfaen"/>
                <w:b/>
                <w:bCs/>
                <w:sz w:val="22"/>
                <w:lang w:val="en-US"/>
              </w:rPr>
            </w:pPr>
            <w:r>
              <w:rPr>
                <w:rFonts w:ascii="Sylfaen" w:hAnsi="Sylfaen"/>
                <w:b/>
                <w:bCs/>
                <w:sz w:val="22"/>
                <w:lang w:val="en-US"/>
              </w:rPr>
              <w:t>Number of vaccinated animals</w:t>
            </w:r>
          </w:p>
        </w:tc>
      </w:tr>
      <w:tr w:rsidR="008E4AE6" w:rsidRPr="007D208E" w:rsidTr="00C868BF">
        <w:trPr>
          <w:trHeight w:val="20"/>
          <w:jc w:val="center"/>
        </w:trPr>
        <w:tc>
          <w:tcPr>
            <w:tcW w:w="29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2013</w:t>
            </w:r>
          </w:p>
        </w:tc>
        <w:tc>
          <w:tcPr>
            <w:tcW w:w="47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124,202</w:t>
            </w:r>
          </w:p>
        </w:tc>
      </w:tr>
      <w:tr w:rsidR="008E4AE6" w:rsidRPr="007D208E" w:rsidTr="00C868BF">
        <w:trPr>
          <w:trHeight w:val="20"/>
          <w:jc w:val="center"/>
        </w:trPr>
        <w:tc>
          <w:tcPr>
            <w:tcW w:w="29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2014</w:t>
            </w:r>
          </w:p>
        </w:tc>
        <w:tc>
          <w:tcPr>
            <w:tcW w:w="47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235,454</w:t>
            </w:r>
          </w:p>
        </w:tc>
      </w:tr>
      <w:tr w:rsidR="008E4AE6" w:rsidRPr="007D208E" w:rsidTr="00C868BF">
        <w:trPr>
          <w:trHeight w:val="20"/>
          <w:jc w:val="center"/>
        </w:trPr>
        <w:tc>
          <w:tcPr>
            <w:tcW w:w="29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2015</w:t>
            </w:r>
          </w:p>
        </w:tc>
        <w:tc>
          <w:tcPr>
            <w:tcW w:w="47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254,799</w:t>
            </w:r>
          </w:p>
        </w:tc>
      </w:tr>
      <w:tr w:rsidR="008E4AE6" w:rsidRPr="007D208E" w:rsidTr="00C868BF">
        <w:trPr>
          <w:trHeight w:val="20"/>
          <w:jc w:val="center"/>
        </w:trPr>
        <w:tc>
          <w:tcPr>
            <w:tcW w:w="29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2016</w:t>
            </w:r>
          </w:p>
        </w:tc>
        <w:tc>
          <w:tcPr>
            <w:tcW w:w="47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sz w:val="22"/>
              </w:rPr>
              <w:t>259,706</w:t>
            </w:r>
          </w:p>
        </w:tc>
      </w:tr>
      <w:tr w:rsidR="008E4AE6" w:rsidRPr="007D208E" w:rsidTr="00C868BF">
        <w:trPr>
          <w:trHeight w:val="20"/>
          <w:jc w:val="center"/>
        </w:trPr>
        <w:tc>
          <w:tcPr>
            <w:tcW w:w="2970" w:type="dxa"/>
            <w:shd w:val="clear" w:color="auto" w:fill="auto"/>
          </w:tcPr>
          <w:p w:rsidR="008E4AE6" w:rsidRPr="00D74075" w:rsidRDefault="008E4AE6" w:rsidP="00D74075">
            <w:pPr>
              <w:spacing w:line="276" w:lineRule="auto"/>
              <w:jc w:val="center"/>
              <w:rPr>
                <w:rFonts w:ascii="Sylfaen" w:hAnsi="Sylfaen"/>
                <w:b/>
                <w:bCs/>
                <w:sz w:val="22"/>
                <w:lang w:val="en-US"/>
              </w:rPr>
            </w:pPr>
            <w:r w:rsidRPr="007D208E">
              <w:rPr>
                <w:rFonts w:ascii="Sylfaen" w:hAnsi="Sylfaen"/>
                <w:b/>
                <w:bCs/>
                <w:sz w:val="22"/>
              </w:rPr>
              <w:t>2017 (</w:t>
            </w:r>
            <w:r w:rsidR="00D74075">
              <w:rPr>
                <w:rFonts w:ascii="Sylfaen" w:hAnsi="Sylfaen"/>
                <w:b/>
                <w:bCs/>
                <w:sz w:val="22"/>
                <w:lang w:val="en-US"/>
              </w:rPr>
              <w:t>plan)</w:t>
            </w:r>
          </w:p>
        </w:tc>
        <w:tc>
          <w:tcPr>
            <w:tcW w:w="4770" w:type="dxa"/>
            <w:shd w:val="clear" w:color="auto" w:fill="auto"/>
          </w:tcPr>
          <w:p w:rsidR="008E4AE6" w:rsidRPr="007D208E" w:rsidRDefault="008E4AE6" w:rsidP="00C868BF">
            <w:pPr>
              <w:spacing w:line="276" w:lineRule="auto"/>
              <w:jc w:val="center"/>
              <w:rPr>
                <w:rFonts w:ascii="Sylfaen" w:hAnsi="Sylfaen"/>
                <w:b/>
                <w:bCs/>
                <w:sz w:val="22"/>
              </w:rPr>
            </w:pPr>
            <w:r w:rsidRPr="007D208E">
              <w:rPr>
                <w:rFonts w:ascii="Sylfaen" w:hAnsi="Sylfaen"/>
                <w:b/>
                <w:bCs/>
                <w:color w:val="FF0000"/>
                <w:sz w:val="22"/>
              </w:rPr>
              <w:t>289,311</w:t>
            </w:r>
          </w:p>
        </w:tc>
      </w:tr>
    </w:tbl>
    <w:p w:rsidR="008E4AE6" w:rsidRDefault="008E4AE6" w:rsidP="00EA5ACD">
      <w:pPr>
        <w:jc w:val="both"/>
        <w:rPr>
          <w:rFonts w:ascii="Sylfaen" w:hAnsi="Sylfaen"/>
          <w:sz w:val="22"/>
        </w:rPr>
      </w:pPr>
    </w:p>
    <w:p w:rsidR="008E4AE6" w:rsidRPr="0098617B" w:rsidRDefault="008E4AE6" w:rsidP="00EA5ACD">
      <w:pPr>
        <w:jc w:val="both"/>
        <w:rPr>
          <w:rFonts w:ascii="Sylfaen" w:hAnsi="Sylfaen"/>
        </w:rPr>
      </w:pPr>
    </w:p>
    <w:p w:rsidR="00D5075E" w:rsidRPr="005B05E2" w:rsidRDefault="00D74075" w:rsidP="00175C2B">
      <w:pPr>
        <w:autoSpaceDE w:val="0"/>
        <w:autoSpaceDN w:val="0"/>
        <w:adjustRightInd w:val="0"/>
        <w:jc w:val="both"/>
        <w:rPr>
          <w:rFonts w:ascii="Sylfaen" w:hAnsi="Sylfaen"/>
        </w:rPr>
      </w:pPr>
      <w:r w:rsidRPr="005B05E2">
        <w:rPr>
          <w:rFonts w:ascii="Sylfaen" w:hAnsi="Sylfaen"/>
        </w:rPr>
        <w:t xml:space="preserve">After implementation of these activities, laboratory confirmed cases of rabies cases in dogs were reduced by 48,9% in 2016, with comparison to 2015. </w:t>
      </w:r>
    </w:p>
    <w:p w:rsidR="00D41826" w:rsidRDefault="00D41826" w:rsidP="00175C2B">
      <w:pPr>
        <w:autoSpaceDE w:val="0"/>
        <w:autoSpaceDN w:val="0"/>
        <w:adjustRightInd w:val="0"/>
        <w:jc w:val="both"/>
        <w:rPr>
          <w:rFonts w:asciiTheme="minorHAnsi" w:hAnsiTheme="minorHAnsi"/>
        </w:rPr>
      </w:pPr>
    </w:p>
    <w:p w:rsidR="00640EC8" w:rsidRDefault="00640EC8" w:rsidP="00CF4520">
      <w:pPr>
        <w:jc w:val="center"/>
        <w:rPr>
          <w:rFonts w:ascii="Sylfaen" w:hAnsi="Sylfaen"/>
          <w:b/>
          <w:sz w:val="22"/>
          <w:szCs w:val="22"/>
        </w:rPr>
      </w:pPr>
    </w:p>
    <w:p w:rsidR="00DD4F03" w:rsidRPr="00D375A3" w:rsidRDefault="0086466C" w:rsidP="005B05E2">
      <w:pPr>
        <w:rPr>
          <w:rFonts w:ascii="Sylfaen" w:hAnsi="Sylfaen"/>
          <w:b/>
        </w:rPr>
      </w:pPr>
      <w:r w:rsidRPr="00D375A3">
        <w:rPr>
          <w:rFonts w:ascii="Sylfaen" w:hAnsi="Sylfaen"/>
          <w:b/>
        </w:rPr>
        <w:t xml:space="preserve"> </w:t>
      </w:r>
      <w:r w:rsidR="00DD4F03" w:rsidRPr="00D375A3">
        <w:rPr>
          <w:rFonts w:ascii="Sylfaen" w:hAnsi="Sylfaen"/>
          <w:b/>
        </w:rPr>
        <w:t>Cases of hydrophobia and rabies in animals, Georgia, 2002-2016</w:t>
      </w:r>
    </w:p>
    <w:p w:rsidR="00CF4520" w:rsidRDefault="00CF4520" w:rsidP="00D5075E">
      <w:pPr>
        <w:rPr>
          <w:rFonts w:asciiTheme="minorHAnsi" w:hAnsiTheme="minorHAnsi"/>
        </w:rPr>
      </w:pPr>
    </w:p>
    <w:p w:rsidR="00CF4520" w:rsidRDefault="00CF4520" w:rsidP="00D5075E">
      <w:pPr>
        <w:rPr>
          <w:rFonts w:asciiTheme="minorHAnsi" w:hAnsiTheme="minorHAnsi"/>
        </w:rPr>
      </w:pPr>
      <w:r>
        <w:rPr>
          <w:rFonts w:ascii="Sylfaen" w:hAnsi="Sylfaen"/>
          <w:color w:val="FF0000"/>
          <w:lang w:eastAsia="ka-GE"/>
        </w:rPr>
        <w:drawing>
          <wp:inline distT="0" distB="0" distL="0" distR="0" wp14:anchorId="7E6694CB" wp14:editId="4067241C">
            <wp:extent cx="5731510" cy="2777490"/>
            <wp:effectExtent l="0" t="0" r="2540" b="3810"/>
            <wp:docPr id="261" name="Object 2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35EC" w:rsidRDefault="006E35EC" w:rsidP="00D5075E">
      <w:pPr>
        <w:rPr>
          <w:rFonts w:asciiTheme="minorHAnsi" w:hAnsiTheme="minorHAnsi"/>
        </w:rPr>
      </w:pPr>
    </w:p>
    <w:p w:rsidR="00BB1B8E" w:rsidRPr="00712CF4" w:rsidRDefault="00DD4F03" w:rsidP="00847D5E">
      <w:pPr>
        <w:spacing w:line="276" w:lineRule="auto"/>
        <w:jc w:val="both"/>
        <w:rPr>
          <w:rFonts w:ascii="Sylfaen" w:hAnsi="Sylfaen"/>
          <w:lang w:val="en-US"/>
        </w:rPr>
      </w:pPr>
      <w:r w:rsidRPr="00712CF4">
        <w:rPr>
          <w:rFonts w:ascii="Sylfaen" w:hAnsi="Sylfaen"/>
          <w:lang w:val="en-US"/>
        </w:rPr>
        <w:t>In order to mobilise population, Ministry of Labour Health and Social Affairs conducated press conference on September 28, regarding World Rabies Day (WHO). Additionally, discussions were conducted in educational facilities (kindergartens, schools) on the topics of disease, on the rules of animal care and interaction.</w:t>
      </w:r>
    </w:p>
    <w:p w:rsidR="00AC231B" w:rsidRPr="00712CF4" w:rsidRDefault="00DD4F03" w:rsidP="00640EC8">
      <w:pPr>
        <w:spacing w:line="276" w:lineRule="auto"/>
        <w:ind w:firstLine="1"/>
        <w:jc w:val="both"/>
        <w:rPr>
          <w:rFonts w:ascii="Sylfaen" w:hAnsi="Sylfaen"/>
          <w:lang w:val="en-US"/>
        </w:rPr>
      </w:pPr>
      <w:r w:rsidRPr="00712CF4">
        <w:rPr>
          <w:rFonts w:ascii="Sylfaen" w:hAnsi="Sylfaen"/>
          <w:lang w:val="en-US"/>
        </w:rPr>
        <w:t xml:space="preserve">According to the plan, </w:t>
      </w:r>
      <w:r w:rsidR="00BB3447" w:rsidRPr="00712CF4">
        <w:rPr>
          <w:rFonts w:ascii="Sylfaen" w:hAnsi="Sylfaen"/>
          <w:lang w:val="en-US"/>
        </w:rPr>
        <w:t>Ministry of Agriculture and Ministry of Environment and Natural Resources Protection of Georgia were</w:t>
      </w:r>
      <w:r w:rsidRPr="00712CF4">
        <w:rPr>
          <w:rFonts w:ascii="Sylfaen" w:hAnsi="Sylfaen"/>
          <w:lang w:val="en-US"/>
        </w:rPr>
        <w:t xml:space="preserve"> tasked to prepare the </w:t>
      </w:r>
      <w:r w:rsidR="00BB3447" w:rsidRPr="00712CF4">
        <w:rPr>
          <w:rFonts w:ascii="Sylfaen" w:hAnsi="Sylfaen"/>
          <w:lang w:val="en-US"/>
        </w:rPr>
        <w:t xml:space="preserve">project of </w:t>
      </w:r>
      <w:r w:rsidRPr="00712CF4">
        <w:rPr>
          <w:rFonts w:ascii="Sylfaen" w:hAnsi="Sylfaen"/>
          <w:lang w:val="en-US"/>
        </w:rPr>
        <w:t>state program for oral vaccination of wild animals with</w:t>
      </w:r>
      <w:r w:rsidR="00BB3447" w:rsidRPr="00712CF4">
        <w:rPr>
          <w:rFonts w:ascii="Sylfaen" w:hAnsi="Sylfaen"/>
          <w:lang w:val="en-US"/>
        </w:rPr>
        <w:t xml:space="preserve"> the</w:t>
      </w:r>
      <w:r w:rsidRPr="00712CF4">
        <w:rPr>
          <w:rFonts w:ascii="Sylfaen" w:hAnsi="Sylfaen"/>
          <w:lang w:val="en-US"/>
        </w:rPr>
        <w:t xml:space="preserve"> appropriate financial calculations.</w:t>
      </w:r>
    </w:p>
    <w:p w:rsidR="00AC231B" w:rsidRDefault="00AC231B" w:rsidP="00640EC8">
      <w:pPr>
        <w:spacing w:line="276" w:lineRule="auto"/>
        <w:ind w:firstLine="1"/>
        <w:jc w:val="both"/>
        <w:rPr>
          <w:rFonts w:ascii="Sylfaen" w:hAnsi="Sylfaen"/>
          <w:sz w:val="22"/>
        </w:rPr>
      </w:pPr>
    </w:p>
    <w:p w:rsidR="00BB1B8E" w:rsidRDefault="00BB1B8E" w:rsidP="006E35EC">
      <w:pPr>
        <w:spacing w:line="276" w:lineRule="auto"/>
        <w:ind w:firstLine="360"/>
        <w:jc w:val="both"/>
        <w:rPr>
          <w:rFonts w:ascii="Sylfaen" w:hAnsi="Sylfaen"/>
          <w:sz w:val="22"/>
        </w:rPr>
      </w:pPr>
    </w:p>
    <w:p w:rsidR="0086466C" w:rsidRDefault="0086466C" w:rsidP="0086466C">
      <w:pPr>
        <w:rPr>
          <w:rFonts w:asciiTheme="minorHAnsi" w:hAnsiTheme="minorHAnsi"/>
          <w:b/>
          <w:lang w:val="en-US"/>
        </w:rPr>
      </w:pPr>
    </w:p>
    <w:p w:rsidR="00D20081" w:rsidRPr="00BB3447" w:rsidRDefault="005B05E2" w:rsidP="0086466C">
      <w:pPr>
        <w:rPr>
          <w:rFonts w:asciiTheme="minorHAnsi" w:hAnsiTheme="minorHAnsi"/>
          <w:b/>
        </w:rPr>
      </w:pPr>
      <w:r>
        <w:rPr>
          <w:rFonts w:asciiTheme="minorHAnsi" w:hAnsiTheme="minorHAnsi"/>
          <w:b/>
          <w:lang w:val="en-US"/>
        </w:rPr>
        <w:t>P</w:t>
      </w:r>
      <w:r>
        <w:rPr>
          <w:rFonts w:asciiTheme="minorHAnsi" w:hAnsiTheme="minorHAnsi"/>
          <w:b/>
        </w:rPr>
        <w:t>ost-expositiona</w:t>
      </w:r>
      <w:r w:rsidR="0086466C">
        <w:rPr>
          <w:rFonts w:asciiTheme="minorHAnsi" w:hAnsiTheme="minorHAnsi"/>
          <w:b/>
          <w:lang w:val="en-US"/>
        </w:rPr>
        <w:t>l</w:t>
      </w:r>
      <w:r w:rsidR="00BB3447" w:rsidRPr="00BB3447">
        <w:rPr>
          <w:rFonts w:asciiTheme="minorHAnsi" w:hAnsiTheme="minorHAnsi"/>
          <w:b/>
        </w:rPr>
        <w:t xml:space="preserve"> prophylaxis per 100 000 population, in neighbouring countries and lethal cases.</w:t>
      </w:r>
    </w:p>
    <w:p w:rsidR="00A73C5F" w:rsidRDefault="00A73C5F" w:rsidP="00D20081">
      <w:pPr>
        <w:jc w:val="center"/>
        <w:rPr>
          <w:rFonts w:asciiTheme="minorHAnsi" w:hAnsiTheme="minorHAnsi"/>
          <w:b/>
        </w:rPr>
      </w:pPr>
    </w:p>
    <w:p w:rsidR="00A73C5F" w:rsidRPr="00D20081" w:rsidRDefault="00A73C5F" w:rsidP="00D20081">
      <w:pPr>
        <w:jc w:val="center"/>
        <w:rPr>
          <w:rFonts w:asciiTheme="minorHAnsi" w:hAnsiTheme="minorHAnsi"/>
          <w:b/>
        </w:rPr>
      </w:pPr>
      <w:r w:rsidRPr="00A73C5F">
        <w:rPr>
          <w:rFonts w:asciiTheme="minorHAnsi" w:hAnsiTheme="minorHAnsi"/>
          <w:b/>
          <w:lang w:eastAsia="ka-GE"/>
        </w:rPr>
        <w:drawing>
          <wp:inline distT="0" distB="0" distL="0" distR="0" wp14:anchorId="57C9A21F" wp14:editId="6A2CF460">
            <wp:extent cx="6074355" cy="3840480"/>
            <wp:effectExtent l="0" t="0" r="317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A73C5F" w:rsidRPr="00D20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B4616"/>
    <w:multiLevelType w:val="hybridMultilevel"/>
    <w:tmpl w:val="F672F68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7C094A7A"/>
    <w:multiLevelType w:val="hybridMultilevel"/>
    <w:tmpl w:val="A20C1460"/>
    <w:lvl w:ilvl="0" w:tplc="04B8780A">
      <w:start w:val="1"/>
      <w:numFmt w:val="bullet"/>
      <w:lvlText w:val=""/>
      <w:lvlJc w:val="left"/>
      <w:pPr>
        <w:ind w:left="644" w:hanging="360"/>
      </w:pPr>
      <w:rPr>
        <w:rFonts w:ascii="Symbol" w:hAnsi="Symbol" w:hint="default"/>
        <w:b w:val="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1B"/>
    <w:rsid w:val="000741EF"/>
    <w:rsid w:val="00085ABE"/>
    <w:rsid w:val="00156B07"/>
    <w:rsid w:val="00175C2B"/>
    <w:rsid w:val="001836B0"/>
    <w:rsid w:val="00257768"/>
    <w:rsid w:val="002E73FA"/>
    <w:rsid w:val="003D5993"/>
    <w:rsid w:val="00593AE2"/>
    <w:rsid w:val="005A341B"/>
    <w:rsid w:val="005B05E2"/>
    <w:rsid w:val="005C532F"/>
    <w:rsid w:val="005D58EB"/>
    <w:rsid w:val="005E0132"/>
    <w:rsid w:val="005E5249"/>
    <w:rsid w:val="006058FA"/>
    <w:rsid w:val="00640EC8"/>
    <w:rsid w:val="006E2D23"/>
    <w:rsid w:val="006E35EC"/>
    <w:rsid w:val="00712CF4"/>
    <w:rsid w:val="00804AB0"/>
    <w:rsid w:val="008301DD"/>
    <w:rsid w:val="008403EA"/>
    <w:rsid w:val="00847D5E"/>
    <w:rsid w:val="0086466C"/>
    <w:rsid w:val="008E4AE6"/>
    <w:rsid w:val="008F0E9A"/>
    <w:rsid w:val="0098617B"/>
    <w:rsid w:val="00A73C5F"/>
    <w:rsid w:val="00AC231B"/>
    <w:rsid w:val="00B02DB5"/>
    <w:rsid w:val="00B40326"/>
    <w:rsid w:val="00B60629"/>
    <w:rsid w:val="00B6157A"/>
    <w:rsid w:val="00B86265"/>
    <w:rsid w:val="00BB1B8E"/>
    <w:rsid w:val="00BB3447"/>
    <w:rsid w:val="00C50380"/>
    <w:rsid w:val="00C6464B"/>
    <w:rsid w:val="00CC036C"/>
    <w:rsid w:val="00CE464B"/>
    <w:rsid w:val="00CE6642"/>
    <w:rsid w:val="00CF4520"/>
    <w:rsid w:val="00D20081"/>
    <w:rsid w:val="00D375A3"/>
    <w:rsid w:val="00D41826"/>
    <w:rsid w:val="00D5075E"/>
    <w:rsid w:val="00D629D6"/>
    <w:rsid w:val="00D63203"/>
    <w:rsid w:val="00D73CA7"/>
    <w:rsid w:val="00D74075"/>
    <w:rsid w:val="00DC42B3"/>
    <w:rsid w:val="00DD4528"/>
    <w:rsid w:val="00DD4F03"/>
    <w:rsid w:val="00E33456"/>
    <w:rsid w:val="00E34060"/>
    <w:rsid w:val="00E52685"/>
    <w:rsid w:val="00EA0C1C"/>
    <w:rsid w:val="00EA5ACD"/>
    <w:rsid w:val="00EC5DF3"/>
    <w:rsid w:val="00EF31BB"/>
    <w:rsid w:val="00F3397B"/>
    <w:rsid w:val="00F4380B"/>
    <w:rsid w:val="00F43B21"/>
    <w:rsid w:val="00F906CC"/>
    <w:rsid w:val="00FD194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E36875-A20A-48CA-AED7-25F9FAEC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1B"/>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93"/>
    <w:pPr>
      <w:spacing w:after="180"/>
      <w:ind w:left="720" w:hanging="288"/>
      <w:contextualSpacing/>
    </w:pPr>
    <w:rPr>
      <w:rFonts w:asciiTheme="minorHAnsi" w:eastAsiaTheme="minorHAnsi" w:hAnsiTheme="minorHAnsi" w:cstheme="minorBidi"/>
      <w:noProof w:val="0"/>
      <w:color w:val="44546A" w:themeColor="text2"/>
      <w:sz w:val="21"/>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2656">
      <w:bodyDiv w:val="1"/>
      <w:marLeft w:val="0"/>
      <w:marRight w:val="0"/>
      <w:marTop w:val="0"/>
      <w:marBottom w:val="0"/>
      <w:divBdr>
        <w:top w:val="none" w:sz="0" w:space="0" w:color="auto"/>
        <w:left w:val="none" w:sz="0" w:space="0" w:color="auto"/>
        <w:bottom w:val="none" w:sz="0" w:space="0" w:color="auto"/>
        <w:right w:val="none" w:sz="0" w:space="0" w:color="auto"/>
      </w:divBdr>
    </w:div>
    <w:div w:id="757095456">
      <w:bodyDiv w:val="1"/>
      <w:marLeft w:val="0"/>
      <w:marRight w:val="0"/>
      <w:marTop w:val="0"/>
      <w:marBottom w:val="0"/>
      <w:divBdr>
        <w:top w:val="none" w:sz="0" w:space="0" w:color="auto"/>
        <w:left w:val="none" w:sz="0" w:space="0" w:color="auto"/>
        <w:bottom w:val="none" w:sz="0" w:space="0" w:color="auto"/>
        <w:right w:val="none" w:sz="0" w:space="0" w:color="auto"/>
      </w:divBdr>
    </w:div>
    <w:div w:id="104047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Column1</c:v>
                </c:pt>
              </c:strCache>
            </c:strRef>
          </c:tx>
          <c:cat>
            <c:numRef>
              <c:f>Sheet1!$A$2:$A$21</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Sheet1!$B$2:$B$21</c:f>
              <c:numCache>
                <c:formatCode>General</c:formatCode>
                <c:ptCount val="20"/>
                <c:pt idx="0">
                  <c:v>12</c:v>
                </c:pt>
                <c:pt idx="1">
                  <c:v>4</c:v>
                </c:pt>
                <c:pt idx="2">
                  <c:v>13</c:v>
                </c:pt>
                <c:pt idx="3">
                  <c:v>7</c:v>
                </c:pt>
                <c:pt idx="4">
                  <c:v>10</c:v>
                </c:pt>
                <c:pt idx="5">
                  <c:v>10</c:v>
                </c:pt>
                <c:pt idx="6">
                  <c:v>11</c:v>
                </c:pt>
                <c:pt idx="7">
                  <c:v>12</c:v>
                </c:pt>
                <c:pt idx="8">
                  <c:v>10</c:v>
                </c:pt>
                <c:pt idx="9">
                  <c:v>7</c:v>
                </c:pt>
                <c:pt idx="10">
                  <c:v>10</c:v>
                </c:pt>
                <c:pt idx="11">
                  <c:v>7</c:v>
                </c:pt>
                <c:pt idx="12">
                  <c:v>6</c:v>
                </c:pt>
                <c:pt idx="13">
                  <c:v>5</c:v>
                </c:pt>
                <c:pt idx="14">
                  <c:v>3</c:v>
                </c:pt>
                <c:pt idx="15">
                  <c:v>3</c:v>
                </c:pt>
                <c:pt idx="16">
                  <c:v>4</c:v>
                </c:pt>
                <c:pt idx="17">
                  <c:v>4</c:v>
                </c:pt>
                <c:pt idx="18">
                  <c:v>0</c:v>
                </c:pt>
                <c:pt idx="19">
                  <c:v>0</c:v>
                </c:pt>
              </c:numCache>
            </c:numRef>
          </c:val>
          <c:smooth val="0"/>
        </c:ser>
        <c:dLbls>
          <c:showLegendKey val="0"/>
          <c:showVal val="0"/>
          <c:showCatName val="0"/>
          <c:showSerName val="0"/>
          <c:showPercent val="0"/>
          <c:showBubbleSize val="0"/>
        </c:dLbls>
        <c:marker val="1"/>
        <c:smooth val="0"/>
        <c:axId val="214163616"/>
        <c:axId val="214165296"/>
      </c:lineChart>
      <c:catAx>
        <c:axId val="214163616"/>
        <c:scaling>
          <c:orientation val="minMax"/>
        </c:scaling>
        <c:delete val="0"/>
        <c:axPos val="b"/>
        <c:numFmt formatCode="General" sourceLinked="1"/>
        <c:majorTickMark val="out"/>
        <c:minorTickMark val="none"/>
        <c:tickLblPos val="nextTo"/>
        <c:spPr>
          <a:ln>
            <a:miter lim="800000"/>
          </a:ln>
        </c:spPr>
        <c:txPr>
          <a:bodyPr/>
          <a:lstStyle/>
          <a:p>
            <a:pPr>
              <a:defRPr sz="1100" strike="noStrike" baseline="30000"/>
            </a:pPr>
            <a:endParaRPr lang="ka-GE"/>
          </a:p>
        </c:txPr>
        <c:crossAx val="214165296"/>
        <c:crosses val="autoZero"/>
        <c:auto val="1"/>
        <c:lblAlgn val="ctr"/>
        <c:lblOffset val="100"/>
        <c:noMultiLvlLbl val="0"/>
      </c:catAx>
      <c:valAx>
        <c:axId val="214165296"/>
        <c:scaling>
          <c:orientation val="minMax"/>
        </c:scaling>
        <c:delete val="0"/>
        <c:axPos val="l"/>
        <c:majorGridlines/>
        <c:numFmt formatCode="General" sourceLinked="1"/>
        <c:majorTickMark val="out"/>
        <c:minorTickMark val="none"/>
        <c:tickLblPos val="nextTo"/>
        <c:crossAx val="214163616"/>
        <c:crosses val="autoZero"/>
        <c:crossBetween val="between"/>
      </c:valAx>
    </c:plotArea>
    <c:plotVisOnly val="1"/>
    <c:dispBlanksAs val="zero"/>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270516717325229E-2"/>
          <c:y val="8.2352941176470587E-2"/>
          <c:w val="0.63677811550151975"/>
          <c:h val="0.72941176470588232"/>
        </c:manualLayout>
      </c:layout>
      <c:barChart>
        <c:barDir val="col"/>
        <c:grouping val="clustered"/>
        <c:varyColors val="0"/>
        <c:ser>
          <c:idx val="1"/>
          <c:order val="0"/>
          <c:tx>
            <c:strRef>
              <c:f>Sheet1!$A$2</c:f>
              <c:strCache>
                <c:ptCount val="1"/>
                <c:pt idx="0">
                  <c:v>Rabies in animals N</c:v>
                </c:pt>
              </c:strCache>
            </c:strRef>
          </c:tx>
          <c:spPr>
            <a:solidFill>
              <a:srgbClr val="993366"/>
            </a:solidFill>
            <a:ln w="12662">
              <a:solidFill>
                <a:srgbClr val="000000"/>
              </a:solidFill>
              <a:prstDash val="solid"/>
            </a:ln>
          </c:spPr>
          <c:invertIfNegative val="0"/>
          <c:cat>
            <c:numRef>
              <c:f>Sheet1!$B$1:$P$1</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Sheet1!$B$2:$P$2</c:f>
              <c:numCache>
                <c:formatCode>General</c:formatCode>
                <c:ptCount val="15"/>
                <c:pt idx="0">
                  <c:v>105</c:v>
                </c:pt>
                <c:pt idx="1">
                  <c:v>93</c:v>
                </c:pt>
                <c:pt idx="2">
                  <c:v>102</c:v>
                </c:pt>
                <c:pt idx="3">
                  <c:v>100</c:v>
                </c:pt>
                <c:pt idx="4">
                  <c:v>105</c:v>
                </c:pt>
                <c:pt idx="5">
                  <c:v>113</c:v>
                </c:pt>
                <c:pt idx="6">
                  <c:v>101</c:v>
                </c:pt>
                <c:pt idx="7">
                  <c:v>153</c:v>
                </c:pt>
                <c:pt idx="8">
                  <c:v>97</c:v>
                </c:pt>
                <c:pt idx="9">
                  <c:v>69</c:v>
                </c:pt>
                <c:pt idx="10">
                  <c:v>122</c:v>
                </c:pt>
                <c:pt idx="11">
                  <c:v>101</c:v>
                </c:pt>
                <c:pt idx="12">
                  <c:v>119</c:v>
                </c:pt>
                <c:pt idx="13">
                  <c:v>103</c:v>
                </c:pt>
                <c:pt idx="14">
                  <c:v>53</c:v>
                </c:pt>
              </c:numCache>
            </c:numRef>
          </c:val>
        </c:ser>
        <c:dLbls>
          <c:showLegendKey val="0"/>
          <c:showVal val="0"/>
          <c:showCatName val="0"/>
          <c:showSerName val="0"/>
          <c:showPercent val="0"/>
          <c:showBubbleSize val="0"/>
        </c:dLbls>
        <c:gapWidth val="150"/>
        <c:axId val="186475600"/>
        <c:axId val="213945984"/>
      </c:barChart>
      <c:lineChart>
        <c:grouping val="standard"/>
        <c:varyColors val="0"/>
        <c:ser>
          <c:idx val="0"/>
          <c:order val="1"/>
          <c:tx>
            <c:strRef>
              <c:f>Sheet1!$A$3</c:f>
              <c:strCache>
                <c:ptCount val="1"/>
                <c:pt idx="0">
                  <c:v>Hydrophobia N</c:v>
                </c:pt>
              </c:strCache>
            </c:strRef>
          </c:tx>
          <c:spPr>
            <a:ln w="12662">
              <a:solidFill>
                <a:srgbClr val="000080"/>
              </a:solidFill>
              <a:prstDash val="solid"/>
            </a:ln>
          </c:spPr>
          <c:marker>
            <c:symbol val="diamond"/>
            <c:size val="4"/>
            <c:spPr>
              <a:solidFill>
                <a:srgbClr val="000080"/>
              </a:solidFill>
              <a:ln>
                <a:solidFill>
                  <a:srgbClr val="000080"/>
                </a:solidFill>
                <a:prstDash val="solid"/>
              </a:ln>
            </c:spPr>
          </c:marker>
          <c:cat>
            <c:numRef>
              <c:f>Sheet1!$B$1:$P$1</c:f>
              <c:numCache>
                <c:formatCode>General</c:formatCode>
                <c:ptCount val="15"/>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numCache>
            </c:numRef>
          </c:cat>
          <c:val>
            <c:numRef>
              <c:f>Sheet1!$B$3:$P$3</c:f>
              <c:numCache>
                <c:formatCode>General</c:formatCode>
                <c:ptCount val="15"/>
                <c:pt idx="0">
                  <c:v>10</c:v>
                </c:pt>
                <c:pt idx="1">
                  <c:v>11</c:v>
                </c:pt>
                <c:pt idx="2">
                  <c:v>12</c:v>
                </c:pt>
                <c:pt idx="3">
                  <c:v>10</c:v>
                </c:pt>
                <c:pt idx="4">
                  <c:v>7</c:v>
                </c:pt>
                <c:pt idx="5">
                  <c:v>10</c:v>
                </c:pt>
                <c:pt idx="6">
                  <c:v>7</c:v>
                </c:pt>
                <c:pt idx="7">
                  <c:v>6</c:v>
                </c:pt>
                <c:pt idx="8">
                  <c:v>5</c:v>
                </c:pt>
                <c:pt idx="9">
                  <c:v>3</c:v>
                </c:pt>
                <c:pt idx="10">
                  <c:v>3</c:v>
                </c:pt>
                <c:pt idx="11">
                  <c:v>4</c:v>
                </c:pt>
                <c:pt idx="12">
                  <c:v>4</c:v>
                </c:pt>
                <c:pt idx="13">
                  <c:v>0</c:v>
                </c:pt>
                <c:pt idx="14">
                  <c:v>0</c:v>
                </c:pt>
              </c:numCache>
            </c:numRef>
          </c:val>
          <c:smooth val="0"/>
        </c:ser>
        <c:dLbls>
          <c:showLegendKey val="0"/>
          <c:showVal val="0"/>
          <c:showCatName val="0"/>
          <c:showSerName val="0"/>
          <c:showPercent val="0"/>
          <c:showBubbleSize val="0"/>
        </c:dLbls>
        <c:marker val="1"/>
        <c:smooth val="0"/>
        <c:axId val="213946544"/>
        <c:axId val="213947104"/>
      </c:lineChart>
      <c:catAx>
        <c:axId val="186475600"/>
        <c:scaling>
          <c:orientation val="minMax"/>
        </c:scaling>
        <c:delete val="0"/>
        <c:axPos val="b"/>
        <c:numFmt formatCode="General" sourceLinked="1"/>
        <c:majorTickMark val="out"/>
        <c:minorTickMark val="none"/>
        <c:tickLblPos val="nextTo"/>
        <c:spPr>
          <a:ln w="3165">
            <a:solidFill>
              <a:srgbClr val="000000"/>
            </a:solidFill>
            <a:prstDash val="solid"/>
          </a:ln>
        </c:spPr>
        <c:txPr>
          <a:bodyPr rot="-2580000" vert="horz"/>
          <a:lstStyle/>
          <a:p>
            <a:pPr>
              <a:defRPr sz="823" b="1" i="0" u="none" strike="noStrike" baseline="0">
                <a:solidFill>
                  <a:srgbClr val="000000"/>
                </a:solidFill>
                <a:latin typeface="Calibri"/>
                <a:ea typeface="Calibri"/>
                <a:cs typeface="Calibri"/>
              </a:defRPr>
            </a:pPr>
            <a:endParaRPr lang="ka-GE"/>
          </a:p>
        </c:txPr>
        <c:crossAx val="213945984"/>
        <c:crosses val="autoZero"/>
        <c:auto val="0"/>
        <c:lblAlgn val="ctr"/>
        <c:lblOffset val="100"/>
        <c:tickLblSkip val="1"/>
        <c:tickMarkSkip val="1"/>
        <c:noMultiLvlLbl val="0"/>
      </c:catAx>
      <c:valAx>
        <c:axId val="213945984"/>
        <c:scaling>
          <c:orientation val="minMax"/>
        </c:scaling>
        <c:delete val="0"/>
        <c:axPos val="l"/>
        <c:numFmt formatCode="General" sourceLinked="1"/>
        <c:majorTickMark val="out"/>
        <c:minorTickMark val="none"/>
        <c:tickLblPos val="nextTo"/>
        <c:spPr>
          <a:ln w="3165">
            <a:solidFill>
              <a:srgbClr val="000000"/>
            </a:solidFill>
            <a:prstDash val="solid"/>
          </a:ln>
        </c:spPr>
        <c:txPr>
          <a:bodyPr rot="0" vert="horz"/>
          <a:lstStyle/>
          <a:p>
            <a:pPr>
              <a:defRPr sz="823" b="1" i="0" u="none" strike="noStrike" baseline="0">
                <a:solidFill>
                  <a:srgbClr val="000000"/>
                </a:solidFill>
                <a:latin typeface="Calibri"/>
                <a:ea typeface="Calibri"/>
                <a:cs typeface="Calibri"/>
              </a:defRPr>
            </a:pPr>
            <a:endParaRPr lang="ka-GE"/>
          </a:p>
        </c:txPr>
        <c:crossAx val="186475600"/>
        <c:crosses val="autoZero"/>
        <c:crossBetween val="between"/>
      </c:valAx>
      <c:catAx>
        <c:axId val="213946544"/>
        <c:scaling>
          <c:orientation val="minMax"/>
        </c:scaling>
        <c:delete val="1"/>
        <c:axPos val="b"/>
        <c:numFmt formatCode="General" sourceLinked="1"/>
        <c:majorTickMark val="out"/>
        <c:minorTickMark val="none"/>
        <c:tickLblPos val="nextTo"/>
        <c:crossAx val="213947104"/>
        <c:crosses val="autoZero"/>
        <c:auto val="1"/>
        <c:lblAlgn val="ctr"/>
        <c:lblOffset val="100"/>
        <c:noMultiLvlLbl val="0"/>
      </c:catAx>
      <c:valAx>
        <c:axId val="213947104"/>
        <c:scaling>
          <c:orientation val="minMax"/>
        </c:scaling>
        <c:delete val="0"/>
        <c:axPos val="r"/>
        <c:numFmt formatCode="General" sourceLinked="1"/>
        <c:majorTickMark val="cross"/>
        <c:minorTickMark val="none"/>
        <c:tickLblPos val="nextTo"/>
        <c:spPr>
          <a:ln w="3165">
            <a:solidFill>
              <a:srgbClr val="000000"/>
            </a:solidFill>
            <a:prstDash val="solid"/>
          </a:ln>
        </c:spPr>
        <c:txPr>
          <a:bodyPr rot="0" vert="horz"/>
          <a:lstStyle/>
          <a:p>
            <a:pPr>
              <a:defRPr sz="823" b="1" i="0" u="none" strike="noStrike" baseline="0">
                <a:solidFill>
                  <a:srgbClr val="000000"/>
                </a:solidFill>
                <a:latin typeface="Calibri"/>
                <a:ea typeface="Calibri"/>
                <a:cs typeface="Calibri"/>
              </a:defRPr>
            </a:pPr>
            <a:endParaRPr lang="ka-GE"/>
          </a:p>
        </c:txPr>
        <c:crossAx val="213946544"/>
        <c:crosses val="max"/>
        <c:crossBetween val="between"/>
      </c:valAx>
      <c:spPr>
        <a:solidFill>
          <a:srgbClr val="FFFFFF"/>
        </a:solidFill>
        <a:ln w="25324">
          <a:noFill/>
        </a:ln>
      </c:spPr>
    </c:plotArea>
    <c:legend>
      <c:legendPos val="r"/>
      <c:layout>
        <c:manualLayout>
          <c:xMode val="edge"/>
          <c:yMode val="edge"/>
          <c:x val="0.75873024735191952"/>
          <c:y val="0.43205124050851668"/>
          <c:w val="0.23019064783974905"/>
          <c:h val="0.25935430910642343"/>
        </c:manualLayout>
      </c:layout>
      <c:overlay val="0"/>
      <c:spPr>
        <a:solidFill>
          <a:srgbClr val="FFFFFF"/>
        </a:solidFill>
        <a:ln w="3165">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ka-GE"/>
        </a:p>
      </c:txPr>
    </c:legend>
    <c:plotVisOnly val="1"/>
    <c:dispBlanksAs val="gap"/>
    <c:showDLblsOverMax val="0"/>
  </c:chart>
  <c:spPr>
    <a:solidFill>
      <a:srgbClr val="FFFFFF"/>
    </a:solidFill>
    <a:ln>
      <a:noFill/>
    </a:ln>
  </c:spPr>
  <c:txPr>
    <a:bodyPr/>
    <a:lstStyle/>
    <a:p>
      <a:pPr>
        <a:defRPr sz="823" b="1" i="0" u="none" strike="noStrike" baseline="0">
          <a:solidFill>
            <a:srgbClr val="000000"/>
          </a:solidFill>
          <a:latin typeface="Calibri"/>
          <a:ea typeface="Calibri"/>
          <a:cs typeface="Calibri"/>
        </a:defRPr>
      </a:pPr>
      <a:endParaRPr lang="ka-GE"/>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Georgia</c:v>
                </c:pt>
              </c:strCache>
            </c:strRef>
          </c:tx>
          <c:spPr>
            <a:solidFill>
              <a:srgbClr val="FF0000"/>
            </a:solidFill>
            <a:ln>
              <a:noFill/>
            </a:ln>
            <a:effectLst/>
          </c:spPr>
          <c:invertIfNegative val="0"/>
          <c:cat>
            <c:numRef>
              <c:f>Sheet1!$A$2:$A$6</c:f>
              <c:numCache>
                <c:formatCode>General</c:formatCode>
                <c:ptCount val="5"/>
                <c:pt idx="0">
                  <c:v>2009</c:v>
                </c:pt>
                <c:pt idx="1">
                  <c:v>2010</c:v>
                </c:pt>
                <c:pt idx="2">
                  <c:v>2011</c:v>
                </c:pt>
                <c:pt idx="3">
                  <c:v>2014</c:v>
                </c:pt>
                <c:pt idx="4">
                  <c:v>2015</c:v>
                </c:pt>
              </c:numCache>
            </c:numRef>
          </c:cat>
          <c:val>
            <c:numRef>
              <c:f>Sheet1!$B$2:$B$6</c:f>
              <c:numCache>
                <c:formatCode>General</c:formatCode>
                <c:ptCount val="5"/>
                <c:pt idx="0">
                  <c:v>610</c:v>
                </c:pt>
                <c:pt idx="1">
                  <c:v>680</c:v>
                </c:pt>
                <c:pt idx="2">
                  <c:v>930</c:v>
                </c:pt>
                <c:pt idx="3">
                  <c:v>965</c:v>
                </c:pt>
                <c:pt idx="4">
                  <c:v>1172</c:v>
                </c:pt>
              </c:numCache>
            </c:numRef>
          </c:val>
        </c:ser>
        <c:ser>
          <c:idx val="2"/>
          <c:order val="2"/>
          <c:tx>
            <c:strRef>
              <c:f>Sheet1!$D$1</c:f>
              <c:strCache>
                <c:ptCount val="1"/>
                <c:pt idx="0">
                  <c:v>Kazakhstan</c:v>
                </c:pt>
              </c:strCache>
            </c:strRef>
          </c:tx>
          <c:spPr>
            <a:solidFill>
              <a:schemeClr val="accent4"/>
            </a:solidFill>
            <a:ln>
              <a:noFill/>
            </a:ln>
            <a:effectLst/>
          </c:spPr>
          <c:invertIfNegative val="0"/>
          <c:cat>
            <c:numRef>
              <c:f>Sheet1!$A$2:$A$6</c:f>
              <c:numCache>
                <c:formatCode>General</c:formatCode>
                <c:ptCount val="5"/>
                <c:pt idx="0">
                  <c:v>2009</c:v>
                </c:pt>
                <c:pt idx="1">
                  <c:v>2010</c:v>
                </c:pt>
                <c:pt idx="2">
                  <c:v>2011</c:v>
                </c:pt>
                <c:pt idx="3">
                  <c:v>2014</c:v>
                </c:pt>
                <c:pt idx="4">
                  <c:v>2015</c:v>
                </c:pt>
              </c:numCache>
            </c:numRef>
          </c:cat>
          <c:val>
            <c:numRef>
              <c:f>Sheet1!$D$2:$D$6</c:f>
              <c:numCache>
                <c:formatCode>General</c:formatCode>
                <c:ptCount val="5"/>
                <c:pt idx="0">
                  <c:v>350</c:v>
                </c:pt>
                <c:pt idx="1">
                  <c:v>360</c:v>
                </c:pt>
                <c:pt idx="2">
                  <c:v>411</c:v>
                </c:pt>
                <c:pt idx="3">
                  <c:v>1741</c:v>
                </c:pt>
              </c:numCache>
            </c:numRef>
          </c:val>
        </c:ser>
        <c:ser>
          <c:idx val="4"/>
          <c:order val="4"/>
          <c:tx>
            <c:strRef>
              <c:f>Sheet1!$F$1</c:f>
              <c:strCache>
                <c:ptCount val="1"/>
                <c:pt idx="0">
                  <c:v>Iran</c:v>
                </c:pt>
              </c:strCache>
            </c:strRef>
          </c:tx>
          <c:spPr>
            <a:solidFill>
              <a:schemeClr val="accent6"/>
            </a:solidFill>
            <a:ln>
              <a:noFill/>
            </a:ln>
            <a:effectLst/>
          </c:spPr>
          <c:invertIfNegative val="0"/>
          <c:cat>
            <c:numRef>
              <c:f>Sheet1!$A$2:$A$6</c:f>
              <c:numCache>
                <c:formatCode>General</c:formatCode>
                <c:ptCount val="5"/>
                <c:pt idx="0">
                  <c:v>2009</c:v>
                </c:pt>
                <c:pt idx="1">
                  <c:v>2010</c:v>
                </c:pt>
                <c:pt idx="2">
                  <c:v>2011</c:v>
                </c:pt>
                <c:pt idx="3">
                  <c:v>2014</c:v>
                </c:pt>
                <c:pt idx="4">
                  <c:v>2015</c:v>
                </c:pt>
              </c:numCache>
            </c:numRef>
          </c:cat>
          <c:val>
            <c:numRef>
              <c:f>Sheet1!$F$2:$F$6</c:f>
              <c:numCache>
                <c:formatCode>General</c:formatCode>
                <c:ptCount val="5"/>
                <c:pt idx="0">
                  <c:v>170</c:v>
                </c:pt>
                <c:pt idx="1">
                  <c:v>160</c:v>
                </c:pt>
                <c:pt idx="2">
                  <c:v>170</c:v>
                </c:pt>
                <c:pt idx="3">
                  <c:v>195</c:v>
                </c:pt>
              </c:numCache>
            </c:numRef>
          </c:val>
        </c:ser>
        <c:ser>
          <c:idx val="6"/>
          <c:order val="6"/>
          <c:tx>
            <c:strRef>
              <c:f>Sheet1!$H$1</c:f>
              <c:strCache>
                <c:ptCount val="1"/>
                <c:pt idx="0">
                  <c:v>Turkey</c:v>
                </c:pt>
              </c:strCache>
            </c:strRef>
          </c:tx>
          <c:spPr>
            <a:solidFill>
              <a:schemeClr val="accent1">
                <a:lumMod val="60000"/>
              </a:schemeClr>
            </a:solidFill>
            <a:ln>
              <a:noFill/>
            </a:ln>
            <a:effectLst/>
          </c:spPr>
          <c:invertIfNegative val="0"/>
          <c:cat>
            <c:numRef>
              <c:f>Sheet1!$A$2:$A$6</c:f>
              <c:numCache>
                <c:formatCode>General</c:formatCode>
                <c:ptCount val="5"/>
                <c:pt idx="0">
                  <c:v>2009</c:v>
                </c:pt>
                <c:pt idx="1">
                  <c:v>2010</c:v>
                </c:pt>
                <c:pt idx="2">
                  <c:v>2011</c:v>
                </c:pt>
                <c:pt idx="3">
                  <c:v>2014</c:v>
                </c:pt>
                <c:pt idx="4">
                  <c:v>2015</c:v>
                </c:pt>
              </c:numCache>
            </c:numRef>
          </c:cat>
          <c:val>
            <c:numRef>
              <c:f>Sheet1!$H$2:$H$6</c:f>
              <c:numCache>
                <c:formatCode>General</c:formatCode>
                <c:ptCount val="5"/>
                <c:pt idx="0">
                  <c:v>229</c:v>
                </c:pt>
                <c:pt idx="1">
                  <c:v>185</c:v>
                </c:pt>
                <c:pt idx="2">
                  <c:v>190</c:v>
                </c:pt>
              </c:numCache>
            </c:numRef>
          </c:val>
        </c:ser>
        <c:ser>
          <c:idx val="8"/>
          <c:order val="8"/>
          <c:tx>
            <c:strRef>
              <c:f>Sheet1!$J$1</c:f>
              <c:strCache>
                <c:ptCount val="1"/>
                <c:pt idx="0">
                  <c:v>Russia</c:v>
                </c:pt>
              </c:strCache>
            </c:strRef>
          </c:tx>
          <c:spPr>
            <a:solidFill>
              <a:schemeClr val="accent3">
                <a:lumMod val="60000"/>
              </a:schemeClr>
            </a:solidFill>
            <a:ln>
              <a:noFill/>
            </a:ln>
            <a:effectLst/>
          </c:spPr>
          <c:invertIfNegative val="0"/>
          <c:cat>
            <c:numRef>
              <c:f>Sheet1!$A$2:$A$6</c:f>
              <c:numCache>
                <c:formatCode>General</c:formatCode>
                <c:ptCount val="5"/>
                <c:pt idx="0">
                  <c:v>2009</c:v>
                </c:pt>
                <c:pt idx="1">
                  <c:v>2010</c:v>
                </c:pt>
                <c:pt idx="2">
                  <c:v>2011</c:v>
                </c:pt>
                <c:pt idx="3">
                  <c:v>2014</c:v>
                </c:pt>
                <c:pt idx="4">
                  <c:v>2015</c:v>
                </c:pt>
              </c:numCache>
            </c:numRef>
          </c:cat>
          <c:val>
            <c:numRef>
              <c:f>Sheet1!$J$2:$J$6</c:f>
              <c:numCache>
                <c:formatCode>General</c:formatCode>
                <c:ptCount val="5"/>
                <c:pt idx="3">
                  <c:v>257</c:v>
                </c:pt>
                <c:pt idx="4">
                  <c:v>275</c:v>
                </c:pt>
              </c:numCache>
            </c:numRef>
          </c:val>
        </c:ser>
        <c:dLbls>
          <c:showLegendKey val="0"/>
          <c:showVal val="0"/>
          <c:showCatName val="0"/>
          <c:showSerName val="0"/>
          <c:showPercent val="0"/>
          <c:showBubbleSize val="0"/>
        </c:dLbls>
        <c:gapWidth val="219"/>
        <c:axId val="222118640"/>
        <c:axId val="222119200"/>
      </c:barChart>
      <c:lineChart>
        <c:grouping val="standard"/>
        <c:varyColors val="0"/>
        <c:ser>
          <c:idx val="1"/>
          <c:order val="1"/>
          <c:tx>
            <c:strRef>
              <c:f>Sheet1!$C$1</c:f>
              <c:strCache>
                <c:ptCount val="1"/>
                <c:pt idx="0">
                  <c:v>Georgia lethal cases</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Sheet1!$A$2:$A$6</c:f>
              <c:numCache>
                <c:formatCode>General</c:formatCode>
                <c:ptCount val="5"/>
                <c:pt idx="0">
                  <c:v>2009</c:v>
                </c:pt>
                <c:pt idx="1">
                  <c:v>2010</c:v>
                </c:pt>
                <c:pt idx="2">
                  <c:v>2011</c:v>
                </c:pt>
                <c:pt idx="3">
                  <c:v>2014</c:v>
                </c:pt>
                <c:pt idx="4">
                  <c:v>2015</c:v>
                </c:pt>
              </c:numCache>
            </c:numRef>
          </c:cat>
          <c:val>
            <c:numRef>
              <c:f>Sheet1!$C$2:$C$6</c:f>
              <c:numCache>
                <c:formatCode>General</c:formatCode>
                <c:ptCount val="5"/>
                <c:pt idx="0">
                  <c:v>6</c:v>
                </c:pt>
                <c:pt idx="1">
                  <c:v>5</c:v>
                </c:pt>
                <c:pt idx="2">
                  <c:v>3</c:v>
                </c:pt>
                <c:pt idx="3">
                  <c:v>4</c:v>
                </c:pt>
                <c:pt idx="4">
                  <c:v>0</c:v>
                </c:pt>
              </c:numCache>
            </c:numRef>
          </c:val>
          <c:smooth val="0"/>
        </c:ser>
        <c:ser>
          <c:idx val="3"/>
          <c:order val="3"/>
          <c:tx>
            <c:strRef>
              <c:f>Sheet1!$E$1</c:f>
              <c:strCache>
                <c:ptCount val="1"/>
                <c:pt idx="0">
                  <c:v>Kazakhstan lethal cases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Sheet1!$A$2:$A$6</c:f>
              <c:numCache>
                <c:formatCode>General</c:formatCode>
                <c:ptCount val="5"/>
                <c:pt idx="0">
                  <c:v>2009</c:v>
                </c:pt>
                <c:pt idx="1">
                  <c:v>2010</c:v>
                </c:pt>
                <c:pt idx="2">
                  <c:v>2011</c:v>
                </c:pt>
                <c:pt idx="3">
                  <c:v>2014</c:v>
                </c:pt>
                <c:pt idx="4">
                  <c:v>2015</c:v>
                </c:pt>
              </c:numCache>
            </c:numRef>
          </c:cat>
          <c:val>
            <c:numRef>
              <c:f>Sheet1!$E$2:$E$6</c:f>
              <c:numCache>
                <c:formatCode>General</c:formatCode>
                <c:ptCount val="5"/>
                <c:pt idx="0">
                  <c:v>14</c:v>
                </c:pt>
                <c:pt idx="1">
                  <c:v>6</c:v>
                </c:pt>
                <c:pt idx="2">
                  <c:v>8</c:v>
                </c:pt>
                <c:pt idx="3">
                  <c:v>3</c:v>
                </c:pt>
              </c:numCache>
            </c:numRef>
          </c:val>
          <c:smooth val="0"/>
        </c:ser>
        <c:ser>
          <c:idx val="5"/>
          <c:order val="5"/>
          <c:tx>
            <c:strRef>
              <c:f>Sheet1!$G$1</c:f>
              <c:strCache>
                <c:ptCount val="1"/>
                <c:pt idx="0">
                  <c:v>Iran lethal cases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Sheet1!$A$2:$A$6</c:f>
              <c:numCache>
                <c:formatCode>General</c:formatCode>
                <c:ptCount val="5"/>
                <c:pt idx="0">
                  <c:v>2009</c:v>
                </c:pt>
                <c:pt idx="1">
                  <c:v>2010</c:v>
                </c:pt>
                <c:pt idx="2">
                  <c:v>2011</c:v>
                </c:pt>
                <c:pt idx="3">
                  <c:v>2014</c:v>
                </c:pt>
                <c:pt idx="4">
                  <c:v>2015</c:v>
                </c:pt>
              </c:numCache>
            </c:numRef>
          </c:cat>
          <c:val>
            <c:numRef>
              <c:f>Sheet1!$G$2:$G$6</c:f>
              <c:numCache>
                <c:formatCode>General</c:formatCode>
                <c:ptCount val="5"/>
                <c:pt idx="0">
                  <c:v>2</c:v>
                </c:pt>
                <c:pt idx="1">
                  <c:v>4</c:v>
                </c:pt>
                <c:pt idx="2">
                  <c:v>6</c:v>
                </c:pt>
                <c:pt idx="3">
                  <c:v>4</c:v>
                </c:pt>
              </c:numCache>
            </c:numRef>
          </c:val>
          <c:smooth val="0"/>
        </c:ser>
        <c:ser>
          <c:idx val="7"/>
          <c:order val="7"/>
          <c:tx>
            <c:strRef>
              <c:f>Sheet1!$I$1</c:f>
              <c:strCache>
                <c:ptCount val="1"/>
                <c:pt idx="0">
                  <c:v>Turkey lethal cases</c:v>
                </c:pt>
              </c:strCache>
            </c:strRef>
          </c:tx>
          <c:spPr>
            <a:ln w="28575" cap="rnd">
              <a:solidFill>
                <a:schemeClr val="accent1">
                  <a:lumMod val="75000"/>
                </a:schemeClr>
              </a:solidFill>
              <a:round/>
            </a:ln>
            <a:effectLst/>
          </c:spPr>
          <c:marker>
            <c:symbol val="circle"/>
            <c:size val="5"/>
            <c:spPr>
              <a:solidFill>
                <a:schemeClr val="accent1"/>
              </a:solidFill>
              <a:ln w="9525">
                <a:solidFill>
                  <a:schemeClr val="accent1">
                    <a:lumMod val="75000"/>
                  </a:schemeClr>
                </a:solidFill>
              </a:ln>
              <a:effectLst/>
            </c:spPr>
          </c:marker>
          <c:cat>
            <c:numRef>
              <c:f>Sheet1!$A$2:$A$6</c:f>
              <c:numCache>
                <c:formatCode>General</c:formatCode>
                <c:ptCount val="5"/>
                <c:pt idx="0">
                  <c:v>2009</c:v>
                </c:pt>
                <c:pt idx="1">
                  <c:v>2010</c:v>
                </c:pt>
                <c:pt idx="2">
                  <c:v>2011</c:v>
                </c:pt>
                <c:pt idx="3">
                  <c:v>2014</c:v>
                </c:pt>
                <c:pt idx="4">
                  <c:v>2015</c:v>
                </c:pt>
              </c:numCache>
            </c:numRef>
          </c:cat>
          <c:val>
            <c:numRef>
              <c:f>Sheet1!$I$2:$I$6</c:f>
              <c:numCache>
                <c:formatCode>General</c:formatCode>
                <c:ptCount val="5"/>
                <c:pt idx="0">
                  <c:v>2</c:v>
                </c:pt>
                <c:pt idx="1">
                  <c:v>1</c:v>
                </c:pt>
                <c:pt idx="2">
                  <c:v>0</c:v>
                </c:pt>
              </c:numCache>
            </c:numRef>
          </c:val>
          <c:smooth val="0"/>
        </c:ser>
        <c:ser>
          <c:idx val="9"/>
          <c:order val="9"/>
          <c:tx>
            <c:strRef>
              <c:f>Sheet1!$K$1</c:f>
              <c:strCache>
                <c:ptCount val="1"/>
                <c:pt idx="0">
                  <c:v>Russia lethal cases</c:v>
                </c:pt>
              </c:strCache>
            </c:strRef>
          </c:tx>
          <c:spPr>
            <a:ln w="28575" cap="rnd">
              <a:solidFill>
                <a:schemeClr val="tx1">
                  <a:lumMod val="65000"/>
                  <a:lumOff val="35000"/>
                </a:schemeClr>
              </a:solidFill>
              <a:round/>
            </a:ln>
            <a:effectLst/>
          </c:spPr>
          <c:marker>
            <c:symbol val="circle"/>
            <c:size val="5"/>
            <c:spPr>
              <a:solidFill>
                <a:schemeClr val="accent4">
                  <a:lumMod val="60000"/>
                </a:schemeClr>
              </a:solidFill>
              <a:ln w="9525">
                <a:solidFill>
                  <a:schemeClr val="tx1">
                    <a:lumMod val="65000"/>
                    <a:lumOff val="35000"/>
                  </a:schemeClr>
                </a:solidFill>
              </a:ln>
              <a:effectLst/>
            </c:spPr>
          </c:marker>
          <c:cat>
            <c:numRef>
              <c:f>Sheet1!$A$2:$A$6</c:f>
              <c:numCache>
                <c:formatCode>General</c:formatCode>
                <c:ptCount val="5"/>
                <c:pt idx="0">
                  <c:v>2009</c:v>
                </c:pt>
                <c:pt idx="1">
                  <c:v>2010</c:v>
                </c:pt>
                <c:pt idx="2">
                  <c:v>2011</c:v>
                </c:pt>
                <c:pt idx="3">
                  <c:v>2014</c:v>
                </c:pt>
                <c:pt idx="4">
                  <c:v>2015</c:v>
                </c:pt>
              </c:numCache>
            </c:numRef>
          </c:cat>
          <c:val>
            <c:numRef>
              <c:f>Sheet1!$K$2:$K$6</c:f>
              <c:numCache>
                <c:formatCode>General</c:formatCode>
                <c:ptCount val="5"/>
                <c:pt idx="3">
                  <c:v>3</c:v>
                </c:pt>
                <c:pt idx="4">
                  <c:v>6</c:v>
                </c:pt>
              </c:numCache>
            </c:numRef>
          </c:val>
          <c:smooth val="0"/>
        </c:ser>
        <c:dLbls>
          <c:showLegendKey val="0"/>
          <c:showVal val="0"/>
          <c:showCatName val="0"/>
          <c:showSerName val="0"/>
          <c:showPercent val="0"/>
          <c:showBubbleSize val="0"/>
        </c:dLbls>
        <c:marker val="1"/>
        <c:smooth val="0"/>
        <c:axId val="222120320"/>
        <c:axId val="222119760"/>
      </c:lineChart>
      <c:catAx>
        <c:axId val="22211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a-GE"/>
          </a:p>
        </c:txPr>
        <c:crossAx val="222119200"/>
        <c:crosses val="autoZero"/>
        <c:auto val="1"/>
        <c:lblAlgn val="ctr"/>
        <c:lblOffset val="100"/>
        <c:noMultiLvlLbl val="0"/>
      </c:catAx>
      <c:valAx>
        <c:axId val="2221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a-GE"/>
          </a:p>
        </c:txPr>
        <c:crossAx val="222118640"/>
        <c:crosses val="autoZero"/>
        <c:crossBetween val="between"/>
      </c:valAx>
      <c:valAx>
        <c:axId val="22211976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a-GE"/>
          </a:p>
        </c:txPr>
        <c:crossAx val="222120320"/>
        <c:crosses val="max"/>
        <c:crossBetween val="between"/>
      </c:valAx>
      <c:catAx>
        <c:axId val="222120320"/>
        <c:scaling>
          <c:orientation val="minMax"/>
        </c:scaling>
        <c:delete val="1"/>
        <c:axPos val="b"/>
        <c:numFmt formatCode="General" sourceLinked="1"/>
        <c:majorTickMark val="out"/>
        <c:minorTickMark val="none"/>
        <c:tickLblPos val="nextTo"/>
        <c:crossAx val="222119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0.3495</cdr:x>
      <cdr:y>0.5715</cdr:y>
    </cdr:from>
    <cdr:to>
      <cdr:x>0.3525</cdr:x>
      <cdr:y>0.63425</cdr:y>
    </cdr:to>
    <cdr:sp macro="" textlink="">
      <cdr:nvSpPr>
        <cdr:cNvPr id="1025" name="Text Box 1"/>
        <cdr:cNvSpPr txBox="1">
          <a:spLocks xmlns:a="http://schemas.openxmlformats.org/drawingml/2006/main" noChangeArrowheads="1"/>
        </cdr:cNvSpPr>
      </cdr:nvSpPr>
      <cdr:spPr bwMode="auto">
        <a:xfrm xmlns:a="http://schemas.openxmlformats.org/drawingml/2006/main">
          <a:off x="2190474" y="1388102"/>
          <a:ext cx="18802" cy="15241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900" b="1" i="0" u="none" strike="noStrike" baseline="0">
              <a:solidFill>
                <a:srgbClr val="000000"/>
              </a:solidFill>
              <a:latin typeface="Calibri"/>
              <a:cs typeface="Calibri"/>
            </a:rPr>
            <a:t> </a:t>
          </a:r>
        </a:p>
      </cdr:txBody>
    </cdr:sp>
  </cdr:relSizeAnchor>
  <cdr:relSizeAnchor xmlns:cdr="http://schemas.openxmlformats.org/drawingml/2006/chartDrawing">
    <cdr:from>
      <cdr:x>0.83099</cdr:x>
      <cdr:y>0.46377</cdr:y>
    </cdr:from>
    <cdr:to>
      <cdr:x>0.97804</cdr:x>
      <cdr:y>0.55824</cdr:y>
    </cdr:to>
    <cdr:sp macro="" textlink="">
      <cdr:nvSpPr>
        <cdr:cNvPr id="2" name="Text Box 1"/>
        <cdr:cNvSpPr txBox="1"/>
      </cdr:nvSpPr>
      <cdr:spPr>
        <a:xfrm xmlns:a="http://schemas.openxmlformats.org/drawingml/2006/main">
          <a:off x="4762830" y="1288112"/>
          <a:ext cx="842839" cy="2623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ka-GE" sz="1100"/>
        </a:p>
      </cdr:txBody>
    </cdr:sp>
  </cdr:relSizeAnchor>
  <cdr:relSizeAnchor xmlns:cdr="http://schemas.openxmlformats.org/drawingml/2006/chartDrawing">
    <cdr:from>
      <cdr:x>0.8296</cdr:x>
      <cdr:y>0.46091</cdr:y>
    </cdr:from>
    <cdr:to>
      <cdr:x>0.97527</cdr:x>
      <cdr:y>0.55824</cdr:y>
    </cdr:to>
    <cdr:sp macro="" textlink="">
      <cdr:nvSpPr>
        <cdr:cNvPr id="3" name="Text Box 2"/>
        <cdr:cNvSpPr txBox="1"/>
      </cdr:nvSpPr>
      <cdr:spPr>
        <a:xfrm xmlns:a="http://schemas.openxmlformats.org/drawingml/2006/main">
          <a:off x="4754880" y="1280160"/>
          <a:ext cx="834887" cy="27034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ka-GE"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Baidoshvili</dc:creator>
  <cp:keywords/>
  <dc:description/>
  <cp:lastModifiedBy>Ekaterine Jabidze</cp:lastModifiedBy>
  <cp:revision>5</cp:revision>
  <dcterms:created xsi:type="dcterms:W3CDTF">2017-11-22T08:14:00Z</dcterms:created>
  <dcterms:modified xsi:type="dcterms:W3CDTF">2017-11-22T09:36:00Z</dcterms:modified>
</cp:coreProperties>
</file>