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B3545" w14:textId="77777777" w:rsidR="00332FC3" w:rsidRDefault="00332FC3" w:rsidP="00332FC3">
      <w:pPr>
        <w:spacing w:after="0"/>
        <w:jc w:val="both"/>
      </w:pPr>
    </w:p>
    <w:p w14:paraId="54276491" w14:textId="77777777" w:rsidR="0018063F" w:rsidRPr="005E2BB6" w:rsidRDefault="0018063F" w:rsidP="00332FC3">
      <w:pPr>
        <w:spacing w:after="0"/>
        <w:jc w:val="both"/>
      </w:pPr>
    </w:p>
    <w:p w14:paraId="0649F9FA" w14:textId="77777777" w:rsidR="00332FC3" w:rsidRPr="005E2BB6" w:rsidRDefault="00B45F61" w:rsidP="00B45F61">
      <w:pPr>
        <w:pStyle w:val="Heading1"/>
        <w:numPr>
          <w:ilvl w:val="0"/>
          <w:numId w:val="0"/>
        </w:numPr>
        <w:ind w:left="360"/>
        <w:rPr>
          <w:noProof/>
        </w:rPr>
      </w:pPr>
      <w:bookmarkStart w:id="0" w:name="_Toc508719866"/>
      <w:r>
        <w:rPr>
          <w:noProof/>
        </w:rPr>
        <w:t xml:space="preserve">                                              </w:t>
      </w:r>
      <w:r w:rsidR="0041466E">
        <w:rPr>
          <w:noProof/>
        </w:rPr>
        <w:t xml:space="preserve">  </w:t>
      </w:r>
      <w:r>
        <w:rPr>
          <w:noProof/>
        </w:rPr>
        <w:t xml:space="preserve"> </w:t>
      </w:r>
      <w:bookmarkStart w:id="1" w:name="_Toc508721109"/>
      <w:bookmarkStart w:id="2" w:name="_Toc508721252"/>
      <w:bookmarkStart w:id="3" w:name="_Toc508721594"/>
      <w:bookmarkStart w:id="4" w:name="_Toc508721684"/>
      <w:bookmarkStart w:id="5" w:name="_Toc508722258"/>
      <w:r w:rsidR="00332FC3" w:rsidRPr="005E2BB6">
        <w:rPr>
          <w:noProof/>
        </w:rPr>
        <w:drawing>
          <wp:inline distT="0" distB="0" distL="0" distR="0" wp14:anchorId="2980636E" wp14:editId="3D732CBB">
            <wp:extent cx="1457325" cy="1923415"/>
            <wp:effectExtent l="0" t="0" r="9525" b="635"/>
            <wp:docPr id="14" name="Picture 14" descr="C:\Users\admin\Local Settings\Temporary Internet Files\Content.Word\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Local Settings\Temporary Internet Files\Content.Word\logo_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231" cy="1929890"/>
                    </a:xfrm>
                    <a:prstGeom prst="rect">
                      <a:avLst/>
                    </a:prstGeom>
                    <a:noFill/>
                    <a:ln>
                      <a:noFill/>
                    </a:ln>
                  </pic:spPr>
                </pic:pic>
              </a:graphicData>
            </a:graphic>
          </wp:inline>
        </w:drawing>
      </w:r>
      <w:bookmarkEnd w:id="0"/>
      <w:bookmarkEnd w:id="1"/>
      <w:bookmarkEnd w:id="2"/>
      <w:bookmarkEnd w:id="3"/>
      <w:bookmarkEnd w:id="4"/>
      <w:bookmarkEnd w:id="5"/>
    </w:p>
    <w:p w14:paraId="5F07A37E" w14:textId="77777777" w:rsidR="006729FE" w:rsidRDefault="006729FE" w:rsidP="00930B8C">
      <w:pPr>
        <w:pStyle w:val="Heading1"/>
        <w:numPr>
          <w:ilvl w:val="0"/>
          <w:numId w:val="0"/>
        </w:numPr>
        <w:ind w:left="360" w:hanging="360"/>
        <w:rPr>
          <w:noProof/>
        </w:rPr>
      </w:pPr>
      <w:bookmarkStart w:id="6" w:name="_Toc508719867"/>
      <w:bookmarkStart w:id="7" w:name="_Toc508721110"/>
      <w:bookmarkStart w:id="8" w:name="_Toc508721253"/>
      <w:bookmarkStart w:id="9" w:name="_Toc508721595"/>
      <w:bookmarkStart w:id="10" w:name="_Toc508721685"/>
      <w:bookmarkStart w:id="11" w:name="_Toc508722259"/>
      <w:r w:rsidRPr="005E2BB6">
        <w:rPr>
          <w:noProof/>
        </w:rPr>
        <mc:AlternateContent>
          <mc:Choice Requires="wps">
            <w:drawing>
              <wp:anchor distT="0" distB="0" distL="114300" distR="114300" simplePos="0" relativeHeight="251659264" behindDoc="0" locked="0" layoutInCell="1" allowOverlap="1" wp14:anchorId="0687DD80" wp14:editId="254929A1">
                <wp:simplePos x="0" y="0"/>
                <wp:positionH relativeFrom="column">
                  <wp:posOffset>933450</wp:posOffset>
                </wp:positionH>
                <wp:positionV relativeFrom="paragraph">
                  <wp:posOffset>2244725</wp:posOffset>
                </wp:positionV>
                <wp:extent cx="4079875" cy="3437255"/>
                <wp:effectExtent l="0" t="0" r="0" b="0"/>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875" cy="343725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60A3AB"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Desk Research Report</w:t>
                            </w:r>
                          </w:p>
                          <w:p w14:paraId="6E739D54" w14:textId="77777777" w:rsidR="003B271A" w:rsidRPr="005E2BB6" w:rsidRDefault="003B271A" w:rsidP="00332FC3">
                            <w:pPr>
                              <w:autoSpaceDE w:val="0"/>
                              <w:autoSpaceDN w:val="0"/>
                              <w:adjustRightInd w:val="0"/>
                              <w:spacing w:after="0" w:line="240" w:lineRule="auto"/>
                              <w:jc w:val="center"/>
                              <w:rPr>
                                <w:sz w:val="30"/>
                                <w:szCs w:val="30"/>
                              </w:rPr>
                            </w:pPr>
                          </w:p>
                          <w:p w14:paraId="646797EC"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Prepared by ACT</w:t>
                            </w:r>
                          </w:p>
                          <w:p w14:paraId="753C350A" w14:textId="77777777" w:rsidR="003B271A" w:rsidRPr="005E2BB6" w:rsidRDefault="003B271A" w:rsidP="00332FC3">
                            <w:pPr>
                              <w:autoSpaceDE w:val="0"/>
                              <w:autoSpaceDN w:val="0"/>
                              <w:adjustRightInd w:val="0"/>
                              <w:spacing w:after="0" w:line="240" w:lineRule="auto"/>
                              <w:rPr>
                                <w:sz w:val="30"/>
                                <w:szCs w:val="30"/>
                                <w:lang w:val="ka-GE"/>
                              </w:rPr>
                            </w:pPr>
                          </w:p>
                          <w:p w14:paraId="21CBA796" w14:textId="77777777" w:rsidR="003B271A" w:rsidRPr="005E2BB6" w:rsidRDefault="003B271A" w:rsidP="00332FC3">
                            <w:pPr>
                              <w:autoSpaceDE w:val="0"/>
                              <w:autoSpaceDN w:val="0"/>
                              <w:adjustRightInd w:val="0"/>
                              <w:spacing w:after="0" w:line="240" w:lineRule="auto"/>
                              <w:rPr>
                                <w:sz w:val="30"/>
                                <w:szCs w:val="30"/>
                                <w:lang w:val="ka-GE"/>
                              </w:rPr>
                            </w:pPr>
                          </w:p>
                          <w:p w14:paraId="1CE8EF26" w14:textId="77777777" w:rsidR="003B271A" w:rsidRPr="005E2BB6" w:rsidRDefault="003B271A" w:rsidP="00332FC3">
                            <w:pPr>
                              <w:autoSpaceDE w:val="0"/>
                              <w:autoSpaceDN w:val="0"/>
                              <w:adjustRightInd w:val="0"/>
                              <w:spacing w:after="0" w:line="240" w:lineRule="auto"/>
                              <w:rPr>
                                <w:sz w:val="30"/>
                                <w:szCs w:val="30"/>
                              </w:rPr>
                            </w:pPr>
                          </w:p>
                          <w:p w14:paraId="2F2B4D7D" w14:textId="77777777" w:rsidR="003B271A" w:rsidRPr="005E2BB6" w:rsidRDefault="003B271A" w:rsidP="00332FC3">
                            <w:pPr>
                              <w:autoSpaceDE w:val="0"/>
                              <w:autoSpaceDN w:val="0"/>
                              <w:adjustRightInd w:val="0"/>
                              <w:spacing w:after="0" w:line="240" w:lineRule="auto"/>
                              <w:rPr>
                                <w:sz w:val="30"/>
                                <w:szCs w:val="30"/>
                              </w:rPr>
                            </w:pPr>
                          </w:p>
                          <w:p w14:paraId="2B486F3B" w14:textId="77777777" w:rsidR="003B271A" w:rsidRPr="005E2BB6" w:rsidRDefault="003B271A" w:rsidP="00332FC3">
                            <w:pPr>
                              <w:autoSpaceDE w:val="0"/>
                              <w:autoSpaceDN w:val="0"/>
                              <w:adjustRightInd w:val="0"/>
                              <w:spacing w:after="0" w:line="240" w:lineRule="auto"/>
                              <w:rPr>
                                <w:sz w:val="30"/>
                                <w:szCs w:val="30"/>
                              </w:rPr>
                            </w:pPr>
                          </w:p>
                          <w:p w14:paraId="14DFF477" w14:textId="77777777" w:rsidR="003B271A" w:rsidRPr="005E2BB6" w:rsidRDefault="003B271A" w:rsidP="00332FC3">
                            <w:pPr>
                              <w:autoSpaceDE w:val="0"/>
                              <w:autoSpaceDN w:val="0"/>
                              <w:adjustRightInd w:val="0"/>
                              <w:spacing w:after="0" w:line="360" w:lineRule="auto"/>
                              <w:jc w:val="both"/>
                              <w:rPr>
                                <w:sz w:val="30"/>
                                <w:szCs w:val="30"/>
                              </w:rPr>
                            </w:pPr>
                          </w:p>
                          <w:p w14:paraId="6EB23E63" w14:textId="77777777" w:rsidR="003B271A" w:rsidRPr="005E2BB6" w:rsidRDefault="003B271A" w:rsidP="00332FC3">
                            <w:pPr>
                              <w:autoSpaceDE w:val="0"/>
                              <w:autoSpaceDN w:val="0"/>
                              <w:adjustRightInd w:val="0"/>
                              <w:spacing w:after="0" w:line="360" w:lineRule="auto"/>
                              <w:jc w:val="center"/>
                              <w:rPr>
                                <w:sz w:val="30"/>
                                <w:szCs w:val="30"/>
                              </w:rPr>
                            </w:pPr>
                            <w:r>
                              <w:rPr>
                                <w:sz w:val="30"/>
                                <w:szCs w:val="30"/>
                              </w:rPr>
                              <w:t>February 13, 2018</w:t>
                            </w:r>
                          </w:p>
                          <w:p w14:paraId="47104EE8" w14:textId="77777777" w:rsidR="003B271A" w:rsidRPr="005E2BB6" w:rsidRDefault="003B271A" w:rsidP="00332FC3">
                            <w:pPr>
                              <w:autoSpaceDE w:val="0"/>
                              <w:autoSpaceDN w:val="0"/>
                              <w:adjustRightInd w:val="0"/>
                              <w:spacing w:after="0" w:line="360" w:lineRule="auto"/>
                              <w:jc w:val="center"/>
                              <w:rPr>
                                <w:sz w:val="30"/>
                                <w:szCs w:val="30"/>
                              </w:rPr>
                            </w:pPr>
                            <w:r w:rsidRPr="005E2BB6">
                              <w:rPr>
                                <w:sz w:val="30"/>
                                <w:szCs w:val="30"/>
                              </w:rPr>
                              <w:t>Tbilisi, Georgia</w:t>
                            </w:r>
                          </w:p>
                          <w:p w14:paraId="57AFE655" w14:textId="77777777" w:rsidR="003B271A" w:rsidRPr="005E2BB6" w:rsidRDefault="003B271A" w:rsidP="00332FC3">
                            <w:pPr>
                              <w:rPr>
                                <w:sz w:val="30"/>
                                <w:szCs w:val="30"/>
                              </w:rPr>
                            </w:pPr>
                          </w:p>
                          <w:p w14:paraId="122432BC" w14:textId="77777777" w:rsidR="003B271A" w:rsidRPr="005E2BB6" w:rsidRDefault="003B271A" w:rsidP="00332FC3">
                            <w:pPr>
                              <w:rPr>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7DD80" id="Rounded Rectangle 16" o:spid="_x0000_s1026" style="position:absolute;left:0;text-align:left;margin-left:73.5pt;margin-top:176.75pt;width:321.25pt;height:27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" stroked="f">
                <v:textbox>
                  <w:txbxContent>
                    <w:p w14:paraId="3860A3AB"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Desk Research Report</w:t>
                      </w:r>
                    </w:p>
                    <w:p w14:paraId="6E739D54" w14:textId="77777777" w:rsidR="003B271A" w:rsidRPr="005E2BB6" w:rsidRDefault="003B271A" w:rsidP="00332FC3">
                      <w:pPr>
                        <w:autoSpaceDE w:val="0"/>
                        <w:autoSpaceDN w:val="0"/>
                        <w:adjustRightInd w:val="0"/>
                        <w:spacing w:after="0" w:line="240" w:lineRule="auto"/>
                        <w:jc w:val="center"/>
                        <w:rPr>
                          <w:sz w:val="30"/>
                          <w:szCs w:val="30"/>
                        </w:rPr>
                      </w:pPr>
                    </w:p>
                    <w:p w14:paraId="646797EC" w14:textId="77777777" w:rsidR="003B271A" w:rsidRPr="005E2BB6" w:rsidRDefault="003B271A" w:rsidP="00332FC3">
                      <w:pPr>
                        <w:autoSpaceDE w:val="0"/>
                        <w:autoSpaceDN w:val="0"/>
                        <w:adjustRightInd w:val="0"/>
                        <w:spacing w:after="0" w:line="240" w:lineRule="auto"/>
                        <w:jc w:val="center"/>
                        <w:rPr>
                          <w:sz w:val="30"/>
                          <w:szCs w:val="30"/>
                        </w:rPr>
                      </w:pPr>
                      <w:r w:rsidRPr="005E2BB6">
                        <w:rPr>
                          <w:sz w:val="30"/>
                          <w:szCs w:val="30"/>
                        </w:rPr>
                        <w:t>Prepared by ACT</w:t>
                      </w:r>
                    </w:p>
                    <w:p w14:paraId="753C350A" w14:textId="77777777" w:rsidR="003B271A" w:rsidRPr="005E2BB6" w:rsidRDefault="003B271A" w:rsidP="00332FC3">
                      <w:pPr>
                        <w:autoSpaceDE w:val="0"/>
                        <w:autoSpaceDN w:val="0"/>
                        <w:adjustRightInd w:val="0"/>
                        <w:spacing w:after="0" w:line="240" w:lineRule="auto"/>
                        <w:rPr>
                          <w:sz w:val="30"/>
                          <w:szCs w:val="30"/>
                          <w:lang w:val="ka-GE"/>
                        </w:rPr>
                      </w:pPr>
                    </w:p>
                    <w:p w14:paraId="21CBA796" w14:textId="77777777" w:rsidR="003B271A" w:rsidRPr="005E2BB6" w:rsidRDefault="003B271A" w:rsidP="00332FC3">
                      <w:pPr>
                        <w:autoSpaceDE w:val="0"/>
                        <w:autoSpaceDN w:val="0"/>
                        <w:adjustRightInd w:val="0"/>
                        <w:spacing w:after="0" w:line="240" w:lineRule="auto"/>
                        <w:rPr>
                          <w:sz w:val="30"/>
                          <w:szCs w:val="30"/>
                          <w:lang w:val="ka-GE"/>
                        </w:rPr>
                      </w:pPr>
                    </w:p>
                    <w:p w14:paraId="1CE8EF26" w14:textId="77777777" w:rsidR="003B271A" w:rsidRPr="005E2BB6" w:rsidRDefault="003B271A" w:rsidP="00332FC3">
                      <w:pPr>
                        <w:autoSpaceDE w:val="0"/>
                        <w:autoSpaceDN w:val="0"/>
                        <w:adjustRightInd w:val="0"/>
                        <w:spacing w:after="0" w:line="240" w:lineRule="auto"/>
                        <w:rPr>
                          <w:sz w:val="30"/>
                          <w:szCs w:val="30"/>
                        </w:rPr>
                      </w:pPr>
                    </w:p>
                    <w:p w14:paraId="2F2B4D7D" w14:textId="77777777" w:rsidR="003B271A" w:rsidRPr="005E2BB6" w:rsidRDefault="003B271A" w:rsidP="00332FC3">
                      <w:pPr>
                        <w:autoSpaceDE w:val="0"/>
                        <w:autoSpaceDN w:val="0"/>
                        <w:adjustRightInd w:val="0"/>
                        <w:spacing w:after="0" w:line="240" w:lineRule="auto"/>
                        <w:rPr>
                          <w:sz w:val="30"/>
                          <w:szCs w:val="30"/>
                        </w:rPr>
                      </w:pPr>
                    </w:p>
                    <w:p w14:paraId="2B486F3B" w14:textId="77777777" w:rsidR="003B271A" w:rsidRPr="005E2BB6" w:rsidRDefault="003B271A" w:rsidP="00332FC3">
                      <w:pPr>
                        <w:autoSpaceDE w:val="0"/>
                        <w:autoSpaceDN w:val="0"/>
                        <w:adjustRightInd w:val="0"/>
                        <w:spacing w:after="0" w:line="240" w:lineRule="auto"/>
                        <w:rPr>
                          <w:sz w:val="30"/>
                          <w:szCs w:val="30"/>
                        </w:rPr>
                      </w:pPr>
                    </w:p>
                    <w:p w14:paraId="14DFF477" w14:textId="77777777" w:rsidR="003B271A" w:rsidRPr="005E2BB6" w:rsidRDefault="003B271A" w:rsidP="00332FC3">
                      <w:pPr>
                        <w:autoSpaceDE w:val="0"/>
                        <w:autoSpaceDN w:val="0"/>
                        <w:adjustRightInd w:val="0"/>
                        <w:spacing w:after="0" w:line="360" w:lineRule="auto"/>
                        <w:jc w:val="both"/>
                        <w:rPr>
                          <w:sz w:val="30"/>
                          <w:szCs w:val="30"/>
                        </w:rPr>
                      </w:pPr>
                    </w:p>
                    <w:p w14:paraId="6EB23E63" w14:textId="77777777" w:rsidR="003B271A" w:rsidRPr="005E2BB6" w:rsidRDefault="003B271A" w:rsidP="00332FC3">
                      <w:pPr>
                        <w:autoSpaceDE w:val="0"/>
                        <w:autoSpaceDN w:val="0"/>
                        <w:adjustRightInd w:val="0"/>
                        <w:spacing w:after="0" w:line="360" w:lineRule="auto"/>
                        <w:jc w:val="center"/>
                        <w:rPr>
                          <w:sz w:val="30"/>
                          <w:szCs w:val="30"/>
                        </w:rPr>
                      </w:pPr>
                      <w:r>
                        <w:rPr>
                          <w:sz w:val="30"/>
                          <w:szCs w:val="30"/>
                        </w:rPr>
                        <w:t>February 13, 2018</w:t>
                      </w:r>
                    </w:p>
                    <w:p w14:paraId="47104EE8" w14:textId="77777777" w:rsidR="003B271A" w:rsidRPr="005E2BB6" w:rsidRDefault="003B271A" w:rsidP="00332FC3">
                      <w:pPr>
                        <w:autoSpaceDE w:val="0"/>
                        <w:autoSpaceDN w:val="0"/>
                        <w:adjustRightInd w:val="0"/>
                        <w:spacing w:after="0" w:line="360" w:lineRule="auto"/>
                        <w:jc w:val="center"/>
                        <w:rPr>
                          <w:sz w:val="30"/>
                          <w:szCs w:val="30"/>
                        </w:rPr>
                      </w:pPr>
                      <w:r w:rsidRPr="005E2BB6">
                        <w:rPr>
                          <w:sz w:val="30"/>
                          <w:szCs w:val="30"/>
                        </w:rPr>
                        <w:t>Tbilisi, Georgia</w:t>
                      </w:r>
                    </w:p>
                    <w:p w14:paraId="57AFE655" w14:textId="77777777" w:rsidR="003B271A" w:rsidRPr="005E2BB6" w:rsidRDefault="003B271A" w:rsidP="00332FC3">
                      <w:pPr>
                        <w:rPr>
                          <w:sz w:val="30"/>
                          <w:szCs w:val="30"/>
                        </w:rPr>
                      </w:pPr>
                    </w:p>
                    <w:p w14:paraId="122432BC" w14:textId="77777777" w:rsidR="003B271A" w:rsidRPr="005E2BB6" w:rsidRDefault="003B271A" w:rsidP="00332FC3">
                      <w:pPr>
                        <w:rPr>
                          <w:sz w:val="30"/>
                          <w:szCs w:val="30"/>
                        </w:rPr>
                      </w:pPr>
                    </w:p>
                  </w:txbxContent>
                </v:textbox>
                <w10:wrap type="square"/>
              </v:roundrect>
            </w:pict>
          </mc:Fallback>
        </mc:AlternateContent>
      </w:r>
      <w:r w:rsidRPr="005E2BB6">
        <w:rPr>
          <w:noProof/>
        </w:rPr>
        <mc:AlternateContent>
          <mc:Choice Requires="wps">
            <w:drawing>
              <wp:anchor distT="0" distB="0" distL="114300" distR="114300" simplePos="0" relativeHeight="251660288" behindDoc="0" locked="0" layoutInCell="1" allowOverlap="1" wp14:anchorId="02CECCD3" wp14:editId="52946B21">
                <wp:simplePos x="0" y="0"/>
                <wp:positionH relativeFrom="margin">
                  <wp:align>right</wp:align>
                </wp:positionH>
                <wp:positionV relativeFrom="paragraph">
                  <wp:posOffset>473075</wp:posOffset>
                </wp:positionV>
                <wp:extent cx="5943600" cy="1809115"/>
                <wp:effectExtent l="0" t="0" r="0" b="635"/>
                <wp:wrapSquare wrapText="bothSides"/>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091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0892E5" w14:textId="77777777" w:rsidR="003B271A" w:rsidRDefault="003B271A" w:rsidP="005F05B1">
                            <w:pPr>
                              <w:autoSpaceDE w:val="0"/>
                              <w:autoSpaceDN w:val="0"/>
                              <w:adjustRightInd w:val="0"/>
                              <w:spacing w:after="0"/>
                              <w:jc w:val="center"/>
                              <w:rPr>
                                <w:b/>
                                <w:sz w:val="56"/>
                                <w:szCs w:val="56"/>
                              </w:rPr>
                            </w:pPr>
                            <w:r w:rsidRPr="006729FE">
                              <w:rPr>
                                <w:b/>
                                <w:sz w:val="56"/>
                                <w:szCs w:val="56"/>
                              </w:rPr>
                              <w:t>Socio-Economic Review</w:t>
                            </w:r>
                            <w:r>
                              <w:t xml:space="preserve">   </w:t>
                            </w:r>
                            <w:r w:rsidRPr="006729FE">
                              <w:rPr>
                                <w:b/>
                                <w:sz w:val="56"/>
                                <w:szCs w:val="56"/>
                              </w:rPr>
                              <w:t xml:space="preserve">and </w:t>
                            </w:r>
                          </w:p>
                          <w:p w14:paraId="39F8491D" w14:textId="77777777" w:rsidR="003B271A" w:rsidRPr="005F05B1" w:rsidRDefault="003B271A" w:rsidP="005F05B1">
                            <w:pPr>
                              <w:autoSpaceDE w:val="0"/>
                              <w:autoSpaceDN w:val="0"/>
                              <w:adjustRightInd w:val="0"/>
                              <w:spacing w:after="0"/>
                              <w:jc w:val="center"/>
                            </w:pPr>
                            <w:r w:rsidRPr="006729FE">
                              <w:rPr>
                                <w:b/>
                                <w:sz w:val="56"/>
                                <w:szCs w:val="56"/>
                              </w:rPr>
                              <w:t>Outlook of Georgia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ECCD3" id="Rounded Rectangle 15" o:spid="_x0000_s1027" style="position:absolute;left:0;text-align:left;margin-left:416.8pt;margin-top:37.25pt;width:468pt;height:142.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" stroked="f">
                <v:textbox>
                  <w:txbxContent>
                    <w:p w14:paraId="4E0892E5" w14:textId="77777777" w:rsidR="003B271A" w:rsidRDefault="003B271A" w:rsidP="005F05B1">
                      <w:pPr>
                        <w:autoSpaceDE w:val="0"/>
                        <w:autoSpaceDN w:val="0"/>
                        <w:adjustRightInd w:val="0"/>
                        <w:spacing w:after="0"/>
                        <w:jc w:val="center"/>
                        <w:rPr>
                          <w:b/>
                          <w:sz w:val="56"/>
                          <w:szCs w:val="56"/>
                        </w:rPr>
                      </w:pPr>
                      <w:r w:rsidRPr="006729FE">
                        <w:rPr>
                          <w:b/>
                          <w:sz w:val="56"/>
                          <w:szCs w:val="56"/>
                        </w:rPr>
                        <w:t>Socio-Economic Review</w:t>
                      </w:r>
                      <w:r>
                        <w:t xml:space="preserve">   </w:t>
                      </w:r>
                      <w:r w:rsidRPr="006729FE">
                        <w:rPr>
                          <w:b/>
                          <w:sz w:val="56"/>
                          <w:szCs w:val="56"/>
                        </w:rPr>
                        <w:t xml:space="preserve">and </w:t>
                      </w:r>
                    </w:p>
                    <w:p w14:paraId="39F8491D" w14:textId="77777777" w:rsidR="003B271A" w:rsidRPr="005F05B1" w:rsidRDefault="003B271A" w:rsidP="005F05B1">
                      <w:pPr>
                        <w:autoSpaceDE w:val="0"/>
                        <w:autoSpaceDN w:val="0"/>
                        <w:adjustRightInd w:val="0"/>
                        <w:spacing w:after="0"/>
                        <w:jc w:val="center"/>
                      </w:pPr>
                      <w:r w:rsidRPr="006729FE">
                        <w:rPr>
                          <w:b/>
                          <w:sz w:val="56"/>
                          <w:szCs w:val="56"/>
                        </w:rPr>
                        <w:t>Outlook of Georgia</w:t>
                      </w:r>
                    </w:p>
                  </w:txbxContent>
                </v:textbox>
                <w10:wrap type="square" anchorx="margin"/>
              </v:roundrect>
            </w:pict>
          </mc:Fallback>
        </mc:AlternateContent>
      </w:r>
      <w:bookmarkEnd w:id="6"/>
      <w:bookmarkEnd w:id="7"/>
      <w:bookmarkEnd w:id="8"/>
      <w:bookmarkEnd w:id="9"/>
      <w:bookmarkEnd w:id="10"/>
      <w:bookmarkEnd w:id="11"/>
      <w:r w:rsidR="00332FC3" w:rsidRPr="005E2BB6">
        <w:rPr>
          <w:noProof/>
        </w:rPr>
        <w:br w:type="page"/>
      </w:r>
    </w:p>
    <w:p w14:paraId="4317F10A" w14:textId="77777777" w:rsidR="006729FE" w:rsidRDefault="006729FE" w:rsidP="005E2BB6">
      <w:pPr>
        <w:pStyle w:val="CommentText"/>
        <w:rPr>
          <w:rFonts w:cstheme="minorHAnsi"/>
        </w:rPr>
      </w:pPr>
    </w:p>
    <w:p w14:paraId="0886E56D" w14:textId="77777777" w:rsidR="002B4D19" w:rsidRDefault="002B4D19" w:rsidP="00A87C1A">
      <w:pPr>
        <w:pStyle w:val="TOC1"/>
        <w:tabs>
          <w:tab w:val="right" w:leader="underscore" w:pos="9350"/>
        </w:tabs>
        <w:jc w:val="center"/>
        <w:rPr>
          <w:rFonts w:asciiTheme="majorHAnsi" w:hAnsiTheme="majorHAnsi"/>
          <w:b w:val="0"/>
          <w:bCs w:val="0"/>
          <w:i w:val="0"/>
          <w:iCs w:val="0"/>
          <w:sz w:val="20"/>
          <w:szCs w:val="20"/>
        </w:rPr>
      </w:pPr>
    </w:p>
    <w:p w14:paraId="3A1C4371" w14:textId="77777777" w:rsidR="002B4D19" w:rsidRDefault="002B4D19" w:rsidP="00A87C1A">
      <w:pPr>
        <w:pStyle w:val="TOC1"/>
        <w:tabs>
          <w:tab w:val="right" w:leader="underscore" w:pos="9350"/>
        </w:tabs>
        <w:jc w:val="center"/>
        <w:rPr>
          <w:rFonts w:asciiTheme="majorHAnsi" w:hAnsiTheme="majorHAnsi"/>
          <w:b w:val="0"/>
          <w:bCs w:val="0"/>
          <w:i w:val="0"/>
          <w:iCs w:val="0"/>
          <w:sz w:val="20"/>
          <w:szCs w:val="20"/>
        </w:rPr>
      </w:pPr>
    </w:p>
    <w:p w14:paraId="69540C68" w14:textId="77777777" w:rsidR="00A87C1A" w:rsidRPr="00CD1DE6" w:rsidRDefault="00A87C1A" w:rsidP="00A87C1A">
      <w:pPr>
        <w:pStyle w:val="TOC1"/>
        <w:tabs>
          <w:tab w:val="right" w:leader="underscore" w:pos="9350"/>
        </w:tabs>
        <w:jc w:val="center"/>
        <w:rPr>
          <w:rFonts w:asciiTheme="majorHAnsi" w:hAnsiTheme="majorHAnsi"/>
          <w:bCs w:val="0"/>
          <w:i w:val="0"/>
          <w:iCs w:val="0"/>
        </w:rPr>
      </w:pPr>
      <w:r>
        <w:rPr>
          <w:rFonts w:asciiTheme="majorHAnsi" w:hAnsiTheme="majorHAnsi"/>
          <w:b w:val="0"/>
          <w:bCs w:val="0"/>
          <w:i w:val="0"/>
          <w:iCs w:val="0"/>
          <w:sz w:val="20"/>
          <w:szCs w:val="20"/>
        </w:rPr>
        <w:fldChar w:fldCharType="begin"/>
      </w:r>
      <w:r>
        <w:rPr>
          <w:rFonts w:asciiTheme="majorHAnsi" w:hAnsiTheme="majorHAnsi"/>
          <w:b w:val="0"/>
          <w:bCs w:val="0"/>
          <w:i w:val="0"/>
          <w:iCs w:val="0"/>
          <w:sz w:val="20"/>
          <w:szCs w:val="20"/>
        </w:rPr>
        <w:instrText xml:space="preserve"> TOC \o "1-3" \h \z \u </w:instrText>
      </w:r>
      <w:r>
        <w:rPr>
          <w:rFonts w:asciiTheme="majorHAnsi" w:hAnsiTheme="majorHAnsi"/>
          <w:b w:val="0"/>
          <w:bCs w:val="0"/>
          <w:i w:val="0"/>
          <w:iCs w:val="0"/>
          <w:sz w:val="20"/>
          <w:szCs w:val="20"/>
        </w:rPr>
        <w:fldChar w:fldCharType="separate"/>
      </w:r>
      <w:r w:rsidRPr="00CD1DE6">
        <w:rPr>
          <w:rFonts w:asciiTheme="majorHAnsi" w:hAnsiTheme="majorHAnsi"/>
          <w:bCs w:val="0"/>
          <w:i w:val="0"/>
          <w:iCs w:val="0"/>
        </w:rPr>
        <w:t>Table of contents</w:t>
      </w:r>
    </w:p>
    <w:p w14:paraId="586CE120" w14:textId="77777777" w:rsidR="00A87C1A" w:rsidRPr="00CD1DE6" w:rsidRDefault="00A87C1A" w:rsidP="00A87C1A"/>
    <w:p w14:paraId="64055F51" w14:textId="77777777" w:rsidR="00A87C1A" w:rsidRPr="00CD1DE6" w:rsidRDefault="003B271A">
      <w:pPr>
        <w:pStyle w:val="TOC1"/>
        <w:tabs>
          <w:tab w:val="right" w:leader="underscore" w:pos="9350"/>
        </w:tabs>
        <w:rPr>
          <w:rFonts w:eastAsiaTheme="minorEastAsia" w:cstheme="minorBidi"/>
          <w:b w:val="0"/>
          <w:bCs w:val="0"/>
          <w:i w:val="0"/>
          <w:iCs w:val="0"/>
          <w:noProof/>
        </w:rPr>
      </w:pPr>
      <w:hyperlink w:anchor="_Toc508722260" w:history="1">
        <w:r w:rsidR="00A87C1A" w:rsidRPr="00CD1DE6">
          <w:rPr>
            <w:rStyle w:val="Hyperlink"/>
            <w:rFonts w:eastAsia="Times New Roman"/>
            <w:b w:val="0"/>
            <w:i w:val="0"/>
            <w:noProof/>
            <w:color w:val="auto"/>
          </w:rPr>
          <w:t>Executive Summary</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_Toc508722260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4</w:t>
        </w:r>
        <w:r w:rsidR="00A87C1A" w:rsidRPr="00CD1DE6">
          <w:rPr>
            <w:b w:val="0"/>
            <w:i w:val="0"/>
            <w:noProof/>
            <w:webHidden/>
          </w:rPr>
          <w:fldChar w:fldCharType="end"/>
        </w:r>
      </w:hyperlink>
    </w:p>
    <w:p w14:paraId="3D268656" w14:textId="77777777" w:rsidR="00A87C1A" w:rsidRPr="00CD1DE6" w:rsidRDefault="003B271A">
      <w:pPr>
        <w:pStyle w:val="TOC1"/>
        <w:tabs>
          <w:tab w:val="left" w:pos="480"/>
          <w:tab w:val="right" w:leader="underscore" w:pos="9350"/>
        </w:tabs>
        <w:rPr>
          <w:rFonts w:eastAsiaTheme="minorEastAsia" w:cstheme="minorBidi"/>
          <w:b w:val="0"/>
          <w:bCs w:val="0"/>
          <w:i w:val="0"/>
          <w:iCs w:val="0"/>
          <w:noProof/>
        </w:rPr>
      </w:pPr>
      <w:hyperlink w:anchor="_Toc508722261" w:history="1">
        <w:r w:rsidR="00A87C1A" w:rsidRPr="00CD1DE6">
          <w:rPr>
            <w:rStyle w:val="Hyperlink"/>
            <w:rFonts w:eastAsia="Calibri"/>
            <w:b w:val="0"/>
            <w:i w:val="0"/>
            <w:noProof/>
            <w:color w:val="auto"/>
          </w:rPr>
          <w:t>1.</w:t>
        </w:r>
        <w:r w:rsidR="00A87C1A" w:rsidRPr="00CD1DE6">
          <w:rPr>
            <w:rFonts w:eastAsiaTheme="minorEastAsia" w:cstheme="minorBidi"/>
            <w:b w:val="0"/>
            <w:bCs w:val="0"/>
            <w:i w:val="0"/>
            <w:iCs w:val="0"/>
            <w:noProof/>
          </w:rPr>
          <w:tab/>
        </w:r>
        <w:r w:rsidR="00A87C1A" w:rsidRPr="00CD1DE6">
          <w:rPr>
            <w:rStyle w:val="Hyperlink"/>
            <w:b w:val="0"/>
            <w:i w:val="0"/>
            <w:noProof/>
            <w:color w:val="auto"/>
          </w:rPr>
          <w:t>Country Economic Performance</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_Toc508722261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5</w:t>
        </w:r>
        <w:r w:rsidR="00A87C1A" w:rsidRPr="00CD1DE6">
          <w:rPr>
            <w:b w:val="0"/>
            <w:i w:val="0"/>
            <w:noProof/>
            <w:webHidden/>
          </w:rPr>
          <w:fldChar w:fldCharType="end"/>
        </w:r>
      </w:hyperlink>
    </w:p>
    <w:p w14:paraId="09FC57E7" w14:textId="77777777" w:rsidR="00A87C1A" w:rsidRPr="00CD1DE6" w:rsidRDefault="003B271A">
      <w:pPr>
        <w:pStyle w:val="TOC2"/>
        <w:tabs>
          <w:tab w:val="left" w:pos="960"/>
          <w:tab w:val="right" w:leader="underscore" w:pos="9350"/>
        </w:tabs>
        <w:rPr>
          <w:rFonts w:eastAsiaTheme="minorEastAsia" w:cstheme="minorBidi"/>
          <w:b w:val="0"/>
          <w:bCs w:val="0"/>
          <w:noProof/>
          <w:sz w:val="24"/>
          <w:szCs w:val="24"/>
        </w:rPr>
      </w:pPr>
      <w:hyperlink w:anchor="_Toc508722262" w:history="1">
        <w:r w:rsidR="00A87C1A" w:rsidRPr="00CD1DE6">
          <w:rPr>
            <w:rStyle w:val="Hyperlink"/>
            <w:b w:val="0"/>
            <w:noProof/>
            <w:color w:val="auto"/>
            <w:sz w:val="24"/>
            <w:szCs w:val="24"/>
          </w:rPr>
          <w:t>1.1</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Gross Domestic Product (GDP)</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_Toc508722262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5</w:t>
        </w:r>
        <w:r w:rsidR="00A87C1A" w:rsidRPr="00CD1DE6">
          <w:rPr>
            <w:b w:val="0"/>
            <w:noProof/>
            <w:webHidden/>
            <w:sz w:val="24"/>
            <w:szCs w:val="24"/>
          </w:rPr>
          <w:fldChar w:fldCharType="end"/>
        </w:r>
      </w:hyperlink>
    </w:p>
    <w:p w14:paraId="30C4F769" w14:textId="77777777" w:rsidR="00A87C1A" w:rsidRPr="00CD1DE6" w:rsidRDefault="003B271A">
      <w:pPr>
        <w:pStyle w:val="TOC2"/>
        <w:tabs>
          <w:tab w:val="left" w:pos="960"/>
          <w:tab w:val="right" w:leader="underscore" w:pos="9350"/>
        </w:tabs>
        <w:rPr>
          <w:rFonts w:eastAsiaTheme="minorEastAsia" w:cstheme="minorBidi"/>
          <w:b w:val="0"/>
          <w:bCs w:val="0"/>
          <w:noProof/>
          <w:sz w:val="24"/>
          <w:szCs w:val="24"/>
        </w:rPr>
      </w:pPr>
      <w:hyperlink w:anchor="_Toc508722263" w:history="1">
        <w:r w:rsidR="00A87C1A" w:rsidRPr="00CD1DE6">
          <w:rPr>
            <w:rStyle w:val="Hyperlink"/>
            <w:b w:val="0"/>
            <w:noProof/>
            <w:color w:val="auto"/>
            <w:sz w:val="24"/>
            <w:szCs w:val="24"/>
          </w:rPr>
          <w:t>1.2</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Consumer Price Index and Rate of Inflation</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_Toc508722263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9</w:t>
        </w:r>
        <w:r w:rsidR="00A87C1A" w:rsidRPr="00CD1DE6">
          <w:rPr>
            <w:b w:val="0"/>
            <w:noProof/>
            <w:webHidden/>
            <w:sz w:val="24"/>
            <w:szCs w:val="24"/>
          </w:rPr>
          <w:fldChar w:fldCharType="end"/>
        </w:r>
      </w:hyperlink>
    </w:p>
    <w:p w14:paraId="0F543D5B" w14:textId="77777777" w:rsidR="00A87C1A" w:rsidRPr="00CD1DE6" w:rsidRDefault="003B271A">
      <w:pPr>
        <w:pStyle w:val="TOC1"/>
        <w:tabs>
          <w:tab w:val="left" w:pos="480"/>
          <w:tab w:val="right" w:leader="underscore" w:pos="9350"/>
        </w:tabs>
        <w:rPr>
          <w:rFonts w:eastAsiaTheme="minorEastAsia" w:cstheme="minorBidi"/>
          <w:b w:val="0"/>
          <w:bCs w:val="0"/>
          <w:i w:val="0"/>
          <w:iCs w:val="0"/>
          <w:noProof/>
        </w:rPr>
      </w:pPr>
      <w:hyperlink w:anchor="_Toc508722264" w:history="1">
        <w:r w:rsidR="00A87C1A" w:rsidRPr="00CD1DE6">
          <w:rPr>
            <w:rStyle w:val="Hyperlink"/>
            <w:rFonts w:eastAsia="Calibri"/>
            <w:b w:val="0"/>
            <w:i w:val="0"/>
            <w:noProof/>
            <w:color w:val="auto"/>
          </w:rPr>
          <w:t>2.</w:t>
        </w:r>
        <w:r w:rsidR="00A87C1A" w:rsidRPr="00CD1DE6">
          <w:rPr>
            <w:rFonts w:eastAsiaTheme="minorEastAsia" w:cstheme="minorBidi"/>
            <w:b w:val="0"/>
            <w:bCs w:val="0"/>
            <w:i w:val="0"/>
            <w:iCs w:val="0"/>
            <w:noProof/>
          </w:rPr>
          <w:tab/>
        </w:r>
        <w:r w:rsidR="00A87C1A" w:rsidRPr="00CD1DE6">
          <w:rPr>
            <w:rStyle w:val="Hyperlink"/>
            <w:b w:val="0"/>
            <w:i w:val="0"/>
            <w:noProof/>
            <w:color w:val="auto"/>
          </w:rPr>
          <w:t>Overview of the labour market</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_Toc508722264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15</w:t>
        </w:r>
        <w:r w:rsidR="00A87C1A" w:rsidRPr="00CD1DE6">
          <w:rPr>
            <w:b w:val="0"/>
            <w:i w:val="0"/>
            <w:noProof/>
            <w:webHidden/>
          </w:rPr>
          <w:fldChar w:fldCharType="end"/>
        </w:r>
      </w:hyperlink>
    </w:p>
    <w:p w14:paraId="2DC2871B" w14:textId="77777777" w:rsidR="00A87C1A" w:rsidRPr="00CD1DE6" w:rsidRDefault="003B271A">
      <w:pPr>
        <w:pStyle w:val="TOC2"/>
        <w:tabs>
          <w:tab w:val="left" w:pos="960"/>
          <w:tab w:val="right" w:leader="underscore" w:pos="9350"/>
        </w:tabs>
        <w:rPr>
          <w:rFonts w:eastAsiaTheme="minorEastAsia" w:cstheme="minorBidi"/>
          <w:b w:val="0"/>
          <w:bCs w:val="0"/>
          <w:noProof/>
          <w:sz w:val="24"/>
          <w:szCs w:val="24"/>
        </w:rPr>
      </w:pPr>
      <w:hyperlink w:anchor="_Toc508722265" w:history="1">
        <w:r w:rsidR="00A87C1A" w:rsidRPr="00CD1DE6">
          <w:rPr>
            <w:rStyle w:val="Hyperlink"/>
            <w:b w:val="0"/>
            <w:noProof/>
            <w:color w:val="auto"/>
            <w:sz w:val="24"/>
            <w:szCs w:val="24"/>
          </w:rPr>
          <w:t>2.1</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Employment and unemployment trends</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_Toc508722265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15</w:t>
        </w:r>
        <w:r w:rsidR="00A87C1A" w:rsidRPr="00CD1DE6">
          <w:rPr>
            <w:b w:val="0"/>
            <w:noProof/>
            <w:webHidden/>
            <w:sz w:val="24"/>
            <w:szCs w:val="24"/>
          </w:rPr>
          <w:fldChar w:fldCharType="end"/>
        </w:r>
      </w:hyperlink>
    </w:p>
    <w:p w14:paraId="1AC5CF62" w14:textId="77777777" w:rsidR="00A87C1A" w:rsidRPr="00CD1DE6" w:rsidRDefault="003B271A">
      <w:pPr>
        <w:pStyle w:val="TOC2"/>
        <w:tabs>
          <w:tab w:val="left" w:pos="960"/>
          <w:tab w:val="right" w:leader="underscore" w:pos="9350"/>
        </w:tabs>
        <w:rPr>
          <w:rFonts w:eastAsiaTheme="minorEastAsia" w:cstheme="minorBidi"/>
          <w:b w:val="0"/>
          <w:bCs w:val="0"/>
          <w:noProof/>
          <w:sz w:val="24"/>
          <w:szCs w:val="24"/>
        </w:rPr>
      </w:pPr>
      <w:hyperlink w:anchor="_Toc508722266" w:history="1">
        <w:r w:rsidR="00A87C1A" w:rsidRPr="00CD1DE6">
          <w:rPr>
            <w:rStyle w:val="Hyperlink"/>
            <w:b w:val="0"/>
            <w:noProof/>
            <w:color w:val="auto"/>
            <w:sz w:val="24"/>
            <w:szCs w:val="24"/>
          </w:rPr>
          <w:t>2.2</w:t>
        </w:r>
        <w:r w:rsidR="00A87C1A" w:rsidRPr="00CD1DE6">
          <w:rPr>
            <w:rFonts w:eastAsiaTheme="minorEastAsia" w:cstheme="minorBidi"/>
            <w:b w:val="0"/>
            <w:bCs w:val="0"/>
            <w:noProof/>
            <w:sz w:val="24"/>
            <w:szCs w:val="24"/>
          </w:rPr>
          <w:tab/>
        </w:r>
        <w:r w:rsidR="00A87C1A" w:rsidRPr="005E2CC3">
          <w:rPr>
            <w:rStyle w:val="Hyperlink"/>
            <w:b w:val="0"/>
            <w:i/>
            <w:noProof/>
            <w:color w:val="auto"/>
            <w:sz w:val="24"/>
            <w:szCs w:val="24"/>
          </w:rPr>
          <w:t>Nominal and real earnings</w:t>
        </w:r>
        <w:r w:rsidR="00A87C1A" w:rsidRPr="00CD1DE6">
          <w:rPr>
            <w:b w:val="0"/>
            <w:noProof/>
            <w:webHidden/>
            <w:sz w:val="24"/>
            <w:szCs w:val="24"/>
          </w:rPr>
          <w:tab/>
        </w:r>
        <w:r w:rsidR="00A87C1A" w:rsidRPr="00CD1DE6">
          <w:rPr>
            <w:b w:val="0"/>
            <w:noProof/>
            <w:webHidden/>
            <w:sz w:val="24"/>
            <w:szCs w:val="24"/>
          </w:rPr>
          <w:fldChar w:fldCharType="begin"/>
        </w:r>
        <w:r w:rsidR="00A87C1A" w:rsidRPr="00CD1DE6">
          <w:rPr>
            <w:b w:val="0"/>
            <w:noProof/>
            <w:webHidden/>
            <w:sz w:val="24"/>
            <w:szCs w:val="24"/>
          </w:rPr>
          <w:instrText xml:space="preserve"> PAGEREF _Toc508722266 \h </w:instrText>
        </w:r>
        <w:r w:rsidR="00A87C1A" w:rsidRPr="00CD1DE6">
          <w:rPr>
            <w:b w:val="0"/>
            <w:noProof/>
            <w:webHidden/>
            <w:sz w:val="24"/>
            <w:szCs w:val="24"/>
          </w:rPr>
        </w:r>
        <w:r w:rsidR="00A87C1A" w:rsidRPr="00CD1DE6">
          <w:rPr>
            <w:b w:val="0"/>
            <w:noProof/>
            <w:webHidden/>
            <w:sz w:val="24"/>
            <w:szCs w:val="24"/>
          </w:rPr>
          <w:fldChar w:fldCharType="separate"/>
        </w:r>
        <w:r w:rsidR="00A87C1A" w:rsidRPr="00CD1DE6">
          <w:rPr>
            <w:b w:val="0"/>
            <w:noProof/>
            <w:webHidden/>
            <w:sz w:val="24"/>
            <w:szCs w:val="24"/>
          </w:rPr>
          <w:t>18</w:t>
        </w:r>
        <w:r w:rsidR="00A87C1A" w:rsidRPr="00CD1DE6">
          <w:rPr>
            <w:b w:val="0"/>
            <w:noProof/>
            <w:webHidden/>
            <w:sz w:val="24"/>
            <w:szCs w:val="24"/>
          </w:rPr>
          <w:fldChar w:fldCharType="end"/>
        </w:r>
      </w:hyperlink>
    </w:p>
    <w:p w14:paraId="31B19B66" w14:textId="77777777" w:rsidR="00A87C1A" w:rsidRPr="00CD1DE6" w:rsidRDefault="003B271A">
      <w:pPr>
        <w:pStyle w:val="TOC1"/>
        <w:tabs>
          <w:tab w:val="left" w:pos="480"/>
          <w:tab w:val="right" w:leader="underscore" w:pos="9350"/>
        </w:tabs>
        <w:rPr>
          <w:rFonts w:eastAsiaTheme="minorEastAsia" w:cstheme="minorBidi"/>
          <w:b w:val="0"/>
          <w:bCs w:val="0"/>
          <w:i w:val="0"/>
          <w:iCs w:val="0"/>
          <w:noProof/>
        </w:rPr>
      </w:pPr>
      <w:hyperlink w:anchor="_Toc508722267" w:history="1">
        <w:r w:rsidR="00A87C1A" w:rsidRPr="00CD1DE6">
          <w:rPr>
            <w:rStyle w:val="Hyperlink"/>
            <w:rFonts w:eastAsia="Calibri"/>
            <w:b w:val="0"/>
            <w:i w:val="0"/>
            <w:noProof/>
            <w:color w:val="auto"/>
          </w:rPr>
          <w:t>3.</w:t>
        </w:r>
        <w:r w:rsidR="00A87C1A" w:rsidRPr="00CD1DE6">
          <w:rPr>
            <w:rFonts w:eastAsiaTheme="minorEastAsia" w:cstheme="minorBidi"/>
            <w:b w:val="0"/>
            <w:bCs w:val="0"/>
            <w:i w:val="0"/>
            <w:iCs w:val="0"/>
            <w:noProof/>
          </w:rPr>
          <w:tab/>
        </w:r>
        <w:r w:rsidR="00A87C1A" w:rsidRPr="00CD1DE6">
          <w:rPr>
            <w:rStyle w:val="Hyperlink"/>
            <w:b w:val="0"/>
            <w:i w:val="0"/>
            <w:noProof/>
            <w:color w:val="auto"/>
          </w:rPr>
          <w:t>Highlights of household income and expenditure</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_Toc508722267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19</w:t>
        </w:r>
        <w:r w:rsidR="00A87C1A" w:rsidRPr="00CD1DE6">
          <w:rPr>
            <w:b w:val="0"/>
            <w:i w:val="0"/>
            <w:noProof/>
            <w:webHidden/>
          </w:rPr>
          <w:fldChar w:fldCharType="end"/>
        </w:r>
      </w:hyperlink>
    </w:p>
    <w:p w14:paraId="05A365C2" w14:textId="77777777" w:rsidR="00A87C1A" w:rsidRPr="00CD1DE6" w:rsidRDefault="003B271A">
      <w:pPr>
        <w:pStyle w:val="TOC1"/>
        <w:tabs>
          <w:tab w:val="left" w:pos="480"/>
          <w:tab w:val="right" w:leader="underscore" w:pos="9350"/>
        </w:tabs>
        <w:rPr>
          <w:rFonts w:eastAsiaTheme="minorEastAsia" w:cstheme="minorBidi"/>
          <w:b w:val="0"/>
          <w:bCs w:val="0"/>
          <w:i w:val="0"/>
          <w:iCs w:val="0"/>
          <w:noProof/>
        </w:rPr>
      </w:pPr>
      <w:hyperlink w:anchor="_Toc508722268" w:history="1">
        <w:r w:rsidR="00A87C1A" w:rsidRPr="00CD1DE6">
          <w:rPr>
            <w:rStyle w:val="Hyperlink"/>
            <w:rFonts w:eastAsia="Calibri"/>
            <w:b w:val="0"/>
            <w:i w:val="0"/>
            <w:noProof/>
            <w:color w:val="auto"/>
          </w:rPr>
          <w:t>4.</w:t>
        </w:r>
        <w:r w:rsidR="00A87C1A" w:rsidRPr="00CD1DE6">
          <w:rPr>
            <w:rFonts w:eastAsiaTheme="minorEastAsia" w:cstheme="minorBidi"/>
            <w:b w:val="0"/>
            <w:bCs w:val="0"/>
            <w:i w:val="0"/>
            <w:iCs w:val="0"/>
            <w:noProof/>
          </w:rPr>
          <w:tab/>
        </w:r>
        <w:r w:rsidR="00A87C1A" w:rsidRPr="00CD1DE6">
          <w:rPr>
            <w:rStyle w:val="Hyperlink"/>
            <w:b w:val="0"/>
            <w:i w:val="0"/>
            <w:noProof/>
            <w:color w:val="auto"/>
          </w:rPr>
          <w:t>General Government Spending</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_Toc508722268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22</w:t>
        </w:r>
        <w:r w:rsidR="00A87C1A" w:rsidRPr="00CD1DE6">
          <w:rPr>
            <w:b w:val="0"/>
            <w:i w:val="0"/>
            <w:noProof/>
            <w:webHidden/>
          </w:rPr>
          <w:fldChar w:fldCharType="end"/>
        </w:r>
      </w:hyperlink>
    </w:p>
    <w:p w14:paraId="688384D0" w14:textId="77777777" w:rsidR="00A87C1A" w:rsidRPr="00CD1DE6" w:rsidRDefault="003B271A">
      <w:pPr>
        <w:pStyle w:val="TOC1"/>
        <w:tabs>
          <w:tab w:val="left" w:pos="480"/>
          <w:tab w:val="right" w:leader="underscore" w:pos="9350"/>
        </w:tabs>
        <w:rPr>
          <w:rFonts w:eastAsiaTheme="minorEastAsia" w:cstheme="minorBidi"/>
          <w:b w:val="0"/>
          <w:bCs w:val="0"/>
          <w:i w:val="0"/>
          <w:iCs w:val="0"/>
          <w:noProof/>
        </w:rPr>
      </w:pPr>
      <w:hyperlink w:anchor="_Toc508722269" w:history="1">
        <w:r w:rsidR="00A87C1A" w:rsidRPr="00CD1DE6">
          <w:rPr>
            <w:rStyle w:val="Hyperlink"/>
            <w:rFonts w:eastAsia="Calibri"/>
            <w:b w:val="0"/>
            <w:i w:val="0"/>
            <w:noProof/>
            <w:color w:val="auto"/>
          </w:rPr>
          <w:t>5.</w:t>
        </w:r>
        <w:r w:rsidR="00A87C1A" w:rsidRPr="00CD1DE6">
          <w:rPr>
            <w:rFonts w:eastAsiaTheme="minorEastAsia" w:cstheme="minorBidi"/>
            <w:b w:val="0"/>
            <w:bCs w:val="0"/>
            <w:i w:val="0"/>
            <w:iCs w:val="0"/>
            <w:noProof/>
          </w:rPr>
          <w:tab/>
        </w:r>
        <w:r w:rsidR="00A87C1A" w:rsidRPr="00CD1DE6">
          <w:rPr>
            <w:rStyle w:val="Hyperlink"/>
            <w:b w:val="0"/>
            <w:i w:val="0"/>
            <w:noProof/>
            <w:color w:val="auto"/>
          </w:rPr>
          <w:t>Conclusions</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_Toc508722269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24</w:t>
        </w:r>
        <w:r w:rsidR="00A87C1A" w:rsidRPr="00CD1DE6">
          <w:rPr>
            <w:b w:val="0"/>
            <w:i w:val="0"/>
            <w:noProof/>
            <w:webHidden/>
          </w:rPr>
          <w:fldChar w:fldCharType="end"/>
        </w:r>
      </w:hyperlink>
    </w:p>
    <w:p w14:paraId="188B0864" w14:textId="77777777" w:rsidR="00A87C1A" w:rsidRDefault="003B271A">
      <w:pPr>
        <w:pStyle w:val="TOC1"/>
        <w:tabs>
          <w:tab w:val="right" w:leader="underscore" w:pos="9350"/>
        </w:tabs>
        <w:rPr>
          <w:rFonts w:eastAsiaTheme="minorEastAsia" w:cstheme="minorBidi"/>
          <w:b w:val="0"/>
          <w:bCs w:val="0"/>
          <w:i w:val="0"/>
          <w:iCs w:val="0"/>
          <w:noProof/>
          <w:sz w:val="22"/>
          <w:szCs w:val="22"/>
        </w:rPr>
      </w:pPr>
      <w:hyperlink w:anchor="_Toc508722270" w:history="1">
        <w:r w:rsidR="00A87C1A" w:rsidRPr="00CD1DE6">
          <w:rPr>
            <w:rStyle w:val="Hyperlink"/>
            <w:b w:val="0"/>
            <w:i w:val="0"/>
            <w:noProof/>
            <w:color w:val="auto"/>
          </w:rPr>
          <w:t>References</w:t>
        </w:r>
        <w:r w:rsidR="00A87C1A" w:rsidRPr="00CD1DE6">
          <w:rPr>
            <w:b w:val="0"/>
            <w:i w:val="0"/>
            <w:noProof/>
            <w:webHidden/>
          </w:rPr>
          <w:tab/>
        </w:r>
        <w:r w:rsidR="00A87C1A" w:rsidRPr="00CD1DE6">
          <w:rPr>
            <w:b w:val="0"/>
            <w:i w:val="0"/>
            <w:noProof/>
            <w:webHidden/>
          </w:rPr>
          <w:fldChar w:fldCharType="begin"/>
        </w:r>
        <w:r w:rsidR="00A87C1A" w:rsidRPr="00CD1DE6">
          <w:rPr>
            <w:b w:val="0"/>
            <w:i w:val="0"/>
            <w:noProof/>
            <w:webHidden/>
          </w:rPr>
          <w:instrText xml:space="preserve"> PAGEREF _Toc508722270 \h </w:instrText>
        </w:r>
        <w:r w:rsidR="00A87C1A" w:rsidRPr="00CD1DE6">
          <w:rPr>
            <w:b w:val="0"/>
            <w:i w:val="0"/>
            <w:noProof/>
            <w:webHidden/>
          </w:rPr>
        </w:r>
        <w:r w:rsidR="00A87C1A" w:rsidRPr="00CD1DE6">
          <w:rPr>
            <w:b w:val="0"/>
            <w:i w:val="0"/>
            <w:noProof/>
            <w:webHidden/>
          </w:rPr>
          <w:fldChar w:fldCharType="separate"/>
        </w:r>
        <w:r w:rsidR="00A87C1A" w:rsidRPr="00CD1DE6">
          <w:rPr>
            <w:b w:val="0"/>
            <w:i w:val="0"/>
            <w:noProof/>
            <w:webHidden/>
          </w:rPr>
          <w:t>26</w:t>
        </w:r>
        <w:r w:rsidR="00A87C1A" w:rsidRPr="00CD1DE6">
          <w:rPr>
            <w:b w:val="0"/>
            <w:i w:val="0"/>
            <w:noProof/>
            <w:webHidden/>
          </w:rPr>
          <w:fldChar w:fldCharType="end"/>
        </w:r>
      </w:hyperlink>
    </w:p>
    <w:p w14:paraId="28CD9C3A" w14:textId="77777777" w:rsidR="00332FC3" w:rsidRPr="00F26BF6" w:rsidRDefault="00A87C1A" w:rsidP="00F26BF6">
      <w:pPr>
        <w:spacing w:after="160" w:line="360" w:lineRule="auto"/>
        <w:jc w:val="both"/>
      </w:pPr>
      <w:r>
        <w:rPr>
          <w:rFonts w:asciiTheme="majorHAnsi" w:hAnsiTheme="majorHAnsi"/>
          <w:b/>
          <w:bCs/>
          <w:i/>
          <w:iCs/>
          <w:sz w:val="20"/>
          <w:szCs w:val="20"/>
        </w:rPr>
        <w:fldChar w:fldCharType="end"/>
      </w:r>
    </w:p>
    <w:p w14:paraId="72EF23E0" w14:textId="77777777" w:rsidR="00332FC3" w:rsidRPr="005E2BB6" w:rsidRDefault="00332FC3" w:rsidP="00332FC3">
      <w:pPr>
        <w:spacing w:after="160" w:line="259" w:lineRule="auto"/>
      </w:pPr>
    </w:p>
    <w:p w14:paraId="5B403B2A" w14:textId="77777777" w:rsidR="00553EFD" w:rsidRPr="005E2BB6" w:rsidRDefault="00553EFD" w:rsidP="00332FC3">
      <w:pPr>
        <w:spacing w:after="160" w:line="259" w:lineRule="auto"/>
      </w:pPr>
    </w:p>
    <w:p w14:paraId="4A2A9E96" w14:textId="77777777" w:rsidR="00332FC3" w:rsidRPr="005E2BB6" w:rsidRDefault="00332FC3" w:rsidP="00332FC3">
      <w:pPr>
        <w:spacing w:after="160" w:line="259" w:lineRule="auto"/>
      </w:pPr>
    </w:p>
    <w:p w14:paraId="6012C2A6" w14:textId="77777777" w:rsidR="00332FC3" w:rsidRPr="005E2BB6" w:rsidRDefault="00332FC3" w:rsidP="00332FC3">
      <w:pPr>
        <w:spacing w:after="160" w:line="259" w:lineRule="auto"/>
      </w:pPr>
    </w:p>
    <w:p w14:paraId="4AC23232" w14:textId="77777777" w:rsidR="00332FC3" w:rsidRPr="005E2BB6" w:rsidRDefault="00332FC3" w:rsidP="00332FC3">
      <w:pPr>
        <w:spacing w:after="160" w:line="259" w:lineRule="auto"/>
      </w:pPr>
    </w:p>
    <w:p w14:paraId="170C847B" w14:textId="77777777" w:rsidR="00332FC3" w:rsidRPr="005E2BB6" w:rsidRDefault="00332FC3" w:rsidP="00332FC3">
      <w:pPr>
        <w:spacing w:after="160" w:line="259" w:lineRule="auto"/>
      </w:pPr>
      <w:r w:rsidRPr="005E2BB6">
        <w:rPr>
          <w:highlight w:val="yellow"/>
        </w:rPr>
        <w:br w:type="page"/>
      </w:r>
    </w:p>
    <w:p w14:paraId="56430DC4" w14:textId="77777777" w:rsidR="00332FC3" w:rsidRPr="005E2BB6" w:rsidRDefault="00332FC3" w:rsidP="00332FC3">
      <w:pPr>
        <w:spacing w:after="160" w:line="259" w:lineRule="auto"/>
      </w:pPr>
    </w:p>
    <w:p w14:paraId="6574030D" w14:textId="77777777" w:rsidR="00332FC3" w:rsidRPr="00BD1B29" w:rsidRDefault="00332FC3" w:rsidP="00332FC3">
      <w:pPr>
        <w:spacing w:after="160" w:line="259" w:lineRule="auto"/>
        <w:rPr>
          <w:highlight w:val="yellow"/>
        </w:rPr>
      </w:pPr>
      <w:r w:rsidRPr="00BD1B29">
        <w:rPr>
          <w:sz w:val="28"/>
          <w:szCs w:val="28"/>
        </w:rPr>
        <w:t xml:space="preserve">List of Tables </w:t>
      </w:r>
    </w:p>
    <w:p w14:paraId="2EA5E450" w14:textId="77777777" w:rsidR="00B46AFF" w:rsidRPr="00BD1B29" w:rsidRDefault="00B46AFF" w:rsidP="00B46AFF">
      <w:pPr>
        <w:pStyle w:val="TableofFigures"/>
        <w:tabs>
          <w:tab w:val="right" w:leader="dot" w:pos="9350"/>
        </w:tabs>
        <w:spacing w:line="360" w:lineRule="auto"/>
        <w:jc w:val="both"/>
        <w:rPr>
          <w:rFonts w:eastAsiaTheme="minorEastAsia" w:cstheme="minorBidi"/>
          <w:noProof/>
          <w:sz w:val="22"/>
          <w:szCs w:val="22"/>
        </w:rPr>
      </w:pPr>
      <w:r w:rsidRPr="00BD1B29">
        <w:rPr>
          <w:sz w:val="28"/>
          <w:szCs w:val="28"/>
        </w:rPr>
        <w:fldChar w:fldCharType="begin"/>
      </w:r>
      <w:r w:rsidRPr="00BD1B29">
        <w:rPr>
          <w:sz w:val="28"/>
          <w:szCs w:val="28"/>
        </w:rPr>
        <w:instrText xml:space="preserve"> TOC \h \z \c "Table" </w:instrText>
      </w:r>
      <w:r w:rsidRPr="00BD1B29">
        <w:rPr>
          <w:sz w:val="28"/>
          <w:szCs w:val="28"/>
        </w:rPr>
        <w:fldChar w:fldCharType="separate"/>
      </w:r>
      <w:hyperlink w:anchor="_Toc508714995" w:history="1">
        <w:r w:rsidRPr="00BD1B29">
          <w:rPr>
            <w:rStyle w:val="Hyperlink"/>
            <w:noProof/>
            <w:color w:val="auto"/>
          </w:rPr>
          <w:t>Table 1: Inflation indicators according to individual CPI components (%</w:t>
        </w:r>
        <w:r w:rsidR="00B42E8F" w:rsidRPr="00BD1B29">
          <w:rPr>
            <w:rStyle w:val="Hyperlink"/>
            <w:noProof/>
            <w:color w:val="auto"/>
          </w:rPr>
          <w:t xml:space="preserve"> </w:t>
        </w:r>
        <w:r w:rsidRPr="00BD1B29">
          <w:rPr>
            <w:rStyle w:val="Hyperlink"/>
            <w:noProof/>
            <w:color w:val="auto"/>
          </w:rPr>
          <w:t>change)</w:t>
        </w:r>
        <w:r w:rsidRPr="00BD1B29">
          <w:rPr>
            <w:noProof/>
            <w:webHidden/>
          </w:rPr>
          <w:tab/>
        </w:r>
        <w:r w:rsidRPr="00BD1B29">
          <w:rPr>
            <w:noProof/>
            <w:webHidden/>
          </w:rPr>
          <w:fldChar w:fldCharType="begin"/>
        </w:r>
        <w:r w:rsidRPr="00BD1B29">
          <w:rPr>
            <w:noProof/>
            <w:webHidden/>
          </w:rPr>
          <w:instrText xml:space="preserve"> PAGEREF _Toc508714995 \h </w:instrText>
        </w:r>
        <w:r w:rsidRPr="00BD1B29">
          <w:rPr>
            <w:noProof/>
            <w:webHidden/>
          </w:rPr>
        </w:r>
        <w:r w:rsidRPr="00BD1B29">
          <w:rPr>
            <w:noProof/>
            <w:webHidden/>
          </w:rPr>
          <w:fldChar w:fldCharType="separate"/>
        </w:r>
        <w:r w:rsidRPr="00BD1B29">
          <w:rPr>
            <w:noProof/>
            <w:webHidden/>
          </w:rPr>
          <w:t>15</w:t>
        </w:r>
        <w:r w:rsidRPr="00BD1B29">
          <w:rPr>
            <w:noProof/>
            <w:webHidden/>
          </w:rPr>
          <w:fldChar w:fldCharType="end"/>
        </w:r>
      </w:hyperlink>
    </w:p>
    <w:p w14:paraId="2D349BB1" w14:textId="77777777" w:rsidR="00B46AFF" w:rsidRPr="00BD1B29" w:rsidRDefault="003B271A" w:rsidP="00B46AFF">
      <w:pPr>
        <w:pStyle w:val="TableofFigures"/>
        <w:tabs>
          <w:tab w:val="right" w:leader="dot" w:pos="9350"/>
        </w:tabs>
        <w:spacing w:line="360" w:lineRule="auto"/>
        <w:jc w:val="both"/>
        <w:rPr>
          <w:rFonts w:eastAsiaTheme="minorEastAsia" w:cstheme="minorBidi"/>
          <w:noProof/>
          <w:sz w:val="22"/>
          <w:szCs w:val="22"/>
        </w:rPr>
      </w:pPr>
      <w:hyperlink w:anchor="_Toc508714996" w:history="1">
        <w:r w:rsidR="00B46AFF" w:rsidRPr="00BD1B29">
          <w:rPr>
            <w:rStyle w:val="Hyperlink"/>
            <w:noProof/>
            <w:color w:val="auto"/>
          </w:rPr>
          <w:t>Table 2: General government expenditure</w:t>
        </w:r>
        <w:r w:rsidR="00B46AFF" w:rsidRPr="00BD1B29">
          <w:rPr>
            <w:noProof/>
            <w:webHidden/>
          </w:rPr>
          <w:tab/>
        </w:r>
        <w:r w:rsidR="00B46AFF" w:rsidRPr="00BD1B29">
          <w:rPr>
            <w:noProof/>
            <w:webHidden/>
          </w:rPr>
          <w:fldChar w:fldCharType="begin"/>
        </w:r>
        <w:r w:rsidR="00B46AFF" w:rsidRPr="00BD1B29">
          <w:rPr>
            <w:noProof/>
            <w:webHidden/>
          </w:rPr>
          <w:instrText xml:space="preserve"> PAGEREF _Toc508714996 \h </w:instrText>
        </w:r>
        <w:r w:rsidR="00B46AFF" w:rsidRPr="00BD1B29">
          <w:rPr>
            <w:noProof/>
            <w:webHidden/>
          </w:rPr>
        </w:r>
        <w:r w:rsidR="00B46AFF" w:rsidRPr="00BD1B29">
          <w:rPr>
            <w:noProof/>
            <w:webHidden/>
          </w:rPr>
          <w:fldChar w:fldCharType="separate"/>
        </w:r>
        <w:r w:rsidR="00B46AFF" w:rsidRPr="00BD1B29">
          <w:rPr>
            <w:noProof/>
            <w:webHidden/>
          </w:rPr>
          <w:t>24</w:t>
        </w:r>
        <w:r w:rsidR="00B46AFF" w:rsidRPr="00BD1B29">
          <w:rPr>
            <w:noProof/>
            <w:webHidden/>
          </w:rPr>
          <w:fldChar w:fldCharType="end"/>
        </w:r>
      </w:hyperlink>
    </w:p>
    <w:p w14:paraId="5645ABD8" w14:textId="77777777" w:rsidR="00BD2D67" w:rsidRDefault="00B46AFF" w:rsidP="006729FE">
      <w:pPr>
        <w:spacing w:after="0" w:line="360" w:lineRule="auto"/>
        <w:jc w:val="both"/>
        <w:rPr>
          <w:sz w:val="28"/>
          <w:szCs w:val="28"/>
        </w:rPr>
      </w:pPr>
      <w:r w:rsidRPr="00BD1B29">
        <w:rPr>
          <w:sz w:val="28"/>
          <w:szCs w:val="28"/>
        </w:rPr>
        <w:fldChar w:fldCharType="end"/>
      </w:r>
    </w:p>
    <w:p w14:paraId="49DE4F71" w14:textId="77777777" w:rsidR="00BD2D67" w:rsidRDefault="00BD2D67" w:rsidP="00332FC3">
      <w:pPr>
        <w:spacing w:after="0" w:line="360" w:lineRule="auto"/>
        <w:rPr>
          <w:sz w:val="28"/>
          <w:szCs w:val="28"/>
        </w:rPr>
      </w:pPr>
    </w:p>
    <w:p w14:paraId="709A70F3" w14:textId="77777777" w:rsidR="004B053A" w:rsidRPr="005E2BB6" w:rsidRDefault="004B053A" w:rsidP="00332FC3">
      <w:pPr>
        <w:spacing w:after="0" w:line="360" w:lineRule="auto"/>
        <w:rPr>
          <w:sz w:val="28"/>
          <w:szCs w:val="28"/>
        </w:rPr>
      </w:pPr>
    </w:p>
    <w:p w14:paraId="6FEBFE61" w14:textId="77777777" w:rsidR="00332FC3" w:rsidRPr="005E2BB6" w:rsidRDefault="00332FC3" w:rsidP="00332FC3">
      <w:pPr>
        <w:spacing w:after="0" w:line="259" w:lineRule="auto"/>
        <w:rPr>
          <w:sz w:val="28"/>
          <w:szCs w:val="28"/>
        </w:rPr>
      </w:pPr>
      <w:r w:rsidRPr="005E2BB6">
        <w:rPr>
          <w:sz w:val="28"/>
          <w:szCs w:val="28"/>
        </w:rPr>
        <w:t xml:space="preserve">List of Figures </w:t>
      </w:r>
    </w:p>
    <w:p w14:paraId="4B8AC2DA" w14:textId="77777777" w:rsidR="00332FC3" w:rsidRDefault="00332FC3" w:rsidP="00332FC3">
      <w:pPr>
        <w:spacing w:after="0" w:line="259" w:lineRule="auto"/>
        <w:rPr>
          <w:sz w:val="28"/>
          <w:szCs w:val="28"/>
        </w:rPr>
      </w:pPr>
    </w:p>
    <w:p w14:paraId="25620987" w14:textId="77777777" w:rsidR="00C45EA7" w:rsidRDefault="00C45EA7" w:rsidP="00BD2D67">
      <w:pPr>
        <w:pStyle w:val="TableofFigures"/>
        <w:tabs>
          <w:tab w:val="right" w:leader="dot" w:pos="9350"/>
        </w:tabs>
        <w:spacing w:line="360" w:lineRule="auto"/>
        <w:rPr>
          <w:rFonts w:eastAsiaTheme="minorEastAsia" w:cstheme="minorBidi"/>
          <w:noProof/>
          <w:sz w:val="22"/>
          <w:szCs w:val="22"/>
        </w:rPr>
      </w:pPr>
      <w:r>
        <w:rPr>
          <w:sz w:val="28"/>
          <w:szCs w:val="28"/>
        </w:rPr>
        <w:fldChar w:fldCharType="begin"/>
      </w:r>
      <w:r>
        <w:rPr>
          <w:sz w:val="28"/>
          <w:szCs w:val="28"/>
        </w:rPr>
        <w:instrText xml:space="preserve"> TOC \h \z \c "Figure" </w:instrText>
      </w:r>
      <w:r>
        <w:rPr>
          <w:sz w:val="28"/>
          <w:szCs w:val="28"/>
        </w:rPr>
        <w:fldChar w:fldCharType="separate"/>
      </w:r>
      <w:hyperlink w:anchor="_Toc508716345" w:history="1">
        <w:r w:rsidRPr="00246A9D">
          <w:rPr>
            <w:rStyle w:val="Hyperlink"/>
            <w:noProof/>
          </w:rPr>
          <w:t>Figure 1: Nominal and real gross domestic product (GDP)</w:t>
        </w:r>
        <w:r>
          <w:rPr>
            <w:noProof/>
            <w:webHidden/>
          </w:rPr>
          <w:tab/>
        </w:r>
        <w:r>
          <w:rPr>
            <w:noProof/>
            <w:webHidden/>
          </w:rPr>
          <w:fldChar w:fldCharType="begin"/>
        </w:r>
        <w:r>
          <w:rPr>
            <w:noProof/>
            <w:webHidden/>
          </w:rPr>
          <w:instrText xml:space="preserve"> PAGEREF _Toc508716345 \h </w:instrText>
        </w:r>
        <w:r>
          <w:rPr>
            <w:noProof/>
            <w:webHidden/>
          </w:rPr>
        </w:r>
        <w:r>
          <w:rPr>
            <w:noProof/>
            <w:webHidden/>
          </w:rPr>
          <w:fldChar w:fldCharType="separate"/>
        </w:r>
        <w:r>
          <w:rPr>
            <w:noProof/>
            <w:webHidden/>
          </w:rPr>
          <w:t>7</w:t>
        </w:r>
        <w:r>
          <w:rPr>
            <w:noProof/>
            <w:webHidden/>
          </w:rPr>
          <w:fldChar w:fldCharType="end"/>
        </w:r>
      </w:hyperlink>
    </w:p>
    <w:p w14:paraId="3D143BD6"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46" w:history="1">
        <w:r w:rsidR="00C45EA7" w:rsidRPr="00246A9D">
          <w:rPr>
            <w:rStyle w:val="Hyperlink"/>
            <w:noProof/>
          </w:rPr>
          <w:t>Figure 2: GDP growth by expenditure</w:t>
        </w:r>
        <w:r w:rsidR="00C45EA7">
          <w:rPr>
            <w:noProof/>
            <w:webHidden/>
          </w:rPr>
          <w:tab/>
        </w:r>
        <w:r w:rsidR="00C45EA7">
          <w:rPr>
            <w:noProof/>
            <w:webHidden/>
          </w:rPr>
          <w:fldChar w:fldCharType="begin"/>
        </w:r>
        <w:r w:rsidR="00C45EA7">
          <w:rPr>
            <w:noProof/>
            <w:webHidden/>
          </w:rPr>
          <w:instrText xml:space="preserve"> PAGEREF _Toc508716346 \h </w:instrText>
        </w:r>
        <w:r w:rsidR="00C45EA7">
          <w:rPr>
            <w:noProof/>
            <w:webHidden/>
          </w:rPr>
        </w:r>
        <w:r w:rsidR="00C45EA7">
          <w:rPr>
            <w:noProof/>
            <w:webHidden/>
          </w:rPr>
          <w:fldChar w:fldCharType="separate"/>
        </w:r>
        <w:r w:rsidR="00C45EA7">
          <w:rPr>
            <w:noProof/>
            <w:webHidden/>
          </w:rPr>
          <w:t>8</w:t>
        </w:r>
        <w:r w:rsidR="00C45EA7">
          <w:rPr>
            <w:noProof/>
            <w:webHidden/>
          </w:rPr>
          <w:fldChar w:fldCharType="end"/>
        </w:r>
      </w:hyperlink>
    </w:p>
    <w:p w14:paraId="4C4858A2"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47" w:history="1">
        <w:r w:rsidR="00C45EA7" w:rsidRPr="00246A9D">
          <w:rPr>
            <w:rStyle w:val="Hyperlink"/>
            <w:noProof/>
          </w:rPr>
          <w:t>Figure 3: Real GDP growth forecast of Georgia</w:t>
        </w:r>
        <w:r w:rsidR="00C45EA7">
          <w:rPr>
            <w:noProof/>
            <w:webHidden/>
          </w:rPr>
          <w:tab/>
        </w:r>
        <w:r w:rsidR="00C45EA7">
          <w:rPr>
            <w:noProof/>
            <w:webHidden/>
          </w:rPr>
          <w:fldChar w:fldCharType="begin"/>
        </w:r>
        <w:r w:rsidR="00C45EA7">
          <w:rPr>
            <w:noProof/>
            <w:webHidden/>
          </w:rPr>
          <w:instrText xml:space="preserve"> PAGEREF _Toc508716347 \h </w:instrText>
        </w:r>
        <w:r w:rsidR="00C45EA7">
          <w:rPr>
            <w:noProof/>
            <w:webHidden/>
          </w:rPr>
        </w:r>
        <w:r w:rsidR="00C45EA7">
          <w:rPr>
            <w:noProof/>
            <w:webHidden/>
          </w:rPr>
          <w:fldChar w:fldCharType="separate"/>
        </w:r>
        <w:r w:rsidR="00C45EA7">
          <w:rPr>
            <w:noProof/>
            <w:webHidden/>
          </w:rPr>
          <w:t>9</w:t>
        </w:r>
        <w:r w:rsidR="00C45EA7">
          <w:rPr>
            <w:noProof/>
            <w:webHidden/>
          </w:rPr>
          <w:fldChar w:fldCharType="end"/>
        </w:r>
      </w:hyperlink>
    </w:p>
    <w:p w14:paraId="0E7D1B2B"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48" w:history="1">
        <w:r w:rsidR="00C45EA7" w:rsidRPr="00246A9D">
          <w:rPr>
            <w:rStyle w:val="Hyperlink"/>
            <w:noProof/>
          </w:rPr>
          <w:t>Figure 4:Headline and core inflation (% change compared to the same month of the previous year)</w:t>
        </w:r>
        <w:r w:rsidR="00C45EA7">
          <w:rPr>
            <w:noProof/>
            <w:webHidden/>
          </w:rPr>
          <w:tab/>
        </w:r>
        <w:r w:rsidR="00C45EA7">
          <w:rPr>
            <w:noProof/>
            <w:webHidden/>
          </w:rPr>
          <w:fldChar w:fldCharType="begin"/>
        </w:r>
        <w:r w:rsidR="00C45EA7">
          <w:rPr>
            <w:noProof/>
            <w:webHidden/>
          </w:rPr>
          <w:instrText xml:space="preserve"> PAGEREF _Toc508716348 \h </w:instrText>
        </w:r>
        <w:r w:rsidR="00C45EA7">
          <w:rPr>
            <w:noProof/>
            <w:webHidden/>
          </w:rPr>
        </w:r>
        <w:r w:rsidR="00C45EA7">
          <w:rPr>
            <w:noProof/>
            <w:webHidden/>
          </w:rPr>
          <w:fldChar w:fldCharType="separate"/>
        </w:r>
        <w:r w:rsidR="00C45EA7">
          <w:rPr>
            <w:noProof/>
            <w:webHidden/>
          </w:rPr>
          <w:t>12</w:t>
        </w:r>
        <w:r w:rsidR="00C45EA7">
          <w:rPr>
            <w:noProof/>
            <w:webHidden/>
          </w:rPr>
          <w:fldChar w:fldCharType="end"/>
        </w:r>
      </w:hyperlink>
    </w:p>
    <w:p w14:paraId="7087EBB4"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49" w:history="1">
        <w:r w:rsidR="00C45EA7" w:rsidRPr="00246A9D">
          <w:rPr>
            <w:rStyle w:val="Hyperlink"/>
            <w:noProof/>
          </w:rPr>
          <w:t>Figure 5: Exchange rate (% change compared to the same month of the previous year)</w:t>
        </w:r>
        <w:r w:rsidR="00C45EA7">
          <w:rPr>
            <w:noProof/>
            <w:webHidden/>
          </w:rPr>
          <w:tab/>
        </w:r>
        <w:r w:rsidR="00C45EA7">
          <w:rPr>
            <w:noProof/>
            <w:webHidden/>
          </w:rPr>
          <w:fldChar w:fldCharType="begin"/>
        </w:r>
        <w:r w:rsidR="00C45EA7">
          <w:rPr>
            <w:noProof/>
            <w:webHidden/>
          </w:rPr>
          <w:instrText xml:space="preserve"> PAGEREF _Toc508716349 \h </w:instrText>
        </w:r>
        <w:r w:rsidR="00C45EA7">
          <w:rPr>
            <w:noProof/>
            <w:webHidden/>
          </w:rPr>
        </w:r>
        <w:r w:rsidR="00C45EA7">
          <w:rPr>
            <w:noProof/>
            <w:webHidden/>
          </w:rPr>
          <w:fldChar w:fldCharType="separate"/>
        </w:r>
        <w:r w:rsidR="00C45EA7">
          <w:rPr>
            <w:noProof/>
            <w:webHidden/>
          </w:rPr>
          <w:t>13</w:t>
        </w:r>
        <w:r w:rsidR="00C45EA7">
          <w:rPr>
            <w:noProof/>
            <w:webHidden/>
          </w:rPr>
          <w:fldChar w:fldCharType="end"/>
        </w:r>
      </w:hyperlink>
    </w:p>
    <w:p w14:paraId="296A433D"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0" w:history="1">
        <w:r w:rsidR="00C45EA7" w:rsidRPr="00246A9D">
          <w:rPr>
            <w:rStyle w:val="Hyperlink"/>
            <w:noProof/>
          </w:rPr>
          <w:t>Figure 6: Imported, local and mixed inflation (% change compared to the same month of the previous year)</w:t>
        </w:r>
        <w:r w:rsidR="00C45EA7">
          <w:rPr>
            <w:noProof/>
            <w:webHidden/>
          </w:rPr>
          <w:tab/>
        </w:r>
        <w:r w:rsidR="00C45EA7">
          <w:rPr>
            <w:noProof/>
            <w:webHidden/>
          </w:rPr>
          <w:fldChar w:fldCharType="begin"/>
        </w:r>
        <w:r w:rsidR="00C45EA7">
          <w:rPr>
            <w:noProof/>
            <w:webHidden/>
          </w:rPr>
          <w:instrText xml:space="preserve"> PAGEREF _Toc508716350 \h </w:instrText>
        </w:r>
        <w:r w:rsidR="00C45EA7">
          <w:rPr>
            <w:noProof/>
            <w:webHidden/>
          </w:rPr>
        </w:r>
        <w:r w:rsidR="00C45EA7">
          <w:rPr>
            <w:noProof/>
            <w:webHidden/>
          </w:rPr>
          <w:fldChar w:fldCharType="separate"/>
        </w:r>
        <w:r w:rsidR="00C45EA7">
          <w:rPr>
            <w:noProof/>
            <w:webHidden/>
          </w:rPr>
          <w:t>14</w:t>
        </w:r>
        <w:r w:rsidR="00C45EA7">
          <w:rPr>
            <w:noProof/>
            <w:webHidden/>
          </w:rPr>
          <w:fldChar w:fldCharType="end"/>
        </w:r>
      </w:hyperlink>
    </w:p>
    <w:p w14:paraId="6CA255E5"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1" w:history="1">
        <w:r w:rsidR="00C45EA7" w:rsidRPr="00246A9D">
          <w:rPr>
            <w:rStyle w:val="Hyperlink"/>
            <w:noProof/>
          </w:rPr>
          <w:t>Figure 7: Change of economic activity rate and working age population (%)</w:t>
        </w:r>
        <w:r w:rsidR="00C45EA7">
          <w:rPr>
            <w:noProof/>
            <w:webHidden/>
          </w:rPr>
          <w:tab/>
        </w:r>
        <w:r w:rsidR="00C45EA7">
          <w:rPr>
            <w:noProof/>
            <w:webHidden/>
          </w:rPr>
          <w:fldChar w:fldCharType="begin"/>
        </w:r>
        <w:r w:rsidR="00C45EA7">
          <w:rPr>
            <w:noProof/>
            <w:webHidden/>
          </w:rPr>
          <w:instrText xml:space="preserve"> PAGEREF _Toc508716351 \h </w:instrText>
        </w:r>
        <w:r w:rsidR="00C45EA7">
          <w:rPr>
            <w:noProof/>
            <w:webHidden/>
          </w:rPr>
        </w:r>
        <w:r w:rsidR="00C45EA7">
          <w:rPr>
            <w:noProof/>
            <w:webHidden/>
          </w:rPr>
          <w:fldChar w:fldCharType="separate"/>
        </w:r>
        <w:r w:rsidR="00C45EA7">
          <w:rPr>
            <w:noProof/>
            <w:webHidden/>
          </w:rPr>
          <w:t>17</w:t>
        </w:r>
        <w:r w:rsidR="00C45EA7">
          <w:rPr>
            <w:noProof/>
            <w:webHidden/>
          </w:rPr>
          <w:fldChar w:fldCharType="end"/>
        </w:r>
      </w:hyperlink>
    </w:p>
    <w:p w14:paraId="2AC6311F"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2" w:history="1">
        <w:r w:rsidR="00C45EA7" w:rsidRPr="00246A9D">
          <w:rPr>
            <w:rStyle w:val="Hyperlink"/>
            <w:noProof/>
          </w:rPr>
          <w:t>Figure 8: % change in hired and self-employed</w:t>
        </w:r>
        <w:r w:rsidR="00C45EA7">
          <w:rPr>
            <w:noProof/>
            <w:webHidden/>
          </w:rPr>
          <w:tab/>
        </w:r>
        <w:r w:rsidR="00C45EA7">
          <w:rPr>
            <w:noProof/>
            <w:webHidden/>
          </w:rPr>
          <w:fldChar w:fldCharType="begin"/>
        </w:r>
        <w:r w:rsidR="00C45EA7">
          <w:rPr>
            <w:noProof/>
            <w:webHidden/>
          </w:rPr>
          <w:instrText xml:space="preserve"> PAGEREF _Toc508716352 \h </w:instrText>
        </w:r>
        <w:r w:rsidR="00C45EA7">
          <w:rPr>
            <w:noProof/>
            <w:webHidden/>
          </w:rPr>
        </w:r>
        <w:r w:rsidR="00C45EA7">
          <w:rPr>
            <w:noProof/>
            <w:webHidden/>
          </w:rPr>
          <w:fldChar w:fldCharType="separate"/>
        </w:r>
        <w:r w:rsidR="00C45EA7">
          <w:rPr>
            <w:noProof/>
            <w:webHidden/>
          </w:rPr>
          <w:t>18</w:t>
        </w:r>
        <w:r w:rsidR="00C45EA7">
          <w:rPr>
            <w:noProof/>
            <w:webHidden/>
          </w:rPr>
          <w:fldChar w:fldCharType="end"/>
        </w:r>
      </w:hyperlink>
    </w:p>
    <w:p w14:paraId="105740B7"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3" w:history="1">
        <w:r w:rsidR="00C45EA7" w:rsidRPr="00246A9D">
          <w:rPr>
            <w:rStyle w:val="Hyperlink"/>
            <w:noProof/>
          </w:rPr>
          <w:t>Figure 9: Unemployment indicators</w:t>
        </w:r>
        <w:r w:rsidR="00C45EA7">
          <w:rPr>
            <w:noProof/>
            <w:webHidden/>
          </w:rPr>
          <w:tab/>
        </w:r>
        <w:r w:rsidR="00C45EA7">
          <w:rPr>
            <w:noProof/>
            <w:webHidden/>
          </w:rPr>
          <w:fldChar w:fldCharType="begin"/>
        </w:r>
        <w:r w:rsidR="00C45EA7">
          <w:rPr>
            <w:noProof/>
            <w:webHidden/>
          </w:rPr>
          <w:instrText xml:space="preserve"> PAGEREF _Toc508716353 \h </w:instrText>
        </w:r>
        <w:r w:rsidR="00C45EA7">
          <w:rPr>
            <w:noProof/>
            <w:webHidden/>
          </w:rPr>
        </w:r>
        <w:r w:rsidR="00C45EA7">
          <w:rPr>
            <w:noProof/>
            <w:webHidden/>
          </w:rPr>
          <w:fldChar w:fldCharType="separate"/>
        </w:r>
        <w:r w:rsidR="00C45EA7">
          <w:rPr>
            <w:noProof/>
            <w:webHidden/>
          </w:rPr>
          <w:t>19</w:t>
        </w:r>
        <w:r w:rsidR="00C45EA7">
          <w:rPr>
            <w:noProof/>
            <w:webHidden/>
          </w:rPr>
          <w:fldChar w:fldCharType="end"/>
        </w:r>
      </w:hyperlink>
    </w:p>
    <w:p w14:paraId="7E5A66C5"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4" w:history="1">
        <w:r w:rsidR="00C45EA7" w:rsidRPr="00246A9D">
          <w:rPr>
            <w:rStyle w:val="Hyperlink"/>
            <w:noProof/>
          </w:rPr>
          <w:t>Figure 10: Average monthly nominal and real earnings in Georgia (GEL)</w:t>
        </w:r>
        <w:r w:rsidR="00C45EA7">
          <w:rPr>
            <w:noProof/>
            <w:webHidden/>
          </w:rPr>
          <w:tab/>
        </w:r>
        <w:r w:rsidR="00C45EA7">
          <w:rPr>
            <w:noProof/>
            <w:webHidden/>
          </w:rPr>
          <w:fldChar w:fldCharType="begin"/>
        </w:r>
        <w:r w:rsidR="00C45EA7">
          <w:rPr>
            <w:noProof/>
            <w:webHidden/>
          </w:rPr>
          <w:instrText xml:space="preserve"> PAGEREF _Toc508716354 \h </w:instrText>
        </w:r>
        <w:r w:rsidR="00C45EA7">
          <w:rPr>
            <w:noProof/>
            <w:webHidden/>
          </w:rPr>
        </w:r>
        <w:r w:rsidR="00C45EA7">
          <w:rPr>
            <w:noProof/>
            <w:webHidden/>
          </w:rPr>
          <w:fldChar w:fldCharType="separate"/>
        </w:r>
        <w:r w:rsidR="00C45EA7">
          <w:rPr>
            <w:noProof/>
            <w:webHidden/>
          </w:rPr>
          <w:t>20</w:t>
        </w:r>
        <w:r w:rsidR="00C45EA7">
          <w:rPr>
            <w:noProof/>
            <w:webHidden/>
          </w:rPr>
          <w:fldChar w:fldCharType="end"/>
        </w:r>
      </w:hyperlink>
    </w:p>
    <w:p w14:paraId="6D259FE8"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5" w:history="1">
        <w:r w:rsidR="00C45EA7" w:rsidRPr="00246A9D">
          <w:rPr>
            <w:rStyle w:val="Hyperlink"/>
            <w:noProof/>
          </w:rPr>
          <w:t>Figure 11: Average monthly income and expenditure per household in Georgia (GEL)</w:t>
        </w:r>
        <w:r w:rsidR="00C45EA7">
          <w:rPr>
            <w:noProof/>
            <w:webHidden/>
          </w:rPr>
          <w:tab/>
        </w:r>
        <w:r w:rsidR="00C45EA7">
          <w:rPr>
            <w:noProof/>
            <w:webHidden/>
          </w:rPr>
          <w:fldChar w:fldCharType="begin"/>
        </w:r>
        <w:r w:rsidR="00C45EA7">
          <w:rPr>
            <w:noProof/>
            <w:webHidden/>
          </w:rPr>
          <w:instrText xml:space="preserve"> PAGEREF _Toc508716355 \h </w:instrText>
        </w:r>
        <w:r w:rsidR="00C45EA7">
          <w:rPr>
            <w:noProof/>
            <w:webHidden/>
          </w:rPr>
        </w:r>
        <w:r w:rsidR="00C45EA7">
          <w:rPr>
            <w:noProof/>
            <w:webHidden/>
          </w:rPr>
          <w:fldChar w:fldCharType="separate"/>
        </w:r>
        <w:r w:rsidR="00C45EA7">
          <w:rPr>
            <w:noProof/>
            <w:webHidden/>
          </w:rPr>
          <w:t>21</w:t>
        </w:r>
        <w:r w:rsidR="00C45EA7">
          <w:rPr>
            <w:noProof/>
            <w:webHidden/>
          </w:rPr>
          <w:fldChar w:fldCharType="end"/>
        </w:r>
      </w:hyperlink>
    </w:p>
    <w:p w14:paraId="5774695C"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6" w:history="1">
        <w:r w:rsidR="00C45EA7" w:rsidRPr="00246A9D">
          <w:rPr>
            <w:rStyle w:val="Hyperlink"/>
            <w:rFonts w:asciiTheme="majorHAnsi" w:hAnsiTheme="majorHAnsi" w:cstheme="majorHAnsi"/>
            <w:noProof/>
          </w:rPr>
          <w:t>Figure 12: Structure of total average income per capita in Georgia</w:t>
        </w:r>
        <w:r w:rsidR="00C45EA7">
          <w:rPr>
            <w:noProof/>
            <w:webHidden/>
          </w:rPr>
          <w:tab/>
        </w:r>
        <w:r w:rsidR="00C45EA7">
          <w:rPr>
            <w:noProof/>
            <w:webHidden/>
          </w:rPr>
          <w:fldChar w:fldCharType="begin"/>
        </w:r>
        <w:r w:rsidR="00C45EA7">
          <w:rPr>
            <w:noProof/>
            <w:webHidden/>
          </w:rPr>
          <w:instrText xml:space="preserve"> PAGEREF _Toc508716356 \h </w:instrText>
        </w:r>
        <w:r w:rsidR="00C45EA7">
          <w:rPr>
            <w:noProof/>
            <w:webHidden/>
          </w:rPr>
        </w:r>
        <w:r w:rsidR="00C45EA7">
          <w:rPr>
            <w:noProof/>
            <w:webHidden/>
          </w:rPr>
          <w:fldChar w:fldCharType="separate"/>
        </w:r>
        <w:r w:rsidR="00C45EA7">
          <w:rPr>
            <w:noProof/>
            <w:webHidden/>
          </w:rPr>
          <w:t>22</w:t>
        </w:r>
        <w:r w:rsidR="00C45EA7">
          <w:rPr>
            <w:noProof/>
            <w:webHidden/>
          </w:rPr>
          <w:fldChar w:fldCharType="end"/>
        </w:r>
      </w:hyperlink>
    </w:p>
    <w:p w14:paraId="27FAE5C9" w14:textId="77777777" w:rsidR="00C45EA7" w:rsidRDefault="003B271A" w:rsidP="00BD2D67">
      <w:pPr>
        <w:pStyle w:val="TableofFigures"/>
        <w:tabs>
          <w:tab w:val="right" w:leader="dot" w:pos="9350"/>
        </w:tabs>
        <w:spacing w:line="360" w:lineRule="auto"/>
        <w:rPr>
          <w:rFonts w:eastAsiaTheme="minorEastAsia" w:cstheme="minorBidi"/>
          <w:noProof/>
          <w:sz w:val="22"/>
          <w:szCs w:val="22"/>
        </w:rPr>
      </w:pPr>
      <w:hyperlink w:anchor="_Toc508716357" w:history="1">
        <w:r w:rsidR="00C45EA7" w:rsidRPr="00246A9D">
          <w:rPr>
            <w:rStyle w:val="Hyperlink"/>
            <w:noProof/>
          </w:rPr>
          <w:t>Figure 13: Structure of total average monthly expenditure per capita in Georgia</w:t>
        </w:r>
        <w:r w:rsidR="00C45EA7">
          <w:rPr>
            <w:noProof/>
            <w:webHidden/>
          </w:rPr>
          <w:tab/>
        </w:r>
        <w:r w:rsidR="00C45EA7">
          <w:rPr>
            <w:noProof/>
            <w:webHidden/>
          </w:rPr>
          <w:fldChar w:fldCharType="begin"/>
        </w:r>
        <w:r w:rsidR="00C45EA7">
          <w:rPr>
            <w:noProof/>
            <w:webHidden/>
          </w:rPr>
          <w:instrText xml:space="preserve"> PAGEREF _Toc508716357 \h </w:instrText>
        </w:r>
        <w:r w:rsidR="00C45EA7">
          <w:rPr>
            <w:noProof/>
            <w:webHidden/>
          </w:rPr>
        </w:r>
        <w:r w:rsidR="00C45EA7">
          <w:rPr>
            <w:noProof/>
            <w:webHidden/>
          </w:rPr>
          <w:fldChar w:fldCharType="separate"/>
        </w:r>
        <w:r w:rsidR="00C45EA7">
          <w:rPr>
            <w:noProof/>
            <w:webHidden/>
          </w:rPr>
          <w:t>23</w:t>
        </w:r>
        <w:r w:rsidR="00C45EA7">
          <w:rPr>
            <w:noProof/>
            <w:webHidden/>
          </w:rPr>
          <w:fldChar w:fldCharType="end"/>
        </w:r>
      </w:hyperlink>
    </w:p>
    <w:p w14:paraId="5F4E110E" w14:textId="77777777" w:rsidR="00B46AFF" w:rsidRPr="005E2BB6" w:rsidRDefault="00C45EA7" w:rsidP="00332FC3">
      <w:pPr>
        <w:spacing w:after="0" w:line="259" w:lineRule="auto"/>
        <w:rPr>
          <w:sz w:val="28"/>
          <w:szCs w:val="28"/>
        </w:rPr>
      </w:pPr>
      <w:r>
        <w:rPr>
          <w:sz w:val="28"/>
          <w:szCs w:val="28"/>
        </w:rPr>
        <w:fldChar w:fldCharType="end"/>
      </w:r>
    </w:p>
    <w:p w14:paraId="50F13966" w14:textId="77777777" w:rsidR="00332FC3" w:rsidRDefault="00332FC3" w:rsidP="00332FC3">
      <w:pPr>
        <w:spacing w:before="240" w:after="0" w:line="360" w:lineRule="auto"/>
        <w:jc w:val="both"/>
      </w:pPr>
    </w:p>
    <w:p w14:paraId="5133ECCC" w14:textId="77777777" w:rsidR="00E7073D" w:rsidRDefault="00E7073D" w:rsidP="00C17F6B">
      <w:pPr>
        <w:pStyle w:val="Heading1"/>
        <w:numPr>
          <w:ilvl w:val="0"/>
          <w:numId w:val="0"/>
        </w:numPr>
        <w:rPr>
          <w:rFonts w:eastAsia="Times New Roman"/>
        </w:rPr>
      </w:pPr>
      <w:bookmarkStart w:id="12" w:name="_Toc508721111"/>
      <w:bookmarkStart w:id="13" w:name="_Toc508721254"/>
      <w:bookmarkStart w:id="14" w:name="_Toc508722260"/>
    </w:p>
    <w:p w14:paraId="501039C8" w14:textId="77777777" w:rsidR="005E2BB6" w:rsidRDefault="00332FC3" w:rsidP="00C17F6B">
      <w:pPr>
        <w:pStyle w:val="Heading1"/>
        <w:numPr>
          <w:ilvl w:val="0"/>
          <w:numId w:val="0"/>
        </w:numPr>
      </w:pPr>
      <w:r w:rsidRPr="005E2BB6">
        <w:rPr>
          <w:rFonts w:eastAsia="Times New Roman"/>
        </w:rPr>
        <w:t>Executive Summary</w:t>
      </w:r>
      <w:bookmarkEnd w:id="12"/>
      <w:bookmarkEnd w:id="13"/>
      <w:bookmarkEnd w:id="14"/>
    </w:p>
    <w:p w14:paraId="1985882C" w14:textId="77777777" w:rsidR="00C17F6B" w:rsidRDefault="00C17F6B" w:rsidP="001C0EC9"/>
    <w:p w14:paraId="32C5C3A5" w14:textId="77777777" w:rsidR="00F14B20" w:rsidRDefault="00454935" w:rsidP="00F14B20">
      <w:pPr>
        <w:spacing w:after="160" w:line="360" w:lineRule="auto"/>
        <w:jc w:val="both"/>
        <w:rPr>
          <w:rStyle w:val="Emphasis"/>
          <w:bCs/>
          <w:i w:val="0"/>
          <w:iCs w:val="0"/>
        </w:rPr>
      </w:pPr>
      <w:r>
        <w:rPr>
          <w:rStyle w:val="Emphasis"/>
          <w:bCs/>
          <w:i w:val="0"/>
          <w:iCs w:val="0"/>
        </w:rPr>
        <w:t>This</w:t>
      </w:r>
      <w:r w:rsidR="00D17838">
        <w:rPr>
          <w:rStyle w:val="Emphasis"/>
          <w:bCs/>
          <w:i w:val="0"/>
          <w:iCs w:val="0"/>
        </w:rPr>
        <w:t xml:space="preserve"> report</w:t>
      </w:r>
      <w:r>
        <w:rPr>
          <w:rStyle w:val="Emphasis"/>
          <w:bCs/>
          <w:i w:val="0"/>
          <w:iCs w:val="0"/>
        </w:rPr>
        <w:t xml:space="preserve"> seeks to reflect current socio-ec</w:t>
      </w:r>
      <w:r w:rsidR="00D17838">
        <w:rPr>
          <w:rStyle w:val="Emphasis"/>
          <w:bCs/>
          <w:i w:val="0"/>
          <w:iCs w:val="0"/>
        </w:rPr>
        <w:t xml:space="preserve">onomic developments in Georgia. It </w:t>
      </w:r>
      <w:r w:rsidR="00223D4D">
        <w:rPr>
          <w:rStyle w:val="Emphasis"/>
          <w:bCs/>
          <w:i w:val="0"/>
          <w:iCs w:val="0"/>
        </w:rPr>
        <w:t>serves to provide</w:t>
      </w:r>
      <w:r w:rsidR="00D17838">
        <w:rPr>
          <w:rStyle w:val="Emphasis"/>
          <w:bCs/>
          <w:i w:val="0"/>
          <w:iCs w:val="0"/>
        </w:rPr>
        <w:t xml:space="preserve"> an updated review and analysis of past and forecasted economic growth, inflation dynamics, </w:t>
      </w:r>
      <w:r w:rsidR="00223D4D">
        <w:rPr>
          <w:rStyle w:val="Emphasis"/>
          <w:bCs/>
          <w:i w:val="0"/>
          <w:iCs w:val="0"/>
        </w:rPr>
        <w:t>key labo</w:t>
      </w:r>
      <w:r w:rsidR="00A60FB2">
        <w:rPr>
          <w:rStyle w:val="Emphasis"/>
          <w:bCs/>
          <w:i w:val="0"/>
          <w:iCs w:val="0"/>
        </w:rPr>
        <w:t>u</w:t>
      </w:r>
      <w:r w:rsidR="00223D4D">
        <w:rPr>
          <w:rStyle w:val="Emphasis"/>
          <w:bCs/>
          <w:i w:val="0"/>
          <w:iCs w:val="0"/>
        </w:rPr>
        <w:t>r market trends, household i</w:t>
      </w:r>
      <w:r w:rsidR="00DD5013">
        <w:rPr>
          <w:rStyle w:val="Emphasis"/>
          <w:bCs/>
          <w:i w:val="0"/>
          <w:iCs w:val="0"/>
        </w:rPr>
        <w:t>ncome and expenditure structures</w:t>
      </w:r>
      <w:r w:rsidR="00223D4D">
        <w:rPr>
          <w:rStyle w:val="Emphasis"/>
          <w:bCs/>
          <w:i w:val="0"/>
          <w:iCs w:val="0"/>
        </w:rPr>
        <w:t xml:space="preserve"> as well as </w:t>
      </w:r>
      <w:r w:rsidR="0085686C">
        <w:rPr>
          <w:rStyle w:val="Emphasis"/>
          <w:bCs/>
          <w:i w:val="0"/>
          <w:iCs w:val="0"/>
        </w:rPr>
        <w:t xml:space="preserve">the state budget and its coverage. </w:t>
      </w:r>
    </w:p>
    <w:p w14:paraId="67EF6B9A" w14:textId="77777777" w:rsidR="006354B1" w:rsidRPr="00EB0B9A" w:rsidRDefault="00F14B20" w:rsidP="000F494E">
      <w:pPr>
        <w:spacing w:after="160" w:line="360" w:lineRule="auto"/>
        <w:jc w:val="both"/>
        <w:rPr>
          <w:rStyle w:val="Emphasis"/>
          <w:bCs/>
          <w:i w:val="0"/>
          <w:iCs w:val="0"/>
          <w:color w:val="000000" w:themeColor="text1"/>
        </w:rPr>
      </w:pPr>
      <w:r w:rsidRPr="00EB0B9A">
        <w:rPr>
          <w:rStyle w:val="Emphasis"/>
          <w:bCs/>
          <w:i w:val="0"/>
          <w:iCs w:val="0"/>
          <w:color w:val="000000" w:themeColor="text1"/>
        </w:rPr>
        <w:t xml:space="preserve">The economy of Georgia </w:t>
      </w:r>
      <w:r w:rsidR="00EB0B9A">
        <w:rPr>
          <w:rStyle w:val="Emphasis"/>
          <w:bCs/>
          <w:i w:val="0"/>
          <w:iCs w:val="0"/>
          <w:color w:val="000000" w:themeColor="text1"/>
        </w:rPr>
        <w:t xml:space="preserve">rebounded </w:t>
      </w:r>
      <w:r w:rsidRPr="00EB0B9A">
        <w:rPr>
          <w:rStyle w:val="Emphasis"/>
          <w:bCs/>
          <w:i w:val="0"/>
          <w:iCs w:val="0"/>
          <w:color w:val="000000" w:themeColor="text1"/>
        </w:rPr>
        <w:t>in 2017 on the back of strong export performance, fast-growing tourism</w:t>
      </w:r>
      <w:r w:rsidR="002821AF">
        <w:rPr>
          <w:rStyle w:val="Emphasis"/>
          <w:bCs/>
          <w:i w:val="0"/>
          <w:iCs w:val="0"/>
          <w:color w:val="000000" w:themeColor="text1"/>
        </w:rPr>
        <w:t>,</w:t>
      </w:r>
      <w:r w:rsidRPr="00EB0B9A">
        <w:rPr>
          <w:rStyle w:val="Emphasis"/>
          <w:bCs/>
          <w:i w:val="0"/>
          <w:iCs w:val="0"/>
          <w:color w:val="000000" w:themeColor="text1"/>
        </w:rPr>
        <w:t xml:space="preserve"> and increasing remittances. According to the Geostat Rapid Estimates of Economic Growth report (2017), real GDP average growth in the fourth quarter of 2017 stood at 4.7% and in 2017 it equaled 4.8%, following two years of below 3% growth in 2015 -16. </w:t>
      </w:r>
    </w:p>
    <w:p w14:paraId="66FFEAE7" w14:textId="77777777" w:rsidR="00177B51" w:rsidRDefault="00373049" w:rsidP="00177B51">
      <w:pPr>
        <w:spacing w:after="160" w:line="360" w:lineRule="auto"/>
        <w:jc w:val="both"/>
        <w:rPr>
          <w:color w:val="000000"/>
        </w:rPr>
      </w:pPr>
      <w:r>
        <w:rPr>
          <w:color w:val="000000"/>
        </w:rPr>
        <w:t xml:space="preserve">As a matter of fact, </w:t>
      </w:r>
      <w:r w:rsidRPr="003B271A">
        <w:rPr>
          <w:color w:val="000000"/>
          <w:highlight w:val="cyan"/>
        </w:rPr>
        <w:t xml:space="preserve">headline inflation edged up to 7.6% in July 2017 compared to July 2015. In the same time interval, the greatest pressure on the consumer price changes </w:t>
      </w:r>
      <w:r w:rsidR="00177B51" w:rsidRPr="003B271A">
        <w:rPr>
          <w:color w:val="000000"/>
          <w:highlight w:val="cyan"/>
        </w:rPr>
        <w:t>came from the non-alcoholic beverages (up 8.3%), alcoholic beverages and tobacco (up 32.6%) and healthcare products and services (up 11.3%)</w:t>
      </w:r>
      <w:r w:rsidR="00A95435" w:rsidRPr="003B271A">
        <w:rPr>
          <w:color w:val="000000"/>
          <w:highlight w:val="cyan"/>
        </w:rPr>
        <w:t xml:space="preserve"> groups.</w:t>
      </w:r>
      <w:r w:rsidR="00A95435">
        <w:rPr>
          <w:color w:val="000000"/>
        </w:rPr>
        <w:t xml:space="preserve"> </w:t>
      </w:r>
    </w:p>
    <w:p w14:paraId="02E398B5" w14:textId="77777777" w:rsidR="00DA4DA9" w:rsidRDefault="00B74FDF" w:rsidP="00184E70">
      <w:pPr>
        <w:spacing w:after="160" w:line="360" w:lineRule="auto"/>
        <w:jc w:val="both"/>
        <w:rPr>
          <w:color w:val="000000" w:themeColor="text1"/>
          <w:shd w:val="clear" w:color="auto" w:fill="FFFFFF"/>
        </w:rPr>
      </w:pPr>
      <w:r w:rsidRPr="00661400">
        <w:t xml:space="preserve">Overall, between 2010 and 2016, the unemployment rate in Georgia fell from 16.3% to </w:t>
      </w:r>
      <w:r>
        <w:t>11.8%.</w:t>
      </w:r>
      <w:r w:rsidR="00EF3305">
        <w:t xml:space="preserve"> Interestingly enough, unemployment rate together with an employment rate declined in 2016 compared to the previous year. Both indicators dropped by 0.2 percentage points (unemployment in 2016 - 11.8%, in 2015 - 12%; employment in 2016 - 59.5%, in 2015 - 59.7%). </w:t>
      </w:r>
      <w:r w:rsidR="00FF5113">
        <w:rPr>
          <w:rStyle w:val="Emphasis"/>
          <w:i w:val="0"/>
          <w:iCs w:val="0"/>
          <w:color w:val="000000" w:themeColor="text1"/>
          <w:shd w:val="clear" w:color="auto" w:fill="FFFFFF"/>
        </w:rPr>
        <w:t xml:space="preserve">The average Georgian earned 940.0 GEL per month in 2016, up from 597.6 in 2010 (see Figure 10). The annual growth rate of the average monthly nominal salary stood at 4.4% in 2016 compared to the previous year. </w:t>
      </w:r>
      <w:r w:rsidR="00FD7BB2">
        <w:rPr>
          <w:rStyle w:val="Emphasis"/>
          <w:i w:val="0"/>
          <w:iCs w:val="0"/>
          <w:color w:val="000000" w:themeColor="text1"/>
          <w:shd w:val="clear" w:color="auto" w:fill="FFFFFF"/>
        </w:rPr>
        <w:t xml:space="preserve">In the same period, real salary </w:t>
      </w:r>
      <w:r w:rsidR="00FF5113">
        <w:rPr>
          <w:rStyle w:val="Emphasis"/>
          <w:i w:val="0"/>
          <w:iCs w:val="0"/>
          <w:color w:val="000000" w:themeColor="text1"/>
          <w:shd w:val="clear" w:color="auto" w:fill="FFFFFF"/>
        </w:rPr>
        <w:t xml:space="preserve">adjusted for </w:t>
      </w:r>
      <w:r w:rsidR="00FF5113" w:rsidRPr="003B271A">
        <w:rPr>
          <w:rStyle w:val="Emphasis"/>
          <w:i w:val="0"/>
          <w:iCs w:val="0"/>
          <w:color w:val="000000" w:themeColor="text1"/>
          <w:highlight w:val="cyan"/>
          <w:shd w:val="clear" w:color="auto" w:fill="FFFFFF"/>
        </w:rPr>
        <w:t xml:space="preserve">2010 prices increased by 2.2%. </w:t>
      </w:r>
      <w:r w:rsidR="00750E25" w:rsidRPr="003B271A">
        <w:rPr>
          <w:color w:val="000000" w:themeColor="text1"/>
          <w:highlight w:val="cyan"/>
          <w:shd w:val="clear" w:color="auto" w:fill="FFFFFF"/>
        </w:rPr>
        <w:t>In accordance with official statistics, the average monthly income</w:t>
      </w:r>
      <w:r w:rsidR="00750E25" w:rsidRPr="003B271A">
        <w:rPr>
          <w:color w:val="000000" w:themeColor="text1"/>
          <w:highlight w:val="cyan"/>
          <w:shd w:val="clear" w:color="auto" w:fill="FFFFFF"/>
          <w:vertAlign w:val="superscript"/>
        </w:rPr>
        <w:t xml:space="preserve"> </w:t>
      </w:r>
      <w:r w:rsidR="00750E25" w:rsidRPr="003B271A">
        <w:rPr>
          <w:color w:val="000000" w:themeColor="text1"/>
          <w:highlight w:val="cyan"/>
          <w:shd w:val="clear" w:color="auto" w:fill="FFFFFF"/>
        </w:rPr>
        <w:t>per household increased by 1.6 times from 2010 to 2016. This translates to almost 9.1% of year-to-year growth.</w:t>
      </w:r>
      <w:r w:rsidR="00F5006A" w:rsidRPr="003B271A">
        <w:rPr>
          <w:color w:val="000000" w:themeColor="text1"/>
          <w:highlight w:val="cyan"/>
          <w:shd w:val="clear" w:color="auto" w:fill="FFFFFF"/>
        </w:rPr>
        <w:t xml:space="preserve"> </w:t>
      </w:r>
      <w:r w:rsidR="00F5006A" w:rsidRPr="003B271A">
        <w:rPr>
          <w:color w:val="000000"/>
          <w:highlight w:val="cyan"/>
        </w:rPr>
        <w:t>Meanwhile</w:t>
      </w:r>
      <w:r w:rsidR="00DA4DA9" w:rsidRPr="003B271A">
        <w:rPr>
          <w:color w:val="000000"/>
          <w:highlight w:val="cyan"/>
        </w:rPr>
        <w:t>, average monthly expenditure surged by 1.7 times (9.2% of year-to-year growth)</w:t>
      </w:r>
      <w:r w:rsidR="00DA4DA9" w:rsidRPr="003B271A">
        <w:rPr>
          <w:color w:val="000000" w:themeColor="text1"/>
          <w:highlight w:val="cyan"/>
          <w:shd w:val="clear" w:color="auto" w:fill="FFFFFF"/>
        </w:rPr>
        <w:t>.</w:t>
      </w:r>
      <w:r w:rsidR="00DA4DA9">
        <w:rPr>
          <w:color w:val="000000" w:themeColor="text1"/>
          <w:shd w:val="clear" w:color="auto" w:fill="FFFFFF"/>
        </w:rPr>
        <w:t xml:space="preserve"> </w:t>
      </w:r>
    </w:p>
    <w:p w14:paraId="706603BC" w14:textId="77777777" w:rsidR="009377F8" w:rsidRPr="009377F8" w:rsidRDefault="00A4765C" w:rsidP="009377F8">
      <w:pPr>
        <w:spacing w:before="240" w:line="360" w:lineRule="auto"/>
        <w:jc w:val="both"/>
      </w:pPr>
      <w:r w:rsidRPr="00B14D7C">
        <w:t xml:space="preserve">In 2017, the state budget of Georgia amounted </w:t>
      </w:r>
      <w:r>
        <w:t xml:space="preserve">to </w:t>
      </w:r>
      <w:r w:rsidRPr="00B14D7C">
        <w:t xml:space="preserve">10.17 billion GEL. Aggregate </w:t>
      </w:r>
      <w:r>
        <w:t xml:space="preserve">government spending </w:t>
      </w:r>
      <w:r w:rsidRPr="00B14D7C">
        <w:t xml:space="preserve">is </w:t>
      </w:r>
      <w:r>
        <w:t xml:space="preserve">projected </w:t>
      </w:r>
      <w:r w:rsidRPr="00B14D7C">
        <w:t xml:space="preserve">to </w:t>
      </w:r>
      <w:r>
        <w:t xml:space="preserve">be </w:t>
      </w:r>
      <w:r w:rsidRPr="00B14D7C">
        <w:t>1</w:t>
      </w:r>
      <w:r>
        <w:t>1.35 billion GEL in 2018, 11.6% increase compared to the last year.</w:t>
      </w:r>
    </w:p>
    <w:p w14:paraId="14AA350B" w14:textId="77777777" w:rsidR="002647CC" w:rsidRDefault="005E2BB6" w:rsidP="00BD1B29">
      <w:pPr>
        <w:pStyle w:val="Heading1"/>
        <w:spacing w:before="0" w:after="240"/>
      </w:pPr>
      <w:bookmarkStart w:id="15" w:name="_Toc508719868"/>
      <w:bookmarkStart w:id="16" w:name="_Toc508721112"/>
      <w:bookmarkStart w:id="17" w:name="_Toc508721255"/>
      <w:bookmarkStart w:id="18" w:name="_Toc508722261"/>
      <w:r w:rsidRPr="00621AB0">
        <w:lastRenderedPageBreak/>
        <w:t>Country Economic Performance</w:t>
      </w:r>
      <w:bookmarkEnd w:id="15"/>
      <w:bookmarkEnd w:id="16"/>
      <w:bookmarkEnd w:id="17"/>
      <w:bookmarkEnd w:id="18"/>
      <w:r w:rsidRPr="00621AB0">
        <w:t xml:space="preserve"> </w:t>
      </w:r>
    </w:p>
    <w:p w14:paraId="60C1A735" w14:textId="77777777" w:rsidR="00064AF3" w:rsidRDefault="004D287B" w:rsidP="00BD1B29">
      <w:pPr>
        <w:spacing w:after="240" w:line="360" w:lineRule="auto"/>
        <w:jc w:val="both"/>
      </w:pPr>
      <w:r>
        <w:t xml:space="preserve">Sweeping reforms, </w:t>
      </w:r>
      <w:r w:rsidR="001E3C96" w:rsidRPr="00C70E68">
        <w:t xml:space="preserve">designed to transform Georgia’s business and economic environment, have been the mainstay of the country’s history since 2003. In particular, macroeconomic, business environment, taxation, financial system and employment policy reforms alongside with deregulation in all areas have turned around much of the country’s social and economic standing. </w:t>
      </w:r>
    </w:p>
    <w:p w14:paraId="00388FA6" w14:textId="77777777" w:rsidR="00202991" w:rsidRDefault="00202991" w:rsidP="00AA2F28">
      <w:pPr>
        <w:spacing w:line="360" w:lineRule="auto"/>
        <w:jc w:val="both"/>
      </w:pPr>
      <w:r w:rsidRPr="00C70E68">
        <w:t>As a result of economic liberalization, backed by evident pro-Western leanings, Georgia’s economy has taken a giant step forward in improving competitiveness and attracting new businesses.</w:t>
      </w:r>
      <w:r>
        <w:t xml:space="preserve"> </w:t>
      </w:r>
    </w:p>
    <w:p w14:paraId="14EB7C4B" w14:textId="77777777" w:rsidR="00C17F6B" w:rsidRDefault="002045CB" w:rsidP="00C17F6B">
      <w:pPr>
        <w:spacing w:line="360" w:lineRule="auto"/>
        <w:jc w:val="both"/>
      </w:pPr>
      <w:r>
        <w:t>In the span of the last 10 years (</w:t>
      </w:r>
      <w:r w:rsidR="00BB68AB">
        <w:t xml:space="preserve">2007-2017), Georgia has significantly improved its position </w:t>
      </w:r>
      <w:r w:rsidR="005677D7">
        <w:t>in numerous prominent international rankings.</w:t>
      </w:r>
      <w:r w:rsidR="001E47ED">
        <w:t xml:space="preserve"> </w:t>
      </w:r>
      <w:r w:rsidR="001A242F">
        <w:t>For instance, Georgia holds 16</w:t>
      </w:r>
      <w:r w:rsidR="001A242F" w:rsidRPr="0049631B">
        <w:rPr>
          <w:vertAlign w:val="superscript"/>
        </w:rPr>
        <w:t>th</w:t>
      </w:r>
      <w:r w:rsidR="001A242F">
        <w:t xml:space="preserve"> place among 180 other economies worldwide and 9</w:t>
      </w:r>
      <w:r w:rsidR="001A242F" w:rsidRPr="0049631B">
        <w:rPr>
          <w:vertAlign w:val="superscript"/>
        </w:rPr>
        <w:t>th</w:t>
      </w:r>
      <w:r w:rsidR="001A242F">
        <w:t xml:space="preserve"> place in the European region </w:t>
      </w:r>
      <w:r w:rsidR="001E47ED">
        <w:t xml:space="preserve">in the 2018 Index of Economic Freedom, published by the Heritage Foundation. </w:t>
      </w:r>
      <w:r w:rsidR="005B4B63">
        <w:t>It is noteworthy, that World Bank’s “Ease of Doing Business Index 2018</w:t>
      </w:r>
      <w:r w:rsidR="00AA2F28">
        <w:t>”</w:t>
      </w:r>
      <w:r w:rsidR="00CB6316">
        <w:t>,</w:t>
      </w:r>
      <w:r w:rsidR="005B4B63">
        <w:t xml:space="preserve"> rank</w:t>
      </w:r>
      <w:r w:rsidR="00F814CD">
        <w:t xml:space="preserve">s Georgia </w:t>
      </w:r>
      <w:r w:rsidR="00332EE9">
        <w:t xml:space="preserve">as the top performer </w:t>
      </w:r>
      <w:r w:rsidR="00CB6316">
        <w:t>in Europe and Central Asia (ECA) region</w:t>
      </w:r>
      <w:r w:rsidR="00AA2F28">
        <w:t xml:space="preserve"> and it holds</w:t>
      </w:r>
      <w:r w:rsidR="00CB6316">
        <w:t xml:space="preserve"> 9</w:t>
      </w:r>
      <w:r w:rsidR="00CB6316" w:rsidRPr="00CB6316">
        <w:rPr>
          <w:vertAlign w:val="superscript"/>
        </w:rPr>
        <w:t>th</w:t>
      </w:r>
      <w:r w:rsidR="00CB6316">
        <w:t xml:space="preserve"> place out of 190 countries </w:t>
      </w:r>
      <w:bookmarkStart w:id="19" w:name="_Toc508719869"/>
      <w:r w:rsidR="00C17F6B">
        <w:t>globally.</w:t>
      </w:r>
    </w:p>
    <w:p w14:paraId="290C0A70" w14:textId="77777777" w:rsidR="00064AF3" w:rsidRPr="005E2CC3" w:rsidRDefault="00064AF3" w:rsidP="00C17F6B">
      <w:pPr>
        <w:pStyle w:val="Heading2"/>
        <w:numPr>
          <w:ilvl w:val="1"/>
          <w:numId w:val="32"/>
        </w:numPr>
        <w:rPr>
          <w:b/>
          <w:i/>
        </w:rPr>
      </w:pPr>
      <w:bookmarkStart w:id="20" w:name="_Toc508721113"/>
      <w:bookmarkStart w:id="21" w:name="_Toc508721256"/>
      <w:bookmarkStart w:id="22" w:name="_Toc508722262"/>
      <w:r w:rsidRPr="005E2CC3">
        <w:rPr>
          <w:rStyle w:val="Heading2Char"/>
          <w:b/>
          <w:i/>
        </w:rPr>
        <w:t>Gross Domestic Product (GDP</w:t>
      </w:r>
      <w:r w:rsidRPr="005E2CC3">
        <w:rPr>
          <w:b/>
          <w:i/>
        </w:rPr>
        <w:t>)</w:t>
      </w:r>
      <w:bookmarkEnd w:id="19"/>
      <w:bookmarkEnd w:id="20"/>
      <w:bookmarkEnd w:id="21"/>
      <w:bookmarkEnd w:id="22"/>
      <w:r w:rsidRPr="005E2CC3">
        <w:rPr>
          <w:b/>
          <w:i/>
        </w:rPr>
        <w:t xml:space="preserve"> </w:t>
      </w:r>
      <w:r w:rsidR="00621AB0" w:rsidRPr="005E2CC3">
        <w:rPr>
          <w:b/>
          <w:i/>
        </w:rPr>
        <w:t xml:space="preserve"> </w:t>
      </w:r>
    </w:p>
    <w:p w14:paraId="4DF92D94" w14:textId="77777777" w:rsidR="003C16A1" w:rsidRDefault="00E779E0" w:rsidP="003C16A1">
      <w:pPr>
        <w:spacing w:before="240" w:line="360" w:lineRule="auto"/>
        <w:jc w:val="both"/>
      </w:pPr>
      <w:r>
        <w:t>The Georgian economy achieved robust growth performance</w:t>
      </w:r>
      <w:r w:rsidR="00C90F2F">
        <w:t xml:space="preserve"> between 2010-2016</w:t>
      </w:r>
      <w:r>
        <w:t xml:space="preserve">, </w:t>
      </w:r>
      <w:r w:rsidR="005A3CB1">
        <w:t xml:space="preserve">averaging 5% </w:t>
      </w:r>
      <w:r w:rsidR="00E23D78">
        <w:t xml:space="preserve">in real terms </w:t>
      </w:r>
      <w:r w:rsidR="005A3CB1">
        <w:t>annually.</w:t>
      </w:r>
      <w:r w:rsidR="006E31AB">
        <w:t xml:space="preserve"> In 2016, Gross Domestic Product (GDP) of Georgia at current prices totaled GEL 34</w:t>
      </w:r>
      <w:r w:rsidR="006E31AB">
        <w:rPr>
          <w:rFonts w:ascii="Sylfaen" w:hAnsi="Sylfaen"/>
          <w:lang w:val="ka-GE"/>
        </w:rPr>
        <w:t>,</w:t>
      </w:r>
      <w:r w:rsidR="0008148F">
        <w:t xml:space="preserve">028.5 million and the per capita GDP </w:t>
      </w:r>
      <w:r w:rsidR="006C192F">
        <w:t>also took</w:t>
      </w:r>
      <w:r w:rsidR="0008148F">
        <w:t xml:space="preserve"> a growth pace reaching GEL </w:t>
      </w:r>
      <w:r w:rsidR="00F95EA0">
        <w:t>9146, a 7% increase as compared to the last year (see Figure 1).</w:t>
      </w:r>
      <w:r w:rsidR="002B7092">
        <w:t xml:space="preserve"> </w:t>
      </w:r>
      <w:r w:rsidR="003C16A1">
        <w:t xml:space="preserve">In the same period the largest contributors in the sectoral structure of GDP were industry (16.4%) and trade services (17.0%), followed by transport and communication services (9.9%), agriculture, forestry and fishing (9.0%), public administration (9.1%), construction (8.5%), real estate, renting and business activities (6.7%) and health and social work (6.1%). </w:t>
      </w:r>
    </w:p>
    <w:p w14:paraId="6B567056" w14:textId="77777777" w:rsidR="0011392B" w:rsidRDefault="0011392B" w:rsidP="0016118F">
      <w:pPr>
        <w:spacing w:before="240" w:line="360" w:lineRule="auto"/>
        <w:jc w:val="both"/>
        <w:rPr>
          <w:bCs/>
        </w:rPr>
      </w:pPr>
      <w:r w:rsidRPr="000B01F0">
        <w:t xml:space="preserve">Despite the country’s positive economic growth in the past years, Georgia’s macroeconomic outlook </w:t>
      </w:r>
      <w:r w:rsidR="00A31507" w:rsidRPr="000B01F0">
        <w:t>was</w:t>
      </w:r>
      <w:r w:rsidRPr="000B01F0">
        <w:t xml:space="preserve"> deteriorated in 2015 and </w:t>
      </w:r>
      <w:r w:rsidR="0016118F" w:rsidRPr="000B01F0">
        <w:t xml:space="preserve">2016. </w:t>
      </w:r>
      <w:r w:rsidR="00F418AF" w:rsidRPr="000B01F0">
        <w:t xml:space="preserve">Real economic growth rate, i.e. growth rate adjusted for inflation stood at </w:t>
      </w:r>
      <w:r w:rsidR="00C3591A" w:rsidRPr="000B01F0">
        <w:t xml:space="preserve">2.9% </w:t>
      </w:r>
      <w:r w:rsidR="00E5693E" w:rsidRPr="000B01F0">
        <w:t xml:space="preserve">in 2015 </w:t>
      </w:r>
      <w:r w:rsidR="0016118F" w:rsidRPr="000B01F0">
        <w:rPr>
          <w:bCs/>
        </w:rPr>
        <w:t xml:space="preserve">largely because of a weaker external environment, which </w:t>
      </w:r>
      <w:r w:rsidR="0016118F" w:rsidRPr="000B01F0">
        <w:rPr>
          <w:bCs/>
        </w:rPr>
        <w:lastRenderedPageBreak/>
        <w:t>stemmed from the complicated geopolitical situation in the region. The economic downturn in Russia and slower growth in other trading partners (Turkey, Ukraine, Azerbaijan, Armenia) affected Georgia negatively through reduced exports</w:t>
      </w:r>
      <w:r w:rsidR="00932975">
        <w:rPr>
          <w:bCs/>
        </w:rPr>
        <w:t xml:space="preserve"> </w:t>
      </w:r>
      <w:r w:rsidR="00932975" w:rsidRPr="00932975">
        <w:rPr>
          <w:bCs/>
        </w:rPr>
        <w:t>(-</w:t>
      </w:r>
      <w:r w:rsidR="00932975" w:rsidRPr="00932975">
        <w:rPr>
          <w:bCs/>
          <w:lang w:val="ka-GE"/>
        </w:rPr>
        <w:t>22.9%)</w:t>
      </w:r>
      <w:r w:rsidR="00932975">
        <w:rPr>
          <w:rFonts w:ascii="Sylfaen" w:hAnsi="Sylfaen"/>
          <w:bCs/>
          <w:lang w:val="ka-GE"/>
        </w:rPr>
        <w:t xml:space="preserve"> </w:t>
      </w:r>
      <w:r w:rsidR="0016118F" w:rsidRPr="000B01F0">
        <w:rPr>
          <w:bCs/>
        </w:rPr>
        <w:t>and remittances</w:t>
      </w:r>
      <w:r w:rsidR="00932975">
        <w:rPr>
          <w:rFonts w:ascii="Sylfaen" w:hAnsi="Sylfaen"/>
          <w:bCs/>
          <w:lang w:val="ka-GE"/>
        </w:rPr>
        <w:t xml:space="preserve"> </w:t>
      </w:r>
      <w:r w:rsidR="00932975" w:rsidRPr="00932975">
        <w:rPr>
          <w:bCs/>
          <w:lang w:val="ka-GE"/>
        </w:rPr>
        <w:t>(-25.0%)</w:t>
      </w:r>
      <w:r w:rsidR="0016118F" w:rsidRPr="00932975">
        <w:rPr>
          <w:bCs/>
        </w:rPr>
        <w:t>,</w:t>
      </w:r>
      <w:r w:rsidR="0016118F" w:rsidRPr="000B01F0">
        <w:rPr>
          <w:bCs/>
        </w:rPr>
        <w:t xml:space="preserve"> particularly from Russia and Greece.</w:t>
      </w:r>
      <w:r w:rsidR="00932975">
        <w:rPr>
          <w:bCs/>
        </w:rPr>
        <w:t xml:space="preserve"> </w:t>
      </w:r>
      <w:r w:rsidR="001D3DAF">
        <w:rPr>
          <w:bCs/>
        </w:rPr>
        <w:t xml:space="preserve">Despite fiscal stimulus, continued shocks from trade partners decelerated </w:t>
      </w:r>
      <w:r w:rsidR="00012B8E">
        <w:rPr>
          <w:bCs/>
        </w:rPr>
        <w:t>Georgia’s economic performance in 2016. R</w:t>
      </w:r>
      <w:r w:rsidR="001D3DAF">
        <w:rPr>
          <w:bCs/>
        </w:rPr>
        <w:t xml:space="preserve">eal GDP growth </w:t>
      </w:r>
      <w:r w:rsidR="00012B8E">
        <w:rPr>
          <w:bCs/>
        </w:rPr>
        <w:t xml:space="preserve">further slowed down to 2.8%, a 0.1% decrease as compared to </w:t>
      </w:r>
      <w:r w:rsidR="00631182">
        <w:rPr>
          <w:bCs/>
        </w:rPr>
        <w:t xml:space="preserve">the last year (see Figure 1). </w:t>
      </w:r>
    </w:p>
    <w:p w14:paraId="6E2090D2" w14:textId="77777777" w:rsidR="0064358D" w:rsidRPr="0064358D" w:rsidRDefault="0064358D" w:rsidP="0064358D">
      <w:pPr>
        <w:pStyle w:val="Caption"/>
        <w:keepNext/>
        <w:jc w:val="both"/>
        <w:rPr>
          <w:i w:val="0"/>
          <w:color w:val="000000" w:themeColor="text1"/>
          <w:sz w:val="24"/>
          <w:szCs w:val="24"/>
        </w:rPr>
      </w:pPr>
      <w:bookmarkStart w:id="23" w:name="_Toc508716345"/>
      <w:r w:rsidRPr="0064358D">
        <w:rPr>
          <w:i w:val="0"/>
          <w:color w:val="000000" w:themeColor="text1"/>
          <w:sz w:val="24"/>
          <w:szCs w:val="24"/>
        </w:rPr>
        <w:t xml:space="preserve">Figure </w:t>
      </w:r>
      <w:r w:rsidRPr="0064358D">
        <w:rPr>
          <w:i w:val="0"/>
          <w:color w:val="000000" w:themeColor="text1"/>
          <w:sz w:val="24"/>
          <w:szCs w:val="24"/>
        </w:rPr>
        <w:fldChar w:fldCharType="begin"/>
      </w:r>
      <w:r w:rsidRPr="0064358D">
        <w:rPr>
          <w:i w:val="0"/>
          <w:color w:val="000000" w:themeColor="text1"/>
          <w:sz w:val="24"/>
          <w:szCs w:val="24"/>
        </w:rPr>
        <w:instrText xml:space="preserve"> SEQ Figure \* ARABIC </w:instrText>
      </w:r>
      <w:r w:rsidRPr="0064358D">
        <w:rPr>
          <w:i w:val="0"/>
          <w:color w:val="000000" w:themeColor="text1"/>
          <w:sz w:val="24"/>
          <w:szCs w:val="24"/>
        </w:rPr>
        <w:fldChar w:fldCharType="separate"/>
      </w:r>
      <w:r w:rsidR="00C45EA7">
        <w:rPr>
          <w:i w:val="0"/>
          <w:noProof/>
          <w:color w:val="000000" w:themeColor="text1"/>
          <w:sz w:val="24"/>
          <w:szCs w:val="24"/>
        </w:rPr>
        <w:t>1</w:t>
      </w:r>
      <w:r w:rsidRPr="0064358D">
        <w:rPr>
          <w:i w:val="0"/>
          <w:color w:val="000000" w:themeColor="text1"/>
          <w:sz w:val="24"/>
          <w:szCs w:val="24"/>
        </w:rPr>
        <w:fldChar w:fldCharType="end"/>
      </w:r>
      <w:r w:rsidRPr="0064358D">
        <w:rPr>
          <w:i w:val="0"/>
          <w:color w:val="000000" w:themeColor="text1"/>
          <w:sz w:val="24"/>
          <w:szCs w:val="24"/>
        </w:rPr>
        <w:t>: Nominal and real gross domestic product (GDP)</w:t>
      </w:r>
      <w:bookmarkEnd w:id="23"/>
    </w:p>
    <w:p w14:paraId="7260B29C" w14:textId="77777777" w:rsidR="00AD24FE" w:rsidRDefault="00A46A95" w:rsidP="00CC1216">
      <w:pPr>
        <w:spacing w:after="0" w:line="360" w:lineRule="auto"/>
        <w:jc w:val="both"/>
        <w:rPr>
          <w:bCs/>
        </w:rPr>
      </w:pPr>
      <w:r>
        <w:rPr>
          <w:noProof/>
        </w:rPr>
        <w:drawing>
          <wp:inline distT="0" distB="0" distL="0" distR="0" wp14:anchorId="22DEBED6" wp14:editId="564BED29">
            <wp:extent cx="5943600" cy="3496945"/>
            <wp:effectExtent l="0" t="0" r="0"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B1014A" w14:textId="77777777" w:rsidR="00631182" w:rsidRDefault="00CC1216" w:rsidP="00CC1216">
      <w:pPr>
        <w:spacing w:after="0" w:line="360" w:lineRule="auto"/>
        <w:jc w:val="both"/>
        <w:rPr>
          <w:bCs/>
        </w:rPr>
      </w:pPr>
      <w:r>
        <w:rPr>
          <w:bCs/>
        </w:rPr>
        <w:t xml:space="preserve">Source: National Statistics Office of Georgia (Geostat), 2018 </w:t>
      </w:r>
    </w:p>
    <w:p w14:paraId="5B8B15AD" w14:textId="77777777" w:rsidR="006B47B9" w:rsidRPr="006B47B9" w:rsidRDefault="005656B9" w:rsidP="006B47B9">
      <w:pPr>
        <w:spacing w:after="0"/>
        <w:jc w:val="both"/>
        <w:rPr>
          <w:bCs/>
        </w:rPr>
      </w:pPr>
      <w:r w:rsidRPr="005656B9">
        <w:rPr>
          <w:bCs/>
          <w:i/>
        </w:rPr>
        <w:t>Note: Per capita indicators for annual figures of 2015, 2016 and 2017 are compiled in line with updated data from 2014 general population census</w:t>
      </w:r>
      <w:r w:rsidR="006B47B9">
        <w:rPr>
          <w:bCs/>
        </w:rPr>
        <w:t xml:space="preserve">; </w:t>
      </w:r>
      <w:r w:rsidR="006B47B9" w:rsidRPr="006B47B9">
        <w:rPr>
          <w:bCs/>
        </w:rPr>
        <w:t>Real growth rate for the fourth quarter of 2017 is an estimate</w:t>
      </w:r>
      <w:r w:rsidR="006B47B9">
        <w:rPr>
          <w:bCs/>
        </w:rPr>
        <w:t xml:space="preserve">. </w:t>
      </w:r>
      <w:r w:rsidR="006B47B9" w:rsidRPr="006B47B9">
        <w:rPr>
          <w:bCs/>
        </w:rPr>
        <w:t xml:space="preserve"> </w:t>
      </w:r>
    </w:p>
    <w:p w14:paraId="01CB649F" w14:textId="77777777" w:rsidR="00D1586F" w:rsidRDefault="00D92215" w:rsidP="00D13A30">
      <w:pPr>
        <w:spacing w:before="240" w:line="360" w:lineRule="auto"/>
        <w:jc w:val="both"/>
        <w:rPr>
          <w:bCs/>
        </w:rPr>
      </w:pPr>
      <w:r>
        <w:rPr>
          <w:bCs/>
        </w:rPr>
        <w:t>On the supply side</w:t>
      </w:r>
      <w:r w:rsidR="00E5650A">
        <w:rPr>
          <w:bCs/>
        </w:rPr>
        <w:t>,</w:t>
      </w:r>
      <w:r w:rsidR="003953F8">
        <w:rPr>
          <w:bCs/>
        </w:rPr>
        <w:t xml:space="preserve"> the services </w:t>
      </w:r>
      <w:r w:rsidR="00A74092">
        <w:rPr>
          <w:bCs/>
        </w:rPr>
        <w:t>(1.</w:t>
      </w:r>
      <w:r w:rsidR="00296B9C">
        <w:rPr>
          <w:bCs/>
        </w:rPr>
        <w:t>4</w:t>
      </w:r>
      <w:r w:rsidR="004443A7">
        <w:rPr>
          <w:bCs/>
        </w:rPr>
        <w:t xml:space="preserve"> percentage points) and the industrial </w:t>
      </w:r>
      <w:r w:rsidR="003953F8">
        <w:rPr>
          <w:bCs/>
        </w:rPr>
        <w:t>sector</w:t>
      </w:r>
      <w:r w:rsidR="004443A7">
        <w:rPr>
          <w:bCs/>
        </w:rPr>
        <w:t xml:space="preserve">s (1.4 percentage </w:t>
      </w:r>
      <w:r w:rsidR="002F421F">
        <w:rPr>
          <w:bCs/>
        </w:rPr>
        <w:t>points) made a</w:t>
      </w:r>
      <w:r w:rsidR="004443A7">
        <w:rPr>
          <w:bCs/>
        </w:rPr>
        <w:t xml:space="preserve"> </w:t>
      </w:r>
      <w:r w:rsidR="002F421F">
        <w:rPr>
          <w:bCs/>
        </w:rPr>
        <w:t xml:space="preserve">significant </w:t>
      </w:r>
      <w:r w:rsidR="004443A7">
        <w:rPr>
          <w:bCs/>
        </w:rPr>
        <w:t xml:space="preserve">contribution to the economic growth achieved in 2016. </w:t>
      </w:r>
      <w:r w:rsidR="00101A3B">
        <w:rPr>
          <w:bCs/>
        </w:rPr>
        <w:t xml:space="preserve">In addition, the following fields showed high growth </w:t>
      </w:r>
      <w:r w:rsidR="00D72337">
        <w:rPr>
          <w:bCs/>
        </w:rPr>
        <w:t>rates: Mining and quarrying – 9.5%, Construction – 10</w:t>
      </w:r>
      <w:r w:rsidR="00252AFF">
        <w:rPr>
          <w:bCs/>
        </w:rPr>
        <w:t>.0</w:t>
      </w:r>
      <w:r w:rsidR="00D72337">
        <w:rPr>
          <w:bCs/>
        </w:rPr>
        <w:t xml:space="preserve">%, Hotels and restaurants – 12.9%, Financial intermediation – 9.5%, while </w:t>
      </w:r>
      <w:r w:rsidR="006C08D0">
        <w:rPr>
          <w:bCs/>
        </w:rPr>
        <w:t xml:space="preserve">Transport (-3.0%) and Communication (-3.1%) experienced decline. </w:t>
      </w:r>
      <w:r w:rsidR="00252AFF" w:rsidRPr="003B271A">
        <w:rPr>
          <w:bCs/>
          <w:highlight w:val="cyan"/>
        </w:rPr>
        <w:t xml:space="preserve">It should be emphasized that, construction </w:t>
      </w:r>
      <w:r w:rsidR="00D672F3" w:rsidRPr="003B271A">
        <w:rPr>
          <w:bCs/>
          <w:highlight w:val="cyan"/>
        </w:rPr>
        <w:t xml:space="preserve">was a </w:t>
      </w:r>
      <w:r w:rsidR="00D672F3" w:rsidRPr="003B271A">
        <w:rPr>
          <w:bCs/>
          <w:highlight w:val="cyan"/>
        </w:rPr>
        <w:lastRenderedPageBreak/>
        <w:t xml:space="preserve">key driver of GDP growth, which contributed </w:t>
      </w:r>
      <w:r w:rsidR="0019611A" w:rsidRPr="003B271A">
        <w:rPr>
          <w:bCs/>
          <w:highlight w:val="cyan"/>
        </w:rPr>
        <w:t>0.7 percentage points.</w:t>
      </w:r>
      <w:r w:rsidR="0019611A">
        <w:rPr>
          <w:bCs/>
        </w:rPr>
        <w:t xml:space="preserve"> </w:t>
      </w:r>
      <w:r w:rsidR="00AA3B17" w:rsidRPr="003B271A">
        <w:rPr>
          <w:bCs/>
          <w:highlight w:val="cyan"/>
        </w:rPr>
        <w:t xml:space="preserve">The high growth of the construction </w:t>
      </w:r>
      <w:r w:rsidR="00A50602" w:rsidRPr="003B271A">
        <w:rPr>
          <w:bCs/>
          <w:highlight w:val="cyan"/>
        </w:rPr>
        <w:t xml:space="preserve">industry </w:t>
      </w:r>
      <w:r w:rsidR="00AA3B17" w:rsidRPr="003B271A">
        <w:rPr>
          <w:bCs/>
          <w:highlight w:val="cyan"/>
        </w:rPr>
        <w:t xml:space="preserve">was due to government-financed infrastructure projects on the one hand, and </w:t>
      </w:r>
      <w:r w:rsidR="00A50602" w:rsidRPr="003B271A">
        <w:rPr>
          <w:bCs/>
          <w:highlight w:val="cyan"/>
        </w:rPr>
        <w:t>private sector constructions, on the other hand.</w:t>
      </w:r>
      <w:r w:rsidR="00A50602">
        <w:rPr>
          <w:bCs/>
        </w:rPr>
        <w:t xml:space="preserve"> </w:t>
      </w:r>
      <w:r w:rsidR="00CA019A">
        <w:rPr>
          <w:bCs/>
        </w:rPr>
        <w:t xml:space="preserve">Trade, the largest branch of economy, </w:t>
      </w:r>
      <w:r w:rsidR="0055024B">
        <w:rPr>
          <w:bCs/>
        </w:rPr>
        <w:t xml:space="preserve">recovered </w:t>
      </w:r>
      <w:r w:rsidR="00DF49C2">
        <w:rPr>
          <w:bCs/>
        </w:rPr>
        <w:t xml:space="preserve">in 2016 </w:t>
      </w:r>
      <w:r w:rsidR="0055024B">
        <w:rPr>
          <w:bCs/>
        </w:rPr>
        <w:t xml:space="preserve">compared to the previous year and posted 2.4% </w:t>
      </w:r>
      <w:r w:rsidR="0056054D">
        <w:rPr>
          <w:bCs/>
        </w:rPr>
        <w:t xml:space="preserve">growth. </w:t>
      </w:r>
      <w:r w:rsidR="00184DE9">
        <w:rPr>
          <w:bCs/>
        </w:rPr>
        <w:t xml:space="preserve">In 2013-2014, trade grew by 5-6%, whereas in 2015 its growth slowed </w:t>
      </w:r>
      <w:r w:rsidR="00880EA8">
        <w:rPr>
          <w:bCs/>
        </w:rPr>
        <w:t xml:space="preserve">to 0.2%. </w:t>
      </w:r>
      <w:r w:rsidR="00DF7D95">
        <w:rPr>
          <w:bCs/>
        </w:rPr>
        <w:t xml:space="preserve">The manufacturing sector had a considerable share in GDP growth (0.4 percentage points) and, unlike in 2015, the sector accelerated to 4.3% due to improved exports. </w:t>
      </w:r>
    </w:p>
    <w:p w14:paraId="72DFD8E9" w14:textId="77777777" w:rsidR="00D07E44" w:rsidRDefault="00B259A9" w:rsidP="00D1586F">
      <w:pPr>
        <w:spacing w:before="240" w:line="360" w:lineRule="auto"/>
        <w:jc w:val="both"/>
        <w:rPr>
          <w:bCs/>
        </w:rPr>
      </w:pPr>
      <w:r>
        <w:rPr>
          <w:bCs/>
        </w:rPr>
        <w:t xml:space="preserve">On the demand side, </w:t>
      </w:r>
      <w:r w:rsidR="00B27F9C">
        <w:rPr>
          <w:bCs/>
        </w:rPr>
        <w:t xml:space="preserve">capital formation </w:t>
      </w:r>
      <w:r w:rsidR="00D07E44">
        <w:rPr>
          <w:bCs/>
        </w:rPr>
        <w:t>played a pivotal role</w:t>
      </w:r>
      <w:r w:rsidR="00086312">
        <w:rPr>
          <w:bCs/>
        </w:rPr>
        <w:t xml:space="preserve"> in</w:t>
      </w:r>
      <w:r w:rsidR="00D07E44">
        <w:rPr>
          <w:bCs/>
        </w:rPr>
        <w:t xml:space="preserve"> Georgia’s economic growth in 2016 – contributing </w:t>
      </w:r>
      <w:r w:rsidR="00086312">
        <w:rPr>
          <w:bCs/>
        </w:rPr>
        <w:t>2.6 percentage points.</w:t>
      </w:r>
      <w:r w:rsidR="00B27F9C">
        <w:rPr>
          <w:bCs/>
        </w:rPr>
        <w:t xml:space="preserve"> </w:t>
      </w:r>
      <w:r w:rsidR="00D55CBE">
        <w:rPr>
          <w:bCs/>
        </w:rPr>
        <w:t xml:space="preserve"> </w:t>
      </w:r>
      <w:r w:rsidR="00274EC2">
        <w:rPr>
          <w:bCs/>
        </w:rPr>
        <w:t xml:space="preserve">Government infrastructure projects boosted the growth of investments, whereas the construction sector was a leading contributor from the private sector. </w:t>
      </w:r>
      <w:r w:rsidR="00920792">
        <w:rPr>
          <w:bCs/>
        </w:rPr>
        <w:t xml:space="preserve">In contrast, </w:t>
      </w:r>
      <w:r w:rsidR="005901AB">
        <w:rPr>
          <w:bCs/>
        </w:rPr>
        <w:t>consumption made a modest but positive contribution</w:t>
      </w:r>
      <w:r w:rsidR="00130996">
        <w:rPr>
          <w:bCs/>
        </w:rPr>
        <w:t xml:space="preserve"> to </w:t>
      </w:r>
      <w:r w:rsidR="00186F97">
        <w:rPr>
          <w:bCs/>
        </w:rPr>
        <w:t xml:space="preserve">GDP </w:t>
      </w:r>
      <w:r w:rsidR="00130996">
        <w:rPr>
          <w:bCs/>
        </w:rPr>
        <w:t>growth</w:t>
      </w:r>
      <w:r w:rsidR="005901AB">
        <w:rPr>
          <w:bCs/>
        </w:rPr>
        <w:t xml:space="preserve"> (of 0.8 percentage points)</w:t>
      </w:r>
      <w:r w:rsidR="00130996">
        <w:rPr>
          <w:bCs/>
        </w:rPr>
        <w:t>,</w:t>
      </w:r>
      <w:r w:rsidR="005901AB">
        <w:rPr>
          <w:bCs/>
        </w:rPr>
        <w:t xml:space="preserve"> </w:t>
      </w:r>
      <w:r w:rsidR="00A655D4">
        <w:rPr>
          <w:bCs/>
        </w:rPr>
        <w:t xml:space="preserve">which was mostly associated with increased public consumption. </w:t>
      </w:r>
      <w:r w:rsidR="007624F9">
        <w:rPr>
          <w:bCs/>
        </w:rPr>
        <w:t xml:space="preserve">The share of net exports </w:t>
      </w:r>
      <w:r w:rsidR="00F53EEF">
        <w:rPr>
          <w:bCs/>
        </w:rPr>
        <w:t xml:space="preserve">in growth </w:t>
      </w:r>
      <w:r w:rsidR="007049F0">
        <w:rPr>
          <w:bCs/>
        </w:rPr>
        <w:t xml:space="preserve">remained negative </w:t>
      </w:r>
      <w:r w:rsidR="007624F9">
        <w:rPr>
          <w:bCs/>
        </w:rPr>
        <w:t xml:space="preserve">in 2016 </w:t>
      </w:r>
      <w:r w:rsidR="007049F0">
        <w:rPr>
          <w:bCs/>
        </w:rPr>
        <w:t>and stood at -0.6 percentage</w:t>
      </w:r>
      <w:r w:rsidR="00D13A30">
        <w:rPr>
          <w:bCs/>
        </w:rPr>
        <w:t xml:space="preserve"> points</w:t>
      </w:r>
      <w:r w:rsidR="007624F9">
        <w:rPr>
          <w:bCs/>
        </w:rPr>
        <w:t xml:space="preserve">. </w:t>
      </w:r>
      <w:r w:rsidR="00D13A30">
        <w:rPr>
          <w:bCs/>
        </w:rPr>
        <w:t xml:space="preserve"> (see Figure 2).</w:t>
      </w:r>
      <w:r w:rsidR="007624F9">
        <w:rPr>
          <w:bCs/>
        </w:rPr>
        <w:t xml:space="preserve"> </w:t>
      </w:r>
    </w:p>
    <w:p w14:paraId="109168D9" w14:textId="77777777" w:rsidR="0064358D" w:rsidRPr="0064358D" w:rsidRDefault="0064358D" w:rsidP="0064358D">
      <w:pPr>
        <w:pStyle w:val="Caption"/>
        <w:keepNext/>
        <w:rPr>
          <w:i w:val="0"/>
          <w:color w:val="000000" w:themeColor="text1"/>
          <w:sz w:val="24"/>
          <w:szCs w:val="24"/>
        </w:rPr>
      </w:pPr>
      <w:bookmarkStart w:id="24" w:name="_Toc508716346"/>
      <w:r w:rsidRPr="0064358D">
        <w:rPr>
          <w:i w:val="0"/>
          <w:color w:val="000000" w:themeColor="text1"/>
          <w:sz w:val="24"/>
          <w:szCs w:val="24"/>
        </w:rPr>
        <w:t xml:space="preserve">Figure </w:t>
      </w:r>
      <w:r w:rsidRPr="0064358D">
        <w:rPr>
          <w:i w:val="0"/>
          <w:color w:val="000000" w:themeColor="text1"/>
          <w:sz w:val="24"/>
          <w:szCs w:val="24"/>
        </w:rPr>
        <w:fldChar w:fldCharType="begin"/>
      </w:r>
      <w:r w:rsidRPr="0064358D">
        <w:rPr>
          <w:i w:val="0"/>
          <w:color w:val="000000" w:themeColor="text1"/>
          <w:sz w:val="24"/>
          <w:szCs w:val="24"/>
        </w:rPr>
        <w:instrText xml:space="preserve"> SEQ Figure \* ARABIC </w:instrText>
      </w:r>
      <w:r w:rsidRPr="0064358D">
        <w:rPr>
          <w:i w:val="0"/>
          <w:color w:val="000000" w:themeColor="text1"/>
          <w:sz w:val="24"/>
          <w:szCs w:val="24"/>
        </w:rPr>
        <w:fldChar w:fldCharType="separate"/>
      </w:r>
      <w:r w:rsidR="00C45EA7">
        <w:rPr>
          <w:i w:val="0"/>
          <w:noProof/>
          <w:color w:val="000000" w:themeColor="text1"/>
          <w:sz w:val="24"/>
          <w:szCs w:val="24"/>
        </w:rPr>
        <w:t>2</w:t>
      </w:r>
      <w:r w:rsidRPr="0064358D">
        <w:rPr>
          <w:i w:val="0"/>
          <w:color w:val="000000" w:themeColor="text1"/>
          <w:sz w:val="24"/>
          <w:szCs w:val="24"/>
        </w:rPr>
        <w:fldChar w:fldCharType="end"/>
      </w:r>
      <w:r w:rsidRPr="0064358D">
        <w:rPr>
          <w:i w:val="0"/>
          <w:color w:val="000000" w:themeColor="text1"/>
          <w:sz w:val="24"/>
          <w:szCs w:val="24"/>
        </w:rPr>
        <w:t>: GDP growth by expenditure</w:t>
      </w:r>
      <w:bookmarkEnd w:id="24"/>
      <w:r>
        <w:rPr>
          <w:i w:val="0"/>
          <w:color w:val="000000" w:themeColor="text1"/>
          <w:sz w:val="24"/>
          <w:szCs w:val="24"/>
        </w:rPr>
        <w:t xml:space="preserve">  </w:t>
      </w:r>
    </w:p>
    <w:p w14:paraId="356FFD29" w14:textId="77777777" w:rsidR="00D13A30" w:rsidRPr="00D1586F" w:rsidRDefault="00D1586F" w:rsidP="00D1586F">
      <w:r>
        <w:rPr>
          <w:noProof/>
        </w:rPr>
        <w:drawing>
          <wp:inline distT="0" distB="0" distL="0" distR="0" wp14:anchorId="39D61A6F" wp14:editId="65C0D450">
            <wp:extent cx="5943600" cy="3120136"/>
            <wp:effectExtent l="0" t="0" r="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4FEDCE" w14:textId="77777777" w:rsidR="004C4DEC" w:rsidRDefault="004C4DEC" w:rsidP="004C4DEC">
      <w:pPr>
        <w:spacing w:before="240" w:after="0" w:line="360" w:lineRule="auto"/>
        <w:jc w:val="both"/>
        <w:rPr>
          <w:bCs/>
        </w:rPr>
      </w:pPr>
      <w:r>
        <w:rPr>
          <w:rStyle w:val="Emphasis"/>
          <w:bCs/>
          <w:i w:val="0"/>
          <w:iCs w:val="0"/>
        </w:rPr>
        <w:t xml:space="preserve">Source: </w:t>
      </w:r>
      <w:r>
        <w:rPr>
          <w:bCs/>
        </w:rPr>
        <w:t>National Statistics Of</w:t>
      </w:r>
      <w:r w:rsidR="00E07A82">
        <w:rPr>
          <w:bCs/>
        </w:rPr>
        <w:t xml:space="preserve">fice of Georgia (Geostat), 2018  </w:t>
      </w:r>
    </w:p>
    <w:p w14:paraId="2962BE7F" w14:textId="77777777" w:rsidR="00E55E34" w:rsidRDefault="009F4141" w:rsidP="00E60DC7">
      <w:pPr>
        <w:spacing w:before="240" w:line="360" w:lineRule="auto"/>
        <w:jc w:val="both"/>
        <w:rPr>
          <w:rStyle w:val="Emphasis"/>
          <w:bCs/>
          <w:i w:val="0"/>
          <w:iCs w:val="0"/>
        </w:rPr>
      </w:pPr>
      <w:r w:rsidRPr="00AF502E">
        <w:rPr>
          <w:rStyle w:val="Emphasis"/>
          <w:bCs/>
          <w:i w:val="0"/>
          <w:iCs w:val="0"/>
        </w:rPr>
        <w:lastRenderedPageBreak/>
        <w:t xml:space="preserve">The economy of Georgia </w:t>
      </w:r>
      <w:r w:rsidR="00E55E34">
        <w:rPr>
          <w:rStyle w:val="Emphasis"/>
          <w:bCs/>
          <w:i w:val="0"/>
          <w:iCs w:val="0"/>
        </w:rPr>
        <w:t xml:space="preserve">underwent </w:t>
      </w:r>
      <w:r w:rsidRPr="00AF502E">
        <w:rPr>
          <w:rStyle w:val="Emphasis"/>
          <w:bCs/>
          <w:i w:val="0"/>
          <w:iCs w:val="0"/>
        </w:rPr>
        <w:t xml:space="preserve">a </w:t>
      </w:r>
      <w:r w:rsidR="007F386B" w:rsidRPr="00AF502E">
        <w:rPr>
          <w:rStyle w:val="Emphasis"/>
          <w:bCs/>
          <w:i w:val="0"/>
          <w:iCs w:val="0"/>
        </w:rPr>
        <w:t xml:space="preserve">recovery in 2017 on the back of strong </w:t>
      </w:r>
      <w:r w:rsidR="00E07A82" w:rsidRPr="00AF502E">
        <w:rPr>
          <w:rStyle w:val="Emphasis"/>
          <w:bCs/>
          <w:i w:val="0"/>
          <w:iCs w:val="0"/>
        </w:rPr>
        <w:t xml:space="preserve">export performance, </w:t>
      </w:r>
      <w:r w:rsidR="006B5C5E" w:rsidRPr="00AF502E">
        <w:rPr>
          <w:rStyle w:val="Emphasis"/>
          <w:bCs/>
          <w:i w:val="0"/>
          <w:iCs w:val="0"/>
        </w:rPr>
        <w:t xml:space="preserve">fast-growing </w:t>
      </w:r>
      <w:r w:rsidR="00E07A82" w:rsidRPr="00AF502E">
        <w:rPr>
          <w:rStyle w:val="Emphasis"/>
          <w:bCs/>
          <w:i w:val="0"/>
          <w:iCs w:val="0"/>
        </w:rPr>
        <w:t xml:space="preserve">tourism and </w:t>
      </w:r>
      <w:r w:rsidR="006944DB" w:rsidRPr="00AF502E">
        <w:rPr>
          <w:rStyle w:val="Emphasis"/>
          <w:bCs/>
          <w:i w:val="0"/>
          <w:iCs w:val="0"/>
        </w:rPr>
        <w:t xml:space="preserve">increasing </w:t>
      </w:r>
      <w:r w:rsidR="00E07A82" w:rsidRPr="00AF502E">
        <w:rPr>
          <w:rStyle w:val="Emphasis"/>
          <w:bCs/>
          <w:i w:val="0"/>
          <w:iCs w:val="0"/>
        </w:rPr>
        <w:t xml:space="preserve">remittances. </w:t>
      </w:r>
      <w:r w:rsidR="00AF502E" w:rsidRPr="00AF502E">
        <w:rPr>
          <w:rStyle w:val="Emphasis"/>
          <w:bCs/>
          <w:i w:val="0"/>
          <w:iCs w:val="0"/>
        </w:rPr>
        <w:t xml:space="preserve">According to the Geostat Rapid Estimates of Economic Growth report (2017), real GDP average growth in the fourth quarter of 2017 stood at 4.7% and </w:t>
      </w:r>
      <w:r w:rsidR="00AF502E">
        <w:rPr>
          <w:rStyle w:val="Emphasis"/>
          <w:bCs/>
          <w:i w:val="0"/>
          <w:iCs w:val="0"/>
        </w:rPr>
        <w:t>in 2017 it equaled 4.8%</w:t>
      </w:r>
      <w:r w:rsidR="00514C79">
        <w:rPr>
          <w:rStyle w:val="Emphasis"/>
          <w:bCs/>
          <w:i w:val="0"/>
          <w:iCs w:val="0"/>
        </w:rPr>
        <w:t>,</w:t>
      </w:r>
      <w:r w:rsidR="00AF502E">
        <w:rPr>
          <w:rStyle w:val="Emphasis"/>
          <w:bCs/>
          <w:i w:val="0"/>
          <w:iCs w:val="0"/>
        </w:rPr>
        <w:t xml:space="preserve"> following two years of below 3% growth in 2015</w:t>
      </w:r>
      <w:r w:rsidR="00E05FEA">
        <w:rPr>
          <w:rStyle w:val="Emphasis"/>
          <w:bCs/>
          <w:i w:val="0"/>
          <w:iCs w:val="0"/>
        </w:rPr>
        <w:t xml:space="preserve"> </w:t>
      </w:r>
      <w:r w:rsidR="00AF502E">
        <w:rPr>
          <w:rStyle w:val="Emphasis"/>
          <w:bCs/>
          <w:i w:val="0"/>
          <w:iCs w:val="0"/>
        </w:rPr>
        <w:t xml:space="preserve">-16 (see Figure 1). </w:t>
      </w:r>
      <w:r w:rsidR="00E55E34">
        <w:rPr>
          <w:rStyle w:val="Emphasis"/>
          <w:bCs/>
          <w:i w:val="0"/>
          <w:iCs w:val="0"/>
        </w:rPr>
        <w:t>Based on the data from the first three quarters (latest figures published by Geostat), the strong performance reflected real gains of 12.1% in construction, 6.2% in trade services, 7.2 % in mining and quarrying, 5% in hotels and restaurants, and 7% in financial intermediation. Improvement of the economic performance has been supported by positive trends in the external sector – in particular, by an increase in remitta</w:t>
      </w:r>
      <w:r w:rsidR="004C4728">
        <w:rPr>
          <w:rStyle w:val="Emphasis"/>
          <w:bCs/>
          <w:i w:val="0"/>
          <w:iCs w:val="0"/>
        </w:rPr>
        <w:t>nces (19.8</w:t>
      </w:r>
      <w:r w:rsidR="00E55E34">
        <w:rPr>
          <w:rStyle w:val="Emphasis"/>
          <w:bCs/>
          <w:i w:val="0"/>
          <w:iCs w:val="0"/>
        </w:rPr>
        <w:t>%) and substantial improvements in exports (29.1%)</w:t>
      </w:r>
      <w:r w:rsidR="00D33B7E">
        <w:rPr>
          <w:rStyle w:val="Emphasis"/>
          <w:bCs/>
          <w:i w:val="0"/>
          <w:iCs w:val="0"/>
        </w:rPr>
        <w:t xml:space="preserve">. In addition, the growth of 2017 </w:t>
      </w:r>
      <w:r w:rsidR="0021005D">
        <w:rPr>
          <w:rStyle w:val="Emphasis"/>
          <w:bCs/>
          <w:i w:val="0"/>
          <w:iCs w:val="0"/>
        </w:rPr>
        <w:t xml:space="preserve">can be related to domestic factors such as increased investments and moderate upsurge in consumption, which was driven by improved business and consumer sentiments. </w:t>
      </w:r>
    </w:p>
    <w:p w14:paraId="4C32CCA0" w14:textId="77777777" w:rsidR="00C93020" w:rsidRDefault="00E05FEA" w:rsidP="00E60DC7">
      <w:pPr>
        <w:spacing w:line="360" w:lineRule="auto"/>
        <w:jc w:val="both"/>
      </w:pPr>
      <w:r w:rsidRPr="00E05FEA">
        <w:rPr>
          <w:rStyle w:val="Emphasis"/>
          <w:bCs/>
          <w:i w:val="0"/>
          <w:iCs w:val="0"/>
        </w:rPr>
        <w:t xml:space="preserve">Georgia’s </w:t>
      </w:r>
      <w:r w:rsidR="004E15AB" w:rsidRPr="00E05FEA">
        <w:t>overall ec</w:t>
      </w:r>
      <w:r w:rsidRPr="00E05FEA">
        <w:t>onomic outlook remains positive in</w:t>
      </w:r>
      <w:r w:rsidR="00343003">
        <w:t xml:space="preserve"> 2018</w:t>
      </w:r>
      <w:r w:rsidRPr="00E05FEA">
        <w:t>. Pursuant to the Monetary Policy Report of the National Bank of Georgia (NBG) (2017),</w:t>
      </w:r>
      <w:r>
        <w:t xml:space="preserve"> annual GDP growth rate for 2018</w:t>
      </w:r>
      <w:r w:rsidRPr="00E05FEA">
        <w:t xml:space="preserve"> is</w:t>
      </w:r>
      <w:r w:rsidR="009237D3">
        <w:t xml:space="preserve"> projected to be </w:t>
      </w:r>
      <w:r w:rsidR="0074405F">
        <w:t xml:space="preserve">4.5 % </w:t>
      </w:r>
      <w:r w:rsidR="009237D3">
        <w:t>(see Figure 3</w:t>
      </w:r>
      <w:r w:rsidRPr="00E05FEA">
        <w:t>).</w:t>
      </w:r>
      <w:r w:rsidR="00E60DC7">
        <w:t xml:space="preserve"> </w:t>
      </w:r>
    </w:p>
    <w:p w14:paraId="53E102B2" w14:textId="77777777" w:rsidR="0064358D" w:rsidRPr="0064358D" w:rsidRDefault="0064358D" w:rsidP="0064358D">
      <w:pPr>
        <w:pStyle w:val="Caption"/>
        <w:keepNext/>
        <w:jc w:val="both"/>
        <w:rPr>
          <w:i w:val="0"/>
          <w:color w:val="000000" w:themeColor="text1"/>
          <w:sz w:val="24"/>
          <w:szCs w:val="24"/>
        </w:rPr>
      </w:pPr>
      <w:bookmarkStart w:id="25" w:name="_Toc508716347"/>
      <w:r w:rsidRPr="0064358D">
        <w:rPr>
          <w:i w:val="0"/>
          <w:color w:val="000000" w:themeColor="text1"/>
          <w:sz w:val="24"/>
          <w:szCs w:val="24"/>
        </w:rPr>
        <w:t xml:space="preserve">Figure </w:t>
      </w:r>
      <w:r w:rsidRPr="0064358D">
        <w:rPr>
          <w:i w:val="0"/>
          <w:color w:val="000000" w:themeColor="text1"/>
          <w:sz w:val="24"/>
          <w:szCs w:val="24"/>
        </w:rPr>
        <w:fldChar w:fldCharType="begin"/>
      </w:r>
      <w:r w:rsidRPr="0064358D">
        <w:rPr>
          <w:i w:val="0"/>
          <w:color w:val="000000" w:themeColor="text1"/>
          <w:sz w:val="24"/>
          <w:szCs w:val="24"/>
        </w:rPr>
        <w:instrText xml:space="preserve"> SEQ Figure \* ARABIC </w:instrText>
      </w:r>
      <w:r w:rsidRPr="0064358D">
        <w:rPr>
          <w:i w:val="0"/>
          <w:color w:val="000000" w:themeColor="text1"/>
          <w:sz w:val="24"/>
          <w:szCs w:val="24"/>
        </w:rPr>
        <w:fldChar w:fldCharType="separate"/>
      </w:r>
      <w:r w:rsidR="00C45EA7">
        <w:rPr>
          <w:i w:val="0"/>
          <w:noProof/>
          <w:color w:val="000000" w:themeColor="text1"/>
          <w:sz w:val="24"/>
          <w:szCs w:val="24"/>
        </w:rPr>
        <w:t>3</w:t>
      </w:r>
      <w:r w:rsidRPr="0064358D">
        <w:rPr>
          <w:i w:val="0"/>
          <w:color w:val="000000" w:themeColor="text1"/>
          <w:sz w:val="24"/>
          <w:szCs w:val="24"/>
        </w:rPr>
        <w:fldChar w:fldCharType="end"/>
      </w:r>
      <w:r w:rsidRPr="0064358D">
        <w:rPr>
          <w:i w:val="0"/>
          <w:color w:val="000000" w:themeColor="text1"/>
          <w:sz w:val="24"/>
          <w:szCs w:val="24"/>
        </w:rPr>
        <w:t>: Real GDP growth forecast of Georgia</w:t>
      </w:r>
      <w:bookmarkEnd w:id="25"/>
    </w:p>
    <w:p w14:paraId="7A314811" w14:textId="77777777" w:rsidR="0074405F" w:rsidRPr="00E05FEA" w:rsidRDefault="00C93020" w:rsidP="00C93020">
      <w:pPr>
        <w:spacing w:after="0"/>
        <w:jc w:val="both"/>
        <w:rPr>
          <w:rStyle w:val="Emphasis"/>
          <w:bCs/>
          <w:i w:val="0"/>
          <w:iCs w:val="0"/>
        </w:rPr>
      </w:pPr>
      <w:r>
        <w:rPr>
          <w:noProof/>
        </w:rPr>
        <w:drawing>
          <wp:inline distT="0" distB="0" distL="0" distR="0" wp14:anchorId="319DDF8C" wp14:editId="1095D993">
            <wp:extent cx="5925185" cy="3057525"/>
            <wp:effectExtent l="0" t="0" r="1841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A6B979" w14:textId="77777777" w:rsidR="00C93020" w:rsidRDefault="00C93020" w:rsidP="00C93020">
      <w:pPr>
        <w:spacing w:before="240" w:after="0"/>
        <w:jc w:val="both"/>
      </w:pPr>
      <w:r>
        <w:lastRenderedPageBreak/>
        <w:t xml:space="preserve">Source: </w:t>
      </w:r>
      <w:r w:rsidR="00B701DF">
        <w:rPr>
          <w:rFonts w:eastAsia="Times New Roman"/>
        </w:rPr>
        <w:t>National Bank of Georgia (2018</w:t>
      </w:r>
      <w:r w:rsidR="00E60DC7" w:rsidRPr="0021345F">
        <w:rPr>
          <w:rFonts w:eastAsia="Times New Roman"/>
        </w:rPr>
        <w:t xml:space="preserve">); Asian Development Bank, (2017), European Bank for Reconstruction and Development (2017); International Monetary Fund (2017); The World Bank </w:t>
      </w:r>
      <w:r w:rsidR="00891B93">
        <w:rPr>
          <w:rFonts w:eastAsia="Times New Roman"/>
        </w:rPr>
        <w:t xml:space="preserve">Group </w:t>
      </w:r>
      <w:r w:rsidR="00E60DC7" w:rsidRPr="0021345F">
        <w:rPr>
          <w:rFonts w:eastAsia="Times New Roman"/>
        </w:rPr>
        <w:t>(2018).</w:t>
      </w:r>
      <w:r w:rsidR="00E60DC7">
        <w:rPr>
          <w:rFonts w:eastAsia="Times New Roman"/>
        </w:rPr>
        <w:t xml:space="preserve"> </w:t>
      </w:r>
    </w:p>
    <w:p w14:paraId="4A263631" w14:textId="77777777" w:rsidR="00C17F6B" w:rsidRDefault="00343003" w:rsidP="00C17F6B">
      <w:pPr>
        <w:spacing w:before="240" w:line="360" w:lineRule="auto"/>
        <w:jc w:val="both"/>
      </w:pPr>
      <w:r w:rsidRPr="006115E6">
        <w:t xml:space="preserve">Real GDP </w:t>
      </w:r>
      <w:r w:rsidR="00C93020" w:rsidRPr="006115E6">
        <w:t xml:space="preserve">growth </w:t>
      </w:r>
      <w:r w:rsidRPr="006115E6">
        <w:t xml:space="preserve">is expected to </w:t>
      </w:r>
      <w:r w:rsidR="00C93020" w:rsidRPr="006115E6">
        <w:t>be fueled by net exports, investments, the capital spending of the national government and improved business</w:t>
      </w:r>
      <w:r w:rsidRPr="006115E6">
        <w:t xml:space="preserve"> and consumer expectations. </w:t>
      </w:r>
      <w:r w:rsidR="006115E6" w:rsidRPr="006115E6">
        <w:t>Moreover, the government of Georgia estimates that introduction of the Estonian corporate income tax model (resident companies are exempted from tax for retained or reinvested earnings), from January 1, 2017, will accelerate the growth in the next years by encouraging higher private investment. Also, free trade with European Union and ratification of a free trade agreement with the People’s Republic of China should expand Georgia’s access to markets, thereby bolstering its export potential along established routes</w:t>
      </w:r>
      <w:r w:rsidR="009C6E07" w:rsidRPr="00822415">
        <w:t>.</w:t>
      </w:r>
      <w:r w:rsidR="00822415">
        <w:t xml:space="preserve"> </w:t>
      </w:r>
      <w:r w:rsidR="00EF6EB0">
        <w:t xml:space="preserve">The Asian Development Bank (ADB) and European Bank for Reconstruction and Development (EBRD) forecast Georgia’s economy to grow by 4.5% in 2018. For instance, EBRD expects that a recovery in consumption, investment in infrastructure and strong performance of the tourism sector will </w:t>
      </w:r>
      <w:r w:rsidR="008D02CA">
        <w:t xml:space="preserve">contribute to this growth. </w:t>
      </w:r>
      <w:r w:rsidR="00891B93">
        <w:t xml:space="preserve">In contrast, the World Bank </w:t>
      </w:r>
      <w:r w:rsidR="000F1066">
        <w:t xml:space="preserve">Group </w:t>
      </w:r>
      <w:r w:rsidR="00891B93">
        <w:t>(WB</w:t>
      </w:r>
      <w:r w:rsidR="000F1066">
        <w:t>G</w:t>
      </w:r>
      <w:r w:rsidR="00891B93">
        <w:t>) and International Monetary Fund (IMF) provide a more pessimistic forecast. N</w:t>
      </w:r>
      <w:r w:rsidR="000F1066">
        <w:t>amely, the WBG</w:t>
      </w:r>
      <w:r w:rsidR="004133B8">
        <w:t xml:space="preserve"> and the IMF</w:t>
      </w:r>
      <w:r w:rsidR="000F1066">
        <w:t xml:space="preserve"> proj</w:t>
      </w:r>
      <w:r w:rsidR="006057F9">
        <w:t>ect</w:t>
      </w:r>
      <w:r w:rsidR="000F1066">
        <w:t xml:space="preserve"> GDP growth to reach </w:t>
      </w:r>
      <w:r w:rsidR="00906CDB">
        <w:t xml:space="preserve">4.2% in 2018 (see Figure 3). </w:t>
      </w:r>
      <w:bookmarkStart w:id="26" w:name="_Toc508719870"/>
    </w:p>
    <w:p w14:paraId="36F9CA78" w14:textId="77777777" w:rsidR="00C22BDD" w:rsidRPr="005E2CC3" w:rsidRDefault="00826AD0" w:rsidP="00C22BDD">
      <w:pPr>
        <w:pStyle w:val="Heading2"/>
        <w:numPr>
          <w:ilvl w:val="1"/>
          <w:numId w:val="32"/>
        </w:numPr>
        <w:spacing w:before="0" w:after="240"/>
        <w:rPr>
          <w:b/>
          <w:i/>
        </w:rPr>
      </w:pPr>
      <w:bookmarkStart w:id="27" w:name="_Toc508721114"/>
      <w:bookmarkStart w:id="28" w:name="_Toc508721257"/>
      <w:bookmarkStart w:id="29" w:name="_Toc508722263"/>
      <w:r w:rsidRPr="005E2CC3">
        <w:rPr>
          <w:b/>
          <w:i/>
        </w:rPr>
        <w:t xml:space="preserve">Consumer Price Index and </w:t>
      </w:r>
      <w:r w:rsidR="006057F9" w:rsidRPr="005E2CC3">
        <w:rPr>
          <w:b/>
          <w:i/>
        </w:rPr>
        <w:t>Rate of Inflation</w:t>
      </w:r>
      <w:bookmarkEnd w:id="26"/>
      <w:bookmarkEnd w:id="27"/>
      <w:bookmarkEnd w:id="28"/>
      <w:bookmarkEnd w:id="29"/>
      <w:r w:rsidR="006057F9" w:rsidRPr="005E2CC3">
        <w:rPr>
          <w:b/>
          <w:i/>
        </w:rPr>
        <w:t xml:space="preserve"> </w:t>
      </w:r>
      <w:r w:rsidR="00F54611" w:rsidRPr="005E2CC3">
        <w:rPr>
          <w:b/>
          <w:i/>
        </w:rPr>
        <w:t xml:space="preserve"> </w:t>
      </w:r>
    </w:p>
    <w:p w14:paraId="27D9412D" w14:textId="77777777" w:rsidR="00BD5D94" w:rsidRPr="00BD5D94" w:rsidRDefault="005E3C8D" w:rsidP="00C22BDD">
      <w:pPr>
        <w:spacing w:after="240" w:line="360" w:lineRule="auto"/>
        <w:jc w:val="both"/>
      </w:pPr>
      <w:r>
        <w:t xml:space="preserve">Price </w:t>
      </w:r>
      <w:r w:rsidR="00706F91">
        <w:t xml:space="preserve">stability is </w:t>
      </w:r>
      <w:r w:rsidR="00B52828">
        <w:t xml:space="preserve">an </w:t>
      </w:r>
      <w:r w:rsidR="00706F91">
        <w:t xml:space="preserve">essential prerequisite </w:t>
      </w:r>
      <w:r w:rsidR="00D13851">
        <w:t>for th</w:t>
      </w:r>
      <w:r w:rsidR="00B172B9">
        <w:t>e country’s sustainable growth.</w:t>
      </w:r>
      <w:r w:rsidR="00BD51B5">
        <w:t xml:space="preserve"> </w:t>
      </w:r>
      <w:r w:rsidR="00AE1C1E">
        <w:t>High i</w:t>
      </w:r>
      <w:r w:rsidR="00BD51B5">
        <w:t xml:space="preserve">nflation </w:t>
      </w:r>
      <w:r w:rsidR="00BD5D94">
        <w:t>-</w:t>
      </w:r>
      <w:r w:rsidR="00702AF9">
        <w:t xml:space="preserve"> that is </w:t>
      </w:r>
      <w:r w:rsidR="00706F91">
        <w:t xml:space="preserve">a </w:t>
      </w:r>
      <w:r w:rsidR="00702AF9">
        <w:t xml:space="preserve">continuous rise over time in the average level of prices in the economy -  </w:t>
      </w:r>
      <w:r w:rsidR="00706F91">
        <w:t xml:space="preserve">hinders </w:t>
      </w:r>
      <w:r w:rsidR="00702AF9">
        <w:t>the country’</w:t>
      </w:r>
      <w:r w:rsidR="00706F91">
        <w:t xml:space="preserve">s growth in the long run. </w:t>
      </w:r>
      <w:r w:rsidR="00B52828">
        <w:t xml:space="preserve">In this regard the most commonly </w:t>
      </w:r>
      <w:r w:rsidR="00FD2D95">
        <w:t xml:space="preserve">used measure is </w:t>
      </w:r>
      <w:r w:rsidR="00BD5D94">
        <w:t xml:space="preserve">the consumer price index (CPI), which </w:t>
      </w:r>
      <w:r w:rsidR="007469FD">
        <w:t xml:space="preserve">reflects </w:t>
      </w:r>
      <w:r w:rsidR="00BD5D94" w:rsidRPr="00BD5D94">
        <w:t>an overall change in the level of consumer prices within the country</w:t>
      </w:r>
      <w:r w:rsidR="00BD5D94">
        <w:t xml:space="preserve">. </w:t>
      </w:r>
    </w:p>
    <w:p w14:paraId="54A61E2F" w14:textId="77777777" w:rsidR="009965D9" w:rsidRDefault="00FD2D95" w:rsidP="00702AF9">
      <w:pPr>
        <w:spacing w:line="360" w:lineRule="auto"/>
        <w:jc w:val="both"/>
      </w:pPr>
      <w:r>
        <w:t xml:space="preserve">The National Statistics Office of Georgia (Geostat) produces the </w:t>
      </w:r>
      <w:r w:rsidR="00BD5D94">
        <w:t>CPI</w:t>
      </w:r>
      <w:r>
        <w:t xml:space="preserve"> ba</w:t>
      </w:r>
      <w:r w:rsidR="00BD5D94">
        <w:t>sed on an annually updated basket of goods and services such as food, housing, transportation, furniture, clothing, recreation, and other items that Georgians ty</w:t>
      </w:r>
      <w:r w:rsidR="00AB13B6">
        <w:t>pically buy.</w:t>
      </w:r>
      <w:r w:rsidR="00894085">
        <w:t xml:space="preserve"> </w:t>
      </w:r>
      <w:r w:rsidR="005E401B">
        <w:t xml:space="preserve">At present, the consumer basket includes 305 goods and services, which are classified into 12 broad commodity groups. </w:t>
      </w:r>
    </w:p>
    <w:p w14:paraId="03E0CBD1" w14:textId="77777777" w:rsidR="009E437C" w:rsidRDefault="000A4DBA" w:rsidP="00142194">
      <w:pPr>
        <w:spacing w:line="360" w:lineRule="auto"/>
        <w:jc w:val="both"/>
      </w:pPr>
      <w:r>
        <w:lastRenderedPageBreak/>
        <w:t xml:space="preserve">Inflation has been a challenge for Georgia during 2015-17. </w:t>
      </w:r>
      <w:r w:rsidR="00794360">
        <w:t xml:space="preserve">In the first </w:t>
      </w:r>
      <w:r w:rsidR="00F5687F">
        <w:t xml:space="preserve">quarter </w:t>
      </w:r>
      <w:r w:rsidR="00794360">
        <w:t xml:space="preserve">of 2015, inflation </w:t>
      </w:r>
      <w:r w:rsidR="00931EC9">
        <w:t xml:space="preserve">rate </w:t>
      </w:r>
      <w:r w:rsidR="00BE503B">
        <w:t xml:space="preserve">hovered at low level; however, it </w:t>
      </w:r>
      <w:r w:rsidR="00DB59E4">
        <w:t xml:space="preserve">subsequently surged and was characterized by </w:t>
      </w:r>
      <w:r w:rsidR="004E7D67">
        <w:t>growth dynamics</w:t>
      </w:r>
      <w:r w:rsidR="009965D9">
        <w:t xml:space="preserve">. </w:t>
      </w:r>
      <w:r w:rsidR="00C2259A">
        <w:t>By the end of fiscal year, the headline inflation stood at 4.9%</w:t>
      </w:r>
      <w:r w:rsidR="00142194">
        <w:t xml:space="preserve"> (y-o-y average 4%)</w:t>
      </w:r>
      <w:r w:rsidR="00C2259A">
        <w:t xml:space="preserve">, which is </w:t>
      </w:r>
      <w:r w:rsidR="007B7CF4">
        <w:t>in line with the 5% target rate of the National Bank for 2015.</w:t>
      </w:r>
      <w:r w:rsidR="00091A62">
        <w:t xml:space="preserve"> </w:t>
      </w:r>
      <w:r w:rsidR="00BC73B9">
        <w:t>Similarly</w:t>
      </w:r>
      <w:r w:rsidR="002C4309">
        <w:t>, core inflation, which excl</w:t>
      </w:r>
      <w:r w:rsidR="00142194">
        <w:t xml:space="preserve">udes </w:t>
      </w:r>
      <w:r w:rsidR="00BC73B9">
        <w:t>certain volatile food and energy items to measure underlyin</w:t>
      </w:r>
      <w:r w:rsidR="00197D95">
        <w:t xml:space="preserve">g price pressures, </w:t>
      </w:r>
      <w:r w:rsidR="007A79A4">
        <w:t xml:space="preserve">experienced an upsurge and exceeded the headline inflation rate. </w:t>
      </w:r>
      <w:r w:rsidR="00502C7D">
        <w:t>This was attribute</w:t>
      </w:r>
      <w:r w:rsidR="0027053F">
        <w:t xml:space="preserve">d to the </w:t>
      </w:r>
      <w:r w:rsidR="00A60095">
        <w:t>decline</w:t>
      </w:r>
      <w:r w:rsidR="00654D76">
        <w:t xml:space="preserve"> </w:t>
      </w:r>
      <w:r w:rsidR="002130AA">
        <w:t xml:space="preserve">of </w:t>
      </w:r>
      <w:r w:rsidR="0027053F">
        <w:t xml:space="preserve">oil </w:t>
      </w:r>
      <w:r w:rsidR="00EF7203">
        <w:t>prices on international markets</w:t>
      </w:r>
      <w:r w:rsidR="00654D76">
        <w:t xml:space="preserve">, which lowered the prices of energy products having downward pressure on </w:t>
      </w:r>
      <w:r w:rsidR="00E70D0E">
        <w:t xml:space="preserve">headline inflation. Consequently, core inflation remained higher than the headline inflation rate and the change of price level amounted to 6.9% by the end of December </w:t>
      </w:r>
      <w:r w:rsidR="0052518B">
        <w:t xml:space="preserve">2015 (see Figure 4). </w:t>
      </w:r>
    </w:p>
    <w:p w14:paraId="61F7C320" w14:textId="77777777" w:rsidR="004202B5" w:rsidRDefault="004407B0" w:rsidP="004202B5">
      <w:pPr>
        <w:pStyle w:val="NormalWeb"/>
        <w:spacing w:before="0" w:beforeAutospacing="0" w:after="200" w:afterAutospacing="0" w:line="360" w:lineRule="auto"/>
        <w:jc w:val="both"/>
        <w:rPr>
          <w:rFonts w:asciiTheme="minorHAnsi" w:hAnsiTheme="minorHAnsi" w:cstheme="minorHAnsi"/>
          <w:color w:val="000000"/>
        </w:rPr>
      </w:pPr>
      <w:r>
        <w:rPr>
          <w:rFonts w:asciiTheme="minorHAnsi" w:hAnsiTheme="minorHAnsi" w:cstheme="minorHAnsi"/>
          <w:color w:val="000000"/>
        </w:rPr>
        <w:t>In 2016, the headline</w:t>
      </w:r>
      <w:r w:rsidR="00142194">
        <w:rPr>
          <w:rFonts w:asciiTheme="minorHAnsi" w:hAnsiTheme="minorHAnsi" w:cstheme="minorHAnsi"/>
          <w:color w:val="000000"/>
        </w:rPr>
        <w:t xml:space="preserve"> inflation rate averaged to 2.2</w:t>
      </w:r>
      <w:r w:rsidR="00142194" w:rsidRPr="00937B1F">
        <w:rPr>
          <w:rFonts w:asciiTheme="minorHAnsi" w:hAnsiTheme="minorHAnsi" w:cstheme="minorHAnsi"/>
          <w:color w:val="000000"/>
        </w:rPr>
        <w:t xml:space="preserve">%. </w:t>
      </w:r>
      <w:r w:rsidR="00142194">
        <w:rPr>
          <w:rFonts w:asciiTheme="minorHAnsi" w:hAnsiTheme="minorHAnsi" w:cstheme="minorHAnsi"/>
          <w:color w:val="000000"/>
        </w:rPr>
        <w:t xml:space="preserve">At the beginning of the year, </w:t>
      </w:r>
      <w:r>
        <w:rPr>
          <w:rFonts w:asciiTheme="minorHAnsi" w:hAnsiTheme="minorHAnsi" w:cstheme="minorHAnsi"/>
          <w:color w:val="000000"/>
        </w:rPr>
        <w:t xml:space="preserve">it </w:t>
      </w:r>
      <w:r w:rsidR="00142194">
        <w:rPr>
          <w:rFonts w:asciiTheme="minorHAnsi" w:hAnsiTheme="minorHAnsi" w:cstheme="minorHAnsi"/>
          <w:color w:val="000000"/>
        </w:rPr>
        <w:t xml:space="preserve">was </w:t>
      </w:r>
      <w:r>
        <w:rPr>
          <w:rFonts w:asciiTheme="minorHAnsi" w:hAnsiTheme="minorHAnsi" w:cstheme="minorHAnsi"/>
          <w:color w:val="000000"/>
        </w:rPr>
        <w:t xml:space="preserve">slightly </w:t>
      </w:r>
      <w:r w:rsidR="00615074">
        <w:rPr>
          <w:rFonts w:asciiTheme="minorHAnsi" w:hAnsiTheme="minorHAnsi" w:cstheme="minorHAnsi"/>
          <w:color w:val="000000"/>
        </w:rPr>
        <w:t xml:space="preserve">above the </w:t>
      </w:r>
      <w:r w:rsidR="0040184E">
        <w:rPr>
          <w:rFonts w:asciiTheme="minorHAnsi" w:hAnsiTheme="minorHAnsi" w:cstheme="minorHAnsi"/>
          <w:color w:val="000000"/>
        </w:rPr>
        <w:t xml:space="preserve">target level; however, starting from March until December, it followed a mostly </w:t>
      </w:r>
      <w:r w:rsidR="00CF5431">
        <w:rPr>
          <w:rFonts w:asciiTheme="minorHAnsi" w:hAnsiTheme="minorHAnsi" w:cstheme="minorHAnsi"/>
          <w:color w:val="000000"/>
        </w:rPr>
        <w:t>downward trend and fell below the target level.</w:t>
      </w:r>
      <w:r w:rsidR="00B947C3">
        <w:rPr>
          <w:rFonts w:asciiTheme="minorHAnsi" w:hAnsiTheme="minorHAnsi" w:cstheme="minorHAnsi"/>
          <w:color w:val="000000"/>
        </w:rPr>
        <w:t xml:space="preserve"> </w:t>
      </w:r>
      <w:r w:rsidR="001538D7">
        <w:rPr>
          <w:rFonts w:asciiTheme="minorHAnsi" w:hAnsiTheme="minorHAnsi" w:cstheme="minorHAnsi"/>
          <w:color w:val="000000"/>
        </w:rPr>
        <w:t xml:space="preserve">There are several reasons explaining this trajectory. </w:t>
      </w:r>
      <w:r w:rsidR="00615074">
        <w:rPr>
          <w:rFonts w:asciiTheme="minorHAnsi" w:hAnsiTheme="minorHAnsi" w:cstheme="minorHAnsi"/>
          <w:color w:val="000000"/>
        </w:rPr>
        <w:t xml:space="preserve">The first reason is related to the base effect. </w:t>
      </w:r>
      <w:r w:rsidR="00615074" w:rsidRPr="003B271A">
        <w:rPr>
          <w:rFonts w:asciiTheme="minorHAnsi" w:hAnsiTheme="minorHAnsi" w:cstheme="minorHAnsi"/>
          <w:color w:val="000000"/>
          <w:highlight w:val="cyan"/>
        </w:rPr>
        <w:t>I</w:t>
      </w:r>
      <w:r w:rsidR="00741B6F" w:rsidRPr="003B271A">
        <w:rPr>
          <w:rFonts w:asciiTheme="minorHAnsi" w:hAnsiTheme="minorHAnsi" w:cstheme="minorHAnsi"/>
          <w:color w:val="000000"/>
          <w:highlight w:val="cyan"/>
        </w:rPr>
        <w:t xml:space="preserve">n 2015, </w:t>
      </w:r>
      <w:r w:rsidR="00AF4FAD" w:rsidRPr="003B271A">
        <w:rPr>
          <w:rFonts w:asciiTheme="minorHAnsi" w:hAnsiTheme="minorHAnsi" w:cstheme="minorHAnsi"/>
          <w:color w:val="000000"/>
          <w:highlight w:val="cyan"/>
        </w:rPr>
        <w:t xml:space="preserve">headline </w:t>
      </w:r>
      <w:r w:rsidR="00741B6F" w:rsidRPr="003B271A">
        <w:rPr>
          <w:rFonts w:asciiTheme="minorHAnsi" w:hAnsiTheme="minorHAnsi" w:cstheme="minorHAnsi"/>
          <w:color w:val="000000"/>
          <w:highlight w:val="cyan"/>
        </w:rPr>
        <w:t xml:space="preserve">inflation rate rose considerably due to the rise in </w:t>
      </w:r>
      <w:r w:rsidR="00573580" w:rsidRPr="003B271A">
        <w:rPr>
          <w:rFonts w:asciiTheme="minorHAnsi" w:hAnsiTheme="minorHAnsi" w:cstheme="minorHAnsi"/>
          <w:color w:val="000000"/>
          <w:highlight w:val="cyan"/>
        </w:rPr>
        <w:t xml:space="preserve">excise tax on alcoholic beverages </w:t>
      </w:r>
      <w:r w:rsidR="00244120" w:rsidRPr="003B271A">
        <w:rPr>
          <w:rFonts w:asciiTheme="minorHAnsi" w:hAnsiTheme="minorHAnsi" w:cstheme="minorHAnsi"/>
          <w:color w:val="000000"/>
          <w:highlight w:val="cyan"/>
        </w:rPr>
        <w:t xml:space="preserve">and tobacco, </w:t>
      </w:r>
      <w:r w:rsidR="00741B6F" w:rsidRPr="003B271A">
        <w:rPr>
          <w:rFonts w:asciiTheme="minorHAnsi" w:hAnsiTheme="minorHAnsi" w:cstheme="minorHAnsi"/>
          <w:color w:val="000000"/>
          <w:highlight w:val="cyan"/>
        </w:rPr>
        <w:t>electricity fees and increased price</w:t>
      </w:r>
      <w:r w:rsidR="009D7E26" w:rsidRPr="003B271A">
        <w:rPr>
          <w:rFonts w:asciiTheme="minorHAnsi" w:hAnsiTheme="minorHAnsi" w:cstheme="minorHAnsi"/>
          <w:color w:val="000000"/>
          <w:highlight w:val="cyan"/>
        </w:rPr>
        <w:t>s on durable goods stemming from the exchange rate shock.</w:t>
      </w:r>
      <w:r w:rsidR="009D7E26">
        <w:rPr>
          <w:rFonts w:asciiTheme="minorHAnsi" w:hAnsiTheme="minorHAnsi" w:cstheme="minorHAnsi"/>
          <w:color w:val="000000"/>
        </w:rPr>
        <w:t xml:space="preserve"> </w:t>
      </w:r>
      <w:r w:rsidR="00741B6F" w:rsidRPr="003B271A">
        <w:rPr>
          <w:rFonts w:asciiTheme="minorHAnsi" w:hAnsiTheme="minorHAnsi" w:cstheme="minorHAnsi"/>
          <w:color w:val="000000"/>
          <w:highlight w:val="cyan"/>
        </w:rPr>
        <w:t>After exhaustion of this effect in 2016, inflation decreased.</w:t>
      </w:r>
      <w:r w:rsidR="00741B6F">
        <w:rPr>
          <w:rFonts w:asciiTheme="minorHAnsi" w:hAnsiTheme="minorHAnsi" w:cstheme="minorHAnsi"/>
          <w:color w:val="000000"/>
        </w:rPr>
        <w:t xml:space="preserve"> </w:t>
      </w:r>
      <w:r w:rsidR="00E105A0" w:rsidRPr="003B271A">
        <w:rPr>
          <w:rFonts w:asciiTheme="minorHAnsi" w:hAnsiTheme="minorHAnsi" w:cstheme="minorHAnsi"/>
          <w:color w:val="000000"/>
          <w:highlight w:val="cyan"/>
        </w:rPr>
        <w:t xml:space="preserve">Another explanation for the dipped </w:t>
      </w:r>
      <w:r w:rsidR="00AF4FAD" w:rsidRPr="003B271A">
        <w:rPr>
          <w:rFonts w:asciiTheme="minorHAnsi" w:hAnsiTheme="minorHAnsi" w:cstheme="minorHAnsi"/>
          <w:color w:val="000000"/>
          <w:highlight w:val="cyan"/>
        </w:rPr>
        <w:t xml:space="preserve">headline </w:t>
      </w:r>
      <w:r w:rsidR="00E105A0" w:rsidRPr="003B271A">
        <w:rPr>
          <w:rFonts w:asciiTheme="minorHAnsi" w:hAnsiTheme="minorHAnsi" w:cstheme="minorHAnsi"/>
          <w:color w:val="000000"/>
          <w:highlight w:val="cyan"/>
        </w:rPr>
        <w:t xml:space="preserve">inflation in 2016 was weak internal demand, </w:t>
      </w:r>
      <w:r w:rsidR="004B2EB9" w:rsidRPr="003B271A">
        <w:rPr>
          <w:rFonts w:asciiTheme="minorHAnsi" w:hAnsiTheme="minorHAnsi" w:cstheme="minorHAnsi"/>
          <w:color w:val="000000"/>
          <w:highlight w:val="cyan"/>
        </w:rPr>
        <w:t>which was a resul</w:t>
      </w:r>
      <w:r w:rsidR="00AE47E2" w:rsidRPr="003B271A">
        <w:rPr>
          <w:rFonts w:asciiTheme="minorHAnsi" w:hAnsiTheme="minorHAnsi" w:cstheme="minorHAnsi"/>
          <w:color w:val="000000"/>
          <w:highlight w:val="cyan"/>
        </w:rPr>
        <w:t>t of</w:t>
      </w:r>
      <w:r w:rsidR="00BB593C" w:rsidRPr="003B271A">
        <w:rPr>
          <w:rFonts w:asciiTheme="minorHAnsi" w:hAnsiTheme="minorHAnsi" w:cstheme="minorHAnsi"/>
          <w:color w:val="000000"/>
          <w:highlight w:val="cyan"/>
        </w:rPr>
        <w:t xml:space="preserve"> reduced economic activity. Core inflation also moved in tandem with the headline inflation</w:t>
      </w:r>
      <w:r w:rsidR="007525BE" w:rsidRPr="003B271A">
        <w:rPr>
          <w:rFonts w:asciiTheme="minorHAnsi" w:hAnsiTheme="minorHAnsi" w:cstheme="minorHAnsi"/>
          <w:color w:val="000000"/>
          <w:highlight w:val="cyan"/>
        </w:rPr>
        <w:t xml:space="preserve">. It </w:t>
      </w:r>
      <w:r w:rsidR="00BB593C" w:rsidRPr="003B271A">
        <w:rPr>
          <w:rFonts w:asciiTheme="minorHAnsi" w:hAnsiTheme="minorHAnsi" w:cstheme="minorHAnsi"/>
          <w:color w:val="000000"/>
          <w:highlight w:val="cyan"/>
        </w:rPr>
        <w:t>had a similar trajectory</w:t>
      </w:r>
      <w:r w:rsidR="007525BE" w:rsidRPr="003B271A">
        <w:rPr>
          <w:rFonts w:asciiTheme="minorHAnsi" w:hAnsiTheme="minorHAnsi" w:cstheme="minorHAnsi"/>
          <w:color w:val="000000"/>
          <w:highlight w:val="cyan"/>
        </w:rPr>
        <w:t>, though at a higher level due to the modest increase of food prices and declined prices on fuel</w:t>
      </w:r>
      <w:r w:rsidR="007525BE">
        <w:rPr>
          <w:rFonts w:asciiTheme="minorHAnsi" w:hAnsiTheme="minorHAnsi" w:cstheme="minorHAnsi"/>
          <w:color w:val="000000"/>
        </w:rPr>
        <w:t xml:space="preserve"> (see Figure 4). </w:t>
      </w:r>
    </w:p>
    <w:p w14:paraId="79059749" w14:textId="77777777" w:rsidR="008A1F73" w:rsidRDefault="0027337E" w:rsidP="00946558">
      <w:pPr>
        <w:pStyle w:val="NormalWeb"/>
        <w:spacing w:before="0" w:beforeAutospacing="0" w:after="200" w:afterAutospacing="0" w:line="360" w:lineRule="auto"/>
        <w:jc w:val="both"/>
        <w:rPr>
          <w:rFonts w:asciiTheme="minorHAnsi" w:hAnsiTheme="minorHAnsi" w:cstheme="minorHAnsi"/>
          <w:color w:val="000000"/>
        </w:rPr>
      </w:pPr>
      <w:r w:rsidRPr="003B271A">
        <w:rPr>
          <w:rFonts w:asciiTheme="minorHAnsi" w:hAnsiTheme="minorHAnsi" w:cstheme="minorHAnsi"/>
          <w:color w:val="000000"/>
          <w:highlight w:val="cyan"/>
        </w:rPr>
        <w:t xml:space="preserve">Increases in oil prices, alongside with the doubling of fuel and tobacco </w:t>
      </w:r>
      <w:r w:rsidR="005E5D05" w:rsidRPr="003B271A">
        <w:rPr>
          <w:rFonts w:asciiTheme="minorHAnsi" w:hAnsiTheme="minorHAnsi" w:cstheme="minorHAnsi"/>
          <w:color w:val="000000"/>
          <w:highlight w:val="cyan"/>
        </w:rPr>
        <w:t>excise taxes</w:t>
      </w:r>
      <w:r w:rsidR="00EE2EFF" w:rsidRPr="003B271A">
        <w:rPr>
          <w:rFonts w:asciiTheme="minorHAnsi" w:hAnsiTheme="minorHAnsi" w:cstheme="minorHAnsi"/>
          <w:color w:val="000000"/>
          <w:highlight w:val="cyan"/>
        </w:rPr>
        <w:t xml:space="preserve"> </w:t>
      </w:r>
      <w:r w:rsidR="00F01A01" w:rsidRPr="003B271A">
        <w:rPr>
          <w:rStyle w:val="FootnoteReference"/>
          <w:rFonts w:asciiTheme="minorHAnsi" w:hAnsiTheme="minorHAnsi" w:cstheme="minorHAnsi"/>
          <w:color w:val="000000"/>
          <w:highlight w:val="cyan"/>
        </w:rPr>
        <w:footnoteReference w:id="1"/>
      </w:r>
      <w:r w:rsidR="00EE2EFF" w:rsidRPr="003B271A">
        <w:rPr>
          <w:rFonts w:asciiTheme="minorHAnsi" w:hAnsiTheme="minorHAnsi" w:cstheme="minorHAnsi"/>
          <w:color w:val="000000"/>
          <w:highlight w:val="cyan"/>
        </w:rPr>
        <w:t>(from January 1, 2017)</w:t>
      </w:r>
      <w:r w:rsidR="005E5D05" w:rsidRPr="003B271A">
        <w:rPr>
          <w:rFonts w:asciiTheme="minorHAnsi" w:hAnsiTheme="minorHAnsi" w:cstheme="minorHAnsi"/>
          <w:color w:val="000000"/>
          <w:highlight w:val="cyan"/>
        </w:rPr>
        <w:t xml:space="preserve">, translated into an overall spike in </w:t>
      </w:r>
      <w:r w:rsidR="0025143D" w:rsidRPr="003B271A">
        <w:rPr>
          <w:rFonts w:asciiTheme="minorHAnsi" w:hAnsiTheme="minorHAnsi" w:cstheme="minorHAnsi"/>
          <w:color w:val="000000"/>
          <w:highlight w:val="cyan"/>
        </w:rPr>
        <w:t xml:space="preserve">headline </w:t>
      </w:r>
      <w:r w:rsidR="005E5D05" w:rsidRPr="003B271A">
        <w:rPr>
          <w:rFonts w:asciiTheme="minorHAnsi" w:hAnsiTheme="minorHAnsi" w:cstheme="minorHAnsi"/>
          <w:color w:val="000000"/>
          <w:highlight w:val="cyan"/>
        </w:rPr>
        <w:t xml:space="preserve">inflation </w:t>
      </w:r>
      <w:r w:rsidR="00EE2EFF" w:rsidRPr="003B271A">
        <w:rPr>
          <w:rFonts w:asciiTheme="minorHAnsi" w:hAnsiTheme="minorHAnsi" w:cstheme="minorHAnsi"/>
          <w:color w:val="000000"/>
          <w:highlight w:val="cyan"/>
        </w:rPr>
        <w:t xml:space="preserve">to 6.7% </w:t>
      </w:r>
      <w:r w:rsidR="00D52282" w:rsidRPr="003B271A">
        <w:rPr>
          <w:rFonts w:asciiTheme="minorHAnsi" w:hAnsiTheme="minorHAnsi" w:cstheme="minorHAnsi"/>
          <w:color w:val="000000"/>
          <w:highlight w:val="cyan"/>
        </w:rPr>
        <w:t xml:space="preserve">(y-o-y average 6.0%) </w:t>
      </w:r>
      <w:r w:rsidR="00EE2EFF" w:rsidRPr="003B271A">
        <w:rPr>
          <w:rFonts w:asciiTheme="minorHAnsi" w:hAnsiTheme="minorHAnsi" w:cstheme="minorHAnsi"/>
          <w:color w:val="000000"/>
          <w:highlight w:val="cyan"/>
        </w:rPr>
        <w:t>by the end of December 2017</w:t>
      </w:r>
      <w:r w:rsidR="00EE2EFF">
        <w:rPr>
          <w:rFonts w:asciiTheme="minorHAnsi" w:hAnsiTheme="minorHAnsi" w:cstheme="minorHAnsi"/>
          <w:color w:val="000000"/>
        </w:rPr>
        <w:t>, well above the national bank’</w:t>
      </w:r>
      <w:r w:rsidR="00D51D7D">
        <w:rPr>
          <w:rFonts w:asciiTheme="minorHAnsi" w:hAnsiTheme="minorHAnsi" w:cstheme="minorHAnsi"/>
          <w:color w:val="000000"/>
        </w:rPr>
        <w:t>s target of 4%.</w:t>
      </w:r>
      <w:r w:rsidR="00DA191B">
        <w:rPr>
          <w:rFonts w:asciiTheme="minorHAnsi" w:hAnsiTheme="minorHAnsi" w:cstheme="minorHAnsi"/>
          <w:color w:val="000000"/>
        </w:rPr>
        <w:t xml:space="preserve"> </w:t>
      </w:r>
      <w:r w:rsidR="00946558">
        <w:rPr>
          <w:rFonts w:asciiTheme="minorHAnsi" w:hAnsiTheme="minorHAnsi" w:cstheme="minorHAnsi"/>
          <w:color w:val="000000"/>
        </w:rPr>
        <w:t>The h</w:t>
      </w:r>
      <w:r w:rsidR="005417F0">
        <w:rPr>
          <w:rFonts w:asciiTheme="minorHAnsi" w:hAnsiTheme="minorHAnsi" w:cstheme="minorHAnsi"/>
          <w:color w:val="000000"/>
        </w:rPr>
        <w:t xml:space="preserve">eadline inflation </w:t>
      </w:r>
      <w:r w:rsidR="00500165">
        <w:rPr>
          <w:rFonts w:asciiTheme="minorHAnsi" w:hAnsiTheme="minorHAnsi" w:cstheme="minorHAnsi"/>
          <w:color w:val="000000"/>
        </w:rPr>
        <w:t xml:space="preserve">accelerated in the first and </w:t>
      </w:r>
      <w:r w:rsidR="00AE1A15">
        <w:rPr>
          <w:rFonts w:asciiTheme="minorHAnsi" w:hAnsiTheme="minorHAnsi" w:cstheme="minorHAnsi"/>
          <w:color w:val="000000"/>
        </w:rPr>
        <w:t xml:space="preserve">second quarters; however, in the third quarter it slightly moderated and marked </w:t>
      </w:r>
      <w:r w:rsidR="00CB576D">
        <w:rPr>
          <w:rFonts w:asciiTheme="minorHAnsi" w:hAnsiTheme="minorHAnsi" w:cstheme="minorHAnsi"/>
          <w:color w:val="000000"/>
        </w:rPr>
        <w:t xml:space="preserve">6.2% in September. </w:t>
      </w:r>
      <w:r w:rsidR="00680D3B">
        <w:rPr>
          <w:rFonts w:asciiTheme="minorHAnsi" w:hAnsiTheme="minorHAnsi" w:cstheme="minorHAnsi"/>
          <w:color w:val="000000"/>
        </w:rPr>
        <w:t xml:space="preserve">This was largely the result of easing underlying food price pressures on </w:t>
      </w:r>
      <w:r w:rsidR="00946558">
        <w:rPr>
          <w:rFonts w:asciiTheme="minorHAnsi" w:hAnsiTheme="minorHAnsi" w:cstheme="minorHAnsi"/>
          <w:color w:val="000000"/>
        </w:rPr>
        <w:t xml:space="preserve">the </w:t>
      </w:r>
      <w:r w:rsidR="005034C5">
        <w:rPr>
          <w:rFonts w:asciiTheme="minorHAnsi" w:hAnsiTheme="minorHAnsi" w:cstheme="minorHAnsi"/>
          <w:color w:val="000000"/>
        </w:rPr>
        <w:t>headline inflation.</w:t>
      </w:r>
      <w:r w:rsidR="0000105E">
        <w:rPr>
          <w:rFonts w:asciiTheme="minorHAnsi" w:hAnsiTheme="minorHAnsi" w:cstheme="minorHAnsi"/>
          <w:color w:val="000000"/>
        </w:rPr>
        <w:t xml:space="preserve"> </w:t>
      </w:r>
      <w:r w:rsidR="00406DBC">
        <w:rPr>
          <w:rFonts w:asciiTheme="minorHAnsi" w:hAnsiTheme="minorHAnsi" w:cstheme="minorHAnsi"/>
          <w:color w:val="000000"/>
        </w:rPr>
        <w:t xml:space="preserve">In the fourth quarter of 2017, </w:t>
      </w:r>
      <w:r w:rsidR="00946558">
        <w:rPr>
          <w:rFonts w:asciiTheme="minorHAnsi" w:hAnsiTheme="minorHAnsi" w:cstheme="minorHAnsi"/>
          <w:color w:val="000000"/>
        </w:rPr>
        <w:t xml:space="preserve">the </w:t>
      </w:r>
      <w:r w:rsidR="00406DBC">
        <w:rPr>
          <w:rFonts w:asciiTheme="minorHAnsi" w:hAnsiTheme="minorHAnsi" w:cstheme="minorHAnsi"/>
          <w:color w:val="000000"/>
        </w:rPr>
        <w:t xml:space="preserve">headline inflation </w:t>
      </w:r>
      <w:r w:rsidR="00946558">
        <w:rPr>
          <w:rFonts w:asciiTheme="minorHAnsi" w:hAnsiTheme="minorHAnsi" w:cstheme="minorHAnsi"/>
          <w:color w:val="000000"/>
        </w:rPr>
        <w:t xml:space="preserve">increased </w:t>
      </w:r>
      <w:r w:rsidR="00946558">
        <w:rPr>
          <w:rFonts w:asciiTheme="minorHAnsi" w:hAnsiTheme="minorHAnsi" w:cstheme="minorHAnsi"/>
          <w:color w:val="000000"/>
        </w:rPr>
        <w:lastRenderedPageBreak/>
        <w:t xml:space="preserve">due to the development on international oil market and depreciation of the nominal effective exchange rate. </w:t>
      </w:r>
      <w:r w:rsidR="009B234F">
        <w:rPr>
          <w:rFonts w:asciiTheme="minorHAnsi" w:hAnsiTheme="minorHAnsi" w:cstheme="minorHAnsi"/>
          <w:color w:val="000000"/>
        </w:rPr>
        <w:t xml:space="preserve">Likewise, core inflation also surged, albeit at a higher level because of the sharp increase of food and fuel prices. </w:t>
      </w:r>
      <w:r w:rsidR="00946558">
        <w:rPr>
          <w:rFonts w:asciiTheme="minorHAnsi" w:hAnsiTheme="minorHAnsi" w:cstheme="minorHAnsi"/>
          <w:color w:val="000000"/>
        </w:rPr>
        <w:t xml:space="preserve">It should be noted that, the inflation rate remained above the target level throughout </w:t>
      </w:r>
      <w:r w:rsidR="008A1F73">
        <w:rPr>
          <w:rFonts w:asciiTheme="minorHAnsi" w:hAnsiTheme="minorHAnsi" w:cstheme="minorHAnsi"/>
          <w:color w:val="000000"/>
        </w:rPr>
        <w:t xml:space="preserve">2017 (see Figure 4). </w:t>
      </w:r>
    </w:p>
    <w:p w14:paraId="6689C49A" w14:textId="77777777" w:rsidR="0064358D" w:rsidRPr="00C45EA7" w:rsidRDefault="0064358D" w:rsidP="0064358D">
      <w:pPr>
        <w:pStyle w:val="Caption"/>
        <w:keepNext/>
        <w:jc w:val="both"/>
        <w:rPr>
          <w:i w:val="0"/>
          <w:color w:val="000000" w:themeColor="text1"/>
          <w:sz w:val="24"/>
          <w:szCs w:val="24"/>
        </w:rPr>
      </w:pPr>
      <w:bookmarkStart w:id="30" w:name="_Toc508716348"/>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sidR="00C45EA7">
        <w:rPr>
          <w:i w:val="0"/>
          <w:noProof/>
          <w:color w:val="000000" w:themeColor="text1"/>
          <w:sz w:val="24"/>
          <w:szCs w:val="24"/>
        </w:rPr>
        <w:t>4</w:t>
      </w:r>
      <w:r w:rsidRPr="00C45EA7">
        <w:rPr>
          <w:i w:val="0"/>
          <w:color w:val="000000" w:themeColor="text1"/>
          <w:sz w:val="24"/>
          <w:szCs w:val="24"/>
        </w:rPr>
        <w:fldChar w:fldCharType="end"/>
      </w:r>
      <w:r w:rsidRPr="00C45EA7">
        <w:rPr>
          <w:i w:val="0"/>
          <w:color w:val="000000" w:themeColor="text1"/>
          <w:sz w:val="24"/>
          <w:szCs w:val="24"/>
        </w:rPr>
        <w:t>:Headline and core inflation (% change compared to the same month of the previous year)</w:t>
      </w:r>
      <w:bookmarkEnd w:id="30"/>
    </w:p>
    <w:p w14:paraId="4E48362A" w14:textId="77777777" w:rsidR="008A1F73" w:rsidRDefault="008A1F73" w:rsidP="00C873FA">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5FC89C77" wp14:editId="2E2766AF">
            <wp:extent cx="5943600" cy="30670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52CA84" w14:textId="77777777" w:rsidR="008A1F73" w:rsidRDefault="008A1F73" w:rsidP="00C873FA">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Source: National Statistics Off</w:t>
      </w:r>
      <w:r w:rsidR="00D05A9D">
        <w:rPr>
          <w:rFonts w:asciiTheme="minorHAnsi" w:hAnsiTheme="minorHAnsi" w:cstheme="minorHAnsi"/>
          <w:color w:val="000000"/>
        </w:rPr>
        <w:t xml:space="preserve">ice of Georgia (Geostat), 2018. </w:t>
      </w:r>
    </w:p>
    <w:p w14:paraId="5A2FFAF3" w14:textId="77777777" w:rsidR="00B76D89" w:rsidRDefault="00185BEE" w:rsidP="00C873FA">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With respect to supply factors, it is important to emphasize the effect of imported inflati</w:t>
      </w:r>
      <w:r w:rsidR="00E37726">
        <w:rPr>
          <w:rFonts w:asciiTheme="minorHAnsi" w:hAnsiTheme="minorHAnsi" w:cstheme="minorHAnsi"/>
          <w:color w:val="000000"/>
        </w:rPr>
        <w:t xml:space="preserve">on on the overall price level. </w:t>
      </w:r>
      <w:r w:rsidR="001D4301" w:rsidRPr="003B271A">
        <w:rPr>
          <w:rFonts w:asciiTheme="minorHAnsi" w:hAnsiTheme="minorHAnsi" w:cstheme="minorHAnsi"/>
          <w:color w:val="000000"/>
          <w:highlight w:val="cyan"/>
        </w:rPr>
        <w:t>T</w:t>
      </w:r>
      <w:r w:rsidR="00E37726" w:rsidRPr="003B271A">
        <w:rPr>
          <w:rFonts w:asciiTheme="minorHAnsi" w:hAnsiTheme="minorHAnsi" w:cstheme="minorHAnsi"/>
          <w:color w:val="000000"/>
          <w:highlight w:val="cyan"/>
        </w:rPr>
        <w:t xml:space="preserve">he share of </w:t>
      </w:r>
      <w:r w:rsidR="00A55C74" w:rsidRPr="003B271A">
        <w:rPr>
          <w:rFonts w:asciiTheme="minorHAnsi" w:hAnsiTheme="minorHAnsi" w:cstheme="minorHAnsi"/>
          <w:color w:val="000000"/>
          <w:highlight w:val="cyan"/>
        </w:rPr>
        <w:t xml:space="preserve">imported </w:t>
      </w:r>
      <w:r w:rsidR="0098511C" w:rsidRPr="003B271A">
        <w:rPr>
          <w:rFonts w:asciiTheme="minorHAnsi" w:hAnsiTheme="minorHAnsi" w:cstheme="minorHAnsi"/>
          <w:color w:val="000000"/>
          <w:highlight w:val="cyan"/>
        </w:rPr>
        <w:t>and mixed</w:t>
      </w:r>
      <w:r w:rsidR="0098511C" w:rsidRPr="003B271A">
        <w:rPr>
          <w:rStyle w:val="FootnoteReference"/>
          <w:rFonts w:asciiTheme="minorHAnsi" w:hAnsiTheme="minorHAnsi" w:cstheme="minorHAnsi"/>
          <w:color w:val="000000"/>
          <w:highlight w:val="cyan"/>
        </w:rPr>
        <w:footnoteReference w:id="2"/>
      </w:r>
      <w:r w:rsidR="0098511C" w:rsidRPr="003B271A">
        <w:rPr>
          <w:rFonts w:asciiTheme="minorHAnsi" w:hAnsiTheme="minorHAnsi" w:cstheme="minorHAnsi"/>
          <w:color w:val="000000"/>
          <w:highlight w:val="cyan"/>
        </w:rPr>
        <w:t xml:space="preserve"> goods</w:t>
      </w:r>
      <w:r w:rsidR="00A55C74" w:rsidRPr="003B271A">
        <w:rPr>
          <w:rFonts w:asciiTheme="minorHAnsi" w:hAnsiTheme="minorHAnsi" w:cstheme="minorHAnsi"/>
          <w:color w:val="000000"/>
          <w:highlight w:val="cyan"/>
        </w:rPr>
        <w:t xml:space="preserve"> in the consumption </w:t>
      </w:r>
      <w:r w:rsidR="001D4301" w:rsidRPr="003B271A">
        <w:rPr>
          <w:rFonts w:asciiTheme="minorHAnsi" w:hAnsiTheme="minorHAnsi" w:cstheme="minorHAnsi"/>
          <w:color w:val="000000"/>
          <w:highlight w:val="cyan"/>
        </w:rPr>
        <w:t>basket in Georgia is quite high.</w:t>
      </w:r>
      <w:r w:rsidR="00B76D89" w:rsidRPr="003B271A">
        <w:rPr>
          <w:rFonts w:asciiTheme="minorHAnsi" w:hAnsiTheme="minorHAnsi" w:cstheme="minorHAnsi"/>
          <w:color w:val="000000"/>
          <w:highlight w:val="cyan"/>
        </w:rPr>
        <w:t xml:space="preserve"> </w:t>
      </w:r>
      <w:r w:rsidR="008965F5" w:rsidRPr="003B271A">
        <w:rPr>
          <w:rFonts w:asciiTheme="minorHAnsi" w:hAnsiTheme="minorHAnsi" w:cstheme="minorHAnsi"/>
          <w:color w:val="000000"/>
          <w:highlight w:val="cyan"/>
        </w:rPr>
        <w:t>I</w:t>
      </w:r>
      <w:r w:rsidR="00EA3CC5" w:rsidRPr="003B271A">
        <w:rPr>
          <w:rFonts w:asciiTheme="minorHAnsi" w:hAnsiTheme="minorHAnsi" w:cstheme="minorHAnsi"/>
          <w:color w:val="000000"/>
          <w:highlight w:val="cyan"/>
        </w:rPr>
        <w:t xml:space="preserve">mported products make up more than one third of </w:t>
      </w:r>
      <w:r w:rsidR="00B76D89" w:rsidRPr="003B271A">
        <w:rPr>
          <w:rFonts w:asciiTheme="minorHAnsi" w:hAnsiTheme="minorHAnsi" w:cstheme="minorHAnsi"/>
          <w:color w:val="000000"/>
          <w:highlight w:val="cyan"/>
        </w:rPr>
        <w:t>the consumer basket</w:t>
      </w:r>
      <w:r w:rsidR="008965F5" w:rsidRPr="003B271A">
        <w:rPr>
          <w:rFonts w:asciiTheme="minorHAnsi" w:hAnsiTheme="minorHAnsi" w:cstheme="minorHAnsi"/>
          <w:color w:val="000000"/>
          <w:highlight w:val="cyan"/>
        </w:rPr>
        <w:t>.</w:t>
      </w:r>
      <w:r w:rsidR="008965F5">
        <w:rPr>
          <w:rFonts w:asciiTheme="minorHAnsi" w:hAnsiTheme="minorHAnsi" w:cstheme="minorHAnsi"/>
          <w:color w:val="000000"/>
        </w:rPr>
        <w:t xml:space="preserve"> Therefore</w:t>
      </w:r>
      <w:r w:rsidR="00B76D89">
        <w:rPr>
          <w:rFonts w:asciiTheme="minorHAnsi" w:hAnsiTheme="minorHAnsi" w:cstheme="minorHAnsi"/>
          <w:color w:val="000000"/>
        </w:rPr>
        <w:t xml:space="preserve">, imported inflation is a significant factor in shaping the low level of inflation in the country. </w:t>
      </w:r>
    </w:p>
    <w:p w14:paraId="7DBB23AD" w14:textId="77777777" w:rsidR="00C873FA" w:rsidRDefault="001B70D0" w:rsidP="00AC2510">
      <w:pPr>
        <w:pStyle w:val="NormalWeb"/>
        <w:spacing w:before="0" w:beforeAutospacing="0" w:after="240" w:afterAutospacing="0" w:line="360" w:lineRule="auto"/>
        <w:jc w:val="both"/>
        <w:rPr>
          <w:rFonts w:asciiTheme="minorHAnsi" w:hAnsiTheme="minorHAnsi" w:cstheme="minorHAnsi"/>
          <w:color w:val="000000"/>
        </w:rPr>
      </w:pPr>
      <w:r w:rsidRPr="003B271A">
        <w:rPr>
          <w:rFonts w:asciiTheme="minorHAnsi" w:hAnsiTheme="minorHAnsi" w:cstheme="minorHAnsi"/>
          <w:color w:val="000000"/>
          <w:highlight w:val="cyan"/>
        </w:rPr>
        <w:t xml:space="preserve">The consumer basket </w:t>
      </w:r>
      <w:r w:rsidR="001A542C" w:rsidRPr="003B271A">
        <w:rPr>
          <w:rFonts w:asciiTheme="minorHAnsi" w:hAnsiTheme="minorHAnsi" w:cstheme="minorHAnsi"/>
          <w:color w:val="000000"/>
          <w:highlight w:val="cyan"/>
        </w:rPr>
        <w:t xml:space="preserve">included 40.3% of imported and mixed goods in 2015. From the second </w:t>
      </w:r>
      <w:r w:rsidR="00843A02" w:rsidRPr="003B271A">
        <w:rPr>
          <w:rFonts w:asciiTheme="minorHAnsi" w:hAnsiTheme="minorHAnsi" w:cstheme="minorHAnsi"/>
          <w:color w:val="000000"/>
          <w:highlight w:val="cyan"/>
        </w:rPr>
        <w:t xml:space="preserve">half </w:t>
      </w:r>
      <w:r w:rsidR="00311855" w:rsidRPr="003B271A">
        <w:rPr>
          <w:rFonts w:asciiTheme="minorHAnsi" w:hAnsiTheme="minorHAnsi" w:cstheme="minorHAnsi"/>
          <w:color w:val="000000"/>
          <w:highlight w:val="cyan"/>
        </w:rPr>
        <w:t xml:space="preserve">of the same year, the </w:t>
      </w:r>
      <w:r w:rsidR="0094334A" w:rsidRPr="003B271A">
        <w:rPr>
          <w:rFonts w:asciiTheme="minorHAnsi" w:hAnsiTheme="minorHAnsi" w:cstheme="minorHAnsi"/>
          <w:color w:val="000000"/>
          <w:highlight w:val="cyan"/>
        </w:rPr>
        <w:t xml:space="preserve">lari </w:t>
      </w:r>
      <w:r w:rsidR="00311855" w:rsidRPr="003B271A">
        <w:rPr>
          <w:rFonts w:asciiTheme="minorHAnsi" w:hAnsiTheme="minorHAnsi" w:cstheme="minorHAnsi"/>
          <w:color w:val="000000"/>
          <w:highlight w:val="cyan"/>
        </w:rPr>
        <w:t>nominal effective exchange rate</w:t>
      </w:r>
      <w:r w:rsidR="00843A02" w:rsidRPr="003B271A">
        <w:rPr>
          <w:rFonts w:asciiTheme="minorHAnsi" w:hAnsiTheme="minorHAnsi" w:cstheme="minorHAnsi"/>
          <w:color w:val="000000"/>
          <w:highlight w:val="cyan"/>
        </w:rPr>
        <w:t xml:space="preserve"> </w:t>
      </w:r>
      <w:r w:rsidR="00B02E2B" w:rsidRPr="003B271A">
        <w:rPr>
          <w:rFonts w:asciiTheme="minorHAnsi" w:hAnsiTheme="minorHAnsi" w:cstheme="minorHAnsi"/>
          <w:color w:val="000000"/>
          <w:highlight w:val="cyan"/>
        </w:rPr>
        <w:t xml:space="preserve">began to depreciate </w:t>
      </w:r>
      <w:r w:rsidR="00AF3ABD" w:rsidRPr="003B271A">
        <w:rPr>
          <w:rFonts w:asciiTheme="minorHAnsi" w:hAnsiTheme="minorHAnsi" w:cstheme="minorHAnsi"/>
          <w:color w:val="000000"/>
          <w:highlight w:val="cyan"/>
        </w:rPr>
        <w:t xml:space="preserve">and peaked </w:t>
      </w:r>
      <w:r w:rsidR="00B757B3" w:rsidRPr="003B271A">
        <w:rPr>
          <w:rFonts w:asciiTheme="minorHAnsi" w:hAnsiTheme="minorHAnsi" w:cstheme="minorHAnsi"/>
          <w:color w:val="000000"/>
          <w:highlight w:val="cyan"/>
        </w:rPr>
        <w:t>at 8.5% y-o-y in October (see Figure 5).</w:t>
      </w:r>
      <w:r w:rsidR="00B757B3">
        <w:rPr>
          <w:rFonts w:asciiTheme="minorHAnsi" w:hAnsiTheme="minorHAnsi" w:cstheme="minorHAnsi"/>
          <w:color w:val="000000"/>
        </w:rPr>
        <w:t xml:space="preserve"> </w:t>
      </w:r>
      <w:r w:rsidR="00B5621D">
        <w:rPr>
          <w:rFonts w:asciiTheme="minorHAnsi" w:hAnsiTheme="minorHAnsi" w:cstheme="minorHAnsi"/>
          <w:color w:val="000000"/>
        </w:rPr>
        <w:t xml:space="preserve">Against this background, </w:t>
      </w:r>
      <w:r w:rsidR="00D86A7F">
        <w:rPr>
          <w:rFonts w:asciiTheme="minorHAnsi" w:hAnsiTheme="minorHAnsi" w:cstheme="minorHAnsi"/>
          <w:color w:val="000000"/>
        </w:rPr>
        <w:t xml:space="preserve">the change of imported prices </w:t>
      </w:r>
      <w:r w:rsidR="00D86A7F">
        <w:rPr>
          <w:rFonts w:asciiTheme="minorHAnsi" w:hAnsiTheme="minorHAnsi" w:cstheme="minorHAnsi"/>
          <w:color w:val="000000"/>
        </w:rPr>
        <w:lastRenderedPageBreak/>
        <w:t xml:space="preserve">and its influence on the </w:t>
      </w:r>
      <w:r w:rsidR="002C7A4E">
        <w:rPr>
          <w:rFonts w:asciiTheme="minorHAnsi" w:hAnsiTheme="minorHAnsi" w:cstheme="minorHAnsi"/>
          <w:color w:val="000000"/>
        </w:rPr>
        <w:t xml:space="preserve">overall </w:t>
      </w:r>
      <w:r w:rsidR="00D86A7F">
        <w:rPr>
          <w:rFonts w:asciiTheme="minorHAnsi" w:hAnsiTheme="minorHAnsi" w:cstheme="minorHAnsi"/>
          <w:color w:val="000000"/>
        </w:rPr>
        <w:t xml:space="preserve">price level became positive </w:t>
      </w:r>
      <w:r w:rsidR="00B5621D">
        <w:rPr>
          <w:rFonts w:asciiTheme="minorHAnsi" w:hAnsiTheme="minorHAnsi" w:cstheme="minorHAnsi"/>
          <w:color w:val="000000"/>
        </w:rPr>
        <w:t xml:space="preserve">and </w:t>
      </w:r>
      <w:r w:rsidR="0031546C">
        <w:rPr>
          <w:rFonts w:asciiTheme="minorHAnsi" w:hAnsiTheme="minorHAnsi" w:cstheme="minorHAnsi"/>
          <w:color w:val="000000"/>
        </w:rPr>
        <w:t>started risin</w:t>
      </w:r>
      <w:r w:rsidR="00BB1ACD">
        <w:rPr>
          <w:rFonts w:asciiTheme="minorHAnsi" w:hAnsiTheme="minorHAnsi" w:cstheme="minorHAnsi"/>
          <w:color w:val="000000"/>
        </w:rPr>
        <w:t>g.</w:t>
      </w:r>
      <w:r w:rsidR="00341587">
        <w:rPr>
          <w:rFonts w:asciiTheme="minorHAnsi" w:hAnsiTheme="minorHAnsi" w:cstheme="minorHAnsi"/>
          <w:color w:val="000000"/>
        </w:rPr>
        <w:t xml:space="preserve"> Hence</w:t>
      </w:r>
      <w:r w:rsidR="00BB1ACD">
        <w:rPr>
          <w:rFonts w:asciiTheme="minorHAnsi" w:hAnsiTheme="minorHAnsi" w:cstheme="minorHAnsi"/>
          <w:color w:val="000000"/>
        </w:rPr>
        <w:t xml:space="preserve">, </w:t>
      </w:r>
      <w:r w:rsidR="000F4F89">
        <w:rPr>
          <w:rFonts w:asciiTheme="minorHAnsi" w:hAnsiTheme="minorHAnsi" w:cstheme="minorHAnsi"/>
          <w:color w:val="000000"/>
        </w:rPr>
        <w:t xml:space="preserve">imported inflation was characterized by growing trend </w:t>
      </w:r>
      <w:r w:rsidR="00232FE6">
        <w:rPr>
          <w:rFonts w:asciiTheme="minorHAnsi" w:hAnsiTheme="minorHAnsi" w:cstheme="minorHAnsi"/>
          <w:color w:val="000000"/>
        </w:rPr>
        <w:t xml:space="preserve">until November. </w:t>
      </w:r>
      <w:r w:rsidR="000F4F89">
        <w:rPr>
          <w:rFonts w:asciiTheme="minorHAnsi" w:hAnsiTheme="minorHAnsi" w:cstheme="minorHAnsi"/>
          <w:color w:val="000000"/>
        </w:rPr>
        <w:t xml:space="preserve">Nevertheless, </w:t>
      </w:r>
      <w:r w:rsidR="00232FE6">
        <w:rPr>
          <w:rFonts w:asciiTheme="minorHAnsi" w:hAnsiTheme="minorHAnsi" w:cstheme="minorHAnsi"/>
          <w:color w:val="000000"/>
        </w:rPr>
        <w:t xml:space="preserve">declined </w:t>
      </w:r>
      <w:r w:rsidR="000F4F89">
        <w:rPr>
          <w:rFonts w:asciiTheme="minorHAnsi" w:hAnsiTheme="minorHAnsi" w:cstheme="minorHAnsi"/>
          <w:color w:val="000000"/>
        </w:rPr>
        <w:t xml:space="preserve">fuel prices lowered pressure on imported inflation </w:t>
      </w:r>
      <w:r w:rsidR="00C621F3">
        <w:rPr>
          <w:rFonts w:asciiTheme="minorHAnsi" w:hAnsiTheme="minorHAnsi" w:cstheme="minorHAnsi"/>
          <w:color w:val="000000"/>
        </w:rPr>
        <w:t xml:space="preserve">rate </w:t>
      </w:r>
      <w:r w:rsidR="00232FE6">
        <w:rPr>
          <w:rFonts w:asciiTheme="minorHAnsi" w:hAnsiTheme="minorHAnsi" w:cstheme="minorHAnsi"/>
          <w:color w:val="000000"/>
        </w:rPr>
        <w:t xml:space="preserve">and it </w:t>
      </w:r>
      <w:r w:rsidR="00C621F3">
        <w:rPr>
          <w:rFonts w:asciiTheme="minorHAnsi" w:hAnsiTheme="minorHAnsi" w:cstheme="minorHAnsi"/>
          <w:color w:val="000000"/>
        </w:rPr>
        <w:t xml:space="preserve">eased to 2.1% by </w:t>
      </w:r>
      <w:r w:rsidR="00B757B3">
        <w:rPr>
          <w:rFonts w:asciiTheme="minorHAnsi" w:hAnsiTheme="minorHAnsi" w:cstheme="minorHAnsi"/>
          <w:color w:val="000000"/>
        </w:rPr>
        <w:t>the end of year (see Figure 6</w:t>
      </w:r>
      <w:r w:rsidR="002A310B">
        <w:rPr>
          <w:rFonts w:asciiTheme="minorHAnsi" w:hAnsiTheme="minorHAnsi" w:cstheme="minorHAnsi"/>
          <w:color w:val="000000"/>
        </w:rPr>
        <w:t xml:space="preserve">). </w:t>
      </w:r>
      <w:r w:rsidR="002C7A4E" w:rsidRPr="001E59A7">
        <w:rPr>
          <w:rFonts w:asciiTheme="minorHAnsi" w:hAnsiTheme="minorHAnsi" w:cstheme="minorHAnsi"/>
          <w:color w:val="000000"/>
          <w:highlight w:val="cyan"/>
        </w:rPr>
        <w:t xml:space="preserve">Unlike 2015, </w:t>
      </w:r>
      <w:r w:rsidR="0094334A" w:rsidRPr="001E59A7">
        <w:rPr>
          <w:rFonts w:asciiTheme="minorHAnsi" w:hAnsiTheme="minorHAnsi" w:cstheme="minorHAnsi"/>
          <w:color w:val="000000"/>
          <w:highlight w:val="cyan"/>
        </w:rPr>
        <w:t xml:space="preserve">the lari nominal effective exchange rate </w:t>
      </w:r>
      <w:r w:rsidR="00D145BA" w:rsidRPr="001E59A7">
        <w:rPr>
          <w:rFonts w:asciiTheme="minorHAnsi" w:hAnsiTheme="minorHAnsi" w:cstheme="minorHAnsi"/>
          <w:color w:val="000000"/>
          <w:highlight w:val="cyan"/>
        </w:rPr>
        <w:t xml:space="preserve">was mostly appreciating during 2016. </w:t>
      </w:r>
      <w:r w:rsidR="00806294" w:rsidRPr="001E59A7">
        <w:rPr>
          <w:rFonts w:asciiTheme="minorHAnsi" w:hAnsiTheme="minorHAnsi" w:cstheme="minorHAnsi"/>
          <w:color w:val="000000"/>
          <w:highlight w:val="cyan"/>
        </w:rPr>
        <w:t>As a result, i</w:t>
      </w:r>
      <w:r w:rsidR="00FF5131" w:rsidRPr="001E59A7">
        <w:rPr>
          <w:rFonts w:asciiTheme="minorHAnsi" w:hAnsiTheme="minorHAnsi" w:cstheme="minorHAnsi"/>
          <w:color w:val="000000"/>
          <w:highlight w:val="cyan"/>
        </w:rPr>
        <w:t>mported products became cheaper</w:t>
      </w:r>
      <w:r w:rsidR="00A4262B">
        <w:rPr>
          <w:rFonts w:asciiTheme="minorHAnsi" w:hAnsiTheme="minorHAnsi" w:cstheme="minorHAnsi"/>
          <w:color w:val="000000"/>
        </w:rPr>
        <w:t xml:space="preserve"> and the imported inflation </w:t>
      </w:r>
      <w:r w:rsidR="007B14B3">
        <w:rPr>
          <w:rFonts w:asciiTheme="minorHAnsi" w:hAnsiTheme="minorHAnsi" w:cstheme="minorHAnsi"/>
          <w:color w:val="000000"/>
        </w:rPr>
        <w:t xml:space="preserve">dropped. </w:t>
      </w:r>
      <w:r w:rsidR="000E645F">
        <w:rPr>
          <w:rFonts w:asciiTheme="minorHAnsi" w:hAnsiTheme="minorHAnsi" w:cstheme="minorHAnsi"/>
          <w:color w:val="000000"/>
        </w:rPr>
        <w:t xml:space="preserve">However, in December inflation accelerated to 1.7%. </w:t>
      </w:r>
      <w:r w:rsidR="00A542E8">
        <w:rPr>
          <w:rFonts w:asciiTheme="minorHAnsi" w:hAnsiTheme="minorHAnsi" w:cstheme="minorHAnsi"/>
          <w:color w:val="000000"/>
        </w:rPr>
        <w:t>R</w:t>
      </w:r>
      <w:r w:rsidR="001A2D5A">
        <w:rPr>
          <w:rFonts w:asciiTheme="minorHAnsi" w:hAnsiTheme="minorHAnsi" w:cstheme="minorHAnsi"/>
          <w:color w:val="000000"/>
        </w:rPr>
        <w:t>ising fuel prices contributed the most to this change.</w:t>
      </w:r>
      <w:r w:rsidR="00C5445F">
        <w:rPr>
          <w:rFonts w:asciiTheme="minorHAnsi" w:hAnsiTheme="minorHAnsi" w:cstheme="minorHAnsi"/>
          <w:color w:val="000000"/>
        </w:rPr>
        <w:t xml:space="preserve"> Besides</w:t>
      </w:r>
      <w:r w:rsidR="00E140A6">
        <w:rPr>
          <w:rFonts w:asciiTheme="minorHAnsi" w:hAnsiTheme="minorHAnsi" w:cstheme="minorHAnsi"/>
          <w:color w:val="000000"/>
        </w:rPr>
        <w:t>, in December the lari nominal effective exchange rate depreciated and pushed inflation upward.</w:t>
      </w:r>
      <w:r w:rsidR="00A542E8">
        <w:rPr>
          <w:rFonts w:asciiTheme="minorHAnsi" w:hAnsiTheme="minorHAnsi" w:cstheme="minorHAnsi"/>
          <w:color w:val="000000"/>
        </w:rPr>
        <w:t xml:space="preserve"> From the beginning of 2016, inflation on local and mixed products were decreasing because of the base effect </w:t>
      </w:r>
      <w:r w:rsidR="00A542E8">
        <w:rPr>
          <w:rStyle w:val="FootnoteReference"/>
          <w:rFonts w:asciiTheme="minorHAnsi" w:hAnsiTheme="minorHAnsi" w:cstheme="minorHAnsi"/>
          <w:color w:val="000000"/>
        </w:rPr>
        <w:footnoteReference w:id="3"/>
      </w:r>
      <w:r w:rsidR="00AC2510">
        <w:rPr>
          <w:rFonts w:asciiTheme="minorHAnsi" w:hAnsiTheme="minorHAnsi" w:cstheme="minorHAnsi"/>
          <w:color w:val="000000"/>
        </w:rPr>
        <w:t>and we</w:t>
      </w:r>
      <w:r w:rsidR="00B757B3">
        <w:rPr>
          <w:rFonts w:asciiTheme="minorHAnsi" w:hAnsiTheme="minorHAnsi" w:cstheme="minorHAnsi"/>
          <w:color w:val="000000"/>
        </w:rPr>
        <w:t>ak internal demand (see Figure 6</w:t>
      </w:r>
      <w:r w:rsidR="00AC2510">
        <w:rPr>
          <w:rFonts w:asciiTheme="minorHAnsi" w:hAnsiTheme="minorHAnsi" w:cstheme="minorHAnsi"/>
          <w:color w:val="000000"/>
        </w:rPr>
        <w:t>).</w:t>
      </w:r>
      <w:r w:rsidR="00B87BB3">
        <w:rPr>
          <w:rFonts w:asciiTheme="minorHAnsi" w:hAnsiTheme="minorHAnsi" w:cstheme="minorHAnsi"/>
          <w:color w:val="000000"/>
        </w:rPr>
        <w:t xml:space="preserve"> </w:t>
      </w:r>
    </w:p>
    <w:p w14:paraId="0F54972A" w14:textId="77777777" w:rsidR="00C45EA7" w:rsidRPr="00C45EA7" w:rsidRDefault="00C45EA7" w:rsidP="00C45EA7">
      <w:pPr>
        <w:pStyle w:val="Caption"/>
        <w:keepNext/>
        <w:jc w:val="both"/>
        <w:rPr>
          <w:i w:val="0"/>
          <w:color w:val="000000" w:themeColor="text1"/>
          <w:sz w:val="24"/>
          <w:szCs w:val="24"/>
        </w:rPr>
      </w:pPr>
      <w:bookmarkStart w:id="31" w:name="_Toc508716349"/>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5</w:t>
      </w:r>
      <w:r w:rsidRPr="00C45EA7">
        <w:rPr>
          <w:i w:val="0"/>
          <w:color w:val="000000" w:themeColor="text1"/>
          <w:sz w:val="24"/>
          <w:szCs w:val="24"/>
        </w:rPr>
        <w:fldChar w:fldCharType="end"/>
      </w:r>
      <w:r w:rsidRPr="00C45EA7">
        <w:rPr>
          <w:i w:val="0"/>
          <w:color w:val="000000" w:themeColor="text1"/>
          <w:sz w:val="24"/>
          <w:szCs w:val="24"/>
        </w:rPr>
        <w:t>: Exchange rate (% change compared to the same month of the previous year)</w:t>
      </w:r>
      <w:bookmarkEnd w:id="31"/>
    </w:p>
    <w:p w14:paraId="3B37EEB7" w14:textId="77777777" w:rsidR="00C873FA" w:rsidRDefault="00B757B3" w:rsidP="00C873FA">
      <w:pPr>
        <w:pStyle w:val="NormalWeb"/>
        <w:spacing w:before="0" w:beforeAutospacing="0" w:after="0" w:afterAutospacing="0" w:line="360" w:lineRule="auto"/>
        <w:jc w:val="both"/>
        <w:rPr>
          <w:rFonts w:asciiTheme="minorHAnsi" w:hAnsiTheme="minorHAnsi" w:cstheme="minorHAnsi"/>
          <w:color w:val="000000"/>
        </w:rPr>
      </w:pPr>
      <w:r w:rsidRPr="00332A32">
        <w:rPr>
          <w:noProof/>
        </w:rPr>
        <w:drawing>
          <wp:inline distT="0" distB="0" distL="0" distR="0" wp14:anchorId="389B1F2B" wp14:editId="32077510">
            <wp:extent cx="5943600" cy="3276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CDAEC1" w14:textId="77777777" w:rsidR="00684BA5" w:rsidRDefault="00C873FA" w:rsidP="00684BA5">
      <w:pPr>
        <w:pStyle w:val="NormalWeb"/>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w:t>
      </w:r>
      <w:r w:rsidR="00F50021">
        <w:rPr>
          <w:rFonts w:asciiTheme="minorHAnsi" w:hAnsiTheme="minorHAnsi" w:cstheme="minorHAnsi"/>
          <w:color w:val="000000"/>
        </w:rPr>
        <w:t xml:space="preserve">National Bank of Georgia (NBG), 2018. </w:t>
      </w:r>
    </w:p>
    <w:p w14:paraId="4CB61EDE" w14:textId="77777777" w:rsidR="00684BA5" w:rsidRPr="00684BA5" w:rsidRDefault="00684BA5" w:rsidP="00684BA5">
      <w:pPr>
        <w:pStyle w:val="NormalWeb"/>
        <w:spacing w:before="0" w:beforeAutospacing="0" w:after="240" w:afterAutospacing="0" w:line="360" w:lineRule="auto"/>
        <w:jc w:val="both"/>
        <w:rPr>
          <w:rFonts w:asciiTheme="minorHAnsi" w:hAnsiTheme="minorHAnsi" w:cstheme="minorHAnsi"/>
          <w:i/>
          <w:color w:val="000000"/>
        </w:rPr>
      </w:pPr>
      <w:r w:rsidRPr="00684BA5">
        <w:rPr>
          <w:rFonts w:asciiTheme="minorHAnsi" w:hAnsiTheme="minorHAnsi" w:cstheme="minorHAnsi"/>
          <w:i/>
          <w:color w:val="000000"/>
        </w:rPr>
        <w:t>Note</w:t>
      </w:r>
      <w:r w:rsidR="000F22C2">
        <w:rPr>
          <w:rFonts w:asciiTheme="minorHAnsi" w:hAnsiTheme="minorHAnsi" w:cstheme="minorHAnsi"/>
          <w:i/>
          <w:color w:val="000000"/>
        </w:rPr>
        <w:t xml:space="preserve">: % change in real effective exchange rates are given in 1995 prices </w:t>
      </w:r>
      <w:r w:rsidR="00A35B6F">
        <w:rPr>
          <w:rFonts w:asciiTheme="minorHAnsi" w:hAnsiTheme="minorHAnsi" w:cstheme="minorHAnsi"/>
          <w:i/>
          <w:color w:val="000000"/>
        </w:rPr>
        <w:t xml:space="preserve">(December 1995=100) </w:t>
      </w:r>
    </w:p>
    <w:p w14:paraId="01CB1520" w14:textId="77777777" w:rsidR="00BC7FA6" w:rsidRDefault="00A542E8" w:rsidP="00684BA5">
      <w:pPr>
        <w:pStyle w:val="NormalWeb"/>
        <w:spacing w:before="0" w:beforeAutospacing="0" w:after="240" w:afterAutospacing="0" w:line="360" w:lineRule="auto"/>
        <w:jc w:val="both"/>
        <w:rPr>
          <w:rFonts w:asciiTheme="minorHAnsi" w:hAnsiTheme="minorHAnsi" w:cstheme="minorHAnsi"/>
          <w:color w:val="000000"/>
        </w:rPr>
      </w:pPr>
      <w:r w:rsidRPr="001E59A7">
        <w:rPr>
          <w:rFonts w:asciiTheme="minorHAnsi" w:hAnsiTheme="minorHAnsi" w:cstheme="minorHAnsi"/>
          <w:color w:val="000000"/>
          <w:highlight w:val="cyan"/>
        </w:rPr>
        <w:t xml:space="preserve">It is worth stressing that </w:t>
      </w:r>
      <w:r w:rsidR="00DA0969" w:rsidRPr="001E59A7">
        <w:rPr>
          <w:rFonts w:asciiTheme="minorHAnsi" w:hAnsiTheme="minorHAnsi" w:cstheme="minorHAnsi"/>
          <w:color w:val="000000"/>
          <w:highlight w:val="cyan"/>
        </w:rPr>
        <w:t xml:space="preserve">the consumer basket accounted for 41.2% and 44.3% of </w:t>
      </w:r>
      <w:r w:rsidR="00AC2510" w:rsidRPr="001E59A7">
        <w:rPr>
          <w:rFonts w:asciiTheme="minorHAnsi" w:hAnsiTheme="minorHAnsi" w:cstheme="minorHAnsi"/>
          <w:color w:val="000000"/>
          <w:highlight w:val="cyan"/>
        </w:rPr>
        <w:t>imported and mixed produ</w:t>
      </w:r>
      <w:r w:rsidR="00932F1B" w:rsidRPr="001E59A7">
        <w:rPr>
          <w:rFonts w:asciiTheme="minorHAnsi" w:hAnsiTheme="minorHAnsi" w:cstheme="minorHAnsi"/>
          <w:color w:val="000000"/>
          <w:highlight w:val="cyan"/>
        </w:rPr>
        <w:t>cts in 2016</w:t>
      </w:r>
      <w:r w:rsidR="00DA0969" w:rsidRPr="001E59A7">
        <w:rPr>
          <w:rFonts w:asciiTheme="minorHAnsi" w:hAnsiTheme="minorHAnsi" w:cstheme="minorHAnsi"/>
          <w:color w:val="000000"/>
          <w:highlight w:val="cyan"/>
        </w:rPr>
        <w:t xml:space="preserve"> and 2017 respectively</w:t>
      </w:r>
      <w:r w:rsidR="00CE6108">
        <w:rPr>
          <w:rFonts w:asciiTheme="minorHAnsi" w:hAnsiTheme="minorHAnsi" w:cstheme="minorHAnsi"/>
          <w:color w:val="000000"/>
        </w:rPr>
        <w:t>.</w:t>
      </w:r>
      <w:r w:rsidR="00DA0969">
        <w:rPr>
          <w:rFonts w:asciiTheme="minorHAnsi" w:hAnsiTheme="minorHAnsi" w:cstheme="minorHAnsi"/>
          <w:color w:val="000000"/>
        </w:rPr>
        <w:t xml:space="preserve"> </w:t>
      </w:r>
      <w:r w:rsidR="006F1AB3">
        <w:rPr>
          <w:rFonts w:asciiTheme="minorHAnsi" w:hAnsiTheme="minorHAnsi" w:cstheme="minorHAnsi"/>
          <w:color w:val="000000"/>
        </w:rPr>
        <w:t xml:space="preserve">Over 2017, </w:t>
      </w:r>
      <w:r w:rsidR="00721AE8">
        <w:rPr>
          <w:rFonts w:asciiTheme="minorHAnsi" w:hAnsiTheme="minorHAnsi" w:cstheme="minorHAnsi"/>
          <w:color w:val="000000"/>
        </w:rPr>
        <w:t>one-time</w:t>
      </w:r>
      <w:r w:rsidR="00694E0E">
        <w:rPr>
          <w:rFonts w:asciiTheme="minorHAnsi" w:hAnsiTheme="minorHAnsi" w:cstheme="minorHAnsi"/>
          <w:color w:val="000000"/>
        </w:rPr>
        <w:t xml:space="preserve"> factors </w:t>
      </w:r>
      <w:r w:rsidR="00024550">
        <w:rPr>
          <w:rFonts w:asciiTheme="minorHAnsi" w:hAnsiTheme="minorHAnsi" w:cstheme="minorHAnsi"/>
          <w:color w:val="000000"/>
        </w:rPr>
        <w:t xml:space="preserve">caused imported </w:t>
      </w:r>
      <w:r w:rsidR="00024550">
        <w:rPr>
          <w:rFonts w:asciiTheme="minorHAnsi" w:hAnsiTheme="minorHAnsi" w:cstheme="minorHAnsi"/>
          <w:color w:val="000000"/>
        </w:rPr>
        <w:lastRenderedPageBreak/>
        <w:t>inflation to rise.</w:t>
      </w:r>
      <w:r w:rsidR="00BF0DE4">
        <w:rPr>
          <w:rFonts w:asciiTheme="minorHAnsi" w:hAnsiTheme="minorHAnsi" w:cstheme="minorHAnsi"/>
          <w:color w:val="000000"/>
        </w:rPr>
        <w:t xml:space="preserve"> </w:t>
      </w:r>
      <w:r w:rsidR="00BC7FA6">
        <w:rPr>
          <w:rFonts w:asciiTheme="minorHAnsi" w:hAnsiTheme="minorHAnsi" w:cstheme="minorHAnsi"/>
          <w:color w:val="000000"/>
        </w:rPr>
        <w:t>S</w:t>
      </w:r>
      <w:r w:rsidR="006F3EF6">
        <w:rPr>
          <w:rFonts w:asciiTheme="minorHAnsi" w:hAnsiTheme="minorHAnsi" w:cstheme="minorHAnsi"/>
          <w:color w:val="000000"/>
        </w:rPr>
        <w:t xml:space="preserve">urge in oil prices on international market, </w:t>
      </w:r>
      <w:r w:rsidR="00F01A01">
        <w:rPr>
          <w:rFonts w:asciiTheme="minorHAnsi" w:hAnsiTheme="minorHAnsi" w:cstheme="minorHAnsi"/>
          <w:color w:val="000000"/>
        </w:rPr>
        <w:t xml:space="preserve">the </w:t>
      </w:r>
      <w:r w:rsidR="00BC7FA6">
        <w:rPr>
          <w:rFonts w:asciiTheme="minorHAnsi" w:hAnsiTheme="minorHAnsi" w:cstheme="minorHAnsi"/>
          <w:color w:val="000000"/>
        </w:rPr>
        <w:t xml:space="preserve">strong </w:t>
      </w:r>
      <w:r w:rsidR="006F3EF6">
        <w:rPr>
          <w:rFonts w:asciiTheme="minorHAnsi" w:hAnsiTheme="minorHAnsi" w:cstheme="minorHAnsi"/>
          <w:color w:val="000000"/>
        </w:rPr>
        <w:t xml:space="preserve">devaluation of nominal effective exchange rate </w:t>
      </w:r>
      <w:r w:rsidR="00BC7FA6">
        <w:rPr>
          <w:rFonts w:asciiTheme="minorHAnsi" w:hAnsiTheme="minorHAnsi" w:cstheme="minorHAnsi"/>
          <w:color w:val="000000"/>
        </w:rPr>
        <w:t xml:space="preserve">and another wave of </w:t>
      </w:r>
      <w:r w:rsidR="00F01A01">
        <w:rPr>
          <w:rFonts w:asciiTheme="minorHAnsi" w:hAnsiTheme="minorHAnsi" w:cstheme="minorHAnsi"/>
          <w:color w:val="000000"/>
        </w:rPr>
        <w:t xml:space="preserve">the </w:t>
      </w:r>
      <w:r w:rsidR="00BC7FA6">
        <w:rPr>
          <w:rFonts w:asciiTheme="minorHAnsi" w:hAnsiTheme="minorHAnsi" w:cstheme="minorHAnsi"/>
          <w:color w:val="000000"/>
        </w:rPr>
        <w:t>excise tax increase on tobacco and alcoholic beverages were the most visible inflationary fo</w:t>
      </w:r>
      <w:r w:rsidR="00B757B3">
        <w:rPr>
          <w:rFonts w:asciiTheme="minorHAnsi" w:hAnsiTheme="minorHAnsi" w:cstheme="minorHAnsi"/>
          <w:color w:val="000000"/>
        </w:rPr>
        <w:t>rces (see Figure 6</w:t>
      </w:r>
      <w:r w:rsidR="00C873FA">
        <w:rPr>
          <w:rFonts w:asciiTheme="minorHAnsi" w:hAnsiTheme="minorHAnsi" w:cstheme="minorHAnsi"/>
          <w:color w:val="000000"/>
        </w:rPr>
        <w:t xml:space="preserve">). </w:t>
      </w:r>
    </w:p>
    <w:p w14:paraId="66F6245F" w14:textId="77777777" w:rsidR="00C45EA7" w:rsidRPr="00C45EA7" w:rsidRDefault="00C45EA7" w:rsidP="00C45EA7">
      <w:pPr>
        <w:pStyle w:val="Caption"/>
        <w:keepNext/>
        <w:jc w:val="both"/>
        <w:rPr>
          <w:i w:val="0"/>
          <w:color w:val="000000" w:themeColor="text1"/>
          <w:sz w:val="24"/>
          <w:szCs w:val="24"/>
        </w:rPr>
      </w:pPr>
      <w:bookmarkStart w:id="32" w:name="_Toc508716350"/>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6</w:t>
      </w:r>
      <w:r w:rsidRPr="00C45EA7">
        <w:rPr>
          <w:i w:val="0"/>
          <w:color w:val="000000" w:themeColor="text1"/>
          <w:sz w:val="24"/>
          <w:szCs w:val="24"/>
        </w:rPr>
        <w:fldChar w:fldCharType="end"/>
      </w:r>
      <w:r w:rsidRPr="00C45EA7">
        <w:rPr>
          <w:i w:val="0"/>
          <w:color w:val="000000" w:themeColor="text1"/>
          <w:sz w:val="24"/>
          <w:szCs w:val="24"/>
        </w:rPr>
        <w:t>: Imported, local and mixed inflation (% change compared to the same month of the previous year)</w:t>
      </w:r>
      <w:bookmarkEnd w:id="32"/>
    </w:p>
    <w:p w14:paraId="0BDE2FC0" w14:textId="77777777" w:rsidR="00BB3396" w:rsidRDefault="00B757B3" w:rsidP="00B757B3">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6322A261" wp14:editId="42BC4C96">
            <wp:extent cx="5943600" cy="30765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DA9E0F" w14:textId="77777777" w:rsidR="00B757B3" w:rsidRDefault="00B757B3" w:rsidP="00F9108C">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0EEE7FF7" w14:textId="77777777" w:rsidR="00296C85" w:rsidRDefault="00097252" w:rsidP="00AC2510">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On the basis of the reference period (July of each year), commodity price fluctuations are further analyzed. </w:t>
      </w:r>
      <w:r w:rsidRPr="001E59A7">
        <w:rPr>
          <w:rFonts w:asciiTheme="minorHAnsi" w:hAnsiTheme="minorHAnsi" w:cstheme="minorHAnsi"/>
          <w:color w:val="000000"/>
          <w:highlight w:val="cyan"/>
        </w:rPr>
        <w:t>It is noteworthy that, the share of food products account</w:t>
      </w:r>
      <w:r w:rsidR="0040296B" w:rsidRPr="001E59A7">
        <w:rPr>
          <w:rFonts w:asciiTheme="minorHAnsi" w:hAnsiTheme="minorHAnsi" w:cstheme="minorHAnsi"/>
          <w:color w:val="000000"/>
          <w:highlight w:val="cyan"/>
        </w:rPr>
        <w:t>s</w:t>
      </w:r>
      <w:r w:rsidRPr="001E59A7">
        <w:rPr>
          <w:rFonts w:asciiTheme="minorHAnsi" w:hAnsiTheme="minorHAnsi" w:cstheme="minorHAnsi"/>
          <w:color w:val="000000"/>
          <w:highlight w:val="cyan"/>
        </w:rPr>
        <w:t xml:space="preserve"> more than 30% of the consumption basket in Georgia.</w:t>
      </w:r>
      <w:r>
        <w:rPr>
          <w:rFonts w:asciiTheme="minorHAnsi" w:hAnsiTheme="minorHAnsi" w:cstheme="minorHAnsi"/>
          <w:color w:val="000000"/>
        </w:rPr>
        <w:t xml:space="preserve"> Therefore, the inflation indicator is very sensitive towards changes in food product prices.</w:t>
      </w:r>
      <w:r w:rsidR="003F7399">
        <w:rPr>
          <w:rFonts w:asciiTheme="minorHAnsi" w:hAnsiTheme="minorHAnsi" w:cstheme="minorHAnsi"/>
          <w:color w:val="000000"/>
        </w:rPr>
        <w:t xml:space="preserve"> In this regard, </w:t>
      </w:r>
      <w:r w:rsidR="00526730">
        <w:rPr>
          <w:rFonts w:asciiTheme="minorHAnsi" w:hAnsiTheme="minorHAnsi" w:cstheme="minorHAnsi"/>
          <w:color w:val="000000"/>
        </w:rPr>
        <w:t>a</w:t>
      </w:r>
      <w:r w:rsidR="00294988">
        <w:rPr>
          <w:rFonts w:asciiTheme="minorHAnsi" w:hAnsiTheme="minorHAnsi" w:cstheme="minorHAnsi"/>
          <w:color w:val="000000"/>
        </w:rPr>
        <w:t xml:space="preserve"> more detailed examination of individual goods </w:t>
      </w:r>
      <w:r w:rsidR="008746B1">
        <w:rPr>
          <w:rFonts w:asciiTheme="minorHAnsi" w:hAnsiTheme="minorHAnsi" w:cstheme="minorHAnsi"/>
          <w:color w:val="000000"/>
        </w:rPr>
        <w:t xml:space="preserve">illustrates that </w:t>
      </w:r>
      <w:r w:rsidR="00EE5B3D">
        <w:rPr>
          <w:rFonts w:asciiTheme="minorHAnsi" w:hAnsiTheme="minorHAnsi" w:cstheme="minorHAnsi"/>
          <w:color w:val="000000"/>
        </w:rPr>
        <w:t xml:space="preserve">the </w:t>
      </w:r>
      <w:r w:rsidR="00EE5B3D" w:rsidRPr="001E59A7">
        <w:rPr>
          <w:rFonts w:asciiTheme="minorHAnsi" w:hAnsiTheme="minorHAnsi" w:cstheme="minorHAnsi"/>
          <w:color w:val="000000"/>
          <w:highlight w:val="cyan"/>
        </w:rPr>
        <w:t xml:space="preserve">annual change </w:t>
      </w:r>
      <w:r w:rsidR="001930D8" w:rsidRPr="001E59A7">
        <w:rPr>
          <w:rFonts w:asciiTheme="minorHAnsi" w:hAnsiTheme="minorHAnsi" w:cstheme="minorHAnsi"/>
          <w:color w:val="000000"/>
          <w:highlight w:val="cyan"/>
        </w:rPr>
        <w:t>in prices for goods</w:t>
      </w:r>
      <w:r w:rsidR="001930D8">
        <w:rPr>
          <w:rFonts w:asciiTheme="minorHAnsi" w:hAnsiTheme="minorHAnsi" w:cstheme="minorHAnsi"/>
          <w:color w:val="000000"/>
        </w:rPr>
        <w:t xml:space="preserve"> falling into the “food and non-alcoholic beverages” category </w:t>
      </w:r>
      <w:r w:rsidR="001930D8" w:rsidRPr="001E59A7">
        <w:rPr>
          <w:rFonts w:asciiTheme="minorHAnsi" w:hAnsiTheme="minorHAnsi" w:cstheme="minorHAnsi"/>
          <w:color w:val="000000"/>
          <w:highlight w:val="cyan"/>
        </w:rPr>
        <w:t xml:space="preserve">reached to 7.1% in July 2015 compared to the </w:t>
      </w:r>
      <w:r w:rsidR="00526730" w:rsidRPr="001E59A7">
        <w:rPr>
          <w:rFonts w:asciiTheme="minorHAnsi" w:hAnsiTheme="minorHAnsi" w:cstheme="minorHAnsi"/>
          <w:color w:val="000000"/>
          <w:highlight w:val="cyan"/>
        </w:rPr>
        <w:t>same month of t</w:t>
      </w:r>
      <w:r w:rsidR="000951EB" w:rsidRPr="001E59A7">
        <w:rPr>
          <w:rFonts w:asciiTheme="minorHAnsi" w:hAnsiTheme="minorHAnsi" w:cstheme="minorHAnsi"/>
          <w:color w:val="000000"/>
          <w:highlight w:val="cyan"/>
        </w:rPr>
        <w:t>he previous year</w:t>
      </w:r>
      <w:r w:rsidR="000951EB">
        <w:rPr>
          <w:rFonts w:asciiTheme="minorHAnsi" w:hAnsiTheme="minorHAnsi" w:cstheme="minorHAnsi"/>
          <w:color w:val="000000"/>
        </w:rPr>
        <w:t xml:space="preserve"> (see Table 1). </w:t>
      </w:r>
      <w:r w:rsidR="00777E33">
        <w:rPr>
          <w:rFonts w:asciiTheme="minorHAnsi" w:hAnsiTheme="minorHAnsi" w:cstheme="minorHAnsi"/>
          <w:color w:val="000000"/>
        </w:rPr>
        <w:t>The most significant upward contribution came from the fruit and grapes subgroup (up 31.7%). Price increases were also recorded for the vegetables (</w:t>
      </w:r>
      <w:r w:rsidR="00661080">
        <w:rPr>
          <w:rFonts w:asciiTheme="minorHAnsi" w:hAnsiTheme="minorHAnsi" w:cstheme="minorHAnsi"/>
          <w:color w:val="000000"/>
        </w:rPr>
        <w:t>up 18.7%), oils and fats (up 11.2%), and coffee, tea and cocoa (up 8.2%) subgroups.</w:t>
      </w:r>
      <w:r w:rsidR="00976E2B">
        <w:rPr>
          <w:rFonts w:asciiTheme="minorHAnsi" w:hAnsiTheme="minorHAnsi" w:cstheme="minorHAnsi"/>
          <w:color w:val="000000"/>
        </w:rPr>
        <w:t xml:space="preserve"> In the same time interval, the inflation rate for alcoholic beverages and tobacco group showed an increase </w:t>
      </w:r>
      <w:r w:rsidR="007B75F1">
        <w:rPr>
          <w:rFonts w:asciiTheme="minorHAnsi" w:hAnsiTheme="minorHAnsi" w:cstheme="minorHAnsi"/>
          <w:color w:val="000000"/>
        </w:rPr>
        <w:t>of</w:t>
      </w:r>
      <w:r w:rsidR="00D22F95">
        <w:rPr>
          <w:rFonts w:asciiTheme="minorHAnsi" w:hAnsiTheme="minorHAnsi" w:cstheme="minorHAnsi"/>
          <w:color w:val="000000"/>
        </w:rPr>
        <w:t xml:space="preserve"> 11.7%</w:t>
      </w:r>
      <w:r w:rsidR="008A4D54">
        <w:rPr>
          <w:rFonts w:asciiTheme="minorHAnsi" w:hAnsiTheme="minorHAnsi" w:cstheme="minorHAnsi"/>
          <w:color w:val="000000"/>
        </w:rPr>
        <w:t xml:space="preserve">. The prices rose </w:t>
      </w:r>
      <w:r w:rsidR="00FB7FAD">
        <w:rPr>
          <w:rFonts w:asciiTheme="minorHAnsi" w:hAnsiTheme="minorHAnsi" w:cstheme="minorHAnsi"/>
          <w:color w:val="000000"/>
        </w:rPr>
        <w:t xml:space="preserve">13.1% for </w:t>
      </w:r>
      <w:r w:rsidR="008A4D54">
        <w:rPr>
          <w:rFonts w:asciiTheme="minorHAnsi" w:hAnsiTheme="minorHAnsi" w:cstheme="minorHAnsi"/>
          <w:color w:val="000000"/>
        </w:rPr>
        <w:t>a</w:t>
      </w:r>
      <w:r w:rsidR="00FB7FAD">
        <w:rPr>
          <w:rFonts w:asciiTheme="minorHAnsi" w:hAnsiTheme="minorHAnsi" w:cstheme="minorHAnsi"/>
          <w:color w:val="000000"/>
        </w:rPr>
        <w:t>lcoholic beverage</w:t>
      </w:r>
      <w:r w:rsidR="008A4D54">
        <w:rPr>
          <w:rFonts w:asciiTheme="minorHAnsi" w:hAnsiTheme="minorHAnsi" w:cstheme="minorHAnsi"/>
          <w:color w:val="000000"/>
        </w:rPr>
        <w:t>s</w:t>
      </w:r>
      <w:r w:rsidR="00FB7FAD">
        <w:rPr>
          <w:rFonts w:asciiTheme="minorHAnsi" w:hAnsiTheme="minorHAnsi" w:cstheme="minorHAnsi"/>
          <w:color w:val="000000"/>
        </w:rPr>
        <w:t xml:space="preserve"> </w:t>
      </w:r>
      <w:r w:rsidR="008A4D54">
        <w:rPr>
          <w:rFonts w:asciiTheme="minorHAnsi" w:hAnsiTheme="minorHAnsi" w:cstheme="minorHAnsi"/>
          <w:color w:val="000000"/>
        </w:rPr>
        <w:t xml:space="preserve">and 9.8% for tobacco. </w:t>
      </w:r>
      <w:r w:rsidR="002C083C">
        <w:rPr>
          <w:rFonts w:asciiTheme="minorHAnsi" w:hAnsiTheme="minorHAnsi" w:cstheme="minorHAnsi"/>
          <w:color w:val="000000"/>
        </w:rPr>
        <w:t xml:space="preserve">In addition, </w:t>
      </w:r>
      <w:r w:rsidR="00522098">
        <w:rPr>
          <w:rFonts w:asciiTheme="minorHAnsi" w:hAnsiTheme="minorHAnsi" w:cstheme="minorHAnsi"/>
          <w:color w:val="000000"/>
        </w:rPr>
        <w:t xml:space="preserve">the </w:t>
      </w:r>
      <w:r w:rsidR="002C083C">
        <w:rPr>
          <w:rFonts w:asciiTheme="minorHAnsi" w:hAnsiTheme="minorHAnsi" w:cstheme="minorHAnsi"/>
          <w:color w:val="000000"/>
        </w:rPr>
        <w:t xml:space="preserve">health group grew by </w:t>
      </w:r>
      <w:r w:rsidR="002C083C">
        <w:rPr>
          <w:rFonts w:asciiTheme="minorHAnsi" w:hAnsiTheme="minorHAnsi" w:cstheme="minorHAnsi"/>
          <w:color w:val="000000"/>
        </w:rPr>
        <w:lastRenderedPageBreak/>
        <w:t xml:space="preserve">7.3% with prices rising 16.6% for medical products, appliances and equipment </w:t>
      </w:r>
      <w:r w:rsidR="009B73FA">
        <w:rPr>
          <w:rFonts w:asciiTheme="minorHAnsi" w:hAnsiTheme="minorHAnsi" w:cstheme="minorHAnsi"/>
          <w:color w:val="000000"/>
        </w:rPr>
        <w:t>and</w:t>
      </w:r>
      <w:r w:rsidR="00E93E8E">
        <w:rPr>
          <w:rFonts w:asciiTheme="minorHAnsi" w:hAnsiTheme="minorHAnsi" w:cstheme="minorHAnsi"/>
          <w:color w:val="000000"/>
        </w:rPr>
        <w:t xml:space="preserve"> 6.0% for </w:t>
      </w:r>
      <w:r w:rsidR="00296C85">
        <w:rPr>
          <w:rFonts w:asciiTheme="minorHAnsi" w:hAnsiTheme="minorHAnsi" w:cstheme="minorHAnsi"/>
          <w:color w:val="000000"/>
        </w:rPr>
        <w:t xml:space="preserve">out-patient services. </w:t>
      </w:r>
    </w:p>
    <w:p w14:paraId="6EAFEA63" w14:textId="77777777" w:rsidR="003F0F3C" w:rsidRDefault="005C7BA9" w:rsidP="003F0F3C">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In July 2016 compared with July 2015, </w:t>
      </w:r>
      <w:r w:rsidR="004C5DEE">
        <w:rPr>
          <w:rFonts w:asciiTheme="minorHAnsi" w:hAnsiTheme="minorHAnsi" w:cstheme="minorHAnsi"/>
          <w:color w:val="000000"/>
        </w:rPr>
        <w:t>the headline inflation rate edged down to 1.5%</w:t>
      </w:r>
      <w:r w:rsidR="0054404A">
        <w:rPr>
          <w:rFonts w:asciiTheme="minorHAnsi" w:hAnsiTheme="minorHAnsi" w:cstheme="minorHAnsi"/>
          <w:color w:val="000000"/>
        </w:rPr>
        <w:t xml:space="preserve"> (see Table 1). </w:t>
      </w:r>
      <w:r w:rsidR="005F7BA2" w:rsidRPr="001E59A7">
        <w:rPr>
          <w:rFonts w:asciiTheme="minorHAnsi" w:hAnsiTheme="minorHAnsi" w:cstheme="minorHAnsi"/>
          <w:color w:val="000000"/>
          <w:highlight w:val="cyan"/>
        </w:rPr>
        <w:t xml:space="preserve">Alcoholic beverages and tobacco group recorded an inflation rate of </w:t>
      </w:r>
      <w:r w:rsidR="00C13A1B" w:rsidRPr="001E59A7">
        <w:rPr>
          <w:rFonts w:asciiTheme="minorHAnsi" w:hAnsiTheme="minorHAnsi" w:cstheme="minorHAnsi"/>
          <w:color w:val="000000"/>
          <w:highlight w:val="cyan"/>
        </w:rPr>
        <w:t xml:space="preserve">13.1%. </w:t>
      </w:r>
      <w:r w:rsidR="00314727" w:rsidRPr="001E59A7">
        <w:rPr>
          <w:rFonts w:asciiTheme="minorHAnsi" w:hAnsiTheme="minorHAnsi" w:cstheme="minorHAnsi"/>
          <w:color w:val="000000"/>
          <w:highlight w:val="cyan"/>
        </w:rPr>
        <w:t xml:space="preserve">The prices increased significantly for </w:t>
      </w:r>
      <w:r w:rsidR="00DE22E4" w:rsidRPr="001E59A7">
        <w:rPr>
          <w:rFonts w:asciiTheme="minorHAnsi" w:hAnsiTheme="minorHAnsi" w:cstheme="minorHAnsi"/>
          <w:color w:val="000000"/>
          <w:highlight w:val="cyan"/>
        </w:rPr>
        <w:t>both tobacco</w:t>
      </w:r>
      <w:r w:rsidR="00314727" w:rsidRPr="001E59A7">
        <w:rPr>
          <w:rFonts w:asciiTheme="minorHAnsi" w:hAnsiTheme="minorHAnsi" w:cstheme="minorHAnsi"/>
          <w:color w:val="000000"/>
          <w:highlight w:val="cyan"/>
        </w:rPr>
        <w:t xml:space="preserve"> (up </w:t>
      </w:r>
      <w:r w:rsidR="00DE22E4" w:rsidRPr="001E59A7">
        <w:rPr>
          <w:rFonts w:asciiTheme="minorHAnsi" w:hAnsiTheme="minorHAnsi" w:cstheme="minorHAnsi"/>
          <w:color w:val="000000"/>
          <w:highlight w:val="cyan"/>
        </w:rPr>
        <w:t>20.5%) and</w:t>
      </w:r>
      <w:r w:rsidR="004357BA" w:rsidRPr="001E59A7">
        <w:rPr>
          <w:rFonts w:asciiTheme="minorHAnsi" w:hAnsiTheme="minorHAnsi" w:cstheme="minorHAnsi"/>
          <w:color w:val="000000"/>
          <w:highlight w:val="cyan"/>
        </w:rPr>
        <w:t xml:space="preserve"> alcoholic beverages (up 7.1%).</w:t>
      </w:r>
      <w:r w:rsidR="00435B0F" w:rsidRPr="001E59A7">
        <w:rPr>
          <w:rFonts w:asciiTheme="minorHAnsi" w:hAnsiTheme="minorHAnsi" w:cstheme="minorHAnsi"/>
          <w:color w:val="000000"/>
          <w:highlight w:val="cyan"/>
        </w:rPr>
        <w:t xml:space="preserve"> Meantime</w:t>
      </w:r>
      <w:r w:rsidR="00C408F4" w:rsidRPr="001E59A7">
        <w:rPr>
          <w:rFonts w:asciiTheme="minorHAnsi" w:hAnsiTheme="minorHAnsi" w:cstheme="minorHAnsi"/>
          <w:color w:val="000000"/>
          <w:highlight w:val="cyan"/>
        </w:rPr>
        <w:t xml:space="preserve">, </w:t>
      </w:r>
      <w:r w:rsidR="00A249DA" w:rsidRPr="001E59A7">
        <w:rPr>
          <w:rFonts w:asciiTheme="minorHAnsi" w:hAnsiTheme="minorHAnsi" w:cstheme="minorHAnsi"/>
          <w:color w:val="000000"/>
          <w:highlight w:val="cyan"/>
        </w:rPr>
        <w:t xml:space="preserve">the </w:t>
      </w:r>
      <w:r w:rsidR="00EF539F" w:rsidRPr="001E59A7">
        <w:rPr>
          <w:rFonts w:asciiTheme="minorHAnsi" w:hAnsiTheme="minorHAnsi" w:cstheme="minorHAnsi"/>
          <w:color w:val="000000"/>
          <w:highlight w:val="cyan"/>
        </w:rPr>
        <w:t>inflation rate for</w:t>
      </w:r>
      <w:r w:rsidR="00C408F4" w:rsidRPr="001E59A7">
        <w:rPr>
          <w:rFonts w:asciiTheme="minorHAnsi" w:hAnsiTheme="minorHAnsi" w:cstheme="minorHAnsi"/>
          <w:color w:val="000000"/>
          <w:highlight w:val="cyan"/>
        </w:rPr>
        <w:t xml:space="preserve"> water, electricity, gas and other fuels </w:t>
      </w:r>
      <w:r w:rsidR="00951255" w:rsidRPr="001E59A7">
        <w:rPr>
          <w:rFonts w:asciiTheme="minorHAnsi" w:hAnsiTheme="minorHAnsi" w:cstheme="minorHAnsi"/>
          <w:color w:val="000000"/>
          <w:highlight w:val="cyan"/>
        </w:rPr>
        <w:t xml:space="preserve">group </w:t>
      </w:r>
      <w:r w:rsidR="00C408F4" w:rsidRPr="001E59A7">
        <w:rPr>
          <w:rFonts w:asciiTheme="minorHAnsi" w:hAnsiTheme="minorHAnsi" w:cstheme="minorHAnsi"/>
          <w:color w:val="000000"/>
          <w:highlight w:val="cyan"/>
        </w:rPr>
        <w:t xml:space="preserve">accelerated </w:t>
      </w:r>
      <w:r w:rsidR="00A352D6" w:rsidRPr="001E59A7">
        <w:rPr>
          <w:rFonts w:asciiTheme="minorHAnsi" w:hAnsiTheme="minorHAnsi" w:cstheme="minorHAnsi"/>
          <w:color w:val="000000"/>
          <w:highlight w:val="cyan"/>
        </w:rPr>
        <w:t xml:space="preserve">to </w:t>
      </w:r>
      <w:r w:rsidR="00C408F4" w:rsidRPr="001E59A7">
        <w:rPr>
          <w:rFonts w:asciiTheme="minorHAnsi" w:hAnsiTheme="minorHAnsi" w:cstheme="minorHAnsi"/>
          <w:color w:val="000000"/>
          <w:highlight w:val="cyan"/>
        </w:rPr>
        <w:t xml:space="preserve">9.2%. </w:t>
      </w:r>
      <w:r w:rsidR="00BD351F" w:rsidRPr="001E59A7">
        <w:rPr>
          <w:rFonts w:asciiTheme="minorHAnsi" w:hAnsiTheme="minorHAnsi" w:cstheme="minorHAnsi"/>
          <w:color w:val="000000"/>
          <w:highlight w:val="cyan"/>
        </w:rPr>
        <w:t xml:space="preserve">It should be noted that, electricity tariffs rose by 27.5% in July 2016 compared to the same period </w:t>
      </w:r>
      <w:r w:rsidR="009015AA" w:rsidRPr="001E59A7">
        <w:rPr>
          <w:rFonts w:asciiTheme="minorHAnsi" w:hAnsiTheme="minorHAnsi" w:cstheme="minorHAnsi"/>
          <w:color w:val="000000"/>
          <w:highlight w:val="cyan"/>
        </w:rPr>
        <w:t>of the previous year.</w:t>
      </w:r>
      <w:r w:rsidR="00435B0F">
        <w:rPr>
          <w:rFonts w:asciiTheme="minorHAnsi" w:hAnsiTheme="minorHAnsi" w:cstheme="minorHAnsi"/>
          <w:color w:val="000000"/>
        </w:rPr>
        <w:t xml:space="preserve"> </w:t>
      </w:r>
      <w:r w:rsidR="003F0F3C">
        <w:rPr>
          <w:rFonts w:asciiTheme="minorHAnsi" w:hAnsiTheme="minorHAnsi" w:cstheme="minorHAnsi"/>
          <w:color w:val="000000"/>
        </w:rPr>
        <w:t xml:space="preserve">The </w:t>
      </w:r>
      <w:r w:rsidR="003F0F3C" w:rsidRPr="001E59A7">
        <w:rPr>
          <w:rFonts w:asciiTheme="minorHAnsi" w:hAnsiTheme="minorHAnsi" w:cstheme="minorHAnsi"/>
          <w:color w:val="000000"/>
          <w:highlight w:val="cyan"/>
        </w:rPr>
        <w:t>health group registered</w:t>
      </w:r>
      <w:r w:rsidR="000B2809" w:rsidRPr="001E59A7">
        <w:rPr>
          <w:rFonts w:asciiTheme="minorHAnsi" w:hAnsiTheme="minorHAnsi" w:cstheme="minorHAnsi"/>
          <w:color w:val="000000"/>
          <w:highlight w:val="cyan"/>
        </w:rPr>
        <w:t xml:space="preserve"> the inflation</w:t>
      </w:r>
      <w:r w:rsidR="003F0F3C" w:rsidRPr="001E59A7">
        <w:rPr>
          <w:rFonts w:asciiTheme="minorHAnsi" w:hAnsiTheme="minorHAnsi" w:cstheme="minorHAnsi"/>
          <w:color w:val="000000"/>
          <w:highlight w:val="cyan"/>
        </w:rPr>
        <w:t xml:space="preserve"> of 4.1%, led by an 8.7% increase in out-patient services.</w:t>
      </w:r>
      <w:r w:rsidR="003F0F3C">
        <w:rPr>
          <w:rFonts w:asciiTheme="minorHAnsi" w:hAnsiTheme="minorHAnsi" w:cstheme="minorHAnsi"/>
          <w:color w:val="000000"/>
        </w:rPr>
        <w:t xml:space="preserve"> </w:t>
      </w:r>
      <w:r w:rsidR="001E2627">
        <w:rPr>
          <w:rFonts w:asciiTheme="minorHAnsi" w:hAnsiTheme="minorHAnsi" w:cstheme="minorHAnsi"/>
          <w:color w:val="000000"/>
        </w:rPr>
        <w:t xml:space="preserve">In addition, transport group recorded a negative inflation rate of -8.6% with prices falling -14.2% for personal transport equipment and -12% for vehicle purchasing. </w:t>
      </w:r>
    </w:p>
    <w:p w14:paraId="6DBFD8FD" w14:textId="77777777" w:rsidR="00365660" w:rsidRPr="00365660" w:rsidRDefault="00365660" w:rsidP="00365660">
      <w:pPr>
        <w:pStyle w:val="Caption"/>
        <w:keepNext/>
        <w:rPr>
          <w:i w:val="0"/>
          <w:color w:val="000000" w:themeColor="text1"/>
          <w:sz w:val="24"/>
          <w:szCs w:val="24"/>
        </w:rPr>
      </w:pPr>
      <w:bookmarkStart w:id="33" w:name="_Toc508714995"/>
      <w:r w:rsidRPr="00365660">
        <w:rPr>
          <w:i w:val="0"/>
          <w:color w:val="000000" w:themeColor="text1"/>
          <w:sz w:val="24"/>
          <w:szCs w:val="24"/>
        </w:rPr>
        <w:t xml:space="preserve">Table </w:t>
      </w:r>
      <w:r w:rsidRPr="00365660">
        <w:rPr>
          <w:i w:val="0"/>
          <w:color w:val="000000" w:themeColor="text1"/>
          <w:sz w:val="24"/>
          <w:szCs w:val="24"/>
        </w:rPr>
        <w:fldChar w:fldCharType="begin"/>
      </w:r>
      <w:r w:rsidRPr="00365660">
        <w:rPr>
          <w:i w:val="0"/>
          <w:color w:val="000000" w:themeColor="text1"/>
          <w:sz w:val="24"/>
          <w:szCs w:val="24"/>
        </w:rPr>
        <w:instrText xml:space="preserve"> SEQ Table \* ARABIC </w:instrText>
      </w:r>
      <w:r w:rsidRPr="00365660">
        <w:rPr>
          <w:i w:val="0"/>
          <w:color w:val="000000" w:themeColor="text1"/>
          <w:sz w:val="24"/>
          <w:szCs w:val="24"/>
        </w:rPr>
        <w:fldChar w:fldCharType="separate"/>
      </w:r>
      <w:r w:rsidR="00B4618E">
        <w:rPr>
          <w:i w:val="0"/>
          <w:noProof/>
          <w:color w:val="000000" w:themeColor="text1"/>
          <w:sz w:val="24"/>
          <w:szCs w:val="24"/>
        </w:rPr>
        <w:t>1</w:t>
      </w:r>
      <w:r w:rsidRPr="00365660">
        <w:rPr>
          <w:i w:val="0"/>
          <w:color w:val="000000" w:themeColor="text1"/>
          <w:sz w:val="24"/>
          <w:szCs w:val="24"/>
        </w:rPr>
        <w:fldChar w:fldCharType="end"/>
      </w:r>
      <w:r w:rsidR="008D13C5">
        <w:rPr>
          <w:i w:val="0"/>
          <w:color w:val="000000" w:themeColor="text1"/>
          <w:sz w:val="24"/>
          <w:szCs w:val="24"/>
        </w:rPr>
        <w:t>:</w:t>
      </w:r>
      <w:r w:rsidRPr="00365660">
        <w:rPr>
          <w:i w:val="0"/>
          <w:color w:val="000000" w:themeColor="text1"/>
          <w:sz w:val="24"/>
          <w:szCs w:val="24"/>
        </w:rPr>
        <w:t xml:space="preserve"> Inflation indicators according to individual CPI components (%change)</w:t>
      </w:r>
      <w:bookmarkEnd w:id="33"/>
    </w:p>
    <w:tbl>
      <w:tblPr>
        <w:tblStyle w:val="GridTable6Colorful-Accent5"/>
        <w:tblW w:w="9355" w:type="dxa"/>
        <w:tblLook w:val="04A0" w:firstRow="1" w:lastRow="0" w:firstColumn="1" w:lastColumn="0" w:noHBand="0" w:noVBand="1"/>
      </w:tblPr>
      <w:tblGrid>
        <w:gridCol w:w="3235"/>
        <w:gridCol w:w="1530"/>
        <w:gridCol w:w="1440"/>
        <w:gridCol w:w="1440"/>
        <w:gridCol w:w="1710"/>
      </w:tblGrid>
      <w:tr w:rsidR="009C0DFE" w:rsidRPr="00720832" w14:paraId="3C4E8EB0" w14:textId="77777777" w:rsidTr="009C0DF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35" w:type="dxa"/>
            <w:noWrap/>
            <w:hideMark/>
          </w:tcPr>
          <w:p w14:paraId="73F45A04" w14:textId="77777777" w:rsidR="009C0DFE" w:rsidRPr="00C61434" w:rsidRDefault="009C0DFE" w:rsidP="005D5DDF">
            <w:pPr>
              <w:spacing w:after="0" w:line="240" w:lineRule="auto"/>
              <w:jc w:val="center"/>
              <w:rPr>
                <w:rFonts w:ascii="Calibri" w:eastAsia="Times New Roman" w:hAnsi="Calibri" w:cs="Calibri"/>
                <w:color w:val="000000"/>
              </w:rPr>
            </w:pPr>
          </w:p>
        </w:tc>
        <w:tc>
          <w:tcPr>
            <w:tcW w:w="1530" w:type="dxa"/>
            <w:noWrap/>
            <w:hideMark/>
          </w:tcPr>
          <w:p w14:paraId="002E5241"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2015</w:t>
            </w:r>
          </w:p>
        </w:tc>
        <w:tc>
          <w:tcPr>
            <w:tcW w:w="1440" w:type="dxa"/>
            <w:noWrap/>
            <w:hideMark/>
          </w:tcPr>
          <w:p w14:paraId="0C163267"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2016</w:t>
            </w:r>
          </w:p>
        </w:tc>
        <w:tc>
          <w:tcPr>
            <w:tcW w:w="1440" w:type="dxa"/>
            <w:noWrap/>
            <w:hideMark/>
          </w:tcPr>
          <w:p w14:paraId="4A984208"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2017</w:t>
            </w:r>
          </w:p>
        </w:tc>
        <w:tc>
          <w:tcPr>
            <w:tcW w:w="1710" w:type="dxa"/>
            <w:noWrap/>
            <w:hideMark/>
          </w:tcPr>
          <w:p w14:paraId="4E29FFFE" w14:textId="77777777" w:rsidR="009C0DFE" w:rsidRPr="00C61434" w:rsidRDefault="009C0DFE" w:rsidP="005D5D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20832">
              <w:rPr>
                <w:rFonts w:ascii="Calibri" w:eastAsia="Times New Roman" w:hAnsi="Calibri" w:cs="Calibri"/>
                <w:color w:val="000000"/>
              </w:rPr>
              <w:t xml:space="preserve">July </w:t>
            </w:r>
            <w:r w:rsidRPr="00C61434">
              <w:rPr>
                <w:rFonts w:ascii="Calibri" w:eastAsia="Times New Roman" w:hAnsi="Calibri" w:cs="Calibri"/>
                <w:color w:val="000000"/>
              </w:rPr>
              <w:t>2015-2017</w:t>
            </w:r>
          </w:p>
        </w:tc>
      </w:tr>
      <w:tr w:rsidR="009C0DFE" w:rsidRPr="00720832" w14:paraId="66EB2365" w14:textId="77777777" w:rsidTr="009C0DFE">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CC4C07E"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Food and non-alcoholic beverages</w:t>
            </w:r>
          </w:p>
        </w:tc>
        <w:tc>
          <w:tcPr>
            <w:tcW w:w="1530" w:type="dxa"/>
            <w:noWrap/>
            <w:hideMark/>
          </w:tcPr>
          <w:p w14:paraId="1319715A"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7.1%</w:t>
            </w:r>
          </w:p>
        </w:tc>
        <w:tc>
          <w:tcPr>
            <w:tcW w:w="1440" w:type="dxa"/>
            <w:noWrap/>
            <w:hideMark/>
          </w:tcPr>
          <w:p w14:paraId="521E396D"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1.1%</w:t>
            </w:r>
          </w:p>
        </w:tc>
        <w:tc>
          <w:tcPr>
            <w:tcW w:w="1440" w:type="dxa"/>
            <w:noWrap/>
            <w:hideMark/>
          </w:tcPr>
          <w:p w14:paraId="6C8DD91F"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7.1%</w:t>
            </w:r>
          </w:p>
        </w:tc>
        <w:tc>
          <w:tcPr>
            <w:tcW w:w="1710" w:type="dxa"/>
            <w:noWrap/>
            <w:hideMark/>
          </w:tcPr>
          <w:p w14:paraId="18CF61E4"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25588">
              <w:rPr>
                <w:rFonts w:ascii="Calibri" w:eastAsia="Times New Roman" w:hAnsi="Calibri" w:cs="Calibri"/>
                <w:color w:val="000000"/>
                <w:highlight w:val="cyan"/>
              </w:rPr>
              <w:t>8.3%</w:t>
            </w:r>
          </w:p>
        </w:tc>
      </w:tr>
      <w:tr w:rsidR="009C0DFE" w:rsidRPr="00720832" w14:paraId="033F23B3" w14:textId="77777777" w:rsidTr="009C0DFE">
        <w:trPr>
          <w:trHeight w:val="449"/>
        </w:trPr>
        <w:tc>
          <w:tcPr>
            <w:cnfStyle w:val="001000000000" w:firstRow="0" w:lastRow="0" w:firstColumn="1" w:lastColumn="0" w:oddVBand="0" w:evenVBand="0" w:oddHBand="0" w:evenHBand="0" w:firstRowFirstColumn="0" w:firstRowLastColumn="0" w:lastRowFirstColumn="0" w:lastRowLastColumn="0"/>
            <w:tcW w:w="3235" w:type="dxa"/>
            <w:noWrap/>
            <w:hideMark/>
          </w:tcPr>
          <w:p w14:paraId="65B9C30A"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Alcoholic beverages and tobacco</w:t>
            </w:r>
          </w:p>
        </w:tc>
        <w:tc>
          <w:tcPr>
            <w:tcW w:w="1530" w:type="dxa"/>
            <w:noWrap/>
            <w:hideMark/>
          </w:tcPr>
          <w:p w14:paraId="227C3F4F"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11.7%</w:t>
            </w:r>
          </w:p>
        </w:tc>
        <w:tc>
          <w:tcPr>
            <w:tcW w:w="1440" w:type="dxa"/>
            <w:noWrap/>
            <w:hideMark/>
          </w:tcPr>
          <w:p w14:paraId="13958A06"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13.1%</w:t>
            </w:r>
          </w:p>
        </w:tc>
        <w:tc>
          <w:tcPr>
            <w:tcW w:w="1440" w:type="dxa"/>
            <w:noWrap/>
            <w:hideMark/>
          </w:tcPr>
          <w:p w14:paraId="6ADCD73A"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17.3%</w:t>
            </w:r>
          </w:p>
        </w:tc>
        <w:tc>
          <w:tcPr>
            <w:tcW w:w="1710" w:type="dxa"/>
            <w:noWrap/>
            <w:hideMark/>
          </w:tcPr>
          <w:p w14:paraId="3539BE1D"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25588">
              <w:rPr>
                <w:rFonts w:ascii="Calibri" w:eastAsia="Times New Roman" w:hAnsi="Calibri" w:cs="Calibri"/>
                <w:color w:val="000000"/>
                <w:highlight w:val="cyan"/>
              </w:rPr>
              <w:t>32.6%</w:t>
            </w:r>
          </w:p>
        </w:tc>
      </w:tr>
      <w:tr w:rsidR="009C0DFE" w:rsidRPr="00720832" w14:paraId="66D28D3D" w14:textId="77777777" w:rsidTr="009C0DF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849303E"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Clothing and footwear</w:t>
            </w:r>
          </w:p>
        </w:tc>
        <w:tc>
          <w:tcPr>
            <w:tcW w:w="1530" w:type="dxa"/>
            <w:noWrap/>
            <w:hideMark/>
          </w:tcPr>
          <w:p w14:paraId="1ACC866E"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-1.3%</w:t>
            </w:r>
          </w:p>
        </w:tc>
        <w:tc>
          <w:tcPr>
            <w:tcW w:w="1440" w:type="dxa"/>
            <w:noWrap/>
            <w:hideMark/>
          </w:tcPr>
          <w:p w14:paraId="334DF484"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-4.1%</w:t>
            </w:r>
          </w:p>
        </w:tc>
        <w:tc>
          <w:tcPr>
            <w:tcW w:w="1440" w:type="dxa"/>
            <w:noWrap/>
            <w:hideMark/>
          </w:tcPr>
          <w:p w14:paraId="50AA3B87"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-2.4%</w:t>
            </w:r>
          </w:p>
        </w:tc>
        <w:tc>
          <w:tcPr>
            <w:tcW w:w="1710" w:type="dxa"/>
            <w:noWrap/>
            <w:hideMark/>
          </w:tcPr>
          <w:p w14:paraId="2DBA8023"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-6.4%</w:t>
            </w:r>
          </w:p>
        </w:tc>
      </w:tr>
      <w:tr w:rsidR="009C0DFE" w:rsidRPr="00720832" w14:paraId="22DFF6CB" w14:textId="77777777" w:rsidTr="009C0DFE">
        <w:trPr>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368144C9"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Housing, water, electricity, gas and other fuels</w:t>
            </w:r>
          </w:p>
        </w:tc>
        <w:tc>
          <w:tcPr>
            <w:tcW w:w="1530" w:type="dxa"/>
            <w:noWrap/>
            <w:hideMark/>
          </w:tcPr>
          <w:p w14:paraId="1838B4E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0.4%</w:t>
            </w:r>
          </w:p>
        </w:tc>
        <w:tc>
          <w:tcPr>
            <w:tcW w:w="1440" w:type="dxa"/>
            <w:noWrap/>
            <w:hideMark/>
          </w:tcPr>
          <w:p w14:paraId="527FD7C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6.1%</w:t>
            </w:r>
          </w:p>
        </w:tc>
        <w:tc>
          <w:tcPr>
            <w:tcW w:w="1440" w:type="dxa"/>
            <w:noWrap/>
            <w:hideMark/>
          </w:tcPr>
          <w:p w14:paraId="0D84F3EA"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710" w:type="dxa"/>
            <w:noWrap/>
            <w:hideMark/>
          </w:tcPr>
          <w:p w14:paraId="408E0198"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7.2%</w:t>
            </w:r>
          </w:p>
        </w:tc>
      </w:tr>
      <w:tr w:rsidR="009C0DFE" w:rsidRPr="00720832" w14:paraId="610D38BA" w14:textId="77777777" w:rsidTr="009C0D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050B83AB"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Furnishings, household equipment and maintenance</w:t>
            </w:r>
          </w:p>
        </w:tc>
        <w:tc>
          <w:tcPr>
            <w:tcW w:w="1530" w:type="dxa"/>
            <w:noWrap/>
            <w:hideMark/>
          </w:tcPr>
          <w:p w14:paraId="25C6FA42"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7.8%</w:t>
            </w:r>
          </w:p>
        </w:tc>
        <w:tc>
          <w:tcPr>
            <w:tcW w:w="1440" w:type="dxa"/>
            <w:noWrap/>
            <w:hideMark/>
          </w:tcPr>
          <w:p w14:paraId="5D7B8639"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1.1%</w:t>
            </w:r>
          </w:p>
        </w:tc>
        <w:tc>
          <w:tcPr>
            <w:tcW w:w="1440" w:type="dxa"/>
            <w:noWrap/>
            <w:hideMark/>
          </w:tcPr>
          <w:p w14:paraId="66D92726"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1.5%</w:t>
            </w:r>
          </w:p>
        </w:tc>
        <w:tc>
          <w:tcPr>
            <w:tcW w:w="1710" w:type="dxa"/>
            <w:noWrap/>
            <w:hideMark/>
          </w:tcPr>
          <w:p w14:paraId="33BFD2F8"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2.7%</w:t>
            </w:r>
          </w:p>
        </w:tc>
      </w:tr>
      <w:tr w:rsidR="009C0DFE" w:rsidRPr="00720832" w14:paraId="56AC68E0" w14:textId="77777777" w:rsidTr="009C0DFE">
        <w:trPr>
          <w:trHeight w:val="341"/>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3462018"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Health</w:t>
            </w:r>
          </w:p>
        </w:tc>
        <w:tc>
          <w:tcPr>
            <w:tcW w:w="1530" w:type="dxa"/>
            <w:noWrap/>
            <w:hideMark/>
          </w:tcPr>
          <w:p w14:paraId="444A2178"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7.3%</w:t>
            </w:r>
          </w:p>
        </w:tc>
        <w:tc>
          <w:tcPr>
            <w:tcW w:w="1440" w:type="dxa"/>
            <w:noWrap/>
            <w:hideMark/>
          </w:tcPr>
          <w:p w14:paraId="6AF2CFE2"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4.1%</w:t>
            </w:r>
          </w:p>
        </w:tc>
        <w:tc>
          <w:tcPr>
            <w:tcW w:w="1440" w:type="dxa"/>
            <w:noWrap/>
            <w:hideMark/>
          </w:tcPr>
          <w:p w14:paraId="001E0266"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6.9%</w:t>
            </w:r>
          </w:p>
        </w:tc>
        <w:tc>
          <w:tcPr>
            <w:tcW w:w="1710" w:type="dxa"/>
            <w:noWrap/>
            <w:hideMark/>
          </w:tcPr>
          <w:p w14:paraId="1A4EA8BF"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25588">
              <w:rPr>
                <w:rFonts w:ascii="Calibri" w:eastAsia="Times New Roman" w:hAnsi="Calibri" w:cs="Calibri"/>
                <w:color w:val="000000"/>
                <w:highlight w:val="cyan"/>
              </w:rPr>
              <w:t>11.3%</w:t>
            </w:r>
          </w:p>
        </w:tc>
      </w:tr>
      <w:tr w:rsidR="009C0DFE" w:rsidRPr="00720832" w14:paraId="21B887BC" w14:textId="77777777" w:rsidTr="009C0DF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2F403824"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Transport</w:t>
            </w:r>
          </w:p>
        </w:tc>
        <w:tc>
          <w:tcPr>
            <w:tcW w:w="1530" w:type="dxa"/>
            <w:noWrap/>
            <w:hideMark/>
          </w:tcPr>
          <w:p w14:paraId="4DB6962B"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-0.8%</w:t>
            </w:r>
          </w:p>
        </w:tc>
        <w:tc>
          <w:tcPr>
            <w:tcW w:w="1440" w:type="dxa"/>
            <w:noWrap/>
            <w:hideMark/>
          </w:tcPr>
          <w:p w14:paraId="70ABC855"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-8.6%</w:t>
            </w:r>
          </w:p>
        </w:tc>
        <w:tc>
          <w:tcPr>
            <w:tcW w:w="1440" w:type="dxa"/>
            <w:noWrap/>
            <w:hideMark/>
          </w:tcPr>
          <w:p w14:paraId="0931677C"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12.6%</w:t>
            </w:r>
          </w:p>
        </w:tc>
        <w:tc>
          <w:tcPr>
            <w:tcW w:w="1710" w:type="dxa"/>
            <w:noWrap/>
            <w:hideMark/>
          </w:tcPr>
          <w:p w14:paraId="475BA43D"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3.0%</w:t>
            </w:r>
          </w:p>
        </w:tc>
      </w:tr>
      <w:tr w:rsidR="009C0DFE" w:rsidRPr="00720832" w14:paraId="57A4DEF9" w14:textId="77777777" w:rsidTr="009C0DFE">
        <w:trPr>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3F3C0D64"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Communication</w:t>
            </w:r>
          </w:p>
        </w:tc>
        <w:tc>
          <w:tcPr>
            <w:tcW w:w="1530" w:type="dxa"/>
            <w:noWrap/>
            <w:hideMark/>
          </w:tcPr>
          <w:p w14:paraId="7DDA83D9"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0.1%</w:t>
            </w:r>
          </w:p>
        </w:tc>
        <w:tc>
          <w:tcPr>
            <w:tcW w:w="1440" w:type="dxa"/>
            <w:noWrap/>
            <w:hideMark/>
          </w:tcPr>
          <w:p w14:paraId="430129D2"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3.9%</w:t>
            </w:r>
          </w:p>
        </w:tc>
        <w:tc>
          <w:tcPr>
            <w:tcW w:w="1440" w:type="dxa"/>
            <w:noWrap/>
            <w:hideMark/>
          </w:tcPr>
          <w:p w14:paraId="1EAE3F39"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710" w:type="dxa"/>
            <w:noWrap/>
            <w:hideMark/>
          </w:tcPr>
          <w:p w14:paraId="1DBC30B2"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2.9%</w:t>
            </w:r>
          </w:p>
        </w:tc>
      </w:tr>
      <w:tr w:rsidR="009C0DFE" w:rsidRPr="00720832" w14:paraId="2C158A8C" w14:textId="77777777" w:rsidTr="009C0DF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6B0AED24"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Recreation and culture</w:t>
            </w:r>
          </w:p>
        </w:tc>
        <w:tc>
          <w:tcPr>
            <w:tcW w:w="1530" w:type="dxa"/>
            <w:noWrap/>
            <w:hideMark/>
          </w:tcPr>
          <w:p w14:paraId="1D38737E"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4.2%</w:t>
            </w:r>
          </w:p>
        </w:tc>
        <w:tc>
          <w:tcPr>
            <w:tcW w:w="1440" w:type="dxa"/>
            <w:noWrap/>
            <w:hideMark/>
          </w:tcPr>
          <w:p w14:paraId="19B37487"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0.9%</w:t>
            </w:r>
          </w:p>
        </w:tc>
        <w:tc>
          <w:tcPr>
            <w:tcW w:w="1440" w:type="dxa"/>
            <w:noWrap/>
            <w:hideMark/>
          </w:tcPr>
          <w:p w14:paraId="148A2B06"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710" w:type="dxa"/>
            <w:noWrap/>
            <w:hideMark/>
          </w:tcPr>
          <w:p w14:paraId="13A13FB4"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1.9%</w:t>
            </w:r>
          </w:p>
        </w:tc>
      </w:tr>
      <w:tr w:rsidR="009C0DFE" w:rsidRPr="00720832" w14:paraId="70AD93D9" w14:textId="77777777" w:rsidTr="009C0DFE">
        <w:trPr>
          <w:trHeight w:val="521"/>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170F280"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Education</w:t>
            </w:r>
          </w:p>
        </w:tc>
        <w:tc>
          <w:tcPr>
            <w:tcW w:w="1530" w:type="dxa"/>
            <w:noWrap/>
            <w:hideMark/>
          </w:tcPr>
          <w:p w14:paraId="751409F0"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3.0%</w:t>
            </w:r>
          </w:p>
        </w:tc>
        <w:tc>
          <w:tcPr>
            <w:tcW w:w="1440" w:type="dxa"/>
            <w:noWrap/>
            <w:hideMark/>
          </w:tcPr>
          <w:p w14:paraId="1CCE3C8B"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2.2%</w:t>
            </w:r>
          </w:p>
        </w:tc>
        <w:tc>
          <w:tcPr>
            <w:tcW w:w="1440" w:type="dxa"/>
            <w:noWrap/>
            <w:hideMark/>
          </w:tcPr>
          <w:p w14:paraId="2EF559D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1.2%</w:t>
            </w:r>
          </w:p>
        </w:tc>
        <w:tc>
          <w:tcPr>
            <w:tcW w:w="1710" w:type="dxa"/>
            <w:noWrap/>
            <w:hideMark/>
          </w:tcPr>
          <w:p w14:paraId="15837F0B"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3.4%</w:t>
            </w:r>
          </w:p>
        </w:tc>
      </w:tr>
      <w:tr w:rsidR="009C0DFE" w:rsidRPr="00720832" w14:paraId="474F5EFE" w14:textId="77777777" w:rsidTr="009C0D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4E0DD747"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Restaurants and hotels</w:t>
            </w:r>
          </w:p>
        </w:tc>
        <w:tc>
          <w:tcPr>
            <w:tcW w:w="1530" w:type="dxa"/>
            <w:noWrap/>
            <w:hideMark/>
          </w:tcPr>
          <w:p w14:paraId="0408AAEB"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5.1%</w:t>
            </w:r>
          </w:p>
        </w:tc>
        <w:tc>
          <w:tcPr>
            <w:tcW w:w="1440" w:type="dxa"/>
            <w:noWrap/>
            <w:hideMark/>
          </w:tcPr>
          <w:p w14:paraId="5B91B0F7"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5.4%</w:t>
            </w:r>
          </w:p>
        </w:tc>
        <w:tc>
          <w:tcPr>
            <w:tcW w:w="1440" w:type="dxa"/>
            <w:noWrap/>
            <w:hideMark/>
          </w:tcPr>
          <w:p w14:paraId="7F3EEB63"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2.5%</w:t>
            </w:r>
          </w:p>
        </w:tc>
        <w:tc>
          <w:tcPr>
            <w:tcW w:w="1710" w:type="dxa"/>
            <w:noWrap/>
            <w:hideMark/>
          </w:tcPr>
          <w:p w14:paraId="2BD9383E"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8.1%</w:t>
            </w:r>
          </w:p>
        </w:tc>
      </w:tr>
      <w:tr w:rsidR="009C0DFE" w:rsidRPr="00720832" w14:paraId="782C80C7" w14:textId="77777777" w:rsidTr="009C0DFE">
        <w:trPr>
          <w:trHeight w:val="31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4AFC0027" w14:textId="77777777" w:rsidR="009C0DFE" w:rsidRPr="00C61434" w:rsidRDefault="009C0DFE" w:rsidP="005D5DDF">
            <w:pPr>
              <w:spacing w:after="0" w:line="240" w:lineRule="auto"/>
              <w:rPr>
                <w:rFonts w:ascii="Calibri" w:eastAsia="Times New Roman" w:hAnsi="Calibri" w:cs="Calibri"/>
                <w:b w:val="0"/>
                <w:color w:val="000000"/>
              </w:rPr>
            </w:pPr>
            <w:r w:rsidRPr="00C61434">
              <w:rPr>
                <w:rFonts w:ascii="Calibri" w:eastAsia="Times New Roman" w:hAnsi="Calibri" w:cs="Calibri"/>
                <w:b w:val="0"/>
                <w:color w:val="000000"/>
              </w:rPr>
              <w:t>Miscellaneous goods and services</w:t>
            </w:r>
          </w:p>
        </w:tc>
        <w:tc>
          <w:tcPr>
            <w:tcW w:w="1530" w:type="dxa"/>
            <w:noWrap/>
            <w:hideMark/>
          </w:tcPr>
          <w:p w14:paraId="409EB5C1"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8.1%</w:t>
            </w:r>
          </w:p>
        </w:tc>
        <w:tc>
          <w:tcPr>
            <w:tcW w:w="1440" w:type="dxa"/>
            <w:noWrap/>
            <w:hideMark/>
          </w:tcPr>
          <w:p w14:paraId="23AF81EF"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1.0%</w:t>
            </w:r>
          </w:p>
        </w:tc>
        <w:tc>
          <w:tcPr>
            <w:tcW w:w="1440" w:type="dxa"/>
            <w:noWrap/>
            <w:hideMark/>
          </w:tcPr>
          <w:p w14:paraId="1F1878FB"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4.0%</w:t>
            </w:r>
          </w:p>
        </w:tc>
        <w:tc>
          <w:tcPr>
            <w:tcW w:w="1710" w:type="dxa"/>
            <w:noWrap/>
            <w:hideMark/>
          </w:tcPr>
          <w:p w14:paraId="08E5EFC8" w14:textId="77777777" w:rsidR="009C0DFE" w:rsidRPr="00C61434" w:rsidRDefault="009C0DFE" w:rsidP="005D5D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61434">
              <w:rPr>
                <w:rFonts w:ascii="Calibri" w:eastAsia="Times New Roman" w:hAnsi="Calibri" w:cs="Calibri"/>
                <w:color w:val="000000"/>
              </w:rPr>
              <w:t>5.0%</w:t>
            </w:r>
          </w:p>
        </w:tc>
      </w:tr>
      <w:tr w:rsidR="009C0DFE" w:rsidRPr="00720832" w14:paraId="47E995F7" w14:textId="77777777" w:rsidTr="0012149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E554A2D" w14:textId="77777777" w:rsidR="0012149A" w:rsidRPr="00C61434" w:rsidRDefault="0012149A" w:rsidP="0012149A">
            <w:pPr>
              <w:spacing w:after="0" w:line="240" w:lineRule="auto"/>
              <w:rPr>
                <w:rFonts w:ascii="Calibri" w:eastAsia="Times New Roman" w:hAnsi="Calibri" w:cs="Calibri"/>
                <w:color w:val="000000"/>
              </w:rPr>
            </w:pPr>
            <w:r>
              <w:rPr>
                <w:rFonts w:ascii="Calibri" w:eastAsia="Times New Roman" w:hAnsi="Calibri" w:cs="Calibri"/>
                <w:color w:val="000000"/>
              </w:rPr>
              <w:t>H</w:t>
            </w:r>
            <w:r w:rsidR="009C0DFE" w:rsidRPr="00720832">
              <w:rPr>
                <w:rFonts w:ascii="Calibri" w:eastAsia="Times New Roman" w:hAnsi="Calibri" w:cs="Calibri"/>
                <w:color w:val="000000"/>
              </w:rPr>
              <w:t>eadline i</w:t>
            </w:r>
            <w:r w:rsidR="009C0DFE" w:rsidRPr="00C61434">
              <w:rPr>
                <w:rFonts w:ascii="Calibri" w:eastAsia="Times New Roman" w:hAnsi="Calibri" w:cs="Calibri"/>
                <w:color w:val="000000"/>
              </w:rPr>
              <w:t>nflation</w:t>
            </w:r>
          </w:p>
        </w:tc>
        <w:tc>
          <w:tcPr>
            <w:tcW w:w="1530" w:type="dxa"/>
            <w:noWrap/>
            <w:hideMark/>
          </w:tcPr>
          <w:p w14:paraId="090B922B"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4.9%</w:t>
            </w:r>
          </w:p>
        </w:tc>
        <w:tc>
          <w:tcPr>
            <w:tcW w:w="1440" w:type="dxa"/>
            <w:noWrap/>
            <w:hideMark/>
          </w:tcPr>
          <w:p w14:paraId="1BF32BBA"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1.5%</w:t>
            </w:r>
          </w:p>
        </w:tc>
        <w:tc>
          <w:tcPr>
            <w:tcW w:w="1440" w:type="dxa"/>
            <w:noWrap/>
            <w:hideMark/>
          </w:tcPr>
          <w:p w14:paraId="5AE14992"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6.0%</w:t>
            </w:r>
          </w:p>
        </w:tc>
        <w:tc>
          <w:tcPr>
            <w:tcW w:w="1710" w:type="dxa"/>
            <w:noWrap/>
            <w:hideMark/>
          </w:tcPr>
          <w:p w14:paraId="0FD05F6D" w14:textId="77777777" w:rsidR="009C0DFE" w:rsidRPr="00C61434" w:rsidRDefault="009C0DFE" w:rsidP="005D5D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C61434">
              <w:rPr>
                <w:rFonts w:ascii="Calibri" w:eastAsia="Times New Roman" w:hAnsi="Calibri" w:cs="Calibri"/>
                <w:b/>
                <w:bCs/>
                <w:color w:val="000000"/>
              </w:rPr>
              <w:t>7.6%</w:t>
            </w:r>
          </w:p>
        </w:tc>
      </w:tr>
    </w:tbl>
    <w:p w14:paraId="672AF580" w14:textId="77777777" w:rsidR="0054404A" w:rsidRDefault="009C0DFE" w:rsidP="009C0DFE">
      <w:pPr>
        <w:pStyle w:val="NormalWeb"/>
        <w:spacing w:before="24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Author’s own calculation. </w:t>
      </w:r>
    </w:p>
    <w:p w14:paraId="7619285B" w14:textId="77777777" w:rsidR="00CA0359" w:rsidRDefault="00835BCC" w:rsidP="003F0F3C">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lastRenderedPageBreak/>
        <w:t xml:space="preserve">The headline inflation rate strengthened its upward trend </w:t>
      </w:r>
      <w:r w:rsidR="00A2794B">
        <w:rPr>
          <w:rFonts w:asciiTheme="minorHAnsi" w:hAnsiTheme="minorHAnsi" w:cstheme="minorHAnsi"/>
          <w:color w:val="000000"/>
        </w:rPr>
        <w:t>from July 201</w:t>
      </w:r>
      <w:r w:rsidR="00DC507D">
        <w:rPr>
          <w:rFonts w:asciiTheme="minorHAnsi" w:hAnsiTheme="minorHAnsi" w:cstheme="minorHAnsi"/>
          <w:color w:val="000000"/>
        </w:rPr>
        <w:t xml:space="preserve">6 to July 2017, standing at 6%. </w:t>
      </w:r>
      <w:r w:rsidR="003B06B2">
        <w:rPr>
          <w:rFonts w:asciiTheme="minorHAnsi" w:hAnsiTheme="minorHAnsi" w:cstheme="minorHAnsi"/>
          <w:color w:val="000000"/>
        </w:rPr>
        <w:t xml:space="preserve">It was mainly influenced by price changes from the following groups: </w:t>
      </w:r>
      <w:r w:rsidR="00594F1E" w:rsidRPr="00825588">
        <w:rPr>
          <w:rFonts w:asciiTheme="minorHAnsi" w:hAnsiTheme="minorHAnsi" w:cstheme="minorHAnsi"/>
          <w:color w:val="000000"/>
          <w:highlight w:val="cyan"/>
        </w:rPr>
        <w:t>food and non-alcoholic beverages (up 7.1%),</w:t>
      </w:r>
      <w:r w:rsidR="00594F1E">
        <w:rPr>
          <w:rFonts w:asciiTheme="minorHAnsi" w:hAnsiTheme="minorHAnsi" w:cstheme="minorHAnsi"/>
          <w:color w:val="000000"/>
        </w:rPr>
        <w:t xml:space="preserve"> alcoholic beverages and tobacco (up 17.3%), </w:t>
      </w:r>
      <w:r w:rsidR="00EF6447">
        <w:rPr>
          <w:rFonts w:asciiTheme="minorHAnsi" w:hAnsiTheme="minorHAnsi" w:cstheme="minorHAnsi"/>
          <w:color w:val="000000"/>
        </w:rPr>
        <w:t xml:space="preserve">transport (up 12.6%) and </w:t>
      </w:r>
      <w:r w:rsidR="00DC507D">
        <w:rPr>
          <w:rFonts w:asciiTheme="minorHAnsi" w:hAnsiTheme="minorHAnsi" w:cstheme="minorHAnsi"/>
          <w:color w:val="000000"/>
        </w:rPr>
        <w:t xml:space="preserve">health (up 6.9%) (see Table 1). </w:t>
      </w:r>
      <w:r w:rsidR="000D114D" w:rsidRPr="00825588">
        <w:rPr>
          <w:rFonts w:asciiTheme="minorHAnsi" w:hAnsiTheme="minorHAnsi" w:cstheme="minorHAnsi"/>
          <w:color w:val="000000"/>
          <w:highlight w:val="cyan"/>
        </w:rPr>
        <w:t>Within the subgroup</w:t>
      </w:r>
      <w:r w:rsidR="00DC507D" w:rsidRPr="00825588">
        <w:rPr>
          <w:rFonts w:asciiTheme="minorHAnsi" w:hAnsiTheme="minorHAnsi" w:cstheme="minorHAnsi"/>
          <w:color w:val="000000"/>
          <w:highlight w:val="cyan"/>
        </w:rPr>
        <w:t xml:space="preserve"> of food and non-alcoholic beverages, significant upward contributions came from higher prices for </w:t>
      </w:r>
      <w:r w:rsidR="005C2D1F" w:rsidRPr="00825588">
        <w:rPr>
          <w:rFonts w:asciiTheme="minorHAnsi" w:hAnsiTheme="minorHAnsi" w:cstheme="minorHAnsi"/>
          <w:color w:val="000000"/>
          <w:highlight w:val="cyan"/>
        </w:rPr>
        <w:t xml:space="preserve">vegetables (25.6%), fruit and grapes (up 15.9%), </w:t>
      </w:r>
      <w:r w:rsidR="0054274D" w:rsidRPr="00825588">
        <w:rPr>
          <w:rFonts w:asciiTheme="minorHAnsi" w:hAnsiTheme="minorHAnsi" w:cstheme="minorHAnsi"/>
          <w:color w:val="000000"/>
          <w:highlight w:val="cyan"/>
        </w:rPr>
        <w:t>milk, cheese and eggs (up 9.3%), meat (up 9.1%), coffee, tea and cocoa (up 5.6%), oils and fats (up 5.5%) and fish (up 4.4%).</w:t>
      </w:r>
      <w:r w:rsidR="0054274D">
        <w:rPr>
          <w:rFonts w:asciiTheme="minorHAnsi" w:hAnsiTheme="minorHAnsi" w:cstheme="minorHAnsi"/>
          <w:color w:val="000000"/>
        </w:rPr>
        <w:t xml:space="preserve"> </w:t>
      </w:r>
      <w:r w:rsidR="00D0055B">
        <w:rPr>
          <w:rFonts w:asciiTheme="minorHAnsi" w:hAnsiTheme="minorHAnsi" w:cstheme="minorHAnsi"/>
          <w:color w:val="000000"/>
        </w:rPr>
        <w:t xml:space="preserve">Besides, the prices advanced for alcoholic beverages and tobacco subgroups. </w:t>
      </w:r>
      <w:r w:rsidR="00BF1F70">
        <w:rPr>
          <w:rFonts w:asciiTheme="minorHAnsi" w:hAnsiTheme="minorHAnsi" w:cstheme="minorHAnsi"/>
          <w:color w:val="000000"/>
        </w:rPr>
        <w:t xml:space="preserve">Rise was recorded in the prices of alcoholic beverages (up 1.3%) and </w:t>
      </w:r>
      <w:r w:rsidR="00BF1F70" w:rsidRPr="00825588">
        <w:rPr>
          <w:rFonts w:asciiTheme="minorHAnsi" w:hAnsiTheme="minorHAnsi" w:cstheme="minorHAnsi"/>
          <w:color w:val="000000"/>
          <w:highlight w:val="cyan"/>
        </w:rPr>
        <w:t>tobacco (up 37.1%).</w:t>
      </w:r>
      <w:r w:rsidR="0057752C">
        <w:rPr>
          <w:rFonts w:asciiTheme="minorHAnsi" w:hAnsiTheme="minorHAnsi" w:cstheme="minorHAnsi"/>
          <w:color w:val="000000"/>
        </w:rPr>
        <w:t xml:space="preserve"> </w:t>
      </w:r>
      <w:commentRangeStart w:id="34"/>
      <w:r w:rsidR="0057752C" w:rsidRPr="00825588">
        <w:rPr>
          <w:rFonts w:asciiTheme="minorHAnsi" w:hAnsiTheme="minorHAnsi" w:cstheme="minorHAnsi"/>
          <w:color w:val="000000"/>
          <w:highlight w:val="cyan"/>
        </w:rPr>
        <w:t xml:space="preserve">Within the healthcare group, </w:t>
      </w:r>
      <w:r w:rsidR="00124BA1" w:rsidRPr="00825588">
        <w:rPr>
          <w:rFonts w:asciiTheme="minorHAnsi" w:hAnsiTheme="minorHAnsi" w:cstheme="minorHAnsi"/>
          <w:color w:val="000000"/>
          <w:highlight w:val="cyan"/>
        </w:rPr>
        <w:t>increase was observed in prices of medical products, appliances and equipment (up 18.1%) and outpatient services (up 5.5%).</w:t>
      </w:r>
      <w:r w:rsidR="00124BA1">
        <w:rPr>
          <w:rFonts w:asciiTheme="minorHAnsi" w:hAnsiTheme="minorHAnsi" w:cstheme="minorHAnsi"/>
          <w:color w:val="000000"/>
        </w:rPr>
        <w:t xml:space="preserve"> </w:t>
      </w:r>
      <w:commentRangeEnd w:id="34"/>
      <w:r w:rsidR="00825588">
        <w:rPr>
          <w:rStyle w:val="CommentReference"/>
          <w:rFonts w:asciiTheme="minorHAnsi" w:eastAsiaTheme="minorHAnsi" w:hAnsiTheme="minorHAnsi" w:cstheme="minorBidi"/>
        </w:rPr>
        <w:commentReference w:id="34"/>
      </w:r>
      <w:r w:rsidR="000D1A2B">
        <w:rPr>
          <w:rFonts w:asciiTheme="minorHAnsi" w:hAnsiTheme="minorHAnsi" w:cstheme="minorHAnsi"/>
          <w:color w:val="000000"/>
        </w:rPr>
        <w:t xml:space="preserve">Transport group was affected by the rise in prices of operation of personal transport equipment </w:t>
      </w:r>
      <w:r w:rsidR="000D1A2B">
        <w:rPr>
          <w:rFonts w:asciiTheme="minorHAnsi" w:hAnsiTheme="minorHAnsi" w:cstheme="minorHAnsi"/>
          <w:color w:val="000000"/>
        </w:rPr>
        <w:br/>
        <w:t xml:space="preserve">(up 18.0%), purchase of vehicles (up 4.0%) and transport services (up 3.4%). </w:t>
      </w:r>
      <w:r w:rsidR="002E3B91">
        <w:rPr>
          <w:rFonts w:asciiTheme="minorHAnsi" w:hAnsiTheme="minorHAnsi" w:cstheme="minorHAnsi"/>
          <w:color w:val="000000"/>
        </w:rPr>
        <w:t>As a matter of fact,</w:t>
      </w:r>
      <w:r w:rsidR="007C0AE8">
        <w:rPr>
          <w:rFonts w:asciiTheme="minorHAnsi" w:hAnsiTheme="minorHAnsi" w:cstheme="minorHAnsi"/>
          <w:color w:val="000000"/>
        </w:rPr>
        <w:t xml:space="preserve"> headline inflation edged up to 7.6% in July 2</w:t>
      </w:r>
      <w:r w:rsidR="00AD4301">
        <w:rPr>
          <w:rFonts w:asciiTheme="minorHAnsi" w:hAnsiTheme="minorHAnsi" w:cstheme="minorHAnsi"/>
          <w:color w:val="000000"/>
        </w:rPr>
        <w:t xml:space="preserve">017 compared to July 2015. </w:t>
      </w:r>
      <w:r w:rsidR="00115487">
        <w:rPr>
          <w:rFonts w:asciiTheme="minorHAnsi" w:hAnsiTheme="minorHAnsi" w:cstheme="minorHAnsi"/>
          <w:color w:val="000000"/>
        </w:rPr>
        <w:t xml:space="preserve">In the same time interval, the greatest pressure on the consumer price </w:t>
      </w:r>
      <w:r w:rsidR="00115487" w:rsidRPr="00825588">
        <w:rPr>
          <w:rFonts w:asciiTheme="minorHAnsi" w:hAnsiTheme="minorHAnsi" w:cstheme="minorHAnsi"/>
          <w:color w:val="000000"/>
          <w:highlight w:val="cyan"/>
        </w:rPr>
        <w:t>changes was put by the growth in prices of food and non-alcoholic beverages (up 8.3%), prices of alcoholic beverages and tobacco (up 32.6%) and prices of healthcare products and services (</w:t>
      </w:r>
      <w:r w:rsidR="005D04E1" w:rsidRPr="00825588">
        <w:rPr>
          <w:rFonts w:asciiTheme="minorHAnsi" w:hAnsiTheme="minorHAnsi" w:cstheme="minorHAnsi"/>
          <w:color w:val="000000"/>
          <w:highlight w:val="cyan"/>
        </w:rPr>
        <w:t xml:space="preserve">up </w:t>
      </w:r>
      <w:r w:rsidR="00115487" w:rsidRPr="00825588">
        <w:rPr>
          <w:rFonts w:asciiTheme="minorHAnsi" w:hAnsiTheme="minorHAnsi" w:cstheme="minorHAnsi"/>
          <w:color w:val="000000"/>
          <w:highlight w:val="cyan"/>
        </w:rPr>
        <w:t>11.3%) (see Table 1).</w:t>
      </w:r>
      <w:r w:rsidR="00115487">
        <w:rPr>
          <w:rFonts w:asciiTheme="minorHAnsi" w:hAnsiTheme="minorHAnsi" w:cstheme="minorHAnsi"/>
          <w:color w:val="000000"/>
        </w:rPr>
        <w:t xml:space="preserve"> </w:t>
      </w:r>
    </w:p>
    <w:p w14:paraId="3E2E2ABD" w14:textId="77777777" w:rsidR="00D84D0E" w:rsidRPr="00B74FDF" w:rsidRDefault="00CA2840" w:rsidP="007A5DCD">
      <w:pPr>
        <w:pStyle w:val="NormalWeb"/>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According to the</w:t>
      </w:r>
      <w:r w:rsidR="007A5DCD">
        <w:rPr>
          <w:rFonts w:asciiTheme="minorHAnsi" w:hAnsiTheme="minorHAnsi" w:cstheme="minorHAnsi"/>
          <w:color w:val="000000"/>
        </w:rPr>
        <w:t xml:space="preserve"> NBG</w:t>
      </w:r>
      <w:r w:rsidR="0067512D">
        <w:rPr>
          <w:rFonts w:asciiTheme="minorHAnsi" w:hAnsiTheme="minorHAnsi" w:cstheme="minorHAnsi"/>
          <w:color w:val="000000"/>
        </w:rPr>
        <w:t>’s</w:t>
      </w:r>
      <w:r>
        <w:rPr>
          <w:rFonts w:asciiTheme="minorHAnsi" w:hAnsiTheme="minorHAnsi" w:cstheme="minorHAnsi"/>
          <w:color w:val="000000"/>
        </w:rPr>
        <w:t xml:space="preserve"> baseline scenario, </w:t>
      </w:r>
      <w:r w:rsidR="00CA0359">
        <w:rPr>
          <w:rFonts w:asciiTheme="minorHAnsi" w:hAnsiTheme="minorHAnsi" w:cstheme="minorHAnsi"/>
          <w:color w:val="000000"/>
        </w:rPr>
        <w:t xml:space="preserve">Georgia’s outlook </w:t>
      </w:r>
      <w:r w:rsidR="00733C49">
        <w:rPr>
          <w:rFonts w:asciiTheme="minorHAnsi" w:hAnsiTheme="minorHAnsi" w:cstheme="minorHAnsi"/>
          <w:color w:val="000000"/>
        </w:rPr>
        <w:t>for</w:t>
      </w:r>
      <w:r w:rsidR="00CA0359">
        <w:rPr>
          <w:rFonts w:asciiTheme="minorHAnsi" w:hAnsiTheme="minorHAnsi" w:cstheme="minorHAnsi"/>
          <w:color w:val="000000"/>
        </w:rPr>
        <w:t xml:space="preserve"> price stabili</w:t>
      </w:r>
      <w:r w:rsidR="00C92420">
        <w:rPr>
          <w:rFonts w:asciiTheme="minorHAnsi" w:hAnsiTheme="minorHAnsi" w:cstheme="minorHAnsi"/>
          <w:color w:val="000000"/>
        </w:rPr>
        <w:t xml:space="preserve">ty stays positive with forecast inflation within the </w:t>
      </w:r>
      <w:r w:rsidR="00D008B1">
        <w:rPr>
          <w:rFonts w:asciiTheme="minorHAnsi" w:hAnsiTheme="minorHAnsi" w:cstheme="minorHAnsi"/>
          <w:color w:val="000000"/>
        </w:rPr>
        <w:t xml:space="preserve">3% </w:t>
      </w:r>
      <w:r w:rsidR="00C92420">
        <w:rPr>
          <w:rFonts w:asciiTheme="minorHAnsi" w:hAnsiTheme="minorHAnsi" w:cstheme="minorHAnsi"/>
          <w:color w:val="000000"/>
        </w:rPr>
        <w:t xml:space="preserve">objective range in </w:t>
      </w:r>
      <w:r w:rsidR="005F3463">
        <w:rPr>
          <w:rFonts w:asciiTheme="minorHAnsi" w:hAnsiTheme="minorHAnsi" w:cstheme="minorHAnsi"/>
          <w:color w:val="000000"/>
        </w:rPr>
        <w:t>2018.</w:t>
      </w:r>
      <w:r w:rsidR="00D008B1">
        <w:rPr>
          <w:rFonts w:asciiTheme="minorHAnsi" w:hAnsiTheme="minorHAnsi" w:cstheme="minorHAnsi"/>
          <w:color w:val="000000"/>
        </w:rPr>
        <w:t xml:space="preserve"> </w:t>
      </w:r>
      <w:r w:rsidR="00A35A94">
        <w:rPr>
          <w:rFonts w:asciiTheme="minorHAnsi" w:hAnsiTheme="minorHAnsi" w:cstheme="minorHAnsi"/>
          <w:color w:val="000000"/>
        </w:rPr>
        <w:t>Specifically, in the first half of the year, the inflation rate will be hovering between 3.5-4%.</w:t>
      </w:r>
      <w:r w:rsidR="00B967F1">
        <w:rPr>
          <w:rFonts w:asciiTheme="minorHAnsi" w:hAnsiTheme="minorHAnsi" w:cstheme="minorHAnsi"/>
          <w:color w:val="000000"/>
        </w:rPr>
        <w:t xml:space="preserve"> </w:t>
      </w:r>
      <w:r w:rsidR="00A35A94">
        <w:rPr>
          <w:rFonts w:asciiTheme="minorHAnsi" w:hAnsiTheme="minorHAnsi" w:cstheme="minorHAnsi"/>
          <w:color w:val="000000"/>
        </w:rPr>
        <w:t xml:space="preserve">Though, from the second half of the year, it will continue to decline and stand </w:t>
      </w:r>
      <w:r w:rsidR="009B0EDD">
        <w:rPr>
          <w:rFonts w:asciiTheme="minorHAnsi" w:hAnsiTheme="minorHAnsi" w:cstheme="minorHAnsi"/>
          <w:color w:val="000000"/>
        </w:rPr>
        <w:t xml:space="preserve">around </w:t>
      </w:r>
      <w:r w:rsidR="00A35A94">
        <w:rPr>
          <w:rFonts w:asciiTheme="minorHAnsi" w:hAnsiTheme="minorHAnsi" w:cstheme="minorHAnsi"/>
          <w:color w:val="000000"/>
        </w:rPr>
        <w:t>3%.</w:t>
      </w:r>
      <w:r w:rsidR="007A5DCD">
        <w:rPr>
          <w:rFonts w:asciiTheme="minorHAnsi" w:hAnsiTheme="minorHAnsi" w:cstheme="minorHAnsi"/>
          <w:color w:val="000000"/>
        </w:rPr>
        <w:t xml:space="preserve"> </w:t>
      </w:r>
      <w:r w:rsidR="005E539C">
        <w:rPr>
          <w:rFonts w:asciiTheme="minorHAnsi" w:hAnsiTheme="minorHAnsi" w:cstheme="minorHAnsi"/>
          <w:color w:val="000000"/>
        </w:rPr>
        <w:t>Interestingly, the NBG’s inflation forecast is consistent with the IMF’s projection of 3% for 2018.</w:t>
      </w:r>
      <w:r w:rsidR="00730C16">
        <w:rPr>
          <w:rFonts w:asciiTheme="minorHAnsi" w:hAnsiTheme="minorHAnsi" w:cstheme="minorHAnsi"/>
          <w:color w:val="000000"/>
        </w:rPr>
        <w:t xml:space="preserve"> However</w:t>
      </w:r>
      <w:r w:rsidR="005E539C">
        <w:rPr>
          <w:rFonts w:asciiTheme="minorHAnsi" w:hAnsiTheme="minorHAnsi" w:cstheme="minorHAnsi"/>
          <w:color w:val="000000"/>
        </w:rPr>
        <w:t xml:space="preserve">, </w:t>
      </w:r>
      <w:r w:rsidR="00850FBB" w:rsidRPr="00850FBB">
        <w:rPr>
          <w:rFonts w:asciiTheme="minorHAnsi" w:hAnsiTheme="minorHAnsi" w:cstheme="minorHAnsi"/>
          <w:color w:val="000000"/>
        </w:rPr>
        <w:t>the AD</w:t>
      </w:r>
      <w:r w:rsidR="00B967F1">
        <w:rPr>
          <w:rFonts w:asciiTheme="minorHAnsi" w:hAnsiTheme="minorHAnsi" w:cstheme="minorHAnsi"/>
          <w:color w:val="000000"/>
        </w:rPr>
        <w:t xml:space="preserve">B </w:t>
      </w:r>
      <w:r w:rsidR="00730C16">
        <w:rPr>
          <w:rFonts w:asciiTheme="minorHAnsi" w:hAnsiTheme="minorHAnsi" w:cstheme="minorHAnsi"/>
          <w:color w:val="000000"/>
        </w:rPr>
        <w:t xml:space="preserve">expects inflation to reach 4.0% in 2018. </w:t>
      </w:r>
    </w:p>
    <w:p w14:paraId="0C2A5BEC" w14:textId="77777777" w:rsidR="00906CDB" w:rsidRPr="00C17F6B" w:rsidRDefault="00F00E7C" w:rsidP="00C17F6B">
      <w:pPr>
        <w:pStyle w:val="Heading1"/>
      </w:pPr>
      <w:bookmarkStart w:id="35" w:name="_Toc508719871"/>
      <w:bookmarkStart w:id="36" w:name="_Toc508721115"/>
      <w:bookmarkStart w:id="37" w:name="_Toc508721258"/>
      <w:bookmarkStart w:id="38" w:name="_Toc508722264"/>
      <w:r w:rsidRPr="00C17F6B">
        <w:t>Overview of the labo</w:t>
      </w:r>
      <w:r w:rsidR="00A60FB2" w:rsidRPr="00C17F6B">
        <w:t>u</w:t>
      </w:r>
      <w:r w:rsidRPr="00C17F6B">
        <w:t>r market</w:t>
      </w:r>
      <w:bookmarkEnd w:id="35"/>
      <w:bookmarkEnd w:id="36"/>
      <w:bookmarkEnd w:id="37"/>
      <w:bookmarkEnd w:id="38"/>
      <w:r w:rsidR="00D84D0E" w:rsidRPr="00C17F6B">
        <w:t xml:space="preserve"> </w:t>
      </w:r>
    </w:p>
    <w:p w14:paraId="5015163E" w14:textId="77777777" w:rsidR="00A148C4" w:rsidRPr="00C22BDD" w:rsidRDefault="00A148C4" w:rsidP="00C22BDD">
      <w:pPr>
        <w:pStyle w:val="Heading2"/>
        <w:numPr>
          <w:ilvl w:val="1"/>
          <w:numId w:val="17"/>
        </w:numPr>
        <w:spacing w:after="240"/>
        <w:rPr>
          <w:b/>
          <w:i/>
        </w:rPr>
      </w:pPr>
      <w:bookmarkStart w:id="39" w:name="_Toc508719872"/>
      <w:bookmarkStart w:id="40" w:name="_Toc508721116"/>
      <w:bookmarkStart w:id="41" w:name="_Toc508721259"/>
      <w:bookmarkStart w:id="42" w:name="_Toc508722265"/>
      <w:r w:rsidRPr="00C22BDD">
        <w:rPr>
          <w:b/>
          <w:i/>
        </w:rPr>
        <w:t>Employment and unemployment trends</w:t>
      </w:r>
      <w:bookmarkEnd w:id="39"/>
      <w:bookmarkEnd w:id="40"/>
      <w:bookmarkEnd w:id="41"/>
      <w:bookmarkEnd w:id="42"/>
      <w:r w:rsidRPr="00C22BDD">
        <w:rPr>
          <w:b/>
          <w:i/>
        </w:rPr>
        <w:t xml:space="preserve"> </w:t>
      </w:r>
    </w:p>
    <w:p w14:paraId="54033A7D" w14:textId="77777777" w:rsidR="0063092A" w:rsidRDefault="00B2011D" w:rsidP="00C22BDD">
      <w:pPr>
        <w:spacing w:before="40" w:after="240" w:line="360" w:lineRule="auto"/>
        <w:jc w:val="both"/>
      </w:pPr>
      <w:r>
        <w:t>The labo</w:t>
      </w:r>
      <w:r w:rsidR="00A60FB2">
        <w:t>u</w:t>
      </w:r>
      <w:r>
        <w:t xml:space="preserve">r market is </w:t>
      </w:r>
      <w:r w:rsidR="00AE2D98">
        <w:t xml:space="preserve">one of </w:t>
      </w:r>
      <w:r w:rsidR="002B26A1">
        <w:t>the major</w:t>
      </w:r>
      <w:r>
        <w:t xml:space="preserve"> component</w:t>
      </w:r>
      <w:r w:rsidR="00AE2D98">
        <w:t>s</w:t>
      </w:r>
      <w:r>
        <w:t xml:space="preserve"> of Georgia’s free market economy, supplying human resources to all activities. The manner in which those resources are utilized effects the country’s economic potential, alongside with living standards and social satisfaction of the entire population. </w:t>
      </w:r>
    </w:p>
    <w:p w14:paraId="1AE7B1D1" w14:textId="77777777" w:rsidR="00BF020D" w:rsidRDefault="006A236B" w:rsidP="00BF020D">
      <w:pPr>
        <w:spacing w:after="240" w:line="360" w:lineRule="auto"/>
        <w:jc w:val="both"/>
      </w:pPr>
      <w:r>
        <w:lastRenderedPageBreak/>
        <w:t>In Georgia, t</w:t>
      </w:r>
      <w:r w:rsidR="00C540A2">
        <w:t>he working age population</w:t>
      </w:r>
      <w:r w:rsidR="0096617C">
        <w:t xml:space="preserve"> comprising of </w:t>
      </w:r>
      <w:r w:rsidR="00C540A2">
        <w:t xml:space="preserve">15 years </w:t>
      </w:r>
      <w:r w:rsidR="00694EC2">
        <w:t>and over</w:t>
      </w:r>
      <w:r>
        <w:t xml:space="preserve"> </w:t>
      </w:r>
      <w:r w:rsidR="00202B37">
        <w:t>continues to decline.</w:t>
      </w:r>
      <w:r w:rsidR="00D66B1B">
        <w:t xml:space="preserve"> During the 2010-2016 period, it decreased from 3</w:t>
      </w:r>
      <w:r w:rsidR="00244D0B">
        <w:t>,0</w:t>
      </w:r>
      <w:r w:rsidR="00D66B1B">
        <w:t>28</w:t>
      </w:r>
      <w:r w:rsidR="00244D0B">
        <w:t>.3</w:t>
      </w:r>
      <w:r w:rsidR="00D66B1B">
        <w:t xml:space="preserve"> thousand people in 2010 to </w:t>
      </w:r>
      <w:r w:rsidR="00144DCF">
        <w:t>2</w:t>
      </w:r>
      <w:r w:rsidR="00244D0B">
        <w:t>,961.5</w:t>
      </w:r>
      <w:r w:rsidR="000C6559">
        <w:t xml:space="preserve"> thousand people in 2016. </w:t>
      </w:r>
      <w:r w:rsidR="00573E6E">
        <w:t>The fall in economic activity rate</w:t>
      </w:r>
      <w:r w:rsidR="00615F6F">
        <w:t xml:space="preserve"> (down 0.4 percentage points)</w:t>
      </w:r>
      <w:r w:rsidR="00573E6E">
        <w:t xml:space="preserve"> and working age population</w:t>
      </w:r>
      <w:r w:rsidR="00615F6F">
        <w:t xml:space="preserve"> (down 0.6%)</w:t>
      </w:r>
      <w:r w:rsidR="00573E6E">
        <w:t xml:space="preserve"> </w:t>
      </w:r>
      <w:r w:rsidR="00EC579E">
        <w:t>was</w:t>
      </w:r>
      <w:r w:rsidR="00573E6E">
        <w:t xml:space="preserve"> observed in 2016</w:t>
      </w:r>
      <w:r w:rsidR="00EC579E">
        <w:t xml:space="preserve"> also</w:t>
      </w:r>
      <w:r w:rsidR="00573E6E">
        <w:t>, which considerably affected the empl</w:t>
      </w:r>
      <w:r w:rsidR="00EC579E">
        <w:t>oyme</w:t>
      </w:r>
      <w:r w:rsidR="00615F6F">
        <w:t xml:space="preserve">nt rate in the </w:t>
      </w:r>
      <w:r w:rsidR="00FD400B">
        <w:t xml:space="preserve">reference </w:t>
      </w:r>
      <w:r w:rsidR="00615F6F">
        <w:t>period</w:t>
      </w:r>
      <w:r w:rsidR="00EE20BF">
        <w:t xml:space="preserve"> (see Figure 7).</w:t>
      </w:r>
      <w:r w:rsidR="00BF020D">
        <w:t xml:space="preserve"> Namely</w:t>
      </w:r>
      <w:r w:rsidR="000F11C6">
        <w:t>, the employment rate amounted to 59.5% (</w:t>
      </w:r>
      <w:r w:rsidR="00BF020D">
        <w:t xml:space="preserve">1,763.3 thousand) in 2016, a 0.2 percentage points decrease as compared to the last year’s figure (1,779.9 </w:t>
      </w:r>
      <w:r w:rsidR="00AD7030">
        <w:t xml:space="preserve">thousand employed). </w:t>
      </w:r>
      <w:r w:rsidR="00377874">
        <w:t xml:space="preserve">In </w:t>
      </w:r>
      <w:r w:rsidR="004C0B2B">
        <w:t xml:space="preserve">the </w:t>
      </w:r>
      <w:r w:rsidR="00377874">
        <w:t xml:space="preserve">same time interval, </w:t>
      </w:r>
      <w:r w:rsidR="004C0B2B">
        <w:t xml:space="preserve">the </w:t>
      </w:r>
      <w:r w:rsidR="00377874">
        <w:t xml:space="preserve">employment rate in urban areas dropped by </w:t>
      </w:r>
      <w:r w:rsidR="002D6697">
        <w:t xml:space="preserve">0.4 percentage points, while in rural settlements - 0.1 percentage points. </w:t>
      </w:r>
      <w:r w:rsidR="00CD2E2C">
        <w:t xml:space="preserve">It </w:t>
      </w:r>
      <w:r w:rsidR="00537287">
        <w:t xml:space="preserve">is notable </w:t>
      </w:r>
      <w:r w:rsidR="00CD2E2C">
        <w:t xml:space="preserve">that </w:t>
      </w:r>
      <w:r w:rsidR="00643407">
        <w:t xml:space="preserve">the reduction </w:t>
      </w:r>
      <w:r w:rsidR="00BA4557">
        <w:t xml:space="preserve">of working age population </w:t>
      </w:r>
      <w:r w:rsidR="00CD2E2C">
        <w:t xml:space="preserve">is related to </w:t>
      </w:r>
      <w:r w:rsidR="00643407">
        <w:t xml:space="preserve">the results of </w:t>
      </w:r>
      <w:r w:rsidR="001A15F4">
        <w:t xml:space="preserve">the </w:t>
      </w:r>
      <w:r w:rsidR="00CD2E2C">
        <w:t xml:space="preserve">national </w:t>
      </w:r>
      <w:r w:rsidR="001A15F4">
        <w:t xml:space="preserve">population census. </w:t>
      </w:r>
      <w:r w:rsidR="00CD2E2C">
        <w:t>According to it</w:t>
      </w:r>
      <w:r w:rsidR="00C3687F">
        <w:t xml:space="preserve"> </w:t>
      </w:r>
      <w:r w:rsidR="00A82F99">
        <w:t xml:space="preserve">the </w:t>
      </w:r>
      <w:r w:rsidR="00C3687F">
        <w:t>number of Georgian population is gener</w:t>
      </w:r>
      <w:r w:rsidR="00815113">
        <w:t xml:space="preserve">ally </w:t>
      </w:r>
      <w:r w:rsidR="00CD2E2C">
        <w:t xml:space="preserve">reduced. </w:t>
      </w:r>
    </w:p>
    <w:p w14:paraId="459D61B0" w14:textId="77777777" w:rsidR="00C45EA7" w:rsidRPr="00C45EA7" w:rsidRDefault="00C45EA7" w:rsidP="00C45EA7">
      <w:pPr>
        <w:pStyle w:val="Caption"/>
        <w:keepNext/>
        <w:jc w:val="both"/>
        <w:rPr>
          <w:i w:val="0"/>
          <w:color w:val="000000" w:themeColor="text1"/>
          <w:sz w:val="24"/>
          <w:szCs w:val="24"/>
        </w:rPr>
      </w:pPr>
      <w:bookmarkStart w:id="43" w:name="_Toc508716351"/>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7</w:t>
      </w:r>
      <w:r w:rsidRPr="00C45EA7">
        <w:rPr>
          <w:i w:val="0"/>
          <w:color w:val="000000" w:themeColor="text1"/>
          <w:sz w:val="24"/>
          <w:szCs w:val="24"/>
        </w:rPr>
        <w:fldChar w:fldCharType="end"/>
      </w:r>
      <w:r w:rsidRPr="00C45EA7">
        <w:rPr>
          <w:i w:val="0"/>
          <w:color w:val="000000" w:themeColor="text1"/>
          <w:sz w:val="24"/>
          <w:szCs w:val="24"/>
        </w:rPr>
        <w:t>: Change of economic activity rate and working age population (%)</w:t>
      </w:r>
      <w:bookmarkEnd w:id="43"/>
    </w:p>
    <w:p w14:paraId="41B970B5" w14:textId="77777777" w:rsidR="004B4D15" w:rsidRDefault="004B4D15" w:rsidP="00BF020D">
      <w:pPr>
        <w:spacing w:after="0" w:line="360" w:lineRule="auto"/>
        <w:jc w:val="both"/>
      </w:pPr>
      <w:r w:rsidRPr="00803024">
        <w:rPr>
          <w:noProof/>
          <w:sz w:val="20"/>
          <w:szCs w:val="20"/>
        </w:rPr>
        <w:drawing>
          <wp:inline distT="0" distB="0" distL="0" distR="0" wp14:anchorId="4CD2FF2B" wp14:editId="5593E4F1">
            <wp:extent cx="5937662" cy="3149600"/>
            <wp:effectExtent l="0" t="0" r="635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25AC72" w14:textId="77777777" w:rsidR="007A0EFC" w:rsidRDefault="00560E07" w:rsidP="0058311B">
      <w:pPr>
        <w:spacing w:line="360" w:lineRule="auto"/>
        <w:jc w:val="both"/>
      </w:pPr>
      <w:r w:rsidRPr="00BB318F">
        <w:t xml:space="preserve">Source: National Statistics Office of Georgia (Geostat), 2018. </w:t>
      </w:r>
    </w:p>
    <w:p w14:paraId="7A5538F9" w14:textId="77777777" w:rsidR="008B4610" w:rsidRDefault="00471662" w:rsidP="0058311B">
      <w:pPr>
        <w:spacing w:line="360" w:lineRule="auto"/>
        <w:jc w:val="both"/>
      </w:pPr>
      <w:r>
        <w:t>The size of the labo</w:t>
      </w:r>
      <w:r w:rsidR="00B032CE">
        <w:t>u</w:t>
      </w:r>
      <w:r>
        <w:t xml:space="preserve">r force (employed + unemployed) in Georgia ranged from 1,944.5 thousand people in 2010 to 1,998.3 thousand people in 2016. Among those who are considered as employed (self-employed and hired), the majority of them are self-employed (see Figure 8). </w:t>
      </w:r>
      <w:r w:rsidR="008B4610">
        <w:t xml:space="preserve">According to National Statistics Office of Georgia (Geostat), this category is largely concentrated </w:t>
      </w:r>
      <w:r w:rsidR="008B4610">
        <w:lastRenderedPageBreak/>
        <w:t xml:space="preserve">in agriculture, where self-employment rate is 48%. </w:t>
      </w:r>
      <w:r>
        <w:t xml:space="preserve">In 2016, the share of self-employed and hired out of total employment </w:t>
      </w:r>
      <w:r w:rsidR="0004055C">
        <w:t xml:space="preserve">equated to </w:t>
      </w:r>
      <w:r>
        <w:t xml:space="preserve">57.3% and 42.3% respectively. </w:t>
      </w:r>
      <w:r w:rsidR="00642C55">
        <w:t xml:space="preserve">Moreover, the number of hired employees declined by 1.1% and the number of self-employed by 0.7% in 2016 compared to the </w:t>
      </w:r>
      <w:r w:rsidR="00803024">
        <w:t xml:space="preserve">previous year. </w:t>
      </w:r>
    </w:p>
    <w:p w14:paraId="3277A511" w14:textId="77777777" w:rsidR="00C45EA7" w:rsidRPr="00C45EA7" w:rsidRDefault="00C45EA7" w:rsidP="00C45EA7">
      <w:pPr>
        <w:pStyle w:val="Caption"/>
        <w:keepNext/>
        <w:jc w:val="both"/>
        <w:rPr>
          <w:i w:val="0"/>
          <w:color w:val="000000" w:themeColor="text1"/>
          <w:sz w:val="24"/>
          <w:szCs w:val="24"/>
        </w:rPr>
      </w:pPr>
      <w:bookmarkStart w:id="44" w:name="_Toc508716352"/>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8</w:t>
      </w:r>
      <w:r w:rsidRPr="00C45EA7">
        <w:rPr>
          <w:i w:val="0"/>
          <w:color w:val="000000" w:themeColor="text1"/>
          <w:sz w:val="24"/>
          <w:szCs w:val="24"/>
        </w:rPr>
        <w:fldChar w:fldCharType="end"/>
      </w:r>
      <w:r w:rsidRPr="00C45EA7">
        <w:rPr>
          <w:i w:val="0"/>
          <w:color w:val="000000" w:themeColor="text1"/>
          <w:sz w:val="24"/>
          <w:szCs w:val="24"/>
        </w:rPr>
        <w:t>: % change in hired and self-employed</w:t>
      </w:r>
      <w:bookmarkEnd w:id="44"/>
    </w:p>
    <w:p w14:paraId="33044A47" w14:textId="77777777" w:rsidR="00803024" w:rsidRDefault="00803024" w:rsidP="00803024">
      <w:pPr>
        <w:spacing w:after="0" w:line="360" w:lineRule="auto"/>
        <w:jc w:val="both"/>
      </w:pPr>
      <w:r>
        <w:rPr>
          <w:noProof/>
        </w:rPr>
        <w:drawing>
          <wp:inline distT="0" distB="0" distL="0" distR="0" wp14:anchorId="25C2E6F7" wp14:editId="41235D69">
            <wp:extent cx="5878195" cy="3158837"/>
            <wp:effectExtent l="0" t="0" r="8255"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A25C1C" w14:textId="77777777" w:rsidR="00803024" w:rsidRPr="005445B8" w:rsidRDefault="00803024" w:rsidP="00803024">
      <w:pPr>
        <w:spacing w:line="360" w:lineRule="auto"/>
        <w:jc w:val="both"/>
        <w:rPr>
          <w:color w:val="000000" w:themeColor="text1"/>
          <w:shd w:val="clear" w:color="auto" w:fill="FFFFFF"/>
        </w:rPr>
      </w:pPr>
      <w:r w:rsidRPr="005445B8">
        <w:rPr>
          <w:color w:val="000000" w:themeColor="text1"/>
          <w:shd w:val="clear" w:color="auto" w:fill="FFFFFF"/>
        </w:rPr>
        <w:t xml:space="preserve">Source: </w:t>
      </w:r>
      <w:r>
        <w:rPr>
          <w:color w:val="000000" w:themeColor="text1"/>
          <w:shd w:val="clear" w:color="auto" w:fill="FFFFFF"/>
        </w:rPr>
        <w:t xml:space="preserve">National Statistics Office of Georgia (Geostat), 2018. </w:t>
      </w:r>
    </w:p>
    <w:p w14:paraId="5DB4819A" w14:textId="77777777" w:rsidR="0017668D" w:rsidRDefault="00463E0B" w:rsidP="00D24DCA">
      <w:pPr>
        <w:spacing w:after="240" w:line="360" w:lineRule="auto"/>
        <w:jc w:val="both"/>
      </w:pPr>
      <w:r w:rsidRPr="00661400">
        <w:t xml:space="preserve">Overall, between 2010 and 2016, the unemployment rate in Georgia fell from 16.3% to </w:t>
      </w:r>
      <w:r w:rsidR="006D7D97">
        <w:t xml:space="preserve">11.8%. </w:t>
      </w:r>
      <w:r w:rsidR="00661400">
        <w:t xml:space="preserve">The reduction of </w:t>
      </w:r>
      <w:r w:rsidR="00294F16">
        <w:t xml:space="preserve">the </w:t>
      </w:r>
      <w:r w:rsidR="00661400">
        <w:t>unemployment</w:t>
      </w:r>
      <w:r w:rsidR="007C0C3A">
        <w:t xml:space="preserve"> rate </w:t>
      </w:r>
      <w:r w:rsidR="00661400">
        <w:t>was a result of the country’s economic growth coupled with increased demand for labo</w:t>
      </w:r>
      <w:r w:rsidR="00F644EA">
        <w:t>u</w:t>
      </w:r>
      <w:r w:rsidR="00DF624A">
        <w:t xml:space="preserve">r. </w:t>
      </w:r>
      <w:r w:rsidR="00BF3AFA">
        <w:t>Interestingly enough,</w:t>
      </w:r>
      <w:r w:rsidR="00B25E01">
        <w:t xml:space="preserve"> </w:t>
      </w:r>
      <w:r w:rsidR="00543F94">
        <w:t xml:space="preserve">unemployment rate together with </w:t>
      </w:r>
      <w:r w:rsidR="00294F16">
        <w:t xml:space="preserve">an </w:t>
      </w:r>
      <w:r w:rsidR="00BF3AFA">
        <w:t>employment rate declined in 201</w:t>
      </w:r>
      <w:r w:rsidR="00204754">
        <w:t xml:space="preserve">6 compared to the previous year. </w:t>
      </w:r>
      <w:r w:rsidR="00E939A1">
        <w:t>B</w:t>
      </w:r>
      <w:r w:rsidR="00804DB0">
        <w:t xml:space="preserve">oth indicators dropped by 0.2 percentage points </w:t>
      </w:r>
      <w:r w:rsidR="00204754">
        <w:t>(</w:t>
      </w:r>
      <w:r w:rsidR="00543F94">
        <w:t xml:space="preserve">unemployment in 2016 - 11.8%, in 2015 - 12%; </w:t>
      </w:r>
      <w:r w:rsidR="00204754">
        <w:t>employment in 2016 - 59.5%, in 2015 - 59.7%</w:t>
      </w:r>
      <w:r w:rsidR="005A6E07">
        <w:t>).</w:t>
      </w:r>
      <w:r w:rsidR="00294F16">
        <w:t xml:space="preserve"> During the same period</w:t>
      </w:r>
      <w:r w:rsidR="00D767DE">
        <w:t xml:space="preserve">, </w:t>
      </w:r>
      <w:r w:rsidR="006D7D97">
        <w:t>the number of unemployed decreased by 6.5 thousand people (</w:t>
      </w:r>
      <w:r w:rsidR="00B25E01">
        <w:t xml:space="preserve">see Figure 9). </w:t>
      </w:r>
      <w:r w:rsidR="00C002CF">
        <w:t>In 2016</w:t>
      </w:r>
      <w:r w:rsidR="00572692">
        <w:t xml:space="preserve">, urban unemployment rate significantly prevailed rural unemployment rate (21.1% vs 5.0%). </w:t>
      </w:r>
      <w:r w:rsidR="001D7837">
        <w:t xml:space="preserve">This is mainly related to </w:t>
      </w:r>
      <w:r w:rsidR="00C002CF">
        <w:t>extensive self-employment in agriculture in rural areas.</w:t>
      </w:r>
      <w:r w:rsidR="003863D3">
        <w:t xml:space="preserve"> </w:t>
      </w:r>
      <w:r w:rsidR="00206CF8">
        <w:t>Besides, u</w:t>
      </w:r>
      <w:r w:rsidR="00650741">
        <w:t>nemployment rate by age groups</w:t>
      </w:r>
      <w:r w:rsidR="0011222A">
        <w:t xml:space="preserve"> shows that in 2016, young people aged 15-19 and 20-24 continued t</w:t>
      </w:r>
      <w:r w:rsidR="00311BB1">
        <w:t xml:space="preserve">o be the most disadvantaged. </w:t>
      </w:r>
      <w:r w:rsidR="001E7EF3">
        <w:t xml:space="preserve">The unemployment rate </w:t>
      </w:r>
      <w:r w:rsidR="009A0824">
        <w:lastRenderedPageBreak/>
        <w:t xml:space="preserve">reached the highest level for the age group of 15-19 (31.9%), which is 5.7 percentage points higher compared to the last year’s indicator. </w:t>
      </w:r>
      <w:r w:rsidR="001E7EF3">
        <w:t xml:space="preserve">Also, it was high for the age group of 15-24 and amounted to 30.0%. </w:t>
      </w:r>
    </w:p>
    <w:p w14:paraId="70DCCC35" w14:textId="77777777" w:rsidR="00C45EA7" w:rsidRPr="00C45EA7" w:rsidRDefault="00C45EA7" w:rsidP="00C45EA7">
      <w:pPr>
        <w:pStyle w:val="Caption"/>
        <w:keepNext/>
        <w:jc w:val="both"/>
        <w:rPr>
          <w:i w:val="0"/>
          <w:color w:val="000000" w:themeColor="text1"/>
          <w:sz w:val="24"/>
          <w:szCs w:val="24"/>
        </w:rPr>
      </w:pPr>
      <w:bookmarkStart w:id="45" w:name="_Toc508716353"/>
      <w:r w:rsidRPr="00C45EA7">
        <w:rPr>
          <w:i w:val="0"/>
          <w:color w:val="000000" w:themeColor="text1"/>
          <w:sz w:val="24"/>
          <w:szCs w:val="24"/>
        </w:rPr>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9</w:t>
      </w:r>
      <w:r w:rsidRPr="00C45EA7">
        <w:rPr>
          <w:i w:val="0"/>
          <w:color w:val="000000" w:themeColor="text1"/>
          <w:sz w:val="24"/>
          <w:szCs w:val="24"/>
        </w:rPr>
        <w:fldChar w:fldCharType="end"/>
      </w:r>
      <w:r w:rsidRPr="00C45EA7">
        <w:rPr>
          <w:i w:val="0"/>
          <w:color w:val="000000" w:themeColor="text1"/>
          <w:sz w:val="24"/>
          <w:szCs w:val="24"/>
        </w:rPr>
        <w:t>: Unemployment indicators</w:t>
      </w:r>
      <w:bookmarkEnd w:id="45"/>
    </w:p>
    <w:p w14:paraId="6192F03C" w14:textId="77777777" w:rsidR="00AC1990" w:rsidRDefault="002530DA" w:rsidP="002530DA">
      <w:pPr>
        <w:spacing w:after="0" w:line="360" w:lineRule="auto"/>
        <w:jc w:val="both"/>
      </w:pPr>
      <w:r>
        <w:rPr>
          <w:noProof/>
        </w:rPr>
        <w:drawing>
          <wp:inline distT="0" distB="0" distL="0" distR="0" wp14:anchorId="04C34A28" wp14:editId="53009F2C">
            <wp:extent cx="5943600" cy="3142615"/>
            <wp:effectExtent l="0" t="0" r="0"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1705B0" w14:textId="77777777" w:rsidR="00DF624A" w:rsidRDefault="002530DA" w:rsidP="00C947B5">
      <w:pPr>
        <w:spacing w:line="360" w:lineRule="auto"/>
        <w:jc w:val="both"/>
        <w:rPr>
          <w:color w:val="000000" w:themeColor="text1"/>
          <w:shd w:val="clear" w:color="auto" w:fill="FFFFFF"/>
        </w:rPr>
      </w:pPr>
      <w:r w:rsidRPr="0050661F">
        <w:t xml:space="preserve">Source: </w:t>
      </w:r>
      <w:r w:rsidRPr="005445B8">
        <w:rPr>
          <w:color w:val="000000" w:themeColor="text1"/>
          <w:shd w:val="clear" w:color="auto" w:fill="FFFFFF"/>
        </w:rPr>
        <w:t xml:space="preserve">Source: </w:t>
      </w:r>
      <w:r>
        <w:rPr>
          <w:color w:val="000000" w:themeColor="text1"/>
          <w:shd w:val="clear" w:color="auto" w:fill="FFFFFF"/>
        </w:rPr>
        <w:t>National Statistics Offi</w:t>
      </w:r>
      <w:r w:rsidR="00C947B5">
        <w:rPr>
          <w:color w:val="000000" w:themeColor="text1"/>
          <w:shd w:val="clear" w:color="auto" w:fill="FFFFFF"/>
        </w:rPr>
        <w:t xml:space="preserve">ce of Georgia (Geostat), 2018. </w:t>
      </w:r>
    </w:p>
    <w:p w14:paraId="57420D40" w14:textId="77777777" w:rsidR="00DF624A" w:rsidRPr="00C22BDD" w:rsidRDefault="00BD31E3" w:rsidP="00C22BDD">
      <w:pPr>
        <w:pStyle w:val="Heading2"/>
        <w:numPr>
          <w:ilvl w:val="1"/>
          <w:numId w:val="17"/>
        </w:numPr>
        <w:spacing w:before="0" w:after="240"/>
        <w:rPr>
          <w:rStyle w:val="Emphasis"/>
          <w:b/>
          <w:iCs w:val="0"/>
        </w:rPr>
      </w:pPr>
      <w:bookmarkStart w:id="46" w:name="_Toc508719873"/>
      <w:bookmarkStart w:id="47" w:name="_Toc508721117"/>
      <w:bookmarkStart w:id="48" w:name="_Toc508721260"/>
      <w:bookmarkStart w:id="49" w:name="_Toc508722266"/>
      <w:r w:rsidRPr="00C22BDD">
        <w:rPr>
          <w:rStyle w:val="Emphasis"/>
          <w:b/>
          <w:iCs w:val="0"/>
        </w:rPr>
        <w:t>Nominal and real earnings</w:t>
      </w:r>
      <w:bookmarkEnd w:id="46"/>
      <w:bookmarkEnd w:id="47"/>
      <w:bookmarkEnd w:id="48"/>
      <w:bookmarkEnd w:id="49"/>
      <w:r w:rsidRPr="00C22BDD">
        <w:rPr>
          <w:rStyle w:val="Emphasis"/>
          <w:b/>
          <w:iCs w:val="0"/>
        </w:rPr>
        <w:t xml:space="preserve"> </w:t>
      </w:r>
    </w:p>
    <w:p w14:paraId="1C0321B3" w14:textId="77777777" w:rsidR="00C24886" w:rsidRDefault="00EB1099" w:rsidP="00C22BDD">
      <w:pPr>
        <w:spacing w:after="240" w:line="360" w:lineRule="auto"/>
        <w:jc w:val="both"/>
        <w:rPr>
          <w:rStyle w:val="Emphasis"/>
          <w:i w:val="0"/>
          <w:iCs w:val="0"/>
          <w:color w:val="000000" w:themeColor="text1"/>
          <w:shd w:val="clear" w:color="auto" w:fill="FFFFFF"/>
        </w:rPr>
      </w:pPr>
      <w:r w:rsidRPr="00594F3B">
        <w:rPr>
          <w:rStyle w:val="Emphasis"/>
          <w:i w:val="0"/>
          <w:iCs w:val="0"/>
          <w:color w:val="000000" w:themeColor="text1"/>
          <w:shd w:val="clear" w:color="auto" w:fill="FFFFFF"/>
        </w:rPr>
        <w:t>While analyzing the</w:t>
      </w:r>
      <w:r w:rsidR="00E74744" w:rsidRPr="00594F3B">
        <w:rPr>
          <w:rStyle w:val="Emphasis"/>
          <w:i w:val="0"/>
          <w:iCs w:val="0"/>
          <w:color w:val="000000" w:themeColor="text1"/>
          <w:shd w:val="clear" w:color="auto" w:fill="FFFFFF"/>
        </w:rPr>
        <w:t xml:space="preserve"> supply of the</w:t>
      </w:r>
      <w:r w:rsidRPr="00594F3B">
        <w:rPr>
          <w:rStyle w:val="Emphasis"/>
          <w:i w:val="0"/>
          <w:iCs w:val="0"/>
          <w:color w:val="000000" w:themeColor="text1"/>
          <w:shd w:val="clear" w:color="auto" w:fill="FFFFFF"/>
        </w:rPr>
        <w:t xml:space="preserve"> labo</w:t>
      </w:r>
      <w:r w:rsidR="0014799F">
        <w:rPr>
          <w:rStyle w:val="Emphasis"/>
          <w:i w:val="0"/>
          <w:iCs w:val="0"/>
          <w:color w:val="000000" w:themeColor="text1"/>
          <w:shd w:val="clear" w:color="auto" w:fill="FFFFFF"/>
        </w:rPr>
        <w:t>u</w:t>
      </w:r>
      <w:r w:rsidRPr="00594F3B">
        <w:rPr>
          <w:rStyle w:val="Emphasis"/>
          <w:i w:val="0"/>
          <w:iCs w:val="0"/>
          <w:color w:val="000000" w:themeColor="text1"/>
          <w:shd w:val="clear" w:color="auto" w:fill="FFFFFF"/>
        </w:rPr>
        <w:t xml:space="preserve">r market, it is equally important to pay attention to one </w:t>
      </w:r>
      <w:r w:rsidR="00296366">
        <w:rPr>
          <w:rStyle w:val="Emphasis"/>
          <w:i w:val="0"/>
          <w:iCs w:val="0"/>
          <w:color w:val="000000" w:themeColor="text1"/>
          <w:shd w:val="clear" w:color="auto" w:fill="FFFFFF"/>
        </w:rPr>
        <w:t xml:space="preserve">of </w:t>
      </w:r>
      <w:r w:rsidRPr="00594F3B">
        <w:rPr>
          <w:rStyle w:val="Emphasis"/>
          <w:i w:val="0"/>
          <w:iCs w:val="0"/>
          <w:color w:val="000000" w:themeColor="text1"/>
          <w:shd w:val="clear" w:color="auto" w:fill="FFFFFF"/>
        </w:rPr>
        <w:t>the</w:t>
      </w:r>
      <w:r w:rsidR="00255E57" w:rsidRPr="00594F3B">
        <w:rPr>
          <w:rStyle w:val="Emphasis"/>
          <w:i w:val="0"/>
          <w:iCs w:val="0"/>
          <w:color w:val="000000" w:themeColor="text1"/>
          <w:shd w:val="clear" w:color="auto" w:fill="FFFFFF"/>
        </w:rPr>
        <w:t xml:space="preserve"> </w:t>
      </w:r>
      <w:r w:rsidR="00E74744" w:rsidRPr="00594F3B">
        <w:rPr>
          <w:rStyle w:val="Emphasis"/>
          <w:i w:val="0"/>
          <w:iCs w:val="0"/>
          <w:color w:val="000000" w:themeColor="text1"/>
          <w:shd w:val="clear" w:color="auto" w:fill="FFFFFF"/>
        </w:rPr>
        <w:t xml:space="preserve">key determinants that is salary. </w:t>
      </w:r>
      <w:r w:rsidR="00594F3B">
        <w:rPr>
          <w:rStyle w:val="Emphasis"/>
          <w:i w:val="0"/>
          <w:iCs w:val="0"/>
          <w:color w:val="000000" w:themeColor="text1"/>
          <w:shd w:val="clear" w:color="auto" w:fill="FFFFFF"/>
        </w:rPr>
        <w:t xml:space="preserve">Over 2010 to 2016, average monthly salaries has sharply risen in Georgia. </w:t>
      </w:r>
      <w:r w:rsidR="007954C8">
        <w:rPr>
          <w:rStyle w:val="Emphasis"/>
          <w:i w:val="0"/>
          <w:iCs w:val="0"/>
          <w:color w:val="000000" w:themeColor="text1"/>
          <w:shd w:val="clear" w:color="auto" w:fill="FFFFFF"/>
        </w:rPr>
        <w:t>In the reference period</w:t>
      </w:r>
      <w:r w:rsidR="00846F2C">
        <w:rPr>
          <w:rStyle w:val="Emphasis"/>
          <w:i w:val="0"/>
          <w:iCs w:val="0"/>
          <w:color w:val="000000" w:themeColor="text1"/>
          <w:shd w:val="clear" w:color="auto" w:fill="FFFFFF"/>
        </w:rPr>
        <w:t xml:space="preserve">, real GDP grew by an average of 5%, while real salaries as part of GDP, surged by </w:t>
      </w:r>
      <w:r w:rsidR="00FA1E73">
        <w:rPr>
          <w:rStyle w:val="Emphasis"/>
          <w:i w:val="0"/>
          <w:iCs w:val="0"/>
          <w:color w:val="000000" w:themeColor="text1"/>
          <w:shd w:val="clear" w:color="auto" w:fill="FFFFFF"/>
        </w:rPr>
        <w:t>5.2</w:t>
      </w:r>
      <w:r w:rsidR="00183293">
        <w:rPr>
          <w:rStyle w:val="Emphasis"/>
          <w:i w:val="0"/>
          <w:iCs w:val="0"/>
          <w:color w:val="000000" w:themeColor="text1"/>
          <w:shd w:val="clear" w:color="auto" w:fill="FFFFFF"/>
        </w:rPr>
        <w:t xml:space="preserve">% year-on-year on average. Moreover, the average Georgian earned 940.0 GEL per month in 2016, up from 597.6 in 2010 (see Figure 10). </w:t>
      </w:r>
      <w:r w:rsidR="00FA1E73">
        <w:rPr>
          <w:rStyle w:val="Emphasis"/>
          <w:i w:val="0"/>
          <w:iCs w:val="0"/>
          <w:color w:val="000000" w:themeColor="text1"/>
          <w:shd w:val="clear" w:color="auto" w:fill="FFFFFF"/>
        </w:rPr>
        <w:t xml:space="preserve">The annual growth rate of </w:t>
      </w:r>
      <w:r w:rsidR="008C522C">
        <w:rPr>
          <w:rStyle w:val="Emphasis"/>
          <w:i w:val="0"/>
          <w:iCs w:val="0"/>
          <w:color w:val="000000" w:themeColor="text1"/>
          <w:shd w:val="clear" w:color="auto" w:fill="FFFFFF"/>
        </w:rPr>
        <w:t xml:space="preserve">the </w:t>
      </w:r>
      <w:r w:rsidR="009B3C7C">
        <w:rPr>
          <w:rStyle w:val="Emphasis"/>
          <w:i w:val="0"/>
          <w:iCs w:val="0"/>
          <w:color w:val="000000" w:themeColor="text1"/>
          <w:shd w:val="clear" w:color="auto" w:fill="FFFFFF"/>
        </w:rPr>
        <w:t>average monthly nominal salary stood at</w:t>
      </w:r>
      <w:r w:rsidR="00FA1E73">
        <w:rPr>
          <w:rStyle w:val="Emphasis"/>
          <w:i w:val="0"/>
          <w:iCs w:val="0"/>
          <w:color w:val="000000" w:themeColor="text1"/>
          <w:shd w:val="clear" w:color="auto" w:fill="FFFFFF"/>
        </w:rPr>
        <w:t xml:space="preserve"> 4.4%</w:t>
      </w:r>
      <w:r w:rsidR="009B3C7C">
        <w:rPr>
          <w:rStyle w:val="Emphasis"/>
          <w:i w:val="0"/>
          <w:iCs w:val="0"/>
          <w:color w:val="000000" w:themeColor="text1"/>
          <w:shd w:val="clear" w:color="auto" w:fill="FFFFFF"/>
        </w:rPr>
        <w:t xml:space="preserve"> in 2016 compared to the previous year. </w:t>
      </w:r>
      <w:r w:rsidR="00CA2D5A">
        <w:rPr>
          <w:rStyle w:val="Emphasis"/>
          <w:i w:val="0"/>
          <w:iCs w:val="0"/>
          <w:color w:val="000000" w:themeColor="text1"/>
          <w:shd w:val="clear" w:color="auto" w:fill="FFFFFF"/>
        </w:rPr>
        <w:t xml:space="preserve">In the same period, real salary adjusted for 2010 prices </w:t>
      </w:r>
      <w:r w:rsidR="00C24886">
        <w:rPr>
          <w:rStyle w:val="Emphasis"/>
          <w:i w:val="0"/>
          <w:iCs w:val="0"/>
          <w:color w:val="000000" w:themeColor="text1"/>
          <w:shd w:val="clear" w:color="auto" w:fill="FFFFFF"/>
        </w:rPr>
        <w:t xml:space="preserve">increased by 2.2%. </w:t>
      </w:r>
    </w:p>
    <w:p w14:paraId="3F309483" w14:textId="77777777" w:rsidR="00C45EA7" w:rsidRPr="00C45EA7" w:rsidRDefault="00C45EA7" w:rsidP="00C45EA7">
      <w:pPr>
        <w:pStyle w:val="Caption"/>
        <w:keepNext/>
        <w:jc w:val="both"/>
        <w:rPr>
          <w:i w:val="0"/>
          <w:color w:val="000000" w:themeColor="text1"/>
          <w:sz w:val="24"/>
          <w:szCs w:val="24"/>
        </w:rPr>
      </w:pPr>
      <w:bookmarkStart w:id="50" w:name="_Toc508716354"/>
      <w:r w:rsidRPr="00C45EA7">
        <w:rPr>
          <w:i w:val="0"/>
          <w:color w:val="000000" w:themeColor="text1"/>
          <w:sz w:val="24"/>
          <w:szCs w:val="24"/>
        </w:rPr>
        <w:lastRenderedPageBreak/>
        <w:t xml:space="preserve">Figure </w:t>
      </w:r>
      <w:r w:rsidRPr="00C45EA7">
        <w:rPr>
          <w:i w:val="0"/>
          <w:color w:val="000000" w:themeColor="text1"/>
          <w:sz w:val="24"/>
          <w:szCs w:val="24"/>
        </w:rPr>
        <w:fldChar w:fldCharType="begin"/>
      </w:r>
      <w:r w:rsidRPr="00C45EA7">
        <w:rPr>
          <w:i w:val="0"/>
          <w:color w:val="000000" w:themeColor="text1"/>
          <w:sz w:val="24"/>
          <w:szCs w:val="24"/>
        </w:rPr>
        <w:instrText xml:space="preserve"> SEQ Figure \* ARABIC </w:instrText>
      </w:r>
      <w:r w:rsidRPr="00C45EA7">
        <w:rPr>
          <w:i w:val="0"/>
          <w:color w:val="000000" w:themeColor="text1"/>
          <w:sz w:val="24"/>
          <w:szCs w:val="24"/>
        </w:rPr>
        <w:fldChar w:fldCharType="separate"/>
      </w:r>
      <w:r>
        <w:rPr>
          <w:i w:val="0"/>
          <w:noProof/>
          <w:color w:val="000000" w:themeColor="text1"/>
          <w:sz w:val="24"/>
          <w:szCs w:val="24"/>
        </w:rPr>
        <w:t>10</w:t>
      </w:r>
      <w:r w:rsidRPr="00C45EA7">
        <w:rPr>
          <w:i w:val="0"/>
          <w:color w:val="000000" w:themeColor="text1"/>
          <w:sz w:val="24"/>
          <w:szCs w:val="24"/>
        </w:rPr>
        <w:fldChar w:fldCharType="end"/>
      </w:r>
      <w:r w:rsidRPr="00C45EA7">
        <w:rPr>
          <w:i w:val="0"/>
          <w:color w:val="000000" w:themeColor="text1"/>
          <w:sz w:val="24"/>
          <w:szCs w:val="24"/>
        </w:rPr>
        <w:t>: Average monthly nominal and real earnings in Georgia (GEL)</w:t>
      </w:r>
      <w:bookmarkEnd w:id="50"/>
    </w:p>
    <w:p w14:paraId="45BE402E" w14:textId="77777777" w:rsidR="00C24886" w:rsidRDefault="00C24886" w:rsidP="00C24886">
      <w:pPr>
        <w:spacing w:after="0" w:line="360" w:lineRule="auto"/>
        <w:jc w:val="both"/>
        <w:rPr>
          <w:rStyle w:val="Emphasis"/>
          <w:i w:val="0"/>
          <w:iCs w:val="0"/>
          <w:color w:val="000000" w:themeColor="text1"/>
          <w:shd w:val="clear" w:color="auto" w:fill="FFFFFF"/>
        </w:rPr>
      </w:pPr>
      <w:r w:rsidRPr="00A74DB6">
        <w:rPr>
          <w:noProof/>
          <w:sz w:val="20"/>
          <w:szCs w:val="20"/>
        </w:rPr>
        <w:drawing>
          <wp:inline distT="0" distB="0" distL="0" distR="0" wp14:anchorId="59E72F21" wp14:editId="1507DE28">
            <wp:extent cx="5925787" cy="3228340"/>
            <wp:effectExtent l="0" t="0" r="18415"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B0EF57" w14:textId="77777777" w:rsidR="00C24886" w:rsidRDefault="00C24886" w:rsidP="00C24886">
      <w:pPr>
        <w:spacing w:after="0"/>
        <w:jc w:val="both"/>
      </w:pPr>
      <w:r>
        <w:t xml:space="preserve">Source: National Statistics Office of Georgia (Geostat), 2018. </w:t>
      </w:r>
    </w:p>
    <w:p w14:paraId="54DAB326" w14:textId="77777777" w:rsidR="00C24886" w:rsidRDefault="00C24886" w:rsidP="00C24886">
      <w:pPr>
        <w:jc w:val="both"/>
        <w:rPr>
          <w:rStyle w:val="Emphasis"/>
          <w:i w:val="0"/>
          <w:iCs w:val="0"/>
          <w:color w:val="000000" w:themeColor="text1"/>
          <w:shd w:val="clear" w:color="auto" w:fill="FFFFFF"/>
        </w:rPr>
      </w:pPr>
      <w:r w:rsidRPr="00954257">
        <w:rPr>
          <w:i/>
        </w:rPr>
        <w:t>Note: Real earnings are calculated using average Consumer Price Index (CPI); 20</w:t>
      </w:r>
      <w:r>
        <w:rPr>
          <w:i/>
        </w:rPr>
        <w:t>10 is taken as a reference year.</w:t>
      </w:r>
    </w:p>
    <w:p w14:paraId="65178AC6" w14:textId="77777777" w:rsidR="002D53F1" w:rsidRDefault="00312753" w:rsidP="00C24886">
      <w:pPr>
        <w:spacing w:line="360" w:lineRule="auto"/>
        <w:jc w:val="both"/>
        <w:rPr>
          <w:rStyle w:val="Emphasis"/>
          <w:i w:val="0"/>
          <w:iCs w:val="0"/>
          <w:color w:val="000000" w:themeColor="text1"/>
          <w:shd w:val="clear" w:color="auto" w:fill="FFFFFF"/>
        </w:rPr>
      </w:pPr>
      <w:r>
        <w:rPr>
          <w:rStyle w:val="Emphasis"/>
          <w:i w:val="0"/>
          <w:iCs w:val="0"/>
          <w:color w:val="000000" w:themeColor="text1"/>
          <w:shd w:val="clear" w:color="auto" w:fill="FFFFFF"/>
        </w:rPr>
        <w:t xml:space="preserve">In absolute terms, men benefited more than women due to increased salaries. Men’s average </w:t>
      </w:r>
      <w:r w:rsidR="00C24886">
        <w:rPr>
          <w:rStyle w:val="Emphasis"/>
          <w:i w:val="0"/>
          <w:iCs w:val="0"/>
          <w:color w:val="000000" w:themeColor="text1"/>
          <w:shd w:val="clear" w:color="auto" w:fill="FFFFFF"/>
        </w:rPr>
        <w:t xml:space="preserve">nominal </w:t>
      </w:r>
      <w:r>
        <w:rPr>
          <w:rStyle w:val="Emphasis"/>
          <w:i w:val="0"/>
          <w:iCs w:val="0"/>
          <w:color w:val="000000" w:themeColor="text1"/>
          <w:shd w:val="clear" w:color="auto" w:fill="FFFFFF"/>
        </w:rPr>
        <w:t xml:space="preserve">salary increased from </w:t>
      </w:r>
      <w:r w:rsidR="00C24886">
        <w:rPr>
          <w:rStyle w:val="Emphasis"/>
          <w:i w:val="0"/>
          <w:iCs w:val="0"/>
          <w:color w:val="000000" w:themeColor="text1"/>
          <w:shd w:val="clear" w:color="auto" w:fill="FFFFFF"/>
        </w:rPr>
        <w:t xml:space="preserve">1074.3 GEL in 2015 to </w:t>
      </w:r>
      <w:r w:rsidR="00A74DB6">
        <w:rPr>
          <w:rStyle w:val="Emphasis"/>
          <w:i w:val="0"/>
          <w:iCs w:val="0"/>
          <w:color w:val="000000" w:themeColor="text1"/>
          <w:shd w:val="clear" w:color="auto" w:fill="FFFFFF"/>
        </w:rPr>
        <w:t xml:space="preserve">1116.6 GEL in 2016. </w:t>
      </w:r>
      <w:r w:rsidR="005332C4">
        <w:rPr>
          <w:rStyle w:val="Emphasis"/>
          <w:i w:val="0"/>
          <w:iCs w:val="0"/>
          <w:color w:val="000000" w:themeColor="text1"/>
          <w:shd w:val="clear" w:color="auto" w:fill="FFFFFF"/>
        </w:rPr>
        <w:t xml:space="preserve">On the contrary, </w:t>
      </w:r>
      <w:r w:rsidR="00A74DB6">
        <w:rPr>
          <w:rStyle w:val="Emphasis"/>
          <w:i w:val="0"/>
          <w:iCs w:val="0"/>
          <w:color w:val="000000" w:themeColor="text1"/>
          <w:shd w:val="clear" w:color="auto" w:fill="FFFFFF"/>
        </w:rPr>
        <w:t>women’s</w:t>
      </w:r>
      <w:r w:rsidR="00C24886">
        <w:rPr>
          <w:rStyle w:val="Emphasis"/>
          <w:i w:val="0"/>
          <w:iCs w:val="0"/>
          <w:color w:val="000000" w:themeColor="text1"/>
          <w:shd w:val="clear" w:color="auto" w:fill="FFFFFF"/>
        </w:rPr>
        <w:t xml:space="preserve"> average nominal salary </w:t>
      </w:r>
      <w:r w:rsidR="00A74DB6">
        <w:rPr>
          <w:rStyle w:val="Emphasis"/>
          <w:i w:val="0"/>
          <w:iCs w:val="0"/>
          <w:color w:val="000000" w:themeColor="text1"/>
          <w:shd w:val="clear" w:color="auto" w:fill="FFFFFF"/>
        </w:rPr>
        <w:t xml:space="preserve">increased from 692.5 GEL in 2015 to 731.2 GEL in 2016. </w:t>
      </w:r>
      <w:r w:rsidR="00547679">
        <w:rPr>
          <w:rStyle w:val="Emphasis"/>
          <w:i w:val="0"/>
          <w:iCs w:val="0"/>
          <w:color w:val="000000" w:themeColor="text1"/>
          <w:shd w:val="clear" w:color="auto" w:fill="FFFFFF"/>
        </w:rPr>
        <w:t xml:space="preserve">Despite increase of salaries, </w:t>
      </w:r>
      <w:r w:rsidR="002D53F1">
        <w:rPr>
          <w:rStyle w:val="Emphasis"/>
          <w:i w:val="0"/>
          <w:iCs w:val="0"/>
          <w:color w:val="000000" w:themeColor="text1"/>
          <w:shd w:val="clear" w:color="auto" w:fill="FFFFFF"/>
        </w:rPr>
        <w:t>notable disparity does exist between salaries by type of economic activities, which shows low labo</w:t>
      </w:r>
      <w:r w:rsidR="0014799F">
        <w:rPr>
          <w:rStyle w:val="Emphasis"/>
          <w:i w:val="0"/>
          <w:iCs w:val="0"/>
          <w:color w:val="000000" w:themeColor="text1"/>
          <w:shd w:val="clear" w:color="auto" w:fill="FFFFFF"/>
        </w:rPr>
        <w:t>u</w:t>
      </w:r>
      <w:r w:rsidR="002D53F1">
        <w:rPr>
          <w:rStyle w:val="Emphasis"/>
          <w:i w:val="0"/>
          <w:iCs w:val="0"/>
          <w:color w:val="000000" w:themeColor="text1"/>
          <w:shd w:val="clear" w:color="auto" w:fill="FFFFFF"/>
        </w:rPr>
        <w:t xml:space="preserve">r productivity in some sectors. Salary is high in sectors like financial activities, transport and communication, construction, electricity, gas and water supply, while it is low in education, hotels and restaurants, agriculture, etc. </w:t>
      </w:r>
    </w:p>
    <w:p w14:paraId="5333C331" w14:textId="77777777" w:rsidR="00D63DC4" w:rsidRPr="005928DC" w:rsidRDefault="00D63DC4" w:rsidP="005928DC">
      <w:pPr>
        <w:pStyle w:val="Heading1"/>
        <w:spacing w:before="0" w:after="240"/>
        <w:rPr>
          <w:rStyle w:val="Emphasis"/>
          <w:i w:val="0"/>
          <w:iCs w:val="0"/>
          <w:szCs w:val="28"/>
        </w:rPr>
      </w:pPr>
      <w:bookmarkStart w:id="51" w:name="_Toc508719874"/>
      <w:bookmarkStart w:id="52" w:name="_Toc508721118"/>
      <w:bookmarkStart w:id="53" w:name="_Toc508721261"/>
      <w:bookmarkStart w:id="54" w:name="_Toc508722267"/>
      <w:r w:rsidRPr="005928DC">
        <w:rPr>
          <w:rStyle w:val="Emphasis"/>
          <w:i w:val="0"/>
          <w:iCs w:val="0"/>
          <w:szCs w:val="28"/>
        </w:rPr>
        <w:t xml:space="preserve">Highlights of </w:t>
      </w:r>
      <w:r w:rsidR="007140D0" w:rsidRPr="005928DC">
        <w:rPr>
          <w:rStyle w:val="Emphasis"/>
          <w:i w:val="0"/>
          <w:iCs w:val="0"/>
          <w:szCs w:val="28"/>
        </w:rPr>
        <w:t>h</w:t>
      </w:r>
      <w:r w:rsidR="00E34E29" w:rsidRPr="005928DC">
        <w:rPr>
          <w:rStyle w:val="Emphasis"/>
          <w:i w:val="0"/>
          <w:iCs w:val="0"/>
          <w:szCs w:val="28"/>
        </w:rPr>
        <w:t xml:space="preserve">ousehold </w:t>
      </w:r>
      <w:r w:rsidR="007140D0" w:rsidRPr="005928DC">
        <w:rPr>
          <w:rStyle w:val="Emphasis"/>
          <w:i w:val="0"/>
          <w:iCs w:val="0"/>
          <w:szCs w:val="28"/>
        </w:rPr>
        <w:t>income and e</w:t>
      </w:r>
      <w:r w:rsidRPr="005928DC">
        <w:rPr>
          <w:rStyle w:val="Emphasis"/>
          <w:i w:val="0"/>
          <w:iCs w:val="0"/>
          <w:szCs w:val="28"/>
        </w:rPr>
        <w:t>xpenditure</w:t>
      </w:r>
      <w:bookmarkEnd w:id="51"/>
      <w:bookmarkEnd w:id="52"/>
      <w:bookmarkEnd w:id="53"/>
      <w:bookmarkEnd w:id="54"/>
      <w:r w:rsidRPr="005928DC">
        <w:rPr>
          <w:rStyle w:val="Emphasis"/>
          <w:i w:val="0"/>
          <w:iCs w:val="0"/>
          <w:szCs w:val="28"/>
        </w:rPr>
        <w:t xml:space="preserve"> </w:t>
      </w:r>
    </w:p>
    <w:p w14:paraId="03D412E9" w14:textId="77777777" w:rsidR="00A02CAA" w:rsidRPr="00670961" w:rsidRDefault="00A02CAA" w:rsidP="005928DC">
      <w:pPr>
        <w:spacing w:after="240" w:line="360" w:lineRule="auto"/>
        <w:jc w:val="both"/>
        <w:rPr>
          <w:color w:val="000000"/>
        </w:rPr>
      </w:pPr>
      <w:r w:rsidRPr="00670961">
        <w:rPr>
          <w:color w:val="000000"/>
        </w:rPr>
        <w:t>As a con</w:t>
      </w:r>
      <w:r w:rsidR="002B4AB7">
        <w:rPr>
          <w:color w:val="000000"/>
        </w:rPr>
        <w:t>sequence of economic growth</w:t>
      </w:r>
      <w:r w:rsidRPr="00670961">
        <w:rPr>
          <w:color w:val="000000"/>
        </w:rPr>
        <w:t xml:space="preserve">, household </w:t>
      </w:r>
      <w:r w:rsidR="002B4AB7">
        <w:rPr>
          <w:color w:val="000000"/>
        </w:rPr>
        <w:t>income</w:t>
      </w:r>
      <w:r w:rsidRPr="00670961">
        <w:rPr>
          <w:color w:val="000000"/>
        </w:rPr>
        <w:t xml:space="preserve"> has been increasing in Georgia. In accordance with official statistics, the average </w:t>
      </w:r>
      <w:r w:rsidR="00670961">
        <w:rPr>
          <w:color w:val="000000"/>
        </w:rPr>
        <w:t>monthly</w:t>
      </w:r>
      <w:r w:rsidR="002B4AB7">
        <w:rPr>
          <w:color w:val="000000"/>
        </w:rPr>
        <w:t xml:space="preserve"> income</w:t>
      </w:r>
      <w:r w:rsidR="00670961">
        <w:rPr>
          <w:rStyle w:val="FootnoteReference"/>
          <w:color w:val="000000"/>
        </w:rPr>
        <w:footnoteReference w:id="4"/>
      </w:r>
      <w:r w:rsidRPr="00670961">
        <w:rPr>
          <w:color w:val="000000"/>
        </w:rPr>
        <w:t xml:space="preserve"> per household increased by 1.</w:t>
      </w:r>
      <w:r w:rsidR="002B4AB7">
        <w:rPr>
          <w:color w:val="000000"/>
        </w:rPr>
        <w:t>6</w:t>
      </w:r>
      <w:r w:rsidRPr="00670961">
        <w:rPr>
          <w:color w:val="000000"/>
        </w:rPr>
        <w:t xml:space="preserve"> </w:t>
      </w:r>
      <w:r w:rsidRPr="00670961">
        <w:rPr>
          <w:color w:val="000000"/>
        </w:rPr>
        <w:lastRenderedPageBreak/>
        <w:t xml:space="preserve">times from 2010 to 2016. This translates to almost </w:t>
      </w:r>
      <w:r w:rsidR="002B4AB7">
        <w:rPr>
          <w:color w:val="000000"/>
        </w:rPr>
        <w:t>9.1</w:t>
      </w:r>
      <w:r w:rsidRPr="00670961">
        <w:rPr>
          <w:color w:val="000000"/>
        </w:rPr>
        <w:t xml:space="preserve">% of year-to-year growth. In the same time interval, average </w:t>
      </w:r>
      <w:r w:rsidR="00670961">
        <w:rPr>
          <w:color w:val="000000"/>
        </w:rPr>
        <w:t xml:space="preserve">monthly </w:t>
      </w:r>
      <w:r w:rsidR="00D520B0">
        <w:rPr>
          <w:color w:val="000000"/>
        </w:rPr>
        <w:t>expenditure</w:t>
      </w:r>
      <w:r w:rsidR="00635605">
        <w:rPr>
          <w:rStyle w:val="FootnoteReference"/>
          <w:color w:val="000000"/>
        </w:rPr>
        <w:footnoteReference w:id="5"/>
      </w:r>
      <w:r w:rsidR="00D520B0">
        <w:rPr>
          <w:color w:val="000000"/>
        </w:rPr>
        <w:t xml:space="preserve"> </w:t>
      </w:r>
      <w:r w:rsidR="00E80DD7">
        <w:rPr>
          <w:color w:val="000000"/>
        </w:rPr>
        <w:t>surged by 1.7 times (9.2</w:t>
      </w:r>
      <w:r w:rsidRPr="00670961">
        <w:rPr>
          <w:color w:val="000000"/>
        </w:rPr>
        <w:t>% of ye</w:t>
      </w:r>
      <w:r w:rsidR="00E80DD7">
        <w:rPr>
          <w:color w:val="000000"/>
        </w:rPr>
        <w:t>ar-to-year growth) (see Figure 11</w:t>
      </w:r>
      <w:r w:rsidRPr="00670961">
        <w:rPr>
          <w:color w:val="000000"/>
        </w:rPr>
        <w:t>).</w:t>
      </w:r>
      <w:r w:rsidR="002B4AB7">
        <w:rPr>
          <w:color w:val="000000"/>
        </w:rPr>
        <w:t xml:space="preserve"> </w:t>
      </w:r>
    </w:p>
    <w:p w14:paraId="79E61B87" w14:textId="77777777" w:rsidR="00C45EA7" w:rsidRPr="00C45EA7" w:rsidRDefault="00C45EA7" w:rsidP="00C45EA7">
      <w:pPr>
        <w:pStyle w:val="Caption"/>
        <w:keepNext/>
        <w:jc w:val="both"/>
        <w:rPr>
          <w:i w:val="0"/>
          <w:color w:val="auto"/>
          <w:sz w:val="24"/>
          <w:szCs w:val="24"/>
        </w:rPr>
      </w:pPr>
      <w:bookmarkStart w:id="55" w:name="_Toc508716355"/>
      <w:r w:rsidRPr="00C45EA7">
        <w:rPr>
          <w:i w:val="0"/>
          <w:color w:val="auto"/>
          <w:sz w:val="24"/>
          <w:szCs w:val="24"/>
        </w:rPr>
        <w:t xml:space="preserve">Figure </w:t>
      </w:r>
      <w:r w:rsidRPr="00C45EA7">
        <w:rPr>
          <w:i w:val="0"/>
          <w:color w:val="auto"/>
          <w:sz w:val="24"/>
          <w:szCs w:val="24"/>
        </w:rPr>
        <w:fldChar w:fldCharType="begin"/>
      </w:r>
      <w:r w:rsidRPr="00C45EA7">
        <w:rPr>
          <w:i w:val="0"/>
          <w:color w:val="auto"/>
          <w:sz w:val="24"/>
          <w:szCs w:val="24"/>
        </w:rPr>
        <w:instrText xml:space="preserve"> SEQ Figure \* ARABIC </w:instrText>
      </w:r>
      <w:r w:rsidRPr="00C45EA7">
        <w:rPr>
          <w:i w:val="0"/>
          <w:color w:val="auto"/>
          <w:sz w:val="24"/>
          <w:szCs w:val="24"/>
        </w:rPr>
        <w:fldChar w:fldCharType="separate"/>
      </w:r>
      <w:r>
        <w:rPr>
          <w:i w:val="0"/>
          <w:noProof/>
          <w:color w:val="auto"/>
          <w:sz w:val="24"/>
          <w:szCs w:val="24"/>
        </w:rPr>
        <w:t>11</w:t>
      </w:r>
      <w:r w:rsidRPr="00C45EA7">
        <w:rPr>
          <w:i w:val="0"/>
          <w:color w:val="auto"/>
          <w:sz w:val="24"/>
          <w:szCs w:val="24"/>
        </w:rPr>
        <w:fldChar w:fldCharType="end"/>
      </w:r>
      <w:r w:rsidRPr="00C45EA7">
        <w:rPr>
          <w:i w:val="0"/>
          <w:color w:val="auto"/>
          <w:sz w:val="24"/>
          <w:szCs w:val="24"/>
        </w:rPr>
        <w:t>: Average monthly income and expenditure per household in Georgia (GEL)</w:t>
      </w:r>
      <w:bookmarkEnd w:id="55"/>
    </w:p>
    <w:p w14:paraId="0BBB14AA" w14:textId="77777777" w:rsidR="008F6A4A" w:rsidRDefault="008F6A4A" w:rsidP="00A02CAA">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69E25DD9" wp14:editId="2C374C50">
            <wp:extent cx="5943600" cy="3177540"/>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1472BC" w14:textId="77777777" w:rsidR="0065488F" w:rsidRDefault="00A02CAA" w:rsidP="00670961">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628259E1" w14:textId="77777777" w:rsidR="009F5614" w:rsidRDefault="00D01C4B" w:rsidP="004E4336">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The a</w:t>
      </w:r>
      <w:r w:rsidR="006967DF">
        <w:rPr>
          <w:rFonts w:asciiTheme="minorHAnsi" w:hAnsiTheme="minorHAnsi" w:cstheme="minorHAnsi"/>
          <w:color w:val="000000"/>
        </w:rPr>
        <w:t>verage monthly income per capita rose from 284.5 GEL in 2015 to 294.2 GEL in 2016, a 3.4% increase.</w:t>
      </w:r>
      <w:r w:rsidR="00DA6FD7">
        <w:rPr>
          <w:rFonts w:asciiTheme="minorHAnsi" w:hAnsiTheme="minorHAnsi" w:cstheme="minorHAnsi"/>
          <w:color w:val="000000"/>
        </w:rPr>
        <w:t xml:space="preserve"> </w:t>
      </w:r>
      <w:r w:rsidR="000B219C">
        <w:rPr>
          <w:rFonts w:asciiTheme="minorHAnsi" w:hAnsiTheme="minorHAnsi" w:cstheme="minorHAnsi"/>
          <w:color w:val="000000"/>
        </w:rPr>
        <w:t>In 2016, the average monthly per capita income of urban residents stood at 336.3 GEL</w:t>
      </w:r>
      <w:r w:rsidR="0094369E">
        <w:rPr>
          <w:rFonts w:asciiTheme="minorHAnsi" w:hAnsiTheme="minorHAnsi" w:cstheme="minorHAnsi"/>
          <w:color w:val="000000"/>
        </w:rPr>
        <w:t>,</w:t>
      </w:r>
      <w:r w:rsidR="00537F63">
        <w:rPr>
          <w:rFonts w:asciiTheme="minorHAnsi" w:hAnsiTheme="minorHAnsi" w:cstheme="minorHAnsi"/>
          <w:color w:val="000000"/>
        </w:rPr>
        <w:t xml:space="preserve"> and it grew by 3.7% </w:t>
      </w:r>
      <w:r w:rsidR="0094369E">
        <w:rPr>
          <w:rFonts w:asciiTheme="minorHAnsi" w:hAnsiTheme="minorHAnsi" w:cstheme="minorHAnsi"/>
          <w:color w:val="000000"/>
        </w:rPr>
        <w:t xml:space="preserve">in nominal terms </w:t>
      </w:r>
      <w:r w:rsidR="00537F63">
        <w:rPr>
          <w:rFonts w:asciiTheme="minorHAnsi" w:hAnsiTheme="minorHAnsi" w:cstheme="minorHAnsi"/>
          <w:color w:val="000000"/>
        </w:rPr>
        <w:t xml:space="preserve">compared to the previous year. </w:t>
      </w:r>
      <w:r w:rsidR="00C671F3">
        <w:rPr>
          <w:rFonts w:asciiTheme="minorHAnsi" w:hAnsiTheme="minorHAnsi" w:cstheme="minorHAnsi"/>
          <w:color w:val="000000"/>
        </w:rPr>
        <w:t xml:space="preserve">In rural areas, it reached 254.4 GEL, </w:t>
      </w:r>
      <w:r w:rsidR="0094369E">
        <w:rPr>
          <w:rFonts w:asciiTheme="minorHAnsi" w:hAnsiTheme="minorHAnsi" w:cstheme="minorHAnsi"/>
          <w:color w:val="000000"/>
        </w:rPr>
        <w:t xml:space="preserve">up 3.4% </w:t>
      </w:r>
      <w:r w:rsidR="003B5B8E">
        <w:rPr>
          <w:rFonts w:asciiTheme="minorHAnsi" w:hAnsiTheme="minorHAnsi" w:cstheme="minorHAnsi"/>
          <w:color w:val="000000"/>
        </w:rPr>
        <w:t xml:space="preserve">from </w:t>
      </w:r>
      <w:r w:rsidR="007A2B86">
        <w:rPr>
          <w:rFonts w:asciiTheme="minorHAnsi" w:hAnsiTheme="minorHAnsi" w:cstheme="minorHAnsi"/>
          <w:color w:val="000000"/>
        </w:rPr>
        <w:t>2015.</w:t>
      </w:r>
      <w:r w:rsidR="008B6A19">
        <w:rPr>
          <w:rFonts w:asciiTheme="minorHAnsi" w:hAnsiTheme="minorHAnsi" w:cstheme="minorHAnsi"/>
          <w:color w:val="000000"/>
        </w:rPr>
        <w:t xml:space="preserve"> </w:t>
      </w:r>
    </w:p>
    <w:p w14:paraId="3DBF06CC" w14:textId="77777777" w:rsidR="004E4336" w:rsidRDefault="008B6A19" w:rsidP="004E4336">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As depicted in Figure </w:t>
      </w:r>
      <w:r w:rsidR="000C3F1A">
        <w:rPr>
          <w:rFonts w:asciiTheme="minorHAnsi" w:hAnsiTheme="minorHAnsi" w:cstheme="minorHAnsi"/>
          <w:color w:val="000000"/>
        </w:rPr>
        <w:t xml:space="preserve">12, the main source of income was </w:t>
      </w:r>
      <w:r w:rsidR="0055202A">
        <w:rPr>
          <w:rFonts w:asciiTheme="minorHAnsi" w:hAnsiTheme="minorHAnsi" w:cstheme="minorHAnsi"/>
          <w:color w:val="000000"/>
        </w:rPr>
        <w:t xml:space="preserve">wages, contributing 37.5% of total average monthly income per capita in 2016. Other major sources of income were </w:t>
      </w:r>
      <w:r w:rsidR="00A4767F">
        <w:rPr>
          <w:rFonts w:asciiTheme="minorHAnsi" w:hAnsiTheme="minorHAnsi" w:cstheme="minorHAnsi"/>
          <w:color w:val="000000"/>
        </w:rPr>
        <w:t xml:space="preserve">social </w:t>
      </w:r>
      <w:r w:rsidR="00C9121E">
        <w:rPr>
          <w:rFonts w:asciiTheme="minorHAnsi" w:hAnsiTheme="minorHAnsi" w:cstheme="minorHAnsi"/>
          <w:color w:val="000000"/>
        </w:rPr>
        <w:t xml:space="preserve">benefits </w:t>
      </w:r>
      <w:r w:rsidR="00A4767F">
        <w:rPr>
          <w:rFonts w:asciiTheme="minorHAnsi" w:hAnsiTheme="minorHAnsi" w:cstheme="minorHAnsi"/>
          <w:color w:val="000000"/>
        </w:rPr>
        <w:t xml:space="preserve">(contribution about 15.2%), </w:t>
      </w:r>
      <w:r w:rsidR="00001122">
        <w:rPr>
          <w:rFonts w:asciiTheme="minorHAnsi" w:hAnsiTheme="minorHAnsi" w:cstheme="minorHAnsi"/>
          <w:color w:val="000000"/>
        </w:rPr>
        <w:t xml:space="preserve">self-employment (7.7%), </w:t>
      </w:r>
      <w:r w:rsidR="00772BEE">
        <w:rPr>
          <w:rFonts w:asciiTheme="minorHAnsi" w:hAnsiTheme="minorHAnsi" w:cstheme="minorHAnsi"/>
          <w:color w:val="000000"/>
        </w:rPr>
        <w:t xml:space="preserve">selling agricultural production </w:t>
      </w:r>
      <w:r w:rsidR="00001122">
        <w:rPr>
          <w:rFonts w:asciiTheme="minorHAnsi" w:hAnsiTheme="minorHAnsi" w:cstheme="minorHAnsi"/>
          <w:color w:val="000000"/>
        </w:rPr>
        <w:t>(7.2%) and other cash inflows (</w:t>
      </w:r>
      <w:r w:rsidR="00977665">
        <w:rPr>
          <w:rFonts w:asciiTheme="minorHAnsi" w:hAnsiTheme="minorHAnsi" w:cstheme="minorHAnsi"/>
          <w:color w:val="000000"/>
        </w:rPr>
        <w:t xml:space="preserve">11.3%). </w:t>
      </w:r>
    </w:p>
    <w:p w14:paraId="647495D3" w14:textId="77777777" w:rsidR="004E4336" w:rsidRDefault="009F5614" w:rsidP="009F5614">
      <w:pPr>
        <w:pStyle w:val="NormalWeb"/>
        <w:spacing w:before="0" w:beforeAutospacing="0" w:after="240" w:afterAutospacing="0" w:line="360" w:lineRule="auto"/>
        <w:jc w:val="both"/>
        <w:rPr>
          <w:rFonts w:asciiTheme="minorHAnsi" w:hAnsiTheme="minorHAnsi" w:cstheme="minorHAnsi"/>
          <w:color w:val="000000"/>
        </w:rPr>
      </w:pPr>
      <w:r w:rsidRPr="00AC0ABC">
        <w:rPr>
          <w:rFonts w:asciiTheme="minorHAnsi" w:eastAsia="Calibri" w:hAnsiTheme="minorHAnsi" w:cstheme="minorHAnsi"/>
        </w:rPr>
        <w:lastRenderedPageBreak/>
        <w:t>Accordi</w:t>
      </w:r>
      <w:r w:rsidRPr="00B06803">
        <w:rPr>
          <w:rFonts w:asciiTheme="minorHAnsi" w:eastAsia="Calibri" w:hAnsiTheme="minorHAnsi" w:cstheme="minorHAnsi"/>
        </w:rPr>
        <w:t>ng to Geostat, in 2016, average monthly</w:t>
      </w:r>
      <w:r w:rsidRPr="00AC0ABC">
        <w:rPr>
          <w:rFonts w:asciiTheme="minorHAnsi" w:eastAsia="Calibri" w:hAnsiTheme="minorHAnsi" w:cstheme="minorHAnsi"/>
        </w:rPr>
        <w:t xml:space="preserve"> expenditure </w:t>
      </w:r>
      <w:r w:rsidRPr="00B06803">
        <w:rPr>
          <w:rFonts w:asciiTheme="minorHAnsi" w:eastAsia="Calibri" w:hAnsiTheme="minorHAnsi" w:cstheme="minorHAnsi"/>
        </w:rPr>
        <w:t xml:space="preserve">(289.7 GEL) </w:t>
      </w:r>
      <w:r w:rsidRPr="00AC0ABC">
        <w:rPr>
          <w:rFonts w:asciiTheme="minorHAnsi" w:eastAsia="Calibri" w:hAnsiTheme="minorHAnsi" w:cstheme="minorHAnsi"/>
        </w:rPr>
        <w:t xml:space="preserve">per capita in </w:t>
      </w:r>
      <w:r w:rsidRPr="00B06803">
        <w:rPr>
          <w:rFonts w:asciiTheme="minorHAnsi" w:eastAsia="Calibri" w:hAnsiTheme="minorHAnsi" w:cstheme="minorHAnsi"/>
        </w:rPr>
        <w:t xml:space="preserve">Georgia </w:t>
      </w:r>
      <w:r w:rsidRPr="00AC0ABC">
        <w:rPr>
          <w:rFonts w:asciiTheme="minorHAnsi" w:eastAsia="Calibri" w:hAnsiTheme="minorHAnsi" w:cstheme="minorHAnsi"/>
        </w:rPr>
        <w:t xml:space="preserve">increased by </w:t>
      </w:r>
      <w:r w:rsidRPr="00B06803">
        <w:rPr>
          <w:rFonts w:asciiTheme="minorHAnsi" w:eastAsia="Calibri" w:hAnsiTheme="minorHAnsi" w:cstheme="minorHAnsi"/>
        </w:rPr>
        <w:t xml:space="preserve">3.6% </w:t>
      </w:r>
      <w:r w:rsidRPr="00AC0ABC">
        <w:rPr>
          <w:rFonts w:asciiTheme="minorHAnsi" w:eastAsia="Calibri" w:hAnsiTheme="minorHAnsi" w:cstheme="minorHAnsi"/>
        </w:rPr>
        <w:t>in contrast to the previous year.</w:t>
      </w:r>
      <w:r>
        <w:rPr>
          <w:rFonts w:asciiTheme="minorHAnsi" w:eastAsia="Calibri" w:hAnsiTheme="minorHAnsi" w:cstheme="minorHAnsi"/>
        </w:rPr>
        <w:t xml:space="preserve"> U</w:t>
      </w:r>
      <w:r w:rsidRPr="00B06803">
        <w:rPr>
          <w:rFonts w:asciiTheme="minorHAnsi" w:eastAsia="Calibri" w:hAnsiTheme="minorHAnsi" w:cstheme="minorHAnsi"/>
        </w:rPr>
        <w:t>rban residents spent 334.4 GEL</w:t>
      </w:r>
      <w:r>
        <w:rPr>
          <w:rFonts w:asciiTheme="minorHAnsi" w:eastAsia="Calibri" w:hAnsiTheme="minorHAnsi" w:cstheme="minorHAnsi"/>
        </w:rPr>
        <w:t xml:space="preserve"> on average in 2016</w:t>
      </w:r>
      <w:r w:rsidRPr="00B06803">
        <w:rPr>
          <w:rFonts w:asciiTheme="minorHAnsi" w:eastAsia="Calibri" w:hAnsiTheme="minorHAnsi" w:cstheme="minorHAnsi"/>
        </w:rPr>
        <w:t>, which was 35% more than the 247.4 GEL</w:t>
      </w:r>
      <w:r>
        <w:rPr>
          <w:rFonts w:asciiTheme="minorHAnsi" w:eastAsia="Calibri" w:hAnsiTheme="minorHAnsi" w:cstheme="minorHAnsi"/>
        </w:rPr>
        <w:t xml:space="preserve"> spent by rural residents in the same period.</w:t>
      </w:r>
    </w:p>
    <w:p w14:paraId="67A4B80F" w14:textId="77777777" w:rsidR="00C45EA7" w:rsidRPr="00C45EA7" w:rsidRDefault="00C45EA7" w:rsidP="00C45EA7">
      <w:pPr>
        <w:pStyle w:val="Caption"/>
        <w:keepNext/>
        <w:rPr>
          <w:rFonts w:asciiTheme="majorHAnsi" w:hAnsiTheme="majorHAnsi" w:cstheme="majorHAnsi"/>
          <w:i w:val="0"/>
          <w:color w:val="auto"/>
          <w:sz w:val="24"/>
          <w:szCs w:val="24"/>
        </w:rPr>
      </w:pPr>
      <w:bookmarkStart w:id="56" w:name="_Toc508716356"/>
      <w:r w:rsidRPr="00C45EA7">
        <w:rPr>
          <w:rFonts w:asciiTheme="majorHAnsi" w:hAnsiTheme="majorHAnsi" w:cstheme="majorHAnsi"/>
          <w:i w:val="0"/>
          <w:color w:val="auto"/>
          <w:sz w:val="24"/>
          <w:szCs w:val="24"/>
        </w:rPr>
        <w:t xml:space="preserve">Figure </w:t>
      </w:r>
      <w:r w:rsidRPr="00C45EA7">
        <w:rPr>
          <w:rFonts w:asciiTheme="majorHAnsi" w:hAnsiTheme="majorHAnsi" w:cstheme="majorHAnsi"/>
          <w:i w:val="0"/>
          <w:color w:val="auto"/>
          <w:sz w:val="24"/>
          <w:szCs w:val="24"/>
        </w:rPr>
        <w:fldChar w:fldCharType="begin"/>
      </w:r>
      <w:r w:rsidRPr="00C45EA7">
        <w:rPr>
          <w:rFonts w:asciiTheme="majorHAnsi" w:hAnsiTheme="majorHAnsi" w:cstheme="majorHAnsi"/>
          <w:i w:val="0"/>
          <w:color w:val="auto"/>
          <w:sz w:val="24"/>
          <w:szCs w:val="24"/>
        </w:rPr>
        <w:instrText xml:space="preserve"> SEQ Figure \* ARABIC </w:instrText>
      </w:r>
      <w:r w:rsidRPr="00C45EA7">
        <w:rPr>
          <w:rFonts w:asciiTheme="majorHAnsi" w:hAnsiTheme="majorHAnsi" w:cstheme="majorHAnsi"/>
          <w:i w:val="0"/>
          <w:color w:val="auto"/>
          <w:sz w:val="24"/>
          <w:szCs w:val="24"/>
        </w:rPr>
        <w:fldChar w:fldCharType="separate"/>
      </w:r>
      <w:r>
        <w:rPr>
          <w:rFonts w:asciiTheme="majorHAnsi" w:hAnsiTheme="majorHAnsi" w:cstheme="majorHAnsi"/>
          <w:i w:val="0"/>
          <w:noProof/>
          <w:color w:val="auto"/>
          <w:sz w:val="24"/>
          <w:szCs w:val="24"/>
        </w:rPr>
        <w:t>12</w:t>
      </w:r>
      <w:r w:rsidRPr="00C45EA7">
        <w:rPr>
          <w:rFonts w:asciiTheme="majorHAnsi" w:hAnsiTheme="majorHAnsi" w:cstheme="majorHAnsi"/>
          <w:i w:val="0"/>
          <w:color w:val="auto"/>
          <w:sz w:val="24"/>
          <w:szCs w:val="24"/>
        </w:rPr>
        <w:fldChar w:fldCharType="end"/>
      </w:r>
      <w:r w:rsidRPr="00C45EA7">
        <w:rPr>
          <w:rFonts w:asciiTheme="majorHAnsi" w:hAnsiTheme="majorHAnsi" w:cstheme="majorHAnsi"/>
          <w:i w:val="0"/>
          <w:color w:val="auto"/>
          <w:sz w:val="24"/>
          <w:szCs w:val="24"/>
        </w:rPr>
        <w:t>: Structure of total average income per capita in Georgia</w:t>
      </w:r>
      <w:bookmarkEnd w:id="56"/>
    </w:p>
    <w:p w14:paraId="353613AE" w14:textId="77777777" w:rsidR="008B6A19" w:rsidRDefault="001F5EAA" w:rsidP="00537F63">
      <w:pPr>
        <w:pStyle w:val="NormalWeb"/>
        <w:shd w:val="clear" w:color="auto" w:fill="FFFFFF"/>
        <w:spacing w:before="0" w:beforeAutospacing="0" w:after="225" w:afterAutospacing="0"/>
        <w:rPr>
          <w:rFonts w:ascii="Arial" w:hAnsi="Arial" w:cs="Arial"/>
          <w:color w:val="545454"/>
          <w:shd w:val="clear" w:color="auto" w:fill="FFFFFF"/>
        </w:rPr>
      </w:pPr>
      <w:r>
        <w:rPr>
          <w:noProof/>
        </w:rPr>
        <w:drawing>
          <wp:inline distT="0" distB="0" distL="0" distR="0" wp14:anchorId="607763EA" wp14:editId="5F40F374">
            <wp:extent cx="5876925" cy="3388360"/>
            <wp:effectExtent l="0" t="0" r="9525"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9DDA31" w14:textId="77777777" w:rsidR="00862707" w:rsidRDefault="001F5EAA" w:rsidP="004E4336">
      <w:pPr>
        <w:pStyle w:val="NormalWeb"/>
        <w:spacing w:before="0" w:beforeAutospacing="0" w:after="24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20C87DCB" w14:textId="77777777" w:rsidR="004E4336" w:rsidRPr="004E4336" w:rsidRDefault="004E4336" w:rsidP="004E4336">
      <w:pPr>
        <w:pStyle w:val="NormalWeb"/>
        <w:spacing w:before="0" w:beforeAutospacing="0" w:after="240" w:afterAutospacing="0" w:line="360" w:lineRule="auto"/>
        <w:jc w:val="both"/>
        <w:rPr>
          <w:rFonts w:asciiTheme="minorHAnsi" w:hAnsiTheme="minorHAnsi" w:cstheme="minorHAnsi"/>
          <w:color w:val="000000"/>
        </w:rPr>
      </w:pPr>
      <w:r w:rsidRPr="00AC0ABC">
        <w:rPr>
          <w:rFonts w:asciiTheme="minorHAnsi" w:eastAsia="Calibri" w:hAnsiTheme="minorHAnsi" w:cstheme="minorHAnsi"/>
        </w:rPr>
        <w:t>Accordi</w:t>
      </w:r>
      <w:r w:rsidRPr="00B06803">
        <w:rPr>
          <w:rFonts w:asciiTheme="minorHAnsi" w:eastAsia="Calibri" w:hAnsiTheme="minorHAnsi" w:cstheme="minorHAnsi"/>
        </w:rPr>
        <w:t>ng to Geostat, in 2016, average monthly</w:t>
      </w:r>
      <w:r w:rsidRPr="00AC0ABC">
        <w:rPr>
          <w:rFonts w:asciiTheme="minorHAnsi" w:eastAsia="Calibri" w:hAnsiTheme="minorHAnsi" w:cstheme="minorHAnsi"/>
        </w:rPr>
        <w:t xml:space="preserve"> expenditure </w:t>
      </w:r>
      <w:r w:rsidRPr="00B06803">
        <w:rPr>
          <w:rFonts w:asciiTheme="minorHAnsi" w:eastAsia="Calibri" w:hAnsiTheme="minorHAnsi" w:cstheme="minorHAnsi"/>
        </w:rPr>
        <w:t xml:space="preserve">(289.7 GEL) </w:t>
      </w:r>
      <w:r w:rsidRPr="00AC0ABC">
        <w:rPr>
          <w:rFonts w:asciiTheme="minorHAnsi" w:eastAsia="Calibri" w:hAnsiTheme="minorHAnsi" w:cstheme="minorHAnsi"/>
        </w:rPr>
        <w:t xml:space="preserve">per capita in </w:t>
      </w:r>
      <w:r w:rsidRPr="00B06803">
        <w:rPr>
          <w:rFonts w:asciiTheme="minorHAnsi" w:eastAsia="Calibri" w:hAnsiTheme="minorHAnsi" w:cstheme="minorHAnsi"/>
        </w:rPr>
        <w:t xml:space="preserve">Georgia </w:t>
      </w:r>
      <w:r w:rsidRPr="00AC0ABC">
        <w:rPr>
          <w:rFonts w:asciiTheme="minorHAnsi" w:eastAsia="Calibri" w:hAnsiTheme="minorHAnsi" w:cstheme="minorHAnsi"/>
        </w:rPr>
        <w:t xml:space="preserve">increased by </w:t>
      </w:r>
      <w:r w:rsidRPr="00B06803">
        <w:rPr>
          <w:rFonts w:asciiTheme="minorHAnsi" w:eastAsia="Calibri" w:hAnsiTheme="minorHAnsi" w:cstheme="minorHAnsi"/>
        </w:rPr>
        <w:t xml:space="preserve">3.6% </w:t>
      </w:r>
      <w:r w:rsidRPr="00AC0ABC">
        <w:rPr>
          <w:rFonts w:asciiTheme="minorHAnsi" w:eastAsia="Calibri" w:hAnsiTheme="minorHAnsi" w:cstheme="minorHAnsi"/>
        </w:rPr>
        <w:t>in contrast to the previous year.</w:t>
      </w:r>
      <w:r>
        <w:rPr>
          <w:rFonts w:asciiTheme="minorHAnsi" w:eastAsia="Calibri" w:hAnsiTheme="minorHAnsi" w:cstheme="minorHAnsi"/>
        </w:rPr>
        <w:t xml:space="preserve"> U</w:t>
      </w:r>
      <w:r w:rsidRPr="00B06803">
        <w:rPr>
          <w:rFonts w:asciiTheme="minorHAnsi" w:eastAsia="Calibri" w:hAnsiTheme="minorHAnsi" w:cstheme="minorHAnsi"/>
        </w:rPr>
        <w:t>rban residents spent 334.4 GEL</w:t>
      </w:r>
      <w:r>
        <w:rPr>
          <w:rFonts w:asciiTheme="minorHAnsi" w:eastAsia="Calibri" w:hAnsiTheme="minorHAnsi" w:cstheme="minorHAnsi"/>
        </w:rPr>
        <w:t xml:space="preserve"> on average in 2016</w:t>
      </w:r>
      <w:r w:rsidRPr="00B06803">
        <w:rPr>
          <w:rFonts w:asciiTheme="minorHAnsi" w:eastAsia="Calibri" w:hAnsiTheme="minorHAnsi" w:cstheme="minorHAnsi"/>
        </w:rPr>
        <w:t>, which was 35% more than the 247.4 GEL</w:t>
      </w:r>
      <w:r>
        <w:rPr>
          <w:rFonts w:asciiTheme="minorHAnsi" w:eastAsia="Calibri" w:hAnsiTheme="minorHAnsi" w:cstheme="minorHAnsi"/>
        </w:rPr>
        <w:t xml:space="preserve"> spent by rural residents in the same period. </w:t>
      </w:r>
    </w:p>
    <w:p w14:paraId="468E8F1D" w14:textId="77777777" w:rsidR="00BE025B" w:rsidRDefault="004E4336" w:rsidP="00670961">
      <w:pPr>
        <w:pStyle w:val="NormalWeb"/>
        <w:spacing w:before="0" w:beforeAutospacing="0" w:after="240" w:afterAutospacing="0" w:line="360" w:lineRule="auto"/>
        <w:jc w:val="both"/>
        <w:rPr>
          <w:rFonts w:asciiTheme="minorHAnsi" w:hAnsiTheme="minorHAnsi" w:cstheme="minorHAnsi"/>
          <w:color w:val="000000"/>
        </w:rPr>
      </w:pPr>
      <w:r>
        <w:rPr>
          <w:rFonts w:asciiTheme="minorHAnsi" w:eastAsia="Calibri" w:hAnsiTheme="minorHAnsi" w:cstheme="minorHAnsi"/>
        </w:rPr>
        <w:t xml:space="preserve">In terms of per capita expenditure distribution, </w:t>
      </w:r>
      <w:r w:rsidRPr="00716B53">
        <w:rPr>
          <w:rFonts w:asciiTheme="minorHAnsi" w:eastAsia="Calibri" w:hAnsiTheme="minorHAnsi" w:cstheme="minorHAnsi"/>
          <w:color w:val="000000"/>
        </w:rPr>
        <w:t>t</w:t>
      </w:r>
      <w:r>
        <w:rPr>
          <w:rFonts w:asciiTheme="minorHAnsi" w:eastAsia="Calibri" w:hAnsiTheme="minorHAnsi" w:cstheme="minorHAnsi"/>
          <w:color w:val="000000"/>
        </w:rPr>
        <w:t>he residents of Georgia spent 23</w:t>
      </w:r>
      <w:r w:rsidRPr="00716B53">
        <w:rPr>
          <w:rFonts w:asciiTheme="minorHAnsi" w:eastAsia="Calibri" w:hAnsiTheme="minorHAnsi" w:cstheme="minorHAnsi"/>
          <w:color w:val="000000"/>
        </w:rPr>
        <w:t>% of their income on food, beverages and tobacco goods</w:t>
      </w:r>
      <w:r w:rsidR="000F3BD8" w:rsidRPr="000F3BD8">
        <w:rPr>
          <w:rFonts w:asciiTheme="minorHAnsi" w:eastAsia="Calibri" w:hAnsiTheme="minorHAnsi" w:cstheme="minorHAnsi"/>
        </w:rPr>
        <w:t xml:space="preserve"> </w:t>
      </w:r>
      <w:r w:rsidR="000F3BD8">
        <w:rPr>
          <w:rFonts w:asciiTheme="minorHAnsi" w:eastAsia="Calibri" w:hAnsiTheme="minorHAnsi" w:cstheme="minorHAnsi"/>
        </w:rPr>
        <w:t>in 2016</w:t>
      </w:r>
      <w:r w:rsidRPr="00716B53">
        <w:rPr>
          <w:rFonts w:asciiTheme="minorHAnsi" w:eastAsia="Calibri" w:hAnsiTheme="minorHAnsi" w:cstheme="minorHAnsi"/>
          <w:color w:val="000000"/>
        </w:rPr>
        <w:t>. Spending on utilities accounted f</w:t>
      </w:r>
      <w:r>
        <w:rPr>
          <w:rFonts w:asciiTheme="minorHAnsi" w:eastAsia="Calibri" w:hAnsiTheme="minorHAnsi" w:cstheme="minorHAnsi"/>
          <w:color w:val="000000"/>
        </w:rPr>
        <w:t>or 8%</w:t>
      </w:r>
      <w:r w:rsidRPr="00716B53">
        <w:rPr>
          <w:rFonts w:asciiTheme="minorHAnsi" w:eastAsia="Calibri" w:hAnsiTheme="minorHAnsi" w:cstheme="minorHAnsi"/>
          <w:color w:val="000000"/>
        </w:rPr>
        <w:t>, while expenditures on healthcar</w:t>
      </w:r>
      <w:r>
        <w:rPr>
          <w:rFonts w:asciiTheme="minorHAnsi" w:eastAsia="Calibri" w:hAnsiTheme="minorHAnsi" w:cstheme="minorHAnsi"/>
          <w:color w:val="000000"/>
        </w:rPr>
        <w:t>e and transport amounted to 9.2% and 6.7</w:t>
      </w:r>
      <w:r w:rsidRPr="00716B53">
        <w:rPr>
          <w:rFonts w:asciiTheme="minorHAnsi" w:eastAsia="Calibri" w:hAnsiTheme="minorHAnsi" w:cstheme="minorHAnsi"/>
          <w:color w:val="000000"/>
        </w:rPr>
        <w:t>% respectively. In addition, small shares of earnings were sp</w:t>
      </w:r>
      <w:r>
        <w:rPr>
          <w:rFonts w:asciiTheme="minorHAnsi" w:eastAsia="Calibri" w:hAnsiTheme="minorHAnsi" w:cstheme="minorHAnsi"/>
          <w:color w:val="000000"/>
        </w:rPr>
        <w:t>ent on clothes and footwear (2.6%), durable goods (2.7%), as well as education (2.2</w:t>
      </w:r>
      <w:r w:rsidRPr="00716B53">
        <w:rPr>
          <w:rFonts w:asciiTheme="minorHAnsi" w:eastAsia="Calibri" w:hAnsiTheme="minorHAnsi" w:cstheme="minorHAnsi"/>
          <w:color w:val="000000"/>
        </w:rPr>
        <w:t xml:space="preserve">%). From 2010 to 2016, in the expenditure </w:t>
      </w:r>
      <w:r>
        <w:rPr>
          <w:rFonts w:asciiTheme="minorHAnsi" w:eastAsia="Calibri" w:hAnsiTheme="minorHAnsi" w:cstheme="minorHAnsi"/>
          <w:color w:val="000000"/>
        </w:rPr>
        <w:t>structure</w:t>
      </w:r>
      <w:r w:rsidRPr="00716B53">
        <w:rPr>
          <w:rFonts w:asciiTheme="minorHAnsi" w:eastAsia="Calibri" w:hAnsiTheme="minorHAnsi" w:cstheme="minorHAnsi"/>
          <w:color w:val="000000"/>
        </w:rPr>
        <w:t>, the share of food, bever</w:t>
      </w:r>
      <w:r>
        <w:rPr>
          <w:rFonts w:asciiTheme="minorHAnsi" w:eastAsia="Calibri" w:hAnsiTheme="minorHAnsi" w:cstheme="minorHAnsi"/>
          <w:color w:val="000000"/>
        </w:rPr>
        <w:t xml:space="preserve">ages and tobacco contracted by 4.3% (see Figure 13). </w:t>
      </w:r>
      <w:r w:rsidR="000F3BD8">
        <w:rPr>
          <w:rFonts w:asciiTheme="minorHAnsi" w:eastAsia="Calibri" w:hAnsiTheme="minorHAnsi" w:cstheme="minorHAnsi"/>
          <w:color w:val="000000"/>
        </w:rPr>
        <w:t xml:space="preserve"> </w:t>
      </w:r>
    </w:p>
    <w:p w14:paraId="6615387B" w14:textId="77777777" w:rsidR="00C45EA7" w:rsidRPr="00C45EA7" w:rsidRDefault="00C45EA7" w:rsidP="00C45EA7">
      <w:pPr>
        <w:pStyle w:val="Caption"/>
        <w:keepNext/>
        <w:jc w:val="both"/>
        <w:rPr>
          <w:i w:val="0"/>
          <w:color w:val="auto"/>
          <w:sz w:val="24"/>
          <w:szCs w:val="24"/>
        </w:rPr>
      </w:pPr>
      <w:bookmarkStart w:id="57" w:name="_Toc508716357"/>
      <w:r w:rsidRPr="00C45EA7">
        <w:rPr>
          <w:i w:val="0"/>
          <w:color w:val="auto"/>
          <w:sz w:val="24"/>
          <w:szCs w:val="24"/>
        </w:rPr>
        <w:lastRenderedPageBreak/>
        <w:t xml:space="preserve">Figure </w:t>
      </w:r>
      <w:r w:rsidRPr="00C45EA7">
        <w:rPr>
          <w:i w:val="0"/>
          <w:color w:val="auto"/>
          <w:sz w:val="24"/>
          <w:szCs w:val="24"/>
        </w:rPr>
        <w:fldChar w:fldCharType="begin"/>
      </w:r>
      <w:r w:rsidRPr="00C45EA7">
        <w:rPr>
          <w:i w:val="0"/>
          <w:color w:val="auto"/>
          <w:sz w:val="24"/>
          <w:szCs w:val="24"/>
        </w:rPr>
        <w:instrText xml:space="preserve"> SEQ Figure \* ARABIC </w:instrText>
      </w:r>
      <w:r w:rsidRPr="00C45EA7">
        <w:rPr>
          <w:i w:val="0"/>
          <w:color w:val="auto"/>
          <w:sz w:val="24"/>
          <w:szCs w:val="24"/>
        </w:rPr>
        <w:fldChar w:fldCharType="separate"/>
      </w:r>
      <w:r w:rsidRPr="00C45EA7">
        <w:rPr>
          <w:i w:val="0"/>
          <w:noProof/>
          <w:color w:val="auto"/>
          <w:sz w:val="24"/>
          <w:szCs w:val="24"/>
        </w:rPr>
        <w:t>13</w:t>
      </w:r>
      <w:r w:rsidRPr="00C45EA7">
        <w:rPr>
          <w:i w:val="0"/>
          <w:color w:val="auto"/>
          <w:sz w:val="24"/>
          <w:szCs w:val="24"/>
        </w:rPr>
        <w:fldChar w:fldCharType="end"/>
      </w:r>
      <w:r w:rsidRPr="00C45EA7">
        <w:rPr>
          <w:i w:val="0"/>
          <w:color w:val="auto"/>
          <w:sz w:val="24"/>
          <w:szCs w:val="24"/>
        </w:rPr>
        <w:t>: Structure of total average monthly expenditure per capita in Georgia</w:t>
      </w:r>
      <w:bookmarkEnd w:id="57"/>
    </w:p>
    <w:p w14:paraId="5724A491" w14:textId="77777777" w:rsidR="001F5EAA" w:rsidRDefault="00BE025B" w:rsidP="00BE025B">
      <w:pPr>
        <w:pStyle w:val="NormalWeb"/>
        <w:spacing w:before="0" w:beforeAutospacing="0" w:after="0" w:afterAutospacing="0" w:line="360" w:lineRule="auto"/>
        <w:jc w:val="both"/>
        <w:rPr>
          <w:rFonts w:asciiTheme="minorHAnsi" w:hAnsiTheme="minorHAnsi" w:cstheme="minorHAnsi"/>
          <w:color w:val="000000"/>
        </w:rPr>
      </w:pPr>
      <w:r>
        <w:rPr>
          <w:noProof/>
        </w:rPr>
        <w:drawing>
          <wp:inline distT="0" distB="0" distL="0" distR="0" wp14:anchorId="59C8951C" wp14:editId="7F0D498E">
            <wp:extent cx="5943600" cy="3664585"/>
            <wp:effectExtent l="0" t="0" r="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CA3F5E" w14:textId="77777777" w:rsidR="00BE025B" w:rsidRDefault="00BE025B" w:rsidP="00C41AFB">
      <w:pPr>
        <w:pStyle w:val="NormalWeb"/>
        <w:spacing w:before="0" w:beforeAutospacing="0" w:after="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Source: National Statistics Office of Georgia (Geostat), 2018. </w:t>
      </w:r>
    </w:p>
    <w:p w14:paraId="70EDDA2E" w14:textId="77777777" w:rsidR="00C41AFB" w:rsidRPr="00C41AFB" w:rsidRDefault="00C41AFB" w:rsidP="00C41AFB">
      <w:pPr>
        <w:pStyle w:val="NormalWeb"/>
        <w:spacing w:before="0" w:beforeAutospacing="0" w:after="240" w:afterAutospacing="0" w:line="360" w:lineRule="auto"/>
        <w:jc w:val="both"/>
        <w:rPr>
          <w:rFonts w:asciiTheme="minorHAnsi" w:hAnsiTheme="minorHAnsi" w:cstheme="minorHAnsi"/>
          <w:i/>
          <w:color w:val="000000"/>
        </w:rPr>
      </w:pPr>
      <w:r w:rsidRPr="00C41AFB">
        <w:rPr>
          <w:rFonts w:asciiTheme="minorHAnsi" w:hAnsiTheme="minorHAnsi" w:cstheme="minorHAnsi"/>
          <w:i/>
          <w:color w:val="000000"/>
        </w:rPr>
        <w:t xml:space="preserve">Note: Cash non-consumption category includes expenditures on agriculture, transfers, saving and lending and property acquirement. </w:t>
      </w:r>
    </w:p>
    <w:p w14:paraId="6FD7F92A" w14:textId="77777777" w:rsidR="00B14D7C" w:rsidRDefault="00330A15" w:rsidP="00C924D1">
      <w:pPr>
        <w:pStyle w:val="Heading1"/>
        <w:spacing w:before="0" w:after="240"/>
      </w:pPr>
      <w:bookmarkStart w:id="58" w:name="_Toc508721119"/>
      <w:bookmarkStart w:id="59" w:name="_Toc508721262"/>
      <w:bookmarkStart w:id="60" w:name="_Toc508722268"/>
      <w:r w:rsidRPr="00330A15">
        <w:t>General Government Spending</w:t>
      </w:r>
      <w:bookmarkEnd w:id="58"/>
      <w:bookmarkEnd w:id="59"/>
      <w:bookmarkEnd w:id="60"/>
      <w:r w:rsidRPr="00330A15">
        <w:t xml:space="preserve"> </w:t>
      </w:r>
    </w:p>
    <w:p w14:paraId="4B7EB42C" w14:textId="77777777" w:rsidR="00B14D7C" w:rsidRDefault="00A32E56" w:rsidP="00C924D1">
      <w:pPr>
        <w:pStyle w:val="NormalWeb"/>
        <w:spacing w:before="0" w:beforeAutospacing="0" w:after="240" w:afterAutospacing="0" w:line="360" w:lineRule="auto"/>
        <w:jc w:val="both"/>
        <w:rPr>
          <w:rFonts w:asciiTheme="minorHAnsi" w:hAnsiTheme="minorHAnsi" w:cstheme="minorHAnsi"/>
        </w:rPr>
      </w:pPr>
      <w:r>
        <w:rPr>
          <w:rFonts w:asciiTheme="minorHAnsi" w:hAnsiTheme="minorHAnsi" w:cstheme="minorHAnsi"/>
        </w:rPr>
        <w:t xml:space="preserve">The state budget of Georgia increased by 10.9% and 10.3% in nominal terms compared to the previous year in 2016 and 2017, respectively. </w:t>
      </w:r>
      <w:r w:rsidR="00B14D7C" w:rsidRPr="00B14D7C">
        <w:rPr>
          <w:rFonts w:asciiTheme="minorHAnsi" w:hAnsiTheme="minorHAnsi" w:cstheme="minorHAnsi"/>
        </w:rPr>
        <w:t xml:space="preserve">Aggregate </w:t>
      </w:r>
      <w:r w:rsidR="00470968">
        <w:rPr>
          <w:rFonts w:asciiTheme="minorHAnsi" w:hAnsiTheme="minorHAnsi" w:cstheme="minorHAnsi"/>
        </w:rPr>
        <w:t xml:space="preserve">government spending </w:t>
      </w:r>
      <w:r w:rsidR="00B14D7C" w:rsidRPr="00B14D7C">
        <w:rPr>
          <w:rFonts w:asciiTheme="minorHAnsi" w:hAnsiTheme="minorHAnsi" w:cstheme="minorHAnsi"/>
        </w:rPr>
        <w:t xml:space="preserve">is projected to </w:t>
      </w:r>
      <w:r w:rsidR="001E1512">
        <w:rPr>
          <w:rFonts w:asciiTheme="minorHAnsi" w:hAnsiTheme="minorHAnsi" w:cstheme="minorHAnsi"/>
        </w:rPr>
        <w:t xml:space="preserve">be </w:t>
      </w:r>
      <w:r w:rsidR="001E1512" w:rsidRPr="00B14D7C">
        <w:rPr>
          <w:rFonts w:asciiTheme="minorHAnsi" w:hAnsiTheme="minorHAnsi" w:cstheme="minorHAnsi"/>
        </w:rPr>
        <w:t>1</w:t>
      </w:r>
      <w:r w:rsidR="001E1512">
        <w:rPr>
          <w:rFonts w:asciiTheme="minorHAnsi" w:hAnsiTheme="minorHAnsi" w:cstheme="minorHAnsi"/>
        </w:rPr>
        <w:t>1.35 billion GEL</w:t>
      </w:r>
      <w:r w:rsidR="00751CD5">
        <w:rPr>
          <w:rFonts w:asciiTheme="minorHAnsi" w:hAnsiTheme="minorHAnsi" w:cstheme="minorHAnsi"/>
        </w:rPr>
        <w:t xml:space="preserve"> in 2018</w:t>
      </w:r>
      <w:r w:rsidR="001E1512">
        <w:rPr>
          <w:rFonts w:asciiTheme="minorHAnsi" w:hAnsiTheme="minorHAnsi" w:cstheme="minorHAnsi"/>
        </w:rPr>
        <w:t xml:space="preserve">, 11.6% </w:t>
      </w:r>
      <w:r w:rsidR="00804C99">
        <w:rPr>
          <w:rFonts w:asciiTheme="minorHAnsi" w:hAnsiTheme="minorHAnsi" w:cstheme="minorHAnsi"/>
        </w:rPr>
        <w:t xml:space="preserve">increase compared to the last year. </w:t>
      </w:r>
      <w:bookmarkStart w:id="61" w:name="_Toc504398335"/>
      <w:r w:rsidR="00B14D7C" w:rsidRPr="00B14D7C">
        <w:rPr>
          <w:rFonts w:asciiTheme="minorHAnsi" w:hAnsiTheme="minorHAnsi" w:cstheme="minorHAnsi"/>
        </w:rPr>
        <w:t xml:space="preserve">The largest share of </w:t>
      </w:r>
      <w:r w:rsidR="00804C99">
        <w:rPr>
          <w:rFonts w:asciiTheme="minorHAnsi" w:hAnsiTheme="minorHAnsi" w:cstheme="minorHAnsi"/>
        </w:rPr>
        <w:t xml:space="preserve">the </w:t>
      </w:r>
      <w:r w:rsidR="00B14D7C" w:rsidRPr="00B14D7C">
        <w:rPr>
          <w:rFonts w:asciiTheme="minorHAnsi" w:hAnsiTheme="minorHAnsi" w:cstheme="minorHAnsi"/>
        </w:rPr>
        <w:t>state budget is alloc</w:t>
      </w:r>
      <w:r w:rsidR="00751CD5">
        <w:rPr>
          <w:rFonts w:asciiTheme="minorHAnsi" w:hAnsiTheme="minorHAnsi" w:cstheme="minorHAnsi"/>
        </w:rPr>
        <w:t>ated to</w:t>
      </w:r>
      <w:r w:rsidR="00B14D7C" w:rsidRPr="00B14D7C">
        <w:rPr>
          <w:rFonts w:asciiTheme="minorHAnsi" w:hAnsiTheme="minorHAnsi" w:cstheme="minorHAnsi"/>
        </w:rPr>
        <w:t xml:space="preserve"> social protection. Compared to</w:t>
      </w:r>
      <w:r w:rsidR="00470968">
        <w:rPr>
          <w:rFonts w:asciiTheme="minorHAnsi" w:hAnsiTheme="minorHAnsi" w:cstheme="minorHAnsi"/>
        </w:rPr>
        <w:t xml:space="preserve"> 2015, </w:t>
      </w:r>
      <w:r w:rsidR="00470968" w:rsidRPr="00B14D7C">
        <w:rPr>
          <w:rFonts w:asciiTheme="minorHAnsi" w:hAnsiTheme="minorHAnsi" w:cstheme="minorHAnsi"/>
        </w:rPr>
        <w:t>expenditure</w:t>
      </w:r>
      <w:r w:rsidR="00B14D7C" w:rsidRPr="00B14D7C">
        <w:rPr>
          <w:rFonts w:asciiTheme="minorHAnsi" w:hAnsiTheme="minorHAnsi" w:cstheme="minorHAnsi"/>
        </w:rPr>
        <w:t xml:space="preserve"> on social protec</w:t>
      </w:r>
      <w:r w:rsidR="00470968">
        <w:rPr>
          <w:rFonts w:asciiTheme="minorHAnsi" w:hAnsiTheme="minorHAnsi" w:cstheme="minorHAnsi"/>
        </w:rPr>
        <w:t xml:space="preserve">tion surged by 9.2% in 2016 and </w:t>
      </w:r>
      <w:r w:rsidR="00B14D7C" w:rsidRPr="00B14D7C">
        <w:rPr>
          <w:rFonts w:asciiTheme="minorHAnsi" w:hAnsiTheme="minorHAnsi" w:cstheme="minorHAnsi"/>
        </w:rPr>
        <w:t xml:space="preserve">5.6% in 2017. The increase of social protection expenditure </w:t>
      </w:r>
      <w:r w:rsidR="008122DA">
        <w:rPr>
          <w:rFonts w:asciiTheme="minorHAnsi" w:hAnsiTheme="minorHAnsi" w:cstheme="minorHAnsi"/>
        </w:rPr>
        <w:t xml:space="preserve">is projected to be 5.4% </w:t>
      </w:r>
      <w:r w:rsidR="00B14D7C" w:rsidRPr="00B14D7C">
        <w:rPr>
          <w:rFonts w:asciiTheme="minorHAnsi" w:hAnsiTheme="minorHAnsi" w:cstheme="minorHAnsi"/>
        </w:rPr>
        <w:t>i</w:t>
      </w:r>
      <w:r w:rsidR="008122DA">
        <w:rPr>
          <w:rFonts w:asciiTheme="minorHAnsi" w:hAnsiTheme="minorHAnsi" w:cstheme="minorHAnsi"/>
        </w:rPr>
        <w:t xml:space="preserve">n 2018. </w:t>
      </w:r>
    </w:p>
    <w:p w14:paraId="56D2D5D3" w14:textId="77777777" w:rsidR="002E1AED" w:rsidRPr="002E1AED" w:rsidRDefault="002E1AED" w:rsidP="002E1AED">
      <w:pPr>
        <w:pStyle w:val="Caption"/>
        <w:spacing w:line="360" w:lineRule="auto"/>
        <w:jc w:val="both"/>
        <w:rPr>
          <w:i w:val="0"/>
          <w:color w:val="000000" w:themeColor="text1"/>
          <w:sz w:val="24"/>
          <w:szCs w:val="24"/>
        </w:rPr>
      </w:pPr>
      <w:r w:rsidRPr="002E1AED">
        <w:rPr>
          <w:i w:val="0"/>
          <w:color w:val="000000" w:themeColor="text1"/>
          <w:sz w:val="24"/>
          <w:szCs w:val="24"/>
        </w:rPr>
        <w:t xml:space="preserve">Old age pension provision is the main social assistance program financed by the state budget of Georgia. Men over the age of 65 and women over 60 are eligible for receiving the pension. In July 2017, 725,963 pensioners received the assistance and its monthly budget totaled 131,724,813 </w:t>
      </w:r>
      <w:r w:rsidRPr="002E1AED">
        <w:rPr>
          <w:i w:val="0"/>
          <w:color w:val="000000" w:themeColor="text1"/>
          <w:sz w:val="24"/>
          <w:szCs w:val="24"/>
        </w:rPr>
        <w:lastRenderedPageBreak/>
        <w:t>GEL. Among other forms of social benefits Targeted Social Assistance (TSA) is one of the most important one.</w:t>
      </w:r>
      <w:r w:rsidRPr="002E1AED">
        <w:t xml:space="preserve"> </w:t>
      </w:r>
      <w:r w:rsidRPr="002E1AED">
        <w:rPr>
          <w:i w:val="0"/>
          <w:color w:val="000000" w:themeColor="text1"/>
          <w:sz w:val="24"/>
          <w:szCs w:val="24"/>
        </w:rPr>
        <w:t>TSA is a subsistence allowance which aims to improve socio-economic conditions of socially vulnerable families and to reduce poverty level in the country.</w:t>
      </w:r>
    </w:p>
    <w:p w14:paraId="7161D152" w14:textId="77777777" w:rsidR="00B4618E" w:rsidRPr="00B4618E" w:rsidRDefault="00B4618E" w:rsidP="00B4618E">
      <w:pPr>
        <w:pStyle w:val="Caption"/>
        <w:keepNext/>
        <w:rPr>
          <w:i w:val="0"/>
          <w:color w:val="000000" w:themeColor="text1"/>
          <w:sz w:val="24"/>
          <w:szCs w:val="24"/>
        </w:rPr>
      </w:pPr>
      <w:bookmarkStart w:id="62" w:name="_Toc508714996"/>
      <w:r w:rsidRPr="00B4618E">
        <w:rPr>
          <w:i w:val="0"/>
          <w:color w:val="000000" w:themeColor="text1"/>
          <w:sz w:val="24"/>
          <w:szCs w:val="24"/>
        </w:rPr>
        <w:t xml:space="preserve">Table </w:t>
      </w:r>
      <w:r w:rsidRPr="00B4618E">
        <w:rPr>
          <w:i w:val="0"/>
          <w:color w:val="000000" w:themeColor="text1"/>
          <w:sz w:val="24"/>
          <w:szCs w:val="24"/>
        </w:rPr>
        <w:fldChar w:fldCharType="begin"/>
      </w:r>
      <w:r w:rsidRPr="00B4618E">
        <w:rPr>
          <w:i w:val="0"/>
          <w:color w:val="000000" w:themeColor="text1"/>
          <w:sz w:val="24"/>
          <w:szCs w:val="24"/>
        </w:rPr>
        <w:instrText xml:space="preserve"> SEQ Table \* ARABIC </w:instrText>
      </w:r>
      <w:r w:rsidRPr="00B4618E">
        <w:rPr>
          <w:i w:val="0"/>
          <w:color w:val="000000" w:themeColor="text1"/>
          <w:sz w:val="24"/>
          <w:szCs w:val="24"/>
        </w:rPr>
        <w:fldChar w:fldCharType="separate"/>
      </w:r>
      <w:r w:rsidRPr="00B4618E">
        <w:rPr>
          <w:i w:val="0"/>
          <w:noProof/>
          <w:color w:val="000000" w:themeColor="text1"/>
          <w:sz w:val="24"/>
          <w:szCs w:val="24"/>
        </w:rPr>
        <w:t>2</w:t>
      </w:r>
      <w:r w:rsidRPr="00B4618E">
        <w:rPr>
          <w:i w:val="0"/>
          <w:color w:val="000000" w:themeColor="text1"/>
          <w:sz w:val="24"/>
          <w:szCs w:val="24"/>
        </w:rPr>
        <w:fldChar w:fldCharType="end"/>
      </w:r>
      <w:r w:rsidRPr="00B4618E">
        <w:rPr>
          <w:i w:val="0"/>
          <w:color w:val="000000" w:themeColor="text1"/>
          <w:sz w:val="24"/>
          <w:szCs w:val="24"/>
        </w:rPr>
        <w:t>: General government expenditure</w:t>
      </w:r>
      <w:bookmarkEnd w:id="62"/>
    </w:p>
    <w:tbl>
      <w:tblPr>
        <w:tblStyle w:val="GridTable6Colorful-Accent5"/>
        <w:tblW w:w="9350" w:type="dxa"/>
        <w:tblLook w:val="04A0" w:firstRow="1" w:lastRow="0" w:firstColumn="1" w:lastColumn="0" w:noHBand="0" w:noVBand="1"/>
      </w:tblPr>
      <w:tblGrid>
        <w:gridCol w:w="2243"/>
        <w:gridCol w:w="906"/>
        <w:gridCol w:w="721"/>
        <w:gridCol w:w="907"/>
        <w:gridCol w:w="833"/>
        <w:gridCol w:w="935"/>
        <w:gridCol w:w="935"/>
        <w:gridCol w:w="935"/>
        <w:gridCol w:w="935"/>
      </w:tblGrid>
      <w:tr w:rsidR="00D83684" w:rsidRPr="004E1829" w14:paraId="5B8819A5" w14:textId="77777777" w:rsidTr="00B461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vMerge w:val="restart"/>
            <w:noWrap/>
            <w:hideMark/>
          </w:tcPr>
          <w:bookmarkEnd w:id="61"/>
          <w:p w14:paraId="50A8368B" w14:textId="77777777" w:rsidR="004E1829" w:rsidRPr="004E1829" w:rsidRDefault="004E1829" w:rsidP="004E1829">
            <w:pPr>
              <w:spacing w:after="160" w:line="259" w:lineRule="auto"/>
              <w:jc w:val="center"/>
              <w:rPr>
                <w:color w:val="000000" w:themeColor="text1"/>
              </w:rPr>
            </w:pPr>
            <w:r w:rsidRPr="004E1829">
              <w:rPr>
                <w:color w:val="000000" w:themeColor="text1"/>
              </w:rPr>
              <w:t> </w:t>
            </w:r>
          </w:p>
        </w:tc>
        <w:tc>
          <w:tcPr>
            <w:tcW w:w="906" w:type="dxa"/>
            <w:noWrap/>
            <w:hideMark/>
          </w:tcPr>
          <w:p w14:paraId="604140CB"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2015</w:t>
            </w:r>
          </w:p>
        </w:tc>
        <w:tc>
          <w:tcPr>
            <w:tcW w:w="721" w:type="dxa"/>
            <w:noWrap/>
            <w:hideMark/>
          </w:tcPr>
          <w:p w14:paraId="425FA4D5"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2016</w:t>
            </w:r>
          </w:p>
        </w:tc>
        <w:tc>
          <w:tcPr>
            <w:tcW w:w="907" w:type="dxa"/>
            <w:noWrap/>
            <w:hideMark/>
          </w:tcPr>
          <w:p w14:paraId="6A43473C"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2017</w:t>
            </w:r>
          </w:p>
        </w:tc>
        <w:tc>
          <w:tcPr>
            <w:tcW w:w="833" w:type="dxa"/>
            <w:noWrap/>
            <w:hideMark/>
          </w:tcPr>
          <w:p w14:paraId="3210AA0E"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2018*</w:t>
            </w:r>
          </w:p>
        </w:tc>
        <w:tc>
          <w:tcPr>
            <w:tcW w:w="935" w:type="dxa"/>
            <w:noWrap/>
            <w:hideMark/>
          </w:tcPr>
          <w:p w14:paraId="4458AC15"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2015</w:t>
            </w:r>
          </w:p>
        </w:tc>
        <w:tc>
          <w:tcPr>
            <w:tcW w:w="935" w:type="dxa"/>
            <w:noWrap/>
            <w:hideMark/>
          </w:tcPr>
          <w:p w14:paraId="18CE8908"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2016</w:t>
            </w:r>
          </w:p>
        </w:tc>
        <w:tc>
          <w:tcPr>
            <w:tcW w:w="935" w:type="dxa"/>
            <w:noWrap/>
            <w:hideMark/>
          </w:tcPr>
          <w:p w14:paraId="466BC4DC"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2017</w:t>
            </w:r>
          </w:p>
        </w:tc>
        <w:tc>
          <w:tcPr>
            <w:tcW w:w="935" w:type="dxa"/>
            <w:noWrap/>
            <w:hideMark/>
          </w:tcPr>
          <w:p w14:paraId="2F6BF44E" w14:textId="77777777" w:rsidR="004E1829" w:rsidRPr="004E1829" w:rsidRDefault="004E1829" w:rsidP="004E1829">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2018*</w:t>
            </w:r>
          </w:p>
        </w:tc>
      </w:tr>
      <w:tr w:rsidR="00D83684" w:rsidRPr="004E1829" w14:paraId="210F9955" w14:textId="77777777" w:rsidTr="00B46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vMerge/>
            <w:hideMark/>
          </w:tcPr>
          <w:p w14:paraId="0F4CA975" w14:textId="77777777" w:rsidR="004E1829" w:rsidRPr="004E1829" w:rsidRDefault="004E1829" w:rsidP="004E1829">
            <w:pPr>
              <w:spacing w:after="160" w:line="259" w:lineRule="auto"/>
              <w:rPr>
                <w:color w:val="000000" w:themeColor="text1"/>
              </w:rPr>
            </w:pPr>
          </w:p>
        </w:tc>
        <w:tc>
          <w:tcPr>
            <w:tcW w:w="3367" w:type="dxa"/>
            <w:gridSpan w:val="4"/>
            <w:noWrap/>
            <w:hideMark/>
          </w:tcPr>
          <w:p w14:paraId="0B0DB12B"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E1829">
              <w:rPr>
                <w:b/>
                <w:bCs/>
                <w:color w:val="000000" w:themeColor="text1"/>
              </w:rPr>
              <w:t>billion GEL</w:t>
            </w:r>
          </w:p>
        </w:tc>
        <w:tc>
          <w:tcPr>
            <w:tcW w:w="3740" w:type="dxa"/>
            <w:gridSpan w:val="4"/>
            <w:noWrap/>
            <w:hideMark/>
          </w:tcPr>
          <w:p w14:paraId="275272E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4E1829">
              <w:rPr>
                <w:b/>
                <w:bCs/>
                <w:color w:val="000000" w:themeColor="text1"/>
              </w:rPr>
              <w:t>percent of total</w:t>
            </w:r>
          </w:p>
        </w:tc>
      </w:tr>
      <w:tr w:rsidR="00D83684" w:rsidRPr="004E1829" w14:paraId="39B8471E" w14:textId="77777777" w:rsidTr="00B4618E">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E7A244C" w14:textId="77777777" w:rsidR="004E1829" w:rsidRPr="004E1829" w:rsidRDefault="004E1829" w:rsidP="004E1829">
            <w:pPr>
              <w:spacing w:after="160" w:line="259" w:lineRule="auto"/>
              <w:rPr>
                <w:b w:val="0"/>
                <w:color w:val="000000" w:themeColor="text1"/>
              </w:rPr>
            </w:pPr>
            <w:r w:rsidRPr="004E1829">
              <w:rPr>
                <w:b w:val="0"/>
                <w:color w:val="000000" w:themeColor="text1"/>
              </w:rPr>
              <w:t>Total State Budget</w:t>
            </w:r>
          </w:p>
        </w:tc>
        <w:tc>
          <w:tcPr>
            <w:tcW w:w="906" w:type="dxa"/>
            <w:noWrap/>
            <w:hideMark/>
          </w:tcPr>
          <w:p w14:paraId="5ECF7051"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8.84</w:t>
            </w:r>
          </w:p>
        </w:tc>
        <w:tc>
          <w:tcPr>
            <w:tcW w:w="0" w:type="auto"/>
            <w:noWrap/>
            <w:hideMark/>
          </w:tcPr>
          <w:p w14:paraId="5714C53E"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9.40</w:t>
            </w:r>
          </w:p>
        </w:tc>
        <w:tc>
          <w:tcPr>
            <w:tcW w:w="0" w:type="auto"/>
            <w:noWrap/>
            <w:hideMark/>
          </w:tcPr>
          <w:p w14:paraId="52DFB1F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10.34</w:t>
            </w:r>
          </w:p>
        </w:tc>
        <w:tc>
          <w:tcPr>
            <w:tcW w:w="0" w:type="auto"/>
            <w:noWrap/>
            <w:hideMark/>
          </w:tcPr>
          <w:p w14:paraId="6ABC284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11.35</w:t>
            </w:r>
          </w:p>
        </w:tc>
        <w:tc>
          <w:tcPr>
            <w:tcW w:w="0" w:type="auto"/>
            <w:noWrap/>
            <w:hideMark/>
          </w:tcPr>
          <w:p w14:paraId="4F61FED0"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c>
          <w:tcPr>
            <w:tcW w:w="0" w:type="auto"/>
            <w:noWrap/>
            <w:hideMark/>
          </w:tcPr>
          <w:p w14:paraId="7D79554A"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c>
          <w:tcPr>
            <w:tcW w:w="0" w:type="auto"/>
            <w:noWrap/>
            <w:hideMark/>
          </w:tcPr>
          <w:p w14:paraId="32C9EF05"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c>
          <w:tcPr>
            <w:tcW w:w="935" w:type="dxa"/>
            <w:noWrap/>
            <w:hideMark/>
          </w:tcPr>
          <w:p w14:paraId="07E3657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100.0%</w:t>
            </w:r>
          </w:p>
        </w:tc>
      </w:tr>
      <w:tr w:rsidR="00D83684" w:rsidRPr="004E1829" w14:paraId="7759012C" w14:textId="77777777" w:rsidTr="00B4618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D8D2F46"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General government services </w:t>
            </w:r>
          </w:p>
        </w:tc>
        <w:tc>
          <w:tcPr>
            <w:tcW w:w="906" w:type="dxa"/>
            <w:noWrap/>
            <w:hideMark/>
          </w:tcPr>
          <w:p w14:paraId="5C5B876A"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2.01</w:t>
            </w:r>
          </w:p>
        </w:tc>
        <w:tc>
          <w:tcPr>
            <w:tcW w:w="0" w:type="auto"/>
            <w:noWrap/>
            <w:hideMark/>
          </w:tcPr>
          <w:p w14:paraId="3E66D86E"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1.75</w:t>
            </w:r>
          </w:p>
        </w:tc>
        <w:tc>
          <w:tcPr>
            <w:tcW w:w="0" w:type="auto"/>
            <w:noWrap/>
            <w:hideMark/>
          </w:tcPr>
          <w:p w14:paraId="0A89D58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1.90</w:t>
            </w:r>
          </w:p>
        </w:tc>
        <w:tc>
          <w:tcPr>
            <w:tcW w:w="0" w:type="auto"/>
            <w:noWrap/>
            <w:hideMark/>
          </w:tcPr>
          <w:p w14:paraId="64D115D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2.12</w:t>
            </w:r>
          </w:p>
        </w:tc>
        <w:tc>
          <w:tcPr>
            <w:tcW w:w="0" w:type="auto"/>
            <w:noWrap/>
            <w:hideMark/>
          </w:tcPr>
          <w:p w14:paraId="443F169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22.8%</w:t>
            </w:r>
          </w:p>
        </w:tc>
        <w:tc>
          <w:tcPr>
            <w:tcW w:w="0" w:type="auto"/>
            <w:noWrap/>
            <w:hideMark/>
          </w:tcPr>
          <w:p w14:paraId="4351AD7D"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18.6%</w:t>
            </w:r>
          </w:p>
        </w:tc>
        <w:tc>
          <w:tcPr>
            <w:tcW w:w="0" w:type="auto"/>
            <w:noWrap/>
            <w:hideMark/>
          </w:tcPr>
          <w:p w14:paraId="2F79751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18.4%</w:t>
            </w:r>
          </w:p>
        </w:tc>
        <w:tc>
          <w:tcPr>
            <w:tcW w:w="935" w:type="dxa"/>
            <w:noWrap/>
            <w:hideMark/>
          </w:tcPr>
          <w:p w14:paraId="618CF32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18.7%</w:t>
            </w:r>
          </w:p>
        </w:tc>
      </w:tr>
      <w:tr w:rsidR="00D83684" w:rsidRPr="004E1829" w14:paraId="20A6F22E"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2C8EE54E"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Defense </w:t>
            </w:r>
          </w:p>
        </w:tc>
        <w:tc>
          <w:tcPr>
            <w:tcW w:w="906" w:type="dxa"/>
            <w:noWrap/>
            <w:hideMark/>
          </w:tcPr>
          <w:p w14:paraId="00FF9F9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0.65</w:t>
            </w:r>
          </w:p>
        </w:tc>
        <w:tc>
          <w:tcPr>
            <w:tcW w:w="0" w:type="auto"/>
            <w:noWrap/>
            <w:hideMark/>
          </w:tcPr>
          <w:p w14:paraId="699AAE9C"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0.68</w:t>
            </w:r>
          </w:p>
        </w:tc>
        <w:tc>
          <w:tcPr>
            <w:tcW w:w="0" w:type="auto"/>
            <w:noWrap/>
            <w:hideMark/>
          </w:tcPr>
          <w:p w14:paraId="6E298471"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0.69</w:t>
            </w:r>
          </w:p>
        </w:tc>
        <w:tc>
          <w:tcPr>
            <w:tcW w:w="0" w:type="auto"/>
            <w:noWrap/>
            <w:hideMark/>
          </w:tcPr>
          <w:p w14:paraId="49CACC53"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0.73</w:t>
            </w:r>
          </w:p>
        </w:tc>
        <w:tc>
          <w:tcPr>
            <w:tcW w:w="0" w:type="auto"/>
            <w:noWrap/>
            <w:hideMark/>
          </w:tcPr>
          <w:p w14:paraId="040D6DF0"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7.4%</w:t>
            </w:r>
          </w:p>
        </w:tc>
        <w:tc>
          <w:tcPr>
            <w:tcW w:w="0" w:type="auto"/>
            <w:noWrap/>
            <w:hideMark/>
          </w:tcPr>
          <w:p w14:paraId="123F453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7.2%</w:t>
            </w:r>
          </w:p>
        </w:tc>
        <w:tc>
          <w:tcPr>
            <w:tcW w:w="0" w:type="auto"/>
            <w:noWrap/>
            <w:hideMark/>
          </w:tcPr>
          <w:p w14:paraId="204FFFB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6.7%</w:t>
            </w:r>
          </w:p>
        </w:tc>
        <w:tc>
          <w:tcPr>
            <w:tcW w:w="935" w:type="dxa"/>
            <w:noWrap/>
            <w:hideMark/>
          </w:tcPr>
          <w:p w14:paraId="3811DF0E"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6.4%</w:t>
            </w:r>
          </w:p>
        </w:tc>
      </w:tr>
      <w:tr w:rsidR="00D83684" w:rsidRPr="004E1829" w14:paraId="043EBDBE"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3FA59D3C"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Public order and safety </w:t>
            </w:r>
          </w:p>
        </w:tc>
        <w:tc>
          <w:tcPr>
            <w:tcW w:w="906" w:type="dxa"/>
            <w:noWrap/>
            <w:hideMark/>
          </w:tcPr>
          <w:p w14:paraId="4F8DEE6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0.96</w:t>
            </w:r>
          </w:p>
        </w:tc>
        <w:tc>
          <w:tcPr>
            <w:tcW w:w="0" w:type="auto"/>
            <w:noWrap/>
            <w:hideMark/>
          </w:tcPr>
          <w:p w14:paraId="13008718"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1.01</w:t>
            </w:r>
          </w:p>
        </w:tc>
        <w:tc>
          <w:tcPr>
            <w:tcW w:w="0" w:type="auto"/>
            <w:noWrap/>
            <w:hideMark/>
          </w:tcPr>
          <w:p w14:paraId="164B5FBD"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1.05</w:t>
            </w:r>
          </w:p>
        </w:tc>
        <w:tc>
          <w:tcPr>
            <w:tcW w:w="0" w:type="auto"/>
            <w:noWrap/>
            <w:hideMark/>
          </w:tcPr>
          <w:p w14:paraId="64A49C1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1.12</w:t>
            </w:r>
          </w:p>
        </w:tc>
        <w:tc>
          <w:tcPr>
            <w:tcW w:w="0" w:type="auto"/>
            <w:noWrap/>
            <w:hideMark/>
          </w:tcPr>
          <w:p w14:paraId="1A0514AB"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4FF6B6B1"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10.7%</w:t>
            </w:r>
          </w:p>
        </w:tc>
        <w:tc>
          <w:tcPr>
            <w:tcW w:w="0" w:type="auto"/>
            <w:noWrap/>
            <w:hideMark/>
          </w:tcPr>
          <w:p w14:paraId="46CB849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935" w:type="dxa"/>
            <w:noWrap/>
            <w:hideMark/>
          </w:tcPr>
          <w:p w14:paraId="08AA31A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9.8%</w:t>
            </w:r>
          </w:p>
        </w:tc>
      </w:tr>
      <w:tr w:rsidR="00D83684" w:rsidRPr="004E1829" w14:paraId="52C81BFF"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7601C3BD" w14:textId="77777777" w:rsidR="004E1829" w:rsidRPr="004E1829" w:rsidRDefault="004E1829" w:rsidP="004E1829">
            <w:pPr>
              <w:spacing w:after="160" w:line="259" w:lineRule="auto"/>
              <w:rPr>
                <w:b w:val="0"/>
                <w:color w:val="000000" w:themeColor="text1"/>
              </w:rPr>
            </w:pPr>
            <w:r w:rsidRPr="004E1829">
              <w:rPr>
                <w:b w:val="0"/>
                <w:color w:val="000000" w:themeColor="text1"/>
              </w:rPr>
              <w:t>Economic activity</w:t>
            </w:r>
          </w:p>
        </w:tc>
        <w:tc>
          <w:tcPr>
            <w:tcW w:w="906" w:type="dxa"/>
            <w:noWrap/>
            <w:hideMark/>
          </w:tcPr>
          <w:p w14:paraId="3CBF1FD3"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0.95</w:t>
            </w:r>
          </w:p>
        </w:tc>
        <w:tc>
          <w:tcPr>
            <w:tcW w:w="0" w:type="auto"/>
            <w:noWrap/>
            <w:hideMark/>
          </w:tcPr>
          <w:p w14:paraId="0B34A65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1.12</w:t>
            </w:r>
          </w:p>
        </w:tc>
        <w:tc>
          <w:tcPr>
            <w:tcW w:w="0" w:type="auto"/>
            <w:noWrap/>
            <w:hideMark/>
          </w:tcPr>
          <w:p w14:paraId="7DDF06E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1.56</w:t>
            </w:r>
          </w:p>
        </w:tc>
        <w:tc>
          <w:tcPr>
            <w:tcW w:w="0" w:type="auto"/>
            <w:noWrap/>
            <w:hideMark/>
          </w:tcPr>
          <w:p w14:paraId="701923A2"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1.95</w:t>
            </w:r>
          </w:p>
        </w:tc>
        <w:tc>
          <w:tcPr>
            <w:tcW w:w="0" w:type="auto"/>
            <w:noWrap/>
            <w:hideMark/>
          </w:tcPr>
          <w:p w14:paraId="0F78FBF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10.7%</w:t>
            </w:r>
          </w:p>
        </w:tc>
        <w:tc>
          <w:tcPr>
            <w:tcW w:w="0" w:type="auto"/>
            <w:noWrap/>
            <w:hideMark/>
          </w:tcPr>
          <w:p w14:paraId="2F66B475"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11.9%</w:t>
            </w:r>
          </w:p>
        </w:tc>
        <w:tc>
          <w:tcPr>
            <w:tcW w:w="0" w:type="auto"/>
            <w:noWrap/>
            <w:hideMark/>
          </w:tcPr>
          <w:p w14:paraId="1225A6C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15.1%</w:t>
            </w:r>
          </w:p>
        </w:tc>
        <w:tc>
          <w:tcPr>
            <w:tcW w:w="935" w:type="dxa"/>
            <w:noWrap/>
            <w:hideMark/>
          </w:tcPr>
          <w:p w14:paraId="497CC61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17.2%</w:t>
            </w:r>
          </w:p>
        </w:tc>
      </w:tr>
      <w:tr w:rsidR="00D83684" w:rsidRPr="004E1829" w14:paraId="395684EE"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1E6F5F4"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Environmental protection </w:t>
            </w:r>
          </w:p>
        </w:tc>
        <w:tc>
          <w:tcPr>
            <w:tcW w:w="906" w:type="dxa"/>
            <w:noWrap/>
            <w:hideMark/>
          </w:tcPr>
          <w:p w14:paraId="74767631"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0.04</w:t>
            </w:r>
          </w:p>
        </w:tc>
        <w:tc>
          <w:tcPr>
            <w:tcW w:w="0" w:type="auto"/>
            <w:noWrap/>
            <w:hideMark/>
          </w:tcPr>
          <w:p w14:paraId="7FA12CD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0.06</w:t>
            </w:r>
          </w:p>
        </w:tc>
        <w:tc>
          <w:tcPr>
            <w:tcW w:w="0" w:type="auto"/>
            <w:noWrap/>
            <w:hideMark/>
          </w:tcPr>
          <w:p w14:paraId="6542E5E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0.06</w:t>
            </w:r>
          </w:p>
        </w:tc>
        <w:tc>
          <w:tcPr>
            <w:tcW w:w="0" w:type="auto"/>
            <w:noWrap/>
            <w:hideMark/>
          </w:tcPr>
          <w:p w14:paraId="527A19F1"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0.06</w:t>
            </w:r>
          </w:p>
        </w:tc>
        <w:tc>
          <w:tcPr>
            <w:tcW w:w="0" w:type="auto"/>
            <w:noWrap/>
            <w:hideMark/>
          </w:tcPr>
          <w:p w14:paraId="314222A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0.5%</w:t>
            </w:r>
          </w:p>
        </w:tc>
        <w:tc>
          <w:tcPr>
            <w:tcW w:w="0" w:type="auto"/>
            <w:noWrap/>
            <w:hideMark/>
          </w:tcPr>
          <w:p w14:paraId="5137E39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0.6%</w:t>
            </w:r>
          </w:p>
        </w:tc>
        <w:tc>
          <w:tcPr>
            <w:tcW w:w="0" w:type="auto"/>
            <w:noWrap/>
            <w:hideMark/>
          </w:tcPr>
          <w:p w14:paraId="6822F4EA"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0.6%</w:t>
            </w:r>
          </w:p>
        </w:tc>
        <w:tc>
          <w:tcPr>
            <w:tcW w:w="935" w:type="dxa"/>
            <w:noWrap/>
            <w:hideMark/>
          </w:tcPr>
          <w:p w14:paraId="201AA5C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0.5%</w:t>
            </w:r>
          </w:p>
        </w:tc>
      </w:tr>
      <w:tr w:rsidR="00D83684" w:rsidRPr="004E1829" w14:paraId="3CB7B6CC" w14:textId="77777777" w:rsidTr="00B4618E">
        <w:trPr>
          <w:trHeight w:val="57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47367CCC" w14:textId="77777777" w:rsidR="004E1829" w:rsidRPr="004E1829" w:rsidRDefault="004E1829" w:rsidP="004E1829">
            <w:pPr>
              <w:spacing w:after="160" w:line="259" w:lineRule="auto"/>
              <w:rPr>
                <w:b w:val="0"/>
                <w:color w:val="000000" w:themeColor="text1"/>
              </w:rPr>
            </w:pPr>
            <w:r w:rsidRPr="004E1829">
              <w:rPr>
                <w:b w:val="0"/>
                <w:color w:val="000000" w:themeColor="text1"/>
              </w:rPr>
              <w:t>Housing and utility Services</w:t>
            </w:r>
          </w:p>
        </w:tc>
        <w:tc>
          <w:tcPr>
            <w:tcW w:w="906" w:type="dxa"/>
            <w:noWrap/>
            <w:hideMark/>
          </w:tcPr>
          <w:p w14:paraId="105E6BE3"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0.05</w:t>
            </w:r>
          </w:p>
        </w:tc>
        <w:tc>
          <w:tcPr>
            <w:tcW w:w="0" w:type="auto"/>
            <w:noWrap/>
            <w:hideMark/>
          </w:tcPr>
          <w:p w14:paraId="115DABC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0.05</w:t>
            </w:r>
          </w:p>
        </w:tc>
        <w:tc>
          <w:tcPr>
            <w:tcW w:w="0" w:type="auto"/>
            <w:noWrap/>
            <w:hideMark/>
          </w:tcPr>
          <w:p w14:paraId="51938945"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0.02</w:t>
            </w:r>
          </w:p>
        </w:tc>
        <w:tc>
          <w:tcPr>
            <w:tcW w:w="0" w:type="auto"/>
            <w:noWrap/>
            <w:hideMark/>
          </w:tcPr>
          <w:p w14:paraId="2405FAB4"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0.04</w:t>
            </w:r>
          </w:p>
        </w:tc>
        <w:tc>
          <w:tcPr>
            <w:tcW w:w="0" w:type="auto"/>
            <w:noWrap/>
            <w:hideMark/>
          </w:tcPr>
          <w:p w14:paraId="146F8EAE"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0.5%</w:t>
            </w:r>
          </w:p>
        </w:tc>
        <w:tc>
          <w:tcPr>
            <w:tcW w:w="0" w:type="auto"/>
            <w:noWrap/>
            <w:hideMark/>
          </w:tcPr>
          <w:p w14:paraId="16C1610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0.5%</w:t>
            </w:r>
          </w:p>
        </w:tc>
        <w:tc>
          <w:tcPr>
            <w:tcW w:w="0" w:type="auto"/>
            <w:noWrap/>
            <w:hideMark/>
          </w:tcPr>
          <w:p w14:paraId="13B4561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w:t>
            </w:r>
          </w:p>
        </w:tc>
        <w:tc>
          <w:tcPr>
            <w:tcW w:w="935" w:type="dxa"/>
            <w:noWrap/>
            <w:hideMark/>
          </w:tcPr>
          <w:p w14:paraId="085840B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0.4%</w:t>
            </w:r>
          </w:p>
        </w:tc>
      </w:tr>
      <w:tr w:rsidR="00D83684" w:rsidRPr="004E1829" w14:paraId="73CC5303"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EEC95C9" w14:textId="77777777" w:rsidR="004E1829" w:rsidRPr="004E1829" w:rsidRDefault="004E1829" w:rsidP="004E1829">
            <w:pPr>
              <w:spacing w:after="160" w:line="259" w:lineRule="auto"/>
              <w:rPr>
                <w:b w:val="0"/>
                <w:color w:val="000000" w:themeColor="text1"/>
              </w:rPr>
            </w:pPr>
            <w:r w:rsidRPr="004E1829">
              <w:rPr>
                <w:b w:val="0"/>
                <w:color w:val="000000" w:themeColor="text1"/>
              </w:rPr>
              <w:t>Healthcare</w:t>
            </w:r>
          </w:p>
        </w:tc>
        <w:tc>
          <w:tcPr>
            <w:tcW w:w="906" w:type="dxa"/>
            <w:noWrap/>
            <w:hideMark/>
          </w:tcPr>
          <w:p w14:paraId="053B2C85"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0.86</w:t>
            </w:r>
          </w:p>
        </w:tc>
        <w:tc>
          <w:tcPr>
            <w:tcW w:w="0" w:type="auto"/>
            <w:noWrap/>
            <w:hideMark/>
          </w:tcPr>
          <w:p w14:paraId="4A279E64"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0" w:type="auto"/>
            <w:noWrap/>
            <w:hideMark/>
          </w:tcPr>
          <w:p w14:paraId="6CF4456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1.07</w:t>
            </w:r>
          </w:p>
        </w:tc>
        <w:tc>
          <w:tcPr>
            <w:tcW w:w="0" w:type="auto"/>
            <w:noWrap/>
            <w:hideMark/>
          </w:tcPr>
          <w:p w14:paraId="72169F62"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68ED6A4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9.7%</w:t>
            </w:r>
          </w:p>
        </w:tc>
        <w:tc>
          <w:tcPr>
            <w:tcW w:w="0" w:type="auto"/>
            <w:noWrap/>
            <w:hideMark/>
          </w:tcPr>
          <w:p w14:paraId="7712695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185F7EF4"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10.3%</w:t>
            </w:r>
          </w:p>
        </w:tc>
        <w:tc>
          <w:tcPr>
            <w:tcW w:w="935" w:type="dxa"/>
            <w:noWrap/>
            <w:hideMark/>
          </w:tcPr>
          <w:p w14:paraId="22961C67"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9.6%</w:t>
            </w:r>
          </w:p>
        </w:tc>
      </w:tr>
      <w:tr w:rsidR="00D83684" w:rsidRPr="004E1829" w14:paraId="2D3DFE7F"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009991C1"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Recreation, culture and religion </w:t>
            </w:r>
          </w:p>
        </w:tc>
        <w:tc>
          <w:tcPr>
            <w:tcW w:w="906" w:type="dxa"/>
            <w:noWrap/>
            <w:hideMark/>
          </w:tcPr>
          <w:p w14:paraId="1E794FB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0.21</w:t>
            </w:r>
          </w:p>
        </w:tc>
        <w:tc>
          <w:tcPr>
            <w:tcW w:w="0" w:type="auto"/>
            <w:noWrap/>
            <w:hideMark/>
          </w:tcPr>
          <w:p w14:paraId="2EF4C91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0.27</w:t>
            </w:r>
          </w:p>
        </w:tc>
        <w:tc>
          <w:tcPr>
            <w:tcW w:w="0" w:type="auto"/>
            <w:noWrap/>
            <w:hideMark/>
          </w:tcPr>
          <w:p w14:paraId="7FD3955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0.26</w:t>
            </w:r>
          </w:p>
        </w:tc>
        <w:tc>
          <w:tcPr>
            <w:tcW w:w="0" w:type="auto"/>
            <w:noWrap/>
            <w:hideMark/>
          </w:tcPr>
          <w:p w14:paraId="7315173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0.32</w:t>
            </w:r>
          </w:p>
        </w:tc>
        <w:tc>
          <w:tcPr>
            <w:tcW w:w="0" w:type="auto"/>
            <w:noWrap/>
            <w:hideMark/>
          </w:tcPr>
          <w:p w14:paraId="0B286AB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2.3%</w:t>
            </w:r>
          </w:p>
        </w:tc>
        <w:tc>
          <w:tcPr>
            <w:tcW w:w="0" w:type="auto"/>
            <w:noWrap/>
            <w:hideMark/>
          </w:tcPr>
          <w:p w14:paraId="28934201"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2.9%</w:t>
            </w:r>
          </w:p>
        </w:tc>
        <w:tc>
          <w:tcPr>
            <w:tcW w:w="0" w:type="auto"/>
            <w:noWrap/>
            <w:hideMark/>
          </w:tcPr>
          <w:p w14:paraId="3457F170"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w:t>
            </w:r>
          </w:p>
        </w:tc>
        <w:tc>
          <w:tcPr>
            <w:tcW w:w="935" w:type="dxa"/>
            <w:noWrap/>
            <w:hideMark/>
          </w:tcPr>
          <w:p w14:paraId="2CD61DB2"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2.9%</w:t>
            </w:r>
          </w:p>
        </w:tc>
      </w:tr>
      <w:tr w:rsidR="00D83684" w:rsidRPr="004E1829" w14:paraId="7B403DB5" w14:textId="77777777" w:rsidTr="00B4618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3E5916E4"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Education </w:t>
            </w:r>
          </w:p>
        </w:tc>
        <w:tc>
          <w:tcPr>
            <w:tcW w:w="906" w:type="dxa"/>
            <w:noWrap/>
            <w:hideMark/>
          </w:tcPr>
          <w:p w14:paraId="7AD010FA"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0.90</w:t>
            </w:r>
          </w:p>
        </w:tc>
        <w:tc>
          <w:tcPr>
            <w:tcW w:w="0" w:type="auto"/>
            <w:noWrap/>
            <w:hideMark/>
          </w:tcPr>
          <w:p w14:paraId="1B283318"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0" w:type="auto"/>
            <w:noWrap/>
            <w:hideMark/>
          </w:tcPr>
          <w:p w14:paraId="703CE553"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1.17</w:t>
            </w:r>
          </w:p>
        </w:tc>
        <w:tc>
          <w:tcPr>
            <w:tcW w:w="0" w:type="auto"/>
            <w:noWrap/>
            <w:hideMark/>
          </w:tcPr>
          <w:p w14:paraId="6B369789"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1.24</w:t>
            </w:r>
          </w:p>
        </w:tc>
        <w:tc>
          <w:tcPr>
            <w:tcW w:w="0" w:type="auto"/>
            <w:noWrap/>
            <w:hideMark/>
          </w:tcPr>
          <w:p w14:paraId="286062AD"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10.2%</w:t>
            </w:r>
          </w:p>
        </w:tc>
        <w:tc>
          <w:tcPr>
            <w:tcW w:w="0" w:type="auto"/>
            <w:noWrap/>
            <w:hideMark/>
          </w:tcPr>
          <w:p w14:paraId="14B63CB9"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c>
          <w:tcPr>
            <w:tcW w:w="0" w:type="auto"/>
            <w:noWrap/>
            <w:hideMark/>
          </w:tcPr>
          <w:p w14:paraId="2E444FB0"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11.3%</w:t>
            </w:r>
          </w:p>
        </w:tc>
        <w:tc>
          <w:tcPr>
            <w:tcW w:w="935" w:type="dxa"/>
            <w:noWrap/>
            <w:hideMark/>
          </w:tcPr>
          <w:p w14:paraId="0DB1DB8C" w14:textId="77777777" w:rsidR="004E1829" w:rsidRPr="004E1829" w:rsidRDefault="004E1829" w:rsidP="004E1829">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4E1829">
              <w:rPr>
                <w:color w:val="000000" w:themeColor="text1"/>
              </w:rPr>
              <w:t>10.9%</w:t>
            </w:r>
          </w:p>
        </w:tc>
      </w:tr>
      <w:tr w:rsidR="00D83684" w:rsidRPr="004E1829" w14:paraId="25A597D0" w14:textId="77777777" w:rsidTr="00B4618E">
        <w:trPr>
          <w:trHeight w:val="285"/>
        </w:trPr>
        <w:tc>
          <w:tcPr>
            <w:cnfStyle w:val="001000000000" w:firstRow="0" w:lastRow="0" w:firstColumn="1" w:lastColumn="0" w:oddVBand="0" w:evenVBand="0" w:oddHBand="0" w:evenHBand="0" w:firstRowFirstColumn="0" w:firstRowLastColumn="0" w:lastRowFirstColumn="0" w:lastRowLastColumn="0"/>
            <w:tcW w:w="2243" w:type="dxa"/>
            <w:noWrap/>
            <w:hideMark/>
          </w:tcPr>
          <w:p w14:paraId="6A8C3D44" w14:textId="77777777" w:rsidR="004E1829" w:rsidRPr="004E1829" w:rsidRDefault="004E1829" w:rsidP="004E1829">
            <w:pPr>
              <w:spacing w:after="160" w:line="259" w:lineRule="auto"/>
              <w:rPr>
                <w:b w:val="0"/>
                <w:color w:val="000000" w:themeColor="text1"/>
              </w:rPr>
            </w:pPr>
            <w:r w:rsidRPr="004E1829">
              <w:rPr>
                <w:b w:val="0"/>
                <w:color w:val="000000" w:themeColor="text1"/>
              </w:rPr>
              <w:t xml:space="preserve">Social protection </w:t>
            </w:r>
          </w:p>
        </w:tc>
        <w:tc>
          <w:tcPr>
            <w:tcW w:w="906" w:type="dxa"/>
            <w:noWrap/>
            <w:hideMark/>
          </w:tcPr>
          <w:p w14:paraId="211744ED"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2.21</w:t>
            </w:r>
          </w:p>
        </w:tc>
        <w:tc>
          <w:tcPr>
            <w:tcW w:w="0" w:type="auto"/>
            <w:noWrap/>
            <w:hideMark/>
          </w:tcPr>
          <w:p w14:paraId="14BC0F2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2.41</w:t>
            </w:r>
          </w:p>
        </w:tc>
        <w:tc>
          <w:tcPr>
            <w:tcW w:w="0" w:type="auto"/>
            <w:noWrap/>
            <w:hideMark/>
          </w:tcPr>
          <w:p w14:paraId="0D9E9AA6"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2.55</w:t>
            </w:r>
          </w:p>
        </w:tc>
        <w:tc>
          <w:tcPr>
            <w:tcW w:w="0" w:type="auto"/>
            <w:noWrap/>
            <w:hideMark/>
          </w:tcPr>
          <w:p w14:paraId="189F845C"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2.68</w:t>
            </w:r>
          </w:p>
        </w:tc>
        <w:tc>
          <w:tcPr>
            <w:tcW w:w="0" w:type="auto"/>
            <w:noWrap/>
            <w:hideMark/>
          </w:tcPr>
          <w:p w14:paraId="3AA57DC9"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25.0%</w:t>
            </w:r>
          </w:p>
        </w:tc>
        <w:tc>
          <w:tcPr>
            <w:tcW w:w="0" w:type="auto"/>
            <w:noWrap/>
            <w:hideMark/>
          </w:tcPr>
          <w:p w14:paraId="79D762F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25.6%</w:t>
            </w:r>
          </w:p>
        </w:tc>
        <w:tc>
          <w:tcPr>
            <w:tcW w:w="0" w:type="auto"/>
            <w:noWrap/>
            <w:hideMark/>
          </w:tcPr>
          <w:p w14:paraId="56FD24A7"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24.6%</w:t>
            </w:r>
          </w:p>
        </w:tc>
        <w:tc>
          <w:tcPr>
            <w:tcW w:w="935" w:type="dxa"/>
            <w:noWrap/>
            <w:hideMark/>
          </w:tcPr>
          <w:p w14:paraId="4874030B" w14:textId="77777777" w:rsidR="004E1829" w:rsidRPr="004E1829" w:rsidRDefault="004E1829" w:rsidP="004E1829">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E1829">
              <w:rPr>
                <w:color w:val="000000" w:themeColor="text1"/>
              </w:rPr>
              <w:t>23.6%</w:t>
            </w:r>
          </w:p>
        </w:tc>
      </w:tr>
    </w:tbl>
    <w:p w14:paraId="5CBDBFBB" w14:textId="77777777" w:rsidR="004E1829" w:rsidRPr="004E1829" w:rsidRDefault="004E1829" w:rsidP="004E1829">
      <w:pPr>
        <w:pStyle w:val="NormalWeb"/>
        <w:spacing w:before="240" w:beforeAutospacing="0" w:after="0" w:afterAutospacing="0" w:line="360" w:lineRule="auto"/>
        <w:jc w:val="both"/>
        <w:rPr>
          <w:rFonts w:asciiTheme="minorHAnsi" w:eastAsiaTheme="minorHAnsi" w:hAnsiTheme="minorHAnsi" w:cstheme="minorHAnsi"/>
          <w:color w:val="000000" w:themeColor="text1"/>
        </w:rPr>
      </w:pPr>
      <w:r w:rsidRPr="004E1829">
        <w:rPr>
          <w:rFonts w:asciiTheme="minorHAnsi" w:eastAsiaTheme="minorHAnsi" w:hAnsiTheme="minorHAnsi" w:cstheme="minorHAnsi"/>
          <w:color w:val="000000" w:themeColor="text1"/>
        </w:rPr>
        <w:t>Source:</w:t>
      </w:r>
      <w:r w:rsidRPr="004E1829">
        <w:rPr>
          <w:rFonts w:asciiTheme="minorHAnsi" w:eastAsiaTheme="minorHAnsi" w:hAnsiTheme="minorHAnsi" w:cstheme="minorHAnsi"/>
          <w:b/>
          <w:color w:val="000000" w:themeColor="text1"/>
        </w:rPr>
        <w:t xml:space="preserve"> </w:t>
      </w:r>
      <w:r w:rsidRPr="004E1829">
        <w:rPr>
          <w:rFonts w:asciiTheme="minorHAnsi" w:eastAsiaTheme="minorHAnsi" w:hAnsiTheme="minorHAnsi" w:cstheme="minorHAnsi"/>
          <w:color w:val="000000" w:themeColor="text1"/>
        </w:rPr>
        <w:t>Ministry of Finance of Georgia</w:t>
      </w:r>
    </w:p>
    <w:p w14:paraId="76715979" w14:textId="77777777" w:rsidR="004E1829" w:rsidRDefault="004E1829" w:rsidP="004E1829">
      <w:pPr>
        <w:pStyle w:val="NormalWeb"/>
        <w:spacing w:before="0" w:beforeAutospacing="0" w:after="0" w:afterAutospacing="0" w:line="276" w:lineRule="auto"/>
        <w:jc w:val="both"/>
        <w:rPr>
          <w:rFonts w:asciiTheme="minorHAnsi" w:eastAsiaTheme="minorHAnsi" w:hAnsiTheme="minorHAnsi" w:cstheme="minorHAnsi"/>
          <w:i/>
          <w:color w:val="000000" w:themeColor="text1"/>
        </w:rPr>
      </w:pPr>
      <w:r w:rsidRPr="004E1829">
        <w:rPr>
          <w:rFonts w:asciiTheme="minorHAnsi" w:eastAsiaTheme="minorHAnsi" w:hAnsiTheme="minorHAnsi" w:cstheme="minorHAnsi"/>
          <w:i/>
          <w:color w:val="000000" w:themeColor="text1"/>
        </w:rPr>
        <w:t>Note: data for 2015, 2016 and 2017 are taken from the budget execution reports, while 2018 data comes from State Budget law for 2018 and therefore the data is preliminary</w:t>
      </w:r>
      <w:r>
        <w:rPr>
          <w:rFonts w:asciiTheme="minorHAnsi" w:eastAsiaTheme="minorHAnsi" w:hAnsiTheme="minorHAnsi" w:cstheme="minorHAnsi"/>
          <w:i/>
          <w:color w:val="000000" w:themeColor="text1"/>
        </w:rPr>
        <w:t xml:space="preserve">; * 2018 data is preliminary. </w:t>
      </w:r>
    </w:p>
    <w:p w14:paraId="7582706A" w14:textId="77777777" w:rsidR="004E1829" w:rsidRPr="004E1829" w:rsidRDefault="004E1829" w:rsidP="004E1829">
      <w:pPr>
        <w:pStyle w:val="NormalWeb"/>
        <w:spacing w:before="0" w:beforeAutospacing="0" w:after="0" w:afterAutospacing="0" w:line="276" w:lineRule="auto"/>
        <w:jc w:val="both"/>
        <w:rPr>
          <w:rFonts w:asciiTheme="minorHAnsi" w:eastAsiaTheme="minorHAnsi" w:hAnsiTheme="minorHAnsi" w:cstheme="minorHAnsi"/>
          <w:i/>
          <w:color w:val="000000" w:themeColor="text1"/>
        </w:rPr>
      </w:pPr>
    </w:p>
    <w:p w14:paraId="281F7D48" w14:textId="77777777" w:rsidR="00640899" w:rsidRPr="00640899" w:rsidRDefault="00640899" w:rsidP="00640899">
      <w:pPr>
        <w:spacing w:after="160" w:line="360" w:lineRule="auto"/>
        <w:jc w:val="both"/>
      </w:pPr>
      <w:r w:rsidRPr="00640899">
        <w:t xml:space="preserve">In September 2017, 324,717 households consisting of 977,055 individuals were registered in the unified database for socially vulnerable families. Out of 324,717 registered households, 132,051 </w:t>
      </w:r>
      <w:r w:rsidRPr="00640899">
        <w:lastRenderedPageBreak/>
        <w:t xml:space="preserve">(12.4% of total population, which is the same as 459,699 individuals - 12.3% of total population) received monthly cash benefit. In September 2017, monthly budget for transferred subsistence allowance was 21,128,468 GEL. </w:t>
      </w:r>
    </w:p>
    <w:p w14:paraId="5B1606DA" w14:textId="77777777" w:rsidR="002E1AED" w:rsidRPr="00640899" w:rsidRDefault="00640899" w:rsidP="00640899">
      <w:pPr>
        <w:spacing w:after="160" w:line="360" w:lineRule="auto"/>
        <w:jc w:val="both"/>
      </w:pPr>
      <w:r w:rsidRPr="00640899">
        <w:t>Substantial share of the state budget is devoted to healthcare.</w:t>
      </w:r>
      <w:r w:rsidR="002E1AED">
        <w:t xml:space="preserve"> </w:t>
      </w:r>
      <w:r w:rsidRPr="00640899">
        <w:t>According to 2015-2017 actual and 2018 preliminary data healthcare expenditure constituted 10.1% of the state budget on average. In 2016, grow</w:t>
      </w:r>
      <w:r w:rsidR="002333AF">
        <w:t>th of healthcare expenditure</w:t>
      </w:r>
      <w:r w:rsidRPr="00640899">
        <w:t xml:space="preserve"> equal</w:t>
      </w:r>
      <w:r w:rsidR="002333AF">
        <w:t xml:space="preserve">ed </w:t>
      </w:r>
      <w:r w:rsidRPr="00640899">
        <w:t>to 20%. Healthcare spendi</w:t>
      </w:r>
      <w:r w:rsidR="002333AF">
        <w:t>ng modestly declined in 2017 (down</w:t>
      </w:r>
      <w:r w:rsidRPr="00640899">
        <w:t xml:space="preserve"> 2.0%) and is still projected to increase by 9% in 2018.  The highest share of healthcare expenditure is devoted to the Universal Healthcare program</w:t>
      </w:r>
      <w:r w:rsidRPr="00640899">
        <w:rPr>
          <w:lang w:val="ka-GE"/>
        </w:rPr>
        <w:t xml:space="preserve">, </w:t>
      </w:r>
      <w:r w:rsidRPr="00640899">
        <w:t xml:space="preserve">which aims to prevent impoverishment of the households by financing their healthcare related costs.  </w:t>
      </w:r>
    </w:p>
    <w:p w14:paraId="7711AEE9" w14:textId="77777777" w:rsidR="00BD6878" w:rsidRPr="00C17F6B" w:rsidRDefault="00B27395" w:rsidP="00C17F6B">
      <w:pPr>
        <w:pStyle w:val="Heading1"/>
      </w:pPr>
      <w:bookmarkStart w:id="63" w:name="_Toc508719875"/>
      <w:bookmarkStart w:id="64" w:name="_Toc508721120"/>
      <w:bookmarkStart w:id="65" w:name="_Toc508721263"/>
      <w:bookmarkStart w:id="66" w:name="_Toc508722269"/>
      <w:r w:rsidRPr="00C17F6B">
        <w:t>Conclusions</w:t>
      </w:r>
      <w:bookmarkEnd w:id="63"/>
      <w:bookmarkEnd w:id="64"/>
      <w:bookmarkEnd w:id="65"/>
      <w:bookmarkEnd w:id="66"/>
      <w:r w:rsidRPr="00C17F6B">
        <w:t xml:space="preserve"> </w:t>
      </w:r>
    </w:p>
    <w:p w14:paraId="7C70190D" w14:textId="77777777" w:rsidR="00750275" w:rsidRDefault="005D50F3" w:rsidP="00BD6878">
      <w:pPr>
        <w:spacing w:before="240" w:line="360" w:lineRule="auto"/>
        <w:jc w:val="both"/>
        <w:rPr>
          <w:rStyle w:val="Emphasis"/>
          <w:bCs/>
          <w:i w:val="0"/>
          <w:iCs w:val="0"/>
        </w:rPr>
      </w:pPr>
      <w:r>
        <w:t xml:space="preserve">The overview of socio-economic indicators, within the current economic context, has shown both disconcerting and encouraging trends in Georgia. </w:t>
      </w:r>
      <w:r w:rsidR="00AE48D5" w:rsidRPr="000B01F0">
        <w:t xml:space="preserve">Georgia’s macroeconomic outlook was deteriorated in 2015 and 2016. Real economic growth rate, i.e. growth rate adjusted for inflation stood at 2.9% </w:t>
      </w:r>
      <w:r w:rsidR="00AE48D5">
        <w:t xml:space="preserve">and 2.8% in 2015 and 2016 respectively. However, </w:t>
      </w:r>
      <w:r w:rsidR="00AE48D5">
        <w:rPr>
          <w:rStyle w:val="Emphasis"/>
          <w:bCs/>
          <w:i w:val="0"/>
          <w:iCs w:val="0"/>
        </w:rPr>
        <w:t>t</w:t>
      </w:r>
      <w:r w:rsidR="00AE48D5" w:rsidRPr="00AF502E">
        <w:rPr>
          <w:rStyle w:val="Emphasis"/>
          <w:bCs/>
          <w:i w:val="0"/>
          <w:iCs w:val="0"/>
        </w:rPr>
        <w:t xml:space="preserve">he economy of Georgia </w:t>
      </w:r>
      <w:r w:rsidR="00AE48D5">
        <w:rPr>
          <w:rStyle w:val="Emphasis"/>
          <w:bCs/>
          <w:i w:val="0"/>
          <w:iCs w:val="0"/>
        </w:rPr>
        <w:t xml:space="preserve">underwent </w:t>
      </w:r>
      <w:r w:rsidR="00AE48D5" w:rsidRPr="00AF502E">
        <w:rPr>
          <w:rStyle w:val="Emphasis"/>
          <w:bCs/>
          <w:i w:val="0"/>
          <w:iCs w:val="0"/>
        </w:rPr>
        <w:t>a recovery in 2017 on the back of strong export performance, fast-growing tourism and increasing remittances.</w:t>
      </w:r>
      <w:r w:rsidR="00AE48D5">
        <w:t xml:space="preserve"> </w:t>
      </w:r>
      <w:r w:rsidR="00AE48D5">
        <w:rPr>
          <w:rStyle w:val="Emphasis"/>
          <w:bCs/>
          <w:i w:val="0"/>
          <w:iCs w:val="0"/>
        </w:rPr>
        <w:t>R</w:t>
      </w:r>
      <w:r w:rsidR="00AE48D5" w:rsidRPr="00AF502E">
        <w:rPr>
          <w:rStyle w:val="Emphasis"/>
          <w:bCs/>
          <w:i w:val="0"/>
          <w:iCs w:val="0"/>
        </w:rPr>
        <w:t xml:space="preserve">eal GDP average growth in the fourth quarter of 2017 stood at 4.7% and </w:t>
      </w:r>
      <w:r w:rsidR="00AE48D5">
        <w:rPr>
          <w:rStyle w:val="Emphasis"/>
          <w:bCs/>
          <w:i w:val="0"/>
          <w:iCs w:val="0"/>
        </w:rPr>
        <w:t xml:space="preserve">in 2017 it equaled 4.8%.  </w:t>
      </w:r>
    </w:p>
    <w:p w14:paraId="737E0407" w14:textId="77777777" w:rsidR="00776A4D" w:rsidRDefault="00F873CB" w:rsidP="00F873CB">
      <w:pPr>
        <w:spacing w:before="240" w:line="360" w:lineRule="auto"/>
        <w:jc w:val="both"/>
        <w:rPr>
          <w:color w:val="000000"/>
        </w:rPr>
      </w:pPr>
      <w:r>
        <w:rPr>
          <w:color w:val="000000"/>
        </w:rPr>
        <w:t xml:space="preserve">As a matter of fact, headline inflation increased by 7.6% in July 2017 compared to July 2015. In the same time interval, the greatest pressure on the consumer price changes was put by the growth in prices of </w:t>
      </w:r>
      <w:r w:rsidRPr="006D6804">
        <w:rPr>
          <w:color w:val="000000"/>
          <w:highlight w:val="cyan"/>
        </w:rPr>
        <w:t>food and non-alcoholic beverages (up 8.3%), prices of alcoholic beverages and tobacco (up 32.6%) and prices of healthcare products and services (up 11.3%).</w:t>
      </w:r>
      <w:r>
        <w:rPr>
          <w:color w:val="000000"/>
        </w:rPr>
        <w:t xml:space="preserve"> </w:t>
      </w:r>
    </w:p>
    <w:p w14:paraId="446D6792" w14:textId="77777777" w:rsidR="005B2EF1" w:rsidRPr="005B2EF1" w:rsidRDefault="00B34D8F" w:rsidP="005B2EF1">
      <w:pPr>
        <w:spacing w:before="240" w:line="360" w:lineRule="auto"/>
        <w:jc w:val="both"/>
        <w:rPr>
          <w:rStyle w:val="Emphasis"/>
          <w:i w:val="0"/>
          <w:iCs w:val="0"/>
        </w:rPr>
      </w:pPr>
      <w:r>
        <w:t>In 2016, urban unemployment rate signific</w:t>
      </w:r>
      <w:bookmarkStart w:id="67" w:name="_GoBack"/>
      <w:bookmarkEnd w:id="67"/>
      <w:r>
        <w:t>antly prevailed rural unemployment rate (21.1% vs 5.0%). This is mainly related to extensive self-employment in agriculture in rural areas. Besides, unemployment rate by age groups shows that in 2016, young people aged 15-19 and 20-24 continued to be the most disadvantaged. The unemployment rate reached the highest level for the age group of 15-19 (31.9%), which is 5.7 percentage points higher compared to the last year’s indicator. Also, it was high for the age group of 15-24 and amounted to 30.0%</w:t>
      </w:r>
      <w:r w:rsidR="003233A0">
        <w:t xml:space="preserve">. </w:t>
      </w:r>
      <w:r w:rsidR="005132C2" w:rsidRPr="00661400">
        <w:t xml:space="preserve">Overall, between </w:t>
      </w:r>
      <w:r w:rsidR="005132C2" w:rsidRPr="00661400">
        <w:lastRenderedPageBreak/>
        <w:t xml:space="preserve">2010 and 2016, the unemployment rate in Georgia fell from 16.3% to </w:t>
      </w:r>
      <w:r w:rsidR="005132C2">
        <w:t xml:space="preserve">11.8%. However, it is still high and remains as a challenge for Georgia. </w:t>
      </w:r>
      <w:r w:rsidR="005B2EF1">
        <w:rPr>
          <w:rStyle w:val="Emphasis"/>
          <w:i w:val="0"/>
          <w:iCs w:val="0"/>
          <w:color w:val="000000" w:themeColor="text1"/>
          <w:shd w:val="clear" w:color="auto" w:fill="FFFFFF"/>
        </w:rPr>
        <w:t xml:space="preserve">The average Georgian earned 940.0 GEL per month in 2016, up from 597.6 in 2010 (see Figure 10). The annual growth rate of the average monthly nominal salary stood at 4.4% in 2016 compared to the previous year. In the same period, real salary adjusted for 2010 prices increased by 2.2%. </w:t>
      </w:r>
    </w:p>
    <w:p w14:paraId="342B1C97" w14:textId="77777777" w:rsidR="00A32E56" w:rsidRDefault="003135BC" w:rsidP="003135BC">
      <w:pPr>
        <w:spacing w:before="240" w:line="360" w:lineRule="auto"/>
        <w:jc w:val="both"/>
        <w:rPr>
          <w:color w:val="000000"/>
        </w:rPr>
      </w:pPr>
      <w:r w:rsidRPr="00670961">
        <w:rPr>
          <w:color w:val="000000"/>
        </w:rPr>
        <w:t xml:space="preserve">In accordance with official statistics, the average </w:t>
      </w:r>
      <w:r>
        <w:rPr>
          <w:color w:val="000000"/>
        </w:rPr>
        <w:t xml:space="preserve">monthly income </w:t>
      </w:r>
      <w:r w:rsidRPr="00670961">
        <w:rPr>
          <w:color w:val="000000"/>
        </w:rPr>
        <w:t>per household increased by 1.</w:t>
      </w:r>
      <w:r>
        <w:rPr>
          <w:color w:val="000000"/>
        </w:rPr>
        <w:t>6</w:t>
      </w:r>
      <w:r w:rsidRPr="00670961">
        <w:rPr>
          <w:color w:val="000000"/>
        </w:rPr>
        <w:t xml:space="preserve"> times from 2010 to 2016. This translates to almost </w:t>
      </w:r>
      <w:r>
        <w:rPr>
          <w:color w:val="000000"/>
        </w:rPr>
        <w:t>9.1</w:t>
      </w:r>
      <w:r w:rsidRPr="00670961">
        <w:rPr>
          <w:color w:val="000000"/>
        </w:rPr>
        <w:t xml:space="preserve">% of year-to-year growth. In the same time interval, average </w:t>
      </w:r>
      <w:r>
        <w:rPr>
          <w:color w:val="000000"/>
        </w:rPr>
        <w:t>monthly expenditure surged by 1.7 times (9.2</w:t>
      </w:r>
      <w:r w:rsidRPr="00670961">
        <w:rPr>
          <w:color w:val="000000"/>
        </w:rPr>
        <w:t>% of ye</w:t>
      </w:r>
      <w:r>
        <w:rPr>
          <w:color w:val="000000"/>
        </w:rPr>
        <w:t xml:space="preserve">ar-to-year growth). The average monthly income per capita rose from 284.5 GEL in 2015 to 294.2 GEL in 2016, a 3.4% increase. </w:t>
      </w:r>
      <w:r w:rsidR="00A32E56">
        <w:rPr>
          <w:rFonts w:eastAsia="Calibri"/>
        </w:rPr>
        <w:t>I</w:t>
      </w:r>
      <w:r w:rsidR="00A32E56" w:rsidRPr="00B06803">
        <w:rPr>
          <w:rFonts w:eastAsia="Calibri"/>
        </w:rPr>
        <w:t>n 2016, average monthly</w:t>
      </w:r>
      <w:r w:rsidR="00A32E56" w:rsidRPr="00AC0ABC">
        <w:rPr>
          <w:rFonts w:eastAsia="Calibri"/>
        </w:rPr>
        <w:t xml:space="preserve"> expenditure </w:t>
      </w:r>
      <w:r w:rsidR="00A32E56" w:rsidRPr="00B06803">
        <w:rPr>
          <w:rFonts w:eastAsia="Calibri"/>
        </w:rPr>
        <w:t xml:space="preserve">(289.7 GEL) </w:t>
      </w:r>
      <w:r w:rsidR="00A32E56" w:rsidRPr="00AC0ABC">
        <w:rPr>
          <w:rFonts w:eastAsia="Calibri"/>
        </w:rPr>
        <w:t xml:space="preserve">per capita in </w:t>
      </w:r>
      <w:r w:rsidR="00A32E56" w:rsidRPr="00B06803">
        <w:rPr>
          <w:rFonts w:eastAsia="Calibri"/>
        </w:rPr>
        <w:t xml:space="preserve">Georgia </w:t>
      </w:r>
      <w:r w:rsidR="00A32E56" w:rsidRPr="00AC0ABC">
        <w:rPr>
          <w:rFonts w:eastAsia="Calibri"/>
        </w:rPr>
        <w:t xml:space="preserve">increased by </w:t>
      </w:r>
      <w:r w:rsidR="00A32E56" w:rsidRPr="00B06803">
        <w:rPr>
          <w:rFonts w:eastAsia="Calibri"/>
        </w:rPr>
        <w:t xml:space="preserve">3.6% </w:t>
      </w:r>
      <w:r w:rsidR="00A32E56" w:rsidRPr="00AC0ABC">
        <w:rPr>
          <w:rFonts w:eastAsia="Calibri"/>
        </w:rPr>
        <w:t>in contrast to the previous year.</w:t>
      </w:r>
    </w:p>
    <w:p w14:paraId="74F48A72" w14:textId="77777777" w:rsidR="00184E70" w:rsidRPr="003135BC" w:rsidRDefault="00184E70" w:rsidP="00184E70">
      <w:pPr>
        <w:spacing w:before="240" w:line="360" w:lineRule="auto"/>
        <w:jc w:val="both"/>
      </w:pPr>
      <w:r w:rsidRPr="00B14D7C">
        <w:t xml:space="preserve">In 2017, the state budget of Georgia amounted </w:t>
      </w:r>
      <w:r>
        <w:t xml:space="preserve">to </w:t>
      </w:r>
      <w:r w:rsidRPr="00B14D7C">
        <w:t xml:space="preserve">10.17 billion GEL. Aggregate </w:t>
      </w:r>
      <w:r>
        <w:t xml:space="preserve">government spending </w:t>
      </w:r>
      <w:r w:rsidRPr="00B14D7C">
        <w:t xml:space="preserve">is </w:t>
      </w:r>
      <w:r>
        <w:t xml:space="preserve">projected </w:t>
      </w:r>
      <w:r w:rsidRPr="00B14D7C">
        <w:t xml:space="preserve">to </w:t>
      </w:r>
      <w:r>
        <w:t xml:space="preserve">be </w:t>
      </w:r>
      <w:r w:rsidRPr="00B14D7C">
        <w:t>1</w:t>
      </w:r>
      <w:r>
        <w:t>1.35 billion GEL in 2018, 11.6% increase compared to the last year.</w:t>
      </w:r>
      <w:r w:rsidR="009377F8" w:rsidRPr="009377F8">
        <w:t xml:space="preserve"> </w:t>
      </w:r>
      <w:r w:rsidR="009377F8" w:rsidRPr="00B14D7C">
        <w:t xml:space="preserve">The largest share of </w:t>
      </w:r>
      <w:r w:rsidR="009377F8">
        <w:t xml:space="preserve">the </w:t>
      </w:r>
      <w:r w:rsidR="009377F8" w:rsidRPr="00B14D7C">
        <w:t>state budget is alloc</w:t>
      </w:r>
      <w:r w:rsidR="009377F8">
        <w:t>ated to</w:t>
      </w:r>
      <w:r w:rsidR="009377F8" w:rsidRPr="00B14D7C">
        <w:t xml:space="preserve"> social protection. Compared to</w:t>
      </w:r>
      <w:r w:rsidR="009377F8">
        <w:t xml:space="preserve"> 2015, </w:t>
      </w:r>
      <w:r w:rsidR="009377F8" w:rsidRPr="00B14D7C">
        <w:t>expenditure on social protec</w:t>
      </w:r>
      <w:r w:rsidR="009377F8">
        <w:t xml:space="preserve">tion surged by 9.2% in 2016 and </w:t>
      </w:r>
      <w:r w:rsidR="009377F8" w:rsidRPr="00B14D7C">
        <w:t>5.6% in 2017</w:t>
      </w:r>
      <w:r w:rsidR="009377F8">
        <w:t xml:space="preserve">.  </w:t>
      </w:r>
    </w:p>
    <w:p w14:paraId="64701D17" w14:textId="77777777" w:rsidR="00750275" w:rsidRDefault="00750275" w:rsidP="00BD6878">
      <w:pPr>
        <w:spacing w:before="240" w:line="360" w:lineRule="auto"/>
        <w:jc w:val="both"/>
      </w:pPr>
    </w:p>
    <w:p w14:paraId="3C18E7ED" w14:textId="77777777" w:rsidR="00750275" w:rsidRPr="00750275" w:rsidRDefault="00750275" w:rsidP="00BD6878">
      <w:pPr>
        <w:spacing w:before="240" w:line="360" w:lineRule="auto"/>
        <w:jc w:val="both"/>
        <w:rPr>
          <w:bCs/>
        </w:rPr>
      </w:pPr>
    </w:p>
    <w:p w14:paraId="22865082" w14:textId="77777777" w:rsidR="00654B40" w:rsidRDefault="00654B40" w:rsidP="00AA3B17">
      <w:pPr>
        <w:spacing w:before="240" w:line="360" w:lineRule="auto"/>
        <w:jc w:val="both"/>
        <w:rPr>
          <w:bCs/>
        </w:rPr>
      </w:pPr>
    </w:p>
    <w:p w14:paraId="15CB43CD" w14:textId="77777777" w:rsidR="00654B40" w:rsidRDefault="00654B40" w:rsidP="00AA3B17">
      <w:pPr>
        <w:spacing w:before="240" w:line="360" w:lineRule="auto"/>
        <w:jc w:val="both"/>
        <w:rPr>
          <w:bCs/>
        </w:rPr>
      </w:pPr>
    </w:p>
    <w:p w14:paraId="31F4C845" w14:textId="77777777" w:rsidR="00654B40" w:rsidRDefault="00654B40" w:rsidP="00AA3B17">
      <w:pPr>
        <w:spacing w:before="240" w:line="360" w:lineRule="auto"/>
        <w:jc w:val="both"/>
        <w:rPr>
          <w:bCs/>
        </w:rPr>
      </w:pPr>
    </w:p>
    <w:p w14:paraId="16B3CCC5" w14:textId="77777777" w:rsidR="00F418AF" w:rsidRDefault="00F418AF" w:rsidP="00D93B3F">
      <w:pPr>
        <w:autoSpaceDE w:val="0"/>
        <w:autoSpaceDN w:val="0"/>
        <w:adjustRightInd w:val="0"/>
        <w:spacing w:after="0" w:line="240" w:lineRule="auto"/>
        <w:rPr>
          <w:rFonts w:ascii="OpenSans" w:hAnsi="OpenSans" w:cs="OpenSans"/>
          <w:sz w:val="20"/>
          <w:szCs w:val="20"/>
        </w:rPr>
      </w:pPr>
    </w:p>
    <w:p w14:paraId="0AC362E8" w14:textId="77777777" w:rsidR="00190802" w:rsidRDefault="00190802" w:rsidP="00CC4AC7">
      <w:pPr>
        <w:spacing w:before="240" w:line="360" w:lineRule="auto"/>
        <w:jc w:val="both"/>
      </w:pPr>
    </w:p>
    <w:p w14:paraId="04B620BF" w14:textId="77777777" w:rsidR="006729FE" w:rsidRDefault="006729FE" w:rsidP="00CC4AC7">
      <w:pPr>
        <w:spacing w:before="240" w:line="360" w:lineRule="auto"/>
        <w:jc w:val="both"/>
        <w:rPr>
          <w:b/>
          <w:sz w:val="28"/>
          <w:szCs w:val="28"/>
        </w:rPr>
      </w:pPr>
    </w:p>
    <w:p w14:paraId="5A12F748" w14:textId="77777777" w:rsidR="002A41A9" w:rsidRPr="00C17F6B" w:rsidRDefault="00025F96" w:rsidP="00C924D1">
      <w:pPr>
        <w:pStyle w:val="Heading1"/>
        <w:numPr>
          <w:ilvl w:val="0"/>
          <w:numId w:val="0"/>
        </w:numPr>
        <w:spacing w:before="0" w:after="240"/>
        <w:ind w:left="360" w:hanging="360"/>
      </w:pPr>
      <w:bookmarkStart w:id="68" w:name="_Toc508719876"/>
      <w:bookmarkStart w:id="69" w:name="_Toc508721121"/>
      <w:bookmarkStart w:id="70" w:name="_Toc508721264"/>
      <w:bookmarkStart w:id="71" w:name="_Toc508722270"/>
      <w:r w:rsidRPr="00C17F6B">
        <w:lastRenderedPageBreak/>
        <w:t>References</w:t>
      </w:r>
      <w:bookmarkEnd w:id="68"/>
      <w:bookmarkEnd w:id="69"/>
      <w:bookmarkEnd w:id="70"/>
      <w:bookmarkEnd w:id="71"/>
      <w:r w:rsidRPr="00C17F6B">
        <w:t xml:space="preserve"> </w:t>
      </w:r>
    </w:p>
    <w:p w14:paraId="24A57254" w14:textId="77777777" w:rsidR="00BD4EFD" w:rsidRDefault="00BD4EFD" w:rsidP="00C924D1">
      <w:pPr>
        <w:spacing w:after="0"/>
        <w:rPr>
          <w:rFonts w:eastAsia="Calibri"/>
        </w:rPr>
      </w:pPr>
      <w:r>
        <w:rPr>
          <w:rFonts w:eastAsia="Calibri"/>
        </w:rPr>
        <w:t xml:space="preserve">Asian Development Bank </w:t>
      </w:r>
      <w:r w:rsidRPr="007A6A71">
        <w:rPr>
          <w:rFonts w:eastAsia="Calibri"/>
        </w:rPr>
        <w:t>2017, “Asian Development Outlook</w:t>
      </w:r>
      <w:r>
        <w:rPr>
          <w:rFonts w:eastAsia="Calibri"/>
        </w:rPr>
        <w:t xml:space="preserve"> Update</w:t>
      </w:r>
      <w:r w:rsidRPr="007A6A71">
        <w:rPr>
          <w:rFonts w:eastAsia="Calibri"/>
        </w:rPr>
        <w:t>”, available at:</w:t>
      </w:r>
    </w:p>
    <w:p w14:paraId="7A1FCCF0" w14:textId="77777777" w:rsidR="00BD4EFD" w:rsidRDefault="003B271A" w:rsidP="00C924D1">
      <w:pPr>
        <w:spacing w:after="0"/>
        <w:rPr>
          <w:rFonts w:eastAsia="Calibri"/>
        </w:rPr>
      </w:pPr>
      <w:hyperlink w:history="1">
        <w:r w:rsidR="00BD4EFD" w:rsidRPr="002F0E63">
          <w:rPr>
            <w:rStyle w:val="Hyperlink"/>
            <w:rFonts w:cstheme="minorHAnsi"/>
          </w:rPr>
          <w:t>https://www .adb.org/sites/default/files/publication/365701/ado2017-update.pdf</w:t>
        </w:r>
      </w:hyperlink>
      <w:r w:rsidR="00BD4EFD">
        <w:t xml:space="preserve"> </w:t>
      </w:r>
      <w:r w:rsidR="00BD4EFD" w:rsidRPr="007A6A71">
        <w:rPr>
          <w:rFonts w:eastAsia="Calibri"/>
        </w:rPr>
        <w:t xml:space="preserve">(accessed 27 February, 2018). </w:t>
      </w:r>
    </w:p>
    <w:p w14:paraId="31061DE2" w14:textId="77777777" w:rsidR="00BD4EFD" w:rsidRDefault="00BD4EFD" w:rsidP="00BD4EFD">
      <w:pPr>
        <w:spacing w:after="0"/>
        <w:rPr>
          <w:rFonts w:eastAsia="Calibri"/>
        </w:rPr>
      </w:pPr>
    </w:p>
    <w:p w14:paraId="52B522F8" w14:textId="77777777" w:rsidR="00BD4EFD" w:rsidRDefault="00BD4EFD" w:rsidP="00BD4EFD">
      <w:pPr>
        <w:spacing w:after="160"/>
      </w:pPr>
      <w:r>
        <w:t xml:space="preserve">European Bank for Reconstruction and Development 2017, “Regional Economic Prospects in EBRD Countries of Operations”, available at: </w:t>
      </w:r>
      <w:hyperlink r:id="rId24" w:history="1">
        <w:r w:rsidRPr="002F0E63">
          <w:rPr>
            <w:rStyle w:val="Hyperlink"/>
            <w:rFonts w:cstheme="minorHAnsi"/>
          </w:rPr>
          <w:t>http://www.ebrd.com/documents/oce/regional-economic-prospects.pdf</w:t>
        </w:r>
      </w:hyperlink>
      <w:r>
        <w:t xml:space="preserve"> (accessed 21 February, 2018). </w:t>
      </w:r>
    </w:p>
    <w:p w14:paraId="0A0B62F5" w14:textId="77777777" w:rsidR="00BD4EFD" w:rsidRDefault="00BD4EFD" w:rsidP="00BD4EFD">
      <w:pPr>
        <w:pStyle w:val="Default"/>
        <w:rPr>
          <w:rFonts w:asciiTheme="minorHAnsi" w:eastAsia="Calibri" w:hAnsiTheme="minorHAnsi" w:cstheme="minorHAnsi"/>
        </w:rPr>
      </w:pPr>
    </w:p>
    <w:p w14:paraId="71E002D4" w14:textId="77777777" w:rsidR="00BD4EFD" w:rsidRDefault="00BD4EFD" w:rsidP="00BD4EFD">
      <w:pPr>
        <w:pStyle w:val="Default"/>
        <w:rPr>
          <w:rFonts w:asciiTheme="minorHAnsi" w:eastAsia="Calibri" w:hAnsiTheme="minorHAnsi" w:cstheme="minorHAnsi"/>
        </w:rPr>
      </w:pPr>
      <w:r w:rsidRPr="00FF44CA">
        <w:rPr>
          <w:rFonts w:asciiTheme="minorHAnsi" w:eastAsia="Calibri" w:hAnsiTheme="minorHAnsi" w:cstheme="minorHAnsi"/>
        </w:rPr>
        <w:t>International Monetary Fund (2017), “World Economic Outlook”, available at:</w:t>
      </w:r>
      <w:r w:rsidRPr="00FF44CA">
        <w:rPr>
          <w:rFonts w:asciiTheme="minorHAnsi" w:hAnsiTheme="minorHAnsi" w:cstheme="minorHAnsi"/>
        </w:rPr>
        <w:t xml:space="preserve"> </w:t>
      </w:r>
      <w:hyperlink w:history="1">
        <w:r w:rsidRPr="00FF44CA">
          <w:rPr>
            <w:rStyle w:val="Hyperlink"/>
            <w:rFonts w:asciiTheme="minorHAnsi" w:hAnsiTheme="minorHAnsi" w:cstheme="minorHAnsi"/>
          </w:rPr>
          <w:t>http:// www .imf .org/en/Publications/WEO/Issues/2017/04/04/world-economic-outlook-april-2017</w:t>
        </w:r>
      </w:hyperlink>
      <w:r w:rsidRPr="00FF44CA">
        <w:rPr>
          <w:rFonts w:asciiTheme="minorHAnsi" w:hAnsiTheme="minorHAnsi" w:cstheme="minorHAnsi"/>
        </w:rPr>
        <w:t xml:space="preserve"> </w:t>
      </w:r>
      <w:r w:rsidRPr="00FF44CA">
        <w:rPr>
          <w:rFonts w:asciiTheme="minorHAnsi" w:eastAsia="Calibri" w:hAnsiTheme="minorHAnsi" w:cstheme="minorHAnsi"/>
        </w:rPr>
        <w:t xml:space="preserve">(accessed 24 February, 2018). </w:t>
      </w:r>
    </w:p>
    <w:p w14:paraId="39D97734" w14:textId="77777777" w:rsidR="00BD4EFD" w:rsidRDefault="00BD4EFD" w:rsidP="00BD4EFD">
      <w:pPr>
        <w:spacing w:after="0"/>
        <w:rPr>
          <w:rFonts w:eastAsia="Calibri"/>
        </w:rPr>
      </w:pPr>
    </w:p>
    <w:p w14:paraId="66BEC6DA" w14:textId="77777777" w:rsidR="007A6A71" w:rsidRDefault="00A60FB2" w:rsidP="00BD4EFD">
      <w:pPr>
        <w:spacing w:after="160"/>
      </w:pPr>
      <w:r>
        <w:rPr>
          <w:noProof/>
        </w:rPr>
        <w:t>Ministry of Economy and Sustainable Development of Georgia (2017), “Labour Market Analysis of Georgia”</w:t>
      </w:r>
      <w:r w:rsidR="00934D28">
        <w:rPr>
          <w:noProof/>
        </w:rPr>
        <w:t xml:space="preserve">, available at: </w:t>
      </w:r>
      <w:hyperlink r:id="rId25" w:history="1">
        <w:r w:rsidR="005C769E" w:rsidRPr="002F0E63">
          <w:rPr>
            <w:rStyle w:val="Hyperlink"/>
            <w:rFonts w:cstheme="minorHAnsi"/>
            <w:noProof/>
          </w:rPr>
          <w:t>http://www.lmis.gov.ge/Lmis/Lmis.Portal.Web/Handlers/GetFile.ashx?Type=Content&amp;ID=b0c44289-6d97-44a7-b59a-336ca9b885c7</w:t>
        </w:r>
      </w:hyperlink>
      <w:r w:rsidR="005C769E">
        <w:rPr>
          <w:noProof/>
        </w:rPr>
        <w:t xml:space="preserve"> </w:t>
      </w:r>
      <w:r w:rsidR="002A41A9">
        <w:t xml:space="preserve">(accessed </w:t>
      </w:r>
      <w:r w:rsidR="007A6A71">
        <w:t xml:space="preserve">26 </w:t>
      </w:r>
      <w:r w:rsidR="002A41A9">
        <w:t>February, 2018).</w:t>
      </w:r>
      <w:r w:rsidR="005C769E">
        <w:t xml:space="preserve"> </w:t>
      </w:r>
    </w:p>
    <w:p w14:paraId="3FDF858B" w14:textId="77777777" w:rsidR="00BD4EFD" w:rsidRDefault="00BD4EFD" w:rsidP="00BD4EFD">
      <w:pPr>
        <w:autoSpaceDE w:val="0"/>
        <w:autoSpaceDN w:val="0"/>
        <w:adjustRightInd w:val="0"/>
        <w:spacing w:after="0"/>
      </w:pPr>
      <w:r>
        <w:t>Ministry of Finance of Georgia (2017), “State Budget E</w:t>
      </w:r>
      <w:r w:rsidRPr="00674A2D">
        <w:t>xpenditure</w:t>
      </w:r>
      <w:r>
        <w:t xml:space="preserve">”, available at:  </w:t>
      </w:r>
    </w:p>
    <w:p w14:paraId="7D12F1FF" w14:textId="77777777" w:rsidR="00BD4EFD" w:rsidRDefault="003B271A" w:rsidP="00BD4EFD">
      <w:pPr>
        <w:autoSpaceDE w:val="0"/>
        <w:autoSpaceDN w:val="0"/>
        <w:adjustRightInd w:val="0"/>
        <w:spacing w:after="0"/>
      </w:pPr>
      <w:hyperlink r:id="rId26" w:history="1">
        <w:r w:rsidR="00BD4EFD" w:rsidRPr="002F0E63">
          <w:rPr>
            <w:rStyle w:val="Hyperlink"/>
            <w:rFonts w:cstheme="minorHAnsi"/>
          </w:rPr>
          <w:t>http://mof.ge/images/File/biujetis-kanoni2018/tavebi/III_TAVI_11.12.2017.pdf</w:t>
        </w:r>
      </w:hyperlink>
      <w:r w:rsidR="00BD4EFD">
        <w:t xml:space="preserve"> (accessed 22 February, 2018). </w:t>
      </w:r>
    </w:p>
    <w:p w14:paraId="5ADAAEEF" w14:textId="77777777" w:rsidR="00934D28" w:rsidRPr="00FF44CA" w:rsidRDefault="00934D28" w:rsidP="00BD4EFD">
      <w:pPr>
        <w:pStyle w:val="Default"/>
      </w:pPr>
    </w:p>
    <w:p w14:paraId="1275E4DD" w14:textId="77777777" w:rsidR="00FF44CA" w:rsidRDefault="00ED497B" w:rsidP="00BD4EFD">
      <w:pPr>
        <w:autoSpaceDE w:val="0"/>
        <w:autoSpaceDN w:val="0"/>
        <w:adjustRightInd w:val="0"/>
        <w:spacing w:after="0"/>
      </w:pPr>
      <w:r>
        <w:t xml:space="preserve">National Bank of Georgia (2016), “Annual Report 2016”, available at: </w:t>
      </w:r>
      <w:hyperlink w:history="1">
        <w:r w:rsidRPr="002F0E63">
          <w:rPr>
            <w:rStyle w:val="Hyperlink"/>
            <w:rFonts w:cstheme="minorHAnsi"/>
          </w:rPr>
          <w:t>https://www. nbg. gov. ge/ uploads/publications/annualreport/2017/annual2016eng_101017.pdf</w:t>
        </w:r>
      </w:hyperlink>
      <w:r>
        <w:t xml:space="preserve"> (accessed 23 February, 2018).  </w:t>
      </w:r>
    </w:p>
    <w:p w14:paraId="4FD9A430" w14:textId="77777777" w:rsidR="00934D28" w:rsidRDefault="00934D28" w:rsidP="00BD4EFD">
      <w:pPr>
        <w:autoSpaceDE w:val="0"/>
        <w:autoSpaceDN w:val="0"/>
        <w:adjustRightInd w:val="0"/>
        <w:spacing w:after="0"/>
      </w:pPr>
    </w:p>
    <w:p w14:paraId="6B7C9E3A" w14:textId="77777777" w:rsidR="00ED497B" w:rsidRDefault="00ED497B" w:rsidP="00BD4EFD">
      <w:pPr>
        <w:autoSpaceDE w:val="0"/>
        <w:autoSpaceDN w:val="0"/>
        <w:adjustRightInd w:val="0"/>
        <w:spacing w:after="0"/>
      </w:pPr>
      <w:r>
        <w:t xml:space="preserve">National Bank of Georgia (2015), “Annual Report 2015”, available at: </w:t>
      </w:r>
      <w:hyperlink w:history="1">
        <w:r w:rsidRPr="002F0E63">
          <w:rPr>
            <w:rStyle w:val="Hyperlink"/>
            <w:rFonts w:cstheme="minorHAnsi"/>
          </w:rPr>
          <w:t>https:// www. nbg.gov.ge/uploads/publications/annualreport/2015/pf/annualeng.pdf</w:t>
        </w:r>
      </w:hyperlink>
      <w:r>
        <w:t xml:space="preserve"> (accessed 23 February, 2018).  </w:t>
      </w:r>
    </w:p>
    <w:p w14:paraId="26CEFA47" w14:textId="77777777" w:rsidR="00934D28" w:rsidRDefault="00934D28" w:rsidP="00BD4EFD">
      <w:pPr>
        <w:autoSpaceDE w:val="0"/>
        <w:autoSpaceDN w:val="0"/>
        <w:adjustRightInd w:val="0"/>
        <w:spacing w:after="0"/>
      </w:pPr>
    </w:p>
    <w:p w14:paraId="6D643C26" w14:textId="77777777" w:rsidR="005F05B1" w:rsidRDefault="00ED497B" w:rsidP="00BD4EFD">
      <w:pPr>
        <w:autoSpaceDE w:val="0"/>
        <w:autoSpaceDN w:val="0"/>
        <w:adjustRightInd w:val="0"/>
        <w:spacing w:after="0"/>
      </w:pPr>
      <w:r>
        <w:t xml:space="preserve">National Bank of Georgia (2018), “Monetary Policy Report - Brief Overview”, available at: </w:t>
      </w:r>
      <w:hyperlink r:id="rId27" w:history="1">
        <w:r w:rsidRPr="002F0E63">
          <w:rPr>
            <w:rStyle w:val="Hyperlink"/>
            <w:rFonts w:cstheme="minorHAnsi"/>
          </w:rPr>
          <w:t>https://www.nbg.gov.ge/uploads/publications/inflationreport/2018/mpr_2018q1_publish_eng_brief.pdf</w:t>
        </w:r>
      </w:hyperlink>
      <w:r>
        <w:t xml:space="preserve"> (accessed 23 February, 2018). </w:t>
      </w:r>
    </w:p>
    <w:p w14:paraId="39646D26" w14:textId="77777777" w:rsidR="00ED497B" w:rsidRDefault="00ED497B" w:rsidP="00BD4EFD">
      <w:pPr>
        <w:autoSpaceDE w:val="0"/>
        <w:autoSpaceDN w:val="0"/>
        <w:adjustRightInd w:val="0"/>
        <w:spacing w:after="0"/>
      </w:pPr>
      <w:r>
        <w:t xml:space="preserve">National Bank of Georgia (2017), “Monetary Policy Report - November”, available at: </w:t>
      </w:r>
      <w:hyperlink r:id="rId28" w:history="1">
        <w:r w:rsidRPr="002F0E63">
          <w:rPr>
            <w:rStyle w:val="Hyperlink"/>
            <w:rFonts w:cstheme="minorHAnsi"/>
          </w:rPr>
          <w:t>https://www.nbg.gov.ge/uploads/publications/inflationreport/2017/041217mpr_2017q4_publish_eng.pdf</w:t>
        </w:r>
      </w:hyperlink>
      <w:r>
        <w:t xml:space="preserve"> (accessed 23 February, 2018). </w:t>
      </w:r>
    </w:p>
    <w:p w14:paraId="5CBC21A5" w14:textId="77777777" w:rsidR="00ED497B" w:rsidRDefault="00ED497B" w:rsidP="00BD4EFD">
      <w:pPr>
        <w:autoSpaceDE w:val="0"/>
        <w:autoSpaceDN w:val="0"/>
        <w:adjustRightInd w:val="0"/>
        <w:spacing w:after="0"/>
      </w:pPr>
    </w:p>
    <w:p w14:paraId="3863A4C9" w14:textId="77777777" w:rsidR="005C2A54" w:rsidRDefault="005C2A54" w:rsidP="00BD4EFD">
      <w:pPr>
        <w:autoSpaceDE w:val="0"/>
        <w:autoSpaceDN w:val="0"/>
        <w:adjustRightInd w:val="0"/>
        <w:spacing w:after="0"/>
      </w:pPr>
      <w:r>
        <w:lastRenderedPageBreak/>
        <w:t xml:space="preserve">National Bank of Georgia (2017), “Monetary Policy Report - August”, available at: </w:t>
      </w:r>
      <w:hyperlink r:id="rId29" w:history="1">
        <w:r w:rsidRPr="002F0E63">
          <w:rPr>
            <w:rStyle w:val="Hyperlink"/>
            <w:rFonts w:cstheme="minorHAnsi"/>
          </w:rPr>
          <w:t>https://www.nbg.gov.ge/uploads/publications/inflationreport/2017/mpr_2017q3_publish_eng240817.pdf</w:t>
        </w:r>
      </w:hyperlink>
      <w:r>
        <w:t xml:space="preserve"> (accessed 23 February, 2018). </w:t>
      </w:r>
    </w:p>
    <w:p w14:paraId="61B597CC" w14:textId="77777777" w:rsidR="00ED497B" w:rsidRDefault="00ED497B" w:rsidP="00BD4EFD">
      <w:pPr>
        <w:autoSpaceDE w:val="0"/>
        <w:autoSpaceDN w:val="0"/>
        <w:adjustRightInd w:val="0"/>
        <w:spacing w:after="0"/>
      </w:pPr>
    </w:p>
    <w:p w14:paraId="0E8D52B7" w14:textId="77777777" w:rsidR="005C2A54" w:rsidRDefault="005C2A54" w:rsidP="00BD4EFD">
      <w:pPr>
        <w:autoSpaceDE w:val="0"/>
        <w:autoSpaceDN w:val="0"/>
        <w:adjustRightInd w:val="0"/>
        <w:spacing w:after="0"/>
      </w:pPr>
      <w:r>
        <w:t xml:space="preserve">National Bank of Georgia (2017), “Monetary Policy Report - May”, available at: </w:t>
      </w:r>
      <w:hyperlink r:id="rId30" w:history="1">
        <w:r w:rsidRPr="002F0E63">
          <w:rPr>
            <w:rStyle w:val="Hyperlink"/>
            <w:rFonts w:cstheme="minorHAnsi"/>
          </w:rPr>
          <w:t>https:</w:t>
        </w:r>
        <w:r>
          <w:rPr>
            <w:rStyle w:val="Hyperlink"/>
            <w:rFonts w:cstheme="minorHAnsi"/>
          </w:rPr>
          <w:t xml:space="preserve"> </w:t>
        </w:r>
        <w:r w:rsidRPr="002F0E63">
          <w:rPr>
            <w:rStyle w:val="Hyperlink"/>
            <w:rFonts w:cstheme="minorHAnsi"/>
          </w:rPr>
          <w:t>//w</w:t>
        </w:r>
        <w:r>
          <w:rPr>
            <w:rStyle w:val="Hyperlink"/>
            <w:rFonts w:cstheme="minorHAnsi"/>
          </w:rPr>
          <w:t xml:space="preserve"> </w:t>
        </w:r>
        <w:r w:rsidRPr="002F0E63">
          <w:rPr>
            <w:rStyle w:val="Hyperlink"/>
            <w:rFonts w:cstheme="minorHAnsi"/>
          </w:rPr>
          <w:t>ww</w:t>
        </w:r>
        <w:r>
          <w:rPr>
            <w:rStyle w:val="Hyperlink"/>
            <w:rFonts w:cstheme="minorHAnsi"/>
          </w:rPr>
          <w:t xml:space="preserve"> </w:t>
        </w:r>
        <w:r w:rsidRPr="002F0E63">
          <w:rPr>
            <w:rStyle w:val="Hyperlink"/>
            <w:rFonts w:cstheme="minorHAnsi"/>
          </w:rPr>
          <w:t>.</w:t>
        </w:r>
        <w:r>
          <w:rPr>
            <w:rStyle w:val="Hyperlink"/>
            <w:rFonts w:cstheme="minorHAnsi"/>
          </w:rPr>
          <w:t xml:space="preserve"> </w:t>
        </w:r>
        <w:r w:rsidRPr="002F0E63">
          <w:rPr>
            <w:rStyle w:val="Hyperlink"/>
            <w:rFonts w:cstheme="minorHAnsi"/>
          </w:rPr>
          <w:t>nbg.gov.ge/uploads/publications/inflationreport/2017/mpr_2017q2_publish_eng_020617.pdf</w:t>
        </w:r>
      </w:hyperlink>
      <w:r>
        <w:t xml:space="preserve"> (accessed 23 February, 2018). </w:t>
      </w:r>
    </w:p>
    <w:p w14:paraId="5EAAF5A5" w14:textId="77777777" w:rsidR="005C2A54" w:rsidRDefault="005C2A54" w:rsidP="00BD4EFD">
      <w:pPr>
        <w:autoSpaceDE w:val="0"/>
        <w:autoSpaceDN w:val="0"/>
        <w:adjustRightInd w:val="0"/>
        <w:spacing w:after="0"/>
      </w:pPr>
    </w:p>
    <w:p w14:paraId="5F9E9980" w14:textId="77777777" w:rsidR="005C2A54" w:rsidRDefault="005C2A54" w:rsidP="00BD4EFD">
      <w:pPr>
        <w:autoSpaceDE w:val="0"/>
        <w:autoSpaceDN w:val="0"/>
        <w:adjustRightInd w:val="0"/>
        <w:spacing w:after="0"/>
      </w:pPr>
      <w:r>
        <w:t>National Bank of Georgia (2017), “Monetary Policy Report - February”, available at:</w:t>
      </w:r>
      <w:r w:rsidRPr="005C2A54">
        <w:t xml:space="preserve"> </w:t>
      </w:r>
      <w:hyperlink r:id="rId31" w:history="1">
        <w:r w:rsidRPr="002F0E63">
          <w:rPr>
            <w:rStyle w:val="Hyperlink"/>
            <w:rFonts w:cstheme="minorHAnsi"/>
          </w:rPr>
          <w:t>https://www.nbg.gov.ge/uploads/publications/inflationreport/2017/150217publish_MPR_February.pdf</w:t>
        </w:r>
      </w:hyperlink>
      <w:r>
        <w:t xml:space="preserve"> (accessed 23 February, 2018).  </w:t>
      </w:r>
    </w:p>
    <w:p w14:paraId="6273A62E" w14:textId="77777777" w:rsidR="005C2A54" w:rsidRDefault="005C2A54" w:rsidP="00BD4EFD">
      <w:pPr>
        <w:autoSpaceDE w:val="0"/>
        <w:autoSpaceDN w:val="0"/>
        <w:adjustRightInd w:val="0"/>
        <w:spacing w:after="0"/>
      </w:pPr>
    </w:p>
    <w:p w14:paraId="09BB1505" w14:textId="77777777" w:rsidR="00732FA3" w:rsidRDefault="00732FA3" w:rsidP="00BD4EFD">
      <w:pPr>
        <w:autoSpaceDE w:val="0"/>
        <w:autoSpaceDN w:val="0"/>
        <w:adjustRightInd w:val="0"/>
        <w:spacing w:after="0"/>
      </w:pPr>
      <w:r>
        <w:t>National Bank of Georgia (2016), “Monetary Policy Report - November”, available at:</w:t>
      </w:r>
      <w:r w:rsidRPr="005C2A54">
        <w:t xml:space="preserve"> </w:t>
      </w:r>
      <w:hyperlink r:id="rId32" w:history="1">
        <w:r w:rsidRPr="002F0E63">
          <w:rPr>
            <w:rStyle w:val="Hyperlink"/>
            <w:rFonts w:cstheme="minorHAnsi"/>
          </w:rPr>
          <w:t>https://www.nbg.gov.ge/uploads/publications/inflationreport/2016/IR_2016Q3_publish_ENG161116.pdf</w:t>
        </w:r>
      </w:hyperlink>
      <w:r>
        <w:t xml:space="preserve"> (accessed 23 February, 2018).  </w:t>
      </w:r>
    </w:p>
    <w:p w14:paraId="69222047" w14:textId="77777777" w:rsidR="00667170" w:rsidRDefault="00667170" w:rsidP="00BD4EFD">
      <w:pPr>
        <w:autoSpaceDE w:val="0"/>
        <w:autoSpaceDN w:val="0"/>
        <w:adjustRightInd w:val="0"/>
        <w:spacing w:after="0"/>
      </w:pPr>
    </w:p>
    <w:p w14:paraId="5D3D3E39" w14:textId="77777777" w:rsidR="00151C3C" w:rsidRPr="00151C3C" w:rsidRDefault="00151C3C" w:rsidP="00BD4EFD">
      <w:pPr>
        <w:autoSpaceDE w:val="0"/>
        <w:autoSpaceDN w:val="0"/>
        <w:adjustRightInd w:val="0"/>
        <w:spacing w:after="0"/>
      </w:pPr>
      <w:r>
        <w:rPr>
          <w:rFonts w:eastAsia="Calibri"/>
        </w:rPr>
        <w:t>National Statistics Office of Georgia (2017</w:t>
      </w:r>
      <w:r w:rsidRPr="00151C3C">
        <w:rPr>
          <w:rFonts w:eastAsia="Calibri"/>
        </w:rPr>
        <w:t>), “</w:t>
      </w:r>
      <w:r>
        <w:rPr>
          <w:rFonts w:eastAsia="Calibri"/>
        </w:rPr>
        <w:t>Consumer Basket 2017</w:t>
      </w:r>
      <w:r w:rsidRPr="00151C3C">
        <w:rPr>
          <w:rFonts w:eastAsia="Calibri"/>
        </w:rPr>
        <w:t>”, available at:</w:t>
      </w:r>
      <w:r w:rsidRPr="00151C3C">
        <w:t xml:space="preserve"> </w:t>
      </w:r>
      <w:hyperlink r:id="rId33" w:history="1">
        <w:r w:rsidRPr="002F0E63">
          <w:rPr>
            <w:rStyle w:val="Hyperlink"/>
            <w:rFonts w:cstheme="minorHAnsi"/>
          </w:rPr>
          <w:t>http</w:t>
        </w:r>
        <w:r>
          <w:rPr>
            <w:rStyle w:val="Hyperlink"/>
            <w:rFonts w:cstheme="minorHAnsi"/>
          </w:rPr>
          <w:t xml:space="preserve"> </w:t>
        </w:r>
        <w:r w:rsidRPr="002F0E63">
          <w:rPr>
            <w:rStyle w:val="Hyperlink"/>
            <w:rFonts w:cstheme="minorHAnsi"/>
          </w:rPr>
          <w:t>://geostat.ge/personalinflation/pdf/Consumer_basket_2017.pdf</w:t>
        </w:r>
      </w:hyperlink>
      <w:r>
        <w:t xml:space="preserve"> </w:t>
      </w:r>
      <w:r>
        <w:rPr>
          <w:rFonts w:eastAsia="Calibri"/>
        </w:rPr>
        <w:t>(accessed 23</w:t>
      </w:r>
      <w:r w:rsidRPr="00151C3C">
        <w:rPr>
          <w:rFonts w:eastAsia="Calibri"/>
        </w:rPr>
        <w:t xml:space="preserve"> </w:t>
      </w:r>
      <w:r>
        <w:rPr>
          <w:rFonts w:eastAsia="Calibri"/>
        </w:rPr>
        <w:t>February, 2018</w:t>
      </w:r>
      <w:r w:rsidRPr="00151C3C">
        <w:rPr>
          <w:rFonts w:eastAsia="Calibri"/>
        </w:rPr>
        <w:t>).</w:t>
      </w:r>
    </w:p>
    <w:p w14:paraId="11890945" w14:textId="77777777" w:rsidR="00732FA3" w:rsidRDefault="00732FA3" w:rsidP="00BD4EFD">
      <w:pPr>
        <w:autoSpaceDE w:val="0"/>
        <w:autoSpaceDN w:val="0"/>
        <w:adjustRightInd w:val="0"/>
        <w:spacing w:after="0"/>
      </w:pPr>
    </w:p>
    <w:p w14:paraId="51355982" w14:textId="77777777" w:rsidR="00B869DB" w:rsidRDefault="00B869DB" w:rsidP="00BD4EFD">
      <w:pPr>
        <w:spacing w:after="160" w:line="259" w:lineRule="auto"/>
        <w:rPr>
          <w:rFonts w:cstheme="minorBidi"/>
        </w:rPr>
      </w:pPr>
      <w:r w:rsidRPr="00A076E0">
        <w:rPr>
          <w:rFonts w:cstheme="minorBidi"/>
        </w:rPr>
        <w:t xml:space="preserve">State Treasury (2018), </w:t>
      </w:r>
      <w:r w:rsidR="00A076E0" w:rsidRPr="00A076E0">
        <w:rPr>
          <w:rFonts w:cstheme="minorBidi"/>
        </w:rPr>
        <w:t xml:space="preserve">“Annual Budget Reports”, available at: </w:t>
      </w:r>
      <w:hyperlink r:id="rId34" w:history="1">
        <w:r w:rsidR="00A076E0" w:rsidRPr="002F0E63">
          <w:rPr>
            <w:rStyle w:val="Hyperlink"/>
            <w:rFonts w:cstheme="minorBidi"/>
          </w:rPr>
          <w:t>http://treasury.ge/5467</w:t>
        </w:r>
      </w:hyperlink>
      <w:r w:rsidR="00A076E0">
        <w:rPr>
          <w:rFonts w:cstheme="minorBidi"/>
        </w:rPr>
        <w:t xml:space="preserve"> (accessed 24 February). </w:t>
      </w:r>
    </w:p>
    <w:p w14:paraId="06B7A7F9" w14:textId="77777777" w:rsidR="00A076E0" w:rsidRDefault="00A076E0" w:rsidP="00BD4EFD">
      <w:pPr>
        <w:spacing w:after="160" w:line="259" w:lineRule="auto"/>
        <w:rPr>
          <w:rFonts w:cstheme="minorBidi"/>
        </w:rPr>
      </w:pPr>
      <w:r>
        <w:rPr>
          <w:rFonts w:cstheme="minorBidi"/>
        </w:rPr>
        <w:t>Social Service Agency (2018), “</w:t>
      </w:r>
      <w:r w:rsidR="001E568A">
        <w:rPr>
          <w:rFonts w:cstheme="minorBidi"/>
        </w:rPr>
        <w:t xml:space="preserve">Number of Pension Recipients”, available at: </w:t>
      </w:r>
      <w:hyperlink r:id="rId35" w:history="1">
        <w:r w:rsidR="001E568A" w:rsidRPr="002F0E63">
          <w:rPr>
            <w:rStyle w:val="Hyperlink"/>
            <w:rFonts w:cstheme="minorBidi"/>
          </w:rPr>
          <w:t>http://ssa.gov.ge/index.php?lang_id=GEO&amp;sec_id=1237</w:t>
        </w:r>
      </w:hyperlink>
      <w:r w:rsidR="001E568A">
        <w:rPr>
          <w:rFonts w:cstheme="minorBidi"/>
        </w:rPr>
        <w:t xml:space="preserve"> (accessed 24 February). </w:t>
      </w:r>
    </w:p>
    <w:p w14:paraId="4EB3A378" w14:textId="77777777" w:rsidR="00BD4EFD" w:rsidRDefault="00BD4EFD" w:rsidP="00BD4EFD">
      <w:pPr>
        <w:spacing w:after="0" w:line="259" w:lineRule="auto"/>
        <w:rPr>
          <w:rFonts w:cstheme="minorBidi"/>
        </w:rPr>
      </w:pPr>
    </w:p>
    <w:p w14:paraId="5C930C48" w14:textId="77777777" w:rsidR="001E568A" w:rsidRDefault="001E568A" w:rsidP="00BD4EFD">
      <w:pPr>
        <w:spacing w:after="0" w:line="259" w:lineRule="auto"/>
        <w:rPr>
          <w:rFonts w:cstheme="minorBidi"/>
          <w:sz w:val="22"/>
          <w:szCs w:val="22"/>
        </w:rPr>
      </w:pPr>
      <w:r>
        <w:rPr>
          <w:rFonts w:cstheme="minorBidi"/>
        </w:rPr>
        <w:t>Social Service Agency (2018), “Number of TSA Recipients”, available at:</w:t>
      </w:r>
      <w:r w:rsidRPr="001E568A">
        <w:rPr>
          <w:rFonts w:cstheme="minorBidi"/>
          <w:sz w:val="22"/>
          <w:szCs w:val="22"/>
        </w:rPr>
        <w:t xml:space="preserve"> </w:t>
      </w:r>
    </w:p>
    <w:p w14:paraId="104B1042" w14:textId="77777777" w:rsidR="001E568A" w:rsidRPr="001E568A" w:rsidRDefault="003B271A" w:rsidP="00BD4EFD">
      <w:pPr>
        <w:spacing w:after="0" w:line="259" w:lineRule="auto"/>
        <w:rPr>
          <w:rFonts w:cstheme="minorBidi"/>
          <w:sz w:val="22"/>
          <w:szCs w:val="22"/>
        </w:rPr>
      </w:pPr>
      <w:hyperlink r:id="rId36" w:history="1">
        <w:r w:rsidR="001E568A" w:rsidRPr="002F0E63">
          <w:rPr>
            <w:rStyle w:val="Hyperlink"/>
            <w:rFonts w:cstheme="minorBidi"/>
            <w:sz w:val="22"/>
            <w:szCs w:val="22"/>
          </w:rPr>
          <w:t>http://ssa.gov.ge/index.php?lang_id=GEO&amp;sec_id=1243</w:t>
        </w:r>
      </w:hyperlink>
      <w:r w:rsidR="001E568A">
        <w:rPr>
          <w:rFonts w:cstheme="minorBidi"/>
          <w:sz w:val="22"/>
          <w:szCs w:val="22"/>
        </w:rPr>
        <w:t xml:space="preserve"> </w:t>
      </w:r>
      <w:r w:rsidR="001E568A">
        <w:rPr>
          <w:rFonts w:cstheme="minorBidi"/>
        </w:rPr>
        <w:t xml:space="preserve"> (accessed 24 February). </w:t>
      </w:r>
    </w:p>
    <w:p w14:paraId="2ABB6F3F" w14:textId="77777777" w:rsidR="00B869DB" w:rsidRDefault="00B869DB" w:rsidP="00BD4EFD">
      <w:pPr>
        <w:spacing w:after="160" w:line="259" w:lineRule="auto"/>
        <w:rPr>
          <w:rFonts w:cstheme="minorBidi"/>
          <w:sz w:val="22"/>
          <w:szCs w:val="22"/>
        </w:rPr>
      </w:pPr>
    </w:p>
    <w:p w14:paraId="73A7915C" w14:textId="77777777" w:rsidR="00BD4EFD" w:rsidRDefault="00BD4EFD" w:rsidP="00BD4EFD">
      <w:pPr>
        <w:spacing w:after="0"/>
      </w:pPr>
      <w:r w:rsidRPr="00706B31">
        <w:rPr>
          <w:rFonts w:eastAsia="Calibri"/>
        </w:rPr>
        <w:t>World Bank 2018, “Global Economic Prospects”, available at:</w:t>
      </w:r>
      <w:r w:rsidRPr="00706B31">
        <w:t xml:space="preserve"> </w:t>
      </w:r>
    </w:p>
    <w:p w14:paraId="7E806F94" w14:textId="77777777" w:rsidR="00BD4EFD" w:rsidRPr="00706B31" w:rsidRDefault="003B271A" w:rsidP="00BD4EFD">
      <w:pPr>
        <w:spacing w:after="0"/>
        <w:rPr>
          <w:rFonts w:eastAsia="Calibri"/>
        </w:rPr>
      </w:pPr>
      <w:hyperlink r:id="rId37" w:history="1">
        <w:r w:rsidR="00BD4EFD" w:rsidRPr="002F0E63">
          <w:rPr>
            <w:rStyle w:val="Hyperlink"/>
            <w:rFonts w:eastAsia="Calibri" w:cstheme="minorHAnsi"/>
          </w:rPr>
          <w:t>http://www.worldbank.org/en/publication/global-economic-prospects</w:t>
        </w:r>
      </w:hyperlink>
      <w:r w:rsidR="00BD4EFD">
        <w:rPr>
          <w:rFonts w:eastAsia="Calibri"/>
        </w:rPr>
        <w:t xml:space="preserve"> </w:t>
      </w:r>
      <w:r w:rsidR="00BD4EFD" w:rsidRPr="00706B31">
        <w:rPr>
          <w:rFonts w:eastAsia="Calibri"/>
        </w:rPr>
        <w:t>(</w:t>
      </w:r>
      <w:r w:rsidR="00BD4EFD">
        <w:rPr>
          <w:rFonts w:eastAsia="Calibri"/>
        </w:rPr>
        <w:t>accessed 21 February, 2018)</w:t>
      </w:r>
      <w:r w:rsidR="00BD4EFD" w:rsidRPr="00706B31">
        <w:rPr>
          <w:rFonts w:eastAsia="Calibri"/>
        </w:rPr>
        <w:t xml:space="preserve">. </w:t>
      </w:r>
    </w:p>
    <w:p w14:paraId="20457608" w14:textId="77777777" w:rsidR="00674A2D" w:rsidRDefault="00674A2D">
      <w:pPr>
        <w:autoSpaceDE w:val="0"/>
        <w:autoSpaceDN w:val="0"/>
        <w:adjustRightInd w:val="0"/>
        <w:spacing w:after="0"/>
        <w:jc w:val="both"/>
      </w:pPr>
    </w:p>
    <w:p w14:paraId="23CDCEB9" w14:textId="77777777" w:rsidR="00BD4EFD" w:rsidRPr="005E2BB6" w:rsidRDefault="00BD4EFD">
      <w:pPr>
        <w:autoSpaceDE w:val="0"/>
        <w:autoSpaceDN w:val="0"/>
        <w:adjustRightInd w:val="0"/>
        <w:spacing w:after="0"/>
        <w:jc w:val="both"/>
      </w:pPr>
    </w:p>
    <w:sectPr w:rsidR="00BD4EFD" w:rsidRPr="005E2BB6" w:rsidSect="00BD5D94">
      <w:headerReference w:type="default" r:id="rId38"/>
      <w:footerReference w:type="even" r:id="rId39"/>
      <w:footerReference w:type="default" r:id="rId40"/>
      <w:pgSz w:w="12240" w:h="15840"/>
      <w:pgMar w:top="1440" w:right="1440" w:bottom="1440" w:left="1440" w:header="284" w:footer="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Tinatin Baum" w:date="2018-03-14T12:27:00Z" w:initials="TB">
    <w:p w14:paraId="1470B3A6" w14:textId="77777777" w:rsidR="00825588" w:rsidRDefault="00825588">
      <w:pPr>
        <w:pStyle w:val="CommentText"/>
      </w:pPr>
      <w:r>
        <w:rPr>
          <w:rStyle w:val="CommentReference"/>
        </w:rPr>
        <w:annotationRef/>
      </w:r>
      <w:r>
        <w:t>Is there anywhere a medication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70B3A6"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9731F" w14:textId="77777777" w:rsidR="00FD5E1B" w:rsidRDefault="00FD5E1B">
      <w:pPr>
        <w:spacing w:after="0" w:line="240" w:lineRule="auto"/>
      </w:pPr>
      <w:r>
        <w:separator/>
      </w:r>
    </w:p>
  </w:endnote>
  <w:endnote w:type="continuationSeparator" w:id="0">
    <w:p w14:paraId="70D83BD2" w14:textId="77777777" w:rsidR="00FD5E1B" w:rsidRDefault="00FD5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enSans">
    <w:altName w:val="Times New Roman"/>
    <w:panose1 w:val="00000000000000000000"/>
    <w:charset w:val="EE"/>
    <w:family w:val="auto"/>
    <w:notTrueType/>
    <w:pitch w:val="default"/>
    <w:sig w:usb0="00000007" w:usb1="00000000" w:usb2="00000000" w:usb3="00000000" w:csb0="00000003" w:csb1="00000000"/>
  </w:font>
  <w:font w:name="Optima">
    <w:altName w:val="Calibri"/>
    <w:charset w:val="00"/>
    <w:family w:val="auto"/>
    <w:pitch w:val="variable"/>
    <w:sig w:usb0="80000067" w:usb1="00000000" w:usb2="00000000" w:usb3="00000000" w:csb0="00000001" w:csb1="00000000"/>
  </w:font>
  <w:font w:name="BPG Glaho Mix">
    <w:altName w:val="Sylfaen"/>
    <w:charset w:val="00"/>
    <w:family w:val="swiss"/>
    <w:pitch w:val="variable"/>
    <w:sig w:usb0="84000023" w:usb1="1000004A" w:usb2="00000000" w:usb3="00000000" w:csb0="00000001" w:csb1="00000000"/>
  </w:font>
  <w:font w:name="BPGGlaho">
    <w:charset w:val="CC"/>
    <w:family w:val="auto"/>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ECEA8" w14:textId="77777777" w:rsidR="003B271A" w:rsidRDefault="003B271A" w:rsidP="00BD5D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FAF12D" w14:textId="77777777" w:rsidR="003B271A" w:rsidRDefault="003B271A" w:rsidP="00BD5D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000000"/>
      </w:tblBorders>
      <w:tblLook w:val="00A0" w:firstRow="1" w:lastRow="0" w:firstColumn="1" w:lastColumn="0" w:noHBand="0" w:noVBand="0"/>
    </w:tblPr>
    <w:tblGrid>
      <w:gridCol w:w="6656"/>
      <w:gridCol w:w="2704"/>
    </w:tblGrid>
    <w:tr w:rsidR="003B271A" w:rsidRPr="00C76F1C" w14:paraId="7BA10719" w14:textId="77777777" w:rsidTr="00BD5D94">
      <w:trPr>
        <w:trHeight w:val="347"/>
      </w:trPr>
      <w:tc>
        <w:tcPr>
          <w:tcW w:w="7054" w:type="dxa"/>
          <w:tcBorders>
            <w:top w:val="single" w:sz="4" w:space="0" w:color="E31F26"/>
          </w:tcBorders>
        </w:tcPr>
        <w:p w14:paraId="36C7B356" w14:textId="77777777" w:rsidR="003B271A" w:rsidRPr="003823ED" w:rsidRDefault="003B271A" w:rsidP="00BD5D94">
          <w:pPr>
            <w:autoSpaceDE w:val="0"/>
            <w:autoSpaceDN w:val="0"/>
            <w:adjustRightInd w:val="0"/>
            <w:spacing w:after="0" w:line="240" w:lineRule="auto"/>
            <w:ind w:right="360"/>
            <w:rPr>
              <w:rFonts w:ascii="BPG Glaho Mix" w:hAnsi="BPG Glaho Mix" w:cs="BPGGlaho"/>
              <w:sz w:val="16"/>
              <w:szCs w:val="16"/>
            </w:rPr>
          </w:pPr>
        </w:p>
      </w:tc>
      <w:tc>
        <w:tcPr>
          <w:tcW w:w="2851" w:type="dxa"/>
          <w:tcBorders>
            <w:top w:val="single" w:sz="4" w:space="0" w:color="E31F26"/>
          </w:tcBorders>
        </w:tcPr>
        <w:p w14:paraId="2637AAE8" w14:textId="77777777" w:rsidR="003B271A" w:rsidRPr="00C76F1C" w:rsidRDefault="003B271A" w:rsidP="00BD5D94">
          <w:pPr>
            <w:pStyle w:val="Footer"/>
            <w:jc w:val="right"/>
            <w:rPr>
              <w:rStyle w:val="PageNumber"/>
            </w:rPr>
          </w:pPr>
        </w:p>
        <w:p w14:paraId="40A456C1" w14:textId="77777777" w:rsidR="003B271A" w:rsidRPr="00DE47EF" w:rsidRDefault="003B271A" w:rsidP="00BD5D94">
          <w:pPr>
            <w:pStyle w:val="Footer"/>
            <w:jc w:val="right"/>
            <w:rPr>
              <w:rFonts w:ascii="Sylfaen" w:hAnsi="Sylfaen"/>
              <w:lang w:val="ka-GE"/>
            </w:rPr>
          </w:pPr>
          <w:r w:rsidRPr="00C76F1C">
            <w:rPr>
              <w:rStyle w:val="PageNumber"/>
            </w:rPr>
            <w:fldChar w:fldCharType="begin"/>
          </w:r>
          <w:r w:rsidRPr="00C76F1C">
            <w:rPr>
              <w:rStyle w:val="PageNumber"/>
            </w:rPr>
            <w:instrText xml:space="preserve">PAGE  </w:instrText>
          </w:r>
          <w:r w:rsidRPr="00C76F1C">
            <w:rPr>
              <w:rStyle w:val="PageNumber"/>
            </w:rPr>
            <w:fldChar w:fldCharType="separate"/>
          </w:r>
          <w:r w:rsidR="00576CEF">
            <w:rPr>
              <w:rStyle w:val="PageNumber"/>
              <w:noProof/>
            </w:rPr>
            <w:t>24</w:t>
          </w:r>
          <w:r w:rsidRPr="00C76F1C">
            <w:rPr>
              <w:rStyle w:val="PageNumber"/>
            </w:rPr>
            <w:fldChar w:fldCharType="end"/>
          </w:r>
          <w:r w:rsidRPr="00C76F1C">
            <w:rPr>
              <w:rStyle w:val="PageNumber"/>
            </w:rPr>
            <w:t xml:space="preserve"> </w:t>
          </w:r>
        </w:p>
      </w:tc>
    </w:tr>
  </w:tbl>
  <w:p w14:paraId="6B9A33E1" w14:textId="77777777" w:rsidR="003B271A" w:rsidRDefault="003B271A" w:rsidP="00BD5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C885E" w14:textId="77777777" w:rsidR="00FD5E1B" w:rsidRDefault="00FD5E1B">
      <w:pPr>
        <w:spacing w:after="0" w:line="240" w:lineRule="auto"/>
      </w:pPr>
      <w:r>
        <w:separator/>
      </w:r>
    </w:p>
  </w:footnote>
  <w:footnote w:type="continuationSeparator" w:id="0">
    <w:p w14:paraId="14A296BB" w14:textId="77777777" w:rsidR="00FD5E1B" w:rsidRDefault="00FD5E1B">
      <w:pPr>
        <w:spacing w:after="0" w:line="240" w:lineRule="auto"/>
      </w:pPr>
      <w:r>
        <w:continuationSeparator/>
      </w:r>
    </w:p>
  </w:footnote>
  <w:footnote w:id="1">
    <w:p w14:paraId="033931DC" w14:textId="77777777" w:rsidR="003B271A" w:rsidRDefault="003B271A" w:rsidP="00F01A01">
      <w:pPr>
        <w:pStyle w:val="FootnoteText"/>
        <w:jc w:val="both"/>
      </w:pPr>
      <w:r>
        <w:rPr>
          <w:rStyle w:val="FootnoteReference"/>
        </w:rPr>
        <w:footnoteRef/>
      </w:r>
      <w:r>
        <w:t xml:space="preserve">From January 1, 2017, </w:t>
      </w:r>
      <w:r w:rsidRPr="00F01A01">
        <w:t xml:space="preserve">excise </w:t>
      </w:r>
      <w:r>
        <w:t xml:space="preserve">tax </w:t>
      </w:r>
      <w:r w:rsidRPr="00F01A01">
        <w:t>rates have been increased on tobacco products, c</w:t>
      </w:r>
      <w:r>
        <w:t xml:space="preserve">ars, oil, oil products, and oil </w:t>
      </w:r>
      <w:r w:rsidRPr="00F01A01">
        <w:t>distillates.</w:t>
      </w:r>
      <w:r>
        <w:t xml:space="preserve"> </w:t>
      </w:r>
    </w:p>
  </w:footnote>
  <w:footnote w:id="2">
    <w:p w14:paraId="443A81C4" w14:textId="77777777" w:rsidR="003B271A" w:rsidRDefault="003B271A" w:rsidP="00F01A01">
      <w:pPr>
        <w:pStyle w:val="FootnoteText"/>
        <w:jc w:val="both"/>
      </w:pPr>
      <w:r>
        <w:rPr>
          <w:rStyle w:val="FootnoteReference"/>
        </w:rPr>
        <w:footnoteRef/>
      </w:r>
      <w:r>
        <w:t xml:space="preserve"> Items of consumer basket that contain both imported and locally produced goods. </w:t>
      </w:r>
    </w:p>
  </w:footnote>
  <w:footnote w:id="3">
    <w:p w14:paraId="13910291" w14:textId="77777777" w:rsidR="003B271A" w:rsidRDefault="003B271A" w:rsidP="00A542E8">
      <w:pPr>
        <w:pStyle w:val="FootnoteText"/>
      </w:pPr>
      <w:r>
        <w:rPr>
          <w:rStyle w:val="FootnoteReference"/>
        </w:rPr>
        <w:footnoteRef/>
      </w:r>
      <w:r>
        <w:t xml:space="preserve"> Base effect -  </w:t>
      </w:r>
      <w:r>
        <w:rPr>
          <w:rFonts w:cstheme="minorHAnsi"/>
          <w:color w:val="000000"/>
        </w:rPr>
        <w:t xml:space="preserve">rise in excise tax on alcoholic beverages and tobacco, electricity fees and increased prices on   durable goods in 2015.  </w:t>
      </w:r>
    </w:p>
  </w:footnote>
  <w:footnote w:id="4">
    <w:p w14:paraId="3D1C2E4C" w14:textId="77777777" w:rsidR="003B271A" w:rsidRDefault="003B271A" w:rsidP="002B4AB7">
      <w:pPr>
        <w:pStyle w:val="FootnoteText"/>
      </w:pPr>
      <w:r>
        <w:rPr>
          <w:rStyle w:val="FootnoteReference"/>
        </w:rPr>
        <w:footnoteRef/>
      </w:r>
      <w:r>
        <w:t xml:space="preserve"> Average monthly income includes: cash income and transfers, non-cash income and other cash inflows </w:t>
      </w:r>
    </w:p>
    <w:p w14:paraId="7D28E73B" w14:textId="77777777" w:rsidR="003B271A" w:rsidRDefault="003B271A">
      <w:pPr>
        <w:pStyle w:val="FootnoteText"/>
      </w:pPr>
    </w:p>
  </w:footnote>
  <w:footnote w:id="5">
    <w:p w14:paraId="253BC988" w14:textId="77777777" w:rsidR="003B271A" w:rsidRDefault="003B271A">
      <w:pPr>
        <w:pStyle w:val="FootnoteText"/>
      </w:pPr>
      <w:r>
        <w:rPr>
          <w:rStyle w:val="FootnoteReference"/>
        </w:rPr>
        <w:footnoteRef/>
      </w:r>
      <w:r>
        <w:t xml:space="preserve"> Average monthly expenditure includes cash consumption, non-cash and cash non-consumption expenditures.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6DE49" w14:textId="77777777" w:rsidR="003B271A" w:rsidRDefault="003B271A">
    <w:pPr>
      <w:pStyle w:val="Header"/>
    </w:pPr>
    <w:r>
      <w:rPr>
        <w:rFonts w:ascii="Sylfaen" w:hAnsi="Sylfaen"/>
        <w:color w:val="1F497D"/>
        <w:sz w:val="18"/>
        <w:szCs w:val="18"/>
        <w:lang w:val="ka-GE"/>
      </w:rPr>
      <w:t xml:space="preserve">                                                                                                                                                                                         </w:t>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fldChar w:fldCharType="begin"/>
    </w:r>
    <w:r>
      <w:rPr>
        <w:rFonts w:ascii="Optima" w:hAnsi="Optima"/>
        <w:color w:val="1F497D"/>
        <w:sz w:val="18"/>
        <w:szCs w:val="18"/>
      </w:rPr>
      <w:instrText xml:space="preserve"> INCLUDEPICTURE  "cid:image001.png@01D1B5D2.D8981460" \* MERGEFORMATINET </w:instrText>
    </w:r>
    <w:r>
      <w:rPr>
        <w:rFonts w:ascii="Optima" w:hAnsi="Optima"/>
        <w:color w:val="1F497D"/>
        <w:sz w:val="18"/>
        <w:szCs w:val="18"/>
      </w:rPr>
      <w:fldChar w:fldCharType="separate"/>
    </w:r>
    <w:r>
      <w:rPr>
        <w:rFonts w:ascii="Optima" w:hAnsi="Optima"/>
        <w:color w:val="1F497D"/>
        <w:sz w:val="18"/>
        <w:szCs w:val="18"/>
      </w:rPr>
      <w:pict w14:anchorId="4645E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5.75pt;height:66pt">
          <v:imagedata r:id="rId1" r:href="rId2"/>
        </v:shape>
      </w:pict>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rFonts w:ascii="Optima" w:hAnsi="Optima"/>
        <w:color w:val="1F497D"/>
        <w:sz w:val="18"/>
        <w:szCs w:val="18"/>
      </w:rPr>
      <w:fldChar w:fldCharType="end"/>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1C83"/>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B47B45"/>
    <w:multiLevelType w:val="multilevel"/>
    <w:tmpl w:val="4DD2C4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620A01"/>
    <w:multiLevelType w:val="hybridMultilevel"/>
    <w:tmpl w:val="A1DC1854"/>
    <w:lvl w:ilvl="0" w:tplc="C0BC6B4C">
      <w:start w:val="1"/>
      <w:numFmt w:val="decimal"/>
      <w:lvlText w:val="%1."/>
      <w:lvlJc w:val="left"/>
      <w:pPr>
        <w:ind w:left="720" w:hanging="360"/>
      </w:pPr>
      <w:rPr>
        <w:rFonts w:eastAsiaTheme="minorHAnsi" w:cs="Times New Roman" w:hint="default"/>
        <w:b/>
        <w:color w:val="0000FF"/>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33730"/>
    <w:multiLevelType w:val="multilevel"/>
    <w:tmpl w:val="B65436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8E6C87"/>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AD5F75"/>
    <w:multiLevelType w:val="multilevel"/>
    <w:tmpl w:val="9A1A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94BC2"/>
    <w:multiLevelType w:val="hybridMultilevel"/>
    <w:tmpl w:val="2CE83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109B2"/>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9A32B2"/>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5E7CAD"/>
    <w:multiLevelType w:val="hybridMultilevel"/>
    <w:tmpl w:val="92F2DDAE"/>
    <w:lvl w:ilvl="0" w:tplc="32C6561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41838"/>
    <w:multiLevelType w:val="hybridMultilevel"/>
    <w:tmpl w:val="9C0C1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73D94"/>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3C04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CB6A24"/>
    <w:multiLevelType w:val="multilevel"/>
    <w:tmpl w:val="62E08B1A"/>
    <w:lvl w:ilvl="0">
      <w:start w:val="1"/>
      <w:numFmt w:val="decimal"/>
      <w:pStyle w:val="Heading1"/>
      <w:lvlText w:val="%1."/>
      <w:lvlJc w:val="left"/>
      <w:pPr>
        <w:ind w:left="360" w:hanging="360"/>
      </w:pPr>
      <w:rPr>
        <w:rFonts w:eastAsia="Calibri" w:hint="default"/>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9D13FE4"/>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8A2103"/>
    <w:multiLevelType w:val="hybridMultilevel"/>
    <w:tmpl w:val="35A2E380"/>
    <w:lvl w:ilvl="0" w:tplc="D6F63A48">
      <w:start w:val="7"/>
      <w:numFmt w:val="bullet"/>
      <w:lvlText w:val="-"/>
      <w:lvlJc w:val="left"/>
      <w:pPr>
        <w:ind w:left="810" w:hanging="360"/>
      </w:pPr>
      <w:rPr>
        <w:rFonts w:ascii="Sylfaen" w:eastAsiaTheme="minorHAnsi" w:hAnsi="Sylfaen"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EF337C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7C42AE"/>
    <w:multiLevelType w:val="multilevel"/>
    <w:tmpl w:val="131EDF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5D446A"/>
    <w:multiLevelType w:val="multilevel"/>
    <w:tmpl w:val="C916D76A"/>
    <w:lvl w:ilvl="0">
      <w:start w:val="1"/>
      <w:numFmt w:val="decimal"/>
      <w:lvlText w:val="%1"/>
      <w:lvlJc w:val="left"/>
      <w:pPr>
        <w:ind w:left="360" w:hanging="360"/>
      </w:pPr>
      <w:rPr>
        <w:rFonts w:eastAsiaTheme="majorEastAsia" w:cstheme="majorBidi" w:hint="default"/>
      </w:rPr>
    </w:lvl>
    <w:lvl w:ilvl="1">
      <w:start w:val="1"/>
      <w:numFmt w:val="decimal"/>
      <w:lvlText w:val="%1.%2"/>
      <w:lvlJc w:val="left"/>
      <w:pPr>
        <w:ind w:left="360" w:hanging="36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19" w15:restartNumberingAfterBreak="0">
    <w:nsid w:val="4D296FB4"/>
    <w:multiLevelType w:val="multilevel"/>
    <w:tmpl w:val="16F866EE"/>
    <w:lvl w:ilvl="0">
      <w:start w:val="2"/>
      <w:numFmt w:val="decimal"/>
      <w:lvlText w:val="%1"/>
      <w:lvlJc w:val="left"/>
      <w:pPr>
        <w:ind w:left="375" w:hanging="375"/>
      </w:pPr>
      <w:rPr>
        <w:rFonts w:eastAsiaTheme="majorEastAsia" w:hint="default"/>
        <w:color w:val="auto"/>
        <w:sz w:val="28"/>
      </w:rPr>
    </w:lvl>
    <w:lvl w:ilvl="1">
      <w:start w:val="1"/>
      <w:numFmt w:val="decimal"/>
      <w:lvlText w:val="%1.%2"/>
      <w:lvlJc w:val="left"/>
      <w:pPr>
        <w:ind w:left="375" w:hanging="375"/>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20" w15:restartNumberingAfterBreak="0">
    <w:nsid w:val="50D0112D"/>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1612B32"/>
    <w:multiLevelType w:val="multilevel"/>
    <w:tmpl w:val="A7DE9DCA"/>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2" w15:restartNumberingAfterBreak="0">
    <w:nsid w:val="539F2F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2A2989"/>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B67406"/>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CB21AC"/>
    <w:multiLevelType w:val="multilevel"/>
    <w:tmpl w:val="FA702C2E"/>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6" w15:restartNumberingAfterBreak="0">
    <w:nsid w:val="6A7F4FE5"/>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88024C"/>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3928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E22BBC"/>
    <w:multiLevelType w:val="multilevel"/>
    <w:tmpl w:val="6A20C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AC5339"/>
    <w:multiLevelType w:val="multilevel"/>
    <w:tmpl w:val="5CC4654E"/>
    <w:lvl w:ilvl="0">
      <w:start w:val="1"/>
      <w:numFmt w:val="decimal"/>
      <w:lvlText w:val="%1."/>
      <w:lvlJc w:val="left"/>
      <w:pPr>
        <w:ind w:left="720" w:hanging="360"/>
      </w:pPr>
      <w:rPr>
        <w:rFonts w:eastAsia="Calibri" w:hint="default"/>
        <w:sz w:val="24"/>
      </w:rPr>
    </w:lvl>
    <w:lvl w:ilvl="1">
      <w:start w:val="1"/>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EE6CB9"/>
    <w:multiLevelType w:val="hybridMultilevel"/>
    <w:tmpl w:val="9C0C1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9C2263"/>
    <w:multiLevelType w:val="multilevel"/>
    <w:tmpl w:val="F2345C88"/>
    <w:lvl w:ilvl="0">
      <w:start w:val="1"/>
      <w:numFmt w:val="decimal"/>
      <w:lvlText w:val="%1."/>
      <w:lvlJc w:val="left"/>
      <w:pPr>
        <w:ind w:left="720" w:hanging="360"/>
      </w:pPr>
      <w:rPr>
        <w:rFonts w:eastAsia="Calibri" w:hint="default"/>
        <w:sz w:val="24"/>
      </w:rPr>
    </w:lvl>
    <w:lvl w:ilvl="1">
      <w:start w:val="1"/>
      <w:numFmt w:val="decimal"/>
      <w:isLgl/>
      <w:lvlText w:val="%1.%2"/>
      <w:lvlJc w:val="left"/>
      <w:pPr>
        <w:ind w:left="4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4"/>
  </w:num>
  <w:num w:numId="3">
    <w:abstractNumId w:val="31"/>
  </w:num>
  <w:num w:numId="4">
    <w:abstractNumId w:val="15"/>
  </w:num>
  <w:num w:numId="5">
    <w:abstractNumId w:val="16"/>
  </w:num>
  <w:num w:numId="6">
    <w:abstractNumId w:val="28"/>
  </w:num>
  <w:num w:numId="7">
    <w:abstractNumId w:val="16"/>
    <w:lvlOverride w:ilvl="0">
      <w:lvl w:ilvl="0">
        <w:start w:val="1"/>
        <w:numFmt w:val="none"/>
        <w:lvlText w:val="1.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18"/>
  </w:num>
  <w:num w:numId="10">
    <w:abstractNumId w:val="6"/>
  </w:num>
  <w:num w:numId="11">
    <w:abstractNumId w:val="10"/>
  </w:num>
  <w:num w:numId="12">
    <w:abstractNumId w:val="5"/>
  </w:num>
  <w:num w:numId="13">
    <w:abstractNumId w:val="12"/>
  </w:num>
  <w:num w:numId="14">
    <w:abstractNumId w:val="30"/>
  </w:num>
  <w:num w:numId="15">
    <w:abstractNumId w:val="20"/>
  </w:num>
  <w:num w:numId="16">
    <w:abstractNumId w:val="30"/>
    <w:lvlOverride w:ilvl="0">
      <w:startOverride w:val="1"/>
    </w:lvlOverride>
    <w:lvlOverride w:ilvl="1">
      <w:startOverride w:val="1"/>
    </w:lvlOverride>
  </w:num>
  <w:num w:numId="17">
    <w:abstractNumId w:val="13"/>
  </w:num>
  <w:num w:numId="18">
    <w:abstractNumId w:val="13"/>
    <w:lvlOverride w:ilvl="0">
      <w:startOverride w:val="1"/>
    </w:lvlOverride>
    <w:lvlOverride w:ilvl="1">
      <w:startOverride w:val="1"/>
    </w:lvlOverride>
  </w:num>
  <w:num w:numId="19">
    <w:abstractNumId w:val="13"/>
    <w:lvlOverride w:ilvl="0">
      <w:startOverride w:val="1"/>
    </w:lvlOverride>
    <w:lvlOverride w:ilvl="1">
      <w:startOverride w:val="1"/>
    </w:lvlOverride>
  </w:num>
  <w:num w:numId="20">
    <w:abstractNumId w:val="27"/>
  </w:num>
  <w:num w:numId="21">
    <w:abstractNumId w:val="19"/>
  </w:num>
  <w:num w:numId="22">
    <w:abstractNumId w:val="4"/>
  </w:num>
  <w:num w:numId="23">
    <w:abstractNumId w:val="21"/>
  </w:num>
  <w:num w:numId="24">
    <w:abstractNumId w:val="25"/>
  </w:num>
  <w:num w:numId="25">
    <w:abstractNumId w:val="17"/>
  </w:num>
  <w:num w:numId="26">
    <w:abstractNumId w:val="0"/>
  </w:num>
  <w:num w:numId="27">
    <w:abstractNumId w:val="1"/>
  </w:num>
  <w:num w:numId="28">
    <w:abstractNumId w:val="26"/>
  </w:num>
  <w:num w:numId="29">
    <w:abstractNumId w:val="11"/>
  </w:num>
  <w:num w:numId="30">
    <w:abstractNumId w:val="2"/>
  </w:num>
  <w:num w:numId="31">
    <w:abstractNumId w:val="23"/>
  </w:num>
  <w:num w:numId="32">
    <w:abstractNumId w:val="32"/>
  </w:num>
  <w:num w:numId="33">
    <w:abstractNumId w:val="24"/>
  </w:num>
  <w:num w:numId="34">
    <w:abstractNumId w:val="29"/>
  </w:num>
  <w:num w:numId="35">
    <w:abstractNumId w:val="8"/>
  </w:num>
  <w:num w:numId="36">
    <w:abstractNumId w:val="3"/>
  </w:num>
  <w:num w:numId="37">
    <w:abstractNumId w:val="7"/>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natin Baum">
    <w15:presenceInfo w15:providerId="AD" w15:userId="S-1-5-21-889838981-920820592-1903951286-275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FC3"/>
    <w:rsid w:val="0000105E"/>
    <w:rsid w:val="00001122"/>
    <w:rsid w:val="00001586"/>
    <w:rsid w:val="00002C3A"/>
    <w:rsid w:val="000030E8"/>
    <w:rsid w:val="00003D6E"/>
    <w:rsid w:val="00005C7E"/>
    <w:rsid w:val="00005E1A"/>
    <w:rsid w:val="000063BD"/>
    <w:rsid w:val="00007573"/>
    <w:rsid w:val="00010F04"/>
    <w:rsid w:val="00012B8E"/>
    <w:rsid w:val="00012C02"/>
    <w:rsid w:val="00013F1D"/>
    <w:rsid w:val="000146EE"/>
    <w:rsid w:val="00016519"/>
    <w:rsid w:val="00020EA1"/>
    <w:rsid w:val="000220FF"/>
    <w:rsid w:val="00023F21"/>
    <w:rsid w:val="00024550"/>
    <w:rsid w:val="00025F96"/>
    <w:rsid w:val="000272F1"/>
    <w:rsid w:val="0003578F"/>
    <w:rsid w:val="00035F1A"/>
    <w:rsid w:val="000360AC"/>
    <w:rsid w:val="00036B96"/>
    <w:rsid w:val="0003733F"/>
    <w:rsid w:val="00037C94"/>
    <w:rsid w:val="00040215"/>
    <w:rsid w:val="0004055C"/>
    <w:rsid w:val="000405E3"/>
    <w:rsid w:val="0004066D"/>
    <w:rsid w:val="000436A4"/>
    <w:rsid w:val="00050B62"/>
    <w:rsid w:val="00053390"/>
    <w:rsid w:val="00053AAA"/>
    <w:rsid w:val="000561DB"/>
    <w:rsid w:val="00057595"/>
    <w:rsid w:val="00060497"/>
    <w:rsid w:val="00060E74"/>
    <w:rsid w:val="00063B93"/>
    <w:rsid w:val="00064A46"/>
    <w:rsid w:val="00064AF3"/>
    <w:rsid w:val="00070738"/>
    <w:rsid w:val="00071052"/>
    <w:rsid w:val="00071824"/>
    <w:rsid w:val="00077546"/>
    <w:rsid w:val="000804A5"/>
    <w:rsid w:val="0008148F"/>
    <w:rsid w:val="00082278"/>
    <w:rsid w:val="00083FD5"/>
    <w:rsid w:val="00084A88"/>
    <w:rsid w:val="000850D4"/>
    <w:rsid w:val="000857E8"/>
    <w:rsid w:val="00086312"/>
    <w:rsid w:val="00091A62"/>
    <w:rsid w:val="00092698"/>
    <w:rsid w:val="000951EB"/>
    <w:rsid w:val="00097252"/>
    <w:rsid w:val="000A29C4"/>
    <w:rsid w:val="000A2BDE"/>
    <w:rsid w:val="000A2D47"/>
    <w:rsid w:val="000A3043"/>
    <w:rsid w:val="000A4DBA"/>
    <w:rsid w:val="000A5910"/>
    <w:rsid w:val="000A63DB"/>
    <w:rsid w:val="000A66BF"/>
    <w:rsid w:val="000A6D06"/>
    <w:rsid w:val="000A6E89"/>
    <w:rsid w:val="000A73A6"/>
    <w:rsid w:val="000B00AE"/>
    <w:rsid w:val="000B01F0"/>
    <w:rsid w:val="000B207F"/>
    <w:rsid w:val="000B219C"/>
    <w:rsid w:val="000B238F"/>
    <w:rsid w:val="000B248A"/>
    <w:rsid w:val="000B2521"/>
    <w:rsid w:val="000B2809"/>
    <w:rsid w:val="000B2C6A"/>
    <w:rsid w:val="000B4AB1"/>
    <w:rsid w:val="000B551F"/>
    <w:rsid w:val="000B5AE3"/>
    <w:rsid w:val="000C084A"/>
    <w:rsid w:val="000C0A7E"/>
    <w:rsid w:val="000C1A98"/>
    <w:rsid w:val="000C29ED"/>
    <w:rsid w:val="000C387E"/>
    <w:rsid w:val="000C3F1A"/>
    <w:rsid w:val="000C4F4B"/>
    <w:rsid w:val="000C5FD8"/>
    <w:rsid w:val="000C6559"/>
    <w:rsid w:val="000C788B"/>
    <w:rsid w:val="000D114D"/>
    <w:rsid w:val="000D1A2B"/>
    <w:rsid w:val="000D3DCC"/>
    <w:rsid w:val="000D6588"/>
    <w:rsid w:val="000D795A"/>
    <w:rsid w:val="000D7EA7"/>
    <w:rsid w:val="000E0C0A"/>
    <w:rsid w:val="000E3BCA"/>
    <w:rsid w:val="000E62F3"/>
    <w:rsid w:val="000E645F"/>
    <w:rsid w:val="000F0056"/>
    <w:rsid w:val="000F0A95"/>
    <w:rsid w:val="000F1066"/>
    <w:rsid w:val="000F11C6"/>
    <w:rsid w:val="000F1D0B"/>
    <w:rsid w:val="000F22C2"/>
    <w:rsid w:val="000F2908"/>
    <w:rsid w:val="000F3022"/>
    <w:rsid w:val="000F3BD8"/>
    <w:rsid w:val="000F3E5D"/>
    <w:rsid w:val="000F494E"/>
    <w:rsid w:val="000F49C8"/>
    <w:rsid w:val="000F4F89"/>
    <w:rsid w:val="000F7B35"/>
    <w:rsid w:val="001006C4"/>
    <w:rsid w:val="00101A3B"/>
    <w:rsid w:val="00102365"/>
    <w:rsid w:val="00104196"/>
    <w:rsid w:val="0010428A"/>
    <w:rsid w:val="00105111"/>
    <w:rsid w:val="00106989"/>
    <w:rsid w:val="001114AC"/>
    <w:rsid w:val="0011222A"/>
    <w:rsid w:val="00113637"/>
    <w:rsid w:val="0011392B"/>
    <w:rsid w:val="00114016"/>
    <w:rsid w:val="00114EE6"/>
    <w:rsid w:val="00115487"/>
    <w:rsid w:val="00115C1F"/>
    <w:rsid w:val="001169FD"/>
    <w:rsid w:val="00120713"/>
    <w:rsid w:val="0012149A"/>
    <w:rsid w:val="0012171C"/>
    <w:rsid w:val="00124BA1"/>
    <w:rsid w:val="00124DD3"/>
    <w:rsid w:val="001272AD"/>
    <w:rsid w:val="0012770E"/>
    <w:rsid w:val="00130996"/>
    <w:rsid w:val="00131183"/>
    <w:rsid w:val="00132241"/>
    <w:rsid w:val="00133726"/>
    <w:rsid w:val="00134CB4"/>
    <w:rsid w:val="00135A21"/>
    <w:rsid w:val="00140A57"/>
    <w:rsid w:val="00140ED6"/>
    <w:rsid w:val="00142194"/>
    <w:rsid w:val="00142A63"/>
    <w:rsid w:val="00143826"/>
    <w:rsid w:val="00144764"/>
    <w:rsid w:val="0014484A"/>
    <w:rsid w:val="00144C18"/>
    <w:rsid w:val="00144DCF"/>
    <w:rsid w:val="001470FD"/>
    <w:rsid w:val="00147804"/>
    <w:rsid w:val="0014799F"/>
    <w:rsid w:val="001505EB"/>
    <w:rsid w:val="00150869"/>
    <w:rsid w:val="0015095E"/>
    <w:rsid w:val="00150DDA"/>
    <w:rsid w:val="00151700"/>
    <w:rsid w:val="00151C3C"/>
    <w:rsid w:val="00151E2C"/>
    <w:rsid w:val="001538D7"/>
    <w:rsid w:val="00153FA6"/>
    <w:rsid w:val="0015515B"/>
    <w:rsid w:val="0015614B"/>
    <w:rsid w:val="0016118F"/>
    <w:rsid w:val="001614EB"/>
    <w:rsid w:val="00161F7D"/>
    <w:rsid w:val="0017294B"/>
    <w:rsid w:val="00174AFB"/>
    <w:rsid w:val="00175830"/>
    <w:rsid w:val="0017668D"/>
    <w:rsid w:val="00176763"/>
    <w:rsid w:val="00177B51"/>
    <w:rsid w:val="0018063F"/>
    <w:rsid w:val="00183293"/>
    <w:rsid w:val="00184DE9"/>
    <w:rsid w:val="00184E70"/>
    <w:rsid w:val="00185BEE"/>
    <w:rsid w:val="00186148"/>
    <w:rsid w:val="00186F97"/>
    <w:rsid w:val="00187DA1"/>
    <w:rsid w:val="00190802"/>
    <w:rsid w:val="001930D8"/>
    <w:rsid w:val="00193BB1"/>
    <w:rsid w:val="0019611A"/>
    <w:rsid w:val="00197D95"/>
    <w:rsid w:val="001A0F47"/>
    <w:rsid w:val="001A15F4"/>
    <w:rsid w:val="001A21F6"/>
    <w:rsid w:val="001A2410"/>
    <w:rsid w:val="001A242F"/>
    <w:rsid w:val="001A2D5A"/>
    <w:rsid w:val="001A3A63"/>
    <w:rsid w:val="001A542C"/>
    <w:rsid w:val="001A5819"/>
    <w:rsid w:val="001A6715"/>
    <w:rsid w:val="001A72CF"/>
    <w:rsid w:val="001B048B"/>
    <w:rsid w:val="001B359F"/>
    <w:rsid w:val="001B5F73"/>
    <w:rsid w:val="001B642B"/>
    <w:rsid w:val="001B70D0"/>
    <w:rsid w:val="001B7DC1"/>
    <w:rsid w:val="001C0EC9"/>
    <w:rsid w:val="001C15D4"/>
    <w:rsid w:val="001C1FB1"/>
    <w:rsid w:val="001C430B"/>
    <w:rsid w:val="001C4366"/>
    <w:rsid w:val="001C4BCF"/>
    <w:rsid w:val="001C4F34"/>
    <w:rsid w:val="001C7BB3"/>
    <w:rsid w:val="001D02E5"/>
    <w:rsid w:val="001D0A61"/>
    <w:rsid w:val="001D24C4"/>
    <w:rsid w:val="001D3DAF"/>
    <w:rsid w:val="001D3EEF"/>
    <w:rsid w:val="001D4301"/>
    <w:rsid w:val="001D4334"/>
    <w:rsid w:val="001D4720"/>
    <w:rsid w:val="001D7837"/>
    <w:rsid w:val="001D7C0A"/>
    <w:rsid w:val="001E1512"/>
    <w:rsid w:val="001E2627"/>
    <w:rsid w:val="001E2769"/>
    <w:rsid w:val="001E3C96"/>
    <w:rsid w:val="001E47ED"/>
    <w:rsid w:val="001E4D5E"/>
    <w:rsid w:val="001E568A"/>
    <w:rsid w:val="001E59A7"/>
    <w:rsid w:val="001E64A7"/>
    <w:rsid w:val="001E7200"/>
    <w:rsid w:val="001E73C0"/>
    <w:rsid w:val="001E7EF3"/>
    <w:rsid w:val="001F1CFC"/>
    <w:rsid w:val="001F3A3D"/>
    <w:rsid w:val="001F5EAA"/>
    <w:rsid w:val="001F6B40"/>
    <w:rsid w:val="00201004"/>
    <w:rsid w:val="00202991"/>
    <w:rsid w:val="00202B37"/>
    <w:rsid w:val="0020429F"/>
    <w:rsid w:val="002045CB"/>
    <w:rsid w:val="00204754"/>
    <w:rsid w:val="00204CF6"/>
    <w:rsid w:val="00206CF8"/>
    <w:rsid w:val="0021005D"/>
    <w:rsid w:val="00211A29"/>
    <w:rsid w:val="0021233D"/>
    <w:rsid w:val="002130AA"/>
    <w:rsid w:val="00213200"/>
    <w:rsid w:val="00213950"/>
    <w:rsid w:val="002156BB"/>
    <w:rsid w:val="00215FA9"/>
    <w:rsid w:val="00217074"/>
    <w:rsid w:val="002179F4"/>
    <w:rsid w:val="00217AB4"/>
    <w:rsid w:val="00220C47"/>
    <w:rsid w:val="00220F84"/>
    <w:rsid w:val="00223D4D"/>
    <w:rsid w:val="00230F9E"/>
    <w:rsid w:val="002323A5"/>
    <w:rsid w:val="0023297C"/>
    <w:rsid w:val="00232DDF"/>
    <w:rsid w:val="00232FE6"/>
    <w:rsid w:val="002333AF"/>
    <w:rsid w:val="00235E0E"/>
    <w:rsid w:val="00236F6B"/>
    <w:rsid w:val="00241C73"/>
    <w:rsid w:val="00244120"/>
    <w:rsid w:val="00244D0B"/>
    <w:rsid w:val="00245F6F"/>
    <w:rsid w:val="0025143D"/>
    <w:rsid w:val="002526B8"/>
    <w:rsid w:val="00252AFF"/>
    <w:rsid w:val="002530DA"/>
    <w:rsid w:val="00255E57"/>
    <w:rsid w:val="00257976"/>
    <w:rsid w:val="00257E1C"/>
    <w:rsid w:val="00260A25"/>
    <w:rsid w:val="00263A38"/>
    <w:rsid w:val="00263DA6"/>
    <w:rsid w:val="00263E76"/>
    <w:rsid w:val="00264609"/>
    <w:rsid w:val="002647CC"/>
    <w:rsid w:val="00265B3F"/>
    <w:rsid w:val="00267905"/>
    <w:rsid w:val="0027053F"/>
    <w:rsid w:val="00270E98"/>
    <w:rsid w:val="00270FAB"/>
    <w:rsid w:val="002718EA"/>
    <w:rsid w:val="002732C7"/>
    <w:rsid w:val="0027337E"/>
    <w:rsid w:val="00273D15"/>
    <w:rsid w:val="0027441F"/>
    <w:rsid w:val="00274EC2"/>
    <w:rsid w:val="00274F25"/>
    <w:rsid w:val="00274F91"/>
    <w:rsid w:val="002802E0"/>
    <w:rsid w:val="0028109E"/>
    <w:rsid w:val="002815AB"/>
    <w:rsid w:val="002815DC"/>
    <w:rsid w:val="002821AF"/>
    <w:rsid w:val="00283A5C"/>
    <w:rsid w:val="00283C75"/>
    <w:rsid w:val="0028486D"/>
    <w:rsid w:val="00285265"/>
    <w:rsid w:val="0028762F"/>
    <w:rsid w:val="00287A7A"/>
    <w:rsid w:val="00293FC6"/>
    <w:rsid w:val="002948AA"/>
    <w:rsid w:val="00294988"/>
    <w:rsid w:val="00294F16"/>
    <w:rsid w:val="00294F2D"/>
    <w:rsid w:val="00296366"/>
    <w:rsid w:val="00296B9C"/>
    <w:rsid w:val="00296C85"/>
    <w:rsid w:val="002976F8"/>
    <w:rsid w:val="00297993"/>
    <w:rsid w:val="002A29DA"/>
    <w:rsid w:val="002A310B"/>
    <w:rsid w:val="002A3E9F"/>
    <w:rsid w:val="002A4186"/>
    <w:rsid w:val="002A41A9"/>
    <w:rsid w:val="002A6730"/>
    <w:rsid w:val="002B26A1"/>
    <w:rsid w:val="002B3797"/>
    <w:rsid w:val="002B430F"/>
    <w:rsid w:val="002B4AB7"/>
    <w:rsid w:val="002B4D19"/>
    <w:rsid w:val="002B627A"/>
    <w:rsid w:val="002B7072"/>
    <w:rsid w:val="002B7092"/>
    <w:rsid w:val="002C011F"/>
    <w:rsid w:val="002C083C"/>
    <w:rsid w:val="002C31A2"/>
    <w:rsid w:val="002C4309"/>
    <w:rsid w:val="002C4697"/>
    <w:rsid w:val="002C6B1A"/>
    <w:rsid w:val="002C7A4E"/>
    <w:rsid w:val="002D29CC"/>
    <w:rsid w:val="002D44EC"/>
    <w:rsid w:val="002D53F1"/>
    <w:rsid w:val="002D5898"/>
    <w:rsid w:val="002D621F"/>
    <w:rsid w:val="002D6697"/>
    <w:rsid w:val="002D7B42"/>
    <w:rsid w:val="002D7BFB"/>
    <w:rsid w:val="002E1AED"/>
    <w:rsid w:val="002E1FE3"/>
    <w:rsid w:val="002E26CE"/>
    <w:rsid w:val="002E3B91"/>
    <w:rsid w:val="002E6778"/>
    <w:rsid w:val="002E6D0B"/>
    <w:rsid w:val="002F0472"/>
    <w:rsid w:val="002F2E27"/>
    <w:rsid w:val="002F421F"/>
    <w:rsid w:val="002F4237"/>
    <w:rsid w:val="002F72DA"/>
    <w:rsid w:val="002F7D86"/>
    <w:rsid w:val="00302E4E"/>
    <w:rsid w:val="00304483"/>
    <w:rsid w:val="0030449B"/>
    <w:rsid w:val="00305B01"/>
    <w:rsid w:val="003070C3"/>
    <w:rsid w:val="00311199"/>
    <w:rsid w:val="00311855"/>
    <w:rsid w:val="00311BB1"/>
    <w:rsid w:val="00312753"/>
    <w:rsid w:val="00312986"/>
    <w:rsid w:val="003135BC"/>
    <w:rsid w:val="00314727"/>
    <w:rsid w:val="00314AC3"/>
    <w:rsid w:val="0031546C"/>
    <w:rsid w:val="00316530"/>
    <w:rsid w:val="00321B00"/>
    <w:rsid w:val="003233A0"/>
    <w:rsid w:val="00323C11"/>
    <w:rsid w:val="00330A15"/>
    <w:rsid w:val="00332A32"/>
    <w:rsid w:val="00332C4C"/>
    <w:rsid w:val="00332EE9"/>
    <w:rsid w:val="00332FC3"/>
    <w:rsid w:val="00333A79"/>
    <w:rsid w:val="0033415A"/>
    <w:rsid w:val="00334E20"/>
    <w:rsid w:val="003352BB"/>
    <w:rsid w:val="00335A03"/>
    <w:rsid w:val="00335FFC"/>
    <w:rsid w:val="00341587"/>
    <w:rsid w:val="00342830"/>
    <w:rsid w:val="00343003"/>
    <w:rsid w:val="003431FE"/>
    <w:rsid w:val="003448DA"/>
    <w:rsid w:val="003459CE"/>
    <w:rsid w:val="00347051"/>
    <w:rsid w:val="00347188"/>
    <w:rsid w:val="003474D6"/>
    <w:rsid w:val="003523A4"/>
    <w:rsid w:val="00354766"/>
    <w:rsid w:val="00355108"/>
    <w:rsid w:val="00356746"/>
    <w:rsid w:val="003624E6"/>
    <w:rsid w:val="0036312B"/>
    <w:rsid w:val="003632C9"/>
    <w:rsid w:val="00365070"/>
    <w:rsid w:val="00365660"/>
    <w:rsid w:val="00366E97"/>
    <w:rsid w:val="0037254A"/>
    <w:rsid w:val="00373049"/>
    <w:rsid w:val="00377800"/>
    <w:rsid w:val="00377874"/>
    <w:rsid w:val="003804CE"/>
    <w:rsid w:val="00380C57"/>
    <w:rsid w:val="00381C38"/>
    <w:rsid w:val="003829B7"/>
    <w:rsid w:val="00382D9B"/>
    <w:rsid w:val="00383E90"/>
    <w:rsid w:val="003863D3"/>
    <w:rsid w:val="00387777"/>
    <w:rsid w:val="0039057B"/>
    <w:rsid w:val="003925FE"/>
    <w:rsid w:val="003953F8"/>
    <w:rsid w:val="003A3213"/>
    <w:rsid w:val="003A5BBC"/>
    <w:rsid w:val="003A6123"/>
    <w:rsid w:val="003A6640"/>
    <w:rsid w:val="003A7A0B"/>
    <w:rsid w:val="003B06B2"/>
    <w:rsid w:val="003B1809"/>
    <w:rsid w:val="003B2271"/>
    <w:rsid w:val="003B271A"/>
    <w:rsid w:val="003B2FE2"/>
    <w:rsid w:val="003B3311"/>
    <w:rsid w:val="003B3EA8"/>
    <w:rsid w:val="003B4928"/>
    <w:rsid w:val="003B5644"/>
    <w:rsid w:val="003B5B8E"/>
    <w:rsid w:val="003B76F0"/>
    <w:rsid w:val="003B7C70"/>
    <w:rsid w:val="003C0A03"/>
    <w:rsid w:val="003C0CEB"/>
    <w:rsid w:val="003C16A1"/>
    <w:rsid w:val="003C1EE2"/>
    <w:rsid w:val="003C2037"/>
    <w:rsid w:val="003C34BC"/>
    <w:rsid w:val="003C3893"/>
    <w:rsid w:val="003C3C6E"/>
    <w:rsid w:val="003C4767"/>
    <w:rsid w:val="003C733A"/>
    <w:rsid w:val="003D0614"/>
    <w:rsid w:val="003D0E66"/>
    <w:rsid w:val="003D1180"/>
    <w:rsid w:val="003D2C4E"/>
    <w:rsid w:val="003D3DA6"/>
    <w:rsid w:val="003D4D41"/>
    <w:rsid w:val="003D63D8"/>
    <w:rsid w:val="003D6CE4"/>
    <w:rsid w:val="003D6E9E"/>
    <w:rsid w:val="003E02F4"/>
    <w:rsid w:val="003E18D9"/>
    <w:rsid w:val="003E2AC0"/>
    <w:rsid w:val="003E2FEA"/>
    <w:rsid w:val="003E4E1D"/>
    <w:rsid w:val="003E6102"/>
    <w:rsid w:val="003F0F3C"/>
    <w:rsid w:val="003F31B5"/>
    <w:rsid w:val="003F49BA"/>
    <w:rsid w:val="003F58F9"/>
    <w:rsid w:val="003F5F57"/>
    <w:rsid w:val="003F630B"/>
    <w:rsid w:val="003F7399"/>
    <w:rsid w:val="003F77D4"/>
    <w:rsid w:val="003F78DD"/>
    <w:rsid w:val="004005A6"/>
    <w:rsid w:val="004017D4"/>
    <w:rsid w:val="0040184E"/>
    <w:rsid w:val="0040296B"/>
    <w:rsid w:val="00406DBC"/>
    <w:rsid w:val="00412DAE"/>
    <w:rsid w:val="004133B8"/>
    <w:rsid w:val="00413F48"/>
    <w:rsid w:val="0041466E"/>
    <w:rsid w:val="00417025"/>
    <w:rsid w:val="004179F7"/>
    <w:rsid w:val="004202B5"/>
    <w:rsid w:val="00420B38"/>
    <w:rsid w:val="00420EA4"/>
    <w:rsid w:val="0042135A"/>
    <w:rsid w:val="0042167A"/>
    <w:rsid w:val="00423B6E"/>
    <w:rsid w:val="0042459C"/>
    <w:rsid w:val="00424613"/>
    <w:rsid w:val="004254EB"/>
    <w:rsid w:val="00426AC3"/>
    <w:rsid w:val="00426EBC"/>
    <w:rsid w:val="00427EBE"/>
    <w:rsid w:val="00430C74"/>
    <w:rsid w:val="00433E2C"/>
    <w:rsid w:val="004352A8"/>
    <w:rsid w:val="004357BA"/>
    <w:rsid w:val="0043590F"/>
    <w:rsid w:val="00435B0F"/>
    <w:rsid w:val="00437ABA"/>
    <w:rsid w:val="004407B0"/>
    <w:rsid w:val="004440BA"/>
    <w:rsid w:val="004443A7"/>
    <w:rsid w:val="004447DA"/>
    <w:rsid w:val="0044790B"/>
    <w:rsid w:val="00450FE3"/>
    <w:rsid w:val="004521A3"/>
    <w:rsid w:val="00453669"/>
    <w:rsid w:val="00454935"/>
    <w:rsid w:val="004569B5"/>
    <w:rsid w:val="00461595"/>
    <w:rsid w:val="0046327B"/>
    <w:rsid w:val="00463E0B"/>
    <w:rsid w:val="00467F2A"/>
    <w:rsid w:val="00470694"/>
    <w:rsid w:val="00470968"/>
    <w:rsid w:val="00471662"/>
    <w:rsid w:val="00476F66"/>
    <w:rsid w:val="00481D8D"/>
    <w:rsid w:val="0048352F"/>
    <w:rsid w:val="00484AAD"/>
    <w:rsid w:val="004864BA"/>
    <w:rsid w:val="0048670E"/>
    <w:rsid w:val="00490A49"/>
    <w:rsid w:val="0049128E"/>
    <w:rsid w:val="0049358C"/>
    <w:rsid w:val="00493F6D"/>
    <w:rsid w:val="0049509D"/>
    <w:rsid w:val="00495E82"/>
    <w:rsid w:val="0049631B"/>
    <w:rsid w:val="00497499"/>
    <w:rsid w:val="004A190E"/>
    <w:rsid w:val="004A2079"/>
    <w:rsid w:val="004A22DC"/>
    <w:rsid w:val="004A6D3E"/>
    <w:rsid w:val="004A6EE3"/>
    <w:rsid w:val="004B053A"/>
    <w:rsid w:val="004B1A49"/>
    <w:rsid w:val="004B2EB9"/>
    <w:rsid w:val="004B4D15"/>
    <w:rsid w:val="004B6202"/>
    <w:rsid w:val="004B6554"/>
    <w:rsid w:val="004C0B2B"/>
    <w:rsid w:val="004C109A"/>
    <w:rsid w:val="004C148B"/>
    <w:rsid w:val="004C1F16"/>
    <w:rsid w:val="004C327F"/>
    <w:rsid w:val="004C32AD"/>
    <w:rsid w:val="004C3399"/>
    <w:rsid w:val="004C3AF9"/>
    <w:rsid w:val="004C4728"/>
    <w:rsid w:val="004C4B5B"/>
    <w:rsid w:val="004C4DEC"/>
    <w:rsid w:val="004C5DEE"/>
    <w:rsid w:val="004D0957"/>
    <w:rsid w:val="004D1B60"/>
    <w:rsid w:val="004D286D"/>
    <w:rsid w:val="004D287B"/>
    <w:rsid w:val="004D5EC4"/>
    <w:rsid w:val="004E069B"/>
    <w:rsid w:val="004E15AB"/>
    <w:rsid w:val="004E1829"/>
    <w:rsid w:val="004E23AB"/>
    <w:rsid w:val="004E4336"/>
    <w:rsid w:val="004E6BA6"/>
    <w:rsid w:val="004E7D67"/>
    <w:rsid w:val="004F6021"/>
    <w:rsid w:val="004F71D9"/>
    <w:rsid w:val="00500165"/>
    <w:rsid w:val="005010B8"/>
    <w:rsid w:val="005015C7"/>
    <w:rsid w:val="00502C7D"/>
    <w:rsid w:val="005034C5"/>
    <w:rsid w:val="005042D9"/>
    <w:rsid w:val="005049B2"/>
    <w:rsid w:val="00505C21"/>
    <w:rsid w:val="0050661F"/>
    <w:rsid w:val="005072D1"/>
    <w:rsid w:val="005130B7"/>
    <w:rsid w:val="005130E9"/>
    <w:rsid w:val="005132C2"/>
    <w:rsid w:val="00514C79"/>
    <w:rsid w:val="00515533"/>
    <w:rsid w:val="00517CDA"/>
    <w:rsid w:val="00522098"/>
    <w:rsid w:val="0052518B"/>
    <w:rsid w:val="00525232"/>
    <w:rsid w:val="0052623F"/>
    <w:rsid w:val="00526730"/>
    <w:rsid w:val="00530BF9"/>
    <w:rsid w:val="005332C4"/>
    <w:rsid w:val="0053428C"/>
    <w:rsid w:val="00535C2C"/>
    <w:rsid w:val="00537287"/>
    <w:rsid w:val="00537F63"/>
    <w:rsid w:val="005417F0"/>
    <w:rsid w:val="00541C62"/>
    <w:rsid w:val="0054274D"/>
    <w:rsid w:val="00543F94"/>
    <w:rsid w:val="0054404A"/>
    <w:rsid w:val="005445B8"/>
    <w:rsid w:val="005449AC"/>
    <w:rsid w:val="00546ADB"/>
    <w:rsid w:val="00547679"/>
    <w:rsid w:val="00547FB4"/>
    <w:rsid w:val="0055024B"/>
    <w:rsid w:val="0055202A"/>
    <w:rsid w:val="005528D1"/>
    <w:rsid w:val="00553EFD"/>
    <w:rsid w:val="0055455E"/>
    <w:rsid w:val="0056054D"/>
    <w:rsid w:val="00560E07"/>
    <w:rsid w:val="005612C9"/>
    <w:rsid w:val="005617C8"/>
    <w:rsid w:val="00562C1D"/>
    <w:rsid w:val="00562D67"/>
    <w:rsid w:val="00563638"/>
    <w:rsid w:val="00564DF5"/>
    <w:rsid w:val="0056540E"/>
    <w:rsid w:val="005655B7"/>
    <w:rsid w:val="005656B9"/>
    <w:rsid w:val="00565D42"/>
    <w:rsid w:val="005677D7"/>
    <w:rsid w:val="00567FB6"/>
    <w:rsid w:val="00570C23"/>
    <w:rsid w:val="00571386"/>
    <w:rsid w:val="00571FB8"/>
    <w:rsid w:val="00572692"/>
    <w:rsid w:val="00573580"/>
    <w:rsid w:val="00573DA7"/>
    <w:rsid w:val="00573E6E"/>
    <w:rsid w:val="0057542E"/>
    <w:rsid w:val="005761E2"/>
    <w:rsid w:val="00576CEF"/>
    <w:rsid w:val="0057752C"/>
    <w:rsid w:val="00577DAA"/>
    <w:rsid w:val="00580051"/>
    <w:rsid w:val="005804C1"/>
    <w:rsid w:val="00580750"/>
    <w:rsid w:val="0058164D"/>
    <w:rsid w:val="0058254B"/>
    <w:rsid w:val="0058311B"/>
    <w:rsid w:val="0058373A"/>
    <w:rsid w:val="00583C47"/>
    <w:rsid w:val="00583E32"/>
    <w:rsid w:val="005901AB"/>
    <w:rsid w:val="00590AE2"/>
    <w:rsid w:val="00591383"/>
    <w:rsid w:val="00591AB3"/>
    <w:rsid w:val="005928DC"/>
    <w:rsid w:val="00594B8F"/>
    <w:rsid w:val="00594F1E"/>
    <w:rsid w:val="00594F3B"/>
    <w:rsid w:val="0059552F"/>
    <w:rsid w:val="005964C4"/>
    <w:rsid w:val="005966E4"/>
    <w:rsid w:val="005967B6"/>
    <w:rsid w:val="005971AD"/>
    <w:rsid w:val="005A1EB5"/>
    <w:rsid w:val="005A32DB"/>
    <w:rsid w:val="005A3312"/>
    <w:rsid w:val="005A3CB1"/>
    <w:rsid w:val="005A545F"/>
    <w:rsid w:val="005A6E07"/>
    <w:rsid w:val="005B0418"/>
    <w:rsid w:val="005B0C79"/>
    <w:rsid w:val="005B168A"/>
    <w:rsid w:val="005B182C"/>
    <w:rsid w:val="005B19D8"/>
    <w:rsid w:val="005B1A29"/>
    <w:rsid w:val="005B2EF1"/>
    <w:rsid w:val="005B4B63"/>
    <w:rsid w:val="005B4D04"/>
    <w:rsid w:val="005B5261"/>
    <w:rsid w:val="005B72B2"/>
    <w:rsid w:val="005C1B3E"/>
    <w:rsid w:val="005C2A54"/>
    <w:rsid w:val="005C2D1F"/>
    <w:rsid w:val="005C46B2"/>
    <w:rsid w:val="005C5123"/>
    <w:rsid w:val="005C5A24"/>
    <w:rsid w:val="005C62BD"/>
    <w:rsid w:val="005C640D"/>
    <w:rsid w:val="005C66E1"/>
    <w:rsid w:val="005C769E"/>
    <w:rsid w:val="005C7BA9"/>
    <w:rsid w:val="005D04E1"/>
    <w:rsid w:val="005D1BEC"/>
    <w:rsid w:val="005D3E46"/>
    <w:rsid w:val="005D44E8"/>
    <w:rsid w:val="005D4782"/>
    <w:rsid w:val="005D50F3"/>
    <w:rsid w:val="005D5DDF"/>
    <w:rsid w:val="005D7B4D"/>
    <w:rsid w:val="005E1225"/>
    <w:rsid w:val="005E2460"/>
    <w:rsid w:val="005E2BB6"/>
    <w:rsid w:val="005E2CC3"/>
    <w:rsid w:val="005E3C8D"/>
    <w:rsid w:val="005E401B"/>
    <w:rsid w:val="005E539C"/>
    <w:rsid w:val="005E5D05"/>
    <w:rsid w:val="005F05B1"/>
    <w:rsid w:val="005F08B7"/>
    <w:rsid w:val="005F1D22"/>
    <w:rsid w:val="005F1E84"/>
    <w:rsid w:val="005F3463"/>
    <w:rsid w:val="005F47E6"/>
    <w:rsid w:val="005F594E"/>
    <w:rsid w:val="005F7BA2"/>
    <w:rsid w:val="005F7FC9"/>
    <w:rsid w:val="00603C9B"/>
    <w:rsid w:val="006057F9"/>
    <w:rsid w:val="00605E63"/>
    <w:rsid w:val="00610EC3"/>
    <w:rsid w:val="006115E6"/>
    <w:rsid w:val="00613952"/>
    <w:rsid w:val="006147B4"/>
    <w:rsid w:val="00614A79"/>
    <w:rsid w:val="00615074"/>
    <w:rsid w:val="00615F6F"/>
    <w:rsid w:val="00620F8E"/>
    <w:rsid w:val="00621AB0"/>
    <w:rsid w:val="006242ED"/>
    <w:rsid w:val="0062624C"/>
    <w:rsid w:val="0063092A"/>
    <w:rsid w:val="00631182"/>
    <w:rsid w:val="0063519B"/>
    <w:rsid w:val="006354B1"/>
    <w:rsid w:val="00635605"/>
    <w:rsid w:val="00637A26"/>
    <w:rsid w:val="0064022A"/>
    <w:rsid w:val="00640899"/>
    <w:rsid w:val="00642C55"/>
    <w:rsid w:val="00643407"/>
    <w:rsid w:val="0064358D"/>
    <w:rsid w:val="00646230"/>
    <w:rsid w:val="00646596"/>
    <w:rsid w:val="00650741"/>
    <w:rsid w:val="006522DC"/>
    <w:rsid w:val="006523BD"/>
    <w:rsid w:val="00653789"/>
    <w:rsid w:val="0065488F"/>
    <w:rsid w:val="00654B40"/>
    <w:rsid w:val="00654D76"/>
    <w:rsid w:val="00655CC6"/>
    <w:rsid w:val="00661080"/>
    <w:rsid w:val="00661400"/>
    <w:rsid w:val="006620C8"/>
    <w:rsid w:val="006631E3"/>
    <w:rsid w:val="00664895"/>
    <w:rsid w:val="006651BF"/>
    <w:rsid w:val="0066695F"/>
    <w:rsid w:val="00666F5C"/>
    <w:rsid w:val="00667170"/>
    <w:rsid w:val="00670961"/>
    <w:rsid w:val="00671CE7"/>
    <w:rsid w:val="00671F58"/>
    <w:rsid w:val="006729FE"/>
    <w:rsid w:val="006749CD"/>
    <w:rsid w:val="00674A2D"/>
    <w:rsid w:val="00674DE7"/>
    <w:rsid w:val="0067512D"/>
    <w:rsid w:val="00675DA4"/>
    <w:rsid w:val="006802C4"/>
    <w:rsid w:val="00680614"/>
    <w:rsid w:val="0068068F"/>
    <w:rsid w:val="00680D3B"/>
    <w:rsid w:val="00681A60"/>
    <w:rsid w:val="00684BA5"/>
    <w:rsid w:val="00684DF5"/>
    <w:rsid w:val="00687400"/>
    <w:rsid w:val="006944DB"/>
    <w:rsid w:val="00694E0E"/>
    <w:rsid w:val="00694EC2"/>
    <w:rsid w:val="0069613F"/>
    <w:rsid w:val="006967DF"/>
    <w:rsid w:val="00696B45"/>
    <w:rsid w:val="00696B88"/>
    <w:rsid w:val="006A13FB"/>
    <w:rsid w:val="006A1714"/>
    <w:rsid w:val="006A186A"/>
    <w:rsid w:val="006A236B"/>
    <w:rsid w:val="006A5A37"/>
    <w:rsid w:val="006B0139"/>
    <w:rsid w:val="006B1C9D"/>
    <w:rsid w:val="006B2549"/>
    <w:rsid w:val="006B2FCC"/>
    <w:rsid w:val="006B35D4"/>
    <w:rsid w:val="006B47B9"/>
    <w:rsid w:val="006B5248"/>
    <w:rsid w:val="006B5C5E"/>
    <w:rsid w:val="006B72D2"/>
    <w:rsid w:val="006C00E0"/>
    <w:rsid w:val="006C0231"/>
    <w:rsid w:val="006C08D0"/>
    <w:rsid w:val="006C14C6"/>
    <w:rsid w:val="006C192F"/>
    <w:rsid w:val="006C403C"/>
    <w:rsid w:val="006C42DD"/>
    <w:rsid w:val="006C727A"/>
    <w:rsid w:val="006C7C23"/>
    <w:rsid w:val="006D226F"/>
    <w:rsid w:val="006D2749"/>
    <w:rsid w:val="006D4544"/>
    <w:rsid w:val="006D4C64"/>
    <w:rsid w:val="006D60BA"/>
    <w:rsid w:val="006D6804"/>
    <w:rsid w:val="006D6D39"/>
    <w:rsid w:val="006D7D97"/>
    <w:rsid w:val="006E1C24"/>
    <w:rsid w:val="006E1F57"/>
    <w:rsid w:val="006E31AB"/>
    <w:rsid w:val="006E428D"/>
    <w:rsid w:val="006E494E"/>
    <w:rsid w:val="006E72EC"/>
    <w:rsid w:val="006E79E8"/>
    <w:rsid w:val="006F1AB3"/>
    <w:rsid w:val="006F3EF6"/>
    <w:rsid w:val="006F48B3"/>
    <w:rsid w:val="006F535E"/>
    <w:rsid w:val="006F5D13"/>
    <w:rsid w:val="006F6782"/>
    <w:rsid w:val="00702AF9"/>
    <w:rsid w:val="00702E1E"/>
    <w:rsid w:val="00703993"/>
    <w:rsid w:val="007049F0"/>
    <w:rsid w:val="00706543"/>
    <w:rsid w:val="00706B31"/>
    <w:rsid w:val="00706F91"/>
    <w:rsid w:val="00710E8F"/>
    <w:rsid w:val="007134AA"/>
    <w:rsid w:val="00713DBC"/>
    <w:rsid w:val="00713EA4"/>
    <w:rsid w:val="007140D0"/>
    <w:rsid w:val="00714E60"/>
    <w:rsid w:val="00716B53"/>
    <w:rsid w:val="00720832"/>
    <w:rsid w:val="00721AE8"/>
    <w:rsid w:val="0072317D"/>
    <w:rsid w:val="00723223"/>
    <w:rsid w:val="007241A0"/>
    <w:rsid w:val="0072643C"/>
    <w:rsid w:val="007272D5"/>
    <w:rsid w:val="00730C16"/>
    <w:rsid w:val="007317F3"/>
    <w:rsid w:val="00732FA3"/>
    <w:rsid w:val="007338D3"/>
    <w:rsid w:val="00733C49"/>
    <w:rsid w:val="00733DAE"/>
    <w:rsid w:val="007377A7"/>
    <w:rsid w:val="00741B6F"/>
    <w:rsid w:val="0074206F"/>
    <w:rsid w:val="0074234F"/>
    <w:rsid w:val="0074405F"/>
    <w:rsid w:val="007469FD"/>
    <w:rsid w:val="00747D20"/>
    <w:rsid w:val="00750275"/>
    <w:rsid w:val="00750E25"/>
    <w:rsid w:val="00751CD5"/>
    <w:rsid w:val="007525BE"/>
    <w:rsid w:val="00761B29"/>
    <w:rsid w:val="007624F9"/>
    <w:rsid w:val="00763546"/>
    <w:rsid w:val="00763A39"/>
    <w:rsid w:val="00763A70"/>
    <w:rsid w:val="00764E0A"/>
    <w:rsid w:val="00764EF5"/>
    <w:rsid w:val="007662F4"/>
    <w:rsid w:val="007710D5"/>
    <w:rsid w:val="00772BEE"/>
    <w:rsid w:val="007741CB"/>
    <w:rsid w:val="00775470"/>
    <w:rsid w:val="00775814"/>
    <w:rsid w:val="007764F2"/>
    <w:rsid w:val="00776A4D"/>
    <w:rsid w:val="00777E33"/>
    <w:rsid w:val="00780E33"/>
    <w:rsid w:val="007819E7"/>
    <w:rsid w:val="00782E50"/>
    <w:rsid w:val="00790058"/>
    <w:rsid w:val="0079074A"/>
    <w:rsid w:val="00792025"/>
    <w:rsid w:val="007939CD"/>
    <w:rsid w:val="00793D8B"/>
    <w:rsid w:val="00794360"/>
    <w:rsid w:val="007954C8"/>
    <w:rsid w:val="00795AE1"/>
    <w:rsid w:val="0079622F"/>
    <w:rsid w:val="007A0EFC"/>
    <w:rsid w:val="007A2B86"/>
    <w:rsid w:val="007A4837"/>
    <w:rsid w:val="007A4AD1"/>
    <w:rsid w:val="007A5DCD"/>
    <w:rsid w:val="007A6A71"/>
    <w:rsid w:val="007A6C01"/>
    <w:rsid w:val="007A79A4"/>
    <w:rsid w:val="007B14B3"/>
    <w:rsid w:val="007B4DBA"/>
    <w:rsid w:val="007B5672"/>
    <w:rsid w:val="007B5C20"/>
    <w:rsid w:val="007B64D9"/>
    <w:rsid w:val="007B67CC"/>
    <w:rsid w:val="007B75F1"/>
    <w:rsid w:val="007B79D0"/>
    <w:rsid w:val="007B7CF4"/>
    <w:rsid w:val="007C0AE8"/>
    <w:rsid w:val="007C0C3A"/>
    <w:rsid w:val="007C137B"/>
    <w:rsid w:val="007C209A"/>
    <w:rsid w:val="007C40D8"/>
    <w:rsid w:val="007C596A"/>
    <w:rsid w:val="007D0F7B"/>
    <w:rsid w:val="007D15FC"/>
    <w:rsid w:val="007D34D0"/>
    <w:rsid w:val="007D42A0"/>
    <w:rsid w:val="007D4FAD"/>
    <w:rsid w:val="007E1C34"/>
    <w:rsid w:val="007E2BB7"/>
    <w:rsid w:val="007E56F2"/>
    <w:rsid w:val="007E666D"/>
    <w:rsid w:val="007E76BF"/>
    <w:rsid w:val="007F1A8F"/>
    <w:rsid w:val="007F2B45"/>
    <w:rsid w:val="007F3854"/>
    <w:rsid w:val="007F386B"/>
    <w:rsid w:val="00803024"/>
    <w:rsid w:val="008034B6"/>
    <w:rsid w:val="00804C99"/>
    <w:rsid w:val="00804DB0"/>
    <w:rsid w:val="00806294"/>
    <w:rsid w:val="008122DA"/>
    <w:rsid w:val="00812354"/>
    <w:rsid w:val="00813D29"/>
    <w:rsid w:val="00815113"/>
    <w:rsid w:val="0082194D"/>
    <w:rsid w:val="00822415"/>
    <w:rsid w:val="0082360A"/>
    <w:rsid w:val="00823FA9"/>
    <w:rsid w:val="00824699"/>
    <w:rsid w:val="00824CD2"/>
    <w:rsid w:val="00825588"/>
    <w:rsid w:val="00826AD0"/>
    <w:rsid w:val="0082712E"/>
    <w:rsid w:val="0082745D"/>
    <w:rsid w:val="00834546"/>
    <w:rsid w:val="00835BCC"/>
    <w:rsid w:val="00837036"/>
    <w:rsid w:val="00840E92"/>
    <w:rsid w:val="0084226F"/>
    <w:rsid w:val="00842FA1"/>
    <w:rsid w:val="00843A02"/>
    <w:rsid w:val="0084511B"/>
    <w:rsid w:val="00846403"/>
    <w:rsid w:val="00846F2C"/>
    <w:rsid w:val="00850008"/>
    <w:rsid w:val="00850FBB"/>
    <w:rsid w:val="0085226F"/>
    <w:rsid w:val="00852D88"/>
    <w:rsid w:val="0085686C"/>
    <w:rsid w:val="00862707"/>
    <w:rsid w:val="0086394B"/>
    <w:rsid w:val="0086417D"/>
    <w:rsid w:val="00864DCC"/>
    <w:rsid w:val="00866D3E"/>
    <w:rsid w:val="00867E4D"/>
    <w:rsid w:val="00871908"/>
    <w:rsid w:val="00871D0C"/>
    <w:rsid w:val="008746B1"/>
    <w:rsid w:val="00874C26"/>
    <w:rsid w:val="00875229"/>
    <w:rsid w:val="00880EA8"/>
    <w:rsid w:val="008822C7"/>
    <w:rsid w:val="00882DB0"/>
    <w:rsid w:val="008834EE"/>
    <w:rsid w:val="008841CF"/>
    <w:rsid w:val="00884FE6"/>
    <w:rsid w:val="00887C08"/>
    <w:rsid w:val="00891B93"/>
    <w:rsid w:val="00891F23"/>
    <w:rsid w:val="0089217A"/>
    <w:rsid w:val="00894085"/>
    <w:rsid w:val="00894F43"/>
    <w:rsid w:val="008951D7"/>
    <w:rsid w:val="008965F5"/>
    <w:rsid w:val="00897E02"/>
    <w:rsid w:val="008A1F73"/>
    <w:rsid w:val="008A3E75"/>
    <w:rsid w:val="008A4D54"/>
    <w:rsid w:val="008A5144"/>
    <w:rsid w:val="008A5662"/>
    <w:rsid w:val="008A588E"/>
    <w:rsid w:val="008A5DED"/>
    <w:rsid w:val="008A7AB5"/>
    <w:rsid w:val="008B08C3"/>
    <w:rsid w:val="008B08DA"/>
    <w:rsid w:val="008B0A07"/>
    <w:rsid w:val="008B1AF0"/>
    <w:rsid w:val="008B1B80"/>
    <w:rsid w:val="008B2457"/>
    <w:rsid w:val="008B4054"/>
    <w:rsid w:val="008B4610"/>
    <w:rsid w:val="008B6A19"/>
    <w:rsid w:val="008C009E"/>
    <w:rsid w:val="008C0670"/>
    <w:rsid w:val="008C09C1"/>
    <w:rsid w:val="008C19E1"/>
    <w:rsid w:val="008C3A53"/>
    <w:rsid w:val="008C522C"/>
    <w:rsid w:val="008C5F27"/>
    <w:rsid w:val="008C61F9"/>
    <w:rsid w:val="008C6E11"/>
    <w:rsid w:val="008C6E1F"/>
    <w:rsid w:val="008D02CA"/>
    <w:rsid w:val="008D0F66"/>
    <w:rsid w:val="008D13C5"/>
    <w:rsid w:val="008D155A"/>
    <w:rsid w:val="008D1825"/>
    <w:rsid w:val="008D1D53"/>
    <w:rsid w:val="008D2DF1"/>
    <w:rsid w:val="008D3033"/>
    <w:rsid w:val="008D3149"/>
    <w:rsid w:val="008D3623"/>
    <w:rsid w:val="008D38D9"/>
    <w:rsid w:val="008D6EAF"/>
    <w:rsid w:val="008E1A64"/>
    <w:rsid w:val="008E2BBA"/>
    <w:rsid w:val="008E34D1"/>
    <w:rsid w:val="008E40BC"/>
    <w:rsid w:val="008E5FE7"/>
    <w:rsid w:val="008F08CC"/>
    <w:rsid w:val="008F6A4A"/>
    <w:rsid w:val="009015AA"/>
    <w:rsid w:val="00902846"/>
    <w:rsid w:val="0090442A"/>
    <w:rsid w:val="00906CDB"/>
    <w:rsid w:val="00906EB5"/>
    <w:rsid w:val="00910D89"/>
    <w:rsid w:val="00911194"/>
    <w:rsid w:val="00911882"/>
    <w:rsid w:val="009123C6"/>
    <w:rsid w:val="00912ABA"/>
    <w:rsid w:val="00913665"/>
    <w:rsid w:val="00920792"/>
    <w:rsid w:val="00920857"/>
    <w:rsid w:val="00920DDA"/>
    <w:rsid w:val="00920FC1"/>
    <w:rsid w:val="009237D3"/>
    <w:rsid w:val="0092396F"/>
    <w:rsid w:val="009247FE"/>
    <w:rsid w:val="00930B8C"/>
    <w:rsid w:val="0093144A"/>
    <w:rsid w:val="00931EC9"/>
    <w:rsid w:val="00932975"/>
    <w:rsid w:val="00932995"/>
    <w:rsid w:val="00932F1B"/>
    <w:rsid w:val="00933261"/>
    <w:rsid w:val="009345B0"/>
    <w:rsid w:val="00934D28"/>
    <w:rsid w:val="00935374"/>
    <w:rsid w:val="00936E92"/>
    <w:rsid w:val="009377F8"/>
    <w:rsid w:val="00937B1F"/>
    <w:rsid w:val="00942B95"/>
    <w:rsid w:val="0094334A"/>
    <w:rsid w:val="0094369E"/>
    <w:rsid w:val="00943DD3"/>
    <w:rsid w:val="00944387"/>
    <w:rsid w:val="00945787"/>
    <w:rsid w:val="00946558"/>
    <w:rsid w:val="009466F7"/>
    <w:rsid w:val="0094759E"/>
    <w:rsid w:val="00950499"/>
    <w:rsid w:val="00951255"/>
    <w:rsid w:val="009512C7"/>
    <w:rsid w:val="00952807"/>
    <w:rsid w:val="00953340"/>
    <w:rsid w:val="0095369D"/>
    <w:rsid w:val="00954257"/>
    <w:rsid w:val="00954A99"/>
    <w:rsid w:val="009569F5"/>
    <w:rsid w:val="00957178"/>
    <w:rsid w:val="00961FCA"/>
    <w:rsid w:val="00962D54"/>
    <w:rsid w:val="00963950"/>
    <w:rsid w:val="0096617C"/>
    <w:rsid w:val="00967F1B"/>
    <w:rsid w:val="00970312"/>
    <w:rsid w:val="00970377"/>
    <w:rsid w:val="00970A80"/>
    <w:rsid w:val="009737E5"/>
    <w:rsid w:val="00976E2B"/>
    <w:rsid w:val="00977665"/>
    <w:rsid w:val="00977FC4"/>
    <w:rsid w:val="009840A2"/>
    <w:rsid w:val="00984A2A"/>
    <w:rsid w:val="0098511C"/>
    <w:rsid w:val="009906E3"/>
    <w:rsid w:val="00991C1C"/>
    <w:rsid w:val="0099252C"/>
    <w:rsid w:val="00993F40"/>
    <w:rsid w:val="009957E4"/>
    <w:rsid w:val="009965D9"/>
    <w:rsid w:val="009967E2"/>
    <w:rsid w:val="009A0824"/>
    <w:rsid w:val="009A38A3"/>
    <w:rsid w:val="009A3AE3"/>
    <w:rsid w:val="009A475E"/>
    <w:rsid w:val="009A7B74"/>
    <w:rsid w:val="009B0A57"/>
    <w:rsid w:val="009B0EDD"/>
    <w:rsid w:val="009B163B"/>
    <w:rsid w:val="009B234F"/>
    <w:rsid w:val="009B28D5"/>
    <w:rsid w:val="009B3C7C"/>
    <w:rsid w:val="009B3C8B"/>
    <w:rsid w:val="009B411C"/>
    <w:rsid w:val="009B6BD8"/>
    <w:rsid w:val="009B73FA"/>
    <w:rsid w:val="009C0DFE"/>
    <w:rsid w:val="009C3C67"/>
    <w:rsid w:val="009C4024"/>
    <w:rsid w:val="009C5D49"/>
    <w:rsid w:val="009C621C"/>
    <w:rsid w:val="009C6E07"/>
    <w:rsid w:val="009C6F93"/>
    <w:rsid w:val="009D0749"/>
    <w:rsid w:val="009D111A"/>
    <w:rsid w:val="009D28B0"/>
    <w:rsid w:val="009D34BF"/>
    <w:rsid w:val="009D5B14"/>
    <w:rsid w:val="009D7E26"/>
    <w:rsid w:val="009D7FE6"/>
    <w:rsid w:val="009E0320"/>
    <w:rsid w:val="009E2F42"/>
    <w:rsid w:val="009E3779"/>
    <w:rsid w:val="009E437C"/>
    <w:rsid w:val="009E4CC1"/>
    <w:rsid w:val="009E4D3E"/>
    <w:rsid w:val="009E6115"/>
    <w:rsid w:val="009E6776"/>
    <w:rsid w:val="009E6836"/>
    <w:rsid w:val="009F0E78"/>
    <w:rsid w:val="009F0FD6"/>
    <w:rsid w:val="009F11A6"/>
    <w:rsid w:val="009F2194"/>
    <w:rsid w:val="009F4141"/>
    <w:rsid w:val="009F5614"/>
    <w:rsid w:val="00A02CAA"/>
    <w:rsid w:val="00A04674"/>
    <w:rsid w:val="00A05D8D"/>
    <w:rsid w:val="00A076E0"/>
    <w:rsid w:val="00A10940"/>
    <w:rsid w:val="00A123D3"/>
    <w:rsid w:val="00A12D20"/>
    <w:rsid w:val="00A137C4"/>
    <w:rsid w:val="00A14381"/>
    <w:rsid w:val="00A148C4"/>
    <w:rsid w:val="00A16FC9"/>
    <w:rsid w:val="00A2007E"/>
    <w:rsid w:val="00A21637"/>
    <w:rsid w:val="00A239EE"/>
    <w:rsid w:val="00A23D8D"/>
    <w:rsid w:val="00A249DA"/>
    <w:rsid w:val="00A25950"/>
    <w:rsid w:val="00A264C4"/>
    <w:rsid w:val="00A2794B"/>
    <w:rsid w:val="00A27D6E"/>
    <w:rsid w:val="00A310DF"/>
    <w:rsid w:val="00A31507"/>
    <w:rsid w:val="00A31E17"/>
    <w:rsid w:val="00A32E56"/>
    <w:rsid w:val="00A352D6"/>
    <w:rsid w:val="00A35831"/>
    <w:rsid w:val="00A35A94"/>
    <w:rsid w:val="00A35B6F"/>
    <w:rsid w:val="00A36CC2"/>
    <w:rsid w:val="00A36CF4"/>
    <w:rsid w:val="00A41F8C"/>
    <w:rsid w:val="00A4262B"/>
    <w:rsid w:val="00A440FC"/>
    <w:rsid w:val="00A453F5"/>
    <w:rsid w:val="00A46A95"/>
    <w:rsid w:val="00A4765C"/>
    <w:rsid w:val="00A4767F"/>
    <w:rsid w:val="00A50602"/>
    <w:rsid w:val="00A50A66"/>
    <w:rsid w:val="00A51128"/>
    <w:rsid w:val="00A542E8"/>
    <w:rsid w:val="00A55C74"/>
    <w:rsid w:val="00A568F5"/>
    <w:rsid w:val="00A571AA"/>
    <w:rsid w:val="00A5773D"/>
    <w:rsid w:val="00A60095"/>
    <w:rsid w:val="00A60FB2"/>
    <w:rsid w:val="00A63435"/>
    <w:rsid w:val="00A655D4"/>
    <w:rsid w:val="00A660DD"/>
    <w:rsid w:val="00A702E0"/>
    <w:rsid w:val="00A71D1E"/>
    <w:rsid w:val="00A73851"/>
    <w:rsid w:val="00A738B7"/>
    <w:rsid w:val="00A74092"/>
    <w:rsid w:val="00A74798"/>
    <w:rsid w:val="00A74DB6"/>
    <w:rsid w:val="00A76219"/>
    <w:rsid w:val="00A816BA"/>
    <w:rsid w:val="00A82F99"/>
    <w:rsid w:val="00A858FC"/>
    <w:rsid w:val="00A87C1A"/>
    <w:rsid w:val="00A92D41"/>
    <w:rsid w:val="00A95435"/>
    <w:rsid w:val="00A97ABC"/>
    <w:rsid w:val="00A97F9A"/>
    <w:rsid w:val="00AA0D0A"/>
    <w:rsid w:val="00AA2F28"/>
    <w:rsid w:val="00AA313A"/>
    <w:rsid w:val="00AA3B17"/>
    <w:rsid w:val="00AB00A6"/>
    <w:rsid w:val="00AB13B6"/>
    <w:rsid w:val="00AB2138"/>
    <w:rsid w:val="00AB3D0B"/>
    <w:rsid w:val="00AB503E"/>
    <w:rsid w:val="00AB58C1"/>
    <w:rsid w:val="00AB607C"/>
    <w:rsid w:val="00AB655C"/>
    <w:rsid w:val="00AB6883"/>
    <w:rsid w:val="00AB7B18"/>
    <w:rsid w:val="00AC0A4E"/>
    <w:rsid w:val="00AC0ABC"/>
    <w:rsid w:val="00AC0DF0"/>
    <w:rsid w:val="00AC1990"/>
    <w:rsid w:val="00AC2510"/>
    <w:rsid w:val="00AC29B6"/>
    <w:rsid w:val="00AC2EE1"/>
    <w:rsid w:val="00AC4D98"/>
    <w:rsid w:val="00AC7A4C"/>
    <w:rsid w:val="00AD06F5"/>
    <w:rsid w:val="00AD24FE"/>
    <w:rsid w:val="00AD4301"/>
    <w:rsid w:val="00AD7030"/>
    <w:rsid w:val="00AD7DC5"/>
    <w:rsid w:val="00AE0C65"/>
    <w:rsid w:val="00AE121D"/>
    <w:rsid w:val="00AE1A15"/>
    <w:rsid w:val="00AE1C1E"/>
    <w:rsid w:val="00AE2373"/>
    <w:rsid w:val="00AE2D98"/>
    <w:rsid w:val="00AE33D6"/>
    <w:rsid w:val="00AE3417"/>
    <w:rsid w:val="00AE47D3"/>
    <w:rsid w:val="00AE47E2"/>
    <w:rsid w:val="00AE48D5"/>
    <w:rsid w:val="00AE5C92"/>
    <w:rsid w:val="00AE5FC3"/>
    <w:rsid w:val="00AE7650"/>
    <w:rsid w:val="00AE7A49"/>
    <w:rsid w:val="00AF1677"/>
    <w:rsid w:val="00AF1AE7"/>
    <w:rsid w:val="00AF3964"/>
    <w:rsid w:val="00AF3ABD"/>
    <w:rsid w:val="00AF422E"/>
    <w:rsid w:val="00AF4635"/>
    <w:rsid w:val="00AF4FAD"/>
    <w:rsid w:val="00AF502E"/>
    <w:rsid w:val="00AF7350"/>
    <w:rsid w:val="00B02E2B"/>
    <w:rsid w:val="00B032CE"/>
    <w:rsid w:val="00B06803"/>
    <w:rsid w:val="00B1077B"/>
    <w:rsid w:val="00B11453"/>
    <w:rsid w:val="00B1240F"/>
    <w:rsid w:val="00B14D7C"/>
    <w:rsid w:val="00B15A80"/>
    <w:rsid w:val="00B172B9"/>
    <w:rsid w:val="00B17B4C"/>
    <w:rsid w:val="00B2011D"/>
    <w:rsid w:val="00B20F02"/>
    <w:rsid w:val="00B2237D"/>
    <w:rsid w:val="00B2273B"/>
    <w:rsid w:val="00B259A9"/>
    <w:rsid w:val="00B25E01"/>
    <w:rsid w:val="00B27395"/>
    <w:rsid w:val="00B27F9C"/>
    <w:rsid w:val="00B34D8F"/>
    <w:rsid w:val="00B372C4"/>
    <w:rsid w:val="00B40922"/>
    <w:rsid w:val="00B4162F"/>
    <w:rsid w:val="00B41DC2"/>
    <w:rsid w:val="00B41EDE"/>
    <w:rsid w:val="00B42E8F"/>
    <w:rsid w:val="00B44AC9"/>
    <w:rsid w:val="00B45B3D"/>
    <w:rsid w:val="00B45F61"/>
    <w:rsid w:val="00B4618E"/>
    <w:rsid w:val="00B4684C"/>
    <w:rsid w:val="00B46AFF"/>
    <w:rsid w:val="00B47C93"/>
    <w:rsid w:val="00B5135F"/>
    <w:rsid w:val="00B52828"/>
    <w:rsid w:val="00B54901"/>
    <w:rsid w:val="00B5621D"/>
    <w:rsid w:val="00B57138"/>
    <w:rsid w:val="00B60FD9"/>
    <w:rsid w:val="00B61D59"/>
    <w:rsid w:val="00B61FE4"/>
    <w:rsid w:val="00B63A39"/>
    <w:rsid w:val="00B64986"/>
    <w:rsid w:val="00B64C49"/>
    <w:rsid w:val="00B70007"/>
    <w:rsid w:val="00B701DF"/>
    <w:rsid w:val="00B70DF6"/>
    <w:rsid w:val="00B745A7"/>
    <w:rsid w:val="00B74FDF"/>
    <w:rsid w:val="00B757B3"/>
    <w:rsid w:val="00B75E32"/>
    <w:rsid w:val="00B76D89"/>
    <w:rsid w:val="00B77729"/>
    <w:rsid w:val="00B77A60"/>
    <w:rsid w:val="00B80B22"/>
    <w:rsid w:val="00B80BD1"/>
    <w:rsid w:val="00B822A3"/>
    <w:rsid w:val="00B85BC6"/>
    <w:rsid w:val="00B86049"/>
    <w:rsid w:val="00B867CE"/>
    <w:rsid w:val="00B869DB"/>
    <w:rsid w:val="00B87BB3"/>
    <w:rsid w:val="00B90A76"/>
    <w:rsid w:val="00B927C1"/>
    <w:rsid w:val="00B945D2"/>
    <w:rsid w:val="00B947C3"/>
    <w:rsid w:val="00B950A2"/>
    <w:rsid w:val="00B967F1"/>
    <w:rsid w:val="00BA22CF"/>
    <w:rsid w:val="00BA4557"/>
    <w:rsid w:val="00BA4A32"/>
    <w:rsid w:val="00BA51BF"/>
    <w:rsid w:val="00BA7428"/>
    <w:rsid w:val="00BB0158"/>
    <w:rsid w:val="00BB0EC7"/>
    <w:rsid w:val="00BB1ACD"/>
    <w:rsid w:val="00BB28AD"/>
    <w:rsid w:val="00BB2A92"/>
    <w:rsid w:val="00BB318F"/>
    <w:rsid w:val="00BB3396"/>
    <w:rsid w:val="00BB4028"/>
    <w:rsid w:val="00BB54A7"/>
    <w:rsid w:val="00BB593C"/>
    <w:rsid w:val="00BB606F"/>
    <w:rsid w:val="00BB68AB"/>
    <w:rsid w:val="00BC3256"/>
    <w:rsid w:val="00BC4297"/>
    <w:rsid w:val="00BC73B9"/>
    <w:rsid w:val="00BC7A3E"/>
    <w:rsid w:val="00BC7FA6"/>
    <w:rsid w:val="00BD0A72"/>
    <w:rsid w:val="00BD1B29"/>
    <w:rsid w:val="00BD1E1D"/>
    <w:rsid w:val="00BD2D67"/>
    <w:rsid w:val="00BD31E3"/>
    <w:rsid w:val="00BD351F"/>
    <w:rsid w:val="00BD3D3E"/>
    <w:rsid w:val="00BD4EFD"/>
    <w:rsid w:val="00BD51B5"/>
    <w:rsid w:val="00BD5217"/>
    <w:rsid w:val="00BD5840"/>
    <w:rsid w:val="00BD5D94"/>
    <w:rsid w:val="00BD6878"/>
    <w:rsid w:val="00BD6B84"/>
    <w:rsid w:val="00BE0159"/>
    <w:rsid w:val="00BE025B"/>
    <w:rsid w:val="00BE02B1"/>
    <w:rsid w:val="00BE30C1"/>
    <w:rsid w:val="00BE4BE8"/>
    <w:rsid w:val="00BE4DBC"/>
    <w:rsid w:val="00BE503B"/>
    <w:rsid w:val="00BE68A0"/>
    <w:rsid w:val="00BF020D"/>
    <w:rsid w:val="00BF081B"/>
    <w:rsid w:val="00BF0DE4"/>
    <w:rsid w:val="00BF1F70"/>
    <w:rsid w:val="00BF246A"/>
    <w:rsid w:val="00BF3170"/>
    <w:rsid w:val="00BF3AFA"/>
    <w:rsid w:val="00BF7A34"/>
    <w:rsid w:val="00C002CF"/>
    <w:rsid w:val="00C04BD7"/>
    <w:rsid w:val="00C07731"/>
    <w:rsid w:val="00C126B4"/>
    <w:rsid w:val="00C13053"/>
    <w:rsid w:val="00C13247"/>
    <w:rsid w:val="00C13A1B"/>
    <w:rsid w:val="00C147A2"/>
    <w:rsid w:val="00C156A3"/>
    <w:rsid w:val="00C1639C"/>
    <w:rsid w:val="00C17AF7"/>
    <w:rsid w:val="00C17F6B"/>
    <w:rsid w:val="00C210E1"/>
    <w:rsid w:val="00C2259A"/>
    <w:rsid w:val="00C22BDD"/>
    <w:rsid w:val="00C2340D"/>
    <w:rsid w:val="00C24826"/>
    <w:rsid w:val="00C24886"/>
    <w:rsid w:val="00C262C5"/>
    <w:rsid w:val="00C2770F"/>
    <w:rsid w:val="00C3010E"/>
    <w:rsid w:val="00C303CF"/>
    <w:rsid w:val="00C319E9"/>
    <w:rsid w:val="00C31A31"/>
    <w:rsid w:val="00C33BB6"/>
    <w:rsid w:val="00C33F5B"/>
    <w:rsid w:val="00C3591A"/>
    <w:rsid w:val="00C3687F"/>
    <w:rsid w:val="00C408F4"/>
    <w:rsid w:val="00C41AFB"/>
    <w:rsid w:val="00C4242D"/>
    <w:rsid w:val="00C447A9"/>
    <w:rsid w:val="00C44D77"/>
    <w:rsid w:val="00C45EA7"/>
    <w:rsid w:val="00C50CF5"/>
    <w:rsid w:val="00C5237B"/>
    <w:rsid w:val="00C5285B"/>
    <w:rsid w:val="00C5382B"/>
    <w:rsid w:val="00C540A2"/>
    <w:rsid w:val="00C5445F"/>
    <w:rsid w:val="00C55290"/>
    <w:rsid w:val="00C55885"/>
    <w:rsid w:val="00C61434"/>
    <w:rsid w:val="00C616DE"/>
    <w:rsid w:val="00C619C1"/>
    <w:rsid w:val="00C621F3"/>
    <w:rsid w:val="00C625E7"/>
    <w:rsid w:val="00C65A7E"/>
    <w:rsid w:val="00C66637"/>
    <w:rsid w:val="00C666DA"/>
    <w:rsid w:val="00C66E6F"/>
    <w:rsid w:val="00C671F3"/>
    <w:rsid w:val="00C70E68"/>
    <w:rsid w:val="00C714F0"/>
    <w:rsid w:val="00C72CE0"/>
    <w:rsid w:val="00C741B0"/>
    <w:rsid w:val="00C80317"/>
    <w:rsid w:val="00C807DA"/>
    <w:rsid w:val="00C81A35"/>
    <w:rsid w:val="00C8281D"/>
    <w:rsid w:val="00C856A6"/>
    <w:rsid w:val="00C864F9"/>
    <w:rsid w:val="00C873FA"/>
    <w:rsid w:val="00C90C55"/>
    <w:rsid w:val="00C90F2F"/>
    <w:rsid w:val="00C9121E"/>
    <w:rsid w:val="00C92420"/>
    <w:rsid w:val="00C924D1"/>
    <w:rsid w:val="00C93020"/>
    <w:rsid w:val="00C93160"/>
    <w:rsid w:val="00C947B5"/>
    <w:rsid w:val="00C94BCD"/>
    <w:rsid w:val="00C96894"/>
    <w:rsid w:val="00C97767"/>
    <w:rsid w:val="00CA019A"/>
    <w:rsid w:val="00CA0359"/>
    <w:rsid w:val="00CA1541"/>
    <w:rsid w:val="00CA1649"/>
    <w:rsid w:val="00CA2840"/>
    <w:rsid w:val="00CA2D5A"/>
    <w:rsid w:val="00CA430F"/>
    <w:rsid w:val="00CA5CEF"/>
    <w:rsid w:val="00CB086B"/>
    <w:rsid w:val="00CB0C1F"/>
    <w:rsid w:val="00CB1732"/>
    <w:rsid w:val="00CB1942"/>
    <w:rsid w:val="00CB576D"/>
    <w:rsid w:val="00CB5AED"/>
    <w:rsid w:val="00CB6316"/>
    <w:rsid w:val="00CB6E0D"/>
    <w:rsid w:val="00CB79C0"/>
    <w:rsid w:val="00CC1216"/>
    <w:rsid w:val="00CC33DE"/>
    <w:rsid w:val="00CC37FA"/>
    <w:rsid w:val="00CC39F6"/>
    <w:rsid w:val="00CC4469"/>
    <w:rsid w:val="00CC4AC7"/>
    <w:rsid w:val="00CC65EE"/>
    <w:rsid w:val="00CD07AA"/>
    <w:rsid w:val="00CD086B"/>
    <w:rsid w:val="00CD0E84"/>
    <w:rsid w:val="00CD18BC"/>
    <w:rsid w:val="00CD1DE6"/>
    <w:rsid w:val="00CD2E2C"/>
    <w:rsid w:val="00CD5516"/>
    <w:rsid w:val="00CD621C"/>
    <w:rsid w:val="00CE02F2"/>
    <w:rsid w:val="00CE16DA"/>
    <w:rsid w:val="00CE2655"/>
    <w:rsid w:val="00CE52B4"/>
    <w:rsid w:val="00CE6108"/>
    <w:rsid w:val="00CE6892"/>
    <w:rsid w:val="00CF1730"/>
    <w:rsid w:val="00CF23FF"/>
    <w:rsid w:val="00CF3406"/>
    <w:rsid w:val="00CF5431"/>
    <w:rsid w:val="00CF55A2"/>
    <w:rsid w:val="00D0055B"/>
    <w:rsid w:val="00D008B1"/>
    <w:rsid w:val="00D00E0D"/>
    <w:rsid w:val="00D01C4B"/>
    <w:rsid w:val="00D02135"/>
    <w:rsid w:val="00D0429E"/>
    <w:rsid w:val="00D05A9D"/>
    <w:rsid w:val="00D07E44"/>
    <w:rsid w:val="00D07F28"/>
    <w:rsid w:val="00D13851"/>
    <w:rsid w:val="00D13A30"/>
    <w:rsid w:val="00D13A46"/>
    <w:rsid w:val="00D13C53"/>
    <w:rsid w:val="00D145BA"/>
    <w:rsid w:val="00D14F20"/>
    <w:rsid w:val="00D1586F"/>
    <w:rsid w:val="00D17030"/>
    <w:rsid w:val="00D17838"/>
    <w:rsid w:val="00D20935"/>
    <w:rsid w:val="00D2108A"/>
    <w:rsid w:val="00D21814"/>
    <w:rsid w:val="00D22F95"/>
    <w:rsid w:val="00D23189"/>
    <w:rsid w:val="00D24DCA"/>
    <w:rsid w:val="00D26F5A"/>
    <w:rsid w:val="00D30384"/>
    <w:rsid w:val="00D33B7E"/>
    <w:rsid w:val="00D35E9B"/>
    <w:rsid w:val="00D36D74"/>
    <w:rsid w:val="00D4121D"/>
    <w:rsid w:val="00D4320E"/>
    <w:rsid w:val="00D47C86"/>
    <w:rsid w:val="00D51D7D"/>
    <w:rsid w:val="00D520B0"/>
    <w:rsid w:val="00D52145"/>
    <w:rsid w:val="00D52282"/>
    <w:rsid w:val="00D522B5"/>
    <w:rsid w:val="00D52931"/>
    <w:rsid w:val="00D531E0"/>
    <w:rsid w:val="00D5351A"/>
    <w:rsid w:val="00D55A99"/>
    <w:rsid w:val="00D55CBE"/>
    <w:rsid w:val="00D57BD4"/>
    <w:rsid w:val="00D61AEA"/>
    <w:rsid w:val="00D62626"/>
    <w:rsid w:val="00D62BC4"/>
    <w:rsid w:val="00D63DC4"/>
    <w:rsid w:val="00D662A7"/>
    <w:rsid w:val="00D66B1B"/>
    <w:rsid w:val="00D672F3"/>
    <w:rsid w:val="00D6777F"/>
    <w:rsid w:val="00D678C2"/>
    <w:rsid w:val="00D67AB2"/>
    <w:rsid w:val="00D67D00"/>
    <w:rsid w:val="00D70BEE"/>
    <w:rsid w:val="00D72337"/>
    <w:rsid w:val="00D735D8"/>
    <w:rsid w:val="00D73997"/>
    <w:rsid w:val="00D74084"/>
    <w:rsid w:val="00D760F4"/>
    <w:rsid w:val="00D767DE"/>
    <w:rsid w:val="00D77CD0"/>
    <w:rsid w:val="00D81299"/>
    <w:rsid w:val="00D83684"/>
    <w:rsid w:val="00D84748"/>
    <w:rsid w:val="00D8490A"/>
    <w:rsid w:val="00D84B12"/>
    <w:rsid w:val="00D84D0E"/>
    <w:rsid w:val="00D85193"/>
    <w:rsid w:val="00D86A7F"/>
    <w:rsid w:val="00D8741D"/>
    <w:rsid w:val="00D877EF"/>
    <w:rsid w:val="00D87E3E"/>
    <w:rsid w:val="00D92215"/>
    <w:rsid w:val="00D93B3F"/>
    <w:rsid w:val="00D967EC"/>
    <w:rsid w:val="00DA06DE"/>
    <w:rsid w:val="00DA0969"/>
    <w:rsid w:val="00DA09F8"/>
    <w:rsid w:val="00DA191B"/>
    <w:rsid w:val="00DA19CF"/>
    <w:rsid w:val="00DA26D1"/>
    <w:rsid w:val="00DA2C8F"/>
    <w:rsid w:val="00DA4DA9"/>
    <w:rsid w:val="00DA5422"/>
    <w:rsid w:val="00DA6FD7"/>
    <w:rsid w:val="00DB054B"/>
    <w:rsid w:val="00DB1F47"/>
    <w:rsid w:val="00DB324C"/>
    <w:rsid w:val="00DB4F29"/>
    <w:rsid w:val="00DB59E4"/>
    <w:rsid w:val="00DC0182"/>
    <w:rsid w:val="00DC150F"/>
    <w:rsid w:val="00DC18DE"/>
    <w:rsid w:val="00DC419F"/>
    <w:rsid w:val="00DC507D"/>
    <w:rsid w:val="00DC6C98"/>
    <w:rsid w:val="00DD127A"/>
    <w:rsid w:val="00DD18CD"/>
    <w:rsid w:val="00DD5013"/>
    <w:rsid w:val="00DE22E4"/>
    <w:rsid w:val="00DE35D8"/>
    <w:rsid w:val="00DE3826"/>
    <w:rsid w:val="00DE4319"/>
    <w:rsid w:val="00DE53DA"/>
    <w:rsid w:val="00DF101C"/>
    <w:rsid w:val="00DF3D9C"/>
    <w:rsid w:val="00DF493B"/>
    <w:rsid w:val="00DF49C2"/>
    <w:rsid w:val="00DF4F8B"/>
    <w:rsid w:val="00DF60AA"/>
    <w:rsid w:val="00DF624A"/>
    <w:rsid w:val="00DF6606"/>
    <w:rsid w:val="00DF7083"/>
    <w:rsid w:val="00DF7988"/>
    <w:rsid w:val="00DF7D95"/>
    <w:rsid w:val="00E01A61"/>
    <w:rsid w:val="00E0316F"/>
    <w:rsid w:val="00E0451C"/>
    <w:rsid w:val="00E05FEA"/>
    <w:rsid w:val="00E07A82"/>
    <w:rsid w:val="00E105A0"/>
    <w:rsid w:val="00E11217"/>
    <w:rsid w:val="00E112BF"/>
    <w:rsid w:val="00E11F0B"/>
    <w:rsid w:val="00E1217B"/>
    <w:rsid w:val="00E12FB1"/>
    <w:rsid w:val="00E136FC"/>
    <w:rsid w:val="00E140A6"/>
    <w:rsid w:val="00E1531D"/>
    <w:rsid w:val="00E1656F"/>
    <w:rsid w:val="00E17622"/>
    <w:rsid w:val="00E21272"/>
    <w:rsid w:val="00E21A5C"/>
    <w:rsid w:val="00E23D78"/>
    <w:rsid w:val="00E27662"/>
    <w:rsid w:val="00E3039B"/>
    <w:rsid w:val="00E3064F"/>
    <w:rsid w:val="00E3162F"/>
    <w:rsid w:val="00E3184D"/>
    <w:rsid w:val="00E33715"/>
    <w:rsid w:val="00E33EC6"/>
    <w:rsid w:val="00E34E29"/>
    <w:rsid w:val="00E35458"/>
    <w:rsid w:val="00E370D8"/>
    <w:rsid w:val="00E37726"/>
    <w:rsid w:val="00E377FF"/>
    <w:rsid w:val="00E40D93"/>
    <w:rsid w:val="00E40DA0"/>
    <w:rsid w:val="00E45839"/>
    <w:rsid w:val="00E46680"/>
    <w:rsid w:val="00E4692B"/>
    <w:rsid w:val="00E53880"/>
    <w:rsid w:val="00E53AD3"/>
    <w:rsid w:val="00E55E34"/>
    <w:rsid w:val="00E5650A"/>
    <w:rsid w:val="00E566CF"/>
    <w:rsid w:val="00E5693E"/>
    <w:rsid w:val="00E60DC7"/>
    <w:rsid w:val="00E61AAD"/>
    <w:rsid w:val="00E674C8"/>
    <w:rsid w:val="00E7073D"/>
    <w:rsid w:val="00E70D0E"/>
    <w:rsid w:val="00E74744"/>
    <w:rsid w:val="00E75331"/>
    <w:rsid w:val="00E7577F"/>
    <w:rsid w:val="00E757ED"/>
    <w:rsid w:val="00E76C6D"/>
    <w:rsid w:val="00E779E0"/>
    <w:rsid w:val="00E77AD5"/>
    <w:rsid w:val="00E80DD7"/>
    <w:rsid w:val="00E8104E"/>
    <w:rsid w:val="00E82B7A"/>
    <w:rsid w:val="00E83C8A"/>
    <w:rsid w:val="00E86C04"/>
    <w:rsid w:val="00E9044D"/>
    <w:rsid w:val="00E92126"/>
    <w:rsid w:val="00E93634"/>
    <w:rsid w:val="00E939A1"/>
    <w:rsid w:val="00E93E8E"/>
    <w:rsid w:val="00EA0032"/>
    <w:rsid w:val="00EA3479"/>
    <w:rsid w:val="00EA3CC5"/>
    <w:rsid w:val="00EA5C8E"/>
    <w:rsid w:val="00EB0B9A"/>
    <w:rsid w:val="00EB1099"/>
    <w:rsid w:val="00EB2FFE"/>
    <w:rsid w:val="00EB35C0"/>
    <w:rsid w:val="00EB3FB9"/>
    <w:rsid w:val="00EC00AB"/>
    <w:rsid w:val="00EC0692"/>
    <w:rsid w:val="00EC10C6"/>
    <w:rsid w:val="00EC1D2B"/>
    <w:rsid w:val="00EC4DB3"/>
    <w:rsid w:val="00EC579E"/>
    <w:rsid w:val="00EC64A1"/>
    <w:rsid w:val="00EC6D07"/>
    <w:rsid w:val="00ED497B"/>
    <w:rsid w:val="00EE0C2F"/>
    <w:rsid w:val="00EE106D"/>
    <w:rsid w:val="00EE20BF"/>
    <w:rsid w:val="00EE2EFF"/>
    <w:rsid w:val="00EE495F"/>
    <w:rsid w:val="00EE4B71"/>
    <w:rsid w:val="00EE5772"/>
    <w:rsid w:val="00EE5B3D"/>
    <w:rsid w:val="00EF1EB5"/>
    <w:rsid w:val="00EF2726"/>
    <w:rsid w:val="00EF319D"/>
    <w:rsid w:val="00EF3305"/>
    <w:rsid w:val="00EF3CF8"/>
    <w:rsid w:val="00EF539F"/>
    <w:rsid w:val="00EF6447"/>
    <w:rsid w:val="00EF6EB0"/>
    <w:rsid w:val="00EF7203"/>
    <w:rsid w:val="00EF76CC"/>
    <w:rsid w:val="00F00E7C"/>
    <w:rsid w:val="00F01A01"/>
    <w:rsid w:val="00F04E5D"/>
    <w:rsid w:val="00F06867"/>
    <w:rsid w:val="00F07FAD"/>
    <w:rsid w:val="00F10CE3"/>
    <w:rsid w:val="00F1136E"/>
    <w:rsid w:val="00F13147"/>
    <w:rsid w:val="00F137E1"/>
    <w:rsid w:val="00F13C2B"/>
    <w:rsid w:val="00F147C5"/>
    <w:rsid w:val="00F14B20"/>
    <w:rsid w:val="00F1656E"/>
    <w:rsid w:val="00F25934"/>
    <w:rsid w:val="00F2653F"/>
    <w:rsid w:val="00F26BF6"/>
    <w:rsid w:val="00F26C85"/>
    <w:rsid w:val="00F271EA"/>
    <w:rsid w:val="00F32095"/>
    <w:rsid w:val="00F33328"/>
    <w:rsid w:val="00F3361A"/>
    <w:rsid w:val="00F35766"/>
    <w:rsid w:val="00F40D49"/>
    <w:rsid w:val="00F418AF"/>
    <w:rsid w:val="00F4432F"/>
    <w:rsid w:val="00F44B67"/>
    <w:rsid w:val="00F44BB1"/>
    <w:rsid w:val="00F47428"/>
    <w:rsid w:val="00F47B68"/>
    <w:rsid w:val="00F50021"/>
    <w:rsid w:val="00F5006A"/>
    <w:rsid w:val="00F53B9F"/>
    <w:rsid w:val="00F53EEF"/>
    <w:rsid w:val="00F54611"/>
    <w:rsid w:val="00F5687F"/>
    <w:rsid w:val="00F61082"/>
    <w:rsid w:val="00F62E5A"/>
    <w:rsid w:val="00F636D7"/>
    <w:rsid w:val="00F63AD3"/>
    <w:rsid w:val="00F63B8E"/>
    <w:rsid w:val="00F644EA"/>
    <w:rsid w:val="00F65C22"/>
    <w:rsid w:val="00F70118"/>
    <w:rsid w:val="00F73A31"/>
    <w:rsid w:val="00F74BA1"/>
    <w:rsid w:val="00F7524D"/>
    <w:rsid w:val="00F7585A"/>
    <w:rsid w:val="00F75FC9"/>
    <w:rsid w:val="00F765B0"/>
    <w:rsid w:val="00F7747B"/>
    <w:rsid w:val="00F80A39"/>
    <w:rsid w:val="00F814CD"/>
    <w:rsid w:val="00F834F0"/>
    <w:rsid w:val="00F8583A"/>
    <w:rsid w:val="00F85AC5"/>
    <w:rsid w:val="00F86122"/>
    <w:rsid w:val="00F87364"/>
    <w:rsid w:val="00F873CB"/>
    <w:rsid w:val="00F8758D"/>
    <w:rsid w:val="00F9108C"/>
    <w:rsid w:val="00F95EA0"/>
    <w:rsid w:val="00F96423"/>
    <w:rsid w:val="00F977E2"/>
    <w:rsid w:val="00FA09A1"/>
    <w:rsid w:val="00FA1E73"/>
    <w:rsid w:val="00FA273F"/>
    <w:rsid w:val="00FA34B4"/>
    <w:rsid w:val="00FA7ED0"/>
    <w:rsid w:val="00FB1086"/>
    <w:rsid w:val="00FB114E"/>
    <w:rsid w:val="00FB1162"/>
    <w:rsid w:val="00FB2EF6"/>
    <w:rsid w:val="00FB3E3B"/>
    <w:rsid w:val="00FB4F91"/>
    <w:rsid w:val="00FB6EA9"/>
    <w:rsid w:val="00FB7FAD"/>
    <w:rsid w:val="00FC225D"/>
    <w:rsid w:val="00FC2D5F"/>
    <w:rsid w:val="00FC34EB"/>
    <w:rsid w:val="00FC3B3E"/>
    <w:rsid w:val="00FD10B5"/>
    <w:rsid w:val="00FD1656"/>
    <w:rsid w:val="00FD1DDC"/>
    <w:rsid w:val="00FD2D95"/>
    <w:rsid w:val="00FD400B"/>
    <w:rsid w:val="00FD5E1B"/>
    <w:rsid w:val="00FD7BB2"/>
    <w:rsid w:val="00FE2347"/>
    <w:rsid w:val="00FE392C"/>
    <w:rsid w:val="00FE6610"/>
    <w:rsid w:val="00FE679D"/>
    <w:rsid w:val="00FF2188"/>
    <w:rsid w:val="00FF44AD"/>
    <w:rsid w:val="00FF44CA"/>
    <w:rsid w:val="00FF5113"/>
    <w:rsid w:val="00FF5131"/>
    <w:rsid w:val="00FF555E"/>
    <w:rsid w:val="00FF691E"/>
    <w:rsid w:val="00FF6D6E"/>
    <w:rsid w:val="00FF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DF3BB"/>
  <w15:chartTrackingRefBased/>
  <w15:docId w15:val="{D9A2B50F-327A-4137-9935-22492062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4"/>
        <w:szCs w:val="24"/>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32FC3"/>
    <w:pPr>
      <w:spacing w:after="200" w:line="276" w:lineRule="auto"/>
    </w:pPr>
  </w:style>
  <w:style w:type="paragraph" w:styleId="Heading1">
    <w:name w:val="heading 1"/>
    <w:basedOn w:val="Normal"/>
    <w:next w:val="Normal"/>
    <w:link w:val="Heading1Char"/>
    <w:uiPriority w:val="9"/>
    <w:qFormat/>
    <w:rsid w:val="00906CDB"/>
    <w:pPr>
      <w:keepNext/>
      <w:keepLines/>
      <w:numPr>
        <w:numId w:val="17"/>
      </w:numPr>
      <w:spacing w:before="240" w:after="0"/>
      <w:outlineLvl w:val="0"/>
    </w:pPr>
    <w:rPr>
      <w:rFonts w:eastAsiaTheme="majorEastAsia"/>
      <w:b/>
      <w:sz w:val="28"/>
      <w:szCs w:val="32"/>
    </w:rPr>
  </w:style>
  <w:style w:type="paragraph" w:styleId="Heading2">
    <w:name w:val="heading 2"/>
    <w:basedOn w:val="Normal"/>
    <w:next w:val="Normal"/>
    <w:link w:val="Heading2Char"/>
    <w:uiPriority w:val="9"/>
    <w:unhideWhenUsed/>
    <w:qFormat/>
    <w:rsid w:val="00C17F6B"/>
    <w:pPr>
      <w:keepNext/>
      <w:keepLines/>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2FC3"/>
    <w:pPr>
      <w:tabs>
        <w:tab w:val="center" w:pos="4844"/>
        <w:tab w:val="right" w:pos="9689"/>
      </w:tabs>
      <w:spacing w:after="0" w:line="240" w:lineRule="auto"/>
    </w:pPr>
  </w:style>
  <w:style w:type="character" w:customStyle="1" w:styleId="HeaderChar">
    <w:name w:val="Header Char"/>
    <w:basedOn w:val="DefaultParagraphFont"/>
    <w:link w:val="Header"/>
    <w:uiPriority w:val="99"/>
    <w:rsid w:val="00332FC3"/>
    <w:rPr>
      <w:rFonts w:ascii="Calibri" w:eastAsia="Calibri" w:hAnsi="Calibri" w:cs="Times New Roman"/>
    </w:rPr>
  </w:style>
  <w:style w:type="paragraph" w:styleId="Footer">
    <w:name w:val="footer"/>
    <w:basedOn w:val="Normal"/>
    <w:link w:val="FooterChar"/>
    <w:uiPriority w:val="99"/>
    <w:rsid w:val="00332FC3"/>
    <w:pPr>
      <w:tabs>
        <w:tab w:val="center" w:pos="4844"/>
        <w:tab w:val="right" w:pos="9689"/>
      </w:tabs>
      <w:spacing w:after="0" w:line="240" w:lineRule="auto"/>
    </w:pPr>
  </w:style>
  <w:style w:type="character" w:customStyle="1" w:styleId="FooterChar">
    <w:name w:val="Footer Char"/>
    <w:basedOn w:val="DefaultParagraphFont"/>
    <w:link w:val="Footer"/>
    <w:uiPriority w:val="99"/>
    <w:rsid w:val="00332FC3"/>
    <w:rPr>
      <w:rFonts w:ascii="Calibri" w:eastAsia="Calibri" w:hAnsi="Calibri" w:cs="Times New Roman"/>
    </w:rPr>
  </w:style>
  <w:style w:type="character" w:styleId="Hyperlink">
    <w:name w:val="Hyperlink"/>
    <w:uiPriority w:val="99"/>
    <w:rsid w:val="00332FC3"/>
    <w:rPr>
      <w:rFonts w:cs="Times New Roman"/>
      <w:color w:val="0000FF"/>
      <w:u w:val="single"/>
    </w:rPr>
  </w:style>
  <w:style w:type="paragraph" w:styleId="TOC1">
    <w:name w:val="toc 1"/>
    <w:basedOn w:val="Normal"/>
    <w:next w:val="Normal"/>
    <w:autoRedefine/>
    <w:uiPriority w:val="39"/>
    <w:rsid w:val="00332FC3"/>
    <w:pPr>
      <w:spacing w:before="120" w:after="0"/>
    </w:pPr>
    <w:rPr>
      <w:b/>
      <w:bCs/>
      <w:i/>
      <w:iCs/>
    </w:rPr>
  </w:style>
  <w:style w:type="paragraph" w:styleId="TOC2">
    <w:name w:val="toc 2"/>
    <w:basedOn w:val="Normal"/>
    <w:next w:val="Normal"/>
    <w:autoRedefine/>
    <w:uiPriority w:val="39"/>
    <w:rsid w:val="00332FC3"/>
    <w:pPr>
      <w:spacing w:before="120" w:after="0"/>
      <w:ind w:left="240"/>
    </w:pPr>
    <w:rPr>
      <w:b/>
      <w:bCs/>
      <w:sz w:val="22"/>
      <w:szCs w:val="22"/>
    </w:rPr>
  </w:style>
  <w:style w:type="character" w:styleId="PageNumber">
    <w:name w:val="page number"/>
    <w:uiPriority w:val="99"/>
    <w:rsid w:val="00332FC3"/>
    <w:rPr>
      <w:rFonts w:cs="Times New Roman"/>
    </w:rPr>
  </w:style>
  <w:style w:type="paragraph" w:styleId="Caption">
    <w:name w:val="caption"/>
    <w:basedOn w:val="Normal"/>
    <w:next w:val="Normal"/>
    <w:uiPriority w:val="35"/>
    <w:unhideWhenUsed/>
    <w:qFormat/>
    <w:rsid w:val="00332FC3"/>
    <w:pPr>
      <w:spacing w:line="240" w:lineRule="auto"/>
    </w:pPr>
    <w:rPr>
      <w:i/>
      <w:iCs/>
      <w:color w:val="44546A"/>
      <w:sz w:val="18"/>
      <w:szCs w:val="18"/>
    </w:rPr>
  </w:style>
  <w:style w:type="paragraph" w:styleId="TableofFigures">
    <w:name w:val="table of figures"/>
    <w:basedOn w:val="Normal"/>
    <w:next w:val="Normal"/>
    <w:uiPriority w:val="99"/>
    <w:unhideWhenUsed/>
    <w:rsid w:val="00332FC3"/>
    <w:pPr>
      <w:spacing w:after="0" w:line="259" w:lineRule="auto"/>
    </w:pPr>
  </w:style>
  <w:style w:type="character" w:customStyle="1" w:styleId="Heading1Char">
    <w:name w:val="Heading 1 Char"/>
    <w:basedOn w:val="DefaultParagraphFont"/>
    <w:link w:val="Heading1"/>
    <w:uiPriority w:val="9"/>
    <w:rsid w:val="00906CDB"/>
    <w:rPr>
      <w:rFonts w:eastAsiaTheme="majorEastAsia"/>
      <w:b/>
      <w:sz w:val="28"/>
      <w:szCs w:val="32"/>
    </w:rPr>
  </w:style>
  <w:style w:type="paragraph" w:styleId="TOCHeading">
    <w:name w:val="TOC Heading"/>
    <w:basedOn w:val="Heading1"/>
    <w:next w:val="Normal"/>
    <w:uiPriority w:val="39"/>
    <w:unhideWhenUsed/>
    <w:qFormat/>
    <w:rsid w:val="00332FC3"/>
    <w:pPr>
      <w:spacing w:line="259" w:lineRule="auto"/>
      <w:outlineLvl w:val="9"/>
    </w:pPr>
    <w:rPr>
      <w:rFonts w:ascii="Calibri Light" w:eastAsia="Times New Roman" w:hAnsi="Calibri Light" w:cs="Times New Roman"/>
      <w:color w:val="2E74B5"/>
    </w:rPr>
  </w:style>
  <w:style w:type="paragraph" w:styleId="CommentText">
    <w:name w:val="annotation text"/>
    <w:basedOn w:val="Normal"/>
    <w:link w:val="CommentTextChar"/>
    <w:uiPriority w:val="99"/>
    <w:unhideWhenUsed/>
    <w:rsid w:val="005E2BB6"/>
    <w:pPr>
      <w:spacing w:after="160" w:line="240" w:lineRule="auto"/>
    </w:pPr>
    <w:rPr>
      <w:rFonts w:cstheme="minorBidi"/>
      <w:sz w:val="20"/>
      <w:szCs w:val="20"/>
    </w:rPr>
  </w:style>
  <w:style w:type="character" w:customStyle="1" w:styleId="CommentTextChar">
    <w:name w:val="Comment Text Char"/>
    <w:basedOn w:val="DefaultParagraphFont"/>
    <w:link w:val="CommentText"/>
    <w:uiPriority w:val="99"/>
    <w:rsid w:val="005E2BB6"/>
    <w:rPr>
      <w:rFonts w:cstheme="minorBidi"/>
      <w:sz w:val="20"/>
      <w:szCs w:val="20"/>
    </w:rPr>
  </w:style>
  <w:style w:type="paragraph" w:styleId="ListParagraph">
    <w:name w:val="List Paragraph"/>
    <w:basedOn w:val="Normal"/>
    <w:uiPriority w:val="34"/>
    <w:qFormat/>
    <w:rsid w:val="00010F04"/>
    <w:pPr>
      <w:ind w:left="720"/>
      <w:contextualSpacing/>
    </w:pPr>
  </w:style>
  <w:style w:type="character" w:customStyle="1" w:styleId="Heading2Char">
    <w:name w:val="Heading 2 Char"/>
    <w:basedOn w:val="DefaultParagraphFont"/>
    <w:link w:val="Heading2"/>
    <w:uiPriority w:val="9"/>
    <w:rsid w:val="00C17F6B"/>
    <w:rPr>
      <w:rFonts w:eastAsiaTheme="majorEastAsia" w:cstheme="majorBidi"/>
      <w:szCs w:val="26"/>
    </w:rPr>
  </w:style>
  <w:style w:type="character" w:styleId="Emphasis">
    <w:name w:val="Emphasis"/>
    <w:basedOn w:val="DefaultParagraphFont"/>
    <w:uiPriority w:val="20"/>
    <w:qFormat/>
    <w:rsid w:val="009F0FD6"/>
    <w:rPr>
      <w:i/>
      <w:iCs/>
    </w:rPr>
  </w:style>
  <w:style w:type="paragraph" w:customStyle="1" w:styleId="Default">
    <w:name w:val="Default"/>
    <w:rsid w:val="00C72CE0"/>
    <w:pPr>
      <w:autoSpaceDE w:val="0"/>
      <w:autoSpaceDN w:val="0"/>
      <w:adjustRightInd w:val="0"/>
      <w:spacing w:after="0" w:line="240" w:lineRule="auto"/>
    </w:pPr>
    <w:rPr>
      <w:rFonts w:ascii="Myriad Pro Light" w:hAnsi="Myriad Pro Light" w:cs="Myriad Pro Light"/>
      <w:color w:val="000000"/>
    </w:rPr>
  </w:style>
  <w:style w:type="character" w:customStyle="1" w:styleId="A8">
    <w:name w:val="A8"/>
    <w:uiPriority w:val="99"/>
    <w:rsid w:val="00C72CE0"/>
    <w:rPr>
      <w:rFonts w:cs="Myriad Pro Light"/>
      <w:color w:val="211D1E"/>
      <w:sz w:val="23"/>
      <w:szCs w:val="23"/>
    </w:rPr>
  </w:style>
  <w:style w:type="character" w:styleId="Strong">
    <w:name w:val="Strong"/>
    <w:basedOn w:val="DefaultParagraphFont"/>
    <w:uiPriority w:val="22"/>
    <w:qFormat/>
    <w:rsid w:val="00C714F0"/>
    <w:rPr>
      <w:b/>
      <w:bCs/>
    </w:rPr>
  </w:style>
  <w:style w:type="paragraph" w:styleId="FootnoteText">
    <w:name w:val="footnote text"/>
    <w:basedOn w:val="Normal"/>
    <w:link w:val="FootnoteTextChar"/>
    <w:uiPriority w:val="99"/>
    <w:semiHidden/>
    <w:unhideWhenUsed/>
    <w:rsid w:val="001E7200"/>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semiHidden/>
    <w:rsid w:val="001E7200"/>
    <w:rPr>
      <w:rFonts w:cstheme="minorBidi"/>
      <w:sz w:val="20"/>
      <w:szCs w:val="20"/>
    </w:rPr>
  </w:style>
  <w:style w:type="character" w:styleId="FootnoteReference">
    <w:name w:val="footnote reference"/>
    <w:basedOn w:val="DefaultParagraphFont"/>
    <w:uiPriority w:val="99"/>
    <w:semiHidden/>
    <w:unhideWhenUsed/>
    <w:rsid w:val="001E7200"/>
    <w:rPr>
      <w:vertAlign w:val="superscript"/>
    </w:rPr>
  </w:style>
  <w:style w:type="character" w:customStyle="1" w:styleId="correction">
    <w:name w:val="correction"/>
    <w:basedOn w:val="DefaultParagraphFont"/>
    <w:rsid w:val="00086312"/>
  </w:style>
  <w:style w:type="character" w:customStyle="1" w:styleId="A7">
    <w:name w:val="A7"/>
    <w:uiPriority w:val="99"/>
    <w:rsid w:val="003C4767"/>
    <w:rPr>
      <w:rFonts w:cs="Myriad Pro"/>
      <w:color w:val="211D1E"/>
      <w:sz w:val="23"/>
      <w:szCs w:val="23"/>
    </w:rPr>
  </w:style>
  <w:style w:type="paragraph" w:styleId="TOC3">
    <w:name w:val="toc 3"/>
    <w:basedOn w:val="Normal"/>
    <w:next w:val="Normal"/>
    <w:autoRedefine/>
    <w:uiPriority w:val="39"/>
    <w:unhideWhenUsed/>
    <w:rsid w:val="00AF502E"/>
    <w:pPr>
      <w:spacing w:after="0"/>
      <w:ind w:left="480"/>
    </w:pPr>
    <w:rPr>
      <w:sz w:val="20"/>
      <w:szCs w:val="20"/>
    </w:rPr>
  </w:style>
  <w:style w:type="paragraph" w:styleId="NormalWeb">
    <w:name w:val="Normal (Web)"/>
    <w:basedOn w:val="Normal"/>
    <w:uiPriority w:val="99"/>
    <w:unhideWhenUsed/>
    <w:rsid w:val="00D17030"/>
    <w:pPr>
      <w:spacing w:before="100" w:beforeAutospacing="1" w:after="100" w:afterAutospacing="1" w:line="240" w:lineRule="auto"/>
    </w:pPr>
    <w:rPr>
      <w:rFonts w:ascii="Times New Roman" w:eastAsia="Times New Roman" w:hAnsi="Times New Roman" w:cs="Times New Roman"/>
    </w:rPr>
  </w:style>
  <w:style w:type="character" w:customStyle="1" w:styleId="f">
    <w:name w:val="f"/>
    <w:basedOn w:val="DefaultParagraphFont"/>
    <w:rsid w:val="005E3C8D"/>
  </w:style>
  <w:style w:type="table" w:styleId="GridTable2-Accent1">
    <w:name w:val="Grid Table 2 Accent 1"/>
    <w:basedOn w:val="TableNormal"/>
    <w:uiPriority w:val="47"/>
    <w:rsid w:val="00C6143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5">
    <w:name w:val="Grid Table 6 Colorful Accent 5"/>
    <w:basedOn w:val="TableNormal"/>
    <w:uiPriority w:val="51"/>
    <w:rsid w:val="00C6143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A2794B"/>
    <w:pPr>
      <w:spacing w:after="0" w:line="240" w:lineRule="auto"/>
    </w:pPr>
    <w:rPr>
      <w:rFonts w:eastAsiaTheme="minorEastAsia" w:cstheme="minorBidi"/>
      <w:sz w:val="22"/>
      <w:szCs w:val="22"/>
    </w:rPr>
  </w:style>
  <w:style w:type="character" w:customStyle="1" w:styleId="NoSpacingChar">
    <w:name w:val="No Spacing Char"/>
    <w:basedOn w:val="DefaultParagraphFont"/>
    <w:link w:val="NoSpacing"/>
    <w:uiPriority w:val="1"/>
    <w:rsid w:val="00A2794B"/>
    <w:rPr>
      <w:rFonts w:eastAsiaTheme="minorEastAsia" w:cstheme="minorBidi"/>
      <w:sz w:val="22"/>
      <w:szCs w:val="22"/>
    </w:rPr>
  </w:style>
  <w:style w:type="table" w:styleId="GridTable1Light-Accent1">
    <w:name w:val="Grid Table 1 Light Accent 1"/>
    <w:basedOn w:val="TableNormal"/>
    <w:uiPriority w:val="46"/>
    <w:rsid w:val="002A3E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2A3E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1">
    <w:name w:val="Grid Table 6 Colorful Accent 1"/>
    <w:basedOn w:val="TableNormal"/>
    <w:uiPriority w:val="51"/>
    <w:rsid w:val="002A3E9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6729FE"/>
    <w:pPr>
      <w:spacing w:after="0"/>
      <w:ind w:left="720"/>
    </w:pPr>
    <w:rPr>
      <w:sz w:val="20"/>
      <w:szCs w:val="20"/>
    </w:rPr>
  </w:style>
  <w:style w:type="paragraph" w:styleId="TOC5">
    <w:name w:val="toc 5"/>
    <w:basedOn w:val="Normal"/>
    <w:next w:val="Normal"/>
    <w:autoRedefine/>
    <w:uiPriority w:val="39"/>
    <w:unhideWhenUsed/>
    <w:rsid w:val="006729FE"/>
    <w:pPr>
      <w:spacing w:after="0"/>
      <w:ind w:left="960"/>
    </w:pPr>
    <w:rPr>
      <w:sz w:val="20"/>
      <w:szCs w:val="20"/>
    </w:rPr>
  </w:style>
  <w:style w:type="paragraph" w:styleId="TOC6">
    <w:name w:val="toc 6"/>
    <w:basedOn w:val="Normal"/>
    <w:next w:val="Normal"/>
    <w:autoRedefine/>
    <w:uiPriority w:val="39"/>
    <w:unhideWhenUsed/>
    <w:rsid w:val="006729FE"/>
    <w:pPr>
      <w:spacing w:after="0"/>
      <w:ind w:left="1200"/>
    </w:pPr>
    <w:rPr>
      <w:sz w:val="20"/>
      <w:szCs w:val="20"/>
    </w:rPr>
  </w:style>
  <w:style w:type="paragraph" w:styleId="TOC7">
    <w:name w:val="toc 7"/>
    <w:basedOn w:val="Normal"/>
    <w:next w:val="Normal"/>
    <w:autoRedefine/>
    <w:uiPriority w:val="39"/>
    <w:unhideWhenUsed/>
    <w:rsid w:val="006729FE"/>
    <w:pPr>
      <w:spacing w:after="0"/>
      <w:ind w:left="1440"/>
    </w:pPr>
    <w:rPr>
      <w:sz w:val="20"/>
      <w:szCs w:val="20"/>
    </w:rPr>
  </w:style>
  <w:style w:type="paragraph" w:styleId="TOC8">
    <w:name w:val="toc 8"/>
    <w:basedOn w:val="Normal"/>
    <w:next w:val="Normal"/>
    <w:autoRedefine/>
    <w:uiPriority w:val="39"/>
    <w:unhideWhenUsed/>
    <w:rsid w:val="006729FE"/>
    <w:pPr>
      <w:spacing w:after="0"/>
      <w:ind w:left="1680"/>
    </w:pPr>
    <w:rPr>
      <w:sz w:val="20"/>
      <w:szCs w:val="20"/>
    </w:rPr>
  </w:style>
  <w:style w:type="paragraph" w:styleId="TOC9">
    <w:name w:val="toc 9"/>
    <w:basedOn w:val="Normal"/>
    <w:next w:val="Normal"/>
    <w:autoRedefine/>
    <w:uiPriority w:val="39"/>
    <w:unhideWhenUsed/>
    <w:rsid w:val="006729FE"/>
    <w:pPr>
      <w:spacing w:after="0"/>
      <w:ind w:left="1920"/>
    </w:pPr>
    <w:rPr>
      <w:sz w:val="20"/>
      <w:szCs w:val="20"/>
    </w:rPr>
  </w:style>
  <w:style w:type="character" w:styleId="CommentReference">
    <w:name w:val="annotation reference"/>
    <w:basedOn w:val="DefaultParagraphFont"/>
    <w:uiPriority w:val="99"/>
    <w:semiHidden/>
    <w:unhideWhenUsed/>
    <w:rsid w:val="00825588"/>
    <w:rPr>
      <w:sz w:val="16"/>
      <w:szCs w:val="16"/>
    </w:rPr>
  </w:style>
  <w:style w:type="paragraph" w:styleId="CommentSubject">
    <w:name w:val="annotation subject"/>
    <w:basedOn w:val="CommentText"/>
    <w:next w:val="CommentText"/>
    <w:link w:val="CommentSubjectChar"/>
    <w:uiPriority w:val="99"/>
    <w:semiHidden/>
    <w:unhideWhenUsed/>
    <w:rsid w:val="00825588"/>
    <w:pPr>
      <w:spacing w:after="200"/>
    </w:pPr>
    <w:rPr>
      <w:rFonts w:cstheme="minorHAnsi"/>
      <w:b/>
      <w:bCs/>
    </w:rPr>
  </w:style>
  <w:style w:type="character" w:customStyle="1" w:styleId="CommentSubjectChar">
    <w:name w:val="Comment Subject Char"/>
    <w:basedOn w:val="CommentTextChar"/>
    <w:link w:val="CommentSubject"/>
    <w:uiPriority w:val="99"/>
    <w:semiHidden/>
    <w:rsid w:val="00825588"/>
    <w:rPr>
      <w:rFonts w:cstheme="minorBidi"/>
      <w:b/>
      <w:bCs/>
      <w:sz w:val="20"/>
      <w:szCs w:val="20"/>
    </w:rPr>
  </w:style>
  <w:style w:type="paragraph" w:styleId="BalloonText">
    <w:name w:val="Balloon Text"/>
    <w:basedOn w:val="Normal"/>
    <w:link w:val="BalloonTextChar"/>
    <w:uiPriority w:val="99"/>
    <w:semiHidden/>
    <w:unhideWhenUsed/>
    <w:rsid w:val="00825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671">
      <w:bodyDiv w:val="1"/>
      <w:marLeft w:val="0"/>
      <w:marRight w:val="0"/>
      <w:marTop w:val="0"/>
      <w:marBottom w:val="0"/>
      <w:divBdr>
        <w:top w:val="none" w:sz="0" w:space="0" w:color="auto"/>
        <w:left w:val="none" w:sz="0" w:space="0" w:color="auto"/>
        <w:bottom w:val="none" w:sz="0" w:space="0" w:color="auto"/>
        <w:right w:val="none" w:sz="0" w:space="0" w:color="auto"/>
      </w:divBdr>
    </w:div>
    <w:div w:id="51926700">
      <w:bodyDiv w:val="1"/>
      <w:marLeft w:val="0"/>
      <w:marRight w:val="0"/>
      <w:marTop w:val="0"/>
      <w:marBottom w:val="0"/>
      <w:divBdr>
        <w:top w:val="none" w:sz="0" w:space="0" w:color="auto"/>
        <w:left w:val="none" w:sz="0" w:space="0" w:color="auto"/>
        <w:bottom w:val="none" w:sz="0" w:space="0" w:color="auto"/>
        <w:right w:val="none" w:sz="0" w:space="0" w:color="auto"/>
      </w:divBdr>
    </w:div>
    <w:div w:id="296109030">
      <w:bodyDiv w:val="1"/>
      <w:marLeft w:val="0"/>
      <w:marRight w:val="0"/>
      <w:marTop w:val="0"/>
      <w:marBottom w:val="0"/>
      <w:divBdr>
        <w:top w:val="none" w:sz="0" w:space="0" w:color="auto"/>
        <w:left w:val="none" w:sz="0" w:space="0" w:color="auto"/>
        <w:bottom w:val="none" w:sz="0" w:space="0" w:color="auto"/>
        <w:right w:val="none" w:sz="0" w:space="0" w:color="auto"/>
      </w:divBdr>
    </w:div>
    <w:div w:id="356663529">
      <w:bodyDiv w:val="1"/>
      <w:marLeft w:val="0"/>
      <w:marRight w:val="0"/>
      <w:marTop w:val="0"/>
      <w:marBottom w:val="0"/>
      <w:divBdr>
        <w:top w:val="none" w:sz="0" w:space="0" w:color="auto"/>
        <w:left w:val="none" w:sz="0" w:space="0" w:color="auto"/>
        <w:bottom w:val="none" w:sz="0" w:space="0" w:color="auto"/>
        <w:right w:val="none" w:sz="0" w:space="0" w:color="auto"/>
      </w:divBdr>
    </w:div>
    <w:div w:id="388191570">
      <w:bodyDiv w:val="1"/>
      <w:marLeft w:val="0"/>
      <w:marRight w:val="0"/>
      <w:marTop w:val="0"/>
      <w:marBottom w:val="0"/>
      <w:divBdr>
        <w:top w:val="none" w:sz="0" w:space="0" w:color="auto"/>
        <w:left w:val="none" w:sz="0" w:space="0" w:color="auto"/>
        <w:bottom w:val="none" w:sz="0" w:space="0" w:color="auto"/>
        <w:right w:val="none" w:sz="0" w:space="0" w:color="auto"/>
      </w:divBdr>
    </w:div>
    <w:div w:id="492526082">
      <w:bodyDiv w:val="1"/>
      <w:marLeft w:val="0"/>
      <w:marRight w:val="0"/>
      <w:marTop w:val="0"/>
      <w:marBottom w:val="0"/>
      <w:divBdr>
        <w:top w:val="none" w:sz="0" w:space="0" w:color="auto"/>
        <w:left w:val="none" w:sz="0" w:space="0" w:color="auto"/>
        <w:bottom w:val="none" w:sz="0" w:space="0" w:color="auto"/>
        <w:right w:val="none" w:sz="0" w:space="0" w:color="auto"/>
      </w:divBdr>
      <w:divsChild>
        <w:div w:id="843325362">
          <w:marLeft w:val="0"/>
          <w:marRight w:val="0"/>
          <w:marTop w:val="0"/>
          <w:marBottom w:val="0"/>
          <w:divBdr>
            <w:top w:val="none" w:sz="0" w:space="0" w:color="auto"/>
            <w:left w:val="none" w:sz="0" w:space="0" w:color="auto"/>
            <w:bottom w:val="none" w:sz="0" w:space="0" w:color="auto"/>
            <w:right w:val="none" w:sz="0" w:space="0" w:color="auto"/>
          </w:divBdr>
        </w:div>
        <w:div w:id="148793022">
          <w:marLeft w:val="0"/>
          <w:marRight w:val="0"/>
          <w:marTop w:val="0"/>
          <w:marBottom w:val="0"/>
          <w:divBdr>
            <w:top w:val="none" w:sz="0" w:space="0" w:color="auto"/>
            <w:left w:val="none" w:sz="0" w:space="0" w:color="auto"/>
            <w:bottom w:val="none" w:sz="0" w:space="0" w:color="auto"/>
            <w:right w:val="none" w:sz="0" w:space="0" w:color="auto"/>
          </w:divBdr>
        </w:div>
      </w:divsChild>
    </w:div>
    <w:div w:id="752747724">
      <w:bodyDiv w:val="1"/>
      <w:marLeft w:val="0"/>
      <w:marRight w:val="0"/>
      <w:marTop w:val="0"/>
      <w:marBottom w:val="0"/>
      <w:divBdr>
        <w:top w:val="none" w:sz="0" w:space="0" w:color="auto"/>
        <w:left w:val="none" w:sz="0" w:space="0" w:color="auto"/>
        <w:bottom w:val="none" w:sz="0" w:space="0" w:color="auto"/>
        <w:right w:val="none" w:sz="0" w:space="0" w:color="auto"/>
      </w:divBdr>
    </w:div>
    <w:div w:id="1196893928">
      <w:bodyDiv w:val="1"/>
      <w:marLeft w:val="0"/>
      <w:marRight w:val="0"/>
      <w:marTop w:val="0"/>
      <w:marBottom w:val="0"/>
      <w:divBdr>
        <w:top w:val="none" w:sz="0" w:space="0" w:color="auto"/>
        <w:left w:val="none" w:sz="0" w:space="0" w:color="auto"/>
        <w:bottom w:val="none" w:sz="0" w:space="0" w:color="auto"/>
        <w:right w:val="none" w:sz="0" w:space="0" w:color="auto"/>
      </w:divBdr>
    </w:div>
    <w:div w:id="1360087269">
      <w:bodyDiv w:val="1"/>
      <w:marLeft w:val="0"/>
      <w:marRight w:val="0"/>
      <w:marTop w:val="0"/>
      <w:marBottom w:val="0"/>
      <w:divBdr>
        <w:top w:val="none" w:sz="0" w:space="0" w:color="auto"/>
        <w:left w:val="none" w:sz="0" w:space="0" w:color="auto"/>
        <w:bottom w:val="none" w:sz="0" w:space="0" w:color="auto"/>
        <w:right w:val="none" w:sz="0" w:space="0" w:color="auto"/>
      </w:divBdr>
    </w:div>
    <w:div w:id="1493712301">
      <w:bodyDiv w:val="1"/>
      <w:marLeft w:val="0"/>
      <w:marRight w:val="0"/>
      <w:marTop w:val="0"/>
      <w:marBottom w:val="0"/>
      <w:divBdr>
        <w:top w:val="none" w:sz="0" w:space="0" w:color="auto"/>
        <w:left w:val="none" w:sz="0" w:space="0" w:color="auto"/>
        <w:bottom w:val="none" w:sz="0" w:space="0" w:color="auto"/>
        <w:right w:val="none" w:sz="0" w:space="0" w:color="auto"/>
      </w:divBdr>
    </w:div>
    <w:div w:id="1540362880">
      <w:bodyDiv w:val="1"/>
      <w:marLeft w:val="0"/>
      <w:marRight w:val="0"/>
      <w:marTop w:val="0"/>
      <w:marBottom w:val="0"/>
      <w:divBdr>
        <w:top w:val="none" w:sz="0" w:space="0" w:color="auto"/>
        <w:left w:val="none" w:sz="0" w:space="0" w:color="auto"/>
        <w:bottom w:val="none" w:sz="0" w:space="0" w:color="auto"/>
        <w:right w:val="none" w:sz="0" w:space="0" w:color="auto"/>
      </w:divBdr>
    </w:div>
    <w:div w:id="1692410362">
      <w:bodyDiv w:val="1"/>
      <w:marLeft w:val="0"/>
      <w:marRight w:val="0"/>
      <w:marTop w:val="0"/>
      <w:marBottom w:val="0"/>
      <w:divBdr>
        <w:top w:val="none" w:sz="0" w:space="0" w:color="auto"/>
        <w:left w:val="none" w:sz="0" w:space="0" w:color="auto"/>
        <w:bottom w:val="none" w:sz="0" w:space="0" w:color="auto"/>
        <w:right w:val="none" w:sz="0" w:space="0" w:color="auto"/>
      </w:divBdr>
    </w:div>
    <w:div w:id="18175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hyperlink" Target="http://mof.ge/images/File/biujetis-kanoni2018/tavebi/III_TAVI_11.12.2017.pdf" TargetMode="External"/><Relationship Id="rId39" Type="http://schemas.openxmlformats.org/officeDocument/2006/relationships/footer" Target="footer1.xml"/><Relationship Id="rId21" Type="http://schemas.openxmlformats.org/officeDocument/2006/relationships/chart" Target="charts/chart11.xml"/><Relationship Id="rId34" Type="http://schemas.openxmlformats.org/officeDocument/2006/relationships/hyperlink" Target="http://treasury.ge/5467"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chart" Target="charts/chart10.xml"/><Relationship Id="rId29" Type="http://schemas.openxmlformats.org/officeDocument/2006/relationships/hyperlink" Target="https://www.nbg.gov.ge/uploads/publications/inflationreport/2017/mpr_2017q3_publish_eng240817.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ebrd.com/documents/oce/regional-economic-prospects.pdf" TargetMode="External"/><Relationship Id="rId32" Type="http://schemas.openxmlformats.org/officeDocument/2006/relationships/hyperlink" Target="https://www.nbg.gov.ge/uploads/publications/inflationreport/2016/IR_2016Q3_publish_ENG161116.pdf" TargetMode="External"/><Relationship Id="rId37" Type="http://schemas.openxmlformats.org/officeDocument/2006/relationships/hyperlink" Target="http://www.worldbank.org/en/publication/global-economic-prospects"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chart" Target="charts/chart13.xml"/><Relationship Id="rId28" Type="http://schemas.openxmlformats.org/officeDocument/2006/relationships/hyperlink" Target="https://www.nbg.gov.ge/uploads/publications/inflationreport/2017/041217mpr_2017q4_publish_eng.pdf" TargetMode="External"/><Relationship Id="rId36" Type="http://schemas.openxmlformats.org/officeDocument/2006/relationships/hyperlink" Target="http://ssa.gov.ge/index.php?lang_id=GEO&amp;sec_id=1243" TargetMode="Externa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hyperlink" Target="https://www.nbg.gov.ge/uploads/publications/inflationreport/2017/150217publish_MPR_February.pdf"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hyperlink" Target="https://www.nbg.gov.ge/uploads/publications/inflationreport/2018/mpr_2018q1_publish_eng_brief.pdf" TargetMode="External"/><Relationship Id="rId30" Type="http://schemas.openxmlformats.org/officeDocument/2006/relationships/hyperlink" Target="https://www.nbg.gov.ge/uploads/publications/inflationreport/2017/mpr_2017q2_publish_eng_020617.pdf" TargetMode="External"/><Relationship Id="rId35" Type="http://schemas.openxmlformats.org/officeDocument/2006/relationships/hyperlink" Target="http://ssa.gov.ge/index.php?lang_id=GEO&amp;sec_id=1237"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hyperlink" Target="http://www.lmis.gov.ge/Lmis/Lmis.Portal.Web/Handlers/GetFile.ashx?Type=Content&amp;ID=b0c44289-6d97-44a7-b59a-336ca9b885c7" TargetMode="External"/><Relationship Id="rId33" Type="http://schemas.openxmlformats.org/officeDocument/2006/relationships/hyperlink" Target="http://geostat.ge/personalinflation/pdf/Consumer_basket_2017.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1B5D2.D8981460"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0888893752242"/>
          <c:y val="5.9067352693292587E-2"/>
          <c:w val="0.81443310394673729"/>
          <c:h val="0.75728483070581942"/>
        </c:manualLayout>
      </c:layout>
      <c:barChart>
        <c:barDir val="col"/>
        <c:grouping val="clustered"/>
        <c:varyColors val="0"/>
        <c:ser>
          <c:idx val="0"/>
          <c:order val="0"/>
          <c:tx>
            <c:strRef>
              <c:f>'Figure 1&amp;2'!$B$37</c:f>
              <c:strCache>
                <c:ptCount val="1"/>
                <c:pt idx="0">
                  <c:v>Nominal GDP (GEL mln)</c:v>
                </c:pt>
              </c:strCache>
            </c:strRef>
          </c:tx>
          <c:spPr>
            <a:solidFill>
              <a:schemeClr val="accent1"/>
            </a:solidFill>
            <a:ln>
              <a:noFill/>
            </a:ln>
            <a:effectLst/>
          </c:spPr>
          <c:invertIfNegative val="0"/>
          <c:dLbls>
            <c:dLbl>
              <c:idx val="7"/>
              <c:layout>
                <c:manualLayout>
                  <c:x val="9.0561275994345287E-3"/>
                  <c:y val="1.452696568004358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F5E2-4DB2-A8F2-77D22A922F3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1&amp;2'!$C$35:$M$35</c:f>
              <c:strCache>
                <c:ptCount val="11"/>
                <c:pt idx="0">
                  <c:v>2010</c:v>
                </c:pt>
                <c:pt idx="1">
                  <c:v>2011</c:v>
                </c:pt>
                <c:pt idx="2">
                  <c:v>2012</c:v>
                </c:pt>
                <c:pt idx="3">
                  <c:v>2013</c:v>
                </c:pt>
                <c:pt idx="4">
                  <c:v>2014</c:v>
                </c:pt>
                <c:pt idx="5">
                  <c:v>2015</c:v>
                </c:pt>
                <c:pt idx="6">
                  <c:v>2016</c:v>
                </c:pt>
                <c:pt idx="7">
                  <c:v>2017 Q1</c:v>
                </c:pt>
                <c:pt idx="8">
                  <c:v>2017 Q2</c:v>
                </c:pt>
                <c:pt idx="9">
                  <c:v>2017 Q3</c:v>
                </c:pt>
                <c:pt idx="10">
                  <c:v>2017 Q4</c:v>
                </c:pt>
              </c:strCache>
            </c:strRef>
          </c:cat>
          <c:val>
            <c:numRef>
              <c:f>'Figure 1&amp;2'!$C$37:$L$37</c:f>
              <c:numCache>
                <c:formatCode>#,##0</c:formatCode>
                <c:ptCount val="10"/>
                <c:pt idx="0">
                  <c:v>20743.364248842241</c:v>
                </c:pt>
                <c:pt idx="1">
                  <c:v>24343.986583464652</c:v>
                </c:pt>
                <c:pt idx="2">
                  <c:v>26167.283503255792</c:v>
                </c:pt>
                <c:pt idx="3">
                  <c:v>26847.354249055075</c:v>
                </c:pt>
                <c:pt idx="4">
                  <c:v>29150.481302203247</c:v>
                </c:pt>
                <c:pt idx="5">
                  <c:v>31755.555634667184</c:v>
                </c:pt>
                <c:pt idx="6">
                  <c:v>34028.452192899829</c:v>
                </c:pt>
                <c:pt idx="7">
                  <c:v>8332.1186621092002</c:v>
                </c:pt>
                <c:pt idx="8">
                  <c:v>9196.2146646921046</c:v>
                </c:pt>
                <c:pt idx="9">
                  <c:v>9941.6132308466749</c:v>
                </c:pt>
              </c:numCache>
            </c:numRef>
          </c:val>
          <c:extLst>
            <c:ext xmlns:c16="http://schemas.microsoft.com/office/drawing/2014/chart" uri="{C3380CC4-5D6E-409C-BE32-E72D297353CC}">
              <c16:uniqueId val="{00000001-F5E2-4DB2-A8F2-77D22A922F3E}"/>
            </c:ext>
          </c:extLst>
        </c:ser>
        <c:ser>
          <c:idx val="2"/>
          <c:order val="2"/>
          <c:tx>
            <c:strRef>
              <c:f>'Figure 1&amp;2'!$B$40</c:f>
              <c:strCache>
                <c:ptCount val="1"/>
                <c:pt idx="0">
                  <c:v>Nominal GDP (GEL) per capita</c:v>
                </c:pt>
              </c:strCache>
            </c:strRef>
          </c:tx>
          <c:spPr>
            <a:solidFill>
              <a:srgbClr val="92D050"/>
            </a:solidFill>
            <a:ln>
              <a:noFill/>
            </a:ln>
            <a:effectLst/>
          </c:spPr>
          <c:invertIfNegative val="0"/>
          <c:dLbls>
            <c:dLbl>
              <c:idx val="0"/>
              <c:layout>
                <c:manualLayout>
                  <c:x val="8.553233730399064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E2-4DB2-A8F2-77D22A922F3E}"/>
                </c:ext>
              </c:extLst>
            </c:dLbl>
            <c:dLbl>
              <c:idx val="1"/>
              <c:layout>
                <c:manualLayout>
                  <c:x val="8.9084056800592237E-3"/>
                  <c:y val="1.08952242600325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E2-4DB2-A8F2-77D22A922F3E}"/>
                </c:ext>
              </c:extLst>
            </c:dLbl>
            <c:dLbl>
              <c:idx val="2"/>
              <c:layout>
                <c:manualLayout>
                  <c:x val="1.10451578168113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E2-4DB2-A8F2-77D22A922F3E}"/>
                </c:ext>
              </c:extLst>
            </c:dLbl>
            <c:dLbl>
              <c:idx val="3"/>
              <c:layout>
                <c:manualLayout>
                  <c:x val="8.9082374318594001E-3"/>
                  <c:y val="-6.245022441016373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1827181527666621E-2"/>
                      <c:h val="2.497851900822555E-2"/>
                    </c:manualLayout>
                  </c15:layout>
                </c:ext>
                <c:ext xmlns:c16="http://schemas.microsoft.com/office/drawing/2014/chart" uri="{C3380CC4-5D6E-409C-BE32-E72D297353CC}">
                  <c16:uniqueId val="{00000005-F5E2-4DB2-A8F2-77D22A922F3E}"/>
                </c:ext>
              </c:extLst>
            </c:dLbl>
            <c:dLbl>
              <c:idx val="4"/>
              <c:layout>
                <c:manualLayout>
                  <c:x val="1.14001615182717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E2-4DB2-A8F2-77D22A922F3E}"/>
                </c:ext>
              </c:extLst>
            </c:dLbl>
            <c:dLbl>
              <c:idx val="5"/>
              <c:layout>
                <c:manualLayout>
                  <c:x val="1.0788576878972389E-2"/>
                  <c:y val="-1.140991378532973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E2-4DB2-A8F2-77D22A922F3E}"/>
                </c:ext>
              </c:extLst>
            </c:dLbl>
            <c:dLbl>
              <c:idx val="6"/>
              <c:layout>
                <c:manualLayout>
                  <c:x val="1.1400161518271676E-2"/>
                  <c:y val="6.658115688232717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E2-4DB2-A8F2-77D22A922F3E}"/>
                </c:ext>
              </c:extLst>
            </c:dLbl>
            <c:dLbl>
              <c:idx val="7"/>
              <c:layout>
                <c:manualLayout>
                  <c:x val="1.07392711810501E-2"/>
                  <c:y val="-3.1118306164439583E-3"/>
                </c:manualLayout>
              </c:layout>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F5E2-4DB2-A8F2-77D22A922F3E}"/>
                </c:ext>
              </c:extLst>
            </c:dLbl>
            <c:dLbl>
              <c:idx val="8"/>
              <c:layout>
                <c:manualLayout>
                  <c:x val="1.127952755905511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E2-4DB2-A8F2-77D22A922F3E}"/>
                </c:ext>
              </c:extLst>
            </c:dLbl>
            <c:dLbl>
              <c:idx val="9"/>
              <c:layout>
                <c:manualLayout>
                  <c:x val="1.1522982704084909E-2"/>
                  <c:y val="3.79016541581294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E2-4DB2-A8F2-77D22A922F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1&amp;2'!$C$35:$M$35</c:f>
              <c:strCache>
                <c:ptCount val="11"/>
                <c:pt idx="0">
                  <c:v>2010</c:v>
                </c:pt>
                <c:pt idx="1">
                  <c:v>2011</c:v>
                </c:pt>
                <c:pt idx="2">
                  <c:v>2012</c:v>
                </c:pt>
                <c:pt idx="3">
                  <c:v>2013</c:v>
                </c:pt>
                <c:pt idx="4">
                  <c:v>2014</c:v>
                </c:pt>
                <c:pt idx="5">
                  <c:v>2015</c:v>
                </c:pt>
                <c:pt idx="6">
                  <c:v>2016</c:v>
                </c:pt>
                <c:pt idx="7">
                  <c:v>2017 Q1</c:v>
                </c:pt>
                <c:pt idx="8">
                  <c:v>2017 Q2</c:v>
                </c:pt>
                <c:pt idx="9">
                  <c:v>2017 Q3</c:v>
                </c:pt>
                <c:pt idx="10">
                  <c:v>2017 Q4</c:v>
                </c:pt>
              </c:strCache>
            </c:strRef>
          </c:cat>
          <c:val>
            <c:numRef>
              <c:f>'Figure 1&amp;2'!$C$40:$L$40</c:f>
              <c:numCache>
                <c:formatCode>#,##0</c:formatCode>
                <c:ptCount val="10"/>
                <c:pt idx="0">
                  <c:v>4675.7200092061676</c:v>
                </c:pt>
                <c:pt idx="1">
                  <c:v>5447.056874488645</c:v>
                </c:pt>
                <c:pt idx="2">
                  <c:v>5818.0548522002391</c:v>
                </c:pt>
                <c:pt idx="3">
                  <c:v>5987.63420515078</c:v>
                </c:pt>
                <c:pt idx="4">
                  <c:v>6491.5891999116502</c:v>
                </c:pt>
                <c:pt idx="5">
                  <c:v>8550.9210853507775</c:v>
                </c:pt>
                <c:pt idx="6">
                  <c:v>9146.4498959520024</c:v>
                </c:pt>
                <c:pt idx="7">
                  <c:v>2240.9011516618793</c:v>
                </c:pt>
                <c:pt idx="8">
                  <c:v>2473.297473156932</c:v>
                </c:pt>
                <c:pt idx="9">
                  <c:v>2673.7704348466127</c:v>
                </c:pt>
              </c:numCache>
            </c:numRef>
          </c:val>
          <c:extLst>
            <c:ext xmlns:c16="http://schemas.microsoft.com/office/drawing/2014/chart" uri="{C3380CC4-5D6E-409C-BE32-E72D297353CC}">
              <c16:uniqueId val="{0000000C-F5E2-4DB2-A8F2-77D22A922F3E}"/>
            </c:ext>
          </c:extLst>
        </c:ser>
        <c:dLbls>
          <c:showLegendKey val="0"/>
          <c:showVal val="1"/>
          <c:showCatName val="0"/>
          <c:showSerName val="0"/>
          <c:showPercent val="0"/>
          <c:showBubbleSize val="0"/>
        </c:dLbls>
        <c:gapWidth val="75"/>
        <c:axId val="808397551"/>
        <c:axId val="808390063"/>
      </c:barChart>
      <c:lineChart>
        <c:grouping val="standard"/>
        <c:varyColors val="0"/>
        <c:ser>
          <c:idx val="1"/>
          <c:order val="1"/>
          <c:tx>
            <c:strRef>
              <c:f>'Figure 1&amp;2'!$B$39</c:f>
              <c:strCache>
                <c:ptCount val="1"/>
                <c:pt idx="0">
                  <c:v>Real GDP growth, y-o-y (%)</c:v>
                </c:pt>
              </c:strCache>
            </c:strRef>
          </c:tx>
          <c:spPr>
            <a:ln w="28575" cap="rnd">
              <a:solidFill>
                <a:srgbClr val="7030A0">
                  <a:alpha val="95000"/>
                </a:srgbClr>
              </a:solidFill>
              <a:prstDash val="sysDash"/>
              <a:round/>
            </a:ln>
            <a:effectLst/>
          </c:spPr>
          <c:marker>
            <c:symbol val="circle"/>
            <c:size val="9"/>
            <c:spPr>
              <a:solidFill>
                <a:srgbClr val="7030A0"/>
              </a:solidFill>
              <a:ln w="9525">
                <a:solidFill>
                  <a:srgbClr val="7030A0">
                    <a:alpha val="95000"/>
                  </a:srgbClr>
                </a:solidFill>
                <a:prstDash val="sysDash"/>
              </a:ln>
              <a:effectLst/>
            </c:spPr>
          </c:marker>
          <c:dPt>
            <c:idx val="10"/>
            <c:marker>
              <c:symbol val="circle"/>
              <c:size val="9"/>
              <c:spPr>
                <a:solidFill>
                  <a:srgbClr val="FF0000"/>
                </a:solidFill>
                <a:ln w="9525">
                  <a:solidFill>
                    <a:srgbClr val="FF0000">
                      <a:alpha val="95000"/>
                    </a:srgbClr>
                  </a:solidFill>
                  <a:prstDash val="sysDash"/>
                </a:ln>
                <a:effectLst/>
              </c:spPr>
            </c:marker>
            <c:bubble3D val="0"/>
            <c:spPr>
              <a:ln w="28575" cap="rnd">
                <a:solidFill>
                  <a:srgbClr val="FF0000">
                    <a:alpha val="95000"/>
                  </a:srgbClr>
                </a:solidFill>
                <a:prstDash val="sysDash"/>
                <a:round/>
              </a:ln>
              <a:effectLst/>
            </c:spPr>
            <c:extLst>
              <c:ext xmlns:c16="http://schemas.microsoft.com/office/drawing/2014/chart" uri="{C3380CC4-5D6E-409C-BE32-E72D297353CC}">
                <c16:uniqueId val="{0000000D-F5E2-4DB2-A8F2-77D22A922F3E}"/>
              </c:ext>
            </c:extLst>
          </c:dPt>
          <c:dLbls>
            <c:dLbl>
              <c:idx val="2"/>
              <c:layout>
                <c:manualLayout>
                  <c:x val="-2.0565038244288857E-2"/>
                  <c:y val="-2.9501379374051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E2-4DB2-A8F2-77D22A922F3E}"/>
                </c:ext>
              </c:extLst>
            </c:dLbl>
            <c:dLbl>
              <c:idx val="3"/>
              <c:layout>
                <c:manualLayout>
                  <c:x val="-1.5139482124786644E-2"/>
                  <c:y val="2.9550874632675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E2-4DB2-A8F2-77D22A922F3E}"/>
                </c:ext>
              </c:extLst>
            </c:dLbl>
            <c:dLbl>
              <c:idx val="4"/>
              <c:layout>
                <c:manualLayout>
                  <c:x val="-1.7001558233489426E-2"/>
                  <c:y val="-2.3274777828770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5E2-4DB2-A8F2-77D22A922F3E}"/>
                </c:ext>
              </c:extLst>
            </c:dLbl>
            <c:dLbl>
              <c:idx val="5"/>
              <c:layout>
                <c:manualLayout>
                  <c:x val="-1.7385593498743523E-2"/>
                  <c:y val="-2.6427282766657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5E2-4DB2-A8F2-77D22A922F3E}"/>
                </c:ext>
              </c:extLst>
            </c:dLbl>
            <c:dLbl>
              <c:idx val="6"/>
              <c:layout>
                <c:manualLayout>
                  <c:x val="-8.2760532134871691E-3"/>
                  <c:y val="1.57919278133705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5E2-4DB2-A8F2-77D22A922F3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1&amp;2'!$C$35:$M$35</c:f>
              <c:strCache>
                <c:ptCount val="11"/>
                <c:pt idx="0">
                  <c:v>2010</c:v>
                </c:pt>
                <c:pt idx="1">
                  <c:v>2011</c:v>
                </c:pt>
                <c:pt idx="2">
                  <c:v>2012</c:v>
                </c:pt>
                <c:pt idx="3">
                  <c:v>2013</c:v>
                </c:pt>
                <c:pt idx="4">
                  <c:v>2014</c:v>
                </c:pt>
                <c:pt idx="5">
                  <c:v>2015</c:v>
                </c:pt>
                <c:pt idx="6">
                  <c:v>2016</c:v>
                </c:pt>
                <c:pt idx="7">
                  <c:v>2017 Q1</c:v>
                </c:pt>
                <c:pt idx="8">
                  <c:v>2017 Q2</c:v>
                </c:pt>
                <c:pt idx="9">
                  <c:v>2017 Q3</c:v>
                </c:pt>
                <c:pt idx="10">
                  <c:v>2017 Q4</c:v>
                </c:pt>
              </c:strCache>
            </c:strRef>
          </c:cat>
          <c:val>
            <c:numRef>
              <c:f>'Figure 1&amp;2'!$C$39:$M$39</c:f>
              <c:numCache>
                <c:formatCode>0.0%</c:formatCode>
                <c:ptCount val="11"/>
                <c:pt idx="0">
                  <c:v>6.2494177370318961E-2</c:v>
                </c:pt>
                <c:pt idx="1">
                  <c:v>7.2215232428131437E-2</c:v>
                </c:pt>
                <c:pt idx="2">
                  <c:v>6.3504820659389324E-2</c:v>
                </c:pt>
                <c:pt idx="3">
                  <c:v>3.3870440893506645E-2</c:v>
                </c:pt>
                <c:pt idx="4">
                  <c:v>4.6233315255198373E-2</c:v>
                </c:pt>
                <c:pt idx="5">
                  <c:v>2.8803188148622302E-2</c:v>
                </c:pt>
                <c:pt idx="6">
                  <c:v>2.84897337602515E-2</c:v>
                </c:pt>
                <c:pt idx="7">
                  <c:v>5.3263228805084287E-2</c:v>
                </c:pt>
                <c:pt idx="8">
                  <c:v>4.8679604617752233E-2</c:v>
                </c:pt>
                <c:pt idx="9">
                  <c:v>4.4121092543463664E-2</c:v>
                </c:pt>
                <c:pt idx="10">
                  <c:v>4.7E-2</c:v>
                </c:pt>
              </c:numCache>
            </c:numRef>
          </c:val>
          <c:smooth val="1"/>
          <c:extLst>
            <c:ext xmlns:c16="http://schemas.microsoft.com/office/drawing/2014/chart" uri="{C3380CC4-5D6E-409C-BE32-E72D297353CC}">
              <c16:uniqueId val="{00000013-F5E2-4DB2-A8F2-77D22A922F3E}"/>
            </c:ext>
          </c:extLst>
        </c:ser>
        <c:dLbls>
          <c:showLegendKey val="0"/>
          <c:showVal val="1"/>
          <c:showCatName val="0"/>
          <c:showSerName val="0"/>
          <c:showPercent val="0"/>
          <c:showBubbleSize val="0"/>
        </c:dLbls>
        <c:marker val="1"/>
        <c:smooth val="0"/>
        <c:axId val="808392143"/>
        <c:axId val="808391311"/>
      </c:lineChart>
      <c:valAx>
        <c:axId val="80839006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8397551"/>
        <c:crosses val="autoZero"/>
        <c:crossBetween val="between"/>
      </c:valAx>
      <c:catAx>
        <c:axId val="80839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8390063"/>
        <c:crosses val="autoZero"/>
        <c:auto val="1"/>
        <c:lblAlgn val="ctr"/>
        <c:lblOffset val="100"/>
        <c:noMultiLvlLbl val="0"/>
      </c:catAx>
      <c:valAx>
        <c:axId val="808391311"/>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08392143"/>
        <c:crosses val="max"/>
        <c:crossBetween val="between"/>
      </c:valAx>
      <c:catAx>
        <c:axId val="808392143"/>
        <c:scaling>
          <c:orientation val="minMax"/>
        </c:scaling>
        <c:delete val="1"/>
        <c:axPos val="b"/>
        <c:numFmt formatCode="General" sourceLinked="1"/>
        <c:majorTickMark val="out"/>
        <c:minorTickMark val="none"/>
        <c:tickLblPos val="nextTo"/>
        <c:crossAx val="808391311"/>
        <c:crosses val="autoZero"/>
        <c:auto val="1"/>
        <c:lblAlgn val="ctr"/>
        <c:lblOffset val="100"/>
        <c:noMultiLvlLbl val="0"/>
      </c:catAx>
      <c:spPr>
        <a:noFill/>
        <a:ln>
          <a:noFill/>
        </a:ln>
        <a:effectLst/>
      </c:spPr>
    </c:plotArea>
    <c:legend>
      <c:legendPos val="b"/>
      <c:layout>
        <c:manualLayout>
          <c:xMode val="edge"/>
          <c:yMode val="edge"/>
          <c:x val="8.6894745768917869E-2"/>
          <c:y val="0.89726879076269417"/>
          <c:w val="0.82977370958290531"/>
          <c:h val="7.91657069986990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94985017317646"/>
          <c:y val="6.7940552016985137E-2"/>
          <c:w val="0.8586805726714144"/>
          <c:h val="0.67750113061201733"/>
        </c:manualLayout>
      </c:layout>
      <c:lineChart>
        <c:grouping val="standard"/>
        <c:varyColors val="0"/>
        <c:ser>
          <c:idx val="1"/>
          <c:order val="0"/>
          <c:tx>
            <c:strRef>
              <c:f>Figure8!$A$1</c:f>
              <c:strCache>
                <c:ptCount val="1"/>
                <c:pt idx="0">
                  <c:v>Average monthly 
nominal  salary </c:v>
                </c:pt>
              </c:strCache>
            </c:strRef>
          </c:tx>
          <c:spPr>
            <a:ln w="28575" cap="rnd">
              <a:solidFill>
                <a:srgbClr val="00B050"/>
              </a:solidFill>
              <a:prstDash val="sysDash"/>
              <a:round/>
            </a:ln>
            <a:effectLst/>
          </c:spPr>
          <c:marker>
            <c:symbol val="circle"/>
            <c:size val="7"/>
            <c:spPr>
              <a:solidFill>
                <a:srgbClr val="00B050"/>
              </a:solidFill>
              <a:ln w="9525">
                <a:solidFill>
                  <a:srgbClr val="00B050"/>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Figure8!$A$12:$A$18</c:f>
              <c:numCache>
                <c:formatCode>General</c:formatCode>
                <c:ptCount val="7"/>
                <c:pt idx="0">
                  <c:v>2010</c:v>
                </c:pt>
                <c:pt idx="1">
                  <c:v>2011</c:v>
                </c:pt>
                <c:pt idx="2">
                  <c:v>2012</c:v>
                </c:pt>
                <c:pt idx="3">
                  <c:v>2013</c:v>
                </c:pt>
                <c:pt idx="4">
                  <c:v>2014</c:v>
                </c:pt>
                <c:pt idx="5">
                  <c:v>2015</c:v>
                </c:pt>
                <c:pt idx="6">
                  <c:v>2016</c:v>
                </c:pt>
              </c:numCache>
            </c:numRef>
          </c:cat>
          <c:val>
            <c:numRef>
              <c:f>Figure8!$B$12:$B$18</c:f>
              <c:numCache>
                <c:formatCode>#,##0.0</c:formatCode>
                <c:ptCount val="7"/>
                <c:pt idx="0">
                  <c:v>597.55928386338326</c:v>
                </c:pt>
                <c:pt idx="1">
                  <c:v>635.96724671882146</c:v>
                </c:pt>
                <c:pt idx="2">
                  <c:v>712.5</c:v>
                </c:pt>
                <c:pt idx="3">
                  <c:v>773.11569989635825</c:v>
                </c:pt>
                <c:pt idx="4">
                  <c:v>818.02109008415971</c:v>
                </c:pt>
                <c:pt idx="5">
                  <c:v>900.41560965665087</c:v>
                </c:pt>
                <c:pt idx="6">
                  <c:v>940.01049260678531</c:v>
                </c:pt>
              </c:numCache>
            </c:numRef>
          </c:val>
          <c:smooth val="0"/>
          <c:extLst>
            <c:ext xmlns:c16="http://schemas.microsoft.com/office/drawing/2014/chart" uri="{C3380CC4-5D6E-409C-BE32-E72D297353CC}">
              <c16:uniqueId val="{00000000-D5E4-4039-A7E5-81A4FF70826D}"/>
            </c:ext>
          </c:extLst>
        </c:ser>
        <c:ser>
          <c:idx val="2"/>
          <c:order val="1"/>
          <c:tx>
            <c:strRef>
              <c:f>Figure8!$E$1</c:f>
              <c:strCache>
                <c:ptCount val="1"/>
                <c:pt idx="0">
                  <c:v>Average monthly 
real salary</c:v>
                </c:pt>
              </c:strCache>
            </c:strRef>
          </c:tx>
          <c:spPr>
            <a:ln w="28575" cap="rnd">
              <a:solidFill>
                <a:schemeClr val="bg2">
                  <a:lumMod val="50000"/>
                </a:schemeClr>
              </a:solidFill>
              <a:prstDash val="sysDash"/>
              <a:round/>
            </a:ln>
            <a:effectLst/>
          </c:spPr>
          <c:marker>
            <c:symbol val="circle"/>
            <c:size val="7"/>
            <c:spPr>
              <a:solidFill>
                <a:schemeClr val="bg2">
                  <a:lumMod val="50000"/>
                </a:schemeClr>
              </a:solidFill>
              <a:ln w="9525">
                <a:solidFill>
                  <a:schemeClr val="bg2">
                    <a:lumMod val="50000"/>
                  </a:schemeClr>
                </a:solidFill>
                <a:prstDash val="solid"/>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Figure8!$A$12:$A$18</c:f>
              <c:numCache>
                <c:formatCode>General</c:formatCode>
                <c:ptCount val="7"/>
                <c:pt idx="0">
                  <c:v>2010</c:v>
                </c:pt>
                <c:pt idx="1">
                  <c:v>2011</c:v>
                </c:pt>
                <c:pt idx="2">
                  <c:v>2012</c:v>
                </c:pt>
                <c:pt idx="3">
                  <c:v>2013</c:v>
                </c:pt>
                <c:pt idx="4">
                  <c:v>2014</c:v>
                </c:pt>
                <c:pt idx="5">
                  <c:v>2015</c:v>
                </c:pt>
                <c:pt idx="6">
                  <c:v>2016</c:v>
                </c:pt>
              </c:numCache>
            </c:numRef>
          </c:cat>
          <c:val>
            <c:numRef>
              <c:f>Figure8!$E$12:$E$18</c:f>
              <c:numCache>
                <c:formatCode>0.0</c:formatCode>
                <c:ptCount val="7"/>
                <c:pt idx="0">
                  <c:v>597.55928386338303</c:v>
                </c:pt>
                <c:pt idx="1">
                  <c:v>585.91308267464808</c:v>
                </c:pt>
                <c:pt idx="2">
                  <c:v>662.67567977930037</c:v>
                </c:pt>
                <c:pt idx="3">
                  <c:v>722.75351239889108</c:v>
                </c:pt>
                <c:pt idx="4">
                  <c:v>741.96419533124231</c:v>
                </c:pt>
                <c:pt idx="5">
                  <c:v>785.25946812034022</c:v>
                </c:pt>
                <c:pt idx="6">
                  <c:v>802.65438765848864</c:v>
                </c:pt>
              </c:numCache>
            </c:numRef>
          </c:val>
          <c:smooth val="0"/>
          <c:extLst>
            <c:ext xmlns:c16="http://schemas.microsoft.com/office/drawing/2014/chart" uri="{C3380CC4-5D6E-409C-BE32-E72D297353CC}">
              <c16:uniqueId val="{00000001-D5E4-4039-A7E5-81A4FF70826D}"/>
            </c:ext>
          </c:extLst>
        </c:ser>
        <c:dLbls>
          <c:showLegendKey val="0"/>
          <c:showVal val="0"/>
          <c:showCatName val="0"/>
          <c:showSerName val="0"/>
          <c:showPercent val="0"/>
          <c:showBubbleSize val="0"/>
        </c:dLbls>
        <c:marker val="1"/>
        <c:smooth val="0"/>
        <c:axId val="452717599"/>
        <c:axId val="1"/>
      </c:lineChart>
      <c:catAx>
        <c:axId val="45271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min val="5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52717599"/>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65588163176723E-2"/>
          <c:y val="5.7008817974005851E-2"/>
          <c:w val="0.81357407670888549"/>
          <c:h val="0.71199982104509663"/>
        </c:manualLayout>
      </c:layout>
      <c:barChart>
        <c:barDir val="col"/>
        <c:grouping val="clustered"/>
        <c:varyColors val="0"/>
        <c:ser>
          <c:idx val="0"/>
          <c:order val="0"/>
          <c:tx>
            <c:strRef>
              <c:f>INC_EXP!$B$23</c:f>
              <c:strCache>
                <c:ptCount val="1"/>
                <c:pt idx="0">
                  <c:v>Average monthly HH income </c:v>
                </c:pt>
              </c:strCache>
            </c:strRef>
          </c:tx>
          <c:spPr>
            <a:solidFill>
              <a:srgbClr val="00B050"/>
            </a:solidFill>
            <a:ln>
              <a:noFill/>
            </a:ln>
            <a:effectLst/>
          </c:spPr>
          <c:invertIfNegative val="0"/>
          <c:dLbls>
            <c:dLbl>
              <c:idx val="1"/>
              <c:layout>
                <c:manualLayout>
                  <c:x val="-5.9084194977843431E-3"/>
                  <c:y val="1.4732969282049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A1-4031-85EC-9CF3063DB325}"/>
                </c:ext>
              </c:extLst>
            </c:dLbl>
            <c:dLbl>
              <c:idx val="2"/>
              <c:layout>
                <c:manualLayout>
                  <c:x val="-7.2213181871191688E-17"/>
                  <c:y val="2.209945392307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A1-4031-85EC-9CF3063DB325}"/>
                </c:ext>
              </c:extLst>
            </c:dLbl>
            <c:dLbl>
              <c:idx val="3"/>
              <c:layout>
                <c:manualLayout>
                  <c:x val="-5.9084194977844151E-3"/>
                  <c:y val="3.68324232051226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A1-4031-85EC-9CF3063DB325}"/>
                </c:ext>
              </c:extLst>
            </c:dLbl>
            <c:dLbl>
              <c:idx val="6"/>
              <c:layout>
                <c:manualLayout>
                  <c:x val="-1.7725258493353171E-2"/>
                  <c:y val="-1.4732969282049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c:v>
                </c:pt>
                <c:pt idx="1">
                  <c:v>2011</c:v>
                </c:pt>
                <c:pt idx="2">
                  <c:v>2012</c:v>
                </c:pt>
                <c:pt idx="3">
                  <c:v>2013</c:v>
                </c:pt>
                <c:pt idx="4">
                  <c:v>2014</c:v>
                </c:pt>
                <c:pt idx="5">
                  <c:v>2015</c:v>
                </c:pt>
                <c:pt idx="6">
                  <c:v>2016</c:v>
                </c:pt>
              </c:numCache>
            </c:numRef>
          </c:cat>
          <c:val>
            <c:numRef>
              <c:f>INC_EXP!$C$23:$I$23</c:f>
              <c:numCache>
                <c:formatCode>0.0</c:formatCode>
                <c:ptCount val="7"/>
                <c:pt idx="0">
                  <c:v>651.15778196435338</c:v>
                </c:pt>
                <c:pt idx="1">
                  <c:v>705.94807639222415</c:v>
                </c:pt>
                <c:pt idx="2">
                  <c:v>788.39396467169001</c:v>
                </c:pt>
                <c:pt idx="3">
                  <c:v>887.23552710679178</c:v>
                </c:pt>
                <c:pt idx="4">
                  <c:v>983.90353742187597</c:v>
                </c:pt>
                <c:pt idx="5">
                  <c:v>1022.2586075179893</c:v>
                </c:pt>
                <c:pt idx="6">
                  <c:v>1042.2290553518751</c:v>
                </c:pt>
              </c:numCache>
            </c:numRef>
          </c:val>
          <c:extLst>
            <c:ext xmlns:c16="http://schemas.microsoft.com/office/drawing/2014/chart" uri="{C3380CC4-5D6E-409C-BE32-E72D297353CC}">
              <c16:uniqueId val="{00000004-61A1-4031-85EC-9CF3063DB325}"/>
            </c:ext>
          </c:extLst>
        </c:ser>
        <c:ser>
          <c:idx val="1"/>
          <c:order val="1"/>
          <c:tx>
            <c:strRef>
              <c:f>INC_EXP!$B$24</c:f>
              <c:strCache>
                <c:ptCount val="1"/>
                <c:pt idx="0">
                  <c:v>Average monthly HH expenditure</c:v>
                </c:pt>
              </c:strCache>
            </c:strRef>
          </c:tx>
          <c:spPr>
            <a:solidFill>
              <a:schemeClr val="bg2">
                <a:lumMod val="75000"/>
              </a:schemeClr>
            </a:solidFill>
            <a:ln>
              <a:noFill/>
            </a:ln>
            <a:effectLst/>
          </c:spPr>
          <c:invertIfNegative val="0"/>
          <c:dLbls>
            <c:dLbl>
              <c:idx val="0"/>
              <c:layout>
                <c:manualLayout>
                  <c:x val="1.3786312161496781E-2"/>
                  <c:y val="1.4732969282049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A1-4031-85EC-9CF3063DB325}"/>
                </c:ext>
              </c:extLst>
            </c:dLbl>
            <c:dLbl>
              <c:idx val="1"/>
              <c:layout>
                <c:manualLayout>
                  <c:x val="1.3786312161496764E-2"/>
                  <c:y val="1.8416211602561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A1-4031-85EC-9CF3063DB325}"/>
                </c:ext>
              </c:extLst>
            </c:dLbl>
            <c:dLbl>
              <c:idx val="2"/>
              <c:layout>
                <c:manualLayout>
                  <c:x val="2.1664204825209258E-2"/>
                  <c:y val="7.3664846410245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A1-4031-85EC-9CF3063DB325}"/>
                </c:ext>
              </c:extLst>
            </c:dLbl>
            <c:dLbl>
              <c:idx val="3"/>
              <c:layout>
                <c:manualLayout>
                  <c:x val="9.8473658296404989E-3"/>
                  <c:y val="7.3664846410245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A1-4031-85EC-9CF3063DB325}"/>
                </c:ext>
              </c:extLst>
            </c:dLbl>
            <c:dLbl>
              <c:idx val="4"/>
              <c:layout>
                <c:manualLayout>
                  <c:x val="1.1816838995568686E-2"/>
                  <c:y val="1.1049726961536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A1-4031-85EC-9CF3063DB325}"/>
                </c:ext>
              </c:extLst>
            </c:dLbl>
            <c:dLbl>
              <c:idx val="5"/>
              <c:layout>
                <c:manualLayout>
                  <c:x val="1.7725258493353029E-2"/>
                  <c:y val="2.209945392307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A1-4031-85EC-9CF3063DB325}"/>
                </c:ext>
              </c:extLst>
            </c:dLbl>
            <c:dLbl>
              <c:idx val="6"/>
              <c:layout>
                <c:manualLayout>
                  <c:x val="7.8778926637124574E-3"/>
                  <c:y val="1.4732969282049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c:v>
                </c:pt>
                <c:pt idx="1">
                  <c:v>2011</c:v>
                </c:pt>
                <c:pt idx="2">
                  <c:v>2012</c:v>
                </c:pt>
                <c:pt idx="3">
                  <c:v>2013</c:v>
                </c:pt>
                <c:pt idx="4">
                  <c:v>2014</c:v>
                </c:pt>
                <c:pt idx="5">
                  <c:v>2015</c:v>
                </c:pt>
                <c:pt idx="6">
                  <c:v>2016</c:v>
                </c:pt>
              </c:numCache>
            </c:numRef>
          </c:cat>
          <c:val>
            <c:numRef>
              <c:f>INC_EXP!$C$24:$I$24</c:f>
              <c:numCache>
                <c:formatCode>0.0</c:formatCode>
                <c:ptCount val="7"/>
                <c:pt idx="0">
                  <c:v>619.68142625060966</c:v>
                </c:pt>
                <c:pt idx="1">
                  <c:v>688.33173785083181</c:v>
                </c:pt>
                <c:pt idx="2">
                  <c:v>766.08609809902021</c:v>
                </c:pt>
                <c:pt idx="3">
                  <c:v>871.14891998034659</c:v>
                </c:pt>
                <c:pt idx="4">
                  <c:v>956.20115678535672</c:v>
                </c:pt>
                <c:pt idx="5">
                  <c:v>1004.6804570848334</c:v>
                </c:pt>
                <c:pt idx="6">
                  <c:v>1026.3206235718924</c:v>
                </c:pt>
              </c:numCache>
            </c:numRef>
          </c:val>
          <c:extLst>
            <c:ext xmlns:c16="http://schemas.microsoft.com/office/drawing/2014/chart" uri="{C3380CC4-5D6E-409C-BE32-E72D297353CC}">
              <c16:uniqueId val="{0000000C-61A1-4031-85EC-9CF3063DB325}"/>
            </c:ext>
          </c:extLst>
        </c:ser>
        <c:dLbls>
          <c:showLegendKey val="0"/>
          <c:showVal val="0"/>
          <c:showCatName val="0"/>
          <c:showSerName val="0"/>
          <c:showPercent val="0"/>
          <c:showBubbleSize val="0"/>
        </c:dLbls>
        <c:gapWidth val="219"/>
        <c:overlap val="-27"/>
        <c:axId val="1276605199"/>
        <c:axId val="1276606863"/>
      </c:barChart>
      <c:lineChart>
        <c:grouping val="stacked"/>
        <c:varyColors val="0"/>
        <c:ser>
          <c:idx val="2"/>
          <c:order val="2"/>
          <c:tx>
            <c:strRef>
              <c:f>INC_EXP!$B$25</c:f>
              <c:strCache>
                <c:ptCount val="1"/>
                <c:pt idx="0">
                  <c:v>Growth rate of Nominal HH income </c:v>
                </c:pt>
              </c:strCache>
            </c:strRef>
          </c:tx>
          <c:spPr>
            <a:ln w="28575" cap="rnd">
              <a:solidFill>
                <a:srgbClr val="FF0000"/>
              </a:solidFill>
              <a:prstDash val="sysDash"/>
              <a:round/>
            </a:ln>
            <a:effectLst/>
          </c:spPr>
          <c:marker>
            <c:symbol val="circle"/>
            <c:size val="7"/>
            <c:spPr>
              <a:solidFill>
                <a:srgbClr val="FF0000"/>
              </a:solidFill>
              <a:ln w="9525">
                <a:solidFill>
                  <a:srgbClr val="FF0000">
                    <a:alpha val="94000"/>
                  </a:srgbClr>
                </a:solidFill>
              </a:ln>
              <a:effectLst/>
            </c:spPr>
          </c:marker>
          <c:dLbls>
            <c:dLbl>
              <c:idx val="6"/>
              <c:layout>
                <c:manualLayout>
                  <c:x val="-3.6518994948378868E-2"/>
                  <c:y val="3.128000791172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c:v>
                </c:pt>
                <c:pt idx="1">
                  <c:v>2011</c:v>
                </c:pt>
                <c:pt idx="2">
                  <c:v>2012</c:v>
                </c:pt>
                <c:pt idx="3">
                  <c:v>2013</c:v>
                </c:pt>
                <c:pt idx="4">
                  <c:v>2014</c:v>
                </c:pt>
                <c:pt idx="5">
                  <c:v>2015</c:v>
                </c:pt>
                <c:pt idx="6">
                  <c:v>2016</c:v>
                </c:pt>
              </c:numCache>
            </c:numRef>
          </c:cat>
          <c:val>
            <c:numRef>
              <c:f>INC_EXP!$C$25:$I$25</c:f>
              <c:numCache>
                <c:formatCode>0.0%</c:formatCode>
                <c:ptCount val="7"/>
                <c:pt idx="0">
                  <c:v>0.14406297521145295</c:v>
                </c:pt>
                <c:pt idx="1">
                  <c:v>8.4142885097041181E-2</c:v>
                </c:pt>
                <c:pt idx="2">
                  <c:v>0.11678746785572229</c:v>
                </c:pt>
                <c:pt idx="3">
                  <c:v>0.12537077510006339</c:v>
                </c:pt>
                <c:pt idx="4">
                  <c:v>0.10895416984744884</c:v>
                </c:pt>
                <c:pt idx="5">
                  <c:v>3.8982551273893336E-2</c:v>
                </c:pt>
                <c:pt idx="6">
                  <c:v>1.953561230692244E-2</c:v>
                </c:pt>
              </c:numCache>
            </c:numRef>
          </c:val>
          <c:smooth val="1"/>
          <c:extLst>
            <c:ext xmlns:c16="http://schemas.microsoft.com/office/drawing/2014/chart" uri="{C3380CC4-5D6E-409C-BE32-E72D297353CC}">
              <c16:uniqueId val="{0000000E-61A1-4031-85EC-9CF3063DB325}"/>
            </c:ext>
          </c:extLst>
        </c:ser>
        <c:ser>
          <c:idx val="3"/>
          <c:order val="3"/>
          <c:tx>
            <c:strRef>
              <c:f>INC_EXP!$B$26</c:f>
              <c:strCache>
                <c:ptCount val="1"/>
                <c:pt idx="0">
                  <c:v>Growth rate of Nominal  HH expenditure </c:v>
                </c:pt>
              </c:strCache>
            </c:strRef>
          </c:tx>
          <c:spPr>
            <a:ln w="28575" cap="rnd">
              <a:solidFill>
                <a:schemeClr val="accent4"/>
              </a:solidFill>
              <a:prstDash val="sysDash"/>
              <a:round/>
            </a:ln>
            <a:effectLst/>
          </c:spPr>
          <c:marker>
            <c:symbol val="circle"/>
            <c:size val="7"/>
            <c:spPr>
              <a:solidFill>
                <a:schemeClr val="accent4"/>
              </a:solidFill>
              <a:ln w="9525">
                <a:solidFill>
                  <a:schemeClr val="accent4"/>
                </a:solidFill>
              </a:ln>
              <a:effectLst/>
            </c:spPr>
          </c:marker>
          <c:dLbls>
            <c:dLbl>
              <c:idx val="4"/>
              <c:layout>
                <c:manualLayout>
                  <c:x val="-4.4396887612091325E-2"/>
                  <c:y val="3.8701596178012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A1-4031-85EC-9CF3063DB325}"/>
                </c:ext>
              </c:extLst>
            </c:dLbl>
            <c:dLbl>
              <c:idx val="5"/>
              <c:layout>
                <c:manualLayout>
                  <c:x val="-2.8641102284666268E-2"/>
                  <c:y val="-4.601297719376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A1-4031-85EC-9CF3063DB3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INC_EXP!$C$22:$I$22</c:f>
              <c:numCache>
                <c:formatCode>General</c:formatCode>
                <c:ptCount val="7"/>
                <c:pt idx="0">
                  <c:v>2010</c:v>
                </c:pt>
                <c:pt idx="1">
                  <c:v>2011</c:v>
                </c:pt>
                <c:pt idx="2">
                  <c:v>2012</c:v>
                </c:pt>
                <c:pt idx="3">
                  <c:v>2013</c:v>
                </c:pt>
                <c:pt idx="4">
                  <c:v>2014</c:v>
                </c:pt>
                <c:pt idx="5">
                  <c:v>2015</c:v>
                </c:pt>
                <c:pt idx="6">
                  <c:v>2016</c:v>
                </c:pt>
              </c:numCache>
            </c:numRef>
          </c:cat>
          <c:val>
            <c:numRef>
              <c:f>INC_EXP!$C$26:$I$26</c:f>
              <c:numCache>
                <c:formatCode>0.0%</c:formatCode>
                <c:ptCount val="7"/>
                <c:pt idx="0">
                  <c:v>0.11601220760369195</c:v>
                </c:pt>
                <c:pt idx="1">
                  <c:v>0.11078323262904899</c:v>
                </c:pt>
                <c:pt idx="2">
                  <c:v>0.1129605914888651</c:v>
                </c:pt>
                <c:pt idx="3">
                  <c:v>0.13714231617311834</c:v>
                </c:pt>
                <c:pt idx="4">
                  <c:v>9.7632258795578755E-2</c:v>
                </c:pt>
                <c:pt idx="5">
                  <c:v>5.0699897145553306E-2</c:v>
                </c:pt>
                <c:pt idx="6">
                  <c:v>2.1539352472177864E-2</c:v>
                </c:pt>
              </c:numCache>
            </c:numRef>
          </c:val>
          <c:smooth val="1"/>
          <c:extLst>
            <c:ext xmlns:c16="http://schemas.microsoft.com/office/drawing/2014/chart" uri="{C3380CC4-5D6E-409C-BE32-E72D297353CC}">
              <c16:uniqueId val="{00000011-61A1-4031-85EC-9CF3063DB325}"/>
            </c:ext>
          </c:extLst>
        </c:ser>
        <c:dLbls>
          <c:showLegendKey val="0"/>
          <c:showVal val="0"/>
          <c:showCatName val="0"/>
          <c:showSerName val="0"/>
          <c:showPercent val="0"/>
          <c:showBubbleSize val="0"/>
        </c:dLbls>
        <c:marker val="1"/>
        <c:smooth val="0"/>
        <c:axId val="796443023"/>
        <c:axId val="796440943"/>
      </c:lineChart>
      <c:catAx>
        <c:axId val="127660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6606863"/>
        <c:crosses val="autoZero"/>
        <c:auto val="1"/>
        <c:lblAlgn val="ctr"/>
        <c:lblOffset val="100"/>
        <c:noMultiLvlLbl val="0"/>
      </c:catAx>
      <c:valAx>
        <c:axId val="127660686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6605199"/>
        <c:crosses val="autoZero"/>
        <c:crossBetween val="between"/>
      </c:valAx>
      <c:valAx>
        <c:axId val="796440943"/>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6443023"/>
        <c:crosses val="max"/>
        <c:crossBetween val="between"/>
      </c:valAx>
      <c:catAx>
        <c:axId val="796443023"/>
        <c:scaling>
          <c:orientation val="minMax"/>
        </c:scaling>
        <c:delete val="1"/>
        <c:axPos val="b"/>
        <c:numFmt formatCode="General" sourceLinked="1"/>
        <c:majorTickMark val="out"/>
        <c:minorTickMark val="none"/>
        <c:tickLblPos val="nextTo"/>
        <c:crossAx val="796440943"/>
        <c:crosses val="autoZero"/>
        <c:auto val="1"/>
        <c:lblAlgn val="ctr"/>
        <c:lblOffset val="100"/>
        <c:noMultiLvlLbl val="0"/>
      </c:catAx>
      <c:spPr>
        <a:noFill/>
        <a:ln w="25400">
          <a:noFill/>
        </a:ln>
        <a:effectLst/>
      </c:spPr>
    </c:plotArea>
    <c:legend>
      <c:legendPos val="b"/>
      <c:layout>
        <c:manualLayout>
          <c:xMode val="edge"/>
          <c:yMode val="edge"/>
          <c:x val="9.218185413117648E-2"/>
          <c:y val="0.83486160820806488"/>
          <c:w val="0.82795643756450643"/>
          <c:h val="0.12045185260933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5799789112363E-2"/>
          <c:y val="5.4675172801757932E-2"/>
          <c:w val="0.66973214886600718"/>
          <c:h val="0.85972033668205272"/>
        </c:manualLayout>
      </c:layout>
      <c:barChart>
        <c:barDir val="col"/>
        <c:grouping val="percentStacked"/>
        <c:varyColors val="0"/>
        <c:ser>
          <c:idx val="0"/>
          <c:order val="0"/>
          <c:tx>
            <c:strRef>
              <c:f>PER_CAP!$C$22</c:f>
              <c:strCache>
                <c:ptCount val="1"/>
                <c:pt idx="0">
                  <c:v>Wages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PER_CAP!$D$22:$J$22</c:f>
              <c:numCache>
                <c:formatCode>0.0%</c:formatCode>
                <c:ptCount val="7"/>
                <c:pt idx="0">
                  <c:v>0.31393613392791847</c:v>
                </c:pt>
                <c:pt idx="1">
                  <c:v>0.30362236471558735</c:v>
                </c:pt>
                <c:pt idx="2">
                  <c:v>0.31365723772115472</c:v>
                </c:pt>
                <c:pt idx="3">
                  <c:v>0.33480108823885674</c:v>
                </c:pt>
                <c:pt idx="4">
                  <c:v>0.33081944838961336</c:v>
                </c:pt>
                <c:pt idx="5">
                  <c:v>0.37460057331876917</c:v>
                </c:pt>
                <c:pt idx="6">
                  <c:v>0.37543263628334289</c:v>
                </c:pt>
              </c:numCache>
            </c:numRef>
          </c:val>
          <c:extLst>
            <c:ext xmlns:c16="http://schemas.microsoft.com/office/drawing/2014/chart" uri="{C3380CC4-5D6E-409C-BE32-E72D297353CC}">
              <c16:uniqueId val="{00000000-6167-4F80-869A-01BC7C69320E}"/>
            </c:ext>
          </c:extLst>
        </c:ser>
        <c:ser>
          <c:idx val="1"/>
          <c:order val="1"/>
          <c:tx>
            <c:strRef>
              <c:f>PER_CAP!$C$23</c:f>
              <c:strCache>
                <c:ptCount val="1"/>
                <c:pt idx="0">
                  <c:v>self-employment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PER_CAP!$D$23:$J$23</c:f>
              <c:numCache>
                <c:formatCode>0.0%</c:formatCode>
                <c:ptCount val="7"/>
                <c:pt idx="0">
                  <c:v>8.5909847277579207E-2</c:v>
                </c:pt>
                <c:pt idx="1">
                  <c:v>7.7469066882341814E-2</c:v>
                </c:pt>
                <c:pt idx="2">
                  <c:v>8.4543254321848449E-2</c:v>
                </c:pt>
                <c:pt idx="3">
                  <c:v>8.1961549457301539E-2</c:v>
                </c:pt>
                <c:pt idx="4">
                  <c:v>7.708197366107862E-2</c:v>
                </c:pt>
                <c:pt idx="5">
                  <c:v>7.9387319187668962E-2</c:v>
                </c:pt>
                <c:pt idx="6">
                  <c:v>7.7291777448695143E-2</c:v>
                </c:pt>
              </c:numCache>
            </c:numRef>
          </c:val>
          <c:extLst>
            <c:ext xmlns:c16="http://schemas.microsoft.com/office/drawing/2014/chart" uri="{C3380CC4-5D6E-409C-BE32-E72D297353CC}">
              <c16:uniqueId val="{00000001-6167-4F80-869A-01BC7C69320E}"/>
            </c:ext>
          </c:extLst>
        </c:ser>
        <c:ser>
          <c:idx val="2"/>
          <c:order val="2"/>
          <c:tx>
            <c:strRef>
              <c:f>PER_CAP!$C$24</c:f>
              <c:strCache>
                <c:ptCount val="1"/>
                <c:pt idx="0">
                  <c:v>selling agricultural production</c:v>
                </c:pt>
              </c:strCache>
            </c:strRef>
          </c:tx>
          <c:spPr>
            <a:solidFill>
              <a:srgbClr val="99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PER_CAP!$D$24:$J$24</c:f>
              <c:numCache>
                <c:formatCode>0.0%</c:formatCode>
                <c:ptCount val="7"/>
                <c:pt idx="0">
                  <c:v>5.8697606056730661E-2</c:v>
                </c:pt>
                <c:pt idx="1">
                  <c:v>6.671712224226492E-2</c:v>
                </c:pt>
                <c:pt idx="2">
                  <c:v>6.0905144914035085E-2</c:v>
                </c:pt>
                <c:pt idx="3">
                  <c:v>5.662431007542839E-2</c:v>
                </c:pt>
                <c:pt idx="4">
                  <c:v>7.1618738953292696E-2</c:v>
                </c:pt>
                <c:pt idx="5">
                  <c:v>7.7987751395401234E-2</c:v>
                </c:pt>
                <c:pt idx="6">
                  <c:v>7.1996495480785933E-2</c:v>
                </c:pt>
              </c:numCache>
            </c:numRef>
          </c:val>
          <c:extLst>
            <c:ext xmlns:c16="http://schemas.microsoft.com/office/drawing/2014/chart" uri="{C3380CC4-5D6E-409C-BE32-E72D297353CC}">
              <c16:uniqueId val="{00000002-6167-4F80-869A-01BC7C69320E}"/>
            </c:ext>
          </c:extLst>
        </c:ser>
        <c:ser>
          <c:idx val="3"/>
          <c:order val="3"/>
          <c:tx>
            <c:strRef>
              <c:f>PER_CAP!$C$25</c:f>
              <c:strCache>
                <c:ptCount val="1"/>
                <c:pt idx="0">
                  <c:v>Property income (leasing, interest on deposit etc.)</c:v>
                </c:pt>
              </c:strCache>
            </c:strRef>
          </c:tx>
          <c:spPr>
            <a:solidFill>
              <a:schemeClr val="accent4"/>
            </a:solidFill>
            <a:ln>
              <a:noFill/>
            </a:ln>
            <a:effectLst/>
          </c:spPr>
          <c:invertIfNegative val="0"/>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PER_CAP!$D$25:$J$25</c:f>
              <c:numCache>
                <c:formatCode>0.0%</c:formatCode>
                <c:ptCount val="7"/>
                <c:pt idx="0">
                  <c:v>1.0872662204316002E-2</c:v>
                </c:pt>
                <c:pt idx="1">
                  <c:v>7.7663318347556574E-3</c:v>
                </c:pt>
                <c:pt idx="2">
                  <c:v>5.3984796642026498E-3</c:v>
                </c:pt>
                <c:pt idx="3">
                  <c:v>8.4882929328387799E-3</c:v>
                </c:pt>
                <c:pt idx="4">
                  <c:v>9.2081285875484867E-3</c:v>
                </c:pt>
                <c:pt idx="5">
                  <c:v>8.7605055682925675E-3</c:v>
                </c:pt>
                <c:pt idx="6">
                  <c:v>9.5595956581367401E-3</c:v>
                </c:pt>
              </c:numCache>
            </c:numRef>
          </c:val>
          <c:extLst>
            <c:ext xmlns:c16="http://schemas.microsoft.com/office/drawing/2014/chart" uri="{C3380CC4-5D6E-409C-BE32-E72D297353CC}">
              <c16:uniqueId val="{00000003-6167-4F80-869A-01BC7C69320E}"/>
            </c:ext>
          </c:extLst>
        </c:ser>
        <c:ser>
          <c:idx val="4"/>
          <c:order val="4"/>
          <c:tx>
            <c:strRef>
              <c:f>PER_CAP!$C$26</c:f>
              <c:strCache>
                <c:ptCount val="1"/>
                <c:pt idx="0">
                  <c:v>Pensions, scholarships, assistances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PER_CAP!$D$26:$J$26</c:f>
              <c:numCache>
                <c:formatCode>0.0%</c:formatCode>
                <c:ptCount val="7"/>
                <c:pt idx="0">
                  <c:v>0.12775775502100878</c:v>
                </c:pt>
                <c:pt idx="1">
                  <c:v>0.12326207456529018</c:v>
                </c:pt>
                <c:pt idx="2">
                  <c:v>0.12201343372949795</c:v>
                </c:pt>
                <c:pt idx="3">
                  <c:v>0.14032449346030593</c:v>
                </c:pt>
                <c:pt idx="4">
                  <c:v>0.15359233468506003</c:v>
                </c:pt>
                <c:pt idx="5">
                  <c:v>0.14621759536035936</c:v>
                </c:pt>
                <c:pt idx="6">
                  <c:v>0.15229900107988223</c:v>
                </c:pt>
              </c:numCache>
            </c:numRef>
          </c:val>
          <c:extLst>
            <c:ext xmlns:c16="http://schemas.microsoft.com/office/drawing/2014/chart" uri="{C3380CC4-5D6E-409C-BE32-E72D297353CC}">
              <c16:uniqueId val="{00000004-6167-4F80-869A-01BC7C69320E}"/>
            </c:ext>
          </c:extLst>
        </c:ser>
        <c:ser>
          <c:idx val="5"/>
          <c:order val="5"/>
          <c:tx>
            <c:strRef>
              <c:f>PER_CAP!$C$27</c:f>
              <c:strCache>
                <c:ptCount val="1"/>
                <c:pt idx="0">
                  <c:v>Remittances from abroad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PER_CAP!$D$27:$J$27</c:f>
              <c:numCache>
                <c:formatCode>0.0%</c:formatCode>
                <c:ptCount val="7"/>
                <c:pt idx="0">
                  <c:v>3.8762794328333433E-2</c:v>
                </c:pt>
                <c:pt idx="1">
                  <c:v>4.1045756092390057E-2</c:v>
                </c:pt>
                <c:pt idx="2">
                  <c:v>3.6409724127199998E-2</c:v>
                </c:pt>
                <c:pt idx="3">
                  <c:v>3.9243702077776339E-2</c:v>
                </c:pt>
                <c:pt idx="4">
                  <c:v>3.6620266353166807E-2</c:v>
                </c:pt>
                <c:pt idx="5">
                  <c:v>2.7995251113582763E-2</c:v>
                </c:pt>
                <c:pt idx="6">
                  <c:v>2.8368710778051139E-2</c:v>
                </c:pt>
              </c:numCache>
            </c:numRef>
          </c:val>
          <c:extLst>
            <c:ext xmlns:c16="http://schemas.microsoft.com/office/drawing/2014/chart" uri="{C3380CC4-5D6E-409C-BE32-E72D297353CC}">
              <c16:uniqueId val="{00000005-6167-4F80-869A-01BC7C69320E}"/>
            </c:ext>
          </c:extLst>
        </c:ser>
        <c:ser>
          <c:idx val="6"/>
          <c:order val="6"/>
          <c:tx>
            <c:strRef>
              <c:f>PER_CAP!$C$28</c:f>
              <c:strCache>
                <c:ptCount val="1"/>
                <c:pt idx="0">
                  <c:v>Money received as gift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PER_CAP!$D$28:$J$28</c:f>
              <c:numCache>
                <c:formatCode>0.0%</c:formatCode>
                <c:ptCount val="7"/>
                <c:pt idx="0">
                  <c:v>0.10379269155069305</c:v>
                </c:pt>
                <c:pt idx="1">
                  <c:v>0.10531503432116224</c:v>
                </c:pt>
                <c:pt idx="2">
                  <c:v>0.11653085594707097</c:v>
                </c:pt>
                <c:pt idx="3">
                  <c:v>0.11570863058078699</c:v>
                </c:pt>
                <c:pt idx="4">
                  <c:v>0.1054455533974281</c:v>
                </c:pt>
                <c:pt idx="5">
                  <c:v>8.3425046613470027E-2</c:v>
                </c:pt>
                <c:pt idx="6">
                  <c:v>9.1874435383064876E-2</c:v>
                </c:pt>
              </c:numCache>
            </c:numRef>
          </c:val>
          <c:extLst>
            <c:ext xmlns:c16="http://schemas.microsoft.com/office/drawing/2014/chart" uri="{C3380CC4-5D6E-409C-BE32-E72D297353CC}">
              <c16:uniqueId val="{00000006-6167-4F80-869A-01BC7C69320E}"/>
            </c:ext>
          </c:extLst>
        </c:ser>
        <c:ser>
          <c:idx val="7"/>
          <c:order val="7"/>
          <c:tx>
            <c:strRef>
              <c:f>PER_CAP!$C$29</c:f>
              <c:strCache>
                <c:ptCount val="1"/>
                <c:pt idx="0">
                  <c:v>Non-cash income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PER_CAP!$D$29:$J$29</c:f>
              <c:numCache>
                <c:formatCode>0.0%</c:formatCode>
                <c:ptCount val="7"/>
                <c:pt idx="0">
                  <c:v>0.12636747848247423</c:v>
                </c:pt>
                <c:pt idx="1">
                  <c:v>0.13236256682449302</c:v>
                </c:pt>
                <c:pt idx="2">
                  <c:v>0.11513859496557967</c:v>
                </c:pt>
                <c:pt idx="3">
                  <c:v>9.5312991702940969E-2</c:v>
                </c:pt>
                <c:pt idx="4">
                  <c:v>9.1334330374848519E-2</c:v>
                </c:pt>
                <c:pt idx="5">
                  <c:v>8.1825414600469507E-2</c:v>
                </c:pt>
                <c:pt idx="6">
                  <c:v>8.0609645453983969E-2</c:v>
                </c:pt>
              </c:numCache>
            </c:numRef>
          </c:val>
          <c:extLst>
            <c:ext xmlns:c16="http://schemas.microsoft.com/office/drawing/2014/chart" uri="{C3380CC4-5D6E-409C-BE32-E72D297353CC}">
              <c16:uniqueId val="{00000007-6167-4F80-869A-01BC7C69320E}"/>
            </c:ext>
          </c:extLst>
        </c:ser>
        <c:ser>
          <c:idx val="8"/>
          <c:order val="8"/>
          <c:tx>
            <c:strRef>
              <c:f>PER_CAP!$C$30</c:f>
              <c:strCache>
                <c:ptCount val="1"/>
                <c:pt idx="0">
                  <c:v>Other cash inflows</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PER_CAP!$D$21:$J$21</c:f>
              <c:numCache>
                <c:formatCode>General</c:formatCode>
                <c:ptCount val="7"/>
                <c:pt idx="0">
                  <c:v>2010</c:v>
                </c:pt>
                <c:pt idx="1">
                  <c:v>2011</c:v>
                </c:pt>
                <c:pt idx="2">
                  <c:v>2012</c:v>
                </c:pt>
                <c:pt idx="3">
                  <c:v>2013</c:v>
                </c:pt>
                <c:pt idx="4">
                  <c:v>2014</c:v>
                </c:pt>
                <c:pt idx="5">
                  <c:v>2015</c:v>
                </c:pt>
                <c:pt idx="6">
                  <c:v>2016</c:v>
                </c:pt>
              </c:numCache>
            </c:numRef>
          </c:cat>
          <c:val>
            <c:numRef>
              <c:f>PER_CAP!$D$30:$J$30</c:f>
              <c:numCache>
                <c:formatCode>0.0%</c:formatCode>
                <c:ptCount val="7"/>
                <c:pt idx="0">
                  <c:v>0.13390303115094629</c:v>
                </c:pt>
                <c:pt idx="1">
                  <c:v>0.14243968252171119</c:v>
                </c:pt>
                <c:pt idx="2">
                  <c:v>0.14540327460940866</c:v>
                </c:pt>
                <c:pt idx="3">
                  <c:v>0.12753494147376579</c:v>
                </c:pt>
                <c:pt idx="4">
                  <c:v>0.12427922559796906</c:v>
                </c:pt>
                <c:pt idx="5">
                  <c:v>0.11980054284198659</c:v>
                </c:pt>
                <c:pt idx="6">
                  <c:v>0.11256770243405702</c:v>
                </c:pt>
              </c:numCache>
            </c:numRef>
          </c:val>
          <c:extLst>
            <c:ext xmlns:c16="http://schemas.microsoft.com/office/drawing/2014/chart" uri="{C3380CC4-5D6E-409C-BE32-E72D297353CC}">
              <c16:uniqueId val="{00000008-6167-4F80-869A-01BC7C69320E}"/>
            </c:ext>
          </c:extLst>
        </c:ser>
        <c:dLbls>
          <c:showLegendKey val="0"/>
          <c:showVal val="0"/>
          <c:showCatName val="0"/>
          <c:showSerName val="0"/>
          <c:showPercent val="0"/>
          <c:showBubbleSize val="0"/>
        </c:dLbls>
        <c:gapWidth val="75"/>
        <c:overlap val="100"/>
        <c:axId val="534773999"/>
        <c:axId val="534774415"/>
      </c:barChart>
      <c:catAx>
        <c:axId val="53477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4774415"/>
        <c:crosses val="autoZero"/>
        <c:auto val="1"/>
        <c:lblAlgn val="ctr"/>
        <c:lblOffset val="100"/>
        <c:noMultiLvlLbl val="0"/>
      </c:catAx>
      <c:valAx>
        <c:axId val="5347744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4773999"/>
        <c:crosses val="autoZero"/>
        <c:crossBetween val="between"/>
      </c:valAx>
      <c:spPr>
        <a:noFill/>
        <a:ln>
          <a:noFill/>
        </a:ln>
        <a:effectLst/>
      </c:spPr>
    </c:plotArea>
    <c:legend>
      <c:legendPos val="r"/>
      <c:layout>
        <c:manualLayout>
          <c:xMode val="edge"/>
          <c:yMode val="edge"/>
          <c:x val="0.74886970859411806"/>
          <c:y val="5.4729791772430446E-2"/>
          <c:w val="0.23276936536779055"/>
          <c:h val="0.89473432575051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53069899489913E-2"/>
          <c:y val="3.7757430267675043E-2"/>
          <c:w val="0.70526125952047403"/>
          <c:h val="0.8140161419095584"/>
        </c:manualLayout>
      </c:layout>
      <c:barChart>
        <c:barDir val="col"/>
        <c:grouping val="percentStacked"/>
        <c:varyColors val="0"/>
        <c:ser>
          <c:idx val="0"/>
          <c:order val="0"/>
          <c:tx>
            <c:strRef>
              <c:f>PER_CAP!$N$22</c:f>
              <c:strCache>
                <c:ptCount val="1"/>
                <c:pt idx="0">
                  <c:v>Food, beverages, tobacco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PER_CAP!$O$22:$U$22</c:f>
              <c:numCache>
                <c:formatCode>0.0%</c:formatCode>
                <c:ptCount val="7"/>
                <c:pt idx="0">
                  <c:v>0.27315706595562156</c:v>
                </c:pt>
                <c:pt idx="1">
                  <c:v>0.27958895139054835</c:v>
                </c:pt>
                <c:pt idx="2">
                  <c:v>0.2543165459473104</c:v>
                </c:pt>
                <c:pt idx="3">
                  <c:v>0.25192836474049701</c:v>
                </c:pt>
                <c:pt idx="4">
                  <c:v>0.24052283143119427</c:v>
                </c:pt>
                <c:pt idx="5">
                  <c:v>0.23587907052561405</c:v>
                </c:pt>
                <c:pt idx="6">
                  <c:v>0.22983065699649172</c:v>
                </c:pt>
              </c:numCache>
            </c:numRef>
          </c:val>
          <c:extLst>
            <c:ext xmlns:c16="http://schemas.microsoft.com/office/drawing/2014/chart" uri="{C3380CC4-5D6E-409C-BE32-E72D297353CC}">
              <c16:uniqueId val="{00000000-A379-4698-91FB-49620EB75461}"/>
            </c:ext>
          </c:extLst>
        </c:ser>
        <c:ser>
          <c:idx val="1"/>
          <c:order val="1"/>
          <c:tx>
            <c:strRef>
              <c:f>PER_CAP!$N$23</c:f>
              <c:strCache>
                <c:ptCount val="1"/>
                <c:pt idx="0">
                  <c:v>Clothes and footwear</c:v>
                </c:pt>
              </c:strCache>
            </c:strRef>
          </c:tx>
          <c:spPr>
            <a:solidFill>
              <a:schemeClr val="accent2"/>
            </a:solidFill>
            <a:ln>
              <a:noFill/>
            </a:ln>
            <a:effectLst/>
          </c:spPr>
          <c:invertIfNegative val="0"/>
          <c:dLbls>
            <c:dLbl>
              <c:idx val="0"/>
              <c:layout>
                <c:manualLayout>
                  <c:x val="0"/>
                  <c:y val="6.8649873213954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79-4698-91FB-49620EB75461}"/>
                </c:ext>
              </c:extLst>
            </c:dLbl>
            <c:dLbl>
              <c:idx val="5"/>
              <c:layout>
                <c:manualLayout>
                  <c:x val="0"/>
                  <c:y val="-1.258566469855244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79-4698-91FB-49620EB75461}"/>
                </c:ext>
              </c:extLst>
            </c:dLbl>
            <c:dLbl>
              <c:idx val="6"/>
              <c:layout>
                <c:manualLayout>
                  <c:x val="-2.0636286586349479E-3"/>
                  <c:y val="3.4324936606977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79-4698-91FB-49620EB754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PER_CAP!$O$23:$U$23</c:f>
              <c:numCache>
                <c:formatCode>0.0%</c:formatCode>
                <c:ptCount val="7"/>
                <c:pt idx="0">
                  <c:v>2.7890243457479265E-2</c:v>
                </c:pt>
                <c:pt idx="1">
                  <c:v>2.5250850482750619E-2</c:v>
                </c:pt>
                <c:pt idx="2">
                  <c:v>2.4514978606415355E-2</c:v>
                </c:pt>
                <c:pt idx="3">
                  <c:v>2.6208495057308327E-2</c:v>
                </c:pt>
                <c:pt idx="4">
                  <c:v>2.5993682727560963E-2</c:v>
                </c:pt>
                <c:pt idx="5">
                  <c:v>2.7220372621456858E-2</c:v>
                </c:pt>
                <c:pt idx="6">
                  <c:v>2.6157454033101272E-2</c:v>
                </c:pt>
              </c:numCache>
            </c:numRef>
          </c:val>
          <c:extLst>
            <c:ext xmlns:c16="http://schemas.microsoft.com/office/drawing/2014/chart" uri="{C3380CC4-5D6E-409C-BE32-E72D297353CC}">
              <c16:uniqueId val="{00000004-A379-4698-91FB-49620EB75461}"/>
            </c:ext>
          </c:extLst>
        </c:ser>
        <c:ser>
          <c:idx val="2"/>
          <c:order val="2"/>
          <c:tx>
            <c:strRef>
              <c:f>PER_CAP!$N$24</c:f>
              <c:strCache>
                <c:ptCount val="1"/>
                <c:pt idx="0">
                  <c:v>Household goods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PER_CAP!$O$24:$U$24</c:f>
              <c:numCache>
                <c:formatCode>0.0%</c:formatCode>
                <c:ptCount val="7"/>
                <c:pt idx="0">
                  <c:v>2.7032182562443198E-2</c:v>
                </c:pt>
                <c:pt idx="1">
                  <c:v>2.6121423238707239E-2</c:v>
                </c:pt>
                <c:pt idx="2">
                  <c:v>2.6489744992466448E-2</c:v>
                </c:pt>
                <c:pt idx="3">
                  <c:v>3.1194304022416582E-2</c:v>
                </c:pt>
                <c:pt idx="4">
                  <c:v>3.0780121231255189E-2</c:v>
                </c:pt>
                <c:pt idx="5">
                  <c:v>3.1758053711708832E-2</c:v>
                </c:pt>
                <c:pt idx="6">
                  <c:v>2.7320404929466111E-2</c:v>
                </c:pt>
              </c:numCache>
            </c:numRef>
          </c:val>
          <c:extLst>
            <c:ext xmlns:c16="http://schemas.microsoft.com/office/drawing/2014/chart" uri="{C3380CC4-5D6E-409C-BE32-E72D297353CC}">
              <c16:uniqueId val="{00000005-A379-4698-91FB-49620EB75461}"/>
            </c:ext>
          </c:extLst>
        </c:ser>
        <c:ser>
          <c:idx val="3"/>
          <c:order val="3"/>
          <c:tx>
            <c:strRef>
              <c:f>PER_CAP!$N$25</c:f>
              <c:strCache>
                <c:ptCount val="1"/>
                <c:pt idx="0">
                  <c:v>Healthcare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PER_CAP!$O$25:$U$25</c:f>
              <c:numCache>
                <c:formatCode>0.0%</c:formatCode>
                <c:ptCount val="7"/>
                <c:pt idx="0">
                  <c:v>9.8841221407610064E-2</c:v>
                </c:pt>
                <c:pt idx="1">
                  <c:v>8.0459076935009255E-2</c:v>
                </c:pt>
                <c:pt idx="2">
                  <c:v>7.6707401212382495E-2</c:v>
                </c:pt>
                <c:pt idx="3">
                  <c:v>7.900159379072777E-2</c:v>
                </c:pt>
                <c:pt idx="4">
                  <c:v>7.8830152785243038E-2</c:v>
                </c:pt>
                <c:pt idx="5">
                  <c:v>8.0173151526481495E-2</c:v>
                </c:pt>
                <c:pt idx="6">
                  <c:v>9.2484959585317758E-2</c:v>
                </c:pt>
              </c:numCache>
            </c:numRef>
          </c:val>
          <c:extLst>
            <c:ext xmlns:c16="http://schemas.microsoft.com/office/drawing/2014/chart" uri="{C3380CC4-5D6E-409C-BE32-E72D297353CC}">
              <c16:uniqueId val="{00000006-A379-4698-91FB-49620EB75461}"/>
            </c:ext>
          </c:extLst>
        </c:ser>
        <c:ser>
          <c:idx val="4"/>
          <c:order val="4"/>
          <c:tx>
            <c:strRef>
              <c:f>PER_CAP!$N$26</c:f>
              <c:strCache>
                <c:ptCount val="1"/>
                <c:pt idx="0">
                  <c:v>Fuel and electricity</c:v>
                </c:pt>
              </c:strCache>
            </c:strRef>
          </c:tx>
          <c:spPr>
            <a:solidFill>
              <a:srgbClr val="99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PER_CAP!$O$26:$U$26</c:f>
              <c:numCache>
                <c:formatCode>0.0%</c:formatCode>
                <c:ptCount val="7"/>
                <c:pt idx="0">
                  <c:v>8.1195217596618616E-2</c:v>
                </c:pt>
                <c:pt idx="1">
                  <c:v>8.5716539791120816E-2</c:v>
                </c:pt>
                <c:pt idx="2">
                  <c:v>8.5768723323170593E-2</c:v>
                </c:pt>
                <c:pt idx="3">
                  <c:v>7.6129601473005779E-2</c:v>
                </c:pt>
                <c:pt idx="4">
                  <c:v>7.5592584656851675E-2</c:v>
                </c:pt>
                <c:pt idx="5">
                  <c:v>7.7279413644978562E-2</c:v>
                </c:pt>
                <c:pt idx="6">
                  <c:v>7.9598532681808054E-2</c:v>
                </c:pt>
              </c:numCache>
            </c:numRef>
          </c:val>
          <c:extLst>
            <c:ext xmlns:c16="http://schemas.microsoft.com/office/drawing/2014/chart" uri="{C3380CC4-5D6E-409C-BE32-E72D297353CC}">
              <c16:uniqueId val="{00000007-A379-4698-91FB-49620EB75461}"/>
            </c:ext>
          </c:extLst>
        </c:ser>
        <c:ser>
          <c:idx val="5"/>
          <c:order val="5"/>
          <c:tx>
            <c:strRef>
              <c:f>PER_CAP!$N$27</c:f>
              <c:strCache>
                <c:ptCount val="1"/>
                <c:pt idx="0">
                  <c:v>Transport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PER_CAP!$O$27:$U$27</c:f>
              <c:numCache>
                <c:formatCode>0.0%</c:formatCode>
                <c:ptCount val="7"/>
                <c:pt idx="0">
                  <c:v>6.8928852535311516E-2</c:v>
                </c:pt>
                <c:pt idx="1">
                  <c:v>6.6368705279041484E-2</c:v>
                </c:pt>
                <c:pt idx="2">
                  <c:v>6.8355106295869883E-2</c:v>
                </c:pt>
                <c:pt idx="3">
                  <c:v>7.1803696799878525E-2</c:v>
                </c:pt>
                <c:pt idx="4">
                  <c:v>6.8496603009345722E-2</c:v>
                </c:pt>
                <c:pt idx="5">
                  <c:v>7.1299467450795351E-2</c:v>
                </c:pt>
                <c:pt idx="6">
                  <c:v>6.6940325315030899E-2</c:v>
                </c:pt>
              </c:numCache>
            </c:numRef>
          </c:val>
          <c:extLst>
            <c:ext xmlns:c16="http://schemas.microsoft.com/office/drawing/2014/chart" uri="{C3380CC4-5D6E-409C-BE32-E72D297353CC}">
              <c16:uniqueId val="{00000008-A379-4698-91FB-49620EB75461}"/>
            </c:ext>
          </c:extLst>
        </c:ser>
        <c:ser>
          <c:idx val="6"/>
          <c:order val="6"/>
          <c:tx>
            <c:strRef>
              <c:f>PER_CAP!$N$28</c:f>
              <c:strCache>
                <c:ptCount val="1"/>
                <c:pt idx="0">
                  <c:v>Education</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PER_CAP!$O$28:$U$28</c:f>
              <c:numCache>
                <c:formatCode>0.0%</c:formatCode>
                <c:ptCount val="7"/>
                <c:pt idx="0">
                  <c:v>2.9339631071837208E-2</c:v>
                </c:pt>
                <c:pt idx="1">
                  <c:v>2.5253489644829361E-2</c:v>
                </c:pt>
                <c:pt idx="2">
                  <c:v>2.8612593268165187E-2</c:v>
                </c:pt>
                <c:pt idx="3">
                  <c:v>2.6911118048532728E-2</c:v>
                </c:pt>
                <c:pt idx="4">
                  <c:v>2.4574716766975317E-2</c:v>
                </c:pt>
                <c:pt idx="5">
                  <c:v>2.011169967409835E-2</c:v>
                </c:pt>
                <c:pt idx="6">
                  <c:v>2.2120589779160493E-2</c:v>
                </c:pt>
              </c:numCache>
            </c:numRef>
          </c:val>
          <c:extLst>
            <c:ext xmlns:c16="http://schemas.microsoft.com/office/drawing/2014/chart" uri="{C3380CC4-5D6E-409C-BE32-E72D297353CC}">
              <c16:uniqueId val="{00000009-A379-4698-91FB-49620EB75461}"/>
            </c:ext>
          </c:extLst>
        </c:ser>
        <c:ser>
          <c:idx val="7"/>
          <c:order val="7"/>
          <c:tx>
            <c:strRef>
              <c:f>PER_CAP!$N$29</c:f>
              <c:strCache>
                <c:ptCount val="1"/>
                <c:pt idx="0">
                  <c:v>Other consumption expenditure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PER_CAP!$O$29:$U$29</c:f>
              <c:numCache>
                <c:formatCode>0.0%</c:formatCode>
                <c:ptCount val="7"/>
                <c:pt idx="0">
                  <c:v>0.10913043717444118</c:v>
                </c:pt>
                <c:pt idx="1">
                  <c:v>0.10232083917944111</c:v>
                </c:pt>
                <c:pt idx="2">
                  <c:v>0.10364833354052035</c:v>
                </c:pt>
                <c:pt idx="3">
                  <c:v>0.1097386124466249</c:v>
                </c:pt>
                <c:pt idx="4">
                  <c:v>0.11293749199301942</c:v>
                </c:pt>
                <c:pt idx="5">
                  <c:v>9.937807413969417E-2</c:v>
                </c:pt>
                <c:pt idx="6">
                  <c:v>9.6620231930533637E-2</c:v>
                </c:pt>
              </c:numCache>
            </c:numRef>
          </c:val>
          <c:extLst>
            <c:ext xmlns:c16="http://schemas.microsoft.com/office/drawing/2014/chart" uri="{C3380CC4-5D6E-409C-BE32-E72D297353CC}">
              <c16:uniqueId val="{0000000A-A379-4698-91FB-49620EB75461}"/>
            </c:ext>
          </c:extLst>
        </c:ser>
        <c:ser>
          <c:idx val="8"/>
          <c:order val="8"/>
          <c:tx>
            <c:strRef>
              <c:f>PER_CAP!$N$30</c:f>
              <c:strCache>
                <c:ptCount val="1"/>
                <c:pt idx="0">
                  <c:v>Non-cash expenditure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PER_CAP!$O$30:$U$30</c:f>
              <c:numCache>
                <c:formatCode>0.0%</c:formatCode>
                <c:ptCount val="7"/>
                <c:pt idx="0">
                  <c:v>0.13279053952293127</c:v>
                </c:pt>
                <c:pt idx="1">
                  <c:v>0.13575009591717777</c:v>
                </c:pt>
                <c:pt idx="2">
                  <c:v>0.11849134659523314</c:v>
                </c:pt>
                <c:pt idx="3">
                  <c:v>9.7073038253427363E-2</c:v>
                </c:pt>
                <c:pt idx="4">
                  <c:v>9.3980403711270297E-2</c:v>
                </c:pt>
                <c:pt idx="5">
                  <c:v>8.3257053323965602E-2</c:v>
                </c:pt>
                <c:pt idx="6">
                  <c:v>8.1859131254094122E-2</c:v>
                </c:pt>
              </c:numCache>
            </c:numRef>
          </c:val>
          <c:extLst>
            <c:ext xmlns:c16="http://schemas.microsoft.com/office/drawing/2014/chart" uri="{C3380CC4-5D6E-409C-BE32-E72D297353CC}">
              <c16:uniqueId val="{0000000B-A379-4698-91FB-49620EB75461}"/>
            </c:ext>
          </c:extLst>
        </c:ser>
        <c:ser>
          <c:idx val="9"/>
          <c:order val="9"/>
          <c:tx>
            <c:strRef>
              <c:f>PER_CAP!$N$31</c:f>
              <c:strCache>
                <c:ptCount val="1"/>
                <c:pt idx="0">
                  <c:v>Cash non-consumption expenditure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PER_CAP!$O$21:$U$21</c:f>
              <c:numCache>
                <c:formatCode>0</c:formatCode>
                <c:ptCount val="7"/>
                <c:pt idx="0">
                  <c:v>2010</c:v>
                </c:pt>
                <c:pt idx="1">
                  <c:v>2011</c:v>
                </c:pt>
                <c:pt idx="2">
                  <c:v>2012</c:v>
                </c:pt>
                <c:pt idx="3">
                  <c:v>2013</c:v>
                </c:pt>
                <c:pt idx="4">
                  <c:v>2014</c:v>
                </c:pt>
                <c:pt idx="5">
                  <c:v>2015</c:v>
                </c:pt>
                <c:pt idx="6">
                  <c:v>2016</c:v>
                </c:pt>
              </c:numCache>
            </c:numRef>
          </c:cat>
          <c:val>
            <c:numRef>
              <c:f>PER_CAP!$O$31:$U$31</c:f>
              <c:numCache>
                <c:formatCode>0.0%</c:formatCode>
                <c:ptCount val="7"/>
                <c:pt idx="0">
                  <c:v>0.15169460871571258</c:v>
                </c:pt>
                <c:pt idx="1">
                  <c:v>0.173170028141375</c:v>
                </c:pt>
                <c:pt idx="2">
                  <c:v>0.21309522621846513</c:v>
                </c:pt>
                <c:pt idx="3">
                  <c:v>0.2300111753675812</c:v>
                </c:pt>
                <c:pt idx="4">
                  <c:v>0.24829141168728278</c:v>
                </c:pt>
                <c:pt idx="5">
                  <c:v>0.27364364338120689</c:v>
                </c:pt>
                <c:pt idx="6">
                  <c:v>0.27706771349499604</c:v>
                </c:pt>
              </c:numCache>
            </c:numRef>
          </c:val>
          <c:extLst>
            <c:ext xmlns:c16="http://schemas.microsoft.com/office/drawing/2014/chart" uri="{C3380CC4-5D6E-409C-BE32-E72D297353CC}">
              <c16:uniqueId val="{0000000C-A379-4698-91FB-49620EB75461}"/>
            </c:ext>
          </c:extLst>
        </c:ser>
        <c:dLbls>
          <c:showLegendKey val="0"/>
          <c:showVal val="0"/>
          <c:showCatName val="0"/>
          <c:showSerName val="0"/>
          <c:showPercent val="0"/>
          <c:showBubbleSize val="0"/>
        </c:dLbls>
        <c:gapWidth val="75"/>
        <c:overlap val="100"/>
        <c:axId val="544984303"/>
        <c:axId val="544989295"/>
      </c:barChart>
      <c:catAx>
        <c:axId val="544984303"/>
        <c:scaling>
          <c:orientation val="minMax"/>
        </c:scaling>
        <c:delete val="0"/>
        <c:axPos val="b"/>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en-US"/>
          </a:p>
        </c:txPr>
        <c:crossAx val="544989295"/>
        <c:crosses val="autoZero"/>
        <c:auto val="1"/>
        <c:lblAlgn val="ctr"/>
        <c:lblOffset val="100"/>
        <c:noMultiLvlLbl val="0"/>
      </c:catAx>
      <c:valAx>
        <c:axId val="544989295"/>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4984303"/>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953383894497852"/>
          <c:y val="5.2486611923347824E-2"/>
          <c:w val="0.20808447256976315"/>
          <c:h val="0.8435393712428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8114610673665"/>
          <c:y val="8.0350899533784687E-2"/>
          <c:w val="0.85836329833770775"/>
          <c:h val="0.67128029054507721"/>
        </c:manualLayout>
      </c:layout>
      <c:barChart>
        <c:barDir val="col"/>
        <c:grouping val="stacked"/>
        <c:varyColors val="0"/>
        <c:ser>
          <c:idx val="0"/>
          <c:order val="0"/>
          <c:tx>
            <c:strRef>
              <c:f>'New Figure 2.'!$F$32</c:f>
              <c:strCache>
                <c:ptCount val="1"/>
                <c:pt idx="0">
                  <c:v>Final consumption expenditures</c:v>
                </c:pt>
              </c:strCache>
            </c:strRef>
          </c:tx>
          <c:spPr>
            <a:solidFill>
              <a:srgbClr val="47B0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Figure 2.'!$G$31:$L$31</c:f>
              <c:numCache>
                <c:formatCode>General</c:formatCode>
                <c:ptCount val="6"/>
                <c:pt idx="0">
                  <c:v>2011</c:v>
                </c:pt>
                <c:pt idx="1">
                  <c:v>2012</c:v>
                </c:pt>
                <c:pt idx="2">
                  <c:v>2013</c:v>
                </c:pt>
                <c:pt idx="3">
                  <c:v>2014</c:v>
                </c:pt>
                <c:pt idx="4">
                  <c:v>2015</c:v>
                </c:pt>
                <c:pt idx="5">
                  <c:v>2016</c:v>
                </c:pt>
              </c:numCache>
            </c:numRef>
          </c:cat>
          <c:val>
            <c:numRef>
              <c:f>'New Figure 2.'!$G$32:$L$32</c:f>
              <c:numCache>
                <c:formatCode>0.0%</c:formatCode>
                <c:ptCount val="6"/>
                <c:pt idx="0">
                  <c:v>5.2000000000000005E-2</c:v>
                </c:pt>
                <c:pt idx="1">
                  <c:v>4.7E-2</c:v>
                </c:pt>
                <c:pt idx="2">
                  <c:v>6.0000000000000001E-3</c:v>
                </c:pt>
                <c:pt idx="3">
                  <c:v>4.2000000000000003E-2</c:v>
                </c:pt>
                <c:pt idx="4">
                  <c:v>2.7999999999999997E-2</c:v>
                </c:pt>
                <c:pt idx="5">
                  <c:v>8.0000000000000002E-3</c:v>
                </c:pt>
              </c:numCache>
            </c:numRef>
          </c:val>
          <c:extLst>
            <c:ext xmlns:c16="http://schemas.microsoft.com/office/drawing/2014/chart" uri="{C3380CC4-5D6E-409C-BE32-E72D297353CC}">
              <c16:uniqueId val="{00000000-301F-443C-9DF6-BC2E3BF33D22}"/>
            </c:ext>
          </c:extLst>
        </c:ser>
        <c:ser>
          <c:idx val="1"/>
          <c:order val="1"/>
          <c:tx>
            <c:strRef>
              <c:f>'New Figure 2.'!$F$33</c:f>
              <c:strCache>
                <c:ptCount val="1"/>
                <c:pt idx="0">
                  <c:v>Gross capital formation </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Figure 2.'!$G$31:$L$31</c:f>
              <c:numCache>
                <c:formatCode>General</c:formatCode>
                <c:ptCount val="6"/>
                <c:pt idx="0">
                  <c:v>2011</c:v>
                </c:pt>
                <c:pt idx="1">
                  <c:v>2012</c:v>
                </c:pt>
                <c:pt idx="2">
                  <c:v>2013</c:v>
                </c:pt>
                <c:pt idx="3">
                  <c:v>2014</c:v>
                </c:pt>
                <c:pt idx="4">
                  <c:v>2015</c:v>
                </c:pt>
                <c:pt idx="5">
                  <c:v>2016</c:v>
                </c:pt>
              </c:numCache>
            </c:numRef>
          </c:cat>
          <c:val>
            <c:numRef>
              <c:f>'New Figure 2.'!$G$33:$L$33</c:f>
              <c:numCache>
                <c:formatCode>0.0%</c:formatCode>
                <c:ptCount val="6"/>
                <c:pt idx="0">
                  <c:v>0.06</c:v>
                </c:pt>
                <c:pt idx="1">
                  <c:v>0.05</c:v>
                </c:pt>
                <c:pt idx="2">
                  <c:v>-3.4000000000000002E-2</c:v>
                </c:pt>
                <c:pt idx="3">
                  <c:v>6.7000000000000004E-2</c:v>
                </c:pt>
                <c:pt idx="4">
                  <c:v>3.7999999999999999E-2</c:v>
                </c:pt>
                <c:pt idx="5">
                  <c:v>2.6000000000000002E-2</c:v>
                </c:pt>
              </c:numCache>
            </c:numRef>
          </c:val>
          <c:extLst>
            <c:ext xmlns:c16="http://schemas.microsoft.com/office/drawing/2014/chart" uri="{C3380CC4-5D6E-409C-BE32-E72D297353CC}">
              <c16:uniqueId val="{00000001-301F-443C-9DF6-BC2E3BF33D22}"/>
            </c:ext>
          </c:extLst>
        </c:ser>
        <c:ser>
          <c:idx val="2"/>
          <c:order val="2"/>
          <c:tx>
            <c:strRef>
              <c:f>'New Figure 2.'!$F$34</c:f>
              <c:strCache>
                <c:ptCount val="1"/>
                <c:pt idx="0">
                  <c:v>Net exports of goods and services</c:v>
                </c:pt>
              </c:strCache>
            </c:strRef>
          </c:tx>
          <c:spPr>
            <a:solidFill>
              <a:schemeClr val="accent3"/>
            </a:solidFill>
            <a:ln>
              <a:noFill/>
            </a:ln>
            <a:effectLst/>
          </c:spPr>
          <c:invertIfNegative val="0"/>
          <c:dLbls>
            <c:dLbl>
              <c:idx val="5"/>
              <c:layout>
                <c:manualLayout>
                  <c:x val="-2.3108025835862907E-3"/>
                  <c:y val="-1.4375561545372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1F-443C-9DF6-BC2E3BF33D2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'New Figure 2.'!$G$31:$L$31</c:f>
              <c:numCache>
                <c:formatCode>General</c:formatCode>
                <c:ptCount val="6"/>
                <c:pt idx="0">
                  <c:v>2011</c:v>
                </c:pt>
                <c:pt idx="1">
                  <c:v>2012</c:v>
                </c:pt>
                <c:pt idx="2">
                  <c:v>2013</c:v>
                </c:pt>
                <c:pt idx="3">
                  <c:v>2014</c:v>
                </c:pt>
                <c:pt idx="4">
                  <c:v>2015</c:v>
                </c:pt>
                <c:pt idx="5">
                  <c:v>2016</c:v>
                </c:pt>
              </c:numCache>
            </c:numRef>
          </c:cat>
          <c:val>
            <c:numRef>
              <c:f>'New Figure 2.'!$G$34:$L$34</c:f>
              <c:numCache>
                <c:formatCode>0.0%</c:formatCode>
                <c:ptCount val="6"/>
                <c:pt idx="0">
                  <c:v>-4.0999999999999995E-2</c:v>
                </c:pt>
                <c:pt idx="1">
                  <c:v>-3.3000000000000002E-2</c:v>
                </c:pt>
                <c:pt idx="2">
                  <c:v>0.06</c:v>
                </c:pt>
                <c:pt idx="3">
                  <c:v>-6.2E-2</c:v>
                </c:pt>
                <c:pt idx="4">
                  <c:v>-3.7000000000000005E-2</c:v>
                </c:pt>
                <c:pt idx="5">
                  <c:v>-6.0000000000000001E-3</c:v>
                </c:pt>
              </c:numCache>
            </c:numRef>
          </c:val>
          <c:extLst>
            <c:ext xmlns:c16="http://schemas.microsoft.com/office/drawing/2014/chart" uri="{C3380CC4-5D6E-409C-BE32-E72D297353CC}">
              <c16:uniqueId val="{00000003-301F-443C-9DF6-BC2E3BF33D22}"/>
            </c:ext>
          </c:extLst>
        </c:ser>
        <c:dLbls>
          <c:showLegendKey val="0"/>
          <c:showVal val="0"/>
          <c:showCatName val="0"/>
          <c:showSerName val="0"/>
          <c:showPercent val="0"/>
          <c:showBubbleSize val="0"/>
        </c:dLbls>
        <c:gapWidth val="150"/>
        <c:overlap val="100"/>
        <c:axId val="1273684207"/>
        <c:axId val="1273682127"/>
      </c:barChart>
      <c:catAx>
        <c:axId val="12736842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3682127"/>
        <c:crosses val="autoZero"/>
        <c:auto val="1"/>
        <c:lblAlgn val="ctr"/>
        <c:lblOffset val="100"/>
        <c:noMultiLvlLbl val="0"/>
      </c:catAx>
      <c:valAx>
        <c:axId val="127368212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3684207"/>
        <c:crossesAt val="1"/>
        <c:crossBetween val="between"/>
      </c:valAx>
      <c:spPr>
        <a:noFill/>
        <a:ln>
          <a:noFill/>
        </a:ln>
        <a:effectLst/>
      </c:spPr>
    </c:plotArea>
    <c:legend>
      <c:legendPos val="b"/>
      <c:layout>
        <c:manualLayout>
          <c:xMode val="edge"/>
          <c:yMode val="edge"/>
          <c:x val="4.99999454141122E-2"/>
          <c:y val="0.85309930598297856"/>
          <c:w val="0.89999992721881628"/>
          <c:h val="0.110961790153589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6783037154113"/>
          <c:y val="6.8249319302376918E-2"/>
          <c:w val="0.86121378488604172"/>
          <c:h val="0.73083163669961815"/>
        </c:manualLayout>
      </c:layout>
      <c:barChart>
        <c:barDir val="col"/>
        <c:grouping val="clustered"/>
        <c:varyColors val="0"/>
        <c:ser>
          <c:idx val="0"/>
          <c:order val="0"/>
          <c:tx>
            <c:strRef>
              <c:f>Sheet1!$C$29</c:f>
              <c:strCache>
                <c:ptCount val="1"/>
                <c:pt idx="0">
                  <c:v>NBG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c:v>
                </c:pt>
                <c:pt idx="1">
                  <c:v>2018</c:v>
                </c:pt>
              </c:numCache>
            </c:numRef>
          </c:cat>
          <c:val>
            <c:numRef>
              <c:f>Sheet1!$D$29:$E$29</c:f>
              <c:numCache>
                <c:formatCode>0.0%</c:formatCode>
                <c:ptCount val="2"/>
                <c:pt idx="0">
                  <c:v>4.4999999999999998E-2</c:v>
                </c:pt>
                <c:pt idx="1">
                  <c:v>4.4999999999999998E-2</c:v>
                </c:pt>
              </c:numCache>
            </c:numRef>
          </c:val>
          <c:extLst>
            <c:ext xmlns:c16="http://schemas.microsoft.com/office/drawing/2014/chart" uri="{C3380CC4-5D6E-409C-BE32-E72D297353CC}">
              <c16:uniqueId val="{00000000-2CD2-440D-80DE-8D0D00B06150}"/>
            </c:ext>
          </c:extLst>
        </c:ser>
        <c:ser>
          <c:idx val="1"/>
          <c:order val="1"/>
          <c:tx>
            <c:strRef>
              <c:f>Sheet1!$C$30</c:f>
              <c:strCache>
                <c:ptCount val="1"/>
                <c:pt idx="0">
                  <c:v>ADB</c:v>
                </c:pt>
              </c:strCache>
            </c:strRef>
          </c:tx>
          <c:spPr>
            <a:solidFill>
              <a:srgbClr val="7EC23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c:v>
                </c:pt>
                <c:pt idx="1">
                  <c:v>2018</c:v>
                </c:pt>
              </c:numCache>
            </c:numRef>
          </c:cat>
          <c:val>
            <c:numRef>
              <c:f>Sheet1!$D$30:$E$30</c:f>
              <c:numCache>
                <c:formatCode>0.0%</c:formatCode>
                <c:ptCount val="2"/>
                <c:pt idx="0">
                  <c:v>4.2000000000000003E-2</c:v>
                </c:pt>
                <c:pt idx="1">
                  <c:v>4.4999999999999998E-2</c:v>
                </c:pt>
              </c:numCache>
            </c:numRef>
          </c:val>
          <c:extLst>
            <c:ext xmlns:c16="http://schemas.microsoft.com/office/drawing/2014/chart" uri="{C3380CC4-5D6E-409C-BE32-E72D297353CC}">
              <c16:uniqueId val="{00000001-2CD2-440D-80DE-8D0D00B06150}"/>
            </c:ext>
          </c:extLst>
        </c:ser>
        <c:ser>
          <c:idx val="2"/>
          <c:order val="2"/>
          <c:tx>
            <c:strRef>
              <c:f>Sheet1!$C$31</c:f>
              <c:strCache>
                <c:ptCount val="1"/>
                <c:pt idx="0">
                  <c:v>EBRD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c:v>
                </c:pt>
                <c:pt idx="1">
                  <c:v>2018</c:v>
                </c:pt>
              </c:numCache>
            </c:numRef>
          </c:cat>
          <c:val>
            <c:numRef>
              <c:f>Sheet1!$D$31:$E$31</c:f>
              <c:numCache>
                <c:formatCode>0.0%</c:formatCode>
                <c:ptCount val="2"/>
                <c:pt idx="0">
                  <c:v>0.04</c:v>
                </c:pt>
                <c:pt idx="1">
                  <c:v>4.4999999999999998E-2</c:v>
                </c:pt>
              </c:numCache>
            </c:numRef>
          </c:val>
          <c:extLst>
            <c:ext xmlns:c16="http://schemas.microsoft.com/office/drawing/2014/chart" uri="{C3380CC4-5D6E-409C-BE32-E72D297353CC}">
              <c16:uniqueId val="{00000002-2CD2-440D-80DE-8D0D00B06150}"/>
            </c:ext>
          </c:extLst>
        </c:ser>
        <c:ser>
          <c:idx val="3"/>
          <c:order val="3"/>
          <c:tx>
            <c:strRef>
              <c:f>Sheet1!$C$32</c:f>
              <c:strCache>
                <c:ptCount val="1"/>
                <c:pt idx="0">
                  <c:v>WBG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c:v>
                </c:pt>
                <c:pt idx="1">
                  <c:v>2018</c:v>
                </c:pt>
              </c:numCache>
            </c:numRef>
          </c:cat>
          <c:val>
            <c:numRef>
              <c:f>Sheet1!$D$32:$E$32</c:f>
              <c:numCache>
                <c:formatCode>0.0%</c:formatCode>
                <c:ptCount val="2"/>
                <c:pt idx="0">
                  <c:v>4.2999999999999997E-2</c:v>
                </c:pt>
                <c:pt idx="1">
                  <c:v>4.2000000000000003E-2</c:v>
                </c:pt>
              </c:numCache>
            </c:numRef>
          </c:val>
          <c:extLst>
            <c:ext xmlns:c16="http://schemas.microsoft.com/office/drawing/2014/chart" uri="{C3380CC4-5D6E-409C-BE32-E72D297353CC}">
              <c16:uniqueId val="{00000003-2CD2-440D-80DE-8D0D00B06150}"/>
            </c:ext>
          </c:extLst>
        </c:ser>
        <c:ser>
          <c:idx val="4"/>
          <c:order val="4"/>
          <c:tx>
            <c:strRef>
              <c:f>Sheet1!$C$33</c:f>
              <c:strCache>
                <c:ptCount val="1"/>
                <c:pt idx="0">
                  <c:v>IMF</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Sheet1!$D$28:$E$28</c:f>
              <c:numCache>
                <c:formatCode>General</c:formatCode>
                <c:ptCount val="2"/>
                <c:pt idx="0">
                  <c:v>2017</c:v>
                </c:pt>
                <c:pt idx="1">
                  <c:v>2018</c:v>
                </c:pt>
              </c:numCache>
            </c:numRef>
          </c:cat>
          <c:val>
            <c:numRef>
              <c:f>Sheet1!$D$33:$E$33</c:f>
              <c:numCache>
                <c:formatCode>0.0%</c:formatCode>
                <c:ptCount val="2"/>
                <c:pt idx="0">
                  <c:v>0.04</c:v>
                </c:pt>
                <c:pt idx="1">
                  <c:v>4.2000000000000003E-2</c:v>
                </c:pt>
              </c:numCache>
            </c:numRef>
          </c:val>
          <c:extLst>
            <c:ext xmlns:c16="http://schemas.microsoft.com/office/drawing/2014/chart" uri="{C3380CC4-5D6E-409C-BE32-E72D297353CC}">
              <c16:uniqueId val="{00000004-2CD2-440D-80DE-8D0D00B06150}"/>
            </c:ext>
          </c:extLst>
        </c:ser>
        <c:dLbls>
          <c:dLblPos val="outEnd"/>
          <c:showLegendKey val="0"/>
          <c:showVal val="1"/>
          <c:showCatName val="0"/>
          <c:showSerName val="0"/>
          <c:showPercent val="0"/>
          <c:showBubbleSize val="0"/>
        </c:dLbls>
        <c:gapWidth val="100"/>
        <c:overlap val="-24"/>
        <c:axId val="534785231"/>
        <c:axId val="534779823"/>
      </c:barChart>
      <c:catAx>
        <c:axId val="53478523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4779823"/>
        <c:crosses val="autoZero"/>
        <c:auto val="1"/>
        <c:lblAlgn val="ctr"/>
        <c:lblOffset val="100"/>
        <c:noMultiLvlLbl val="0"/>
      </c:catAx>
      <c:valAx>
        <c:axId val="53477982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4785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87320815667276E-2"/>
          <c:y val="6.6888987220475371E-2"/>
          <c:w val="0.90463910761154853"/>
          <c:h val="0.68905630217275471"/>
        </c:manualLayout>
      </c:layout>
      <c:lineChart>
        <c:grouping val="standard"/>
        <c:varyColors val="0"/>
        <c:ser>
          <c:idx val="0"/>
          <c:order val="0"/>
          <c:tx>
            <c:strRef>
              <c:f>Table1!$B$28</c:f>
              <c:strCache>
                <c:ptCount val="1"/>
                <c:pt idx="0">
                  <c:v>Headline inflation</c:v>
                </c:pt>
              </c:strCache>
            </c:strRef>
          </c:tx>
          <c:spPr>
            <a:ln w="22225" cap="rnd" cmpd="sng" algn="ctr">
              <a:solidFill>
                <a:schemeClr val="accent1"/>
              </a:solidFill>
              <a:round/>
            </a:ln>
            <a:effectLst/>
          </c:spPr>
          <c:marker>
            <c:symbol val="circle"/>
            <c:size val="6"/>
            <c:spPr>
              <a:solidFill>
                <a:schemeClr val="accent1"/>
              </a:solidFill>
              <a:ln w="9525" cap="flat" cmpd="sng" algn="ctr">
                <a:solidFill>
                  <a:schemeClr val="accent1"/>
                </a:solidFill>
                <a:round/>
              </a:ln>
              <a:effectLst/>
            </c:spPr>
          </c:marker>
          <c:dLbls>
            <c:delete val="1"/>
          </c:dLbls>
          <c:cat>
            <c:numRef>
              <c:f>Table1!$C$27:$AL$27</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formatCode="[$-409]mmm\-yy;@">
                  <c:v>42385</c:v>
                </c:pt>
                <c:pt idx="13" formatCode="[$-409]mmm\-yy;@">
                  <c:v>42416</c:v>
                </c:pt>
                <c:pt idx="14" formatCode="[$-409]mmm\-yy;@">
                  <c:v>42445</c:v>
                </c:pt>
                <c:pt idx="15" formatCode="[$-409]mmm\-yy;@">
                  <c:v>42476</c:v>
                </c:pt>
                <c:pt idx="16" formatCode="[$-409]mmm\-yy;@">
                  <c:v>42506</c:v>
                </c:pt>
                <c:pt idx="17" formatCode="[$-409]mmm\-yy;@">
                  <c:v>42537</c:v>
                </c:pt>
                <c:pt idx="18" formatCode="[$-409]mmm\-yy;@">
                  <c:v>42567</c:v>
                </c:pt>
                <c:pt idx="19" formatCode="[$-409]mmm\-yy;@">
                  <c:v>42598</c:v>
                </c:pt>
                <c:pt idx="20" formatCode="[$-409]mmm\-yy;@">
                  <c:v>42629</c:v>
                </c:pt>
                <c:pt idx="21" formatCode="[$-409]mmm\-yy;@">
                  <c:v>42659</c:v>
                </c:pt>
                <c:pt idx="22" formatCode="[$-409]mmm\-yy;@">
                  <c:v>42690</c:v>
                </c:pt>
                <c:pt idx="23" formatCode="[$-409]mmm\-yy;@">
                  <c:v>42720</c:v>
                </c:pt>
                <c:pt idx="24" formatCode="[$-409]mmm\-yy;@">
                  <c:v>42751</c:v>
                </c:pt>
                <c:pt idx="25" formatCode="[$-409]mmm\-yy;@">
                  <c:v>42782</c:v>
                </c:pt>
                <c:pt idx="26" formatCode="[$-409]mmm\-yy;@">
                  <c:v>42810</c:v>
                </c:pt>
                <c:pt idx="27" formatCode="[$-409]mmm\-yy;@">
                  <c:v>42841</c:v>
                </c:pt>
                <c:pt idx="28" formatCode="[$-409]mmm\-yy;@">
                  <c:v>42871</c:v>
                </c:pt>
                <c:pt idx="29" formatCode="[$-409]mmm\-yy;@">
                  <c:v>42902</c:v>
                </c:pt>
                <c:pt idx="30" formatCode="[$-409]mmm\-yy;@">
                  <c:v>42932</c:v>
                </c:pt>
                <c:pt idx="31" formatCode="[$-409]mmm\-yy;@">
                  <c:v>42963</c:v>
                </c:pt>
                <c:pt idx="32" formatCode="[$-409]mmm\-yy;@">
                  <c:v>42994</c:v>
                </c:pt>
                <c:pt idx="33" formatCode="[$-409]mmm\-yy;@">
                  <c:v>43024</c:v>
                </c:pt>
                <c:pt idx="34" formatCode="[$-409]mmm\-yy;@">
                  <c:v>43055</c:v>
                </c:pt>
                <c:pt idx="35" formatCode="[$-409]mmm\-yy;@">
                  <c:v>43085</c:v>
                </c:pt>
              </c:numCache>
            </c:numRef>
          </c:cat>
          <c:val>
            <c:numRef>
              <c:f>Table1!$C$28:$AL$28</c:f>
              <c:numCache>
                <c:formatCode>0.0%</c:formatCode>
                <c:ptCount val="36"/>
                <c:pt idx="0">
                  <c:v>1.3937750160383953E-2</c:v>
                </c:pt>
                <c:pt idx="1">
                  <c:v>1.2725970631400378E-2</c:v>
                </c:pt>
                <c:pt idx="2">
                  <c:v>2.5611396296457457E-2</c:v>
                </c:pt>
                <c:pt idx="3">
                  <c:v>2.5165057877554929E-2</c:v>
                </c:pt>
                <c:pt idx="4">
                  <c:v>3.4594633772893416E-2</c:v>
                </c:pt>
                <c:pt idx="5">
                  <c:v>4.4738931431770178E-2</c:v>
                </c:pt>
                <c:pt idx="6">
                  <c:v>4.8545118214606574E-2</c:v>
                </c:pt>
                <c:pt idx="7">
                  <c:v>5.3720324447218706E-2</c:v>
                </c:pt>
                <c:pt idx="8">
                  <c:v>5.2168369653675752E-2</c:v>
                </c:pt>
                <c:pt idx="9">
                  <c:v>5.7949788153553977E-2</c:v>
                </c:pt>
                <c:pt idx="10">
                  <c:v>6.2537873759253432E-2</c:v>
                </c:pt>
                <c:pt idx="11">
                  <c:v>4.879444789337882E-2</c:v>
                </c:pt>
                <c:pt idx="12">
                  <c:v>5.57068488271465E-2</c:v>
                </c:pt>
                <c:pt idx="13">
                  <c:v>5.5745331758702429E-2</c:v>
                </c:pt>
                <c:pt idx="14">
                  <c:v>4.0614685830678683E-2</c:v>
                </c:pt>
                <c:pt idx="15">
                  <c:v>3.1586907624292219E-2</c:v>
                </c:pt>
                <c:pt idx="16">
                  <c:v>2.0727902278493023E-2</c:v>
                </c:pt>
                <c:pt idx="17">
                  <c:v>1.1417559981369138E-2</c:v>
                </c:pt>
                <c:pt idx="18">
                  <c:v>1.5126659344438444E-2</c:v>
                </c:pt>
                <c:pt idx="19">
                  <c:v>9.2168660570731368E-3</c:v>
                </c:pt>
                <c:pt idx="20">
                  <c:v>1.1584806715062609E-3</c:v>
                </c:pt>
                <c:pt idx="21">
                  <c:v>-1.5173756561797022E-3</c:v>
                </c:pt>
                <c:pt idx="22">
                  <c:v>1.5384026960294538E-3</c:v>
                </c:pt>
                <c:pt idx="23">
                  <c:v>1.8319752691464811E-2</c:v>
                </c:pt>
                <c:pt idx="24">
                  <c:v>3.8758106217945933E-2</c:v>
                </c:pt>
                <c:pt idx="25">
                  <c:v>5.5369354844172915E-2</c:v>
                </c:pt>
                <c:pt idx="26">
                  <c:v>5.3522600280571521E-2</c:v>
                </c:pt>
                <c:pt idx="27">
                  <c:v>6.1146321583155486E-2</c:v>
                </c:pt>
                <c:pt idx="28">
                  <c:v>6.5558004442312925E-2</c:v>
                </c:pt>
                <c:pt idx="29">
                  <c:v>7.0941778643022216E-2</c:v>
                </c:pt>
                <c:pt idx="30">
                  <c:v>5.953674153157186E-2</c:v>
                </c:pt>
                <c:pt idx="31">
                  <c:v>5.7340322067012651E-2</c:v>
                </c:pt>
                <c:pt idx="32">
                  <c:v>6.1676084883268756E-2</c:v>
                </c:pt>
                <c:pt idx="33">
                  <c:v>6.4130562845663541E-2</c:v>
                </c:pt>
                <c:pt idx="34">
                  <c:v>6.9305090571177647E-2</c:v>
                </c:pt>
                <c:pt idx="35">
                  <c:v>6.7163495824803882E-2</c:v>
                </c:pt>
              </c:numCache>
            </c:numRef>
          </c:val>
          <c:smooth val="0"/>
          <c:extLst>
            <c:ext xmlns:c16="http://schemas.microsoft.com/office/drawing/2014/chart" uri="{C3380CC4-5D6E-409C-BE32-E72D297353CC}">
              <c16:uniqueId val="{00000000-D95A-4774-8D5B-22019407BEDD}"/>
            </c:ext>
          </c:extLst>
        </c:ser>
        <c:ser>
          <c:idx val="1"/>
          <c:order val="1"/>
          <c:tx>
            <c:strRef>
              <c:f>Table1!$B$29</c:f>
              <c:strCache>
                <c:ptCount val="1"/>
                <c:pt idx="0">
                  <c:v>Core inflation </c:v>
                </c:pt>
              </c:strCache>
            </c:strRef>
          </c:tx>
          <c:spPr>
            <a:ln w="22225" cap="rnd" cmpd="sng" algn="ctr">
              <a:solidFill>
                <a:srgbClr val="00B050"/>
              </a:solidFill>
              <a:round/>
            </a:ln>
            <a:effectLst/>
          </c:spPr>
          <c:marker>
            <c:symbol val="circle"/>
            <c:size val="7"/>
            <c:spPr>
              <a:solidFill>
                <a:srgbClr val="00B050"/>
              </a:solidFill>
              <a:ln w="9525" cap="flat" cmpd="sng" algn="ctr">
                <a:solidFill>
                  <a:srgbClr val="00B050"/>
                </a:solidFill>
                <a:round/>
              </a:ln>
              <a:effectLst/>
            </c:spPr>
          </c:marker>
          <c:dLbls>
            <c:delete val="1"/>
          </c:dLbls>
          <c:cat>
            <c:numRef>
              <c:f>Table1!$C$27:$AL$27</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formatCode="[$-409]mmm\-yy;@">
                  <c:v>42385</c:v>
                </c:pt>
                <c:pt idx="13" formatCode="[$-409]mmm\-yy;@">
                  <c:v>42416</c:v>
                </c:pt>
                <c:pt idx="14" formatCode="[$-409]mmm\-yy;@">
                  <c:v>42445</c:v>
                </c:pt>
                <c:pt idx="15" formatCode="[$-409]mmm\-yy;@">
                  <c:v>42476</c:v>
                </c:pt>
                <c:pt idx="16" formatCode="[$-409]mmm\-yy;@">
                  <c:v>42506</c:v>
                </c:pt>
                <c:pt idx="17" formatCode="[$-409]mmm\-yy;@">
                  <c:v>42537</c:v>
                </c:pt>
                <c:pt idx="18" formatCode="[$-409]mmm\-yy;@">
                  <c:v>42567</c:v>
                </c:pt>
                <c:pt idx="19" formatCode="[$-409]mmm\-yy;@">
                  <c:v>42598</c:v>
                </c:pt>
                <c:pt idx="20" formatCode="[$-409]mmm\-yy;@">
                  <c:v>42629</c:v>
                </c:pt>
                <c:pt idx="21" formatCode="[$-409]mmm\-yy;@">
                  <c:v>42659</c:v>
                </c:pt>
                <c:pt idx="22" formatCode="[$-409]mmm\-yy;@">
                  <c:v>42690</c:v>
                </c:pt>
                <c:pt idx="23" formatCode="[$-409]mmm\-yy;@">
                  <c:v>42720</c:v>
                </c:pt>
                <c:pt idx="24" formatCode="[$-409]mmm\-yy;@">
                  <c:v>42751</c:v>
                </c:pt>
                <c:pt idx="25" formatCode="[$-409]mmm\-yy;@">
                  <c:v>42782</c:v>
                </c:pt>
                <c:pt idx="26" formatCode="[$-409]mmm\-yy;@">
                  <c:v>42810</c:v>
                </c:pt>
                <c:pt idx="27" formatCode="[$-409]mmm\-yy;@">
                  <c:v>42841</c:v>
                </c:pt>
                <c:pt idx="28" formatCode="[$-409]mmm\-yy;@">
                  <c:v>42871</c:v>
                </c:pt>
                <c:pt idx="29" formatCode="[$-409]mmm\-yy;@">
                  <c:v>42902</c:v>
                </c:pt>
                <c:pt idx="30" formatCode="[$-409]mmm\-yy;@">
                  <c:v>42932</c:v>
                </c:pt>
                <c:pt idx="31" formatCode="[$-409]mmm\-yy;@">
                  <c:v>42963</c:v>
                </c:pt>
                <c:pt idx="32" formatCode="[$-409]mmm\-yy;@">
                  <c:v>42994</c:v>
                </c:pt>
                <c:pt idx="33" formatCode="[$-409]mmm\-yy;@">
                  <c:v>43024</c:v>
                </c:pt>
                <c:pt idx="34" formatCode="[$-409]mmm\-yy;@">
                  <c:v>43055</c:v>
                </c:pt>
                <c:pt idx="35" formatCode="[$-409]mmm\-yy;@">
                  <c:v>43085</c:v>
                </c:pt>
              </c:numCache>
            </c:numRef>
          </c:cat>
          <c:val>
            <c:numRef>
              <c:f>Table1!$C$29:$AL$29</c:f>
              <c:numCache>
                <c:formatCode>0.0%</c:formatCode>
                <c:ptCount val="36"/>
                <c:pt idx="0">
                  <c:v>3.0627000000000001E-2</c:v>
                </c:pt>
                <c:pt idx="1">
                  <c:v>3.2667000000000002E-2</c:v>
                </c:pt>
                <c:pt idx="2">
                  <c:v>4.4278999999999999E-2</c:v>
                </c:pt>
                <c:pt idx="3">
                  <c:v>4.5788000000000002E-2</c:v>
                </c:pt>
                <c:pt idx="4">
                  <c:v>5.1316000000000001E-2</c:v>
                </c:pt>
                <c:pt idx="5">
                  <c:v>5.4816999999999998E-2</c:v>
                </c:pt>
                <c:pt idx="6">
                  <c:v>5.6128999999999998E-2</c:v>
                </c:pt>
                <c:pt idx="7">
                  <c:v>6.5016999999999991E-2</c:v>
                </c:pt>
                <c:pt idx="8">
                  <c:v>7.0858999999999991E-2</c:v>
                </c:pt>
                <c:pt idx="9">
                  <c:v>7.9000000000000001E-2</c:v>
                </c:pt>
                <c:pt idx="10">
                  <c:v>8.2143999999999995E-2</c:v>
                </c:pt>
                <c:pt idx="11">
                  <c:v>6.9345000000000004E-2</c:v>
                </c:pt>
                <c:pt idx="12">
                  <c:v>6.8600000000000008E-2</c:v>
                </c:pt>
                <c:pt idx="13">
                  <c:v>7.2550000000000003E-2</c:v>
                </c:pt>
                <c:pt idx="14">
                  <c:v>5.9782000000000002E-2</c:v>
                </c:pt>
                <c:pt idx="15">
                  <c:v>5.1288E-2</c:v>
                </c:pt>
                <c:pt idx="16">
                  <c:v>3.8314000000000001E-2</c:v>
                </c:pt>
                <c:pt idx="17">
                  <c:v>2.8559999999999999E-2</c:v>
                </c:pt>
                <c:pt idx="18">
                  <c:v>3.0952999999999998E-2</c:v>
                </c:pt>
                <c:pt idx="19">
                  <c:v>2.649E-2</c:v>
                </c:pt>
                <c:pt idx="20">
                  <c:v>1.4844E-2</c:v>
                </c:pt>
                <c:pt idx="21">
                  <c:v>9.0359999999999989E-3</c:v>
                </c:pt>
                <c:pt idx="22">
                  <c:v>9.2969999999999997E-3</c:v>
                </c:pt>
                <c:pt idx="23">
                  <c:v>1.8485999999999999E-2</c:v>
                </c:pt>
                <c:pt idx="24">
                  <c:v>2.8391000000000003E-2</c:v>
                </c:pt>
                <c:pt idx="25">
                  <c:v>3.1285E-2</c:v>
                </c:pt>
                <c:pt idx="26">
                  <c:v>2.8881999999999998E-2</c:v>
                </c:pt>
                <c:pt idx="27">
                  <c:v>3.3210999999999997E-2</c:v>
                </c:pt>
                <c:pt idx="28">
                  <c:v>3.7451999999999999E-2</c:v>
                </c:pt>
                <c:pt idx="29">
                  <c:v>4.5330000000000002E-2</c:v>
                </c:pt>
                <c:pt idx="30">
                  <c:v>4.2821999999999999E-2</c:v>
                </c:pt>
                <c:pt idx="31">
                  <c:v>4.3112999999999999E-2</c:v>
                </c:pt>
                <c:pt idx="32">
                  <c:v>4.4595000000000003E-2</c:v>
                </c:pt>
                <c:pt idx="33">
                  <c:v>4.4266E-2</c:v>
                </c:pt>
                <c:pt idx="34">
                  <c:v>5.1094000000000001E-2</c:v>
                </c:pt>
                <c:pt idx="35">
                  <c:v>4.6547999999999999E-2</c:v>
                </c:pt>
              </c:numCache>
            </c:numRef>
          </c:val>
          <c:smooth val="0"/>
          <c:extLst>
            <c:ext xmlns:c16="http://schemas.microsoft.com/office/drawing/2014/chart" uri="{C3380CC4-5D6E-409C-BE32-E72D297353CC}">
              <c16:uniqueId val="{00000001-D95A-4774-8D5B-22019407BEDD}"/>
            </c:ext>
          </c:extLst>
        </c:ser>
        <c:ser>
          <c:idx val="2"/>
          <c:order val="2"/>
          <c:tx>
            <c:strRef>
              <c:f>Table1!$B$30</c:f>
              <c:strCache>
                <c:ptCount val="1"/>
                <c:pt idx="0">
                  <c:v>Inflation target </c:v>
                </c:pt>
              </c:strCache>
            </c:strRef>
          </c:tx>
          <c:spPr>
            <a:ln w="19050" cap="rnd" cmpd="sng" algn="ctr">
              <a:solidFill>
                <a:srgbClr val="FF0000"/>
              </a:solidFill>
              <a:prstDash val="sysDot"/>
              <a:round/>
            </a:ln>
            <a:effectLst/>
          </c:spPr>
          <c:marker>
            <c:symbol val="circle"/>
            <c:size val="4"/>
            <c:spPr>
              <a:solidFill>
                <a:srgbClr val="FF0000"/>
              </a:solidFill>
              <a:ln w="22225" cap="flat" cmpd="sng" algn="ctr">
                <a:solidFill>
                  <a:srgbClr val="FF0000"/>
                </a:solidFill>
                <a:round/>
              </a:ln>
              <a:effectLst/>
            </c:spPr>
          </c:marker>
          <c:dLbls>
            <c:delete val="1"/>
          </c:dLbls>
          <c:cat>
            <c:numRef>
              <c:f>Table1!$C$27:$AL$27</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formatCode="[$-409]mmm\-yy;@">
                  <c:v>42385</c:v>
                </c:pt>
                <c:pt idx="13" formatCode="[$-409]mmm\-yy;@">
                  <c:v>42416</c:v>
                </c:pt>
                <c:pt idx="14" formatCode="[$-409]mmm\-yy;@">
                  <c:v>42445</c:v>
                </c:pt>
                <c:pt idx="15" formatCode="[$-409]mmm\-yy;@">
                  <c:v>42476</c:v>
                </c:pt>
                <c:pt idx="16" formatCode="[$-409]mmm\-yy;@">
                  <c:v>42506</c:v>
                </c:pt>
                <c:pt idx="17" formatCode="[$-409]mmm\-yy;@">
                  <c:v>42537</c:v>
                </c:pt>
                <c:pt idx="18" formatCode="[$-409]mmm\-yy;@">
                  <c:v>42567</c:v>
                </c:pt>
                <c:pt idx="19" formatCode="[$-409]mmm\-yy;@">
                  <c:v>42598</c:v>
                </c:pt>
                <c:pt idx="20" formatCode="[$-409]mmm\-yy;@">
                  <c:v>42629</c:v>
                </c:pt>
                <c:pt idx="21" formatCode="[$-409]mmm\-yy;@">
                  <c:v>42659</c:v>
                </c:pt>
                <c:pt idx="22" formatCode="[$-409]mmm\-yy;@">
                  <c:v>42690</c:v>
                </c:pt>
                <c:pt idx="23" formatCode="[$-409]mmm\-yy;@">
                  <c:v>42720</c:v>
                </c:pt>
                <c:pt idx="24" formatCode="[$-409]mmm\-yy;@">
                  <c:v>42751</c:v>
                </c:pt>
                <c:pt idx="25" formatCode="[$-409]mmm\-yy;@">
                  <c:v>42782</c:v>
                </c:pt>
                <c:pt idx="26" formatCode="[$-409]mmm\-yy;@">
                  <c:v>42810</c:v>
                </c:pt>
                <c:pt idx="27" formatCode="[$-409]mmm\-yy;@">
                  <c:v>42841</c:v>
                </c:pt>
                <c:pt idx="28" formatCode="[$-409]mmm\-yy;@">
                  <c:v>42871</c:v>
                </c:pt>
                <c:pt idx="29" formatCode="[$-409]mmm\-yy;@">
                  <c:v>42902</c:v>
                </c:pt>
                <c:pt idx="30" formatCode="[$-409]mmm\-yy;@">
                  <c:v>42932</c:v>
                </c:pt>
                <c:pt idx="31" formatCode="[$-409]mmm\-yy;@">
                  <c:v>42963</c:v>
                </c:pt>
                <c:pt idx="32" formatCode="[$-409]mmm\-yy;@">
                  <c:v>42994</c:v>
                </c:pt>
                <c:pt idx="33" formatCode="[$-409]mmm\-yy;@">
                  <c:v>43024</c:v>
                </c:pt>
                <c:pt idx="34" formatCode="[$-409]mmm\-yy;@">
                  <c:v>43055</c:v>
                </c:pt>
                <c:pt idx="35" formatCode="[$-409]mmm\-yy;@">
                  <c:v>43085</c:v>
                </c:pt>
              </c:numCache>
            </c:numRef>
          </c:cat>
          <c:val>
            <c:numRef>
              <c:f>Table1!$C$30:$AL$30</c:f>
              <c:numCache>
                <c:formatCode>0.0%</c:formatCode>
                <c:ptCount val="36"/>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0.04</c:v>
                </c:pt>
                <c:pt idx="25">
                  <c:v>0.04</c:v>
                </c:pt>
                <c:pt idx="26">
                  <c:v>0.04</c:v>
                </c:pt>
                <c:pt idx="27">
                  <c:v>0.04</c:v>
                </c:pt>
                <c:pt idx="28">
                  <c:v>0.04</c:v>
                </c:pt>
                <c:pt idx="29">
                  <c:v>0.04</c:v>
                </c:pt>
                <c:pt idx="30">
                  <c:v>0.04</c:v>
                </c:pt>
                <c:pt idx="31">
                  <c:v>0.04</c:v>
                </c:pt>
                <c:pt idx="32">
                  <c:v>0.04</c:v>
                </c:pt>
                <c:pt idx="33">
                  <c:v>0.04</c:v>
                </c:pt>
                <c:pt idx="34">
                  <c:v>0.04</c:v>
                </c:pt>
                <c:pt idx="35">
                  <c:v>0.04</c:v>
                </c:pt>
              </c:numCache>
            </c:numRef>
          </c:val>
          <c:smooth val="0"/>
          <c:extLst>
            <c:ext xmlns:c16="http://schemas.microsoft.com/office/drawing/2014/chart" uri="{C3380CC4-5D6E-409C-BE32-E72D297353CC}">
              <c16:uniqueId val="{00000002-D95A-4774-8D5B-22019407BEDD}"/>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610892255"/>
        <c:axId val="610893503"/>
      </c:lineChart>
      <c:dateAx>
        <c:axId val="610892255"/>
        <c:scaling>
          <c:orientation val="minMax"/>
        </c:scaling>
        <c:delete val="0"/>
        <c:axPos val="b"/>
        <c:numFmt formatCode="mmm\-yy"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00" b="0" i="0" u="none" strike="noStrike" kern="1200" spc="20" baseline="0">
                <a:solidFill>
                  <a:schemeClr val="tx1"/>
                </a:solidFill>
                <a:latin typeface="+mn-lt"/>
                <a:ea typeface="+mn-ea"/>
                <a:cs typeface="+mn-cs"/>
              </a:defRPr>
            </a:pPr>
            <a:endParaRPr lang="en-US"/>
          </a:p>
        </c:txPr>
        <c:crossAx val="610893503"/>
        <c:crosses val="autoZero"/>
        <c:auto val="1"/>
        <c:lblOffset val="100"/>
        <c:baseTimeUnit val="months"/>
      </c:dateAx>
      <c:valAx>
        <c:axId val="61089350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mn-lt"/>
                <a:ea typeface="+mn-ea"/>
                <a:cs typeface="+mn-cs"/>
              </a:defRPr>
            </a:pPr>
            <a:endParaRPr lang="en-US"/>
          </a:p>
        </c:txPr>
        <c:crossAx val="610892255"/>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79388324634637E-2"/>
          <c:y val="6.0663869524814631E-2"/>
          <c:w val="0.8172247290540039"/>
          <c:h val="0.65521602477919061"/>
        </c:manualLayout>
      </c:layout>
      <c:lineChart>
        <c:grouping val="standard"/>
        <c:varyColors val="0"/>
        <c:ser>
          <c:idx val="0"/>
          <c:order val="0"/>
          <c:tx>
            <c:strRef>
              <c:f>Exchange_Rate!$B$3</c:f>
              <c:strCache>
                <c:ptCount val="1"/>
                <c:pt idx="0">
                  <c:v>Real effective</c:v>
                </c:pt>
              </c:strCache>
            </c:strRef>
          </c:tx>
          <c:spPr>
            <a:ln w="22225" cap="rnd" cmpd="sng" algn="ctr">
              <a:solidFill>
                <a:srgbClr val="00B050"/>
              </a:solidFill>
              <a:prstDash val="sysDot"/>
              <a:round/>
            </a:ln>
            <a:effectLst/>
          </c:spPr>
          <c:marker>
            <c:symbol val="circle"/>
            <c:size val="5"/>
            <c:spPr>
              <a:solidFill>
                <a:srgbClr val="00B050"/>
              </a:solidFill>
              <a:ln w="12700" cap="flat" cmpd="sng" algn="ctr">
                <a:solidFill>
                  <a:srgbClr val="00B050"/>
                </a:solidFill>
                <a:prstDash val="solid"/>
                <a:round/>
              </a:ln>
              <a:effectLst/>
            </c:spPr>
          </c:marker>
          <c:cat>
            <c:numRef>
              <c:f>Exchange_Rate!$A$16:$A$51</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numCache>
            </c:numRef>
          </c:cat>
          <c:val>
            <c:numRef>
              <c:f>Exchange_Rate!$C$16:$C$51</c:f>
              <c:numCache>
                <c:formatCode>0.0</c:formatCode>
                <c:ptCount val="36"/>
                <c:pt idx="0">
                  <c:v>5.3141200286319901</c:v>
                </c:pt>
                <c:pt idx="1">
                  <c:v>0.62784945546690096</c:v>
                </c:pt>
                <c:pt idx="2">
                  <c:v>-1.2577050087415529</c:v>
                </c:pt>
                <c:pt idx="3">
                  <c:v>-5.5929515529737017</c:v>
                </c:pt>
                <c:pt idx="4">
                  <c:v>-8.156935465778119</c:v>
                </c:pt>
                <c:pt idx="5">
                  <c:v>-3.5594411612155596</c:v>
                </c:pt>
                <c:pt idx="6">
                  <c:v>-2.0991386807423851</c:v>
                </c:pt>
                <c:pt idx="7">
                  <c:v>-5.9783554710306817</c:v>
                </c:pt>
                <c:pt idx="8">
                  <c:v>-8.8387560920754993</c:v>
                </c:pt>
                <c:pt idx="9">
                  <c:v>-9.6089802000506097</c:v>
                </c:pt>
                <c:pt idx="10">
                  <c:v>-9.1550407534825951</c:v>
                </c:pt>
                <c:pt idx="11">
                  <c:v>-6.1989559141850634</c:v>
                </c:pt>
                <c:pt idx="12">
                  <c:v>-2.4868224386448361</c:v>
                </c:pt>
                <c:pt idx="13">
                  <c:v>-2.4374720469737809</c:v>
                </c:pt>
                <c:pt idx="14">
                  <c:v>0.26174113860375314</c:v>
                </c:pt>
                <c:pt idx="15">
                  <c:v>7.2054652345157564</c:v>
                </c:pt>
                <c:pt idx="16">
                  <c:v>15.769697246103576</c:v>
                </c:pt>
                <c:pt idx="17">
                  <c:v>9.949486317705734</c:v>
                </c:pt>
                <c:pt idx="18">
                  <c:v>2.4242530263693993</c:v>
                </c:pt>
                <c:pt idx="19">
                  <c:v>3.5267586635973061</c:v>
                </c:pt>
                <c:pt idx="20">
                  <c:v>5.69431560848858</c:v>
                </c:pt>
                <c:pt idx="21">
                  <c:v>4.3529989308429577</c:v>
                </c:pt>
                <c:pt idx="22">
                  <c:v>1.5310774965423377</c:v>
                </c:pt>
                <c:pt idx="23">
                  <c:v>-3.5794232289598682</c:v>
                </c:pt>
                <c:pt idx="24">
                  <c:v>-5.772379841484252</c:v>
                </c:pt>
                <c:pt idx="25">
                  <c:v>-1.1092108376991376</c:v>
                </c:pt>
                <c:pt idx="26">
                  <c:v>1.8383534830323356</c:v>
                </c:pt>
                <c:pt idx="27">
                  <c:v>1.0617341695211593</c:v>
                </c:pt>
                <c:pt idx="28">
                  <c:v>-4.2401599001630217</c:v>
                </c:pt>
                <c:pt idx="29">
                  <c:v>-3.7814767116628474</c:v>
                </c:pt>
                <c:pt idx="30">
                  <c:v>1.3513553774256337</c:v>
                </c:pt>
                <c:pt idx="31">
                  <c:v>-1.16444267468124</c:v>
                </c:pt>
                <c:pt idx="32">
                  <c:v>-5.301855048187349</c:v>
                </c:pt>
                <c:pt idx="33">
                  <c:v>-2.9708843236221583</c:v>
                </c:pt>
                <c:pt idx="34">
                  <c:v>-6.0177293822712699</c:v>
                </c:pt>
                <c:pt idx="35">
                  <c:v>0.13947311305038568</c:v>
                </c:pt>
              </c:numCache>
            </c:numRef>
          </c:val>
          <c:smooth val="0"/>
          <c:extLst>
            <c:ext xmlns:c16="http://schemas.microsoft.com/office/drawing/2014/chart" uri="{C3380CC4-5D6E-409C-BE32-E72D297353CC}">
              <c16:uniqueId val="{00000000-EFF8-4098-8E7C-3623C9A92652}"/>
            </c:ext>
          </c:extLst>
        </c:ser>
        <c:ser>
          <c:idx val="1"/>
          <c:order val="1"/>
          <c:tx>
            <c:strRef>
              <c:f>Exchange_Rate!$D$3</c:f>
              <c:strCache>
                <c:ptCount val="1"/>
                <c:pt idx="0">
                  <c:v>Nominal Effective </c:v>
                </c:pt>
              </c:strCache>
            </c:strRef>
          </c:tx>
          <c:spPr>
            <a:ln w="25400" cap="rnd" cmpd="sng" algn="ctr">
              <a:solidFill>
                <a:srgbClr val="FF0000"/>
              </a:solidFill>
              <a:prstDash val="sysDot"/>
              <a:round/>
            </a:ln>
            <a:effectLst/>
          </c:spPr>
          <c:marker>
            <c:symbol val="circle"/>
            <c:size val="5"/>
            <c:spPr>
              <a:solidFill>
                <a:srgbClr val="FF0000"/>
              </a:solidFill>
              <a:ln w="9525" cap="flat" cmpd="sng" algn="ctr">
                <a:solidFill>
                  <a:srgbClr val="FF0000"/>
                </a:solidFill>
                <a:round/>
              </a:ln>
              <a:effectLst/>
            </c:spPr>
          </c:marker>
          <c:cat>
            <c:numRef>
              <c:f>Exchange_Rate!$A$16:$A$51</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numCache>
            </c:numRef>
          </c:cat>
          <c:val>
            <c:numRef>
              <c:f>Exchange_Rate!$E$16:$E$51</c:f>
              <c:numCache>
                <c:formatCode>0.0</c:formatCode>
                <c:ptCount val="36"/>
                <c:pt idx="0">
                  <c:v>9.9519980371619337</c:v>
                </c:pt>
                <c:pt idx="1">
                  <c:v>6.4742578274220026</c:v>
                </c:pt>
                <c:pt idx="2">
                  <c:v>4.0616190610084111</c:v>
                </c:pt>
                <c:pt idx="3">
                  <c:v>0.16658354469488604</c:v>
                </c:pt>
                <c:pt idx="4">
                  <c:v>-3.5580502118636614</c:v>
                </c:pt>
                <c:pt idx="5">
                  <c:v>3.1438607839487862E-2</c:v>
                </c:pt>
                <c:pt idx="6">
                  <c:v>0.79392931665287458</c:v>
                </c:pt>
                <c:pt idx="7">
                  <c:v>-3.7468079971107535</c:v>
                </c:pt>
                <c:pt idx="8">
                  <c:v>-6.6337191848171368</c:v>
                </c:pt>
                <c:pt idx="9">
                  <c:v>-8.4929614999959426</c:v>
                </c:pt>
                <c:pt idx="10">
                  <c:v>-8.407547766148717</c:v>
                </c:pt>
                <c:pt idx="11">
                  <c:v>-3.976124618911435</c:v>
                </c:pt>
                <c:pt idx="12">
                  <c:v>-0.4994289160335168</c:v>
                </c:pt>
                <c:pt idx="13">
                  <c:v>-1.8360731796774006</c:v>
                </c:pt>
                <c:pt idx="14">
                  <c:v>1.1227621528041207</c:v>
                </c:pt>
                <c:pt idx="15">
                  <c:v>7.9564227677106567</c:v>
                </c:pt>
                <c:pt idx="16">
                  <c:v>17.714008510710897</c:v>
                </c:pt>
                <c:pt idx="17">
                  <c:v>13.273869092203297</c:v>
                </c:pt>
                <c:pt idx="18">
                  <c:v>5.5328580091687343</c:v>
                </c:pt>
                <c:pt idx="19">
                  <c:v>7.181592757075304</c:v>
                </c:pt>
                <c:pt idx="20">
                  <c:v>10.407385188145621</c:v>
                </c:pt>
                <c:pt idx="21">
                  <c:v>9.879093521654152</c:v>
                </c:pt>
                <c:pt idx="22">
                  <c:v>6.6959042272239113</c:v>
                </c:pt>
                <c:pt idx="23">
                  <c:v>-0.23851161189871239</c:v>
                </c:pt>
                <c:pt idx="24">
                  <c:v>-4.3562030936238436</c:v>
                </c:pt>
                <c:pt idx="25">
                  <c:v>-0.92992131143205847</c:v>
                </c:pt>
                <c:pt idx="26">
                  <c:v>2.4485036885465337</c:v>
                </c:pt>
                <c:pt idx="27">
                  <c:v>1.0639447584280803</c:v>
                </c:pt>
                <c:pt idx="28">
                  <c:v>-4.6435938769511385</c:v>
                </c:pt>
                <c:pt idx="29">
                  <c:v>-4.7786946510003903</c:v>
                </c:pt>
                <c:pt idx="30">
                  <c:v>1.1658770653917072</c:v>
                </c:pt>
                <c:pt idx="31">
                  <c:v>-0.96278590837060796</c:v>
                </c:pt>
                <c:pt idx="32">
                  <c:v>-5.5850411226468575</c:v>
                </c:pt>
                <c:pt idx="33">
                  <c:v>-3.5276844393426545</c:v>
                </c:pt>
                <c:pt idx="34">
                  <c:v>-6.9576990096542763</c:v>
                </c:pt>
                <c:pt idx="35">
                  <c:v>-1.1365235314060251</c:v>
                </c:pt>
              </c:numCache>
            </c:numRef>
          </c:val>
          <c:smooth val="1"/>
          <c:extLst>
            <c:ext xmlns:c16="http://schemas.microsoft.com/office/drawing/2014/chart" uri="{C3380CC4-5D6E-409C-BE32-E72D297353CC}">
              <c16:uniqueId val="{00000001-EFF8-4098-8E7C-3623C9A9265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532201567"/>
        <c:axId val="532200735"/>
      </c:lineChart>
      <c:lineChart>
        <c:grouping val="standard"/>
        <c:varyColors val="0"/>
        <c:ser>
          <c:idx val="2"/>
          <c:order val="2"/>
          <c:tx>
            <c:strRef>
              <c:f>Exchange_Rate!$F$3</c:f>
              <c:strCache>
                <c:ptCount val="1"/>
                <c:pt idx="0">
                  <c:v>Monthly average GEL/USD  
exchange rate</c:v>
                </c:pt>
              </c:strCache>
            </c:strRef>
          </c:tx>
          <c:spPr>
            <a:ln w="9525" cap="rnd" cmpd="sng" algn="ctr">
              <a:solidFill>
                <a:srgbClr val="00B0F0"/>
              </a:solidFill>
              <a:prstDash val="dash"/>
              <a:round/>
            </a:ln>
            <a:effectLst/>
          </c:spPr>
          <c:marker>
            <c:symbol val="circle"/>
            <c:size val="5"/>
            <c:spPr>
              <a:solidFill>
                <a:srgbClr val="00B0F0"/>
              </a:solidFill>
              <a:ln w="12700" cap="flat" cmpd="sng" algn="ctr">
                <a:solidFill>
                  <a:srgbClr val="47B0FF"/>
                </a:solidFill>
                <a:round/>
              </a:ln>
              <a:effectLst/>
            </c:spPr>
          </c:marker>
          <c:cat>
            <c:numRef>
              <c:f>Exchange_Rate!$A$16:$A$51</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numCache>
            </c:numRef>
          </c:cat>
          <c:val>
            <c:numRef>
              <c:f>Exchange_Rate!$F$16:$F$51</c:f>
              <c:numCache>
                <c:formatCode>0.00</c:formatCode>
                <c:ptCount val="36"/>
                <c:pt idx="0">
                  <c:v>1.9413387096774188</c:v>
                </c:pt>
                <c:pt idx="1">
                  <c:v>2.0872642857142858</c:v>
                </c:pt>
                <c:pt idx="2">
                  <c:v>2.1915967741935485</c:v>
                </c:pt>
                <c:pt idx="3">
                  <c:v>2.2577933333333333</c:v>
                </c:pt>
                <c:pt idx="4">
                  <c:v>2.3227096774193545</c:v>
                </c:pt>
                <c:pt idx="5">
                  <c:v>2.262926666666667</c:v>
                </c:pt>
                <c:pt idx="6">
                  <c:v>2.2563999999999997</c:v>
                </c:pt>
                <c:pt idx="7">
                  <c:v>2.3199483870967743</c:v>
                </c:pt>
                <c:pt idx="8">
                  <c:v>2.3984700000000005</c:v>
                </c:pt>
                <c:pt idx="9">
                  <c:v>2.3928225806451611</c:v>
                </c:pt>
                <c:pt idx="10">
                  <c:v>2.4017433333333345</c:v>
                </c:pt>
                <c:pt idx="11">
                  <c:v>2.39918064516129</c:v>
                </c:pt>
                <c:pt idx="12">
                  <c:v>2.4360161290322577</c:v>
                </c:pt>
                <c:pt idx="13">
                  <c:v>2.4829448275862078</c:v>
                </c:pt>
                <c:pt idx="14">
                  <c:v>2.3894064516129028</c:v>
                </c:pt>
                <c:pt idx="15">
                  <c:v>2.2651533333333336</c:v>
                </c:pt>
                <c:pt idx="16">
                  <c:v>2.1860451612903224</c:v>
                </c:pt>
                <c:pt idx="17">
                  <c:v>2.1876633333333335</c:v>
                </c:pt>
                <c:pt idx="18">
                  <c:v>2.336725806451613</c:v>
                </c:pt>
                <c:pt idx="19">
                  <c:v>2.318748387096774</c:v>
                </c:pt>
                <c:pt idx="20">
                  <c:v>2.3112666666666666</c:v>
                </c:pt>
                <c:pt idx="21">
                  <c:v>2.3599096774193544</c:v>
                </c:pt>
                <c:pt idx="22">
                  <c:v>2.4758266666666668</c:v>
                </c:pt>
                <c:pt idx="23">
                  <c:v>2.6510645161290314</c:v>
                </c:pt>
                <c:pt idx="24">
                  <c:v>2.7006709677419356</c:v>
                </c:pt>
                <c:pt idx="25">
                  <c:v>2.6429142857142858</c:v>
                </c:pt>
                <c:pt idx="26">
                  <c:v>2.4688516129032263</c:v>
                </c:pt>
                <c:pt idx="27">
                  <c:v>2.4163533333333329</c:v>
                </c:pt>
                <c:pt idx="28">
                  <c:v>2.4280290322580651</c:v>
                </c:pt>
                <c:pt idx="29">
                  <c:v>2.4115566666666668</c:v>
                </c:pt>
                <c:pt idx="30">
                  <c:v>2.3995354838709679</c:v>
                </c:pt>
                <c:pt idx="31">
                  <c:v>2.397093548387097</c:v>
                </c:pt>
                <c:pt idx="32">
                  <c:v>2.4669266666666667</c:v>
                </c:pt>
                <c:pt idx="33">
                  <c:v>2.497203225806452</c:v>
                </c:pt>
                <c:pt idx="34">
                  <c:v>2.6727799999999999</c:v>
                </c:pt>
                <c:pt idx="35">
                  <c:v>2.6125451612903232</c:v>
                </c:pt>
              </c:numCache>
            </c:numRef>
          </c:val>
          <c:smooth val="1"/>
          <c:extLst>
            <c:ext xmlns:c16="http://schemas.microsoft.com/office/drawing/2014/chart" uri="{C3380CC4-5D6E-409C-BE32-E72D297353CC}">
              <c16:uniqueId val="{00000002-EFF8-4098-8E7C-3623C9A9265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689142287"/>
        <c:axId val="689141455"/>
      </c:lineChart>
      <c:dateAx>
        <c:axId val="532201567"/>
        <c:scaling>
          <c:orientation val="minMax"/>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00" b="0" i="0" u="none" strike="noStrike" kern="1200" spc="20" baseline="0">
                <a:solidFill>
                  <a:schemeClr val="tx1"/>
                </a:solidFill>
                <a:latin typeface="+mn-lt"/>
                <a:ea typeface="+mn-ea"/>
                <a:cs typeface="+mn-cs"/>
              </a:defRPr>
            </a:pPr>
            <a:endParaRPr lang="en-US"/>
          </a:p>
        </c:txPr>
        <c:crossAx val="532200735"/>
        <c:crosses val="autoZero"/>
        <c:auto val="1"/>
        <c:lblOffset val="100"/>
        <c:baseTimeUnit val="months"/>
      </c:dateAx>
      <c:valAx>
        <c:axId val="532200735"/>
        <c:scaling>
          <c:orientation val="minMax"/>
          <c:max val="20"/>
          <c:min val="-15"/>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mn-lt"/>
                <a:ea typeface="+mn-ea"/>
                <a:cs typeface="+mn-cs"/>
              </a:defRPr>
            </a:pPr>
            <a:endParaRPr lang="en-US"/>
          </a:p>
        </c:txPr>
        <c:crossAx val="532201567"/>
        <c:crosses val="autoZero"/>
        <c:crossBetween val="between"/>
        <c:dispUnits>
          <c:builtInUnit val="hundreds"/>
        </c:dispUnits>
      </c:valAx>
      <c:valAx>
        <c:axId val="689141455"/>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mn-lt"/>
                <a:ea typeface="+mn-ea"/>
                <a:cs typeface="+mn-cs"/>
              </a:defRPr>
            </a:pPr>
            <a:endParaRPr lang="en-US"/>
          </a:p>
        </c:txPr>
        <c:crossAx val="689142287"/>
        <c:crosses val="max"/>
        <c:crossBetween val="between"/>
      </c:valAx>
      <c:dateAx>
        <c:axId val="689142287"/>
        <c:scaling>
          <c:orientation val="minMax"/>
        </c:scaling>
        <c:delete val="1"/>
        <c:axPos val="b"/>
        <c:numFmt formatCode="mmm\-yy" sourceLinked="1"/>
        <c:majorTickMark val="out"/>
        <c:minorTickMark val="none"/>
        <c:tickLblPos val="nextTo"/>
        <c:crossAx val="689141455"/>
        <c:crosses val="autoZero"/>
        <c:auto val="1"/>
        <c:lblOffset val="100"/>
        <c:baseTimeUnit val="months"/>
      </c:date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0618436982110595"/>
          <c:y val="0.89116535686492049"/>
          <c:w val="0.76673261533048909"/>
          <c:h val="8.697672590774180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303284204859006E-2"/>
          <c:y val="4.7781810229779863E-2"/>
          <c:w val="0.87006645803889904"/>
          <c:h val="0.68212021484930485"/>
        </c:manualLayout>
      </c:layout>
      <c:lineChart>
        <c:grouping val="standard"/>
        <c:varyColors val="0"/>
        <c:ser>
          <c:idx val="0"/>
          <c:order val="0"/>
          <c:tx>
            <c:strRef>
              <c:f>Sheet2!$B$26</c:f>
              <c:strCache>
                <c:ptCount val="1"/>
                <c:pt idx="0">
                  <c:v>Imported </c:v>
                </c:pt>
              </c:strCache>
            </c:strRef>
          </c:tx>
          <c:spPr>
            <a:ln w="22225" cap="rnd" cmpd="sng" algn="ctr">
              <a:solidFill>
                <a:schemeClr val="accent1"/>
              </a:solidFill>
              <a:prstDash val="sysDot"/>
              <a:round/>
            </a:ln>
            <a:effectLst/>
          </c:spPr>
          <c:marker>
            <c:symbol val="circle"/>
            <c:size val="6"/>
            <c:spPr>
              <a:solidFill>
                <a:schemeClr val="accent1"/>
              </a:solidFill>
              <a:ln w="9525" cap="flat" cmpd="sng" algn="ctr">
                <a:solidFill>
                  <a:schemeClr val="accent1"/>
                </a:solidFill>
                <a:round/>
              </a:ln>
              <a:effectLst/>
            </c:spPr>
          </c:marker>
          <c:cat>
            <c:numRef>
              <c:f>Sheet2!$C$24:$AL$24</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formatCode="[$-409]mmm\-yy;@">
                  <c:v>42385</c:v>
                </c:pt>
                <c:pt idx="13" formatCode="[$-409]mmm\-yy;@">
                  <c:v>42416</c:v>
                </c:pt>
                <c:pt idx="14" formatCode="[$-409]mmm\-yy;@">
                  <c:v>42445</c:v>
                </c:pt>
                <c:pt idx="15" formatCode="[$-409]mmm\-yy;@">
                  <c:v>42476</c:v>
                </c:pt>
                <c:pt idx="16" formatCode="[$-409]mmm\-yy;@">
                  <c:v>42506</c:v>
                </c:pt>
                <c:pt idx="17" formatCode="[$-409]mmm\-yy;@">
                  <c:v>42537</c:v>
                </c:pt>
                <c:pt idx="18" formatCode="[$-409]mmm\-yy;@">
                  <c:v>42567</c:v>
                </c:pt>
                <c:pt idx="19" formatCode="[$-409]mmm\-yy;@">
                  <c:v>42598</c:v>
                </c:pt>
                <c:pt idx="20" formatCode="[$-409]mmm\-yy;@">
                  <c:v>42629</c:v>
                </c:pt>
                <c:pt idx="21" formatCode="[$-409]mmm\-yy;@">
                  <c:v>42659</c:v>
                </c:pt>
                <c:pt idx="22" formatCode="[$-409]mmm\-yy;@">
                  <c:v>42690</c:v>
                </c:pt>
                <c:pt idx="23" formatCode="[$-409]mmm\-yy;@">
                  <c:v>42720</c:v>
                </c:pt>
                <c:pt idx="24" formatCode="[$-409]mmm\-yy;@">
                  <c:v>42751</c:v>
                </c:pt>
                <c:pt idx="25" formatCode="[$-409]mmm\-yy;@">
                  <c:v>42782</c:v>
                </c:pt>
                <c:pt idx="26" formatCode="[$-409]mmm\-yy;@">
                  <c:v>42810</c:v>
                </c:pt>
                <c:pt idx="27" formatCode="[$-409]mmm\-yy;@">
                  <c:v>42841</c:v>
                </c:pt>
                <c:pt idx="28" formatCode="[$-409]mmm\-yy;@">
                  <c:v>42871</c:v>
                </c:pt>
                <c:pt idx="29" formatCode="[$-409]mmm\-yy;@">
                  <c:v>42902</c:v>
                </c:pt>
                <c:pt idx="30" formatCode="[$-409]mmm\-yy;@">
                  <c:v>42932</c:v>
                </c:pt>
                <c:pt idx="31" formatCode="[$-409]mmm\-yy;@">
                  <c:v>42963</c:v>
                </c:pt>
                <c:pt idx="32" formatCode="[$-409]mmm\-yy;@">
                  <c:v>42994</c:v>
                </c:pt>
                <c:pt idx="33" formatCode="[$-409]mmm\-yy;@">
                  <c:v>43024</c:v>
                </c:pt>
                <c:pt idx="34" formatCode="[$-409]mmm\-yy;@">
                  <c:v>43055</c:v>
                </c:pt>
                <c:pt idx="35" formatCode="[$-409]mmm\-yy;@">
                  <c:v>43085</c:v>
                </c:pt>
              </c:numCache>
            </c:numRef>
          </c:cat>
          <c:val>
            <c:numRef>
              <c:f>Sheet2!$C$26:$AL$26</c:f>
              <c:numCache>
                <c:formatCode>0.0%</c:formatCode>
                <c:ptCount val="36"/>
                <c:pt idx="0">
                  <c:v>-1.6217999999999934E-2</c:v>
                </c:pt>
                <c:pt idx="1">
                  <c:v>-2.831000000000003E-2</c:v>
                </c:pt>
                <c:pt idx="2">
                  <c:v>6.4499999999995334E-4</c:v>
                </c:pt>
                <c:pt idx="3">
                  <c:v>5.7670000000000247E-3</c:v>
                </c:pt>
                <c:pt idx="4">
                  <c:v>1.9317999999999957E-2</c:v>
                </c:pt>
                <c:pt idx="5">
                  <c:v>4.0288999999999929E-2</c:v>
                </c:pt>
                <c:pt idx="6">
                  <c:v>3.8864999999999983E-2</c:v>
                </c:pt>
                <c:pt idx="7">
                  <c:v>3.9081999999999936E-2</c:v>
                </c:pt>
                <c:pt idx="8">
                  <c:v>4.1645000000000036E-2</c:v>
                </c:pt>
                <c:pt idx="9">
                  <c:v>5.0246000000000068E-2</c:v>
                </c:pt>
                <c:pt idx="10">
                  <c:v>4.7086000000000044E-2</c:v>
                </c:pt>
                <c:pt idx="11">
                  <c:v>2.0866999999999934E-2</c:v>
                </c:pt>
                <c:pt idx="12">
                  <c:v>3.4671000000000021E-2</c:v>
                </c:pt>
                <c:pt idx="13">
                  <c:v>4.3863999999999945E-2</c:v>
                </c:pt>
                <c:pt idx="14">
                  <c:v>1.3218999999999995E-2</c:v>
                </c:pt>
                <c:pt idx="15">
                  <c:v>-1.7669999999999674E-3</c:v>
                </c:pt>
                <c:pt idx="16">
                  <c:v>-2.0972000000000008E-2</c:v>
                </c:pt>
                <c:pt idx="17">
                  <c:v>-4.5216999999999959E-2</c:v>
                </c:pt>
                <c:pt idx="18">
                  <c:v>-4.3970000000000058E-2</c:v>
                </c:pt>
                <c:pt idx="19">
                  <c:v>-4.1397999999999942E-2</c:v>
                </c:pt>
                <c:pt idx="20">
                  <c:v>-4.601699999999994E-2</c:v>
                </c:pt>
                <c:pt idx="21">
                  <c:v>-4.1830999999999958E-2</c:v>
                </c:pt>
                <c:pt idx="22">
                  <c:v>-2.6291999999999972E-2</c:v>
                </c:pt>
                <c:pt idx="23">
                  <c:v>1.6658999999999934E-2</c:v>
                </c:pt>
                <c:pt idx="24">
                  <c:v>7.7446000000000056E-2</c:v>
                </c:pt>
                <c:pt idx="25">
                  <c:v>0.10834500000000005</c:v>
                </c:pt>
                <c:pt idx="26">
                  <c:v>0.10477900000000005</c:v>
                </c:pt>
                <c:pt idx="27">
                  <c:v>0.10009900000000002</c:v>
                </c:pt>
                <c:pt idx="28">
                  <c:v>9.9030000000000062E-2</c:v>
                </c:pt>
                <c:pt idx="29">
                  <c:v>9.9851000000000023E-2</c:v>
                </c:pt>
                <c:pt idx="30">
                  <c:v>8.8135999999999937E-2</c:v>
                </c:pt>
                <c:pt idx="31">
                  <c:v>8.7089E-2</c:v>
                </c:pt>
                <c:pt idx="32">
                  <c:v>0.10305099999999996</c:v>
                </c:pt>
                <c:pt idx="33">
                  <c:v>0.10457099999999997</c:v>
                </c:pt>
                <c:pt idx="34">
                  <c:v>0.111918</c:v>
                </c:pt>
                <c:pt idx="35">
                  <c:v>0.10681499999999999</c:v>
                </c:pt>
              </c:numCache>
            </c:numRef>
          </c:val>
          <c:smooth val="0"/>
          <c:extLst>
            <c:ext xmlns:c16="http://schemas.microsoft.com/office/drawing/2014/chart" uri="{C3380CC4-5D6E-409C-BE32-E72D297353CC}">
              <c16:uniqueId val="{00000000-CC0E-4D96-845E-12F8039C7E6A}"/>
            </c:ext>
          </c:extLst>
        </c:ser>
        <c:ser>
          <c:idx val="1"/>
          <c:order val="1"/>
          <c:tx>
            <c:strRef>
              <c:f>Sheet2!$B$27</c:f>
              <c:strCache>
                <c:ptCount val="1"/>
                <c:pt idx="0">
                  <c:v>Local </c:v>
                </c:pt>
              </c:strCache>
            </c:strRef>
          </c:tx>
          <c:spPr>
            <a:ln w="22225" cap="rnd" cmpd="sng" algn="ctr">
              <a:solidFill>
                <a:srgbClr val="FF0000"/>
              </a:solidFill>
              <a:prstDash val="sysDot"/>
              <a:round/>
            </a:ln>
            <a:effectLst/>
          </c:spPr>
          <c:marker>
            <c:symbol val="circle"/>
            <c:size val="6"/>
            <c:spPr>
              <a:solidFill>
                <a:srgbClr val="FF0000"/>
              </a:solidFill>
              <a:ln w="9525" cap="flat" cmpd="sng" algn="ctr">
                <a:solidFill>
                  <a:srgbClr val="FF0000"/>
                </a:solidFill>
                <a:round/>
              </a:ln>
              <a:effectLst/>
            </c:spPr>
          </c:marker>
          <c:cat>
            <c:numRef>
              <c:f>Sheet2!$C$24:$AL$24</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formatCode="[$-409]mmm\-yy;@">
                  <c:v>42385</c:v>
                </c:pt>
                <c:pt idx="13" formatCode="[$-409]mmm\-yy;@">
                  <c:v>42416</c:v>
                </c:pt>
                <c:pt idx="14" formatCode="[$-409]mmm\-yy;@">
                  <c:v>42445</c:v>
                </c:pt>
                <c:pt idx="15" formatCode="[$-409]mmm\-yy;@">
                  <c:v>42476</c:v>
                </c:pt>
                <c:pt idx="16" formatCode="[$-409]mmm\-yy;@">
                  <c:v>42506</c:v>
                </c:pt>
                <c:pt idx="17" formatCode="[$-409]mmm\-yy;@">
                  <c:v>42537</c:v>
                </c:pt>
                <c:pt idx="18" formatCode="[$-409]mmm\-yy;@">
                  <c:v>42567</c:v>
                </c:pt>
                <c:pt idx="19" formatCode="[$-409]mmm\-yy;@">
                  <c:v>42598</c:v>
                </c:pt>
                <c:pt idx="20" formatCode="[$-409]mmm\-yy;@">
                  <c:v>42629</c:v>
                </c:pt>
                <c:pt idx="21" formatCode="[$-409]mmm\-yy;@">
                  <c:v>42659</c:v>
                </c:pt>
                <c:pt idx="22" formatCode="[$-409]mmm\-yy;@">
                  <c:v>42690</c:v>
                </c:pt>
                <c:pt idx="23" formatCode="[$-409]mmm\-yy;@">
                  <c:v>42720</c:v>
                </c:pt>
                <c:pt idx="24" formatCode="[$-409]mmm\-yy;@">
                  <c:v>42751</c:v>
                </c:pt>
                <c:pt idx="25" formatCode="[$-409]mmm\-yy;@">
                  <c:v>42782</c:v>
                </c:pt>
                <c:pt idx="26" formatCode="[$-409]mmm\-yy;@">
                  <c:v>42810</c:v>
                </c:pt>
                <c:pt idx="27" formatCode="[$-409]mmm\-yy;@">
                  <c:v>42841</c:v>
                </c:pt>
                <c:pt idx="28" formatCode="[$-409]mmm\-yy;@">
                  <c:v>42871</c:v>
                </c:pt>
                <c:pt idx="29" formatCode="[$-409]mmm\-yy;@">
                  <c:v>42902</c:v>
                </c:pt>
                <c:pt idx="30" formatCode="[$-409]mmm\-yy;@">
                  <c:v>42932</c:v>
                </c:pt>
                <c:pt idx="31" formatCode="[$-409]mmm\-yy;@">
                  <c:v>42963</c:v>
                </c:pt>
                <c:pt idx="32" formatCode="[$-409]mmm\-yy;@">
                  <c:v>42994</c:v>
                </c:pt>
                <c:pt idx="33" formatCode="[$-409]mmm\-yy;@">
                  <c:v>43024</c:v>
                </c:pt>
                <c:pt idx="34" formatCode="[$-409]mmm\-yy;@">
                  <c:v>43055</c:v>
                </c:pt>
                <c:pt idx="35" formatCode="[$-409]mmm\-yy;@">
                  <c:v>43085</c:v>
                </c:pt>
              </c:numCache>
            </c:numRef>
          </c:cat>
          <c:val>
            <c:numRef>
              <c:f>Sheet2!$C$27:$AL$27</c:f>
              <c:numCache>
                <c:formatCode>0.0%</c:formatCode>
                <c:ptCount val="36"/>
                <c:pt idx="0">
                  <c:v>2.0043000000000005E-2</c:v>
                </c:pt>
                <c:pt idx="1">
                  <c:v>2.2399999999999948E-2</c:v>
                </c:pt>
                <c:pt idx="2">
                  <c:v>2.9681000000000068E-2</c:v>
                </c:pt>
                <c:pt idx="3">
                  <c:v>2.7289999999999991E-2</c:v>
                </c:pt>
                <c:pt idx="4">
                  <c:v>3.1567000000000005E-2</c:v>
                </c:pt>
                <c:pt idx="5">
                  <c:v>3.7967000000000015E-2</c:v>
                </c:pt>
                <c:pt idx="6">
                  <c:v>4.1762999999999974E-2</c:v>
                </c:pt>
                <c:pt idx="7">
                  <c:v>4.4602000000000003E-2</c:v>
                </c:pt>
                <c:pt idx="8">
                  <c:v>4.5949999999999991E-2</c:v>
                </c:pt>
                <c:pt idx="9">
                  <c:v>5.2420000000000043E-2</c:v>
                </c:pt>
                <c:pt idx="10">
                  <c:v>5.6944000000000015E-2</c:v>
                </c:pt>
                <c:pt idx="11">
                  <c:v>4.9604000000000072E-2</c:v>
                </c:pt>
                <c:pt idx="12">
                  <c:v>5.3599999999999995E-2</c:v>
                </c:pt>
                <c:pt idx="13">
                  <c:v>5.196299999999994E-2</c:v>
                </c:pt>
                <c:pt idx="14">
                  <c:v>4.8602000000000062E-2</c:v>
                </c:pt>
                <c:pt idx="15">
                  <c:v>4.2163999999999931E-2</c:v>
                </c:pt>
                <c:pt idx="16">
                  <c:v>3.9527999999999966E-2</c:v>
                </c:pt>
                <c:pt idx="17">
                  <c:v>3.3162999999999984E-2</c:v>
                </c:pt>
                <c:pt idx="18">
                  <c:v>3.3670999999999937E-2</c:v>
                </c:pt>
                <c:pt idx="19">
                  <c:v>2.6565999999999975E-2</c:v>
                </c:pt>
                <c:pt idx="20">
                  <c:v>1.8329999999999985E-2</c:v>
                </c:pt>
                <c:pt idx="21">
                  <c:v>1.229600000000005E-2</c:v>
                </c:pt>
                <c:pt idx="22">
                  <c:v>1.3564999999999969E-2</c:v>
                </c:pt>
                <c:pt idx="23">
                  <c:v>2.3786000000000057E-2</c:v>
                </c:pt>
                <c:pt idx="24">
                  <c:v>2.3224000000000019E-2</c:v>
                </c:pt>
                <c:pt idx="25">
                  <c:v>3.3042999999999975E-2</c:v>
                </c:pt>
                <c:pt idx="26">
                  <c:v>3.1537000000000009E-2</c:v>
                </c:pt>
                <c:pt idx="27">
                  <c:v>4.0617000000000021E-2</c:v>
                </c:pt>
                <c:pt idx="28">
                  <c:v>4.2583999999999948E-2</c:v>
                </c:pt>
                <c:pt idx="29">
                  <c:v>5.1362000000000026E-2</c:v>
                </c:pt>
                <c:pt idx="30">
                  <c:v>4.6770999999999958E-2</c:v>
                </c:pt>
                <c:pt idx="31">
                  <c:v>4.5576999999999972E-2</c:v>
                </c:pt>
                <c:pt idx="32">
                  <c:v>4.5503999999999961E-2</c:v>
                </c:pt>
                <c:pt idx="33">
                  <c:v>4.8401000000000069E-2</c:v>
                </c:pt>
                <c:pt idx="34">
                  <c:v>4.9060000000000062E-2</c:v>
                </c:pt>
                <c:pt idx="35">
                  <c:v>4.6965000000000007E-2</c:v>
                </c:pt>
              </c:numCache>
            </c:numRef>
          </c:val>
          <c:smooth val="0"/>
          <c:extLst>
            <c:ext xmlns:c16="http://schemas.microsoft.com/office/drawing/2014/chart" uri="{C3380CC4-5D6E-409C-BE32-E72D297353CC}">
              <c16:uniqueId val="{00000001-CC0E-4D96-845E-12F8039C7E6A}"/>
            </c:ext>
          </c:extLst>
        </c:ser>
        <c:ser>
          <c:idx val="2"/>
          <c:order val="2"/>
          <c:tx>
            <c:strRef>
              <c:f>Sheet2!$B$28</c:f>
              <c:strCache>
                <c:ptCount val="1"/>
                <c:pt idx="0">
                  <c:v>Mixed </c:v>
                </c:pt>
              </c:strCache>
            </c:strRef>
          </c:tx>
          <c:spPr>
            <a:ln w="22225" cap="rnd" cmpd="sng" algn="ctr">
              <a:solidFill>
                <a:srgbClr val="00B050"/>
              </a:solidFill>
              <a:prstDash val="sysDot"/>
              <a:round/>
            </a:ln>
            <a:effectLst/>
          </c:spPr>
          <c:marker>
            <c:symbol val="circle"/>
            <c:size val="5"/>
            <c:spPr>
              <a:solidFill>
                <a:srgbClr val="00B050"/>
              </a:solidFill>
              <a:ln w="9525" cap="flat" cmpd="sng" algn="ctr">
                <a:solidFill>
                  <a:srgbClr val="00B050"/>
                </a:solidFill>
                <a:round/>
              </a:ln>
              <a:effectLst/>
            </c:spPr>
          </c:marker>
          <c:cat>
            <c:numRef>
              <c:f>Sheet2!$C$24:$AL$24</c:f>
              <c:numCache>
                <c:formatCode>mmm\-yy</c:formatCode>
                <c:ptCount val="36"/>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formatCode="[$-409]mmm\-yy;@">
                  <c:v>42385</c:v>
                </c:pt>
                <c:pt idx="13" formatCode="[$-409]mmm\-yy;@">
                  <c:v>42416</c:v>
                </c:pt>
                <c:pt idx="14" formatCode="[$-409]mmm\-yy;@">
                  <c:v>42445</c:v>
                </c:pt>
                <c:pt idx="15" formatCode="[$-409]mmm\-yy;@">
                  <c:v>42476</c:v>
                </c:pt>
                <c:pt idx="16" formatCode="[$-409]mmm\-yy;@">
                  <c:v>42506</c:v>
                </c:pt>
                <c:pt idx="17" formatCode="[$-409]mmm\-yy;@">
                  <c:v>42537</c:v>
                </c:pt>
                <c:pt idx="18" formatCode="[$-409]mmm\-yy;@">
                  <c:v>42567</c:v>
                </c:pt>
                <c:pt idx="19" formatCode="[$-409]mmm\-yy;@">
                  <c:v>42598</c:v>
                </c:pt>
                <c:pt idx="20" formatCode="[$-409]mmm\-yy;@">
                  <c:v>42629</c:v>
                </c:pt>
                <c:pt idx="21" formatCode="[$-409]mmm\-yy;@">
                  <c:v>42659</c:v>
                </c:pt>
                <c:pt idx="22" formatCode="[$-409]mmm\-yy;@">
                  <c:v>42690</c:v>
                </c:pt>
                <c:pt idx="23" formatCode="[$-409]mmm\-yy;@">
                  <c:v>42720</c:v>
                </c:pt>
                <c:pt idx="24" formatCode="[$-409]mmm\-yy;@">
                  <c:v>42751</c:v>
                </c:pt>
                <c:pt idx="25" formatCode="[$-409]mmm\-yy;@">
                  <c:v>42782</c:v>
                </c:pt>
                <c:pt idx="26" formatCode="[$-409]mmm\-yy;@">
                  <c:v>42810</c:v>
                </c:pt>
                <c:pt idx="27" formatCode="[$-409]mmm\-yy;@">
                  <c:v>42841</c:v>
                </c:pt>
                <c:pt idx="28" formatCode="[$-409]mmm\-yy;@">
                  <c:v>42871</c:v>
                </c:pt>
                <c:pt idx="29" formatCode="[$-409]mmm\-yy;@">
                  <c:v>42902</c:v>
                </c:pt>
                <c:pt idx="30" formatCode="[$-409]mmm\-yy;@">
                  <c:v>42932</c:v>
                </c:pt>
                <c:pt idx="31" formatCode="[$-409]mmm\-yy;@">
                  <c:v>42963</c:v>
                </c:pt>
                <c:pt idx="32" formatCode="[$-409]mmm\-yy;@">
                  <c:v>42994</c:v>
                </c:pt>
                <c:pt idx="33" formatCode="[$-409]mmm\-yy;@">
                  <c:v>43024</c:v>
                </c:pt>
                <c:pt idx="34" formatCode="[$-409]mmm\-yy;@">
                  <c:v>43055</c:v>
                </c:pt>
                <c:pt idx="35" formatCode="[$-409]mmm\-yy;@">
                  <c:v>43085</c:v>
                </c:pt>
              </c:numCache>
            </c:numRef>
          </c:cat>
          <c:val>
            <c:numRef>
              <c:f>Sheet2!$C$28:$AL$28</c:f>
              <c:numCache>
                <c:formatCode>0.0%</c:formatCode>
                <c:ptCount val="36"/>
                <c:pt idx="0">
                  <c:v>3.1221000000000033E-2</c:v>
                </c:pt>
                <c:pt idx="1">
                  <c:v>3.1655999999999976E-2</c:v>
                </c:pt>
                <c:pt idx="2">
                  <c:v>4.1012000000000055E-2</c:v>
                </c:pt>
                <c:pt idx="3">
                  <c:v>3.9201000000000048E-2</c:v>
                </c:pt>
                <c:pt idx="4">
                  <c:v>5.8074000000000014E-2</c:v>
                </c:pt>
                <c:pt idx="5">
                  <c:v>6.4147999999999997E-2</c:v>
                </c:pt>
                <c:pt idx="6">
                  <c:v>7.3088999999999946E-2</c:v>
                </c:pt>
                <c:pt idx="7">
                  <c:v>9.6478000000000036E-2</c:v>
                </c:pt>
                <c:pt idx="8">
                  <c:v>7.8983000000000067E-2</c:v>
                </c:pt>
                <c:pt idx="9">
                  <c:v>8.1766999999999965E-2</c:v>
                </c:pt>
                <c:pt idx="10">
                  <c:v>9.7473999999999991E-2</c:v>
                </c:pt>
                <c:pt idx="11">
                  <c:v>7.9453000000000037E-2</c:v>
                </c:pt>
                <c:pt idx="12">
                  <c:v>8.5468999999999934E-2</c:v>
                </c:pt>
                <c:pt idx="13">
                  <c:v>8.1133999999999984E-2</c:v>
                </c:pt>
                <c:pt idx="14">
                  <c:v>4.9359000000000035E-2</c:v>
                </c:pt>
                <c:pt idx="15">
                  <c:v>4.0545000000000046E-2</c:v>
                </c:pt>
                <c:pt idx="16">
                  <c:v>1.517799999999994E-2</c:v>
                </c:pt>
                <c:pt idx="17">
                  <c:v>1.4817000000000035E-2</c:v>
                </c:pt>
                <c:pt idx="18">
                  <c:v>3.0644000000000064E-2</c:v>
                </c:pt>
                <c:pt idx="19">
                  <c:v>1.6441999999999977E-2</c:v>
                </c:pt>
                <c:pt idx="20">
                  <c:v>6.5569999999999596E-3</c:v>
                </c:pt>
                <c:pt idx="21">
                  <c:v>4.8059999999999544E-3</c:v>
                </c:pt>
                <c:pt idx="22">
                  <c:v>-1.7610000000000525E-3</c:v>
                </c:pt>
                <c:pt idx="23">
                  <c:v>4.274999999999949E-3</c:v>
                </c:pt>
                <c:pt idx="24">
                  <c:v>3.7420000000000044E-2</c:v>
                </c:pt>
                <c:pt idx="25">
                  <c:v>5.493099999999998E-2</c:v>
                </c:pt>
                <c:pt idx="26">
                  <c:v>5.3101999999999948E-2</c:v>
                </c:pt>
                <c:pt idx="27">
                  <c:v>7.333200000000005E-2</c:v>
                </c:pt>
                <c:pt idx="28">
                  <c:v>9.1370000000000007E-2</c:v>
                </c:pt>
                <c:pt idx="29">
                  <c:v>9.4277000000000014E-2</c:v>
                </c:pt>
                <c:pt idx="30">
                  <c:v>6.6162000000000068E-2</c:v>
                </c:pt>
                <c:pt idx="31">
                  <c:v>5.948599999999999E-2</c:v>
                </c:pt>
                <c:pt idx="32">
                  <c:v>6.3687999999999925E-2</c:v>
                </c:pt>
                <c:pt idx="33">
                  <c:v>6.4251000000000003E-2</c:v>
                </c:pt>
                <c:pt idx="34">
                  <c:v>7.7026000000000039E-2</c:v>
                </c:pt>
                <c:pt idx="35">
                  <c:v>7.6319000000000012E-2</c:v>
                </c:pt>
              </c:numCache>
            </c:numRef>
          </c:val>
          <c:smooth val="0"/>
          <c:extLst>
            <c:ext xmlns:c16="http://schemas.microsoft.com/office/drawing/2014/chart" uri="{C3380CC4-5D6E-409C-BE32-E72D297353CC}">
              <c16:uniqueId val="{00000002-CC0E-4D96-845E-12F8039C7E6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828178655"/>
        <c:axId val="828179903"/>
      </c:lineChart>
      <c:dateAx>
        <c:axId val="828178655"/>
        <c:scaling>
          <c:orientation val="minMax"/>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spc="20" baseline="0">
                <a:solidFill>
                  <a:schemeClr val="tx1"/>
                </a:solidFill>
                <a:latin typeface="+mn-lt"/>
                <a:ea typeface="+mn-ea"/>
                <a:cs typeface="+mn-cs"/>
              </a:defRPr>
            </a:pPr>
            <a:endParaRPr lang="en-US"/>
          </a:p>
        </c:txPr>
        <c:crossAx val="828179903"/>
        <c:crosses val="autoZero"/>
        <c:auto val="1"/>
        <c:lblOffset val="100"/>
        <c:baseTimeUnit val="months"/>
      </c:dateAx>
      <c:valAx>
        <c:axId val="82817990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en-US"/>
          </a:p>
        </c:txPr>
        <c:crossAx val="828178655"/>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20845379904435021"/>
          <c:y val="0.89236113986878607"/>
          <c:w val="0.55531462413352184"/>
          <c:h val="8.52925690825085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4558694254259E-2"/>
          <c:y val="7.2753286296593389E-2"/>
          <c:w val="0.899624510600875"/>
          <c:h val="0.67798895097790191"/>
        </c:manualLayout>
      </c:layout>
      <c:barChart>
        <c:barDir val="col"/>
        <c:grouping val="clustered"/>
        <c:varyColors val="0"/>
        <c:ser>
          <c:idx val="0"/>
          <c:order val="0"/>
          <c:tx>
            <c:strRef>
              <c:f>Table5!$B$39</c:f>
              <c:strCache>
                <c:ptCount val="1"/>
                <c:pt idx="0">
                  <c:v>Economic activity rate (change)</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Table5!$D$39:$J$39</c:f>
              <c:numCache>
                <c:formatCode>0.0</c:formatCode>
                <c:ptCount val="7"/>
                <c:pt idx="0">
                  <c:v>0.61301871825355647</c:v>
                </c:pt>
                <c:pt idx="1">
                  <c:v>0.97165085489450576</c:v>
                </c:pt>
                <c:pt idx="2">
                  <c:v>1.6742045404342747</c:v>
                </c:pt>
                <c:pt idx="3">
                  <c:v>-0.65268137497101009</c:v>
                </c:pt>
                <c:pt idx="4">
                  <c:v>0.25186380346988813</c:v>
                </c:pt>
                <c:pt idx="5">
                  <c:v>1.3697555104286323</c:v>
                </c:pt>
                <c:pt idx="6">
                  <c:v>-0.3650273870859877</c:v>
                </c:pt>
              </c:numCache>
            </c:numRef>
          </c:val>
          <c:extLst>
            <c:ext xmlns:c16="http://schemas.microsoft.com/office/drawing/2014/chart" uri="{C3380CC4-5D6E-409C-BE32-E72D297353CC}">
              <c16:uniqueId val="{00000000-243B-4F63-AE5F-349668A69A1C}"/>
            </c:ext>
          </c:extLst>
        </c:ser>
        <c:ser>
          <c:idx val="1"/>
          <c:order val="1"/>
          <c:tx>
            <c:strRef>
              <c:f>Table5!$B$26</c:f>
              <c:strCache>
                <c:ptCount val="1"/>
                <c:pt idx="0">
                  <c:v>Working age population (change) </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Table5!$D$26:$J$26</c:f>
              <c:numCache>
                <c:formatCode>0.0</c:formatCode>
                <c:ptCount val="7"/>
                <c:pt idx="0">
                  <c:v>-3.2826887665841298</c:v>
                </c:pt>
                <c:pt idx="1">
                  <c:v>-0.76366543760076899</c:v>
                </c:pt>
                <c:pt idx="2">
                  <c:v>0.96950499702477266</c:v>
                </c:pt>
                <c:pt idx="3">
                  <c:v>-0.26889659167322888</c:v>
                </c:pt>
                <c:pt idx="4">
                  <c:v>-1.0123187902581043</c:v>
                </c:pt>
                <c:pt idx="5">
                  <c:v>-0.52495066165491044</c:v>
                </c:pt>
                <c:pt idx="6">
                  <c:v>-0.61186892025348882</c:v>
                </c:pt>
              </c:numCache>
            </c:numRef>
          </c:val>
          <c:extLst>
            <c:ext xmlns:c16="http://schemas.microsoft.com/office/drawing/2014/chart" uri="{C3380CC4-5D6E-409C-BE32-E72D297353CC}">
              <c16:uniqueId val="{00000001-243B-4F63-AE5F-349668A69A1C}"/>
            </c:ext>
          </c:extLst>
        </c:ser>
        <c:dLbls>
          <c:showLegendKey val="0"/>
          <c:showVal val="0"/>
          <c:showCatName val="0"/>
          <c:showSerName val="0"/>
          <c:showPercent val="0"/>
          <c:showBubbleSize val="0"/>
        </c:dLbls>
        <c:gapWidth val="75"/>
        <c:overlap val="-25"/>
        <c:axId val="689151855"/>
        <c:axId val="689148527"/>
      </c:barChart>
      <c:catAx>
        <c:axId val="68915185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89148527"/>
        <c:crosses val="autoZero"/>
        <c:auto val="1"/>
        <c:lblAlgn val="ctr"/>
        <c:lblOffset val="100"/>
        <c:noMultiLvlLbl val="0"/>
      </c:catAx>
      <c:valAx>
        <c:axId val="689148527"/>
        <c:scaling>
          <c:orientation val="minMax"/>
          <c:max val="4"/>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89151855"/>
        <c:crosses val="autoZero"/>
        <c:crossBetween val="between"/>
      </c:valAx>
      <c:spPr>
        <a:noFill/>
        <a:ln>
          <a:noFill/>
        </a:ln>
        <a:effectLst/>
      </c:spPr>
    </c:plotArea>
    <c:legend>
      <c:legendPos val="b"/>
      <c:layout>
        <c:manualLayout>
          <c:xMode val="edge"/>
          <c:yMode val="edge"/>
          <c:x val="0.13823583587293289"/>
          <c:y val="0.86393383286766579"/>
          <c:w val="0.72352832825413427"/>
          <c:h val="0.111118237236474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5509349043929"/>
          <c:y val="9.4705708535724839E-2"/>
          <c:w val="0.82508334017216578"/>
          <c:h val="0.67218650561724791"/>
        </c:manualLayout>
      </c:layout>
      <c:barChart>
        <c:barDir val="col"/>
        <c:grouping val="stacked"/>
        <c:varyColors val="0"/>
        <c:ser>
          <c:idx val="0"/>
          <c:order val="0"/>
          <c:tx>
            <c:strRef>
              <c:f>Table5!$B$30</c:f>
              <c:strCache>
                <c:ptCount val="1"/>
                <c:pt idx="0">
                  <c:v>Hired (Thousand persons) </c:v>
                </c:pt>
              </c:strCache>
            </c:strRef>
          </c:tx>
          <c:spPr>
            <a:solidFill>
              <a:schemeClr val="bg2">
                <a:lumMod val="75000"/>
              </a:schemeClr>
            </a:solidFill>
            <a:ln>
              <a:noFill/>
            </a:ln>
            <a:effectLst/>
          </c:spPr>
          <c:invertIfNegative val="0"/>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Table5!$D$30:$J$30</c:f>
              <c:numCache>
                <c:formatCode>0.0</c:formatCode>
                <c:ptCount val="7"/>
                <c:pt idx="0">
                  <c:v>618.56314934864224</c:v>
                </c:pt>
                <c:pt idx="1">
                  <c:v>631.96282113490702</c:v>
                </c:pt>
                <c:pt idx="2">
                  <c:v>662.60211984495754</c:v>
                </c:pt>
                <c:pt idx="3">
                  <c:v>658.21768238273842</c:v>
                </c:pt>
                <c:pt idx="4">
                  <c:v>692.25673056853975</c:v>
                </c:pt>
                <c:pt idx="5">
                  <c:v>753.43992955555893</c:v>
                </c:pt>
                <c:pt idx="6">
                  <c:v>745.36255423972182</c:v>
                </c:pt>
              </c:numCache>
            </c:numRef>
          </c:val>
          <c:extLst>
            <c:ext xmlns:c16="http://schemas.microsoft.com/office/drawing/2014/chart" uri="{C3380CC4-5D6E-409C-BE32-E72D297353CC}">
              <c16:uniqueId val="{00000000-BAFE-4A39-BB80-239A7C6BF226}"/>
            </c:ext>
          </c:extLst>
        </c:ser>
        <c:ser>
          <c:idx val="1"/>
          <c:order val="1"/>
          <c:tx>
            <c:strRef>
              <c:f>Table5!$B$32</c:f>
              <c:strCache>
                <c:ptCount val="1"/>
                <c:pt idx="0">
                  <c:v>Self-employed (Thousand persons) </c:v>
                </c:pt>
              </c:strCache>
            </c:strRef>
          </c:tx>
          <c:spPr>
            <a:solidFill>
              <a:srgbClr val="00B050"/>
            </a:solidFill>
            <a:ln>
              <a:noFill/>
            </a:ln>
            <a:effectLst/>
          </c:spPr>
          <c:invertIfNegative val="0"/>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Table5!$D$32:$J$32</c:f>
              <c:numCache>
                <c:formatCode>0.0</c:formatCode>
                <c:ptCount val="7"/>
                <c:pt idx="0">
                  <c:v>1007.1203160175618</c:v>
                </c:pt>
                <c:pt idx="1">
                  <c:v>1025.433511908793</c:v>
                </c:pt>
                <c:pt idx="2">
                  <c:v>1054.0027408178969</c:v>
                </c:pt>
                <c:pt idx="3">
                  <c:v>1043.8336372552703</c:v>
                </c:pt>
                <c:pt idx="4">
                  <c:v>1046.1261069475827</c:v>
                </c:pt>
                <c:pt idx="5">
                  <c:v>1018.0884186389982</c:v>
                </c:pt>
                <c:pt idx="6">
                  <c:v>1010.9124178251265</c:v>
                </c:pt>
              </c:numCache>
            </c:numRef>
          </c:val>
          <c:extLst>
            <c:ext xmlns:c16="http://schemas.microsoft.com/office/drawing/2014/chart" uri="{C3380CC4-5D6E-409C-BE32-E72D297353CC}">
              <c16:uniqueId val="{00000001-BAFE-4A39-BB80-239A7C6BF226}"/>
            </c:ext>
          </c:extLst>
        </c:ser>
        <c:dLbls>
          <c:showLegendKey val="0"/>
          <c:showVal val="0"/>
          <c:showCatName val="0"/>
          <c:showSerName val="0"/>
          <c:showPercent val="0"/>
          <c:showBubbleSize val="0"/>
        </c:dLbls>
        <c:gapWidth val="150"/>
        <c:overlap val="100"/>
        <c:axId val="1273672559"/>
        <c:axId val="1273669231"/>
      </c:barChart>
      <c:lineChart>
        <c:grouping val="standard"/>
        <c:varyColors val="0"/>
        <c:ser>
          <c:idx val="2"/>
          <c:order val="2"/>
          <c:tx>
            <c:strRef>
              <c:f>Table5!$B$31</c:f>
              <c:strCache>
                <c:ptCount val="1"/>
                <c:pt idx="0">
                  <c:v>% change in hired </c:v>
                </c:pt>
              </c:strCache>
            </c:strRef>
          </c:tx>
          <c:spPr>
            <a:ln w="28575" cap="rnd">
              <a:solidFill>
                <a:srgbClr val="FFC000"/>
              </a:solidFill>
              <a:prstDash val="sysDash"/>
              <a:round/>
            </a:ln>
            <a:effectLst/>
          </c:spPr>
          <c:marker>
            <c:symbol val="circle"/>
            <c:size val="6"/>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Table5!$D$31:$J$31</c:f>
              <c:numCache>
                <c:formatCode>0.0</c:formatCode>
                <c:ptCount val="7"/>
                <c:pt idx="0">
                  <c:v>3.7917631218930437</c:v>
                </c:pt>
                <c:pt idx="1">
                  <c:v>2.1662576893523022</c:v>
                </c:pt>
                <c:pt idx="2">
                  <c:v>4.8482755132694511</c:v>
                </c:pt>
                <c:pt idx="3">
                  <c:v>-0.66169988457703832</c:v>
                </c:pt>
                <c:pt idx="4">
                  <c:v>5.1713968033463509</c:v>
                </c:pt>
                <c:pt idx="5">
                  <c:v>8.8382237810487485</c:v>
                </c:pt>
                <c:pt idx="6">
                  <c:v>-1.0720662655351765</c:v>
                </c:pt>
              </c:numCache>
            </c:numRef>
          </c:val>
          <c:smooth val="1"/>
          <c:extLst>
            <c:ext xmlns:c16="http://schemas.microsoft.com/office/drawing/2014/chart" uri="{C3380CC4-5D6E-409C-BE32-E72D297353CC}">
              <c16:uniqueId val="{00000002-BAFE-4A39-BB80-239A7C6BF226}"/>
            </c:ext>
          </c:extLst>
        </c:ser>
        <c:ser>
          <c:idx val="3"/>
          <c:order val="3"/>
          <c:tx>
            <c:strRef>
              <c:f>Table5!$B$33</c:f>
              <c:strCache>
                <c:ptCount val="1"/>
                <c:pt idx="0">
                  <c:v>% change in self-employed </c:v>
                </c:pt>
              </c:strCache>
            </c:strRef>
          </c:tx>
          <c:spPr>
            <a:ln w="28575" cap="rnd">
              <a:solidFill>
                <a:srgbClr val="FF0000"/>
              </a:solidFill>
              <a:prstDash val="sysDash"/>
              <a:round/>
            </a:ln>
            <a:effectLst/>
          </c:spPr>
          <c:marker>
            <c:symbol val="circle"/>
            <c:size val="6"/>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Table5!$D$33:$J$33</c:f>
              <c:numCache>
                <c:formatCode>0.0</c:formatCode>
                <c:ptCount val="7"/>
                <c:pt idx="0">
                  <c:v>-4.8950346386146704</c:v>
                </c:pt>
                <c:pt idx="1">
                  <c:v>1.8183722043903172</c:v>
                </c:pt>
                <c:pt idx="2">
                  <c:v>2.7860635114141941</c:v>
                </c:pt>
                <c:pt idx="3">
                  <c:v>-0.96480807580590078</c:v>
                </c:pt>
                <c:pt idx="4">
                  <c:v>0.21962021633450401</c:v>
                </c:pt>
                <c:pt idx="5">
                  <c:v>-2.6801442122875274</c:v>
                </c:pt>
                <c:pt idx="6">
                  <c:v>-0.70485045134535129</c:v>
                </c:pt>
              </c:numCache>
            </c:numRef>
          </c:val>
          <c:smooth val="1"/>
          <c:extLst>
            <c:ext xmlns:c16="http://schemas.microsoft.com/office/drawing/2014/chart" uri="{C3380CC4-5D6E-409C-BE32-E72D297353CC}">
              <c16:uniqueId val="{00000003-BAFE-4A39-BB80-239A7C6BF226}"/>
            </c:ext>
          </c:extLst>
        </c:ser>
        <c:dLbls>
          <c:showLegendKey val="0"/>
          <c:showVal val="0"/>
          <c:showCatName val="0"/>
          <c:showSerName val="0"/>
          <c:showPercent val="0"/>
          <c:showBubbleSize val="0"/>
        </c:dLbls>
        <c:marker val="1"/>
        <c:smooth val="0"/>
        <c:axId val="610893919"/>
        <c:axId val="610892255"/>
      </c:lineChart>
      <c:catAx>
        <c:axId val="127367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3669231"/>
        <c:crosses val="autoZero"/>
        <c:auto val="1"/>
        <c:lblAlgn val="ctr"/>
        <c:lblOffset val="100"/>
        <c:noMultiLvlLbl val="0"/>
      </c:catAx>
      <c:valAx>
        <c:axId val="1273669231"/>
        <c:scaling>
          <c:orientation val="minMax"/>
          <c:max val="19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3672559"/>
        <c:crosses val="autoZero"/>
        <c:crossBetween val="between"/>
      </c:valAx>
      <c:valAx>
        <c:axId val="610892255"/>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0893919"/>
        <c:crosses val="max"/>
        <c:crossBetween val="between"/>
      </c:valAx>
      <c:catAx>
        <c:axId val="610893919"/>
        <c:scaling>
          <c:orientation val="minMax"/>
        </c:scaling>
        <c:delete val="1"/>
        <c:axPos val="b"/>
        <c:numFmt formatCode="General" sourceLinked="1"/>
        <c:majorTickMark val="out"/>
        <c:minorTickMark val="none"/>
        <c:tickLblPos val="nextTo"/>
        <c:crossAx val="610892255"/>
        <c:crosses val="autoZero"/>
        <c:auto val="1"/>
        <c:lblAlgn val="ctr"/>
        <c:lblOffset val="100"/>
        <c:noMultiLvlLbl val="0"/>
      </c:catAx>
      <c:spPr>
        <a:noFill/>
        <a:ln>
          <a:noFill/>
        </a:ln>
        <a:effectLst/>
      </c:spPr>
    </c:plotArea>
    <c:legend>
      <c:legendPos val="b"/>
      <c:layout>
        <c:manualLayout>
          <c:xMode val="edge"/>
          <c:yMode val="edge"/>
          <c:x val="0.13031146202720273"/>
          <c:y val="0.85126282296228795"/>
          <c:w val="0.7503478302184251"/>
          <c:h val="0.12540599923576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9226330152439"/>
          <c:y val="6.1684616155653814E-2"/>
          <c:w val="0.81942170308181661"/>
          <c:h val="0.67924133245720519"/>
        </c:manualLayout>
      </c:layout>
      <c:barChart>
        <c:barDir val="col"/>
        <c:grouping val="clustered"/>
        <c:varyColors val="0"/>
        <c:ser>
          <c:idx val="0"/>
          <c:order val="0"/>
          <c:tx>
            <c:strRef>
              <c:f>Table5!$B$35</c:f>
              <c:strCache>
                <c:ptCount val="1"/>
                <c:pt idx="0">
                  <c:v>Unemployed 
(Thousand persons)</c:v>
                </c:pt>
              </c:strCache>
            </c:strRef>
          </c:tx>
          <c:spPr>
            <a:solidFill>
              <a:srgbClr val="00B050"/>
            </a:solidFill>
            <a:ln>
              <a:noFill/>
            </a:ln>
            <a:effectLst/>
          </c:spPr>
          <c:invertIfNegative val="0"/>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Table5!$D$35:$J$35</c:f>
              <c:numCache>
                <c:formatCode>0.0</c:formatCode>
                <c:ptCount val="7"/>
                <c:pt idx="0">
                  <c:v>316.86061780450194</c:v>
                </c:pt>
                <c:pt idx="1">
                  <c:v>295.10296568930437</c:v>
                </c:pt>
                <c:pt idx="2">
                  <c:v>305.05932048625817</c:v>
                </c:pt>
                <c:pt idx="3">
                  <c:v>291.82848531821151</c:v>
                </c:pt>
                <c:pt idx="4">
                  <c:v>245.95801936079212</c:v>
                </c:pt>
                <c:pt idx="5">
                  <c:v>241.5789537897094</c:v>
                </c:pt>
                <c:pt idx="6">
                  <c:v>235.06026980494099</c:v>
                </c:pt>
              </c:numCache>
            </c:numRef>
          </c:val>
          <c:extLst>
            <c:ext xmlns:c16="http://schemas.microsoft.com/office/drawing/2014/chart" uri="{C3380CC4-5D6E-409C-BE32-E72D297353CC}">
              <c16:uniqueId val="{00000000-2360-4A45-8973-C45AFAC412B1}"/>
            </c:ext>
          </c:extLst>
        </c:ser>
        <c:dLbls>
          <c:showLegendKey val="0"/>
          <c:showVal val="0"/>
          <c:showCatName val="0"/>
          <c:showSerName val="0"/>
          <c:showPercent val="0"/>
          <c:showBubbleSize val="0"/>
        </c:dLbls>
        <c:gapWidth val="267"/>
        <c:axId val="620839119"/>
        <c:axId val="620839535"/>
      </c:barChart>
      <c:lineChart>
        <c:grouping val="standard"/>
        <c:varyColors val="0"/>
        <c:ser>
          <c:idx val="2"/>
          <c:order val="1"/>
          <c:tx>
            <c:strRef>
              <c:f>Table5!$B$36</c:f>
              <c:strCache>
                <c:ptCount val="1"/>
                <c:pt idx="0">
                  <c:v>Change compared the previous year 
(Thousand persons)</c:v>
                </c:pt>
              </c:strCache>
            </c:strRef>
          </c:tx>
          <c:spPr>
            <a:ln w="28575" cap="rnd">
              <a:solidFill>
                <a:srgbClr val="FFC000"/>
              </a:solidFill>
              <a:prstDash val="sysDash"/>
              <a:round/>
            </a:ln>
            <a:effectLst/>
          </c:spPr>
          <c:marker>
            <c:symbol val="circle"/>
            <c:size val="7"/>
            <c:spPr>
              <a:solidFill>
                <a:srgbClr val="FFC000"/>
              </a:solidFill>
              <a:ln w="9525">
                <a:solidFill>
                  <a:srgbClr val="FFC000"/>
                </a:solidFill>
              </a:ln>
              <a:effectLst/>
            </c:spPr>
          </c:marker>
          <c:dLbls>
            <c:dLbl>
              <c:idx val="3"/>
              <c:layout>
                <c:manualLayout>
                  <c:x val="-5.1120685386024857E-2"/>
                  <c:y val="5.1866362351317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60-4A45-8973-C45AFAC412B1}"/>
                </c:ext>
              </c:extLst>
            </c:dLbl>
            <c:dLbl>
              <c:idx val="4"/>
              <c:layout>
                <c:manualLayout>
                  <c:x val="-7.6672834420568785E-3"/>
                  <c:y val="7.95417289960956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60-4A45-8973-C45AFAC412B1}"/>
                </c:ext>
              </c:extLst>
            </c:dLbl>
            <c:dLbl>
              <c:idx val="5"/>
              <c:layout>
                <c:manualLayout>
                  <c:x val="-2.9897129068128921E-2"/>
                  <c:y val="6.3842414019964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60-4A45-8973-C45AFAC412B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Table5!$D$36:$J$36</c:f>
              <c:numCache>
                <c:formatCode>0.0</c:formatCode>
                <c:ptCount val="7"/>
                <c:pt idx="0">
                  <c:v>-18.761435439724892</c:v>
                </c:pt>
                <c:pt idx="1">
                  <c:v>-21.757652115197573</c:v>
                </c:pt>
                <c:pt idx="2">
                  <c:v>9.9563547969538035</c:v>
                </c:pt>
                <c:pt idx="3">
                  <c:v>-13.230835168046667</c:v>
                </c:pt>
                <c:pt idx="4">
                  <c:v>-45.870465957419384</c:v>
                </c:pt>
                <c:pt idx="5">
                  <c:v>-4.3790655710827195</c:v>
                </c:pt>
                <c:pt idx="6">
                  <c:v>-6.5186839847684155</c:v>
                </c:pt>
              </c:numCache>
            </c:numRef>
          </c:val>
          <c:smooth val="1"/>
          <c:extLst>
            <c:ext xmlns:c16="http://schemas.microsoft.com/office/drawing/2014/chart" uri="{C3380CC4-5D6E-409C-BE32-E72D297353CC}">
              <c16:uniqueId val="{00000004-2360-4A45-8973-C45AFAC412B1}"/>
            </c:ext>
          </c:extLst>
        </c:ser>
        <c:ser>
          <c:idx val="1"/>
          <c:order val="2"/>
          <c:tx>
            <c:strRef>
              <c:f>Table5!$B$39</c:f>
              <c:strCache>
                <c:ptCount val="1"/>
                <c:pt idx="0">
                  <c:v>Unemployment
 rate (%)</c:v>
                </c:pt>
              </c:strCache>
            </c:strRef>
          </c:tx>
          <c:spPr>
            <a:ln w="28575" cap="rnd">
              <a:solidFill>
                <a:srgbClr val="FF0000"/>
              </a:solidFill>
              <a:prstDash val="sysDash"/>
              <a:round/>
            </a:ln>
            <a:effectLst/>
          </c:spPr>
          <c:marker>
            <c:symbol val="circle"/>
            <c:size val="7"/>
            <c:spPr>
              <a:solidFill>
                <a:srgbClr val="FF0000">
                  <a:alpha val="98000"/>
                </a:srgbClr>
              </a:solidFill>
              <a:ln w="9525">
                <a:solidFill>
                  <a:srgbClr val="FF0000"/>
                </a:solidFill>
                <a:prstDash val="dash"/>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Table5!$D$24:$J$24</c:f>
              <c:numCache>
                <c:formatCode>General</c:formatCode>
                <c:ptCount val="7"/>
                <c:pt idx="0">
                  <c:v>2010</c:v>
                </c:pt>
                <c:pt idx="1">
                  <c:v>2011</c:v>
                </c:pt>
                <c:pt idx="2">
                  <c:v>2012</c:v>
                </c:pt>
                <c:pt idx="3">
                  <c:v>2013</c:v>
                </c:pt>
                <c:pt idx="4">
                  <c:v>2014</c:v>
                </c:pt>
                <c:pt idx="5">
                  <c:v>2015</c:v>
                </c:pt>
                <c:pt idx="6">
                  <c:v>2016</c:v>
                </c:pt>
              </c:numCache>
            </c:numRef>
          </c:cat>
          <c:val>
            <c:numRef>
              <c:f>Table5!$D$39:$J$39</c:f>
              <c:numCache>
                <c:formatCode>0.0</c:formatCode>
                <c:ptCount val="7"/>
                <c:pt idx="0">
                  <c:v>16.291481159054545</c:v>
                </c:pt>
                <c:pt idx="1">
                  <c:v>15.061703172632129</c:v>
                </c:pt>
                <c:pt idx="2">
                  <c:v>15.034297633797483</c:v>
                </c:pt>
                <c:pt idx="3">
                  <c:v>14.563156645397497</c:v>
                </c:pt>
                <c:pt idx="4">
                  <c:v>12.352616936957254</c:v>
                </c:pt>
                <c:pt idx="5">
                  <c:v>11.950455278487325</c:v>
                </c:pt>
                <c:pt idx="6">
                  <c:v>11.76286624172222</c:v>
                </c:pt>
              </c:numCache>
            </c:numRef>
          </c:val>
          <c:smooth val="1"/>
          <c:extLst>
            <c:ext xmlns:c16="http://schemas.microsoft.com/office/drawing/2014/chart" uri="{C3380CC4-5D6E-409C-BE32-E72D297353CC}">
              <c16:uniqueId val="{00000005-2360-4A45-8973-C45AFAC412B1}"/>
            </c:ext>
          </c:extLst>
        </c:ser>
        <c:dLbls>
          <c:showLegendKey val="0"/>
          <c:showVal val="0"/>
          <c:showCatName val="0"/>
          <c:showSerName val="0"/>
          <c:showPercent val="0"/>
          <c:showBubbleSize val="0"/>
        </c:dLbls>
        <c:marker val="1"/>
        <c:smooth val="0"/>
        <c:axId val="1651541039"/>
        <c:axId val="1651538127"/>
      </c:lineChart>
      <c:catAx>
        <c:axId val="62083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20839535"/>
        <c:crosses val="autoZero"/>
        <c:auto val="1"/>
        <c:lblAlgn val="ctr"/>
        <c:lblOffset val="100"/>
        <c:noMultiLvlLbl val="0"/>
      </c:catAx>
      <c:valAx>
        <c:axId val="620839535"/>
        <c:scaling>
          <c:orientation val="minMax"/>
          <c:max val="45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20839119"/>
        <c:crosses val="autoZero"/>
        <c:crossBetween val="between"/>
      </c:valAx>
      <c:valAx>
        <c:axId val="1651538127"/>
        <c:scaling>
          <c:orientation val="minMax"/>
          <c:max val="40"/>
          <c:min val="-5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51541039"/>
        <c:crosses val="max"/>
        <c:crossBetween val="between"/>
      </c:valAx>
      <c:catAx>
        <c:axId val="1651541039"/>
        <c:scaling>
          <c:orientation val="minMax"/>
        </c:scaling>
        <c:delete val="1"/>
        <c:axPos val="b"/>
        <c:numFmt formatCode="General" sourceLinked="1"/>
        <c:majorTickMark val="none"/>
        <c:minorTickMark val="none"/>
        <c:tickLblPos val="nextTo"/>
        <c:crossAx val="1651538127"/>
        <c:crosses val="autoZero"/>
        <c:auto val="1"/>
        <c:lblAlgn val="ctr"/>
        <c:lblOffset val="100"/>
        <c:noMultiLvlLbl val="0"/>
      </c:catAx>
      <c:spPr>
        <a:noFill/>
        <a:ln>
          <a:noFill/>
        </a:ln>
        <a:effectLst/>
      </c:spPr>
    </c:plotArea>
    <c:legend>
      <c:legendPos val="b"/>
      <c:layout>
        <c:manualLayout>
          <c:xMode val="edge"/>
          <c:yMode val="edge"/>
          <c:x val="4.9999955438507368E-2"/>
          <c:y val="0.83531931210154597"/>
          <c:w val="0.8999999108770147"/>
          <c:h val="0.140433365207001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A861B-0983-4E35-9CCF-68E0742EE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12252</TotalTime>
  <Pages>27</Pages>
  <Words>6347</Words>
  <Characters>36179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Davit Gogilashvili</dc:creator>
  <cp:keywords/>
  <dc:description/>
  <cp:lastModifiedBy>Tinatin Baum</cp:lastModifiedBy>
  <cp:revision>2423</cp:revision>
  <dcterms:created xsi:type="dcterms:W3CDTF">2017-09-21T10:21:00Z</dcterms:created>
  <dcterms:modified xsi:type="dcterms:W3CDTF">2018-03-14T12:22:00Z</dcterms:modified>
</cp:coreProperties>
</file>