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64" w:rsidRDefault="005951DA" w:rsidP="00BA4C5B">
      <w:pPr>
        <w:jc w:val="center"/>
        <w:rPr>
          <w:b/>
        </w:rPr>
      </w:pPr>
      <w:r w:rsidRPr="005951DA">
        <w:rPr>
          <w:b/>
        </w:rPr>
        <w:t>Policy traini</w:t>
      </w:r>
      <w:r>
        <w:rPr>
          <w:b/>
        </w:rPr>
        <w:t>ng for Field Epidemiology Training Program Residents</w:t>
      </w:r>
      <w:r w:rsidR="00264D32">
        <w:rPr>
          <w:b/>
        </w:rPr>
        <w:t xml:space="preserve"> and other partners</w:t>
      </w:r>
      <w:r w:rsidR="00250994">
        <w:rPr>
          <w:b/>
        </w:rPr>
        <w:t>:</w:t>
      </w:r>
    </w:p>
    <w:p w:rsidR="00264D32" w:rsidRDefault="00264D32" w:rsidP="00BA4C5B">
      <w:pPr>
        <w:jc w:val="center"/>
        <w:rPr>
          <w:b/>
        </w:rPr>
      </w:pPr>
    </w:p>
    <w:p w:rsidR="005951DA" w:rsidRPr="005951DA" w:rsidRDefault="00823B9E" w:rsidP="00BA4C5B">
      <w:pPr>
        <w:jc w:val="center"/>
        <w:rPr>
          <w:b/>
        </w:rPr>
      </w:pPr>
      <w:r>
        <w:rPr>
          <w:b/>
        </w:rPr>
        <w:t>P</w:t>
      </w:r>
      <w:r w:rsidR="00250994">
        <w:rPr>
          <w:b/>
        </w:rPr>
        <w:t>roposal</w:t>
      </w:r>
    </w:p>
    <w:p w:rsidR="005951DA" w:rsidRDefault="005951DA" w:rsidP="00BA4C5B">
      <w:pPr>
        <w:jc w:val="both"/>
      </w:pPr>
      <w:r>
        <w:t> </w:t>
      </w:r>
    </w:p>
    <w:p w:rsidR="005951DA" w:rsidRDefault="005951DA" w:rsidP="00BA4C5B">
      <w:pPr>
        <w:jc w:val="both"/>
      </w:pPr>
    </w:p>
    <w:p w:rsidR="00250994" w:rsidRDefault="00E57AC9" w:rsidP="00BA4C5B">
      <w:pPr>
        <w:jc w:val="both"/>
      </w:pPr>
      <w:r>
        <w:t>U</w:t>
      </w:r>
      <w:r w:rsidRPr="00E57AC9">
        <w:t>s</w:t>
      </w:r>
      <w:r>
        <w:t>ing</w:t>
      </w:r>
      <w:r w:rsidRPr="00E57AC9">
        <w:t xml:space="preserve"> evidence-based science t</w:t>
      </w:r>
      <w:r>
        <w:t>o</w:t>
      </w:r>
      <w:r w:rsidRPr="00E57AC9">
        <w:t xml:space="preserve"> develop policy is </w:t>
      </w:r>
      <w:r>
        <w:t>essential</w:t>
      </w:r>
      <w:r w:rsidR="00BA1113">
        <w:t xml:space="preserve"> to ensure</w:t>
      </w:r>
      <w:r w:rsidR="00F8628D">
        <w:t xml:space="preserve"> that</w:t>
      </w:r>
      <w:r w:rsidRPr="00E57AC9">
        <w:t xml:space="preserve"> </w:t>
      </w:r>
      <w:r w:rsidR="00F8628D">
        <w:t xml:space="preserve">public health </w:t>
      </w:r>
      <w:r w:rsidRPr="00E57AC9">
        <w:t>polic</w:t>
      </w:r>
      <w:r w:rsidR="00F8628D">
        <w:t>i</w:t>
      </w:r>
      <w:r w:rsidRPr="00E57AC9">
        <w:t xml:space="preserve">es and practices </w:t>
      </w:r>
      <w:r w:rsidR="00F8628D">
        <w:t xml:space="preserve">are </w:t>
      </w:r>
      <w:r w:rsidR="00BA1113">
        <w:t>rooted</w:t>
      </w:r>
      <w:r w:rsidR="00F8628D">
        <w:t xml:space="preserve"> </w:t>
      </w:r>
      <w:r w:rsidR="00BA1113">
        <w:t>in</w:t>
      </w:r>
      <w:r w:rsidRPr="00E57AC9">
        <w:t xml:space="preserve"> </w:t>
      </w:r>
      <w:r w:rsidR="00F8628D">
        <w:t>rigorous</w:t>
      </w:r>
      <w:r w:rsidRPr="00E57AC9">
        <w:t xml:space="preserve"> scientific methods.</w:t>
      </w:r>
      <w:r>
        <w:t xml:space="preserve">  </w:t>
      </w:r>
      <w:r w:rsidR="00250994">
        <w:t>E</w:t>
      </w:r>
      <w:r w:rsidR="005951DA">
        <w:t xml:space="preserve">ngaging </w:t>
      </w:r>
      <w:r w:rsidR="005951DA" w:rsidRPr="005951DA">
        <w:t xml:space="preserve">Field Epidemiology Training Program </w:t>
      </w:r>
      <w:r w:rsidR="005951DA">
        <w:t>(FETP) residents</w:t>
      </w:r>
      <w:r w:rsidR="00C20D64">
        <w:t xml:space="preserve"> and graduates</w:t>
      </w:r>
      <w:r w:rsidR="005951DA">
        <w:t xml:space="preserve"> in the policy </w:t>
      </w:r>
      <w:r w:rsidR="00995EEC">
        <w:t>process</w:t>
      </w:r>
      <w:r w:rsidR="00250994">
        <w:t xml:space="preserve"> </w:t>
      </w:r>
      <w:r w:rsidR="00E87BC3">
        <w:t xml:space="preserve">will </w:t>
      </w:r>
      <w:r w:rsidR="00250994">
        <w:t xml:space="preserve">enhance </w:t>
      </w:r>
      <w:r w:rsidR="00B65ECC">
        <w:t xml:space="preserve">their </w:t>
      </w:r>
      <w:r w:rsidR="005951DA">
        <w:t>experiences</w:t>
      </w:r>
      <w:r w:rsidR="00E87BC3">
        <w:t xml:space="preserve"> and help</w:t>
      </w:r>
      <w:r w:rsidR="00250994">
        <w:t xml:space="preserve"> </w:t>
      </w:r>
      <w:r w:rsidR="005951DA">
        <w:t xml:space="preserve">identify </w:t>
      </w:r>
      <w:r w:rsidR="00E87BC3">
        <w:t>how</w:t>
      </w:r>
      <w:r w:rsidR="00250994">
        <w:t xml:space="preserve"> </w:t>
      </w:r>
      <w:r w:rsidR="00B65ECC">
        <w:t xml:space="preserve">their </w:t>
      </w:r>
      <w:r w:rsidR="00250994">
        <w:t xml:space="preserve">epidemiologic </w:t>
      </w:r>
      <w:r w:rsidR="005951DA">
        <w:t>work</w:t>
      </w:r>
      <w:r w:rsidR="00E87BC3">
        <w:t xml:space="preserve"> can </w:t>
      </w:r>
      <w:r w:rsidR="00B65ECC">
        <w:t>influence</w:t>
      </w:r>
      <w:r w:rsidR="00E87BC3">
        <w:t xml:space="preserve"> policy</w:t>
      </w:r>
      <w:r w:rsidR="005951DA">
        <w:t>.</w:t>
      </w:r>
      <w:r w:rsidR="00A04157">
        <w:t xml:space="preserve"> </w:t>
      </w:r>
      <w:r w:rsidR="00250994">
        <w:t xml:space="preserve"> Given the important technical/scientific, managerial and leadership roles played by FETP graduates, a basic understanding of </w:t>
      </w:r>
      <w:r w:rsidR="00FE5AF9">
        <w:t xml:space="preserve">the </w:t>
      </w:r>
      <w:r w:rsidR="00250994">
        <w:t>policy</w:t>
      </w:r>
      <w:r w:rsidR="00FE5AF9">
        <w:t xml:space="preserve"> process</w:t>
      </w:r>
      <w:r w:rsidR="00250994">
        <w:t xml:space="preserve"> </w:t>
      </w:r>
      <w:r w:rsidR="00260A39">
        <w:t xml:space="preserve">will </w:t>
      </w:r>
      <w:r w:rsidR="00250994">
        <w:t>enable them to translat</w:t>
      </w:r>
      <w:r w:rsidR="00E87BC3">
        <w:t>e</w:t>
      </w:r>
      <w:r w:rsidR="00B65ECC">
        <w:t xml:space="preserve"> </w:t>
      </w:r>
      <w:r w:rsidR="00250994">
        <w:t xml:space="preserve">scientific </w:t>
      </w:r>
      <w:r w:rsidR="00FE5AF9">
        <w:t>evidence</w:t>
      </w:r>
      <w:r w:rsidR="00250994">
        <w:t xml:space="preserve"> </w:t>
      </w:r>
      <w:r w:rsidR="00260A39">
        <w:t>in</w:t>
      </w:r>
      <w:r w:rsidR="00250994">
        <w:t>to sound public health polic</w:t>
      </w:r>
      <w:r w:rsidR="00260A39">
        <w:t>y</w:t>
      </w:r>
      <w:r w:rsidR="00250994">
        <w:t>.</w:t>
      </w:r>
    </w:p>
    <w:p w:rsidR="00250994" w:rsidRDefault="00250994" w:rsidP="00BA4C5B">
      <w:pPr>
        <w:jc w:val="both"/>
      </w:pPr>
    </w:p>
    <w:p w:rsidR="005951DA" w:rsidRDefault="002B3815" w:rsidP="00BA4C5B">
      <w:pPr>
        <w:jc w:val="both"/>
      </w:pPr>
      <w:r>
        <w:t>To accomplish this objective, a</w:t>
      </w:r>
      <w:r w:rsidR="00B65ECC">
        <w:t>n</w:t>
      </w:r>
      <w:r w:rsidR="00E87BC3">
        <w:t xml:space="preserve"> </w:t>
      </w:r>
      <w:r w:rsidR="00B65ECC">
        <w:t xml:space="preserve">existing </w:t>
      </w:r>
      <w:r w:rsidR="00E87BC3">
        <w:t>p</w:t>
      </w:r>
      <w:r w:rsidR="00250994">
        <w:t xml:space="preserve">olicy-related </w:t>
      </w:r>
      <w:r w:rsidR="00E87BC3">
        <w:t xml:space="preserve">module </w:t>
      </w:r>
      <w:r w:rsidR="004932A6">
        <w:t xml:space="preserve">has </w:t>
      </w:r>
      <w:r w:rsidR="00E87BC3">
        <w:t>be</w:t>
      </w:r>
      <w:r w:rsidR="004932A6">
        <w:t>en</w:t>
      </w:r>
      <w:r w:rsidR="00E87BC3">
        <w:t xml:space="preserve"> </w:t>
      </w:r>
      <w:r w:rsidR="00EE3F7A">
        <w:t>incorporated into</w:t>
      </w:r>
      <w:r w:rsidR="00250994">
        <w:t xml:space="preserve"> </w:t>
      </w:r>
      <w:r w:rsidR="00C20D64">
        <w:t>a</w:t>
      </w:r>
      <w:r w:rsidR="00250994">
        <w:t xml:space="preserve"> </w:t>
      </w:r>
      <w:r>
        <w:t>pilot</w:t>
      </w:r>
      <w:r w:rsidR="00C20D64">
        <w:t xml:space="preserve"> project</w:t>
      </w:r>
      <w:r>
        <w:t xml:space="preserve"> </w:t>
      </w:r>
      <w:r w:rsidR="00C20D64">
        <w:t>among</w:t>
      </w:r>
      <w:r>
        <w:t xml:space="preserve"> FETP</w:t>
      </w:r>
      <w:r w:rsidR="00C20D64">
        <w:t xml:space="preserve"> </w:t>
      </w:r>
      <w:r w:rsidR="004932A6">
        <w:t>residents, graduates and other partners</w:t>
      </w:r>
      <w:r w:rsidR="00E87BC3">
        <w:t>.  The module include</w:t>
      </w:r>
      <w:r w:rsidR="004932A6">
        <w:t>s</w:t>
      </w:r>
      <w:r w:rsidR="00250994">
        <w:t xml:space="preserve"> </w:t>
      </w:r>
      <w:r w:rsidR="0044564C">
        <w:t>a</w:t>
      </w:r>
      <w:r w:rsidR="005951DA">
        <w:t xml:space="preserve">n </w:t>
      </w:r>
      <w:r w:rsidR="005951DA" w:rsidRPr="00513EDA">
        <w:t>overview</w:t>
      </w:r>
      <w:r w:rsidR="005951DA">
        <w:t xml:space="preserve"> of the </w:t>
      </w:r>
      <w:r w:rsidR="00E87BC3">
        <w:t>stakeholders that influence policy</w:t>
      </w:r>
      <w:r w:rsidR="00062299">
        <w:t xml:space="preserve"> and the settings where policy can be influenced</w:t>
      </w:r>
      <w:r w:rsidR="00E87BC3">
        <w:t xml:space="preserve">, a review of </w:t>
      </w:r>
      <w:r w:rsidR="007C492A">
        <w:t xml:space="preserve">the different methods </w:t>
      </w:r>
      <w:r w:rsidR="00E87BC3">
        <w:t xml:space="preserve">for influencing and implementing </w:t>
      </w:r>
      <w:r w:rsidR="005951DA">
        <w:t>policy,</w:t>
      </w:r>
      <w:r w:rsidR="007C492A">
        <w:t xml:space="preserve"> </w:t>
      </w:r>
      <w:r w:rsidR="00513EDA">
        <w:t xml:space="preserve">and the significance of </w:t>
      </w:r>
      <w:r w:rsidR="00250994">
        <w:t>identifying</w:t>
      </w:r>
      <w:r w:rsidR="005951DA">
        <w:t xml:space="preserve"> decision makers</w:t>
      </w:r>
      <w:r w:rsidR="00DB0341">
        <w:t xml:space="preserve"> and</w:t>
      </w:r>
      <w:r w:rsidR="005951DA">
        <w:t xml:space="preserve"> building </w:t>
      </w:r>
      <w:r w:rsidR="00250994">
        <w:t xml:space="preserve">one’s </w:t>
      </w:r>
      <w:r w:rsidR="005951DA">
        <w:t>case.</w:t>
      </w:r>
      <w:r w:rsidR="009536EC">
        <w:t xml:space="preserve">  </w:t>
      </w:r>
      <w:r w:rsidR="004932A6">
        <w:t xml:space="preserve">Additional modules address the process of implementing effective </w:t>
      </w:r>
      <w:r w:rsidR="00BA0157">
        <w:t>interventions and provide an overview of non-communicable diseases and risk factors.</w:t>
      </w:r>
    </w:p>
    <w:p w:rsidR="005951DA" w:rsidRDefault="005951DA" w:rsidP="00BA4C5B">
      <w:pPr>
        <w:jc w:val="both"/>
      </w:pPr>
      <w:r>
        <w:t> </w:t>
      </w:r>
    </w:p>
    <w:p w:rsidR="002451E6" w:rsidRDefault="002451E6" w:rsidP="00BA4C5B">
      <w:pPr>
        <w:jc w:val="both"/>
      </w:pPr>
      <w:r>
        <w:t>This module will not only provide graduates with these important skills, but also in their</w:t>
      </w:r>
      <w:r w:rsidR="00BA0157">
        <w:t xml:space="preserve"> future</w:t>
      </w:r>
      <w:r>
        <w:t xml:space="preserve"> role as mentors to FETP residents </w:t>
      </w:r>
      <w:r w:rsidR="00522DF0">
        <w:t xml:space="preserve">allow them </w:t>
      </w:r>
      <w:r>
        <w:t xml:space="preserve">to </w:t>
      </w:r>
      <w:r w:rsidR="00522DF0">
        <w:t xml:space="preserve">advise </w:t>
      </w:r>
      <w:r>
        <w:t xml:space="preserve">residents </w:t>
      </w:r>
      <w:r w:rsidR="00522DF0">
        <w:t xml:space="preserve">on </w:t>
      </w:r>
      <w:r>
        <w:t>incorporat</w:t>
      </w:r>
      <w:r w:rsidR="00522DF0">
        <w:t>ing</w:t>
      </w:r>
      <w:r>
        <w:t xml:space="preserve"> policy considerations into their work and include explicit policy recommendations in reports, abstracts and presentations when appropriate.</w:t>
      </w:r>
    </w:p>
    <w:p w:rsidR="002451E6" w:rsidRDefault="002451E6" w:rsidP="00BA4C5B">
      <w:pPr>
        <w:jc w:val="both"/>
      </w:pPr>
    </w:p>
    <w:p w:rsidR="005951DA" w:rsidRDefault="005951DA" w:rsidP="00BA4C5B">
      <w:pPr>
        <w:jc w:val="both"/>
      </w:pPr>
      <w:r>
        <w:t xml:space="preserve">The </w:t>
      </w:r>
      <w:r w:rsidR="00EE7775">
        <w:t xml:space="preserve">program </w:t>
      </w:r>
      <w:r w:rsidR="00BA0157">
        <w:t xml:space="preserve">will </w:t>
      </w:r>
      <w:r>
        <w:t>make use of local expertise in health policy</w:t>
      </w:r>
      <w:r w:rsidR="008C296C">
        <w:t xml:space="preserve">, </w:t>
      </w:r>
      <w:r w:rsidR="00EA71D5">
        <w:t>as</w:t>
      </w:r>
      <w:r w:rsidR="008C296C">
        <w:t xml:space="preserve"> available,</w:t>
      </w:r>
      <w:r>
        <w:t xml:space="preserve"> </w:t>
      </w:r>
      <w:r w:rsidR="00EE7775">
        <w:t xml:space="preserve">to </w:t>
      </w:r>
      <w:r w:rsidR="008C296C">
        <w:t xml:space="preserve">integrate </w:t>
      </w:r>
      <w:r>
        <w:t xml:space="preserve">local perspectives and knowledge to the </w:t>
      </w:r>
      <w:r w:rsidR="00A04157">
        <w:t>training curriculum</w:t>
      </w:r>
      <w:r>
        <w:t>.</w:t>
      </w:r>
    </w:p>
    <w:p w:rsidR="005951DA" w:rsidRDefault="005951DA" w:rsidP="00BA4C5B">
      <w:pPr>
        <w:jc w:val="both"/>
      </w:pPr>
      <w:r>
        <w:t> </w:t>
      </w:r>
    </w:p>
    <w:p w:rsidR="00E50AB3" w:rsidRDefault="00E50AB3" w:rsidP="00BA4C5B">
      <w:pPr>
        <w:jc w:val="both"/>
      </w:pPr>
    </w:p>
    <w:p w:rsidR="005951DA" w:rsidRDefault="005951DA" w:rsidP="00BA4C5B">
      <w:pPr>
        <w:jc w:val="both"/>
      </w:pPr>
      <w:r>
        <w:t xml:space="preserve">The goals of the program </w:t>
      </w:r>
      <w:r w:rsidR="00E60E67">
        <w:t>are</w:t>
      </w:r>
      <w:r>
        <w:t xml:space="preserve"> to</w:t>
      </w:r>
      <w:r w:rsidR="008C296C">
        <w:t xml:space="preserve"> accomplish the following</w:t>
      </w:r>
      <w:r w:rsidR="00E60E67">
        <w:t>:</w:t>
      </w:r>
    </w:p>
    <w:p w:rsidR="005951DA" w:rsidRDefault="005951DA" w:rsidP="00BA4C5B">
      <w:pPr>
        <w:jc w:val="both"/>
      </w:pPr>
      <w:r>
        <w:t> </w:t>
      </w:r>
    </w:p>
    <w:p w:rsidR="005951DA" w:rsidRDefault="005951DA" w:rsidP="00BA4C5B">
      <w:pPr>
        <w:pStyle w:val="ListParagraph"/>
        <w:numPr>
          <w:ilvl w:val="0"/>
          <w:numId w:val="1"/>
        </w:numPr>
        <w:jc w:val="both"/>
      </w:pPr>
      <w:r>
        <w:t xml:space="preserve">Introduce </w:t>
      </w:r>
      <w:r w:rsidR="00F04F6E">
        <w:t>FETP graduate mentors</w:t>
      </w:r>
      <w:r w:rsidR="00DD2C74">
        <w:t xml:space="preserve"> and others</w:t>
      </w:r>
      <w:r>
        <w:t xml:space="preserve"> to the policy process</w:t>
      </w:r>
      <w:r w:rsidR="00002926">
        <w:t xml:space="preserve"> </w:t>
      </w:r>
    </w:p>
    <w:p w:rsidR="005951DA" w:rsidRDefault="005951DA" w:rsidP="00BA4C5B">
      <w:pPr>
        <w:pStyle w:val="ListParagraph"/>
        <w:numPr>
          <w:ilvl w:val="0"/>
          <w:numId w:val="1"/>
        </w:numPr>
        <w:jc w:val="both"/>
      </w:pPr>
      <w:r>
        <w:t>Provide opportunit</w:t>
      </w:r>
      <w:r w:rsidR="008C296C">
        <w:t>ies</w:t>
      </w:r>
      <w:r>
        <w:t xml:space="preserve"> </w:t>
      </w:r>
      <w:r w:rsidR="00EA71D5">
        <w:t>for</w:t>
      </w:r>
      <w:r>
        <w:t xml:space="preserve"> </w:t>
      </w:r>
      <w:r w:rsidR="00DD2C74">
        <w:t>participants</w:t>
      </w:r>
      <w:r>
        <w:t xml:space="preserve"> to consider the policy implications of their own work and make </w:t>
      </w:r>
      <w:r w:rsidR="008C296C">
        <w:t xml:space="preserve">appropriate </w:t>
      </w:r>
      <w:r>
        <w:t xml:space="preserve">recommendations </w:t>
      </w:r>
    </w:p>
    <w:p w:rsidR="005951DA" w:rsidRDefault="005951DA" w:rsidP="00BA4C5B">
      <w:pPr>
        <w:pStyle w:val="ListParagraph"/>
        <w:numPr>
          <w:ilvl w:val="0"/>
          <w:numId w:val="1"/>
        </w:numPr>
        <w:jc w:val="both"/>
      </w:pPr>
      <w:r>
        <w:t xml:space="preserve">Prepare </w:t>
      </w:r>
      <w:r w:rsidR="00DD2C74">
        <w:t>parti</w:t>
      </w:r>
      <w:bookmarkStart w:id="0" w:name="_GoBack"/>
      <w:bookmarkEnd w:id="0"/>
      <w:r w:rsidR="00DD2C74">
        <w:t>cipants</w:t>
      </w:r>
      <w:r w:rsidR="00F04F6E">
        <w:t xml:space="preserve"> </w:t>
      </w:r>
      <w:r>
        <w:t>to incorporate policy considerations</w:t>
      </w:r>
      <w:r w:rsidR="008C296C">
        <w:t xml:space="preserve"> into technical and managerial work</w:t>
      </w:r>
      <w:r>
        <w:t xml:space="preserve"> </w:t>
      </w:r>
      <w:r w:rsidR="00953B4C">
        <w:t>during</w:t>
      </w:r>
      <w:r w:rsidR="008C296C">
        <w:t xml:space="preserve"> </w:t>
      </w:r>
      <w:r>
        <w:t>their careers</w:t>
      </w:r>
      <w:r w:rsidR="00F04F6E">
        <w:t xml:space="preserve"> and impart those skills on current residents</w:t>
      </w:r>
    </w:p>
    <w:p w:rsidR="00E60E67" w:rsidRDefault="00E60E67" w:rsidP="00BA4C5B">
      <w:pPr>
        <w:pStyle w:val="ListParagraph"/>
        <w:numPr>
          <w:ilvl w:val="0"/>
          <w:numId w:val="1"/>
        </w:numPr>
        <w:jc w:val="both"/>
      </w:pPr>
      <w:r>
        <w:t>Demonstrate the process for implementing effective interventions based on sound scientific evidence and policy development</w:t>
      </w:r>
    </w:p>
    <w:p w:rsidR="00E60E67" w:rsidRDefault="00E60E67" w:rsidP="00BA4C5B">
      <w:pPr>
        <w:pStyle w:val="ListParagraph"/>
        <w:numPr>
          <w:ilvl w:val="0"/>
          <w:numId w:val="1"/>
        </w:numPr>
        <w:jc w:val="both"/>
      </w:pPr>
      <w:r>
        <w:t>Provide an overview of non-communicable diseases and associated risk factors</w:t>
      </w:r>
    </w:p>
    <w:p w:rsidR="002451E6" w:rsidRDefault="002451E6" w:rsidP="00BA4C5B">
      <w:pPr>
        <w:jc w:val="both"/>
        <w:rPr>
          <w:b/>
        </w:rPr>
      </w:pPr>
    </w:p>
    <w:p w:rsidR="003B0B4B" w:rsidRDefault="003B0B4B" w:rsidP="00BA4C5B">
      <w:pPr>
        <w:jc w:val="both"/>
        <w:rPr>
          <w:b/>
        </w:rPr>
      </w:pPr>
    </w:p>
    <w:p w:rsidR="003B0B4B" w:rsidRDefault="003B0B4B" w:rsidP="00BA4C5B">
      <w:pPr>
        <w:jc w:val="both"/>
        <w:rPr>
          <w:b/>
        </w:rPr>
      </w:pPr>
    </w:p>
    <w:p w:rsidR="00F04F6E" w:rsidRDefault="00F04F6E" w:rsidP="00BA4C5B">
      <w:pPr>
        <w:jc w:val="both"/>
        <w:rPr>
          <w:b/>
        </w:rPr>
      </w:pPr>
    </w:p>
    <w:p w:rsidR="00E60E67" w:rsidRDefault="00E60E67" w:rsidP="00BA4C5B">
      <w:pPr>
        <w:jc w:val="both"/>
        <w:rPr>
          <w:b/>
        </w:rPr>
      </w:pPr>
    </w:p>
    <w:p w:rsidR="00E60E67" w:rsidRDefault="00E60E67" w:rsidP="00BA4C5B">
      <w:pPr>
        <w:jc w:val="both"/>
        <w:rPr>
          <w:b/>
        </w:rPr>
      </w:pPr>
    </w:p>
    <w:p w:rsidR="009C250B" w:rsidRDefault="001C418A" w:rsidP="00BA4C5B">
      <w:pPr>
        <w:jc w:val="both"/>
        <w:rPr>
          <w:b/>
        </w:rPr>
      </w:pPr>
      <w:r w:rsidRPr="008A18C3">
        <w:rPr>
          <w:b/>
        </w:rPr>
        <w:lastRenderedPageBreak/>
        <w:t>Curriculum</w:t>
      </w:r>
      <w:r w:rsidR="00AF6E0A">
        <w:rPr>
          <w:b/>
        </w:rPr>
        <w:t xml:space="preserve"> modules</w:t>
      </w:r>
      <w:r w:rsidR="00372C03" w:rsidRPr="008A18C3">
        <w:rPr>
          <w:b/>
        </w:rPr>
        <w:t xml:space="preserve"> </w:t>
      </w:r>
    </w:p>
    <w:p w:rsidR="009C250B" w:rsidRDefault="009C250B" w:rsidP="00BA4C5B">
      <w:pPr>
        <w:jc w:val="both"/>
        <w:rPr>
          <w:b/>
        </w:rPr>
      </w:pPr>
    </w:p>
    <w:p w:rsidR="00531D3B" w:rsidRPr="00E50AB3" w:rsidRDefault="00E20569" w:rsidP="00BA4C5B">
      <w:pPr>
        <w:jc w:val="both"/>
        <w:rPr>
          <w:i/>
        </w:rPr>
      </w:pPr>
      <w:r w:rsidRPr="00E50AB3">
        <w:rPr>
          <w:b/>
          <w:i/>
        </w:rPr>
        <w:t>Using Science to Inform Policy</w:t>
      </w:r>
    </w:p>
    <w:p w:rsidR="00FD521B" w:rsidRDefault="00FD521B" w:rsidP="00BA4C5B">
      <w:pPr>
        <w:jc w:val="both"/>
      </w:pPr>
    </w:p>
    <w:p w:rsidR="00E20569" w:rsidRPr="00E20569" w:rsidRDefault="009C250B" w:rsidP="00BA4C5B">
      <w:pPr>
        <w:pStyle w:val="TOC1"/>
        <w:spacing w:line="264" w:lineRule="auto"/>
        <w:jc w:val="both"/>
        <w:rPr>
          <w:rFonts w:ascii="Times New Roman" w:eastAsiaTheme="minorEastAsia" w:hAnsi="Times New Roman"/>
          <w:bCs w:val="0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Section 1:  </w:t>
      </w:r>
      <w:r w:rsidR="00E20569" w:rsidRPr="00E20569">
        <w:rPr>
          <w:rStyle w:val="Hyperlink"/>
          <w:rFonts w:ascii="Times New Roman" w:hAnsi="Times New Roman"/>
          <w:sz w:val="24"/>
          <w:szCs w:val="24"/>
          <w:u w:val="none"/>
        </w:rPr>
        <w:t>Introduction</w:t>
      </w:r>
      <w:r w:rsidR="00E20569" w:rsidRPr="00E20569">
        <w:rPr>
          <w:rFonts w:ascii="Times New Roman" w:hAnsi="Times New Roman"/>
          <w:webHidden/>
          <w:sz w:val="24"/>
          <w:szCs w:val="24"/>
          <w:u w:val="none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Overview of using Science to Inform Policy</w:t>
      </w:r>
    </w:p>
    <w:p w:rsidR="00E20569" w:rsidRPr="00E20569" w:rsidRDefault="00E20569" w:rsidP="00BA4C5B">
      <w:pPr>
        <w:pStyle w:val="TOC1"/>
        <w:spacing w:line="264" w:lineRule="auto"/>
        <w:jc w:val="both"/>
        <w:rPr>
          <w:rFonts w:ascii="Times New Roman" w:eastAsiaTheme="minorEastAsia" w:hAnsi="Times New Roman"/>
          <w:bCs w:val="0"/>
          <w:color w:val="auto"/>
          <w:sz w:val="24"/>
          <w:szCs w:val="24"/>
          <w:u w:val="none"/>
        </w:rPr>
      </w:pPr>
      <w:r w:rsidRPr="00BA1113">
        <w:rPr>
          <w:rFonts w:ascii="Times New Roman" w:hAnsi="Times New Roman"/>
          <w:sz w:val="24"/>
          <w:szCs w:val="24"/>
          <w:u w:val="none"/>
        </w:rPr>
        <w:t xml:space="preserve">Section </w:t>
      </w:r>
      <w:r w:rsidR="009C250B">
        <w:rPr>
          <w:rFonts w:ascii="Times New Roman" w:hAnsi="Times New Roman"/>
          <w:sz w:val="24"/>
          <w:szCs w:val="24"/>
          <w:u w:val="none"/>
        </w:rPr>
        <w:t>2</w:t>
      </w:r>
      <w:r w:rsidRPr="00BA1113">
        <w:rPr>
          <w:rFonts w:ascii="Times New Roman" w:hAnsi="Times New Roman"/>
          <w:sz w:val="24"/>
          <w:szCs w:val="24"/>
          <w:u w:val="none"/>
        </w:rPr>
        <w:t xml:space="preserve">: </w:t>
      </w:r>
      <w:r w:rsidR="009C250B">
        <w:rPr>
          <w:rFonts w:ascii="Times New Roman" w:hAnsi="Times New Roman"/>
          <w:sz w:val="24"/>
          <w:szCs w:val="24"/>
          <w:u w:val="none"/>
        </w:rPr>
        <w:t xml:space="preserve"> </w:t>
      </w:r>
      <w:r w:rsidRPr="00BA1113">
        <w:rPr>
          <w:rFonts w:ascii="Times New Roman" w:hAnsi="Times New Roman"/>
          <w:sz w:val="24"/>
          <w:szCs w:val="24"/>
          <w:u w:val="none"/>
        </w:rPr>
        <w:t>Understanding Health Policy</w:t>
      </w:r>
      <w:r w:rsidRPr="00E20569">
        <w:rPr>
          <w:rFonts w:ascii="Times New Roman" w:hAnsi="Times New Roman"/>
          <w:webHidden/>
          <w:sz w:val="24"/>
          <w:szCs w:val="24"/>
          <w:u w:val="none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Characteristics of Policy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Categories of Health Policy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1"/>
        <w:spacing w:line="264" w:lineRule="auto"/>
        <w:jc w:val="both"/>
        <w:rPr>
          <w:rFonts w:ascii="Times New Roman" w:eastAsiaTheme="minorEastAsia" w:hAnsi="Times New Roman"/>
          <w:bCs w:val="0"/>
          <w:color w:val="auto"/>
          <w:sz w:val="24"/>
          <w:szCs w:val="24"/>
          <w:u w:val="none"/>
        </w:rPr>
      </w:pPr>
      <w:r w:rsidRPr="00BA1113">
        <w:rPr>
          <w:rFonts w:ascii="Times New Roman" w:hAnsi="Times New Roman"/>
          <w:sz w:val="24"/>
          <w:szCs w:val="24"/>
          <w:u w:val="none"/>
        </w:rPr>
        <w:t xml:space="preserve">Section </w:t>
      </w:r>
      <w:r w:rsidR="009C250B">
        <w:rPr>
          <w:rFonts w:ascii="Times New Roman" w:hAnsi="Times New Roman"/>
          <w:sz w:val="24"/>
          <w:szCs w:val="24"/>
          <w:u w:val="none"/>
        </w:rPr>
        <w:t>3</w:t>
      </w:r>
      <w:r w:rsidRPr="00BA1113">
        <w:rPr>
          <w:rFonts w:ascii="Times New Roman" w:hAnsi="Times New Roman"/>
          <w:sz w:val="24"/>
          <w:szCs w:val="24"/>
          <w:u w:val="none"/>
        </w:rPr>
        <w:t xml:space="preserve">: </w:t>
      </w:r>
      <w:r w:rsidR="009C250B">
        <w:rPr>
          <w:rFonts w:ascii="Times New Roman" w:hAnsi="Times New Roman"/>
          <w:sz w:val="24"/>
          <w:szCs w:val="24"/>
          <w:u w:val="none"/>
        </w:rPr>
        <w:t xml:space="preserve"> </w:t>
      </w:r>
      <w:r w:rsidRPr="00BA1113">
        <w:rPr>
          <w:rFonts w:ascii="Times New Roman" w:hAnsi="Times New Roman"/>
          <w:sz w:val="24"/>
          <w:szCs w:val="24"/>
          <w:u w:val="none"/>
        </w:rPr>
        <w:t>Developing Health Policy</w:t>
      </w:r>
      <w:r w:rsidRPr="00E20569">
        <w:rPr>
          <w:rFonts w:ascii="Times New Roman" w:hAnsi="Times New Roman"/>
          <w:webHidden/>
          <w:sz w:val="24"/>
          <w:szCs w:val="24"/>
          <w:u w:val="none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Step 1: Set the Agenda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Step 2: Define the Issue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Step 3: Develop Policy Options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Step 4: Make Recommendations for Policy Decisions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1"/>
        <w:spacing w:line="264" w:lineRule="auto"/>
        <w:jc w:val="both"/>
        <w:rPr>
          <w:rFonts w:ascii="Times New Roman" w:eastAsiaTheme="minorEastAsia" w:hAnsi="Times New Roman"/>
          <w:bCs w:val="0"/>
          <w:color w:val="auto"/>
          <w:sz w:val="24"/>
          <w:szCs w:val="24"/>
          <w:u w:val="none"/>
        </w:rPr>
      </w:pPr>
      <w:r w:rsidRPr="00BA1113">
        <w:rPr>
          <w:rFonts w:ascii="Times New Roman" w:hAnsi="Times New Roman"/>
          <w:sz w:val="24"/>
          <w:szCs w:val="24"/>
          <w:u w:val="none"/>
        </w:rPr>
        <w:t xml:space="preserve">Section </w:t>
      </w:r>
      <w:r w:rsidR="009C250B">
        <w:rPr>
          <w:rFonts w:ascii="Times New Roman" w:hAnsi="Times New Roman"/>
          <w:sz w:val="24"/>
          <w:szCs w:val="24"/>
          <w:u w:val="none"/>
        </w:rPr>
        <w:t>4</w:t>
      </w:r>
      <w:r w:rsidRPr="00BA1113">
        <w:rPr>
          <w:rFonts w:ascii="Times New Roman" w:hAnsi="Times New Roman"/>
          <w:sz w:val="24"/>
          <w:szCs w:val="24"/>
          <w:u w:val="none"/>
        </w:rPr>
        <w:t xml:space="preserve">: </w:t>
      </w:r>
      <w:r w:rsidR="009C250B">
        <w:rPr>
          <w:rFonts w:ascii="Times New Roman" w:hAnsi="Times New Roman"/>
          <w:sz w:val="24"/>
          <w:szCs w:val="24"/>
          <w:u w:val="none"/>
        </w:rPr>
        <w:t xml:space="preserve"> </w:t>
      </w:r>
      <w:r w:rsidRPr="00BA1113">
        <w:rPr>
          <w:rFonts w:ascii="Times New Roman" w:hAnsi="Times New Roman"/>
          <w:sz w:val="24"/>
          <w:szCs w:val="24"/>
          <w:u w:val="none"/>
        </w:rPr>
        <w:t>Presenting the Evidence</w:t>
      </w:r>
      <w:r w:rsidRPr="00E20569">
        <w:rPr>
          <w:rFonts w:ascii="Times New Roman" w:hAnsi="Times New Roman"/>
          <w:webHidden/>
          <w:sz w:val="24"/>
          <w:szCs w:val="24"/>
          <w:u w:val="none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Tailor the Message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2"/>
        <w:spacing w:after="0" w:line="264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Presenting the Data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pStyle w:val="TOC1"/>
        <w:spacing w:line="264" w:lineRule="auto"/>
        <w:jc w:val="both"/>
        <w:rPr>
          <w:rFonts w:ascii="Times New Roman" w:eastAsiaTheme="minorEastAsia" w:hAnsi="Times New Roman"/>
          <w:bCs w:val="0"/>
          <w:color w:val="auto"/>
          <w:sz w:val="24"/>
          <w:szCs w:val="24"/>
          <w:u w:val="none"/>
        </w:rPr>
      </w:pPr>
      <w:r w:rsidRPr="00BA1113">
        <w:rPr>
          <w:rFonts w:ascii="Times New Roman" w:hAnsi="Times New Roman"/>
          <w:sz w:val="24"/>
          <w:szCs w:val="24"/>
          <w:u w:val="none"/>
        </w:rPr>
        <w:t xml:space="preserve">Section </w:t>
      </w:r>
      <w:r w:rsidR="009C250B">
        <w:rPr>
          <w:rFonts w:ascii="Times New Roman" w:hAnsi="Times New Roman"/>
          <w:sz w:val="24"/>
          <w:szCs w:val="24"/>
          <w:u w:val="none"/>
        </w:rPr>
        <w:t>5</w:t>
      </w:r>
      <w:r w:rsidRPr="00BA1113">
        <w:rPr>
          <w:rFonts w:ascii="Times New Roman" w:hAnsi="Times New Roman"/>
          <w:sz w:val="24"/>
          <w:szCs w:val="24"/>
          <w:u w:val="none"/>
        </w:rPr>
        <w:t xml:space="preserve">: </w:t>
      </w:r>
      <w:r w:rsidR="009C250B">
        <w:rPr>
          <w:rFonts w:ascii="Times New Roman" w:hAnsi="Times New Roman"/>
          <w:sz w:val="24"/>
          <w:szCs w:val="24"/>
          <w:u w:val="none"/>
        </w:rPr>
        <w:t xml:space="preserve"> </w:t>
      </w:r>
      <w:r w:rsidRPr="00BA1113">
        <w:rPr>
          <w:rFonts w:ascii="Times New Roman" w:hAnsi="Times New Roman"/>
          <w:sz w:val="24"/>
          <w:szCs w:val="24"/>
          <w:u w:val="none"/>
        </w:rPr>
        <w:t>Health Policy Implementation</w:t>
      </w:r>
      <w:r w:rsidRPr="00E20569">
        <w:rPr>
          <w:rFonts w:ascii="Times New Roman" w:hAnsi="Times New Roman"/>
          <w:webHidden/>
          <w:sz w:val="24"/>
          <w:szCs w:val="24"/>
          <w:u w:val="none"/>
        </w:rPr>
        <w:tab/>
      </w:r>
    </w:p>
    <w:p w:rsidR="00E20569" w:rsidRPr="00E20569" w:rsidRDefault="00E20569" w:rsidP="00BA4C5B">
      <w:pPr>
        <w:pStyle w:val="TOC2"/>
        <w:spacing w:after="0" w:line="240" w:lineRule="auto"/>
        <w:jc w:val="both"/>
        <w:rPr>
          <w:rFonts w:ascii="Times New Roman" w:eastAsiaTheme="minorEastAsia" w:hAnsi="Times New Roman"/>
          <w:bCs w:val="0"/>
          <w:sz w:val="24"/>
          <w:szCs w:val="24"/>
        </w:rPr>
      </w:pPr>
      <w:r w:rsidRPr="00BA1113">
        <w:rPr>
          <w:rFonts w:ascii="Times New Roman" w:hAnsi="Times New Roman"/>
          <w:sz w:val="24"/>
          <w:szCs w:val="24"/>
        </w:rPr>
        <w:t>After the Decision</w:t>
      </w:r>
      <w:r w:rsidRPr="00E20569">
        <w:rPr>
          <w:rFonts w:ascii="Times New Roman" w:hAnsi="Times New Roman"/>
          <w:webHidden/>
          <w:sz w:val="24"/>
          <w:szCs w:val="24"/>
        </w:rPr>
        <w:tab/>
      </w:r>
    </w:p>
    <w:p w:rsidR="00E20569" w:rsidRPr="00E20569" w:rsidRDefault="00E20569" w:rsidP="00BA4C5B">
      <w:pPr>
        <w:jc w:val="both"/>
        <w:rPr>
          <w:b/>
        </w:rPr>
      </w:pPr>
    </w:p>
    <w:p w:rsidR="009C250B" w:rsidRPr="00E50AB3" w:rsidRDefault="00835A34" w:rsidP="00BA4C5B">
      <w:pPr>
        <w:jc w:val="both"/>
        <w:rPr>
          <w:b/>
          <w:i/>
        </w:rPr>
      </w:pPr>
      <w:r>
        <w:rPr>
          <w:b/>
          <w:i/>
        </w:rPr>
        <w:t>Selecting</w:t>
      </w:r>
      <w:r w:rsidRPr="00E50AB3">
        <w:rPr>
          <w:b/>
          <w:i/>
        </w:rPr>
        <w:t xml:space="preserve"> </w:t>
      </w:r>
      <w:r w:rsidR="008008A8" w:rsidRPr="00E50AB3">
        <w:rPr>
          <w:b/>
          <w:i/>
        </w:rPr>
        <w:t>Effective Interventions</w:t>
      </w:r>
    </w:p>
    <w:p w:rsidR="009C250B" w:rsidRDefault="009C250B" w:rsidP="00BA4C5B">
      <w:pPr>
        <w:jc w:val="both"/>
      </w:pPr>
    </w:p>
    <w:p w:rsidR="008008A8" w:rsidRDefault="008008A8" w:rsidP="00BA4C5B">
      <w:pPr>
        <w:jc w:val="both"/>
      </w:pPr>
      <w:r>
        <w:t>Learning Objectives:</w:t>
      </w:r>
    </w:p>
    <w:p w:rsidR="008008A8" w:rsidRDefault="008008A8" w:rsidP="00BA4C5B">
      <w:pPr>
        <w:jc w:val="both"/>
      </w:pP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Draw a causal diagram to describe an NCD or risk factor.</w:t>
      </w: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Use the Community Guide to identify one evidence-based behavioral intervention and one policy, systems and environmental intervention to address an NCD or risk factor.</w:t>
      </w: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For one selected intervention:</w:t>
      </w: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Describe how at least one behavioral theory or model has been applied.</w:t>
      </w: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Describe how to adapt the intervention to local culture.</w:t>
      </w:r>
    </w:p>
    <w:p w:rsidR="008008A8" w:rsidRDefault="008008A8" w:rsidP="00BA4C5B">
      <w:pPr>
        <w:pStyle w:val="ListParagraph"/>
        <w:numPr>
          <w:ilvl w:val="0"/>
          <w:numId w:val="9"/>
        </w:numPr>
        <w:jc w:val="both"/>
      </w:pPr>
      <w:r>
        <w:t>Describe at least two non-evidence based factors that may impact the intervention.</w:t>
      </w:r>
    </w:p>
    <w:p w:rsidR="008008A8" w:rsidRDefault="008008A8" w:rsidP="00BA4C5B">
      <w:pPr>
        <w:jc w:val="both"/>
      </w:pPr>
    </w:p>
    <w:p w:rsidR="00AF6E0A" w:rsidRPr="00E50AB3" w:rsidRDefault="00AF6E0A" w:rsidP="00BA4C5B">
      <w:pPr>
        <w:jc w:val="both"/>
        <w:rPr>
          <w:b/>
          <w:i/>
        </w:rPr>
      </w:pPr>
      <w:r w:rsidRPr="00E50AB3">
        <w:rPr>
          <w:b/>
          <w:i/>
        </w:rPr>
        <w:t>Overview of Non-communicable Diseases and Risk Factors</w:t>
      </w:r>
    </w:p>
    <w:p w:rsidR="00AF6E0A" w:rsidRDefault="00AF6E0A" w:rsidP="00BA4C5B">
      <w:pPr>
        <w:jc w:val="both"/>
      </w:pPr>
    </w:p>
    <w:p w:rsidR="00AF6E0A" w:rsidRDefault="00E60E67" w:rsidP="00BA4C5B">
      <w:pPr>
        <w:jc w:val="both"/>
      </w:pPr>
      <w:r>
        <w:t xml:space="preserve">Learning </w:t>
      </w:r>
      <w:r w:rsidR="00AF6E0A">
        <w:t>Objectives</w:t>
      </w:r>
      <w:r>
        <w:t>:</w:t>
      </w:r>
    </w:p>
    <w:p w:rsidR="00AF6E0A" w:rsidRDefault="00AF6E0A" w:rsidP="00BA4C5B">
      <w:pPr>
        <w:jc w:val="both"/>
      </w:pPr>
    </w:p>
    <w:p w:rsidR="00AF6E0A" w:rsidRDefault="00AF6E0A" w:rsidP="00BA4C5B">
      <w:pPr>
        <w:pStyle w:val="ListParagraph"/>
        <w:numPr>
          <w:ilvl w:val="0"/>
          <w:numId w:val="10"/>
        </w:numPr>
        <w:jc w:val="both"/>
      </w:pPr>
      <w:r>
        <w:t>Definition and characteristics of NCDs</w:t>
      </w:r>
    </w:p>
    <w:p w:rsidR="00AF6E0A" w:rsidRDefault="00AF6E0A" w:rsidP="00BA4C5B">
      <w:pPr>
        <w:pStyle w:val="ListParagraph"/>
        <w:numPr>
          <w:ilvl w:val="0"/>
          <w:numId w:val="10"/>
        </w:numPr>
        <w:jc w:val="both"/>
      </w:pPr>
      <w:r>
        <w:t>Global trends in NCDs</w:t>
      </w:r>
    </w:p>
    <w:p w:rsidR="00AF6E0A" w:rsidRDefault="00AF6E0A" w:rsidP="00BA4C5B">
      <w:pPr>
        <w:pStyle w:val="ListParagraph"/>
        <w:numPr>
          <w:ilvl w:val="0"/>
          <w:numId w:val="10"/>
        </w:numPr>
        <w:jc w:val="both"/>
      </w:pPr>
      <w:r>
        <w:t>Definition of risk factors and metabolic risk factors</w:t>
      </w:r>
    </w:p>
    <w:p w:rsidR="00AF6E0A" w:rsidRDefault="00AF6E0A" w:rsidP="00BA4C5B">
      <w:pPr>
        <w:pStyle w:val="ListParagraph"/>
        <w:numPr>
          <w:ilvl w:val="0"/>
          <w:numId w:val="10"/>
        </w:numPr>
        <w:jc w:val="both"/>
      </w:pPr>
      <w:r>
        <w:t>Common risk factors for NCDs</w:t>
      </w:r>
    </w:p>
    <w:p w:rsidR="00AF6E0A" w:rsidRDefault="005324FA" w:rsidP="00BA4C5B">
      <w:pPr>
        <w:pStyle w:val="ListParagraph"/>
        <w:numPr>
          <w:ilvl w:val="0"/>
          <w:numId w:val="10"/>
        </w:numPr>
        <w:jc w:val="both"/>
      </w:pPr>
      <w:r>
        <w:t>D</w:t>
      </w:r>
      <w:r w:rsidR="00AF6E0A">
        <w:t>iscussion on 4 leading NCDs, 4 related risk factors, and 4 metabolic risk factors</w:t>
      </w:r>
    </w:p>
    <w:p w:rsidR="00AF6E0A" w:rsidRDefault="00AF6E0A" w:rsidP="00BA4C5B">
      <w:pPr>
        <w:pStyle w:val="ListParagraph"/>
        <w:numPr>
          <w:ilvl w:val="1"/>
          <w:numId w:val="10"/>
        </w:numPr>
        <w:jc w:val="both"/>
      </w:pPr>
      <w:r>
        <w:t>Definition</w:t>
      </w:r>
    </w:p>
    <w:p w:rsidR="00AF6E0A" w:rsidRDefault="00AF6E0A" w:rsidP="00BA4C5B">
      <w:pPr>
        <w:pStyle w:val="ListParagraph"/>
        <w:numPr>
          <w:ilvl w:val="1"/>
          <w:numId w:val="10"/>
        </w:numPr>
        <w:jc w:val="both"/>
      </w:pPr>
      <w:r>
        <w:t>Global burden</w:t>
      </w:r>
    </w:p>
    <w:p w:rsidR="00AF6E0A" w:rsidRDefault="00AF6E0A" w:rsidP="00BA4C5B">
      <w:pPr>
        <w:pStyle w:val="ListParagraph"/>
        <w:numPr>
          <w:ilvl w:val="1"/>
          <w:numId w:val="10"/>
        </w:numPr>
        <w:jc w:val="both"/>
      </w:pPr>
      <w:r>
        <w:t>Health effects</w:t>
      </w:r>
    </w:p>
    <w:p w:rsidR="008D1A57" w:rsidRPr="008D1A57" w:rsidRDefault="008D1A57" w:rsidP="00BA4C5B">
      <w:pPr>
        <w:jc w:val="both"/>
        <w:rPr>
          <w:b/>
        </w:rPr>
      </w:pPr>
      <w:r>
        <w:rPr>
          <w:b/>
        </w:rPr>
        <w:lastRenderedPageBreak/>
        <w:t>Post-training Recommendations</w:t>
      </w:r>
    </w:p>
    <w:p w:rsidR="008D1A57" w:rsidRDefault="008D1A57" w:rsidP="00BA4C5B">
      <w:pPr>
        <w:jc w:val="both"/>
      </w:pPr>
    </w:p>
    <w:p w:rsidR="0023547D" w:rsidRDefault="004A079F" w:rsidP="00BA4C5B">
      <w:pPr>
        <w:jc w:val="both"/>
      </w:pPr>
      <w:r>
        <w:t>Following the training, it is recommended that FETP</w:t>
      </w:r>
      <w:r w:rsidR="0068694F">
        <w:t>, Ministry of Health</w:t>
      </w:r>
      <w:r w:rsidR="00100641">
        <w:t xml:space="preserve"> and </w:t>
      </w:r>
      <w:r w:rsidR="0068694F">
        <w:t xml:space="preserve">other </w:t>
      </w:r>
      <w:r w:rsidR="00100641">
        <w:t>partners</w:t>
      </w:r>
      <w:r>
        <w:t xml:space="preserve"> i</w:t>
      </w:r>
      <w:r w:rsidR="00E356F5">
        <w:t xml:space="preserve">mplement </w:t>
      </w:r>
      <w:r w:rsidR="00E93CCA">
        <w:t xml:space="preserve">an </w:t>
      </w:r>
      <w:r w:rsidR="008E1967">
        <w:t>o</w:t>
      </w:r>
      <w:r w:rsidR="001C418A">
        <w:t>ngoing</w:t>
      </w:r>
      <w:r w:rsidR="00E93CCA">
        <w:t>,</w:t>
      </w:r>
      <w:r w:rsidR="001C418A">
        <w:t xml:space="preserve"> </w:t>
      </w:r>
      <w:r>
        <w:t>mentor</w:t>
      </w:r>
      <w:r w:rsidR="000E2363">
        <w:t>-</w:t>
      </w:r>
      <w:r>
        <w:t>led</w:t>
      </w:r>
      <w:r w:rsidR="00835525">
        <w:t xml:space="preserve"> process of</w:t>
      </w:r>
      <w:r w:rsidR="00F04F6E">
        <w:t xml:space="preserve"> mentors and</w:t>
      </w:r>
      <w:r w:rsidR="001C418A">
        <w:t xml:space="preserve"> </w:t>
      </w:r>
      <w:r>
        <w:t xml:space="preserve">residents </w:t>
      </w:r>
      <w:r w:rsidR="001C418A">
        <w:t>incorporat</w:t>
      </w:r>
      <w:r w:rsidR="00835525">
        <w:t>ing</w:t>
      </w:r>
      <w:r w:rsidR="001C418A">
        <w:t xml:space="preserve"> appropriate policy recommendations into reports, abstracts and presentations</w:t>
      </w:r>
      <w:r w:rsidR="00B74764">
        <w:t xml:space="preserve">.  </w:t>
      </w:r>
      <w:r w:rsidR="00C91228">
        <w:t>W</w:t>
      </w:r>
      <w:r w:rsidR="00290B2E">
        <w:t>hen feasible</w:t>
      </w:r>
      <w:r w:rsidR="0068694F">
        <w:t>,</w:t>
      </w:r>
      <w:r w:rsidR="00C91228">
        <w:t xml:space="preserve"> </w:t>
      </w:r>
      <w:r w:rsidR="00F04F6E">
        <w:t xml:space="preserve">mentors and </w:t>
      </w:r>
      <w:r w:rsidR="00C91228">
        <w:t>residents should</w:t>
      </w:r>
      <w:r w:rsidR="00B74764">
        <w:t xml:space="preserve"> engage partners affected by identified problems and potential solutions</w:t>
      </w:r>
      <w:r w:rsidR="008D1A57">
        <w:t>,</w:t>
      </w:r>
      <w:r w:rsidR="00C91228">
        <w:t xml:space="preserve"> </w:t>
      </w:r>
      <w:r w:rsidR="00953B4C">
        <w:t xml:space="preserve">and </w:t>
      </w:r>
      <w:r w:rsidR="00C91228">
        <w:t>assist with access to results and recommendations</w:t>
      </w:r>
      <w:r w:rsidR="00B74764">
        <w:t xml:space="preserve">.  </w:t>
      </w:r>
    </w:p>
    <w:p w:rsidR="0023547D" w:rsidRDefault="0023547D" w:rsidP="00BA4C5B">
      <w:pPr>
        <w:jc w:val="both"/>
      </w:pPr>
    </w:p>
    <w:p w:rsidR="001C418A" w:rsidRDefault="00B74764" w:rsidP="00BA4C5B">
      <w:pPr>
        <w:jc w:val="both"/>
      </w:pPr>
      <w:r>
        <w:t>P</w:t>
      </w:r>
      <w:r w:rsidR="008A18C3">
        <w:t xml:space="preserve">rogress </w:t>
      </w:r>
      <w:r w:rsidR="004A079F">
        <w:t xml:space="preserve">can </w:t>
      </w:r>
      <w:r>
        <w:t xml:space="preserve">be monitored </w:t>
      </w:r>
      <w:r w:rsidR="008E1967">
        <w:t xml:space="preserve">using an assessment </w:t>
      </w:r>
      <w:r w:rsidR="006B572B">
        <w:t>process based on developed field guidelines</w:t>
      </w:r>
      <w:r w:rsidR="008A18C3">
        <w:t>.</w:t>
      </w:r>
      <w:r w:rsidR="0023547D">
        <w:t xml:space="preserve"> This </w:t>
      </w:r>
      <w:r w:rsidR="00FA2737">
        <w:t>process</w:t>
      </w:r>
      <w:r w:rsidR="0023547D">
        <w:t xml:space="preserve"> will track the quality and content of the policy recommendations</w:t>
      </w:r>
      <w:r w:rsidR="0089265D">
        <w:t xml:space="preserve"> </w:t>
      </w:r>
      <w:r w:rsidR="00062299">
        <w:t xml:space="preserve">and </w:t>
      </w:r>
      <w:r w:rsidR="000C71E7">
        <w:t xml:space="preserve">will also </w:t>
      </w:r>
      <w:r w:rsidR="00062299">
        <w:t>attempt to assess action taken by government agencies and other actors</w:t>
      </w:r>
      <w:r w:rsidR="000C71E7">
        <w:t xml:space="preserve"> on those recommendations</w:t>
      </w:r>
      <w:r w:rsidR="00062299">
        <w:t>.</w:t>
      </w:r>
      <w:r w:rsidR="00FA2737">
        <w:t xml:space="preserve"> </w:t>
      </w:r>
      <w:r w:rsidR="00062299">
        <w:t xml:space="preserve"> </w:t>
      </w:r>
      <w:r>
        <w:t>Monitoring</w:t>
      </w:r>
      <w:r w:rsidR="00F26CAD">
        <w:t xml:space="preserve"> and evaluation</w:t>
      </w:r>
      <w:r>
        <w:t xml:space="preserve"> </w:t>
      </w:r>
      <w:r w:rsidR="00BA4C5B">
        <w:t xml:space="preserve">may </w:t>
      </w:r>
      <w:r>
        <w:t>take place using a combination of local CDC and headquarters support.</w:t>
      </w:r>
    </w:p>
    <w:p w:rsidR="007663B1" w:rsidRDefault="007663B1" w:rsidP="00BA4C5B">
      <w:pPr>
        <w:jc w:val="both"/>
      </w:pPr>
    </w:p>
    <w:p w:rsidR="005324FA" w:rsidRDefault="005324FA" w:rsidP="00BA4C5B">
      <w:pPr>
        <w:jc w:val="both"/>
      </w:pPr>
      <w:r>
        <w:t xml:space="preserve">Future iterations </w:t>
      </w:r>
      <w:r w:rsidR="004B1B8C">
        <w:t xml:space="preserve">of the training </w:t>
      </w:r>
      <w:r w:rsidR="00055B73">
        <w:t>c</w:t>
      </w:r>
      <w:r>
        <w:t>ould include a review of past investigations and abstracts.  Case studies based on select investigations may be developed to demonstrate both successful policy outcomes and potential missed opportunities.</w:t>
      </w:r>
    </w:p>
    <w:p w:rsidR="00BA4C5B" w:rsidRDefault="00BA4C5B" w:rsidP="00BA4C5B">
      <w:pPr>
        <w:jc w:val="both"/>
      </w:pPr>
    </w:p>
    <w:p w:rsidR="00BA4C5B" w:rsidRDefault="00BA4C5B" w:rsidP="00BA4C5B">
      <w:pPr>
        <w:jc w:val="both"/>
      </w:pPr>
      <w:r>
        <w:t>Future r</w:t>
      </w:r>
      <w:r w:rsidRPr="00BA4C5B">
        <w:t xml:space="preserve">efinement and teaching of the curriculum </w:t>
      </w:r>
      <w:r>
        <w:t>can</w:t>
      </w:r>
      <w:r w:rsidRPr="00BA4C5B">
        <w:t xml:space="preserve"> </w:t>
      </w:r>
      <w:r w:rsidR="00211A00">
        <w:t xml:space="preserve">also </w:t>
      </w:r>
      <w:r w:rsidRPr="00BA4C5B">
        <w:t>assimilate knowledge from a variety of in country sources involved in policy development and implementation, including former residents, M</w:t>
      </w:r>
      <w:r w:rsidR="008D751B">
        <w:t>inistry</w:t>
      </w:r>
      <w:r w:rsidRPr="00BA4C5B">
        <w:t xml:space="preserve"> staff, elected and appointed officials, NGO staff, university faculty and others.</w:t>
      </w:r>
    </w:p>
    <w:sectPr w:rsidR="00BA4C5B" w:rsidSect="00AB419D">
      <w:footerReference w:type="default" r:id="rId9"/>
      <w:footnotePr>
        <w:numRestart w:val="eachPage"/>
      </w:footnotePr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A34" w:rsidRDefault="00835A34" w:rsidP="00531D3B">
      <w:r>
        <w:separator/>
      </w:r>
    </w:p>
  </w:endnote>
  <w:endnote w:type="continuationSeparator" w:id="0">
    <w:p w:rsidR="00835A34" w:rsidRDefault="00835A34" w:rsidP="0053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085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6E69" w:rsidRDefault="00036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C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36E69" w:rsidRDefault="00036E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A34" w:rsidRDefault="00835A34" w:rsidP="00531D3B">
      <w:r>
        <w:separator/>
      </w:r>
    </w:p>
  </w:footnote>
  <w:footnote w:type="continuationSeparator" w:id="0">
    <w:p w:rsidR="00835A34" w:rsidRDefault="00835A34" w:rsidP="00531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B99"/>
    <w:multiLevelType w:val="hybridMultilevel"/>
    <w:tmpl w:val="05EA3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07657"/>
    <w:multiLevelType w:val="hybridMultilevel"/>
    <w:tmpl w:val="56AC7054"/>
    <w:lvl w:ilvl="0" w:tplc="E18A1678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235810"/>
    <w:multiLevelType w:val="hybridMultilevel"/>
    <w:tmpl w:val="2EEA1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A711E"/>
    <w:multiLevelType w:val="hybridMultilevel"/>
    <w:tmpl w:val="A4D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0613A"/>
    <w:multiLevelType w:val="hybridMultilevel"/>
    <w:tmpl w:val="4D84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6662B"/>
    <w:multiLevelType w:val="hybridMultilevel"/>
    <w:tmpl w:val="93D83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50C5D"/>
    <w:multiLevelType w:val="hybridMultilevel"/>
    <w:tmpl w:val="E2EC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04365"/>
    <w:multiLevelType w:val="hybridMultilevel"/>
    <w:tmpl w:val="93A45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730368"/>
    <w:multiLevelType w:val="hybridMultilevel"/>
    <w:tmpl w:val="9E7C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41838"/>
    <w:multiLevelType w:val="hybridMultilevel"/>
    <w:tmpl w:val="C93CB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DA"/>
    <w:rsid w:val="00002926"/>
    <w:rsid w:val="000038B5"/>
    <w:rsid w:val="00013803"/>
    <w:rsid w:val="00015C5A"/>
    <w:rsid w:val="00036E69"/>
    <w:rsid w:val="00055B73"/>
    <w:rsid w:val="00062299"/>
    <w:rsid w:val="000626BA"/>
    <w:rsid w:val="00073398"/>
    <w:rsid w:val="00090A92"/>
    <w:rsid w:val="000C71E7"/>
    <w:rsid w:val="000E2363"/>
    <w:rsid w:val="000F35F3"/>
    <w:rsid w:val="000F5877"/>
    <w:rsid w:val="00100641"/>
    <w:rsid w:val="00105D14"/>
    <w:rsid w:val="00131EA3"/>
    <w:rsid w:val="00155B67"/>
    <w:rsid w:val="001724D0"/>
    <w:rsid w:val="001B4C31"/>
    <w:rsid w:val="001C418A"/>
    <w:rsid w:val="00211A00"/>
    <w:rsid w:val="0023547D"/>
    <w:rsid w:val="002451E6"/>
    <w:rsid w:val="00250994"/>
    <w:rsid w:val="002531C0"/>
    <w:rsid w:val="00260A39"/>
    <w:rsid w:val="00264D32"/>
    <w:rsid w:val="00274A5D"/>
    <w:rsid w:val="0027741D"/>
    <w:rsid w:val="00281249"/>
    <w:rsid w:val="00290B2E"/>
    <w:rsid w:val="00297041"/>
    <w:rsid w:val="002B3815"/>
    <w:rsid w:val="002D32B9"/>
    <w:rsid w:val="00315E56"/>
    <w:rsid w:val="00366894"/>
    <w:rsid w:val="00372C03"/>
    <w:rsid w:val="00381D8B"/>
    <w:rsid w:val="003B0B4B"/>
    <w:rsid w:val="0041188D"/>
    <w:rsid w:val="00422F48"/>
    <w:rsid w:val="0044564C"/>
    <w:rsid w:val="004666B5"/>
    <w:rsid w:val="004932A6"/>
    <w:rsid w:val="0049692A"/>
    <w:rsid w:val="00496E5D"/>
    <w:rsid w:val="004A079F"/>
    <w:rsid w:val="004B1B8C"/>
    <w:rsid w:val="00513EDA"/>
    <w:rsid w:val="00522DF0"/>
    <w:rsid w:val="00527154"/>
    <w:rsid w:val="00531D3B"/>
    <w:rsid w:val="005324FA"/>
    <w:rsid w:val="00535A80"/>
    <w:rsid w:val="00537E6A"/>
    <w:rsid w:val="00567C5F"/>
    <w:rsid w:val="00581572"/>
    <w:rsid w:val="005951DA"/>
    <w:rsid w:val="005B5DD7"/>
    <w:rsid w:val="005D6101"/>
    <w:rsid w:val="005D61E7"/>
    <w:rsid w:val="005E7647"/>
    <w:rsid w:val="006053A7"/>
    <w:rsid w:val="0060584E"/>
    <w:rsid w:val="00606389"/>
    <w:rsid w:val="00606767"/>
    <w:rsid w:val="00654A04"/>
    <w:rsid w:val="006827F9"/>
    <w:rsid w:val="006828E0"/>
    <w:rsid w:val="0068694F"/>
    <w:rsid w:val="006B1D1E"/>
    <w:rsid w:val="006B572B"/>
    <w:rsid w:val="006D7480"/>
    <w:rsid w:val="007013F2"/>
    <w:rsid w:val="00722EDA"/>
    <w:rsid w:val="007258A0"/>
    <w:rsid w:val="00725912"/>
    <w:rsid w:val="007663B1"/>
    <w:rsid w:val="00776F6F"/>
    <w:rsid w:val="00781867"/>
    <w:rsid w:val="007A09EE"/>
    <w:rsid w:val="007B35E9"/>
    <w:rsid w:val="007B6875"/>
    <w:rsid w:val="007C492A"/>
    <w:rsid w:val="007E1E4F"/>
    <w:rsid w:val="008008A8"/>
    <w:rsid w:val="00823B9E"/>
    <w:rsid w:val="0082444C"/>
    <w:rsid w:val="00835525"/>
    <w:rsid w:val="00835A34"/>
    <w:rsid w:val="0089265D"/>
    <w:rsid w:val="008A18C3"/>
    <w:rsid w:val="008C296C"/>
    <w:rsid w:val="008C3AB3"/>
    <w:rsid w:val="008D1A57"/>
    <w:rsid w:val="008D5270"/>
    <w:rsid w:val="008D6298"/>
    <w:rsid w:val="008D751B"/>
    <w:rsid w:val="008E1967"/>
    <w:rsid w:val="008E5DCE"/>
    <w:rsid w:val="009022B3"/>
    <w:rsid w:val="009064D9"/>
    <w:rsid w:val="0092503A"/>
    <w:rsid w:val="00952101"/>
    <w:rsid w:val="009536EC"/>
    <w:rsid w:val="00953B4C"/>
    <w:rsid w:val="00957EAE"/>
    <w:rsid w:val="0096158A"/>
    <w:rsid w:val="009631E5"/>
    <w:rsid w:val="00975EC9"/>
    <w:rsid w:val="009804A4"/>
    <w:rsid w:val="00995EEC"/>
    <w:rsid w:val="009A4535"/>
    <w:rsid w:val="009C250B"/>
    <w:rsid w:val="009C4C97"/>
    <w:rsid w:val="009D243B"/>
    <w:rsid w:val="00A04157"/>
    <w:rsid w:val="00A13C2A"/>
    <w:rsid w:val="00A47E34"/>
    <w:rsid w:val="00A54215"/>
    <w:rsid w:val="00A604EB"/>
    <w:rsid w:val="00A60DD9"/>
    <w:rsid w:val="00A65503"/>
    <w:rsid w:val="00A85453"/>
    <w:rsid w:val="00A97F46"/>
    <w:rsid w:val="00AB419D"/>
    <w:rsid w:val="00AE73A3"/>
    <w:rsid w:val="00AF1285"/>
    <w:rsid w:val="00AF6E0A"/>
    <w:rsid w:val="00B65ECC"/>
    <w:rsid w:val="00B74764"/>
    <w:rsid w:val="00BA0157"/>
    <w:rsid w:val="00BA1113"/>
    <w:rsid w:val="00BA4C5B"/>
    <w:rsid w:val="00BA5EC5"/>
    <w:rsid w:val="00BD02C5"/>
    <w:rsid w:val="00C03864"/>
    <w:rsid w:val="00C20D64"/>
    <w:rsid w:val="00C454B7"/>
    <w:rsid w:val="00C90058"/>
    <w:rsid w:val="00C91228"/>
    <w:rsid w:val="00C96DDB"/>
    <w:rsid w:val="00D23DDB"/>
    <w:rsid w:val="00D44C6B"/>
    <w:rsid w:val="00D451B1"/>
    <w:rsid w:val="00D900E7"/>
    <w:rsid w:val="00DA585D"/>
    <w:rsid w:val="00DB0341"/>
    <w:rsid w:val="00DD2C74"/>
    <w:rsid w:val="00E031AD"/>
    <w:rsid w:val="00E20569"/>
    <w:rsid w:val="00E22978"/>
    <w:rsid w:val="00E356F5"/>
    <w:rsid w:val="00E40BDE"/>
    <w:rsid w:val="00E50AB3"/>
    <w:rsid w:val="00E57AC9"/>
    <w:rsid w:val="00E60E67"/>
    <w:rsid w:val="00E81875"/>
    <w:rsid w:val="00E87BC3"/>
    <w:rsid w:val="00E93CCA"/>
    <w:rsid w:val="00EA71D5"/>
    <w:rsid w:val="00EE3F7A"/>
    <w:rsid w:val="00EE7775"/>
    <w:rsid w:val="00F04F6E"/>
    <w:rsid w:val="00F26CAD"/>
    <w:rsid w:val="00F421B2"/>
    <w:rsid w:val="00F473CC"/>
    <w:rsid w:val="00F8628D"/>
    <w:rsid w:val="00FA2737"/>
    <w:rsid w:val="00FC71FD"/>
    <w:rsid w:val="00FD521B"/>
    <w:rsid w:val="00FE5AF9"/>
    <w:rsid w:val="00FE77F0"/>
    <w:rsid w:val="00FF31B8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9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9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1D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1D3B"/>
  </w:style>
  <w:style w:type="character" w:styleId="EndnoteReference">
    <w:name w:val="endnote reference"/>
    <w:basedOn w:val="DefaultParagraphFont"/>
    <w:uiPriority w:val="99"/>
    <w:semiHidden/>
    <w:unhideWhenUsed/>
    <w:rsid w:val="00531D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D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D3B"/>
  </w:style>
  <w:style w:type="character" w:styleId="FootnoteReference">
    <w:name w:val="footnote reference"/>
    <w:basedOn w:val="DefaultParagraphFont"/>
    <w:uiPriority w:val="99"/>
    <w:unhideWhenUsed/>
    <w:rsid w:val="00531D3B"/>
    <w:rPr>
      <w:vertAlign w:val="superscript"/>
    </w:rPr>
  </w:style>
  <w:style w:type="paragraph" w:styleId="Revision">
    <w:name w:val="Revision"/>
    <w:hidden/>
    <w:uiPriority w:val="99"/>
    <w:semiHidden/>
    <w:rsid w:val="008A18C3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20569"/>
    <w:pPr>
      <w:tabs>
        <w:tab w:val="right" w:pos="9350"/>
      </w:tabs>
      <w:spacing w:after="60" w:line="320" w:lineRule="exact"/>
      <w:ind w:left="1152"/>
    </w:pPr>
    <w:rPr>
      <w:rFonts w:ascii="Arial" w:eastAsia="MS Mincho" w:hAnsi="Arial"/>
      <w:bCs/>
      <w:noProof/>
      <w:sz w:val="20"/>
      <w:szCs w:val="22"/>
    </w:rPr>
  </w:style>
  <w:style w:type="paragraph" w:styleId="TOC1">
    <w:name w:val="toc 1"/>
    <w:basedOn w:val="Normal"/>
    <w:next w:val="Normal"/>
    <w:autoRedefine/>
    <w:uiPriority w:val="39"/>
    <w:rsid w:val="00E20569"/>
    <w:pPr>
      <w:tabs>
        <w:tab w:val="right" w:pos="9450"/>
      </w:tabs>
      <w:ind w:right="-86"/>
    </w:pPr>
    <w:rPr>
      <w:rFonts w:ascii="Arial" w:eastAsia="MS Mincho" w:hAnsi="Arial"/>
      <w:bCs/>
      <w:noProof/>
      <w:color w:val="000000"/>
      <w:sz w:val="32"/>
      <w:szCs w:val="22"/>
      <w:u w:val="single"/>
    </w:rPr>
  </w:style>
  <w:style w:type="character" w:styleId="Hyperlink">
    <w:name w:val="Hyperlink"/>
    <w:uiPriority w:val="99"/>
    <w:rsid w:val="00E20569"/>
    <w:rPr>
      <w:rFonts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6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415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0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9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9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994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1D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1D3B"/>
  </w:style>
  <w:style w:type="character" w:styleId="EndnoteReference">
    <w:name w:val="endnote reference"/>
    <w:basedOn w:val="DefaultParagraphFont"/>
    <w:uiPriority w:val="99"/>
    <w:semiHidden/>
    <w:unhideWhenUsed/>
    <w:rsid w:val="00531D3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1D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D3B"/>
  </w:style>
  <w:style w:type="character" w:styleId="FootnoteReference">
    <w:name w:val="footnote reference"/>
    <w:basedOn w:val="DefaultParagraphFont"/>
    <w:uiPriority w:val="99"/>
    <w:unhideWhenUsed/>
    <w:rsid w:val="00531D3B"/>
    <w:rPr>
      <w:vertAlign w:val="superscript"/>
    </w:rPr>
  </w:style>
  <w:style w:type="paragraph" w:styleId="Revision">
    <w:name w:val="Revision"/>
    <w:hidden/>
    <w:uiPriority w:val="99"/>
    <w:semiHidden/>
    <w:rsid w:val="008A18C3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E20569"/>
    <w:pPr>
      <w:tabs>
        <w:tab w:val="right" w:pos="9350"/>
      </w:tabs>
      <w:spacing w:after="60" w:line="320" w:lineRule="exact"/>
      <w:ind w:left="1152"/>
    </w:pPr>
    <w:rPr>
      <w:rFonts w:ascii="Arial" w:eastAsia="MS Mincho" w:hAnsi="Arial"/>
      <w:bCs/>
      <w:noProof/>
      <w:sz w:val="20"/>
      <w:szCs w:val="22"/>
    </w:rPr>
  </w:style>
  <w:style w:type="paragraph" w:styleId="TOC1">
    <w:name w:val="toc 1"/>
    <w:basedOn w:val="Normal"/>
    <w:next w:val="Normal"/>
    <w:autoRedefine/>
    <w:uiPriority w:val="39"/>
    <w:rsid w:val="00E20569"/>
    <w:pPr>
      <w:tabs>
        <w:tab w:val="right" w:pos="9450"/>
      </w:tabs>
      <w:ind w:right="-86"/>
    </w:pPr>
    <w:rPr>
      <w:rFonts w:ascii="Arial" w:eastAsia="MS Mincho" w:hAnsi="Arial"/>
      <w:bCs/>
      <w:noProof/>
      <w:color w:val="000000"/>
      <w:sz w:val="32"/>
      <w:szCs w:val="22"/>
      <w:u w:val="single"/>
    </w:rPr>
  </w:style>
  <w:style w:type="character" w:styleId="Hyperlink">
    <w:name w:val="Hyperlink"/>
    <w:uiPriority w:val="99"/>
    <w:rsid w:val="00E20569"/>
    <w:rPr>
      <w:rFonts w:cs="Times New Roman"/>
      <w:color w:val="00000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6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E6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6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6E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6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D2387-6D65-4E6A-A2BC-549483DED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Cope, James R. (CDC/CGH/DGDDER)</cp:lastModifiedBy>
  <cp:revision>12</cp:revision>
  <cp:lastPrinted>2012-02-08T14:25:00Z</cp:lastPrinted>
  <dcterms:created xsi:type="dcterms:W3CDTF">2013-09-05T14:18:00Z</dcterms:created>
  <dcterms:modified xsi:type="dcterms:W3CDTF">2013-09-25T13:25:00Z</dcterms:modified>
</cp:coreProperties>
</file>