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D7" w:rsidRDefault="009B456F">
      <w:r>
        <w:t>Statistical data on substances’ consumption for 3 year period (2014-2016) were used to determine the annu</w:t>
      </w:r>
      <w:bookmarkStart w:id="0" w:name="_GoBack"/>
      <w:bookmarkEnd w:id="0"/>
      <w:r>
        <w:t>al requirement of substances.</w:t>
      </w:r>
    </w:p>
    <w:sectPr w:rsidR="00EC1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A0"/>
    <w:rsid w:val="00951AA0"/>
    <w:rsid w:val="009B456F"/>
    <w:rsid w:val="00E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2</cp:revision>
  <dcterms:created xsi:type="dcterms:W3CDTF">2017-06-13T13:01:00Z</dcterms:created>
  <dcterms:modified xsi:type="dcterms:W3CDTF">2017-06-13T13:09:00Z</dcterms:modified>
</cp:coreProperties>
</file>