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10CB4" w:rsidRPr="005B5AF5" w:rsidTr="00E10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0455" w:rsidRPr="000732D3" w:rsidRDefault="006A66AE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Arial"/>
                <w:bCs/>
                <w:sz w:val="24"/>
                <w:szCs w:val="24"/>
              </w:rPr>
              <w:t>T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he Council of Europe’s </w:t>
            </w:r>
            <w:r w:rsidR="0028045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co-operation group to combat d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rug abuse and </w:t>
            </w:r>
            <w:r w:rsidR="0028045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i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llicit trafficking in drugs</w:t>
            </w:r>
            <w:r w:rsidR="0028045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-</w:t>
            </w:r>
            <w:r w:rsidR="00634A1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was created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in 19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71 by the initiative of George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Pompido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u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28045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– the 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president of France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at that time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. The group initially included 7 countries, now </w:t>
            </w:r>
            <w:r w:rsidR="0028045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it comprises 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39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countries</w:t>
            </w:r>
            <w:r w:rsidR="0028045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In 1980 the Group was incorporated into the institutional framework of the Council of Europe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280455" w:rsidRPr="000732D3" w:rsidRDefault="00280455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E10CB4" w:rsidRPr="000732D3" w:rsidRDefault="00634A11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The Pompidou Group’s core mission is to contribute to the development of multidisciplinary, innovative, effective and evidence-based drug policies in its member states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and </w:t>
            </w:r>
            <w:proofErr w:type="spellStart"/>
            <w:proofErr w:type="gramStart"/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beound</w:t>
            </w:r>
            <w:proofErr w:type="spellEnd"/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in</w:t>
            </w:r>
            <w:proofErr w:type="gramEnd"/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order to implement </w:t>
            </w:r>
            <w:r w:rsidR="00E10CB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prevention, harm reduction, treatment and law enforcement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on drug related issue.</w:t>
            </w:r>
          </w:p>
          <w:p w:rsidR="00E10CB4" w:rsidRPr="000732D3" w:rsidRDefault="00E10CB4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E10CB4" w:rsidRPr="000732D3" w:rsidRDefault="00E10CB4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Human Rig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ht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proofErr w:type="gramStart"/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protection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accordi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ng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international agreement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are</w:t>
            </w:r>
            <w:proofErr w:type="gramEnd"/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envisage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d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in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Group’s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all activities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5B5AF5" w:rsidRPr="000732D3" w:rsidRDefault="005B5AF5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0732D3" w:rsidRDefault="00A239DF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Pompidou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group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responses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new c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hallenges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, such as new psychoactive substances, po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ly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drug abuse,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sale and supply of illicit drugs via the Internet and </w:t>
            </w:r>
            <w:proofErr w:type="spellStart"/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e.t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c</w:t>
            </w:r>
            <w:proofErr w:type="spellEnd"/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group is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source of innovation and inspiration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rather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an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organ setting standar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d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s. It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uses open 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debates and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experience sharing</w:t>
            </w:r>
            <w:r w:rsidR="005B5A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methods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5B5AF5" w:rsidRPr="000732D3" w:rsidRDefault="005B5AF5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0732D3" w:rsidRDefault="00990AC2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A</w:t>
            </w:r>
            <w:r w:rsidR="00A239D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hallmark</w:t>
            </w:r>
            <w:r w:rsidR="00A239D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activity </w:t>
            </w:r>
            <w:r w:rsidR="00A239D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of the Pompidou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Group</w:t>
            </w:r>
            <w:r w:rsidR="00A239D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:</w:t>
            </w:r>
          </w:p>
          <w:p w:rsidR="00A239DF" w:rsidRPr="000732D3" w:rsidRDefault="00A239DF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0732D3" w:rsidRDefault="00A239DF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0732D3" w:rsidRDefault="00A239D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Development, implementation and </w:t>
            </w:r>
            <w:r w:rsidR="005F7031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review</w:t>
            </w: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of national </w:t>
            </w:r>
            <w:r w:rsidR="001140CB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drug </w:t>
            </w: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policy.</w:t>
            </w:r>
          </w:p>
          <w:p w:rsidR="00A239DF" w:rsidRPr="000732D3" w:rsidRDefault="00A239DF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group contributes </w:t>
            </w:r>
            <w:r w:rsidR="005821DE" w:rsidRPr="000732D3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policy</w:t>
            </w:r>
            <w:r w:rsidR="005821DE" w:rsidRPr="000732D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5821DE" w:rsidRPr="000732D3">
              <w:rPr>
                <w:rFonts w:ascii="Arial" w:hAnsi="Arial" w:cs="Arial"/>
                <w:color w:val="545454"/>
                <w:shd w:val="clear" w:color="auto" w:fill="FFFFFF"/>
              </w:rPr>
              <w:t>makers for</w:t>
            </w:r>
            <w:r w:rsidR="005821DE" w:rsidRPr="000732D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5821DE" w:rsidRPr="000732D3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developing</w:t>
            </w:r>
            <w:r w:rsidR="005821DE" w:rsidRPr="000732D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5821DE" w:rsidRPr="000732D3">
              <w:rPr>
                <w:rFonts w:ascii="Arial" w:hAnsi="Arial" w:cs="Arial"/>
                <w:color w:val="545454"/>
                <w:shd w:val="clear" w:color="auto" w:fill="FFFFFF"/>
              </w:rPr>
              <w:t>coherent</w:t>
            </w:r>
            <w:r w:rsidR="005821DE" w:rsidRPr="000732D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5821DE" w:rsidRPr="000732D3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policies</w:t>
            </w:r>
            <w:r w:rsidR="005821DE" w:rsidRPr="000732D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5821DE" w:rsidRPr="000732D3">
              <w:rPr>
                <w:rFonts w:ascii="Arial" w:hAnsi="Arial" w:cs="Arial"/>
                <w:color w:val="545454"/>
                <w:shd w:val="clear" w:color="auto" w:fill="FFFFFF"/>
              </w:rPr>
              <w:t>for licit and illicit</w:t>
            </w:r>
            <w:r w:rsidR="005821DE" w:rsidRPr="000732D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5821DE" w:rsidRPr="000732D3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drugs</w:t>
            </w:r>
            <w:r w:rsidR="005821DE" w:rsidRPr="000732D3">
              <w:rPr>
                <w:rFonts w:ascii="Arial" w:hAnsi="Arial" w:cs="Arial"/>
                <w:color w:val="545454"/>
                <w:shd w:val="clear" w:color="auto" w:fill="FFFFFF"/>
              </w:rPr>
              <w:t>.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It uses examples of good and bad practice. It gives advices, formulates recommendation.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It proves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the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necessity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of research in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order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reduce drug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supply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and demand.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The Pompidou </w:t>
            </w:r>
            <w:proofErr w:type="gramStart"/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group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help</w:t>
            </w:r>
            <w:proofErr w:type="gramEnd"/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countries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devel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op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national poly 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taking into consideration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countries 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specific situation and provides 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supervision in regards to 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planned 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intercountry activities</w:t>
            </w:r>
            <w:r w:rsidR="005821DE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</w:p>
          <w:p w:rsidR="00A239DF" w:rsidRPr="000732D3" w:rsidRDefault="00A239DF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E43FF" w:rsidRPr="000732D3" w:rsidRDefault="001140CB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A</w:t>
            </w:r>
            <w:r w:rsidR="005F7031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irports</w:t>
            </w:r>
            <w:r w:rsidR="00AE43FF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group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-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multidisciplinary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o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rgan analyzing</w:t>
            </w:r>
            <w:r w:rsidR="005E42D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drug trafficking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trend,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routes, risks,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seizures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,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risks,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modus operandi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at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Europe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an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Airport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to improve drug detection</w:t>
            </w:r>
            <w:r w:rsidR="005E42D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AE43FF" w:rsidRPr="000732D3" w:rsidRDefault="00AE43FF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E43FF" w:rsidRPr="000732D3" w:rsidRDefault="00AE43F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International </w:t>
            </w:r>
            <w:r w:rsidR="005F7031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networks</w:t>
            </w: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o</w:t>
            </w:r>
            <w:r w:rsidR="001140CB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n precursor</w:t>
            </w:r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control </w:t>
            </w:r>
            <w:r w:rsidR="0096488C"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aims at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ensur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ing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E42D4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direct contacts 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and 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interagency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cooperation 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among national experts from police, customs, </w:t>
            </w:r>
            <w:proofErr w:type="gramStart"/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regulatory  board</w:t>
            </w:r>
            <w:proofErr w:type="gramEnd"/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granting export and import authorizations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fo</w:t>
            </w:r>
            <w:r w:rsidR="001B572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r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the prevention of 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trafficking and diversion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of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new psychoactive substances, precursors and pre-precursors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. </w:t>
            </w:r>
          </w:p>
          <w:p w:rsidR="005E42D4" w:rsidRPr="000732D3" w:rsidRDefault="005E42D4" w:rsidP="000732D3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E43FF" w:rsidRPr="000732D3" w:rsidRDefault="000732D3" w:rsidP="00114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drug policy co-operation in South-East Europe </w:t>
            </w:r>
            <w:proofErr w:type="gramStart"/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and  Mediterranean</w:t>
            </w:r>
            <w:proofErr w:type="gramEnd"/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 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countries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.</w:t>
            </w:r>
            <w:r w:rsidR="00AE43FF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</w:p>
          <w:p w:rsidR="00AE43FF" w:rsidRPr="000732D3" w:rsidRDefault="001140CB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Executiv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e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Training for drug Policy Managers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aims at capacity building purposes for drug policy managers.</w:t>
            </w:r>
          </w:p>
          <w:p w:rsidR="001140CB" w:rsidRPr="000732D3" w:rsidRDefault="005821DE" w:rsidP="00114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Experience and assistance network provides practical examples </w:t>
            </w:r>
            <w:r w:rsidR="000732D3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though visits and </w:t>
            </w:r>
            <w:r w:rsidR="000732D3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lastRenderedPageBreak/>
              <w:t>meeting.</w:t>
            </w:r>
          </w:p>
          <w:p w:rsidR="00BC47F5" w:rsidRPr="000732D3" w:rsidRDefault="00BC47F5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0732D3">
              <w:rPr>
                <w:rFonts w:ascii="Sylfaen" w:eastAsia="Times New Roman" w:hAnsi="Sylfaen" w:cs="Arial"/>
                <w:bCs/>
                <w:i/>
                <w:sz w:val="24"/>
                <w:szCs w:val="24"/>
              </w:rPr>
              <w:t>European prevention prize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(grant</w:t>
            </w:r>
            <w:r w:rsidR="0096488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-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500 euros) </w:t>
            </w:r>
            <w:r w:rsidR="0077080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promotes youth participation for the development drug prevention programs.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Youth is not only target group but imp</w:t>
            </w:r>
            <w:r w:rsidR="0077080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l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e</w:t>
            </w:r>
            <w:r w:rsidR="0077080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menting</w:t>
            </w:r>
            <w:r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prevention programs</w:t>
            </w:r>
            <w:r w:rsidR="0077080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BC47F5" w:rsidRPr="000732D3" w:rsidRDefault="001140CB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proofErr w:type="gramStart"/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Drugs in Prison </w:t>
            </w:r>
            <w:proofErr w:type="spellStart"/>
            <w:r w:rsidRPr="000732D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Programme</w:t>
            </w:r>
            <w:proofErr w:type="spellEnd"/>
            <w:r w:rsidR="00BC47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is</w:t>
            </w:r>
            <w:proofErr w:type="gramEnd"/>
            <w:r w:rsidR="00BC47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directed to health </w:t>
            </w:r>
            <w:r w:rsidR="0077080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care improvement</w:t>
            </w:r>
            <w:r w:rsidR="00BC47F5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77080C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in penitentiary institutions and 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insurance of prisoners 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>reintegration</w:t>
            </w:r>
            <w:r w:rsidR="00990AC2" w:rsidRPr="000732D3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into society.</w:t>
            </w:r>
          </w:p>
          <w:p w:rsidR="00E10CB4" w:rsidRPr="0077080C" w:rsidRDefault="00E10CB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</w:tc>
      </w:tr>
    </w:tbl>
    <w:p w:rsidR="00E10CB4" w:rsidRPr="005B5AF5" w:rsidRDefault="00E10CB4" w:rsidP="005B5AF5">
      <w:pPr>
        <w:shd w:val="clear" w:color="auto" w:fill="D8D5C6"/>
        <w:spacing w:after="0" w:line="240" w:lineRule="auto"/>
        <w:jc w:val="both"/>
        <w:rPr>
          <w:rFonts w:ascii="Sylfaen" w:eastAsia="Times New Roman" w:hAnsi="Sylfaen" w:cs="Arial"/>
          <w:bCs/>
          <w:color w:val="6C6C6C"/>
          <w:sz w:val="24"/>
          <w:szCs w:val="24"/>
        </w:rPr>
      </w:pPr>
    </w:p>
    <w:sectPr w:rsidR="00E10CB4" w:rsidRPr="005B5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51E"/>
    <w:multiLevelType w:val="hybridMultilevel"/>
    <w:tmpl w:val="BF5A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546D8"/>
    <w:multiLevelType w:val="hybridMultilevel"/>
    <w:tmpl w:val="76BA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FF"/>
    <w:rsid w:val="000732D3"/>
    <w:rsid w:val="001140CB"/>
    <w:rsid w:val="001B5722"/>
    <w:rsid w:val="00280455"/>
    <w:rsid w:val="005821DE"/>
    <w:rsid w:val="005B5AF5"/>
    <w:rsid w:val="005E42D4"/>
    <w:rsid w:val="005F7031"/>
    <w:rsid w:val="00634A11"/>
    <w:rsid w:val="006A52D6"/>
    <w:rsid w:val="006A66AE"/>
    <w:rsid w:val="0077080C"/>
    <w:rsid w:val="0096488C"/>
    <w:rsid w:val="00990AC2"/>
    <w:rsid w:val="00A239DF"/>
    <w:rsid w:val="00AE43FF"/>
    <w:rsid w:val="00BC47F5"/>
    <w:rsid w:val="00C814FF"/>
    <w:rsid w:val="00E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10CB4"/>
  </w:style>
  <w:style w:type="character" w:customStyle="1" w:styleId="apple-converted-space">
    <w:name w:val="apple-converted-space"/>
    <w:basedOn w:val="DefaultParagraphFont"/>
    <w:rsid w:val="00E10CB4"/>
  </w:style>
  <w:style w:type="character" w:styleId="Hyperlink">
    <w:name w:val="Hyperlink"/>
    <w:basedOn w:val="DefaultParagraphFont"/>
    <w:uiPriority w:val="99"/>
    <w:semiHidden/>
    <w:unhideWhenUsed/>
    <w:rsid w:val="00E10CB4"/>
    <w:rPr>
      <w:color w:val="0000FF"/>
      <w:u w:val="single"/>
    </w:rPr>
  </w:style>
  <w:style w:type="character" w:customStyle="1" w:styleId="titlewrite">
    <w:name w:val="titlewrite"/>
    <w:basedOn w:val="DefaultParagraphFont"/>
    <w:rsid w:val="00E10CB4"/>
  </w:style>
  <w:style w:type="character" w:customStyle="1" w:styleId="titlepink">
    <w:name w:val="titlepink"/>
    <w:basedOn w:val="DefaultParagraphFont"/>
    <w:rsid w:val="00E10CB4"/>
  </w:style>
  <w:style w:type="paragraph" w:styleId="BalloonText">
    <w:name w:val="Balloon Text"/>
    <w:basedOn w:val="Normal"/>
    <w:link w:val="BalloonTextChar"/>
    <w:uiPriority w:val="99"/>
    <w:semiHidden/>
    <w:unhideWhenUsed/>
    <w:rsid w:val="00E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9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21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10CB4"/>
  </w:style>
  <w:style w:type="character" w:customStyle="1" w:styleId="apple-converted-space">
    <w:name w:val="apple-converted-space"/>
    <w:basedOn w:val="DefaultParagraphFont"/>
    <w:rsid w:val="00E10CB4"/>
  </w:style>
  <w:style w:type="character" w:styleId="Hyperlink">
    <w:name w:val="Hyperlink"/>
    <w:basedOn w:val="DefaultParagraphFont"/>
    <w:uiPriority w:val="99"/>
    <w:semiHidden/>
    <w:unhideWhenUsed/>
    <w:rsid w:val="00E10CB4"/>
    <w:rPr>
      <w:color w:val="0000FF"/>
      <w:u w:val="single"/>
    </w:rPr>
  </w:style>
  <w:style w:type="character" w:customStyle="1" w:styleId="titlewrite">
    <w:name w:val="titlewrite"/>
    <w:basedOn w:val="DefaultParagraphFont"/>
    <w:rsid w:val="00E10CB4"/>
  </w:style>
  <w:style w:type="character" w:customStyle="1" w:styleId="titlepink">
    <w:name w:val="titlepink"/>
    <w:basedOn w:val="DefaultParagraphFont"/>
    <w:rsid w:val="00E10CB4"/>
  </w:style>
  <w:style w:type="paragraph" w:styleId="BalloonText">
    <w:name w:val="Balloon Text"/>
    <w:basedOn w:val="Normal"/>
    <w:link w:val="BalloonTextChar"/>
    <w:uiPriority w:val="99"/>
    <w:semiHidden/>
    <w:unhideWhenUsed/>
    <w:rsid w:val="00E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9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2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649">
              <w:marLeft w:val="22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</w:divsChild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458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  <w:div w:id="3312988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E8C8C"/>
                    <w:bottom w:val="none" w:sz="0" w:space="0" w:color="auto"/>
                    <w:right w:val="single" w:sz="6" w:space="8" w:color="8E8C8C"/>
                  </w:divBdr>
                </w:div>
              </w:divsChild>
            </w:div>
            <w:div w:id="1597127413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  <w:div w:id="1551725551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3</cp:revision>
  <dcterms:created xsi:type="dcterms:W3CDTF">2017-06-13T07:58:00Z</dcterms:created>
  <dcterms:modified xsi:type="dcterms:W3CDTF">2017-06-13T07:59:00Z</dcterms:modified>
</cp:coreProperties>
</file>