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62" w:rsidRDefault="00A970CB" w:rsidP="00A970CB">
      <w:pPr>
        <w:spacing w:after="0"/>
        <w:rPr>
          <w:rFonts w:ascii="Sylfaen" w:hAnsi="Sylfaen"/>
        </w:rPr>
      </w:pPr>
      <w:r>
        <w:rPr>
          <w:rFonts w:ascii="Sylfaen" w:hAnsi="Sylfaen"/>
          <w:lang w:val="ka-GE"/>
        </w:rPr>
        <w:t>მუხლი1</w:t>
      </w:r>
    </w:p>
    <w:p w:rsidR="00A970CB" w:rsidRPr="00A970CB" w:rsidRDefault="00A970CB" w:rsidP="00A970CB">
      <w:pPr>
        <w:spacing w:after="0"/>
        <w:rPr>
          <w:rFonts w:ascii="Sylfaen" w:hAnsi="Sylfaen"/>
          <w:b/>
          <w:lang w:val="ka-GE"/>
        </w:rPr>
      </w:pPr>
      <w:r w:rsidRPr="00A970CB">
        <w:rPr>
          <w:rFonts w:ascii="Sylfaen" w:hAnsi="Sylfaen"/>
          <w:b/>
          <w:lang w:val="ka-GE"/>
        </w:rPr>
        <w:t>ზოგადი შენიშვნები</w:t>
      </w:r>
    </w:p>
    <w:p w:rsidR="00A970CB" w:rsidRPr="00A970CB" w:rsidRDefault="00A970CB" w:rsidP="00A970C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 w:rsidRPr="00A970CB">
        <w:rPr>
          <w:rFonts w:ascii="Sylfaen" w:hAnsi="Sylfaen" w:cs="Sylfaen"/>
          <w:lang w:val="ka-GE"/>
        </w:rPr>
        <w:t>ამ</w:t>
      </w:r>
      <w:r w:rsidRPr="00A970CB">
        <w:rPr>
          <w:rFonts w:ascii="Sylfaen" w:hAnsi="Sylfaen"/>
          <w:lang w:val="ka-GE"/>
        </w:rPr>
        <w:t xml:space="preserve"> კონვენციაშია არ არის ტერმინები:</w:t>
      </w:r>
    </w:p>
    <w:p w:rsidR="00A970CB" w:rsidRDefault="00A970CB" w:rsidP="00A970CB">
      <w:pPr>
        <w:spacing w:after="0"/>
        <w:rPr>
          <w:rFonts w:ascii="Sylfaen" w:hAnsi="Sylfaen"/>
        </w:rPr>
      </w:pPr>
      <w:r>
        <w:rPr>
          <w:rFonts w:ascii="Sylfaen" w:hAnsi="Sylfaen"/>
        </w:rPr>
        <w:t>Consumption</w:t>
      </w:r>
    </w:p>
    <w:p w:rsidR="00A970CB" w:rsidRDefault="00A970CB" w:rsidP="00A970CB">
      <w:pPr>
        <w:spacing w:after="0"/>
        <w:rPr>
          <w:rFonts w:ascii="Sylfaen" w:hAnsi="Sylfaen"/>
        </w:rPr>
      </w:pPr>
      <w:r>
        <w:rPr>
          <w:rFonts w:ascii="Sylfaen" w:hAnsi="Sylfaen"/>
        </w:rPr>
        <w:t>Cultivation</w:t>
      </w:r>
    </w:p>
    <w:p w:rsidR="00A970CB" w:rsidRDefault="00A970CB" w:rsidP="00A970CB">
      <w:pPr>
        <w:spacing w:after="0"/>
        <w:rPr>
          <w:rFonts w:ascii="Sylfaen" w:hAnsi="Sylfaen"/>
        </w:rPr>
      </w:pPr>
      <w:r>
        <w:rPr>
          <w:rFonts w:ascii="Sylfaen" w:hAnsi="Sylfaen"/>
        </w:rPr>
        <w:t>Production</w:t>
      </w:r>
    </w:p>
    <w:p w:rsidR="00A970CB" w:rsidRDefault="00A970CB" w:rsidP="00A970CB">
      <w:pPr>
        <w:spacing w:after="0"/>
        <w:rPr>
          <w:rFonts w:ascii="Sylfaen" w:hAnsi="Sylfaen"/>
        </w:rPr>
      </w:pPr>
      <w:r>
        <w:rPr>
          <w:rFonts w:ascii="Sylfaen" w:hAnsi="Sylfaen"/>
        </w:rPr>
        <w:t>Stocks</w:t>
      </w:r>
    </w:p>
    <w:p w:rsidR="00A970CB" w:rsidRDefault="00A970CB" w:rsidP="00A970CB">
      <w:pPr>
        <w:spacing w:after="0"/>
        <w:rPr>
          <w:rFonts w:ascii="Sylfaen" w:hAnsi="Sylfaen"/>
        </w:rPr>
      </w:pPr>
      <w:r>
        <w:rPr>
          <w:rFonts w:ascii="Sylfaen" w:hAnsi="Sylfaen"/>
        </w:rPr>
        <w:t>Special stocks</w:t>
      </w:r>
    </w:p>
    <w:p w:rsidR="00A970CB" w:rsidRDefault="00A970CB" w:rsidP="00A970CB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</w:rPr>
        <w:t>Territory</w:t>
      </w:r>
    </w:p>
    <w:p w:rsidR="00A970CB" w:rsidRDefault="00A970CB" w:rsidP="00A970C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მოხმარება და მოხმარებული 1961 წლის კონვენციაში არის გამოყენებული, რათა განისაზღვროს კონტროლირებადი ნივთიერების გადასვლა საბითუმო დონიდან საცალო დონეზე და არა მისი ჩვეულ;ებრივი მნიშვნელობით(თუმცა 1961 წლის კონვენციის 9 მუხლის 3 პუნქტი ჩანს თითქოს ნახსენების მისი ზოგადი მნიშვნელობით)</w:t>
      </w:r>
    </w:p>
    <w:p w:rsidR="00A970CB" w:rsidRDefault="00A970CB" w:rsidP="00B7270D">
      <w:pPr>
        <w:spacing w:after="0"/>
        <w:rPr>
          <w:rFonts w:ascii="Sylfaen" w:hAnsi="Sylfaen"/>
          <w:lang w:val="ka-GE"/>
        </w:rPr>
      </w:pPr>
    </w:p>
    <w:p w:rsidR="00B7270D" w:rsidRDefault="00B7270D" w:rsidP="00B7270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 მარაგები (</w:t>
      </w:r>
      <w:r>
        <w:rPr>
          <w:rFonts w:ascii="Sylfaen" w:hAnsi="Sylfaen"/>
        </w:rPr>
        <w:t xml:space="preserve">stocks) </w:t>
      </w:r>
    </w:p>
    <w:p w:rsidR="00B7270D" w:rsidRDefault="00B7270D" w:rsidP="00B7270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აფთიაქი </w:t>
      </w:r>
      <w:r>
        <w:rPr>
          <w:rFonts w:ascii="Sylfaen" w:hAnsi="Sylfaen"/>
        </w:rPr>
        <w:t>(pharmacy)</w:t>
      </w:r>
      <w:r>
        <w:rPr>
          <w:rFonts w:ascii="Sylfaen" w:hAnsi="Sylfaen"/>
          <w:lang w:val="ka-GE"/>
        </w:rPr>
        <w:t xml:space="preserve">  ნიშნავს - ყველა ფსიქოტროპული ნივთიერებებით </w:t>
      </w:r>
      <w:r>
        <w:rPr>
          <w:rFonts w:ascii="Sylfaen" w:hAnsi="Sylfaen"/>
          <w:lang w:val="ka-GE"/>
        </w:rPr>
        <w:t>ლიცენზირებული</w:t>
      </w:r>
      <w:r>
        <w:rPr>
          <w:rFonts w:ascii="Sylfaen" w:hAnsi="Sylfaen"/>
          <w:lang w:val="ka-GE"/>
        </w:rPr>
        <w:t xml:space="preserve"> საცალოდ მოვაჭრეს.</w:t>
      </w:r>
    </w:p>
    <w:p w:rsidR="00B7270D" w:rsidRDefault="00B7270D" w:rsidP="00B7270D">
      <w:pPr>
        <w:spacing w:after="0"/>
        <w:rPr>
          <w:rFonts w:ascii="Sylfaen" w:hAnsi="Sylfaen"/>
          <w:lang w:val="ka-GE"/>
        </w:rPr>
      </w:pPr>
    </w:p>
    <w:p w:rsidR="003E1BCA" w:rsidRDefault="003E1BCA" w:rsidP="00B7270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 1961 წლის კონვენციის საპირისპიროს ტერმინი-მარაგები , რომრლიც გამოყენებულია 2 პუნქტში არ გამორიცხავს ოდენობას, რომელიც არის საცალო აფთიაქქების და სხვა ავტორიზებული საცალო დისტრიბუტორების და დაწესებულებების ან სხვა კვალიფიცირებული პირის მფლობელობაში, რომელიც აჭურვილია სატანადო ნებართვით, რრატა განახორციელოს თერეპიული და სამეცნიერო ფუნქციები.</w:t>
      </w:r>
    </w:p>
    <w:p w:rsidR="003E1BCA" w:rsidRDefault="003E1BCA" w:rsidP="00B7270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6. პუნქტი 2 დადგენილება მარაგებტან მიმარტებაში ნიშნავს, რომ მხარეებმა უნდა შეზღუდოს საკუტებაში ქონა მხოლოდ სამედიცინო და სამცნიერო მიზნების </w:t>
      </w:r>
      <w:r w:rsidRPr="00314404">
        <w:rPr>
          <w:rFonts w:ascii="Sylfaen" w:hAnsi="Sylfaen"/>
          <w:lang w:val="ka-GE"/>
        </w:rPr>
        <w:t xml:space="preserve">II, III , IV </w:t>
      </w:r>
      <w:r>
        <w:rPr>
          <w:rFonts w:ascii="Sylfaen" w:hAnsi="Sylfaen"/>
          <w:lang w:val="ka-GE"/>
        </w:rPr>
        <w:t xml:space="preserve">სიების დაწესებულებების მიერ, რომლებიც ჩართული არის ვაწრობის ნებისმიერ სტადიაში (მოიაზრება წარმოება და დისრიბუცია შემოსავლის მირების გარეშეც). რადგანაც </w:t>
      </w:r>
      <w:r w:rsidR="00314404">
        <w:rPr>
          <w:rFonts w:ascii="Sylfaen" w:hAnsi="Sylfaen"/>
          <w:lang w:val="ka-GE"/>
        </w:rPr>
        <w:t>არ შეიზლება მიჩნევა, რომ 1971 წლის კონვენცია იყენებს ურთიერ გადამფარავ ტერმინს, ამოტომ უნდა მივიჩნიოთმ რომ საკუთრებაში ქონა 2 და 3 პუნქტებშიმითიტებულია საკუტებაში ქონა (</w:t>
      </w:r>
      <w:r w:rsidR="00314404" w:rsidRPr="00314404">
        <w:rPr>
          <w:rFonts w:ascii="Sylfaen" w:hAnsi="Sylfaen"/>
          <w:lang w:val="ka-GE"/>
        </w:rPr>
        <w:t xml:space="preserve">possession), </w:t>
      </w:r>
      <w:r w:rsidR="00314404">
        <w:rPr>
          <w:rFonts w:ascii="Sylfaen" w:hAnsi="Sylfaen"/>
          <w:lang w:val="ka-GE"/>
        </w:rPr>
        <w:t xml:space="preserve">არ მოიცავს ფსიქოტროპული ნივთიერების საკუთებაში ქონას ვაწრობის მიხნით.. </w:t>
      </w:r>
      <w:r w:rsidR="00314404">
        <w:rPr>
          <w:rFonts w:ascii="Sylfaen" w:hAnsi="Sylfaen"/>
          <w:lang w:val="ka-GE"/>
        </w:rPr>
        <w:t>საკუტებაში ქონა (</w:t>
      </w:r>
      <w:r w:rsidR="00314404">
        <w:rPr>
          <w:rFonts w:ascii="Sylfaen" w:hAnsi="Sylfaen"/>
          <w:lang w:val="ka-GE"/>
        </w:rPr>
        <w:t xml:space="preserve">possession)-ს აქვს განსხვავებული მნიშვნელობა 1961 წლის მუხლი 4 და მუხლი 33. </w:t>
      </w:r>
    </w:p>
    <w:p w:rsidR="00314404" w:rsidRDefault="00314404" w:rsidP="00B7270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7. განსხვავება მარაგების არსებობასა, მაგალითად ვაწობის მიზნით და საკუთრებაში ქონა სხვა მიზნებისატვის იუო მოტივირებული ომ სურვილით, რომ მტავრობებისათის მიაცათ შესაძლებლობა განესხვავინათ </w:t>
      </w:r>
    </w:p>
    <w:p w:rsidR="00314404" w:rsidRPr="00314404" w:rsidRDefault="00314404" w:rsidP="00B7270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</w:t>
      </w:r>
      <w:bookmarkStart w:id="0" w:name="_GoBack"/>
      <w:bookmarkEnd w:id="0"/>
    </w:p>
    <w:p w:rsidR="00A970CB" w:rsidRPr="00314404" w:rsidRDefault="00A970CB" w:rsidP="00A970CB">
      <w:pPr>
        <w:spacing w:after="0"/>
        <w:rPr>
          <w:rFonts w:ascii="Sylfaen" w:hAnsi="Sylfaen"/>
          <w:lang w:val="ka-GE"/>
        </w:rPr>
      </w:pPr>
    </w:p>
    <w:sectPr w:rsidR="00A970CB" w:rsidRPr="00314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63862"/>
    <w:multiLevelType w:val="hybridMultilevel"/>
    <w:tmpl w:val="3A2C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DC"/>
    <w:rsid w:val="00035FDC"/>
    <w:rsid w:val="00137B62"/>
    <w:rsid w:val="00314404"/>
    <w:rsid w:val="003E1BCA"/>
    <w:rsid w:val="00A970CB"/>
    <w:rsid w:val="00B7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2</cp:revision>
  <dcterms:created xsi:type="dcterms:W3CDTF">2017-02-01T06:57:00Z</dcterms:created>
  <dcterms:modified xsi:type="dcterms:W3CDTF">2017-02-01T08:00:00Z</dcterms:modified>
</cp:coreProperties>
</file>