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535256231"/>
    <w:bookmarkStart w:id="1" w:name="_GoBack"/>
    <w:bookmarkEnd w:id="0"/>
    <w:bookmarkEnd w:id="1"/>
    <w:p w:rsidR="006F167E" w:rsidRDefault="001628D3" w:rsidP="00E24A9B">
      <w:pPr>
        <w:sectPr w:rsidR="006F167E">
          <w:headerReference w:type="default" r:id="rId9"/>
          <w:pgSz w:w="11909" w:h="16834" w:code="9"/>
          <w:pgMar w:top="3715" w:right="1440" w:bottom="1238" w:left="1440" w:header="1260" w:footer="720" w:gutter="0"/>
          <w:cols w:space="720"/>
          <w:docGrid w:linePitch="360"/>
        </w:sectPr>
      </w:pPr>
      <w:r>
        <w:rPr>
          <w:noProof/>
        </w:rPr>
        <mc:AlternateContent>
          <mc:Choice Requires="wps">
            <w:drawing>
              <wp:anchor distT="0" distB="0" distL="114300" distR="114300" simplePos="0" relativeHeight="251663872" behindDoc="0" locked="0" layoutInCell="1" allowOverlap="1" wp14:anchorId="56CA4CC1" wp14:editId="29EF61F4">
                <wp:simplePos x="0" y="0"/>
                <wp:positionH relativeFrom="column">
                  <wp:posOffset>9525</wp:posOffset>
                </wp:positionH>
                <wp:positionV relativeFrom="paragraph">
                  <wp:posOffset>2717800</wp:posOffset>
                </wp:positionV>
                <wp:extent cx="5267325" cy="3810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26732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2" w:name="_Hlk535256226" w:displacedByCustomXml="next"/>
                          <w:bookmarkEnd w:id="2" w:displacedByCustomXml="next"/>
                          <w:sdt>
                            <w:sdtPr>
                              <w:rPr>
                                <w:b/>
                                <w:color w:val="FFFFFF" w:themeColor="background1"/>
                                <w:sz w:val="24"/>
                              </w:rPr>
                              <w:alias w:val="Company"/>
                              <w:tag w:val=""/>
                              <w:id w:val="-1498419660"/>
                              <w:dataBinding w:prefixMappings="xmlns:ns0='http://schemas.openxmlformats.org/officeDocument/2006/extended-properties' " w:xpath="/ns0:Properties[1]/ns0:Company[1]" w:storeItemID="{6668398D-A668-4E3E-A5EB-62B293D839F1}"/>
                              <w:text/>
                            </w:sdtPr>
                            <w:sdtEndPr/>
                            <w:sdtContent>
                              <w:p w:rsidR="00826B2C" w:rsidRPr="00C17107" w:rsidRDefault="00826B2C" w:rsidP="00C17107">
                                <w:pPr>
                                  <w:pStyle w:val="TitlePageSubtitle"/>
                                  <w:rPr>
                                    <w:b/>
                                    <w:color w:val="FFFFFF" w:themeColor="background1"/>
                                    <w:sz w:val="24"/>
                                  </w:rPr>
                                </w:pPr>
                                <w:r>
                                  <w:rPr>
                                    <w:b/>
                                    <w:color w:val="FFFFFF" w:themeColor="background1"/>
                                    <w:sz w:val="24"/>
                                  </w:rPr>
                                  <w:t>USAID Governing for Growth (G4G) in Georgia</w:t>
                                </w:r>
                              </w:p>
                            </w:sdtContent>
                          </w:sdt>
                          <w:p w:rsidR="00826B2C" w:rsidRPr="00C17107" w:rsidRDefault="00826B2C">
                            <w:pPr>
                              <w:rPr>
                                <w:b/>
                                <w:color w:val="FFFFFF" w:themeColor="background1"/>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CA4CC1" id="_x0000_t202" coordsize="21600,21600" o:spt="202" path="m,l,21600r21600,l21600,xe">
                <v:stroke joinstyle="miter"/>
                <v:path gradientshapeok="t" o:connecttype="rect"/>
              </v:shapetype>
              <v:shape id="Text Box 10" o:spid="_x0000_s1026" type="#_x0000_t202" style="position:absolute;margin-left:.75pt;margin-top:214pt;width:414.75pt;height:30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" filled="f" stroked="f" strokeweight=".5pt">
                <v:textbox>
                  <w:txbxContent>
                    <w:bookmarkStart w:id="2" w:name="_Hlk535256226" w:displacedByCustomXml="next"/>
                    <w:bookmarkEnd w:id="2" w:displacedByCustomXml="next"/>
                    <w:sdt>
                      <w:sdtPr>
                        <w:rPr>
                          <w:b/>
                          <w:color w:val="FFFFFF" w:themeColor="background1"/>
                          <w:sz w:val="24"/>
                        </w:rPr>
                        <w:alias w:val="Company"/>
                        <w:tag w:val=""/>
                        <w:id w:val="-1498419660"/>
                        <w:dataBinding w:prefixMappings="xmlns:ns0='http://schemas.openxmlformats.org/officeDocument/2006/extended-properties' " w:xpath="/ns0:Properties[1]/ns0:Company[1]" w:storeItemID="{6668398D-A668-4E3E-A5EB-62B293D839F1}"/>
                        <w:text/>
                      </w:sdtPr>
                      <w:sdtContent>
                        <w:p w:rsidR="00826B2C" w:rsidRPr="00C17107" w:rsidRDefault="00826B2C" w:rsidP="00C17107">
                          <w:pPr>
                            <w:pStyle w:val="TitlePageSubtitle"/>
                            <w:rPr>
                              <w:b/>
                              <w:color w:val="FFFFFF" w:themeColor="background1"/>
                              <w:sz w:val="24"/>
                            </w:rPr>
                          </w:pPr>
                          <w:r>
                            <w:rPr>
                              <w:b/>
                              <w:color w:val="FFFFFF" w:themeColor="background1"/>
                              <w:sz w:val="24"/>
                            </w:rPr>
                            <w:t>USAID Governing for Growth (G4G) in Georgia</w:t>
                          </w:r>
                        </w:p>
                      </w:sdtContent>
                    </w:sdt>
                    <w:p w:rsidR="00826B2C" w:rsidRPr="00C17107" w:rsidRDefault="00826B2C">
                      <w:pPr>
                        <w:rPr>
                          <w:b/>
                          <w:color w:val="FFFFFF" w:themeColor="background1"/>
                          <w:sz w:val="16"/>
                        </w:rPr>
                      </w:pPr>
                    </w:p>
                  </w:txbxContent>
                </v:textbox>
              </v:shape>
            </w:pict>
          </mc:Fallback>
        </mc:AlternateContent>
      </w:r>
      <w:r w:rsidR="00744C53">
        <w:rPr>
          <w:noProof/>
        </w:rPr>
        <mc:AlternateContent>
          <mc:Choice Requires="wps">
            <w:drawing>
              <wp:anchor distT="0" distB="0" distL="114300" distR="114300" simplePos="0" relativeHeight="251651583" behindDoc="0" locked="0" layoutInCell="0" allowOverlap="1" wp14:anchorId="292BC3F0" wp14:editId="0F0891B4">
                <wp:simplePos x="0" y="0"/>
                <wp:positionH relativeFrom="column">
                  <wp:align>center</wp:align>
                </wp:positionH>
                <wp:positionV relativeFrom="page">
                  <wp:align>bottom</wp:align>
                </wp:positionV>
                <wp:extent cx="7561580" cy="5577840"/>
                <wp:effectExtent l="0" t="0" r="1270" b="381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1580" cy="5577857"/>
                        </a:xfrm>
                        <a:prstGeom prst="rect">
                          <a:avLst/>
                        </a:prstGeom>
                        <a:solidFill>
                          <a:srgbClr val="6666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B2C" w:rsidRPr="00A16B91" w:rsidRDefault="00826B2C" w:rsidP="00A16B91">
                            <w:pPr>
                              <w:pStyle w:val="CoverFooter"/>
                              <w:rPr>
                                <w:sz w:val="22"/>
                              </w:rPr>
                            </w:pPr>
                            <w:r>
                              <w:rPr>
                                <w:sz w:val="22"/>
                              </w:rPr>
                              <w:t>16 January 2019</w:t>
                            </w:r>
                          </w:p>
                          <w:p w:rsidR="00826B2C" w:rsidRPr="00743522" w:rsidRDefault="00826B2C" w:rsidP="00A16B91">
                            <w:pPr>
                              <w:pStyle w:val="CoverFooter"/>
                              <w:rPr>
                                <w:sz w:val="22"/>
                              </w:rPr>
                            </w:pPr>
                            <w:r w:rsidRPr="00A16B91">
                              <w:rPr>
                                <w:sz w:val="22"/>
                              </w:rPr>
                              <w:t>This publication was produced for review by the United States Agency for International Development. It was prepar</w:t>
                            </w:r>
                            <w:r>
                              <w:rPr>
                                <w:sz w:val="22"/>
                              </w:rPr>
                              <w:t xml:space="preserve">ed by Deloitte Consulting LLP. </w:t>
                            </w:r>
                            <w:r w:rsidRPr="00A16B91">
                              <w:rPr>
                                <w:sz w:val="22"/>
                              </w:rPr>
                              <w:t>The author’s views expressed in this publication do not necessarily reflect the views of the United States Agency for International Development or the United States Government.</w:t>
                            </w:r>
                          </w:p>
                        </w:txbxContent>
                      </wps:txbx>
                      <wps:bodyPr rot="0" vert="horz" wrap="square" lIns="91440" tIns="411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BC3F0" id="Text Box 3" o:spid="_x0000_s1027" type="#_x0000_t202" style="position:absolute;margin-left:0;margin-top:0;width:595.4pt;height:439.2pt;z-index:251651583;visibility:visible;mso-wrap-style:square;mso-width-percent:0;mso-height-percent:0;mso-wrap-distance-left:9pt;mso-wrap-distance-top:0;mso-wrap-distance-right:9pt;mso-wrap-distance-bottom:0;mso-position-horizontal:center;mso-position-horizontal-relative:text;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" o:allowincell="f" fillcolor="#666" stroked="f">
                <v:textbox inset=",324pt">
                  <w:txbxContent>
                    <w:p w:rsidR="00826B2C" w:rsidRPr="00A16B91" w:rsidRDefault="00826B2C" w:rsidP="00A16B91">
                      <w:pPr>
                        <w:pStyle w:val="CoverFooter"/>
                        <w:rPr>
                          <w:sz w:val="22"/>
                        </w:rPr>
                      </w:pPr>
                      <w:r>
                        <w:rPr>
                          <w:sz w:val="22"/>
                        </w:rPr>
                        <w:t>16 January 2019</w:t>
                      </w:r>
                    </w:p>
                    <w:p w:rsidR="00826B2C" w:rsidRPr="00743522" w:rsidRDefault="00826B2C" w:rsidP="00A16B91">
                      <w:pPr>
                        <w:pStyle w:val="CoverFooter"/>
                        <w:rPr>
                          <w:sz w:val="22"/>
                        </w:rPr>
                      </w:pPr>
                      <w:r w:rsidRPr="00A16B91">
                        <w:rPr>
                          <w:sz w:val="22"/>
                        </w:rPr>
                        <w:t>This publication was produced for review by the United States Agency for International Development. It was prepar</w:t>
                      </w:r>
                      <w:r>
                        <w:rPr>
                          <w:sz w:val="22"/>
                        </w:rPr>
                        <w:t xml:space="preserve">ed by Deloitte Consulting LLP. </w:t>
                      </w:r>
                      <w:r w:rsidRPr="00A16B91">
                        <w:rPr>
                          <w:sz w:val="22"/>
                        </w:rPr>
                        <w:t>The author’s views expressed in this publication do not necessarily reflect the views of the United States Agency for International Development or the United States Government.</w:t>
                      </w:r>
                    </w:p>
                  </w:txbxContent>
                </v:textbox>
                <w10:wrap anchory="page"/>
              </v:shape>
            </w:pict>
          </mc:Fallback>
        </mc:AlternateContent>
      </w:r>
      <w:r w:rsidR="00D6141D">
        <w:rPr>
          <w:noProof/>
        </w:rPr>
        <mc:AlternateContent>
          <mc:Choice Requires="wps">
            <w:drawing>
              <wp:anchor distT="0" distB="0" distL="114300" distR="114300" simplePos="0" relativeHeight="251652608" behindDoc="0" locked="0" layoutInCell="1" allowOverlap="1" wp14:anchorId="37A5FB99" wp14:editId="75B1DC7E">
                <wp:simplePos x="0" y="0"/>
                <wp:positionH relativeFrom="column">
                  <wp:align>center</wp:align>
                </wp:positionH>
                <wp:positionV relativeFrom="paragraph">
                  <wp:posOffset>63500</wp:posOffset>
                </wp:positionV>
                <wp:extent cx="7562215" cy="3209925"/>
                <wp:effectExtent l="0" t="0" r="63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3209925"/>
                        </a:xfrm>
                        <a:prstGeom prst="rect">
                          <a:avLst/>
                        </a:prstGeom>
                        <a:solidFill>
                          <a:srgbClr val="002A6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szCs w:val="60"/>
                              </w:rPr>
                              <w:alias w:val="Title"/>
                              <w:tag w:val=""/>
                              <w:id w:val="1579791608"/>
                              <w:dataBinding w:prefixMappings="xmlns:ns0='http://purl.org/dc/elements/1.1/' xmlns:ns1='http://schemas.openxmlformats.org/package/2006/metadata/core-properties' " w:xpath="/ns1:coreProperties[1]/ns0:title[1]" w:storeItemID="{6C3C8BC8-F283-45AE-878A-BAB7291924A1}"/>
                              <w:text/>
                            </w:sdtPr>
                            <w:sdtEndPr/>
                            <w:sdtContent>
                              <w:p w:rsidR="00826B2C" w:rsidRPr="004970CD" w:rsidRDefault="00826B2C">
                                <w:pPr>
                                  <w:pStyle w:val="CoverTitle"/>
                                  <w:rPr>
                                    <w:szCs w:val="60"/>
                                  </w:rPr>
                                </w:pPr>
                                <w:r>
                                  <w:rPr>
                                    <w:szCs w:val="60"/>
                                  </w:rPr>
                                  <w:t>Georgia innovation Strategy &amp; recommendations</w:t>
                                </w:r>
                              </w:p>
                            </w:sdtContent>
                          </w:sdt>
                          <w:bookmarkStart w:id="3" w:name="Subtitle"/>
                          <w:p w:rsidR="00826B2C" w:rsidRDefault="00014C21" w:rsidP="00E9420C">
                            <w:pPr>
                              <w:pStyle w:val="CoverSubtitle"/>
                            </w:pPr>
                            <w:sdt>
                              <w:sdtPr>
                                <w:alias w:val="Subtitle"/>
                                <w:tag w:val="Subtitle"/>
                                <w:id w:val="42875315"/>
                                <w:showingPlcHdr/>
                              </w:sdtPr>
                              <w:sdtEndPr/>
                              <w:sdtContent>
                                <w:r w:rsidR="00826B2C">
                                  <w:t xml:space="preserve">     </w:t>
                                </w:r>
                              </w:sdtContent>
                            </w:sdt>
                            <w:bookmarkEnd w:id="3"/>
                          </w:p>
                        </w:txbxContent>
                      </wps:txbx>
                      <wps:bodyPr rot="0" vert="horz" wrap="square" lIns="91440" tIns="4572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5FB99" id="Text Box 2" o:spid="_x0000_s1028" type="#_x0000_t202" style="position:absolute;margin-left:0;margin-top:5pt;width:595.45pt;height:252.75pt;z-index:2516526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" fillcolor="#002a6c" stroked="f">
                <v:textbox inset=",36pt">
                  <w:txbxContent>
                    <w:sdt>
                      <w:sdtPr>
                        <w:rPr>
                          <w:szCs w:val="60"/>
                        </w:rPr>
                        <w:alias w:val="Title"/>
                        <w:tag w:val=""/>
                        <w:id w:val="1579791608"/>
                        <w:dataBinding w:prefixMappings="xmlns:ns0='http://purl.org/dc/elements/1.1/' xmlns:ns1='http://schemas.openxmlformats.org/package/2006/metadata/core-properties' " w:xpath="/ns1:coreProperties[1]/ns0:title[1]" w:storeItemID="{6C3C8BC8-F283-45AE-878A-BAB7291924A1}"/>
                        <w:text/>
                      </w:sdtPr>
                      <w:sdtContent>
                        <w:p w:rsidR="00826B2C" w:rsidRPr="004970CD" w:rsidRDefault="00826B2C">
                          <w:pPr>
                            <w:pStyle w:val="CoverTitle"/>
                            <w:rPr>
                              <w:szCs w:val="60"/>
                            </w:rPr>
                          </w:pPr>
                          <w:r>
                            <w:rPr>
                              <w:szCs w:val="60"/>
                            </w:rPr>
                            <w:t>Georgia innovation Strategy &amp; recommendations</w:t>
                          </w:r>
                        </w:p>
                      </w:sdtContent>
                    </w:sdt>
                    <w:bookmarkStart w:id="4" w:name="Subtitle"/>
                    <w:p w:rsidR="00826B2C" w:rsidRDefault="00826B2C" w:rsidP="00E9420C">
                      <w:pPr>
                        <w:pStyle w:val="CoverSubtitle"/>
                      </w:pPr>
                      <w:sdt>
                        <w:sdtPr>
                          <w:alias w:val="Subtitle"/>
                          <w:tag w:val="Subtitle"/>
                          <w:id w:val="42875315"/>
                          <w:showingPlcHdr/>
                        </w:sdtPr>
                        <w:sdtContent>
                          <w:r>
                            <w:t xml:space="preserve">     </w:t>
                          </w:r>
                        </w:sdtContent>
                      </w:sdt>
                      <w:bookmarkEnd w:id="4"/>
                    </w:p>
                  </w:txbxContent>
                </v:textbox>
              </v:shape>
            </w:pict>
          </mc:Fallback>
        </mc:AlternateContent>
      </w:r>
    </w:p>
    <w:sdt>
      <w:sdtPr>
        <w:rPr>
          <w:sz w:val="60"/>
          <w:szCs w:val="60"/>
        </w:rPr>
        <w:alias w:val="Title"/>
        <w:tag w:val=""/>
        <w:id w:val="-1580670927"/>
        <w:dataBinding w:prefixMappings="xmlns:ns0='http://purl.org/dc/elements/1.1/' xmlns:ns1='http://schemas.openxmlformats.org/package/2006/metadata/core-properties' " w:xpath="/ns1:coreProperties[1]/ns0:title[1]" w:storeItemID="{6C3C8BC8-F283-45AE-878A-BAB7291924A1}"/>
        <w:text/>
      </w:sdtPr>
      <w:sdtEndPr/>
      <w:sdtContent>
        <w:p w:rsidR="00492873" w:rsidRPr="00492873" w:rsidRDefault="008A7070" w:rsidP="0061442B">
          <w:pPr>
            <w:pStyle w:val="TitlePageTitle"/>
            <w:spacing w:before="1080"/>
          </w:pPr>
          <w:r>
            <w:rPr>
              <w:sz w:val="60"/>
              <w:szCs w:val="60"/>
            </w:rPr>
            <w:t>Georgia innovation Strategy &amp; recommendations</w:t>
          </w:r>
        </w:p>
      </w:sdtContent>
    </w:sdt>
    <w:p w:rsidR="008A7070" w:rsidRPr="00492873" w:rsidRDefault="008A7070" w:rsidP="00492873">
      <w:pPr>
        <w:pStyle w:val="TitlePageSubtitle"/>
      </w:pPr>
    </w:p>
    <w:sdt>
      <w:sdtPr>
        <w:alias w:val="Company"/>
        <w:tag w:val=""/>
        <w:id w:val="-1405678634"/>
        <w:dataBinding w:prefixMappings="xmlns:ns0='http://schemas.openxmlformats.org/officeDocument/2006/extended-properties' " w:xpath="/ns0:Properties[1]/ns0:Company[1]" w:storeItemID="{6668398D-A668-4E3E-A5EB-62B293D839F1}"/>
        <w:text/>
      </w:sdtPr>
      <w:sdtEndPr/>
      <w:sdtContent>
        <w:p w:rsidR="00492873" w:rsidRDefault="003621F1" w:rsidP="00376A50">
          <w:pPr>
            <w:pStyle w:val="TitlePageSubtitle"/>
            <w:spacing w:before="960" w:line="360" w:lineRule="auto"/>
            <w:contextualSpacing/>
          </w:pPr>
          <w:r>
            <w:t>USAID Governing for Growth (G4G) in Georgia</w:t>
          </w:r>
        </w:p>
      </w:sdtContent>
    </w:sdt>
    <w:p w:rsidR="00376A50" w:rsidRDefault="00492873" w:rsidP="00376A50">
      <w:pPr>
        <w:pStyle w:val="TitlePageSubtitle"/>
        <w:spacing w:after="600" w:line="360" w:lineRule="auto"/>
        <w:contextualSpacing/>
      </w:pPr>
      <w:r>
        <w:t xml:space="preserve">Contract Number: </w:t>
      </w:r>
      <w:r w:rsidR="00014C21">
        <w:fldChar w:fldCharType="begin"/>
      </w:r>
      <w:r w:rsidR="00014C21">
        <w:instrText xml:space="preserve"> DOCPROPERTY  Contract  \* MERGEFORMAT </w:instrText>
      </w:r>
      <w:r w:rsidR="00014C21">
        <w:fldChar w:fldCharType="separate"/>
      </w:r>
      <w:r w:rsidR="00A16B91">
        <w:t xml:space="preserve">AID-114-C-14-00007 </w:t>
      </w:r>
      <w:r w:rsidR="00014C21">
        <w:fldChar w:fldCharType="end"/>
      </w:r>
    </w:p>
    <w:p w:rsidR="00A16B91" w:rsidRDefault="00A16B91" w:rsidP="00376A50">
      <w:pPr>
        <w:pStyle w:val="TitlePageSubtitle"/>
        <w:spacing w:after="600" w:line="360" w:lineRule="auto"/>
        <w:contextualSpacing/>
      </w:pPr>
      <w:r>
        <w:t>Deloitte Consulting LLP</w:t>
      </w:r>
    </w:p>
    <w:p w:rsidR="00A16B91" w:rsidRDefault="00014C21" w:rsidP="00376A50">
      <w:pPr>
        <w:pStyle w:val="TitlePageSubtitle"/>
        <w:spacing w:line="360" w:lineRule="auto"/>
        <w:contextualSpacing/>
      </w:pPr>
      <w:r>
        <w:fldChar w:fldCharType="begin"/>
      </w:r>
      <w:r>
        <w:instrText xml:space="preserve"> DOCPROPERTY  Client  \* MERGEFORMAT </w:instrText>
      </w:r>
      <w:r>
        <w:fldChar w:fldCharType="separate"/>
      </w:r>
      <w:r w:rsidR="00A16B91">
        <w:t>USAID | Georgia</w:t>
      </w:r>
      <w:r>
        <w:fldChar w:fldCharType="end"/>
      </w:r>
    </w:p>
    <w:p w:rsidR="00307828" w:rsidRPr="00307828" w:rsidRDefault="00A16B91" w:rsidP="00307828">
      <w:pPr>
        <w:pStyle w:val="TitlePageSubtitle"/>
        <w:spacing w:after="600" w:line="360" w:lineRule="auto"/>
        <w:contextualSpacing/>
      </w:pPr>
      <w:r w:rsidRPr="00CA5336">
        <w:rPr>
          <w:lang w:val="en-GB"/>
        </w:rPr>
        <w:t>USAID Contracting Officer’s</w:t>
      </w:r>
      <w:r>
        <w:rPr>
          <w:lang w:val="en-GB"/>
        </w:rPr>
        <w:t xml:space="preserve"> </w:t>
      </w:r>
      <w:r w:rsidR="00307828" w:rsidRPr="00307828">
        <w:t>Representative:  Phillip Greene</w:t>
      </w:r>
    </w:p>
    <w:p w:rsidR="00826B2C" w:rsidRDefault="00826B2C" w:rsidP="00307828">
      <w:pPr>
        <w:pStyle w:val="TitlePageSubtitle"/>
        <w:spacing w:after="600" w:line="360" w:lineRule="auto"/>
        <w:contextualSpacing/>
      </w:pPr>
      <w:r w:rsidRPr="00826B2C">
        <w:t xml:space="preserve">AUTHOR(S):   </w:t>
      </w:r>
      <w:r>
        <w:t>Jessica Majno, Kurt Dassel, Merab Labadze, Maka Dakhundaridze</w:t>
      </w:r>
    </w:p>
    <w:p w:rsidR="00307828" w:rsidRDefault="00826B2C" w:rsidP="00307828">
      <w:pPr>
        <w:pStyle w:val="TitlePageSubtitle"/>
        <w:spacing w:after="600" w:line="360" w:lineRule="auto"/>
        <w:contextualSpacing/>
      </w:pPr>
      <w:r w:rsidRPr="00826B2C">
        <w:t>INNOVATION AND TECHNOLOGY: 5510</w:t>
      </w:r>
      <w:r w:rsidR="00307828">
        <w:t xml:space="preserve"> </w:t>
      </w:r>
    </w:p>
    <w:p w:rsidR="00376A50" w:rsidRDefault="00A16B91" w:rsidP="00307828">
      <w:pPr>
        <w:pStyle w:val="TitlePageSubtitle"/>
        <w:spacing w:after="600" w:line="360" w:lineRule="auto"/>
        <w:contextualSpacing/>
      </w:pPr>
      <w:r>
        <w:t>Language:  English</w:t>
      </w:r>
    </w:p>
    <w:sdt>
      <w:sdtPr>
        <w:alias w:val="Publish Date"/>
        <w:tag w:val=""/>
        <w:id w:val="-1772148913"/>
        <w:dataBinding w:prefixMappings="xmlns:ns0='http://schemas.microsoft.com/office/2006/coverPageProps' " w:xpath="/ns0:CoverPageProperties[1]/ns0:PublishDate[1]" w:storeItemID="{55AF091B-3C7A-41E3-B477-F2FDAA23CFDA}"/>
        <w:date w:fullDate="2019-01-16T00:00:00Z">
          <w:dateFormat w:val="d MMMM yyyy"/>
          <w:lid w:val="en-US"/>
          <w:storeMappedDataAs w:val="dateTime"/>
          <w:calendar w:val="gregorian"/>
        </w:date>
      </w:sdtPr>
      <w:sdtEndPr/>
      <w:sdtContent>
        <w:p w:rsidR="00A16B91" w:rsidRPr="00376A50" w:rsidRDefault="00DF6390" w:rsidP="00307828">
          <w:pPr>
            <w:pStyle w:val="TitlePageSubtitle"/>
            <w:spacing w:after="600" w:line="360" w:lineRule="auto"/>
            <w:contextualSpacing/>
          </w:pPr>
          <w:r>
            <w:t>16 January 2019</w:t>
          </w:r>
        </w:p>
      </w:sdtContent>
    </w:sdt>
    <w:p w:rsidR="003621F1" w:rsidRDefault="003621F1" w:rsidP="00D6141D">
      <w:pPr>
        <w:pStyle w:val="TitlePageSubtitle"/>
        <w:ind w:right="29"/>
        <w:rPr>
          <w:sz w:val="18"/>
          <w:szCs w:val="18"/>
        </w:rPr>
      </w:pPr>
    </w:p>
    <w:p w:rsidR="008A7070" w:rsidRDefault="008A7070" w:rsidP="00D6141D">
      <w:pPr>
        <w:pStyle w:val="TitlePageSubtitle"/>
        <w:ind w:right="29"/>
        <w:rPr>
          <w:b/>
          <w:color w:val="auto"/>
          <w:sz w:val="22"/>
        </w:rPr>
      </w:pPr>
    </w:p>
    <w:p w:rsidR="008A7070" w:rsidRDefault="008A7070" w:rsidP="00D6141D">
      <w:pPr>
        <w:pStyle w:val="TitlePageSubtitle"/>
        <w:ind w:right="29"/>
        <w:rPr>
          <w:b/>
          <w:color w:val="auto"/>
          <w:sz w:val="22"/>
        </w:rPr>
      </w:pPr>
    </w:p>
    <w:p w:rsidR="008A7070" w:rsidRDefault="008A7070" w:rsidP="00D6141D">
      <w:pPr>
        <w:pStyle w:val="TitlePageSubtitle"/>
        <w:ind w:right="29"/>
        <w:rPr>
          <w:b/>
          <w:color w:val="auto"/>
          <w:sz w:val="22"/>
        </w:rPr>
      </w:pPr>
    </w:p>
    <w:p w:rsidR="008A7070" w:rsidRDefault="008A7070" w:rsidP="00D6141D">
      <w:pPr>
        <w:pStyle w:val="TitlePageSubtitle"/>
        <w:ind w:right="29"/>
        <w:rPr>
          <w:b/>
          <w:color w:val="auto"/>
          <w:sz w:val="22"/>
        </w:rPr>
      </w:pPr>
    </w:p>
    <w:p w:rsidR="00A16B91" w:rsidRPr="00743522" w:rsidRDefault="008A7070" w:rsidP="00D6141D">
      <w:pPr>
        <w:pStyle w:val="TitlePageSubtitle"/>
        <w:ind w:right="29"/>
        <w:rPr>
          <w:sz w:val="22"/>
        </w:rPr>
      </w:pPr>
      <w:r w:rsidRPr="00BB76E5">
        <w:rPr>
          <w:color w:val="auto"/>
          <w:sz w:val="22"/>
        </w:rPr>
        <w:t>DISCLAIMER:</w:t>
      </w:r>
      <w:r w:rsidRPr="008A7070">
        <w:rPr>
          <w:b/>
          <w:color w:val="auto"/>
          <w:sz w:val="22"/>
        </w:rPr>
        <w:t xml:space="preserve"> </w:t>
      </w:r>
      <w:r w:rsidR="00D6141D">
        <w:rPr>
          <w:color w:val="auto"/>
          <w:sz w:val="22"/>
        </w:rPr>
        <w:t>T</w:t>
      </w:r>
      <w:r w:rsidR="003621F1" w:rsidRPr="00A16B91">
        <w:rPr>
          <w:caps w:val="0"/>
          <w:color w:val="auto"/>
          <w:sz w:val="22"/>
        </w:rPr>
        <w:t>his</w:t>
      </w:r>
      <w:r w:rsidR="00A16B91" w:rsidRPr="00A16B91">
        <w:rPr>
          <w:color w:val="auto"/>
          <w:sz w:val="22"/>
        </w:rPr>
        <w:t xml:space="preserve"> </w:t>
      </w:r>
      <w:r w:rsidR="003621F1" w:rsidRPr="00A16B91">
        <w:rPr>
          <w:caps w:val="0"/>
          <w:color w:val="auto"/>
          <w:sz w:val="22"/>
        </w:rPr>
        <w:t xml:space="preserve">publication was produced for review by the </w:t>
      </w:r>
      <w:r w:rsidR="00521922">
        <w:rPr>
          <w:caps w:val="0"/>
          <w:color w:val="auto"/>
          <w:sz w:val="22"/>
        </w:rPr>
        <w:t>United States Agency f</w:t>
      </w:r>
      <w:r w:rsidR="00521922" w:rsidRPr="00A16B91">
        <w:rPr>
          <w:caps w:val="0"/>
          <w:color w:val="auto"/>
          <w:sz w:val="22"/>
        </w:rPr>
        <w:t>or International Develop</w:t>
      </w:r>
      <w:r w:rsidR="00521922">
        <w:rPr>
          <w:caps w:val="0"/>
          <w:color w:val="auto"/>
          <w:sz w:val="22"/>
        </w:rPr>
        <w:t>ment</w:t>
      </w:r>
      <w:r w:rsidR="00CF6373">
        <w:rPr>
          <w:caps w:val="0"/>
          <w:color w:val="auto"/>
          <w:sz w:val="22"/>
        </w:rPr>
        <w:t>. It was prepared by Deloitte C</w:t>
      </w:r>
      <w:r w:rsidR="003621F1">
        <w:rPr>
          <w:caps w:val="0"/>
          <w:color w:val="auto"/>
          <w:sz w:val="22"/>
        </w:rPr>
        <w:t>onsulting LLP</w:t>
      </w:r>
      <w:r w:rsidR="0020322F">
        <w:rPr>
          <w:caps w:val="0"/>
          <w:color w:val="auto"/>
          <w:sz w:val="22"/>
        </w:rPr>
        <w:t xml:space="preserve">. </w:t>
      </w:r>
      <w:r w:rsidR="003621F1" w:rsidRPr="00A16B91">
        <w:rPr>
          <w:caps w:val="0"/>
          <w:color w:val="auto"/>
          <w:sz w:val="22"/>
        </w:rPr>
        <w:t>The author’s views expressed in this publication do not necessarily reflect the views of the United States Agency</w:t>
      </w:r>
      <w:r w:rsidR="003621F1">
        <w:rPr>
          <w:caps w:val="0"/>
          <w:color w:val="auto"/>
          <w:sz w:val="22"/>
        </w:rPr>
        <w:t xml:space="preserve"> for International Development o</w:t>
      </w:r>
      <w:r w:rsidR="003621F1" w:rsidRPr="00A16B91">
        <w:rPr>
          <w:caps w:val="0"/>
          <w:color w:val="auto"/>
          <w:sz w:val="22"/>
        </w:rPr>
        <w:t>r the United States Government</w:t>
      </w:r>
      <w:r w:rsidR="003621F1" w:rsidRPr="003621F1">
        <w:rPr>
          <w:caps w:val="0"/>
          <w:color w:val="auto"/>
          <w:sz w:val="22"/>
        </w:rPr>
        <w:t xml:space="preserve">. </w:t>
      </w:r>
    </w:p>
    <w:p w:rsidR="009D4D29" w:rsidRDefault="009D4D29" w:rsidP="00C0651C">
      <w:pPr>
        <w:pStyle w:val="Heading0"/>
        <w:rPr>
          <w:rStyle w:val="Heading1Char"/>
          <w:b/>
        </w:rPr>
      </w:pPr>
      <w:bookmarkStart w:id="4" w:name="_Toc450894800"/>
      <w:bookmarkStart w:id="5" w:name="_Toc451502249"/>
      <w:bookmarkStart w:id="6" w:name="_Toc451502296"/>
      <w:bookmarkStart w:id="7" w:name="_Toc451502364"/>
      <w:bookmarkStart w:id="8" w:name="_Toc451504158"/>
    </w:p>
    <w:p w:rsidR="0012588B" w:rsidRDefault="00A025EE" w:rsidP="00C0651C">
      <w:pPr>
        <w:pStyle w:val="Heading0"/>
      </w:pPr>
      <w:bookmarkStart w:id="9" w:name="_Toc535608363"/>
      <w:r w:rsidRPr="00A025EE">
        <w:rPr>
          <w:rStyle w:val="Heading1Char"/>
          <w:b/>
        </w:rPr>
        <w:lastRenderedPageBreak/>
        <w:t>DATA</w:t>
      </w:r>
      <w:bookmarkEnd w:id="4"/>
      <w:bookmarkEnd w:id="5"/>
      <w:bookmarkEnd w:id="6"/>
      <w:bookmarkEnd w:id="7"/>
      <w:bookmarkEnd w:id="8"/>
      <w:bookmarkEnd w:id="9"/>
      <w:r w:rsidR="008A7070">
        <w:rPr>
          <w:sz w:val="36"/>
          <w:szCs w:val="36"/>
        </w:rPr>
        <w:t xml:space="preserve"> </w:t>
      </w:r>
    </w:p>
    <w:tbl>
      <w:tblPr>
        <w:tblW w:w="0" w:type="auto"/>
        <w:tblLook w:val="04A0" w:firstRow="1" w:lastRow="0" w:firstColumn="1" w:lastColumn="0" w:noHBand="0" w:noVBand="1"/>
      </w:tblPr>
      <w:tblGrid>
        <w:gridCol w:w="9029"/>
      </w:tblGrid>
      <w:tr w:rsidR="008A7070" w:rsidTr="00185EE1">
        <w:tc>
          <w:tcPr>
            <w:tcW w:w="9029" w:type="dxa"/>
          </w:tcPr>
          <w:p w:rsidR="008A7070" w:rsidRPr="00826B2C" w:rsidRDefault="008A7070" w:rsidP="008A7070">
            <w:r w:rsidRPr="00826B2C">
              <w:t>Author(s): Jessica Majno, Kurt Dassel</w:t>
            </w:r>
            <w:r w:rsidR="00826B2C" w:rsidRPr="00826B2C">
              <w:t>, Merab Labadze, Maka Dakhundaridze</w:t>
            </w:r>
          </w:p>
        </w:tc>
      </w:tr>
      <w:tr w:rsidR="00185EE1" w:rsidTr="00185EE1">
        <w:tc>
          <w:tcPr>
            <w:tcW w:w="9029" w:type="dxa"/>
          </w:tcPr>
          <w:p w:rsidR="00185EE1" w:rsidRPr="00826B2C" w:rsidRDefault="00185EE1" w:rsidP="00826B2C">
            <w:r w:rsidRPr="00826B2C">
              <w:t xml:space="preserve">Reviewed by: </w:t>
            </w:r>
            <w:r w:rsidR="00826B2C" w:rsidRPr="00826B2C">
              <w:t>Malkhaz Nikolashvili</w:t>
            </w:r>
          </w:p>
        </w:tc>
      </w:tr>
      <w:tr w:rsidR="00185EE1" w:rsidTr="00185EE1">
        <w:tc>
          <w:tcPr>
            <w:tcW w:w="9029" w:type="dxa"/>
          </w:tcPr>
          <w:p w:rsidR="00185EE1" w:rsidRPr="00826B2C" w:rsidRDefault="00812EF4" w:rsidP="0012588B">
            <w:r w:rsidRPr="00826B2C">
              <w:t>Project Component:</w:t>
            </w:r>
            <w:r w:rsidR="008A7070" w:rsidRPr="00826B2C">
              <w:t xml:space="preserve"> </w:t>
            </w:r>
            <w:r w:rsidR="00826B2C" w:rsidRPr="00826B2C">
              <w:t>GoG Capacity Strengthening</w:t>
            </w:r>
          </w:p>
        </w:tc>
      </w:tr>
      <w:tr w:rsidR="00185EE1" w:rsidTr="00185EE1">
        <w:tc>
          <w:tcPr>
            <w:tcW w:w="9029" w:type="dxa"/>
          </w:tcPr>
          <w:p w:rsidR="00185EE1" w:rsidRPr="00826B2C" w:rsidRDefault="00185EE1" w:rsidP="0012588B">
            <w:r w:rsidRPr="00826B2C">
              <w:t>Practice Area:</w:t>
            </w:r>
            <w:r w:rsidR="008A7070" w:rsidRPr="00826B2C">
              <w:t xml:space="preserve"> </w:t>
            </w:r>
            <w:r w:rsidR="00826B2C" w:rsidRPr="00826B2C">
              <w:t>Innovation and Technology</w:t>
            </w:r>
          </w:p>
        </w:tc>
      </w:tr>
      <w:tr w:rsidR="00185EE1" w:rsidTr="00185EE1">
        <w:tc>
          <w:tcPr>
            <w:tcW w:w="9029" w:type="dxa"/>
          </w:tcPr>
          <w:p w:rsidR="00185EE1" w:rsidRPr="00826B2C" w:rsidRDefault="00185EE1" w:rsidP="0012588B">
            <w:r w:rsidRPr="00826B2C">
              <w:t>Key Words:</w:t>
            </w:r>
            <w:r w:rsidR="008A7070" w:rsidRPr="00826B2C">
              <w:t xml:space="preserve"> Innovation, economic development, foreign direct investment (FDI), technology, competitiveness, Georgia Innovation and Technology Agency (GITA), industrial development, research &amp; development (R&amp;D), entrepreneurship, start-ups, manufacturing, design, creativity</w:t>
            </w:r>
          </w:p>
        </w:tc>
      </w:tr>
    </w:tbl>
    <w:p w:rsidR="00A63488" w:rsidRDefault="00A63488">
      <w:pPr>
        <w:spacing w:before="0" w:after="0" w:line="240" w:lineRule="auto"/>
        <w:rPr>
          <w:rFonts w:asciiTheme="majorHAnsi" w:hAnsiTheme="majorHAnsi"/>
          <w:b/>
          <w:caps/>
          <w:color w:val="002A6C" w:themeColor="accent1"/>
          <w:sz w:val="48"/>
        </w:rPr>
      </w:pPr>
      <w:r>
        <w:br w:type="page"/>
      </w:r>
    </w:p>
    <w:p w:rsidR="001E45F5" w:rsidRDefault="001E45F5" w:rsidP="00205ACA">
      <w:pPr>
        <w:pStyle w:val="Heading0"/>
        <w:pageBreakBefore/>
        <w:rPr>
          <w:rStyle w:val="Heading1Char"/>
          <w:b/>
        </w:rPr>
      </w:pPr>
      <w:bookmarkStart w:id="10" w:name="_Toc450894801"/>
      <w:bookmarkStart w:id="11" w:name="_Toc451502250"/>
      <w:bookmarkStart w:id="12" w:name="_Toc451502297"/>
      <w:bookmarkStart w:id="13" w:name="_Toc451502365"/>
      <w:bookmarkStart w:id="14" w:name="_Toc451504159"/>
      <w:bookmarkStart w:id="15" w:name="_Toc535608364"/>
      <w:r>
        <w:rPr>
          <w:rStyle w:val="Heading1Char"/>
          <w:b/>
        </w:rPr>
        <w:lastRenderedPageBreak/>
        <w:t>ABSTRACT</w:t>
      </w:r>
      <w:bookmarkEnd w:id="10"/>
      <w:bookmarkEnd w:id="11"/>
      <w:bookmarkEnd w:id="12"/>
      <w:bookmarkEnd w:id="13"/>
      <w:bookmarkEnd w:id="14"/>
      <w:bookmarkEnd w:id="15"/>
    </w:p>
    <w:p w:rsidR="00DF6390" w:rsidRPr="00DF6390" w:rsidRDefault="00DF6390" w:rsidP="00DF6390">
      <w:r>
        <w:t xml:space="preserve">This document presents a strategy for the government of Georgia to </w:t>
      </w:r>
      <w:r w:rsidR="00805AF4">
        <w:t xml:space="preserve">increase private sector innovation in the country. While Georgia has experienced economic growth over recent decades, that growth has </w:t>
      </w:r>
      <w:r w:rsidR="00650828">
        <w:t>slowed</w:t>
      </w:r>
      <w:r w:rsidR="00805AF4">
        <w:t xml:space="preserve"> in recent years, creating a need for the country to stimulate local innovation to remain on a pathway towards long-term prosperity. Based on research conducted between June and September 2018 and collaboration with over fifty public and private institutions, this document provides a theoretical framework for innovation and its drivers in the economy context, and a diagnostic summary of the current state of innovation in Georgia. Findings show Georgia is currently locked in a vicious cycle, wherein lack of global integration deters investment in innovation and enabling assets, which in turn inhibits the competitiveness of local business abroad, perpetuating the cycle. The subsequent analysis posits that unleashing innovation requires breaking this cycle by building on Georgia’s strengths, particularly oriented towards high-value, low-volume manufacturing. By building </w:t>
      </w:r>
      <w:r w:rsidR="001A0A5A">
        <w:t xml:space="preserve">assets and incentives </w:t>
      </w:r>
      <w:r w:rsidR="00CB3324">
        <w:t>tailored for</w:t>
      </w:r>
      <w:r w:rsidR="001A0A5A">
        <w:t xml:space="preserve"> companies in this category of business to innovate and lead global integration</w:t>
      </w:r>
      <w:r w:rsidR="00CB3324">
        <w:t xml:space="preserve"> but accessible to all – both high-growth startups and established businesses – </w:t>
      </w:r>
      <w:r w:rsidR="001A0A5A">
        <w:t>Georgia can create a pathway towards broad</w:t>
      </w:r>
      <w:r w:rsidR="00CB3324">
        <w:t>-</w:t>
      </w:r>
      <w:r w:rsidR="001A0A5A">
        <w:t xml:space="preserve">based innovation across </w:t>
      </w:r>
      <w:r w:rsidR="00CB3324">
        <w:t xml:space="preserve">sectors and </w:t>
      </w:r>
      <w:r w:rsidR="001A0A5A">
        <w:t>industries.</w:t>
      </w:r>
      <w:r w:rsidR="00CB3324">
        <w:t xml:space="preserve"> Attracting strategic foreign direct investment from companies with an established track record of investing in the communities where they operate can accelerate this trajectory.</w:t>
      </w:r>
    </w:p>
    <w:p w:rsidR="00567D74" w:rsidRDefault="00A025EE" w:rsidP="00205ACA">
      <w:pPr>
        <w:pStyle w:val="Heading0"/>
        <w:pageBreakBefore/>
      </w:pPr>
      <w:bookmarkStart w:id="16" w:name="_Toc450894802"/>
      <w:bookmarkStart w:id="17" w:name="_Toc451502251"/>
      <w:bookmarkStart w:id="18" w:name="_Toc451502298"/>
      <w:bookmarkStart w:id="19" w:name="_Toc451502366"/>
      <w:bookmarkStart w:id="20" w:name="_Toc451504160"/>
      <w:bookmarkStart w:id="21" w:name="_Toc535608365"/>
      <w:r w:rsidRPr="00A025EE">
        <w:rPr>
          <w:rStyle w:val="Heading1Char"/>
          <w:b/>
        </w:rPr>
        <w:lastRenderedPageBreak/>
        <w:t>ACRONYMS</w:t>
      </w:r>
      <w:bookmarkEnd w:id="16"/>
      <w:bookmarkEnd w:id="17"/>
      <w:bookmarkEnd w:id="18"/>
      <w:bookmarkEnd w:id="19"/>
      <w:bookmarkEnd w:id="20"/>
      <w:bookmarkEnd w:id="21"/>
      <w:r w:rsidR="00185EE1">
        <w:rPr>
          <w:sz w:val="36"/>
          <w:szCs w:val="36"/>
        </w:rPr>
        <w:t xml:space="preserve"> </w:t>
      </w:r>
    </w:p>
    <w:tbl>
      <w:tblPr>
        <w:tblStyle w:val="LightShading-Accent4"/>
        <w:tblW w:w="9402" w:type="dxa"/>
        <w:tblLook w:val="0480" w:firstRow="0" w:lastRow="0" w:firstColumn="1" w:lastColumn="0" w:noHBand="0" w:noVBand="1"/>
      </w:tblPr>
      <w:tblGrid>
        <w:gridCol w:w="1776"/>
        <w:gridCol w:w="7626"/>
      </w:tblGrid>
      <w:tr w:rsidR="004C0CA1" w:rsidRPr="00A334BD" w:rsidTr="00CB64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76" w:type="dxa"/>
            <w:noWrap/>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 xml:space="preserve">AmCham </w:t>
            </w:r>
          </w:p>
        </w:tc>
        <w:tc>
          <w:tcPr>
            <w:tcW w:w="7626" w:type="dxa"/>
            <w:noWrap/>
          </w:tcPr>
          <w:p w:rsidR="004C0CA1" w:rsidRPr="004C0CA1" w:rsidRDefault="004C0CA1" w:rsidP="004C0CA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4C0CA1">
              <w:rPr>
                <w:rFonts w:cs="Arial"/>
                <w:color w:val="auto"/>
                <w:szCs w:val="20"/>
              </w:rPr>
              <w:t>American Chamber of Commerce</w:t>
            </w:r>
          </w:p>
        </w:tc>
      </w:tr>
      <w:tr w:rsidR="004C0CA1" w:rsidRPr="004C0CA1" w:rsidTr="004C0CA1">
        <w:tblPrEx>
          <w:tblLook w:val="04A0" w:firstRow="1" w:lastRow="0" w:firstColumn="1" w:lastColumn="0" w:noHBand="0" w:noVBand="1"/>
        </w:tblPrEx>
        <w:trPr>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 xml:space="preserve">AOG </w:t>
            </w:r>
          </w:p>
        </w:tc>
        <w:tc>
          <w:tcPr>
            <w:tcW w:w="7626" w:type="dxa"/>
            <w:noWrap/>
            <w:hideMark/>
          </w:tcPr>
          <w:p w:rsidR="004C0CA1" w:rsidRPr="004C0CA1" w:rsidRDefault="004C0CA1" w:rsidP="004C0CA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Cs/>
                <w:color w:val="auto"/>
                <w:szCs w:val="20"/>
              </w:rPr>
            </w:pPr>
            <w:r>
              <w:rPr>
                <w:rFonts w:cs="Arial"/>
                <w:bCs/>
                <w:color w:val="auto"/>
                <w:szCs w:val="20"/>
              </w:rPr>
              <w:t>Government Administration</w:t>
            </w:r>
          </w:p>
        </w:tc>
      </w:tr>
      <w:tr w:rsidR="004C0CA1" w:rsidRPr="004C0CA1" w:rsidTr="004C0CA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 xml:space="preserve">APMA </w:t>
            </w:r>
          </w:p>
        </w:tc>
        <w:tc>
          <w:tcPr>
            <w:tcW w:w="7626" w:type="dxa"/>
            <w:noWrap/>
            <w:hideMark/>
          </w:tcPr>
          <w:p w:rsidR="004C0CA1" w:rsidRPr="004C0CA1" w:rsidRDefault="004C0CA1" w:rsidP="004C0CA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4C0CA1">
              <w:rPr>
                <w:rFonts w:cs="Arial"/>
                <w:color w:val="auto"/>
                <w:szCs w:val="20"/>
              </w:rPr>
              <w:t>Agricultural Projects' Manag</w:t>
            </w:r>
            <w:r>
              <w:rPr>
                <w:rFonts w:cs="Arial"/>
                <w:color w:val="auto"/>
                <w:szCs w:val="20"/>
              </w:rPr>
              <w:t>e</w:t>
            </w:r>
            <w:r w:rsidRPr="004C0CA1">
              <w:rPr>
                <w:rFonts w:cs="Arial"/>
                <w:color w:val="auto"/>
                <w:szCs w:val="20"/>
              </w:rPr>
              <w:t>ment Agency</w:t>
            </w:r>
          </w:p>
        </w:tc>
      </w:tr>
      <w:tr w:rsidR="004C0CA1" w:rsidRPr="004C0CA1" w:rsidTr="004C0CA1">
        <w:tblPrEx>
          <w:tblLook w:val="04A0" w:firstRow="1" w:lastRow="0" w:firstColumn="1" w:lastColumn="0" w:noHBand="0" w:noVBand="1"/>
        </w:tblPrEx>
        <w:trPr>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DCFTA</w:t>
            </w:r>
          </w:p>
        </w:tc>
        <w:tc>
          <w:tcPr>
            <w:tcW w:w="7626" w:type="dxa"/>
            <w:noWrap/>
            <w:hideMark/>
          </w:tcPr>
          <w:p w:rsidR="004C0CA1" w:rsidRPr="004C0CA1" w:rsidRDefault="004C0CA1" w:rsidP="004C0CA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Cs/>
                <w:color w:val="auto"/>
                <w:szCs w:val="20"/>
              </w:rPr>
            </w:pPr>
            <w:r w:rsidRPr="004C0CA1">
              <w:rPr>
                <w:rFonts w:cs="Arial"/>
                <w:bCs/>
                <w:color w:val="auto"/>
                <w:szCs w:val="20"/>
              </w:rPr>
              <w:t>Deep and Comprehensive Free Trade Agreement</w:t>
            </w:r>
          </w:p>
        </w:tc>
      </w:tr>
      <w:tr w:rsidR="004C0CA1" w:rsidRPr="004C0CA1" w:rsidTr="004C0CA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 xml:space="preserve">DEA </w:t>
            </w:r>
          </w:p>
        </w:tc>
        <w:tc>
          <w:tcPr>
            <w:tcW w:w="7626" w:type="dxa"/>
            <w:noWrap/>
            <w:hideMark/>
          </w:tcPr>
          <w:p w:rsidR="004C0CA1" w:rsidRPr="004C0CA1" w:rsidRDefault="004C0CA1" w:rsidP="004C0CA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4C0CA1">
              <w:rPr>
                <w:rFonts w:cs="Arial"/>
                <w:color w:val="auto"/>
                <w:szCs w:val="20"/>
              </w:rPr>
              <w:t>Data Exchange Agency</w:t>
            </w:r>
          </w:p>
        </w:tc>
      </w:tr>
      <w:tr w:rsidR="004C0CA1" w:rsidRPr="004C0CA1" w:rsidTr="004C0CA1">
        <w:tblPrEx>
          <w:tblLook w:val="04A0" w:firstRow="1" w:lastRow="0" w:firstColumn="1" w:lastColumn="0" w:noHBand="0" w:noVBand="1"/>
        </w:tblPrEx>
        <w:trPr>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EBRD</w:t>
            </w:r>
          </w:p>
        </w:tc>
        <w:tc>
          <w:tcPr>
            <w:tcW w:w="7626" w:type="dxa"/>
            <w:noWrap/>
            <w:hideMark/>
          </w:tcPr>
          <w:p w:rsidR="004C0CA1" w:rsidRPr="004C0CA1" w:rsidRDefault="004C0CA1" w:rsidP="004C0CA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Cs/>
                <w:color w:val="auto"/>
                <w:szCs w:val="20"/>
              </w:rPr>
            </w:pPr>
            <w:r w:rsidRPr="004C0CA1">
              <w:rPr>
                <w:rFonts w:cs="Arial"/>
                <w:bCs/>
                <w:color w:val="auto"/>
                <w:szCs w:val="20"/>
              </w:rPr>
              <w:t>European Bank for Reconstruction and Development</w:t>
            </w:r>
          </w:p>
        </w:tc>
      </w:tr>
      <w:tr w:rsidR="004C0CA1" w:rsidRPr="004C0CA1" w:rsidTr="004C0CA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ECA</w:t>
            </w:r>
          </w:p>
        </w:tc>
        <w:tc>
          <w:tcPr>
            <w:tcW w:w="7626" w:type="dxa"/>
            <w:noWrap/>
            <w:hideMark/>
          </w:tcPr>
          <w:p w:rsidR="004C0CA1" w:rsidRPr="004C0CA1" w:rsidRDefault="004C0CA1" w:rsidP="004C0CA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4C0CA1">
              <w:rPr>
                <w:rFonts w:cs="Arial"/>
                <w:color w:val="auto"/>
                <w:szCs w:val="20"/>
              </w:rPr>
              <w:t>Europe and Central Asia</w:t>
            </w:r>
          </w:p>
        </w:tc>
      </w:tr>
      <w:tr w:rsidR="004C0CA1" w:rsidRPr="004C0CA1" w:rsidTr="004C0CA1">
        <w:tblPrEx>
          <w:tblLook w:val="04A0" w:firstRow="1" w:lastRow="0" w:firstColumn="1" w:lastColumn="0" w:noHBand="0" w:noVBand="1"/>
        </w:tblPrEx>
        <w:trPr>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EG</w:t>
            </w:r>
          </w:p>
        </w:tc>
        <w:tc>
          <w:tcPr>
            <w:tcW w:w="7626" w:type="dxa"/>
            <w:noWrap/>
            <w:hideMark/>
          </w:tcPr>
          <w:p w:rsidR="004C0CA1" w:rsidRPr="004C0CA1" w:rsidRDefault="004C0CA1" w:rsidP="004C0CA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Cs/>
                <w:color w:val="auto"/>
                <w:szCs w:val="20"/>
              </w:rPr>
            </w:pPr>
            <w:r w:rsidRPr="004C0CA1">
              <w:rPr>
                <w:rFonts w:cs="Arial"/>
                <w:bCs/>
                <w:color w:val="auto"/>
                <w:szCs w:val="20"/>
              </w:rPr>
              <w:t>Enterprise Georgia</w:t>
            </w:r>
          </w:p>
        </w:tc>
      </w:tr>
      <w:tr w:rsidR="004C0CA1" w:rsidRPr="004C0CA1" w:rsidTr="004C0CA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EU</w:t>
            </w:r>
          </w:p>
        </w:tc>
        <w:tc>
          <w:tcPr>
            <w:tcW w:w="7626" w:type="dxa"/>
            <w:noWrap/>
            <w:hideMark/>
          </w:tcPr>
          <w:p w:rsidR="004C0CA1" w:rsidRPr="004C0CA1" w:rsidRDefault="004C0CA1" w:rsidP="004C0CA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4C0CA1">
              <w:rPr>
                <w:rFonts w:cs="Arial"/>
                <w:color w:val="auto"/>
                <w:szCs w:val="20"/>
              </w:rPr>
              <w:t>European Union</w:t>
            </w:r>
          </w:p>
        </w:tc>
      </w:tr>
      <w:tr w:rsidR="004C0CA1" w:rsidRPr="004C0CA1" w:rsidTr="004C0CA1">
        <w:tblPrEx>
          <w:tblLook w:val="04A0" w:firstRow="1" w:lastRow="0" w:firstColumn="1" w:lastColumn="0" w:noHBand="0" w:noVBand="1"/>
        </w:tblPrEx>
        <w:trPr>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FTA</w:t>
            </w:r>
          </w:p>
        </w:tc>
        <w:tc>
          <w:tcPr>
            <w:tcW w:w="7626" w:type="dxa"/>
            <w:noWrap/>
            <w:hideMark/>
          </w:tcPr>
          <w:p w:rsidR="004C0CA1" w:rsidRPr="004C0CA1" w:rsidRDefault="004C0CA1" w:rsidP="004C0CA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Cs/>
                <w:color w:val="auto"/>
                <w:szCs w:val="20"/>
              </w:rPr>
            </w:pPr>
            <w:r w:rsidRPr="004C0CA1">
              <w:rPr>
                <w:rFonts w:cs="Arial"/>
                <w:bCs/>
                <w:color w:val="auto"/>
                <w:szCs w:val="20"/>
              </w:rPr>
              <w:t>Free trade agreement</w:t>
            </w:r>
          </w:p>
        </w:tc>
      </w:tr>
      <w:tr w:rsidR="004C0CA1" w:rsidRPr="004C0CA1" w:rsidTr="004C0CA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G4G</w:t>
            </w:r>
          </w:p>
        </w:tc>
        <w:tc>
          <w:tcPr>
            <w:tcW w:w="7626" w:type="dxa"/>
            <w:noWrap/>
            <w:hideMark/>
          </w:tcPr>
          <w:p w:rsidR="004C0CA1" w:rsidRPr="004C0CA1" w:rsidRDefault="004C0CA1" w:rsidP="004C0CA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4C0CA1">
              <w:rPr>
                <w:rFonts w:cs="Arial"/>
                <w:color w:val="auto"/>
                <w:szCs w:val="20"/>
              </w:rPr>
              <w:t xml:space="preserve">Governing for Growth in Georgia </w:t>
            </w:r>
          </w:p>
        </w:tc>
      </w:tr>
      <w:tr w:rsidR="004C0CA1" w:rsidRPr="004C0CA1" w:rsidTr="004C0CA1">
        <w:tblPrEx>
          <w:tblLook w:val="04A0" w:firstRow="1" w:lastRow="0" w:firstColumn="1" w:lastColumn="0" w:noHBand="0" w:noVBand="1"/>
        </w:tblPrEx>
        <w:trPr>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GAC</w:t>
            </w:r>
          </w:p>
        </w:tc>
        <w:tc>
          <w:tcPr>
            <w:tcW w:w="7626" w:type="dxa"/>
            <w:noWrap/>
            <w:hideMark/>
          </w:tcPr>
          <w:p w:rsidR="004C0CA1" w:rsidRPr="004C0CA1" w:rsidRDefault="004C0CA1" w:rsidP="004C0CA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Cs/>
                <w:color w:val="auto"/>
                <w:szCs w:val="20"/>
              </w:rPr>
            </w:pPr>
            <w:r w:rsidRPr="004C0CA1">
              <w:rPr>
                <w:rFonts w:cs="Arial"/>
                <w:bCs/>
                <w:color w:val="auto"/>
                <w:szCs w:val="20"/>
              </w:rPr>
              <w:t>Georgian Accreditation Center</w:t>
            </w:r>
          </w:p>
        </w:tc>
      </w:tr>
      <w:tr w:rsidR="004C0CA1" w:rsidRPr="004C0CA1" w:rsidTr="004C0CA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GCAA</w:t>
            </w:r>
          </w:p>
        </w:tc>
        <w:tc>
          <w:tcPr>
            <w:tcW w:w="7626" w:type="dxa"/>
            <w:noWrap/>
            <w:hideMark/>
          </w:tcPr>
          <w:p w:rsidR="004C0CA1" w:rsidRPr="004C0CA1" w:rsidRDefault="004C0CA1" w:rsidP="004C0CA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4C0CA1">
              <w:rPr>
                <w:rFonts w:cs="Arial"/>
                <w:color w:val="auto"/>
                <w:szCs w:val="20"/>
              </w:rPr>
              <w:t>Georgian Civil Aviation Authority</w:t>
            </w:r>
          </w:p>
        </w:tc>
      </w:tr>
      <w:tr w:rsidR="004C0CA1" w:rsidRPr="004C0CA1" w:rsidTr="004C0CA1">
        <w:tblPrEx>
          <w:tblLook w:val="04A0" w:firstRow="1" w:lastRow="0" w:firstColumn="1" w:lastColumn="0" w:noHBand="0" w:noVBand="1"/>
        </w:tblPrEx>
        <w:trPr>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GCCI</w:t>
            </w:r>
          </w:p>
        </w:tc>
        <w:tc>
          <w:tcPr>
            <w:tcW w:w="7626" w:type="dxa"/>
            <w:noWrap/>
            <w:hideMark/>
          </w:tcPr>
          <w:p w:rsidR="004C0CA1" w:rsidRPr="004C0CA1" w:rsidRDefault="004C0CA1" w:rsidP="004C0CA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Cs/>
                <w:color w:val="auto"/>
                <w:szCs w:val="20"/>
              </w:rPr>
            </w:pPr>
            <w:r w:rsidRPr="004C0CA1">
              <w:rPr>
                <w:rFonts w:cs="Arial"/>
                <w:bCs/>
                <w:color w:val="auto"/>
                <w:szCs w:val="20"/>
              </w:rPr>
              <w:t>Georgian Chamber of Commerce and Industry</w:t>
            </w:r>
          </w:p>
        </w:tc>
      </w:tr>
      <w:tr w:rsidR="004C0CA1" w:rsidRPr="004C0CA1" w:rsidTr="004C0CA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GDP</w:t>
            </w:r>
          </w:p>
        </w:tc>
        <w:tc>
          <w:tcPr>
            <w:tcW w:w="7626" w:type="dxa"/>
            <w:noWrap/>
            <w:hideMark/>
          </w:tcPr>
          <w:p w:rsidR="004C0CA1" w:rsidRPr="004C0CA1" w:rsidRDefault="004C0CA1" w:rsidP="004C0CA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4C0CA1">
              <w:rPr>
                <w:rFonts w:cs="Arial"/>
                <w:color w:val="auto"/>
                <w:szCs w:val="20"/>
              </w:rPr>
              <w:t>Gross Domestic Product</w:t>
            </w:r>
          </w:p>
        </w:tc>
      </w:tr>
      <w:tr w:rsidR="004C0CA1" w:rsidRPr="004C0CA1" w:rsidTr="004C0CA1">
        <w:tblPrEx>
          <w:tblLook w:val="04A0" w:firstRow="1" w:lastRow="0" w:firstColumn="1" w:lastColumn="0" w:noHBand="0" w:noVBand="1"/>
        </w:tblPrEx>
        <w:trPr>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GEN</w:t>
            </w:r>
          </w:p>
        </w:tc>
        <w:tc>
          <w:tcPr>
            <w:tcW w:w="7626" w:type="dxa"/>
            <w:noWrap/>
            <w:hideMark/>
          </w:tcPr>
          <w:p w:rsidR="004C0CA1" w:rsidRPr="004C0CA1" w:rsidRDefault="004C0CA1" w:rsidP="004C0CA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Cs/>
                <w:color w:val="auto"/>
                <w:szCs w:val="20"/>
              </w:rPr>
            </w:pPr>
            <w:r>
              <w:rPr>
                <w:rFonts w:cs="Arial"/>
                <w:bCs/>
                <w:color w:val="auto"/>
                <w:szCs w:val="20"/>
              </w:rPr>
              <w:t>Global Entre</w:t>
            </w:r>
            <w:r w:rsidRPr="004C0CA1">
              <w:rPr>
                <w:rFonts w:cs="Arial"/>
                <w:bCs/>
                <w:color w:val="auto"/>
                <w:szCs w:val="20"/>
              </w:rPr>
              <w:t xml:space="preserve">preneurship Network </w:t>
            </w:r>
          </w:p>
        </w:tc>
      </w:tr>
      <w:tr w:rsidR="004C0CA1" w:rsidRPr="004C0CA1" w:rsidTr="004C0CA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GeoSTM</w:t>
            </w:r>
          </w:p>
        </w:tc>
        <w:tc>
          <w:tcPr>
            <w:tcW w:w="7626" w:type="dxa"/>
            <w:noWrap/>
            <w:hideMark/>
          </w:tcPr>
          <w:p w:rsidR="004C0CA1" w:rsidRPr="004C0CA1" w:rsidRDefault="004C0CA1" w:rsidP="004C0CA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4C0CA1">
              <w:rPr>
                <w:rFonts w:cs="Arial"/>
                <w:color w:val="auto"/>
                <w:szCs w:val="20"/>
              </w:rPr>
              <w:t>Georgi</w:t>
            </w:r>
            <w:r>
              <w:rPr>
                <w:rFonts w:cs="Arial"/>
                <w:color w:val="auto"/>
                <w:szCs w:val="20"/>
              </w:rPr>
              <w:t>an National Agency for Standards</w:t>
            </w:r>
            <w:r w:rsidRPr="004C0CA1">
              <w:rPr>
                <w:rFonts w:cs="Arial"/>
                <w:color w:val="auto"/>
                <w:szCs w:val="20"/>
              </w:rPr>
              <w:t xml:space="preserve"> and Metrology</w:t>
            </w:r>
          </w:p>
        </w:tc>
      </w:tr>
      <w:tr w:rsidR="004C0CA1" w:rsidRPr="004C0CA1" w:rsidTr="004C0CA1">
        <w:tblPrEx>
          <w:tblLook w:val="04A0" w:firstRow="1" w:lastRow="0" w:firstColumn="1" w:lastColumn="0" w:noHBand="0" w:noVBand="1"/>
        </w:tblPrEx>
        <w:trPr>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GII</w:t>
            </w:r>
          </w:p>
        </w:tc>
        <w:tc>
          <w:tcPr>
            <w:tcW w:w="7626" w:type="dxa"/>
            <w:noWrap/>
            <w:hideMark/>
          </w:tcPr>
          <w:p w:rsidR="004C0CA1" w:rsidRPr="004C0CA1" w:rsidRDefault="004C0CA1" w:rsidP="004C0CA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Cs/>
                <w:color w:val="auto"/>
                <w:szCs w:val="20"/>
              </w:rPr>
            </w:pPr>
            <w:r w:rsidRPr="004C0CA1">
              <w:rPr>
                <w:rFonts w:cs="Arial"/>
                <w:bCs/>
                <w:color w:val="auto"/>
                <w:szCs w:val="20"/>
              </w:rPr>
              <w:t>Global Innovation Index</w:t>
            </w:r>
          </w:p>
        </w:tc>
      </w:tr>
      <w:tr w:rsidR="004C0CA1" w:rsidRPr="004C0CA1" w:rsidTr="004C0CA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GITA</w:t>
            </w:r>
          </w:p>
        </w:tc>
        <w:tc>
          <w:tcPr>
            <w:tcW w:w="7626" w:type="dxa"/>
            <w:noWrap/>
            <w:hideMark/>
          </w:tcPr>
          <w:p w:rsidR="004C0CA1" w:rsidRPr="004C0CA1" w:rsidRDefault="004C0CA1" w:rsidP="004C0CA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4C0CA1">
              <w:rPr>
                <w:rFonts w:cs="Arial"/>
                <w:color w:val="auto"/>
                <w:szCs w:val="20"/>
              </w:rPr>
              <w:t>Georgia Innovation and Technology Agency</w:t>
            </w:r>
          </w:p>
        </w:tc>
      </w:tr>
      <w:tr w:rsidR="004C0CA1" w:rsidRPr="004C0CA1" w:rsidTr="004C0CA1">
        <w:tblPrEx>
          <w:tblLook w:val="04A0" w:firstRow="1" w:lastRow="0" w:firstColumn="1" w:lastColumn="0" w:noHBand="0" w:noVBand="1"/>
        </w:tblPrEx>
        <w:trPr>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GMP</w:t>
            </w:r>
          </w:p>
        </w:tc>
        <w:tc>
          <w:tcPr>
            <w:tcW w:w="7626" w:type="dxa"/>
            <w:noWrap/>
            <w:hideMark/>
          </w:tcPr>
          <w:p w:rsidR="004C0CA1" w:rsidRPr="004C0CA1" w:rsidRDefault="002E3799" w:rsidP="004C0CA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Cs/>
                <w:color w:val="auto"/>
                <w:szCs w:val="20"/>
              </w:rPr>
            </w:pPr>
            <w:r w:rsidRPr="002E3799">
              <w:rPr>
                <w:rFonts w:cs="Arial"/>
                <w:bCs/>
                <w:color w:val="auto"/>
                <w:szCs w:val="20"/>
              </w:rPr>
              <w:t>Good manufacturing practices</w:t>
            </w:r>
          </w:p>
        </w:tc>
      </w:tr>
      <w:tr w:rsidR="004C0CA1" w:rsidRPr="004C0CA1" w:rsidTr="004C0CA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GNCC</w:t>
            </w:r>
          </w:p>
        </w:tc>
        <w:tc>
          <w:tcPr>
            <w:tcW w:w="7626" w:type="dxa"/>
            <w:noWrap/>
            <w:hideMark/>
          </w:tcPr>
          <w:p w:rsidR="004C0CA1" w:rsidRPr="004C0CA1" w:rsidRDefault="004C0CA1" w:rsidP="004C0CA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4C0CA1">
              <w:rPr>
                <w:rFonts w:cs="Arial"/>
                <w:color w:val="auto"/>
                <w:szCs w:val="20"/>
              </w:rPr>
              <w:t>Georgian National Communications Commission</w:t>
            </w:r>
          </w:p>
        </w:tc>
      </w:tr>
      <w:tr w:rsidR="004C0CA1" w:rsidRPr="004C0CA1" w:rsidTr="004C0CA1">
        <w:tblPrEx>
          <w:tblLook w:val="04A0" w:firstRow="1" w:lastRow="0" w:firstColumn="1" w:lastColumn="0" w:noHBand="0" w:noVBand="1"/>
        </w:tblPrEx>
        <w:trPr>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GNTA</w:t>
            </w:r>
          </w:p>
        </w:tc>
        <w:tc>
          <w:tcPr>
            <w:tcW w:w="7626" w:type="dxa"/>
            <w:noWrap/>
            <w:hideMark/>
          </w:tcPr>
          <w:p w:rsidR="004C0CA1" w:rsidRPr="004C0CA1" w:rsidRDefault="004C0CA1" w:rsidP="004C0CA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Cs/>
                <w:color w:val="auto"/>
                <w:szCs w:val="20"/>
              </w:rPr>
            </w:pPr>
            <w:r w:rsidRPr="004C0CA1">
              <w:rPr>
                <w:rFonts w:cs="Arial"/>
                <w:bCs/>
                <w:color w:val="auto"/>
                <w:szCs w:val="20"/>
              </w:rPr>
              <w:t>Georgian National Tourism Administration</w:t>
            </w:r>
          </w:p>
        </w:tc>
      </w:tr>
      <w:tr w:rsidR="004C0CA1" w:rsidRPr="004C0CA1" w:rsidTr="004C0CA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HACCP</w:t>
            </w:r>
          </w:p>
        </w:tc>
        <w:tc>
          <w:tcPr>
            <w:tcW w:w="7626" w:type="dxa"/>
            <w:noWrap/>
            <w:hideMark/>
          </w:tcPr>
          <w:p w:rsidR="004C0CA1" w:rsidRPr="004C0CA1" w:rsidRDefault="002E3799" w:rsidP="004C0CA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2E3799">
              <w:rPr>
                <w:rFonts w:cs="Arial"/>
                <w:color w:val="auto"/>
                <w:szCs w:val="20"/>
              </w:rPr>
              <w:t>Hazard analysis and critical control points</w:t>
            </w:r>
          </w:p>
        </w:tc>
      </w:tr>
      <w:tr w:rsidR="004C0CA1" w:rsidRPr="004C0CA1" w:rsidTr="004C0CA1">
        <w:tblPrEx>
          <w:tblLook w:val="04A0" w:firstRow="1" w:lastRow="0" w:firstColumn="1" w:lastColumn="0" w:noHBand="0" w:noVBand="1"/>
        </w:tblPrEx>
        <w:trPr>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HSE</w:t>
            </w:r>
          </w:p>
        </w:tc>
        <w:tc>
          <w:tcPr>
            <w:tcW w:w="7626" w:type="dxa"/>
            <w:noWrap/>
            <w:hideMark/>
          </w:tcPr>
          <w:p w:rsidR="004C0CA1" w:rsidRPr="004C0CA1" w:rsidRDefault="004C0CA1" w:rsidP="004C0CA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Cs/>
                <w:color w:val="auto"/>
                <w:szCs w:val="20"/>
              </w:rPr>
            </w:pPr>
            <w:r w:rsidRPr="004C0CA1">
              <w:rPr>
                <w:rFonts w:cs="Arial"/>
                <w:bCs/>
                <w:color w:val="auto"/>
                <w:szCs w:val="20"/>
              </w:rPr>
              <w:t>Health, safety and environment</w:t>
            </w:r>
          </w:p>
        </w:tc>
      </w:tr>
      <w:tr w:rsidR="004C0CA1" w:rsidRPr="004C0CA1" w:rsidTr="004C0CA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 xml:space="preserve">ICC </w:t>
            </w:r>
          </w:p>
        </w:tc>
        <w:tc>
          <w:tcPr>
            <w:tcW w:w="7626" w:type="dxa"/>
            <w:noWrap/>
            <w:hideMark/>
          </w:tcPr>
          <w:p w:rsidR="004C0CA1" w:rsidRPr="004C0CA1" w:rsidRDefault="004C0CA1" w:rsidP="004C0CA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4C0CA1">
              <w:rPr>
                <w:rFonts w:cs="Arial"/>
                <w:color w:val="auto"/>
                <w:szCs w:val="20"/>
              </w:rPr>
              <w:t>International Chamber of Commerce</w:t>
            </w:r>
          </w:p>
        </w:tc>
      </w:tr>
      <w:tr w:rsidR="004C0CA1" w:rsidRPr="004C0CA1" w:rsidTr="004C0CA1">
        <w:tblPrEx>
          <w:tblLook w:val="04A0" w:firstRow="1" w:lastRow="0" w:firstColumn="1" w:lastColumn="0" w:noHBand="0" w:noVBand="1"/>
        </w:tblPrEx>
        <w:trPr>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ICT</w:t>
            </w:r>
          </w:p>
        </w:tc>
        <w:tc>
          <w:tcPr>
            <w:tcW w:w="7626" w:type="dxa"/>
            <w:noWrap/>
            <w:hideMark/>
          </w:tcPr>
          <w:p w:rsidR="004C0CA1" w:rsidRPr="004C0CA1" w:rsidRDefault="004C0CA1" w:rsidP="004C0CA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Cs/>
                <w:color w:val="auto"/>
                <w:szCs w:val="20"/>
              </w:rPr>
            </w:pPr>
            <w:r w:rsidRPr="004C0CA1">
              <w:rPr>
                <w:rFonts w:cs="Arial"/>
                <w:bCs/>
                <w:color w:val="auto"/>
                <w:szCs w:val="20"/>
              </w:rPr>
              <w:t>Information and communication technology</w:t>
            </w:r>
          </w:p>
        </w:tc>
      </w:tr>
      <w:tr w:rsidR="004C0CA1" w:rsidRPr="004C0CA1" w:rsidTr="004C0CA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IFC</w:t>
            </w:r>
          </w:p>
        </w:tc>
        <w:tc>
          <w:tcPr>
            <w:tcW w:w="7626" w:type="dxa"/>
            <w:noWrap/>
            <w:hideMark/>
          </w:tcPr>
          <w:p w:rsidR="004C0CA1" w:rsidRPr="004C0CA1" w:rsidRDefault="004C0CA1" w:rsidP="004C0CA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4C0CA1">
              <w:rPr>
                <w:rFonts w:cs="Arial"/>
                <w:color w:val="auto"/>
                <w:szCs w:val="20"/>
              </w:rPr>
              <w:t>International Finance Corporation</w:t>
            </w:r>
          </w:p>
        </w:tc>
      </w:tr>
      <w:tr w:rsidR="004C0CA1" w:rsidRPr="004C0CA1" w:rsidTr="004C0CA1">
        <w:tblPrEx>
          <w:tblLook w:val="04A0" w:firstRow="1" w:lastRow="0" w:firstColumn="1" w:lastColumn="0" w:noHBand="0" w:noVBand="1"/>
        </w:tblPrEx>
        <w:trPr>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IFI</w:t>
            </w:r>
          </w:p>
        </w:tc>
        <w:tc>
          <w:tcPr>
            <w:tcW w:w="7626" w:type="dxa"/>
            <w:noWrap/>
            <w:hideMark/>
          </w:tcPr>
          <w:p w:rsidR="004C0CA1" w:rsidRPr="004C0CA1" w:rsidRDefault="004C0CA1" w:rsidP="004C0CA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Cs/>
                <w:color w:val="auto"/>
                <w:szCs w:val="20"/>
              </w:rPr>
            </w:pPr>
            <w:r w:rsidRPr="004C0CA1">
              <w:rPr>
                <w:rFonts w:cs="Arial"/>
                <w:bCs/>
                <w:color w:val="auto"/>
                <w:szCs w:val="20"/>
              </w:rPr>
              <w:t>International Financial Institutions</w:t>
            </w:r>
          </w:p>
        </w:tc>
      </w:tr>
      <w:tr w:rsidR="004C0CA1" w:rsidRPr="004C0CA1" w:rsidTr="004C0CA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IP</w:t>
            </w:r>
          </w:p>
        </w:tc>
        <w:tc>
          <w:tcPr>
            <w:tcW w:w="7626" w:type="dxa"/>
            <w:noWrap/>
            <w:hideMark/>
          </w:tcPr>
          <w:p w:rsidR="004C0CA1" w:rsidRPr="004C0CA1" w:rsidRDefault="004C0CA1" w:rsidP="004C0CA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4C0CA1">
              <w:rPr>
                <w:rFonts w:cs="Arial"/>
                <w:color w:val="auto"/>
                <w:szCs w:val="20"/>
              </w:rPr>
              <w:t>Intellectual property</w:t>
            </w:r>
          </w:p>
        </w:tc>
      </w:tr>
      <w:tr w:rsidR="004C0CA1" w:rsidRPr="004C0CA1" w:rsidTr="004C0CA1">
        <w:tblPrEx>
          <w:tblLook w:val="04A0" w:firstRow="1" w:lastRow="0" w:firstColumn="1" w:lastColumn="0" w:noHBand="0" w:noVBand="1"/>
        </w:tblPrEx>
        <w:trPr>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LLC</w:t>
            </w:r>
          </w:p>
        </w:tc>
        <w:tc>
          <w:tcPr>
            <w:tcW w:w="7626" w:type="dxa"/>
            <w:noWrap/>
            <w:hideMark/>
          </w:tcPr>
          <w:p w:rsidR="004C0CA1" w:rsidRPr="004C0CA1" w:rsidRDefault="004C0CA1" w:rsidP="004C0CA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Cs/>
                <w:color w:val="auto"/>
                <w:szCs w:val="20"/>
              </w:rPr>
            </w:pPr>
            <w:r w:rsidRPr="004C0CA1">
              <w:rPr>
                <w:rFonts w:cs="Arial"/>
                <w:bCs/>
                <w:color w:val="auto"/>
                <w:szCs w:val="20"/>
              </w:rPr>
              <w:t xml:space="preserve">Limited liability companies </w:t>
            </w:r>
          </w:p>
        </w:tc>
      </w:tr>
      <w:tr w:rsidR="004C0CA1" w:rsidRPr="004C0CA1" w:rsidTr="004C0CA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LPI</w:t>
            </w:r>
          </w:p>
        </w:tc>
        <w:tc>
          <w:tcPr>
            <w:tcW w:w="7626" w:type="dxa"/>
            <w:noWrap/>
            <w:hideMark/>
          </w:tcPr>
          <w:p w:rsidR="004C0CA1" w:rsidRPr="004C0CA1" w:rsidRDefault="004C0CA1" w:rsidP="004C0CA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4C0CA1">
              <w:rPr>
                <w:rFonts w:cs="Arial"/>
                <w:color w:val="auto"/>
                <w:szCs w:val="20"/>
              </w:rPr>
              <w:t>Logistics Performance Index</w:t>
            </w:r>
          </w:p>
        </w:tc>
      </w:tr>
      <w:tr w:rsidR="004C0CA1" w:rsidRPr="004C0CA1" w:rsidTr="004C0CA1">
        <w:tblPrEx>
          <w:tblLook w:val="04A0" w:firstRow="1" w:lastRow="0" w:firstColumn="1" w:lastColumn="0" w:noHBand="0" w:noVBand="1"/>
        </w:tblPrEx>
        <w:trPr>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LTA</w:t>
            </w:r>
          </w:p>
        </w:tc>
        <w:tc>
          <w:tcPr>
            <w:tcW w:w="7626" w:type="dxa"/>
            <w:noWrap/>
            <w:hideMark/>
          </w:tcPr>
          <w:p w:rsidR="004C0CA1" w:rsidRPr="004C0CA1" w:rsidRDefault="004C0CA1" w:rsidP="004C0CA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Cs/>
                <w:color w:val="auto"/>
                <w:szCs w:val="20"/>
              </w:rPr>
            </w:pPr>
            <w:r w:rsidRPr="004C0CA1">
              <w:rPr>
                <w:rFonts w:cs="Arial"/>
                <w:bCs/>
                <w:color w:val="auto"/>
                <w:szCs w:val="20"/>
              </w:rPr>
              <w:t>Land Transport Authority</w:t>
            </w:r>
          </w:p>
        </w:tc>
      </w:tr>
      <w:tr w:rsidR="004C0CA1" w:rsidRPr="004C0CA1" w:rsidTr="004C0CA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MOA</w:t>
            </w:r>
          </w:p>
        </w:tc>
        <w:tc>
          <w:tcPr>
            <w:tcW w:w="7626" w:type="dxa"/>
            <w:noWrap/>
            <w:hideMark/>
          </w:tcPr>
          <w:p w:rsidR="004C0CA1" w:rsidRPr="004C0CA1" w:rsidRDefault="004C0CA1" w:rsidP="004C0CA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4C0CA1">
              <w:rPr>
                <w:rFonts w:cs="Arial"/>
                <w:color w:val="auto"/>
                <w:szCs w:val="20"/>
              </w:rPr>
              <w:t xml:space="preserve">Ministry of Environment Protection and Agriculture </w:t>
            </w:r>
          </w:p>
        </w:tc>
      </w:tr>
      <w:tr w:rsidR="004C0CA1" w:rsidRPr="004C0CA1" w:rsidTr="004C0CA1">
        <w:tblPrEx>
          <w:tblLook w:val="04A0" w:firstRow="1" w:lastRow="0" w:firstColumn="1" w:lastColumn="0" w:noHBand="0" w:noVBand="1"/>
        </w:tblPrEx>
        <w:trPr>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MOD</w:t>
            </w:r>
          </w:p>
        </w:tc>
        <w:tc>
          <w:tcPr>
            <w:tcW w:w="7626" w:type="dxa"/>
            <w:noWrap/>
            <w:hideMark/>
          </w:tcPr>
          <w:p w:rsidR="004C0CA1" w:rsidRPr="004C0CA1" w:rsidRDefault="004C0CA1" w:rsidP="004C0CA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Cs/>
                <w:color w:val="auto"/>
                <w:szCs w:val="20"/>
              </w:rPr>
            </w:pPr>
            <w:r w:rsidRPr="004C0CA1">
              <w:rPr>
                <w:rFonts w:cs="Arial"/>
                <w:bCs/>
                <w:color w:val="auto"/>
                <w:szCs w:val="20"/>
              </w:rPr>
              <w:t>Ministry of Defense</w:t>
            </w:r>
          </w:p>
        </w:tc>
      </w:tr>
      <w:tr w:rsidR="004C0CA1" w:rsidRPr="004C0CA1" w:rsidTr="004C0CA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 xml:space="preserve">MOESCS </w:t>
            </w:r>
          </w:p>
        </w:tc>
        <w:tc>
          <w:tcPr>
            <w:tcW w:w="7626" w:type="dxa"/>
            <w:noWrap/>
            <w:hideMark/>
          </w:tcPr>
          <w:p w:rsidR="004C0CA1" w:rsidRPr="004C0CA1" w:rsidRDefault="004C0CA1" w:rsidP="004C0CA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4C0CA1">
              <w:rPr>
                <w:rFonts w:cs="Arial"/>
                <w:color w:val="auto"/>
                <w:szCs w:val="20"/>
              </w:rPr>
              <w:t>Ministry of Education (Science, Culture and Sport)</w:t>
            </w:r>
          </w:p>
        </w:tc>
      </w:tr>
      <w:tr w:rsidR="004C0CA1" w:rsidRPr="004C0CA1" w:rsidTr="004C0CA1">
        <w:tblPrEx>
          <w:tblLook w:val="04A0" w:firstRow="1" w:lastRow="0" w:firstColumn="1" w:lastColumn="0" w:noHBand="0" w:noVBand="1"/>
        </w:tblPrEx>
        <w:trPr>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MOESD</w:t>
            </w:r>
          </w:p>
        </w:tc>
        <w:tc>
          <w:tcPr>
            <w:tcW w:w="7626" w:type="dxa"/>
            <w:noWrap/>
            <w:hideMark/>
          </w:tcPr>
          <w:p w:rsidR="004C0CA1" w:rsidRPr="004C0CA1" w:rsidRDefault="004C0CA1" w:rsidP="004C0CA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Cs/>
                <w:color w:val="auto"/>
                <w:szCs w:val="20"/>
              </w:rPr>
            </w:pPr>
            <w:r w:rsidRPr="004C0CA1">
              <w:rPr>
                <w:rFonts w:cs="Arial"/>
                <w:bCs/>
                <w:color w:val="auto"/>
                <w:szCs w:val="20"/>
              </w:rPr>
              <w:t>Ministry of Economy and Sustainable Development</w:t>
            </w:r>
          </w:p>
        </w:tc>
      </w:tr>
      <w:tr w:rsidR="004C0CA1" w:rsidRPr="004C0CA1" w:rsidTr="004C0CA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MOF</w:t>
            </w:r>
          </w:p>
        </w:tc>
        <w:tc>
          <w:tcPr>
            <w:tcW w:w="7626" w:type="dxa"/>
            <w:noWrap/>
            <w:hideMark/>
          </w:tcPr>
          <w:p w:rsidR="004C0CA1" w:rsidRPr="004C0CA1" w:rsidRDefault="004C0CA1" w:rsidP="004C0CA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4C0CA1">
              <w:rPr>
                <w:rFonts w:cs="Arial"/>
                <w:color w:val="auto"/>
                <w:szCs w:val="20"/>
              </w:rPr>
              <w:t>Ministry of Finance</w:t>
            </w:r>
          </w:p>
        </w:tc>
      </w:tr>
      <w:tr w:rsidR="004C0CA1" w:rsidRPr="004C0CA1" w:rsidTr="004C0CA1">
        <w:tblPrEx>
          <w:tblLook w:val="04A0" w:firstRow="1" w:lastRow="0" w:firstColumn="1" w:lastColumn="0" w:noHBand="0" w:noVBand="1"/>
        </w:tblPrEx>
        <w:trPr>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MOIA</w:t>
            </w:r>
          </w:p>
        </w:tc>
        <w:tc>
          <w:tcPr>
            <w:tcW w:w="7626" w:type="dxa"/>
            <w:noWrap/>
            <w:hideMark/>
          </w:tcPr>
          <w:p w:rsidR="004C0CA1" w:rsidRPr="004C0CA1" w:rsidRDefault="004C0CA1" w:rsidP="004C0CA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Cs/>
                <w:color w:val="auto"/>
                <w:szCs w:val="20"/>
              </w:rPr>
            </w:pPr>
            <w:r w:rsidRPr="004C0CA1">
              <w:rPr>
                <w:rFonts w:cs="Arial"/>
                <w:bCs/>
                <w:color w:val="auto"/>
                <w:szCs w:val="20"/>
              </w:rPr>
              <w:t>Ministry of Internal Affairs</w:t>
            </w:r>
          </w:p>
        </w:tc>
      </w:tr>
      <w:tr w:rsidR="004C0CA1" w:rsidRPr="004C0CA1" w:rsidTr="004C0CA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MOJ</w:t>
            </w:r>
          </w:p>
        </w:tc>
        <w:tc>
          <w:tcPr>
            <w:tcW w:w="7626" w:type="dxa"/>
            <w:noWrap/>
            <w:hideMark/>
          </w:tcPr>
          <w:p w:rsidR="004C0CA1" w:rsidRPr="004C0CA1" w:rsidRDefault="004C0CA1" w:rsidP="004C0CA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4C0CA1">
              <w:rPr>
                <w:rFonts w:cs="Arial"/>
                <w:color w:val="auto"/>
                <w:szCs w:val="20"/>
              </w:rPr>
              <w:t>Ministry of Justice</w:t>
            </w:r>
          </w:p>
        </w:tc>
      </w:tr>
      <w:tr w:rsidR="004C0CA1" w:rsidRPr="004C0CA1" w:rsidTr="004C0CA1">
        <w:tblPrEx>
          <w:tblLook w:val="04A0" w:firstRow="1" w:lastRow="0" w:firstColumn="1" w:lastColumn="0" w:noHBand="0" w:noVBand="1"/>
        </w:tblPrEx>
        <w:trPr>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MRDI</w:t>
            </w:r>
          </w:p>
        </w:tc>
        <w:tc>
          <w:tcPr>
            <w:tcW w:w="7626" w:type="dxa"/>
            <w:noWrap/>
            <w:hideMark/>
          </w:tcPr>
          <w:p w:rsidR="004C0CA1" w:rsidRPr="004C0CA1" w:rsidRDefault="004C0CA1" w:rsidP="004C0CA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Cs/>
                <w:color w:val="auto"/>
                <w:szCs w:val="20"/>
              </w:rPr>
            </w:pPr>
            <w:r w:rsidRPr="004C0CA1">
              <w:rPr>
                <w:rFonts w:cs="Arial"/>
                <w:bCs/>
                <w:color w:val="auto"/>
                <w:szCs w:val="20"/>
              </w:rPr>
              <w:t>Ministry of Regional Development and Infrastructure</w:t>
            </w:r>
          </w:p>
        </w:tc>
      </w:tr>
      <w:tr w:rsidR="004C0CA1" w:rsidRPr="004C0CA1" w:rsidTr="004C0CA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MSME</w:t>
            </w:r>
          </w:p>
        </w:tc>
        <w:tc>
          <w:tcPr>
            <w:tcW w:w="7626" w:type="dxa"/>
            <w:noWrap/>
            <w:hideMark/>
          </w:tcPr>
          <w:p w:rsidR="004C0CA1" w:rsidRPr="004C0CA1" w:rsidRDefault="004C0CA1" w:rsidP="004C0CA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4C0CA1">
              <w:rPr>
                <w:rFonts w:cs="Arial"/>
                <w:color w:val="auto"/>
                <w:szCs w:val="20"/>
              </w:rPr>
              <w:t>Micro, small and medium enterprise</w:t>
            </w:r>
          </w:p>
        </w:tc>
      </w:tr>
      <w:tr w:rsidR="004C0CA1" w:rsidRPr="004C0CA1" w:rsidTr="004C0CA1">
        <w:tblPrEx>
          <w:tblLook w:val="04A0" w:firstRow="1" w:lastRow="0" w:firstColumn="1" w:lastColumn="0" w:noHBand="0" w:noVBand="1"/>
        </w:tblPrEx>
        <w:trPr>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MTA</w:t>
            </w:r>
          </w:p>
        </w:tc>
        <w:tc>
          <w:tcPr>
            <w:tcW w:w="7626" w:type="dxa"/>
            <w:noWrap/>
            <w:hideMark/>
          </w:tcPr>
          <w:p w:rsidR="004C0CA1" w:rsidRPr="004C0CA1" w:rsidRDefault="004C0CA1" w:rsidP="004C0CA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Cs/>
                <w:color w:val="auto"/>
                <w:szCs w:val="20"/>
              </w:rPr>
            </w:pPr>
            <w:r w:rsidRPr="004C0CA1">
              <w:rPr>
                <w:rFonts w:cs="Arial"/>
                <w:bCs/>
                <w:color w:val="auto"/>
                <w:szCs w:val="20"/>
              </w:rPr>
              <w:t>Maritime Transport Authority</w:t>
            </w:r>
          </w:p>
        </w:tc>
      </w:tr>
      <w:tr w:rsidR="004C0CA1" w:rsidRPr="004C0CA1" w:rsidTr="004C0CA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NBG</w:t>
            </w:r>
          </w:p>
        </w:tc>
        <w:tc>
          <w:tcPr>
            <w:tcW w:w="7626" w:type="dxa"/>
            <w:noWrap/>
            <w:hideMark/>
          </w:tcPr>
          <w:p w:rsidR="004C0CA1" w:rsidRPr="004C0CA1" w:rsidRDefault="004C0CA1" w:rsidP="004C0CA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4C0CA1">
              <w:rPr>
                <w:rFonts w:cs="Arial"/>
                <w:color w:val="auto"/>
                <w:szCs w:val="20"/>
              </w:rPr>
              <w:t>National Bank of Georgia</w:t>
            </w:r>
          </w:p>
        </w:tc>
      </w:tr>
      <w:tr w:rsidR="004C0CA1" w:rsidRPr="004C0CA1" w:rsidTr="004C0CA1">
        <w:tblPrEx>
          <w:tblLook w:val="04A0" w:firstRow="1" w:lastRow="0" w:firstColumn="1" w:lastColumn="0" w:noHBand="0" w:noVBand="1"/>
        </w:tblPrEx>
        <w:trPr>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 xml:space="preserve">NFA </w:t>
            </w:r>
          </w:p>
        </w:tc>
        <w:tc>
          <w:tcPr>
            <w:tcW w:w="7626" w:type="dxa"/>
            <w:noWrap/>
            <w:hideMark/>
          </w:tcPr>
          <w:p w:rsidR="004C0CA1" w:rsidRPr="004C0CA1" w:rsidRDefault="004C0CA1" w:rsidP="004C0CA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Cs/>
                <w:color w:val="auto"/>
                <w:szCs w:val="20"/>
              </w:rPr>
            </w:pPr>
            <w:r w:rsidRPr="004C0CA1">
              <w:rPr>
                <w:rFonts w:cs="Arial"/>
                <w:bCs/>
                <w:color w:val="auto"/>
                <w:szCs w:val="20"/>
              </w:rPr>
              <w:t>National Food Agency</w:t>
            </w:r>
          </w:p>
        </w:tc>
      </w:tr>
      <w:tr w:rsidR="004C0CA1" w:rsidRPr="004C0CA1" w:rsidTr="004C0CA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OECD</w:t>
            </w:r>
          </w:p>
        </w:tc>
        <w:tc>
          <w:tcPr>
            <w:tcW w:w="7626" w:type="dxa"/>
            <w:noWrap/>
            <w:hideMark/>
          </w:tcPr>
          <w:p w:rsidR="004C0CA1" w:rsidRPr="004C0CA1" w:rsidRDefault="004C0CA1" w:rsidP="004C0CA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auto"/>
                <w:szCs w:val="20"/>
              </w:rPr>
            </w:pPr>
          </w:p>
        </w:tc>
      </w:tr>
      <w:tr w:rsidR="004C0CA1" w:rsidRPr="004C0CA1" w:rsidTr="004C0CA1">
        <w:tblPrEx>
          <w:tblLook w:val="04A0" w:firstRow="1" w:lastRow="0" w:firstColumn="1" w:lastColumn="0" w:noHBand="0" w:noVBand="1"/>
        </w:tblPrEx>
        <w:trPr>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lastRenderedPageBreak/>
              <w:t>PF</w:t>
            </w:r>
          </w:p>
        </w:tc>
        <w:tc>
          <w:tcPr>
            <w:tcW w:w="7626" w:type="dxa"/>
            <w:noWrap/>
            <w:hideMark/>
          </w:tcPr>
          <w:p w:rsidR="004C0CA1" w:rsidRPr="004C0CA1" w:rsidRDefault="004C0CA1" w:rsidP="004C0CA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Cs/>
                <w:color w:val="auto"/>
                <w:szCs w:val="20"/>
              </w:rPr>
            </w:pPr>
            <w:r w:rsidRPr="004C0CA1">
              <w:rPr>
                <w:rFonts w:cs="Arial"/>
                <w:bCs/>
                <w:color w:val="auto"/>
                <w:szCs w:val="20"/>
              </w:rPr>
              <w:t>Par</w:t>
            </w:r>
            <w:r w:rsidR="006F7C2A">
              <w:rPr>
                <w:rFonts w:cs="Arial"/>
                <w:bCs/>
                <w:color w:val="auto"/>
                <w:szCs w:val="20"/>
              </w:rPr>
              <w:t>t</w:t>
            </w:r>
            <w:r w:rsidRPr="004C0CA1">
              <w:rPr>
                <w:rFonts w:cs="Arial"/>
                <w:bCs/>
                <w:color w:val="auto"/>
                <w:szCs w:val="20"/>
              </w:rPr>
              <w:t>nership Fund</w:t>
            </w:r>
          </w:p>
        </w:tc>
      </w:tr>
      <w:tr w:rsidR="004C0CA1" w:rsidRPr="004C0CA1" w:rsidTr="004C0CA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R&amp;D</w:t>
            </w:r>
          </w:p>
        </w:tc>
        <w:tc>
          <w:tcPr>
            <w:tcW w:w="7626" w:type="dxa"/>
            <w:noWrap/>
            <w:hideMark/>
          </w:tcPr>
          <w:p w:rsidR="004C0CA1" w:rsidRPr="004C0CA1" w:rsidRDefault="004C0CA1" w:rsidP="004C0CA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4C0CA1">
              <w:rPr>
                <w:rFonts w:cs="Arial"/>
                <w:color w:val="auto"/>
                <w:szCs w:val="20"/>
              </w:rPr>
              <w:t>Research and development</w:t>
            </w:r>
          </w:p>
        </w:tc>
      </w:tr>
      <w:tr w:rsidR="004C0CA1" w:rsidRPr="004C0CA1" w:rsidTr="004C0CA1">
        <w:tblPrEx>
          <w:tblLook w:val="04A0" w:firstRow="1" w:lastRow="0" w:firstColumn="1" w:lastColumn="0" w:noHBand="0" w:noVBand="1"/>
        </w:tblPrEx>
        <w:trPr>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RF</w:t>
            </w:r>
          </w:p>
        </w:tc>
        <w:tc>
          <w:tcPr>
            <w:tcW w:w="7626" w:type="dxa"/>
            <w:noWrap/>
            <w:hideMark/>
          </w:tcPr>
          <w:p w:rsidR="004C0CA1" w:rsidRPr="004C0CA1" w:rsidRDefault="004C0CA1" w:rsidP="004C0CA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Cs/>
                <w:color w:val="auto"/>
                <w:szCs w:val="20"/>
              </w:rPr>
            </w:pPr>
            <w:r w:rsidRPr="004C0CA1">
              <w:rPr>
                <w:rFonts w:cs="Arial"/>
                <w:bCs/>
                <w:color w:val="auto"/>
                <w:szCs w:val="20"/>
              </w:rPr>
              <w:t>Rustaveli Foundation</w:t>
            </w:r>
          </w:p>
        </w:tc>
      </w:tr>
      <w:tr w:rsidR="004C0CA1" w:rsidRPr="004C0CA1" w:rsidTr="004C0CA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RIC</w:t>
            </w:r>
          </w:p>
        </w:tc>
        <w:tc>
          <w:tcPr>
            <w:tcW w:w="7626" w:type="dxa"/>
            <w:noWrap/>
            <w:hideMark/>
          </w:tcPr>
          <w:p w:rsidR="004C0CA1" w:rsidRPr="004C0CA1" w:rsidRDefault="004C0CA1" w:rsidP="004C0CA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4C0CA1">
              <w:rPr>
                <w:rFonts w:cs="Arial"/>
                <w:color w:val="auto"/>
                <w:szCs w:val="20"/>
              </w:rPr>
              <w:t>Research and Innovation Council</w:t>
            </w:r>
          </w:p>
        </w:tc>
      </w:tr>
      <w:tr w:rsidR="004C0CA1" w:rsidRPr="004C0CA1" w:rsidTr="004C0CA1">
        <w:tblPrEx>
          <w:tblLook w:val="04A0" w:firstRow="1" w:lastRow="0" w:firstColumn="1" w:lastColumn="0" w:noHBand="0" w:noVBand="1"/>
        </w:tblPrEx>
        <w:trPr>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 xml:space="preserve">SDA </w:t>
            </w:r>
          </w:p>
        </w:tc>
        <w:tc>
          <w:tcPr>
            <w:tcW w:w="7626" w:type="dxa"/>
            <w:noWrap/>
            <w:hideMark/>
          </w:tcPr>
          <w:p w:rsidR="004C0CA1" w:rsidRPr="004C0CA1" w:rsidRDefault="004C0CA1" w:rsidP="004C0CA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Cs/>
                <w:color w:val="auto"/>
                <w:szCs w:val="20"/>
              </w:rPr>
            </w:pPr>
            <w:r w:rsidRPr="004C0CA1">
              <w:rPr>
                <w:rFonts w:cs="Arial"/>
                <w:bCs/>
                <w:color w:val="auto"/>
                <w:szCs w:val="20"/>
              </w:rPr>
              <w:t xml:space="preserve">Public Service Development Agency </w:t>
            </w:r>
          </w:p>
        </w:tc>
      </w:tr>
      <w:tr w:rsidR="004C0CA1" w:rsidRPr="004C0CA1" w:rsidTr="004C0CA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SME</w:t>
            </w:r>
          </w:p>
        </w:tc>
        <w:tc>
          <w:tcPr>
            <w:tcW w:w="7626" w:type="dxa"/>
            <w:noWrap/>
            <w:hideMark/>
          </w:tcPr>
          <w:p w:rsidR="004C0CA1" w:rsidRPr="004C0CA1" w:rsidRDefault="004C0CA1" w:rsidP="004C0CA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4C0CA1">
              <w:rPr>
                <w:rFonts w:cs="Arial"/>
                <w:color w:val="auto"/>
                <w:szCs w:val="20"/>
              </w:rPr>
              <w:t>Small and medium enterprise</w:t>
            </w:r>
          </w:p>
        </w:tc>
      </w:tr>
      <w:tr w:rsidR="004C0CA1" w:rsidRPr="004C0CA1" w:rsidTr="004C0CA1">
        <w:tblPrEx>
          <w:tblLook w:val="04A0" w:firstRow="1" w:lastRow="0" w:firstColumn="1" w:lastColumn="0" w:noHBand="0" w:noVBand="1"/>
        </w:tblPrEx>
        <w:trPr>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SPA</w:t>
            </w:r>
          </w:p>
        </w:tc>
        <w:tc>
          <w:tcPr>
            <w:tcW w:w="7626" w:type="dxa"/>
            <w:noWrap/>
            <w:hideMark/>
          </w:tcPr>
          <w:p w:rsidR="004C0CA1" w:rsidRPr="004C0CA1" w:rsidRDefault="004C0CA1" w:rsidP="004C0CA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Cs/>
                <w:color w:val="auto"/>
                <w:szCs w:val="20"/>
              </w:rPr>
            </w:pPr>
            <w:r w:rsidRPr="004C0CA1">
              <w:rPr>
                <w:rFonts w:cs="Arial"/>
                <w:bCs/>
                <w:color w:val="auto"/>
                <w:szCs w:val="20"/>
              </w:rPr>
              <w:t>State Procurement Agency</w:t>
            </w:r>
          </w:p>
        </w:tc>
      </w:tr>
      <w:tr w:rsidR="004C0CA1" w:rsidRPr="004C0CA1" w:rsidTr="004C0CA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STEAM</w:t>
            </w:r>
          </w:p>
        </w:tc>
        <w:tc>
          <w:tcPr>
            <w:tcW w:w="7626" w:type="dxa"/>
            <w:noWrap/>
            <w:hideMark/>
          </w:tcPr>
          <w:p w:rsidR="004C0CA1" w:rsidRPr="004C0CA1" w:rsidRDefault="004C0CA1" w:rsidP="004C0CA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4C0CA1">
              <w:rPr>
                <w:rFonts w:cs="Arial"/>
                <w:color w:val="auto"/>
                <w:szCs w:val="20"/>
              </w:rPr>
              <w:t>Science, technology, engineering, arts and math</w:t>
            </w:r>
          </w:p>
        </w:tc>
      </w:tr>
      <w:tr w:rsidR="004C0CA1" w:rsidRPr="004C0CA1" w:rsidTr="004C0CA1">
        <w:tblPrEx>
          <w:tblLook w:val="04A0" w:firstRow="1" w:lastRow="0" w:firstColumn="1" w:lastColumn="0" w:noHBand="0" w:noVBand="1"/>
        </w:tblPrEx>
        <w:trPr>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 xml:space="preserve">TACSA </w:t>
            </w:r>
          </w:p>
        </w:tc>
        <w:tc>
          <w:tcPr>
            <w:tcW w:w="7626" w:type="dxa"/>
            <w:noWrap/>
            <w:hideMark/>
          </w:tcPr>
          <w:p w:rsidR="004C0CA1" w:rsidRPr="004C0CA1" w:rsidRDefault="004C0CA1" w:rsidP="004C0CA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Cs/>
                <w:color w:val="auto"/>
                <w:szCs w:val="20"/>
              </w:rPr>
            </w:pPr>
            <w:r w:rsidRPr="004C0CA1">
              <w:rPr>
                <w:rFonts w:cs="Arial"/>
                <w:bCs/>
                <w:color w:val="auto"/>
                <w:szCs w:val="20"/>
              </w:rPr>
              <w:t>Technical and Constructions Supervision Agency</w:t>
            </w:r>
          </w:p>
        </w:tc>
      </w:tr>
      <w:tr w:rsidR="004C0CA1" w:rsidRPr="004C0CA1" w:rsidTr="004C0CA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TVET</w:t>
            </w:r>
          </w:p>
        </w:tc>
        <w:tc>
          <w:tcPr>
            <w:tcW w:w="7626" w:type="dxa"/>
            <w:noWrap/>
            <w:hideMark/>
          </w:tcPr>
          <w:p w:rsidR="004C0CA1" w:rsidRPr="004C0CA1" w:rsidRDefault="004C0CA1" w:rsidP="004C0CA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4C0CA1">
              <w:rPr>
                <w:rFonts w:cs="Arial"/>
                <w:color w:val="auto"/>
                <w:szCs w:val="20"/>
              </w:rPr>
              <w:t>Technical and vocational educations and training</w:t>
            </w:r>
          </w:p>
        </w:tc>
      </w:tr>
      <w:tr w:rsidR="004C0CA1" w:rsidRPr="004C0CA1" w:rsidTr="004C0CA1">
        <w:tblPrEx>
          <w:tblLook w:val="04A0" w:firstRow="1" w:lastRow="0" w:firstColumn="1" w:lastColumn="0" w:noHBand="0" w:noVBand="1"/>
        </w:tblPrEx>
        <w:trPr>
          <w:trHeight w:val="285"/>
        </w:trPr>
        <w:tc>
          <w:tcPr>
            <w:cnfStyle w:val="001000000000" w:firstRow="0" w:lastRow="0" w:firstColumn="1" w:lastColumn="0" w:oddVBand="0" w:evenVBand="0" w:oddHBand="0" w:evenHBand="0" w:firstRowFirstColumn="0" w:firstRowLastColumn="0" w:lastRowFirstColumn="0" w:lastRowLastColumn="0"/>
            <w:tcW w:w="1776" w:type="dxa"/>
            <w:noWrap/>
            <w:hideMark/>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USAID</w:t>
            </w:r>
          </w:p>
        </w:tc>
        <w:tc>
          <w:tcPr>
            <w:tcW w:w="7626" w:type="dxa"/>
            <w:noWrap/>
            <w:hideMark/>
          </w:tcPr>
          <w:p w:rsidR="004C0CA1" w:rsidRPr="004C0CA1" w:rsidRDefault="004C0CA1" w:rsidP="004C0CA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Cs/>
                <w:color w:val="auto"/>
                <w:szCs w:val="20"/>
              </w:rPr>
            </w:pPr>
            <w:r w:rsidRPr="004C0CA1">
              <w:rPr>
                <w:rFonts w:cs="Arial"/>
                <w:bCs/>
                <w:color w:val="auto"/>
                <w:szCs w:val="20"/>
              </w:rPr>
              <w:t>United States Agency for International Development</w:t>
            </w:r>
          </w:p>
        </w:tc>
      </w:tr>
      <w:tr w:rsidR="004C0CA1" w:rsidRPr="00A334BD" w:rsidTr="00CB64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76" w:type="dxa"/>
            <w:noWrap/>
          </w:tcPr>
          <w:p w:rsidR="004C0CA1" w:rsidRPr="004C0CA1" w:rsidRDefault="004C0CA1" w:rsidP="004C0CA1">
            <w:pPr>
              <w:spacing w:before="0" w:after="0" w:line="240" w:lineRule="auto"/>
              <w:rPr>
                <w:rFonts w:cs="Arial"/>
                <w:b w:val="0"/>
                <w:bCs w:val="0"/>
                <w:color w:val="auto"/>
                <w:szCs w:val="20"/>
              </w:rPr>
            </w:pPr>
            <w:r w:rsidRPr="004C0CA1">
              <w:rPr>
                <w:rFonts w:cs="Arial"/>
                <w:b w:val="0"/>
                <w:bCs w:val="0"/>
                <w:color w:val="auto"/>
                <w:szCs w:val="20"/>
              </w:rPr>
              <w:t>WB</w:t>
            </w:r>
          </w:p>
        </w:tc>
        <w:tc>
          <w:tcPr>
            <w:tcW w:w="7626" w:type="dxa"/>
            <w:noWrap/>
          </w:tcPr>
          <w:p w:rsidR="004C0CA1" w:rsidRPr="004C0CA1" w:rsidRDefault="004C0CA1" w:rsidP="004C0CA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4C0CA1">
              <w:rPr>
                <w:rFonts w:cs="Arial"/>
                <w:color w:val="auto"/>
                <w:szCs w:val="20"/>
              </w:rPr>
              <w:t>World Bank</w:t>
            </w:r>
          </w:p>
        </w:tc>
      </w:tr>
    </w:tbl>
    <w:p w:rsidR="00567D74" w:rsidRDefault="00567D74" w:rsidP="00084872">
      <w:r>
        <w:br w:type="page"/>
      </w:r>
    </w:p>
    <w:p w:rsidR="00826B2C" w:rsidRDefault="001E45F5" w:rsidP="005D5A33">
      <w:pPr>
        <w:pStyle w:val="TOCHeader"/>
        <w:pageBreakBefore/>
        <w:rPr>
          <w:noProof/>
        </w:rPr>
      </w:pPr>
      <w:r>
        <w:rPr>
          <w:sz w:val="36"/>
          <w:szCs w:val="36"/>
        </w:rPr>
        <w:lastRenderedPageBreak/>
        <w:t>Contents</w:t>
      </w:r>
      <w:r w:rsidR="00647EEB">
        <w:rPr>
          <w:sz w:val="36"/>
          <w:szCs w:val="36"/>
        </w:rPr>
        <w:t xml:space="preserve"> </w:t>
      </w:r>
      <w:r w:rsidR="005D5A33">
        <w:rPr>
          <w:rFonts w:ascii="Arial Bold" w:hAnsi="Arial Bold" w:cs="Arial"/>
          <w:bCs/>
          <w:noProof/>
        </w:rPr>
        <w:fldChar w:fldCharType="begin"/>
      </w:r>
      <w:r w:rsidR="005D5A33">
        <w:rPr>
          <w:rFonts w:ascii="Arial Bold" w:hAnsi="Arial Bold" w:cs="Arial"/>
          <w:bCs/>
          <w:noProof/>
        </w:rPr>
        <w:instrText xml:space="preserve"> TOC \o "1-3" \h \z \u </w:instrText>
      </w:r>
      <w:r w:rsidR="005D5A33">
        <w:rPr>
          <w:rFonts w:ascii="Arial Bold" w:hAnsi="Arial Bold" w:cs="Arial"/>
          <w:bCs/>
          <w:noProof/>
        </w:rPr>
        <w:fldChar w:fldCharType="separate"/>
      </w:r>
    </w:p>
    <w:p w:rsidR="00826B2C" w:rsidRDefault="00014C21">
      <w:pPr>
        <w:pStyle w:val="TOC1"/>
        <w:rPr>
          <w:rFonts w:asciiTheme="minorHAnsi" w:eastAsiaTheme="minorEastAsia" w:hAnsiTheme="minorHAnsi" w:cstheme="minorBidi"/>
          <w:b w:val="0"/>
          <w:bCs w:val="0"/>
          <w:caps w:val="0"/>
          <w:sz w:val="22"/>
          <w:szCs w:val="22"/>
        </w:rPr>
      </w:pPr>
      <w:hyperlink w:anchor="_Toc535608363" w:history="1">
        <w:r w:rsidR="00826B2C" w:rsidRPr="0087061A">
          <w:rPr>
            <w:rStyle w:val="Hyperlink"/>
          </w:rPr>
          <w:t>DATA</w:t>
        </w:r>
        <w:r w:rsidR="00826B2C">
          <w:rPr>
            <w:webHidden/>
          </w:rPr>
          <w:tab/>
        </w:r>
        <w:r w:rsidR="00826B2C">
          <w:rPr>
            <w:webHidden/>
          </w:rPr>
          <w:fldChar w:fldCharType="begin"/>
        </w:r>
        <w:r w:rsidR="00826B2C">
          <w:rPr>
            <w:webHidden/>
          </w:rPr>
          <w:instrText xml:space="preserve"> PAGEREF _Toc535608363 \h </w:instrText>
        </w:r>
        <w:r w:rsidR="00826B2C">
          <w:rPr>
            <w:webHidden/>
          </w:rPr>
        </w:r>
        <w:r w:rsidR="00826B2C">
          <w:rPr>
            <w:webHidden/>
          </w:rPr>
          <w:fldChar w:fldCharType="separate"/>
        </w:r>
        <w:r w:rsidR="00826B2C">
          <w:rPr>
            <w:webHidden/>
          </w:rPr>
          <w:t>3</w:t>
        </w:r>
        <w:r w:rsidR="00826B2C">
          <w:rPr>
            <w:webHidden/>
          </w:rPr>
          <w:fldChar w:fldCharType="end"/>
        </w:r>
      </w:hyperlink>
    </w:p>
    <w:p w:rsidR="00826B2C" w:rsidRDefault="00014C21">
      <w:pPr>
        <w:pStyle w:val="TOC1"/>
        <w:rPr>
          <w:rFonts w:asciiTheme="minorHAnsi" w:eastAsiaTheme="minorEastAsia" w:hAnsiTheme="minorHAnsi" w:cstheme="minorBidi"/>
          <w:b w:val="0"/>
          <w:bCs w:val="0"/>
          <w:caps w:val="0"/>
          <w:sz w:val="22"/>
          <w:szCs w:val="22"/>
        </w:rPr>
      </w:pPr>
      <w:hyperlink w:anchor="_Toc535608364" w:history="1">
        <w:r w:rsidR="00826B2C" w:rsidRPr="0087061A">
          <w:rPr>
            <w:rStyle w:val="Hyperlink"/>
          </w:rPr>
          <w:t>ABSTRACT</w:t>
        </w:r>
        <w:r w:rsidR="00826B2C">
          <w:rPr>
            <w:webHidden/>
          </w:rPr>
          <w:tab/>
        </w:r>
        <w:r w:rsidR="00826B2C">
          <w:rPr>
            <w:webHidden/>
          </w:rPr>
          <w:fldChar w:fldCharType="begin"/>
        </w:r>
        <w:r w:rsidR="00826B2C">
          <w:rPr>
            <w:webHidden/>
          </w:rPr>
          <w:instrText xml:space="preserve"> PAGEREF _Toc535608364 \h </w:instrText>
        </w:r>
        <w:r w:rsidR="00826B2C">
          <w:rPr>
            <w:webHidden/>
          </w:rPr>
        </w:r>
        <w:r w:rsidR="00826B2C">
          <w:rPr>
            <w:webHidden/>
          </w:rPr>
          <w:fldChar w:fldCharType="separate"/>
        </w:r>
        <w:r w:rsidR="00826B2C">
          <w:rPr>
            <w:webHidden/>
          </w:rPr>
          <w:t>4</w:t>
        </w:r>
        <w:r w:rsidR="00826B2C">
          <w:rPr>
            <w:webHidden/>
          </w:rPr>
          <w:fldChar w:fldCharType="end"/>
        </w:r>
      </w:hyperlink>
    </w:p>
    <w:p w:rsidR="00826B2C" w:rsidRDefault="00014C21">
      <w:pPr>
        <w:pStyle w:val="TOC1"/>
        <w:rPr>
          <w:rFonts w:asciiTheme="minorHAnsi" w:eastAsiaTheme="minorEastAsia" w:hAnsiTheme="minorHAnsi" w:cstheme="minorBidi"/>
          <w:b w:val="0"/>
          <w:bCs w:val="0"/>
          <w:caps w:val="0"/>
          <w:sz w:val="22"/>
          <w:szCs w:val="22"/>
        </w:rPr>
      </w:pPr>
      <w:hyperlink w:anchor="_Toc535608365" w:history="1">
        <w:r w:rsidR="00826B2C" w:rsidRPr="0087061A">
          <w:rPr>
            <w:rStyle w:val="Hyperlink"/>
          </w:rPr>
          <w:t>ACRONYMS</w:t>
        </w:r>
        <w:r w:rsidR="00826B2C">
          <w:rPr>
            <w:webHidden/>
          </w:rPr>
          <w:tab/>
        </w:r>
        <w:r w:rsidR="00826B2C">
          <w:rPr>
            <w:webHidden/>
          </w:rPr>
          <w:fldChar w:fldCharType="begin"/>
        </w:r>
        <w:r w:rsidR="00826B2C">
          <w:rPr>
            <w:webHidden/>
          </w:rPr>
          <w:instrText xml:space="preserve"> PAGEREF _Toc535608365 \h </w:instrText>
        </w:r>
        <w:r w:rsidR="00826B2C">
          <w:rPr>
            <w:webHidden/>
          </w:rPr>
        </w:r>
        <w:r w:rsidR="00826B2C">
          <w:rPr>
            <w:webHidden/>
          </w:rPr>
          <w:fldChar w:fldCharType="separate"/>
        </w:r>
        <w:r w:rsidR="00826B2C">
          <w:rPr>
            <w:webHidden/>
          </w:rPr>
          <w:t>5</w:t>
        </w:r>
        <w:r w:rsidR="00826B2C">
          <w:rPr>
            <w:webHidden/>
          </w:rPr>
          <w:fldChar w:fldCharType="end"/>
        </w:r>
      </w:hyperlink>
    </w:p>
    <w:p w:rsidR="00826B2C" w:rsidRDefault="00014C21">
      <w:pPr>
        <w:pStyle w:val="TOC1"/>
        <w:rPr>
          <w:rFonts w:asciiTheme="minorHAnsi" w:eastAsiaTheme="minorEastAsia" w:hAnsiTheme="minorHAnsi" w:cstheme="minorBidi"/>
          <w:b w:val="0"/>
          <w:bCs w:val="0"/>
          <w:caps w:val="0"/>
          <w:sz w:val="22"/>
          <w:szCs w:val="22"/>
        </w:rPr>
      </w:pPr>
      <w:hyperlink w:anchor="_Toc535608366" w:history="1">
        <w:r w:rsidR="00826B2C" w:rsidRPr="0087061A">
          <w:rPr>
            <w:rStyle w:val="Hyperlink"/>
          </w:rPr>
          <w:t>1.</w:t>
        </w:r>
        <w:r w:rsidR="00826B2C">
          <w:rPr>
            <w:rFonts w:asciiTheme="minorHAnsi" w:eastAsiaTheme="minorEastAsia" w:hAnsiTheme="minorHAnsi" w:cstheme="minorBidi"/>
            <w:b w:val="0"/>
            <w:bCs w:val="0"/>
            <w:caps w:val="0"/>
            <w:sz w:val="22"/>
            <w:szCs w:val="22"/>
          </w:rPr>
          <w:tab/>
        </w:r>
        <w:r w:rsidR="00826B2C" w:rsidRPr="0087061A">
          <w:rPr>
            <w:rStyle w:val="Hyperlink"/>
          </w:rPr>
          <w:t>Executive Summary</w:t>
        </w:r>
        <w:r w:rsidR="00826B2C">
          <w:rPr>
            <w:webHidden/>
          </w:rPr>
          <w:tab/>
        </w:r>
        <w:r w:rsidR="00826B2C">
          <w:rPr>
            <w:webHidden/>
          </w:rPr>
          <w:fldChar w:fldCharType="begin"/>
        </w:r>
        <w:r w:rsidR="00826B2C">
          <w:rPr>
            <w:webHidden/>
          </w:rPr>
          <w:instrText xml:space="preserve"> PAGEREF _Toc535608366 \h </w:instrText>
        </w:r>
        <w:r w:rsidR="00826B2C">
          <w:rPr>
            <w:webHidden/>
          </w:rPr>
        </w:r>
        <w:r w:rsidR="00826B2C">
          <w:rPr>
            <w:webHidden/>
          </w:rPr>
          <w:fldChar w:fldCharType="separate"/>
        </w:r>
        <w:r w:rsidR="00826B2C">
          <w:rPr>
            <w:webHidden/>
          </w:rPr>
          <w:t>8</w:t>
        </w:r>
        <w:r w:rsidR="00826B2C">
          <w:rPr>
            <w:webHidden/>
          </w:rPr>
          <w:fldChar w:fldCharType="end"/>
        </w:r>
      </w:hyperlink>
    </w:p>
    <w:p w:rsidR="00826B2C" w:rsidRDefault="00014C21">
      <w:pPr>
        <w:pStyle w:val="TOC1"/>
        <w:rPr>
          <w:rFonts w:asciiTheme="minorHAnsi" w:eastAsiaTheme="minorEastAsia" w:hAnsiTheme="minorHAnsi" w:cstheme="minorBidi"/>
          <w:b w:val="0"/>
          <w:bCs w:val="0"/>
          <w:caps w:val="0"/>
          <w:sz w:val="22"/>
          <w:szCs w:val="22"/>
        </w:rPr>
      </w:pPr>
      <w:hyperlink w:anchor="_Toc535608367" w:history="1">
        <w:r w:rsidR="00826B2C" w:rsidRPr="0087061A">
          <w:rPr>
            <w:rStyle w:val="Hyperlink"/>
          </w:rPr>
          <w:t>2.</w:t>
        </w:r>
        <w:r w:rsidR="00826B2C">
          <w:rPr>
            <w:rFonts w:asciiTheme="minorHAnsi" w:eastAsiaTheme="minorEastAsia" w:hAnsiTheme="minorHAnsi" w:cstheme="minorBidi"/>
            <w:b w:val="0"/>
            <w:bCs w:val="0"/>
            <w:caps w:val="0"/>
            <w:sz w:val="22"/>
            <w:szCs w:val="22"/>
          </w:rPr>
          <w:tab/>
        </w:r>
        <w:r w:rsidR="00826B2C" w:rsidRPr="0087061A">
          <w:rPr>
            <w:rStyle w:val="Hyperlink"/>
          </w:rPr>
          <w:t>Introduction, backround and methodology</w:t>
        </w:r>
        <w:r w:rsidR="00826B2C">
          <w:rPr>
            <w:webHidden/>
          </w:rPr>
          <w:tab/>
        </w:r>
        <w:r w:rsidR="00826B2C">
          <w:rPr>
            <w:webHidden/>
          </w:rPr>
          <w:fldChar w:fldCharType="begin"/>
        </w:r>
        <w:r w:rsidR="00826B2C">
          <w:rPr>
            <w:webHidden/>
          </w:rPr>
          <w:instrText xml:space="preserve"> PAGEREF _Toc535608367 \h </w:instrText>
        </w:r>
        <w:r w:rsidR="00826B2C">
          <w:rPr>
            <w:webHidden/>
          </w:rPr>
        </w:r>
        <w:r w:rsidR="00826B2C">
          <w:rPr>
            <w:webHidden/>
          </w:rPr>
          <w:fldChar w:fldCharType="separate"/>
        </w:r>
        <w:r w:rsidR="00826B2C">
          <w:rPr>
            <w:webHidden/>
          </w:rPr>
          <w:t>13</w:t>
        </w:r>
        <w:r w:rsidR="00826B2C">
          <w:rPr>
            <w:webHidden/>
          </w:rPr>
          <w:fldChar w:fldCharType="end"/>
        </w:r>
      </w:hyperlink>
    </w:p>
    <w:p w:rsidR="00826B2C" w:rsidRDefault="00014C21">
      <w:pPr>
        <w:pStyle w:val="TOC2"/>
        <w:rPr>
          <w:sz w:val="22"/>
        </w:rPr>
      </w:pPr>
      <w:hyperlink w:anchor="_Toc535608368" w:history="1">
        <w:r w:rsidR="00826B2C" w:rsidRPr="0087061A">
          <w:rPr>
            <w:rStyle w:val="Hyperlink"/>
          </w:rPr>
          <w:t>2.1</w:t>
        </w:r>
        <w:r w:rsidR="00826B2C">
          <w:rPr>
            <w:sz w:val="22"/>
          </w:rPr>
          <w:tab/>
        </w:r>
        <w:r w:rsidR="00826B2C" w:rsidRPr="0087061A">
          <w:rPr>
            <w:rStyle w:val="Hyperlink"/>
          </w:rPr>
          <w:t>Introduction: The impetus to innovate</w:t>
        </w:r>
        <w:r w:rsidR="00826B2C">
          <w:rPr>
            <w:webHidden/>
          </w:rPr>
          <w:tab/>
        </w:r>
        <w:r w:rsidR="00826B2C">
          <w:rPr>
            <w:webHidden/>
          </w:rPr>
          <w:fldChar w:fldCharType="begin"/>
        </w:r>
        <w:r w:rsidR="00826B2C">
          <w:rPr>
            <w:webHidden/>
          </w:rPr>
          <w:instrText xml:space="preserve"> PAGEREF _Toc535608368 \h </w:instrText>
        </w:r>
        <w:r w:rsidR="00826B2C">
          <w:rPr>
            <w:webHidden/>
          </w:rPr>
        </w:r>
        <w:r w:rsidR="00826B2C">
          <w:rPr>
            <w:webHidden/>
          </w:rPr>
          <w:fldChar w:fldCharType="separate"/>
        </w:r>
        <w:r w:rsidR="00826B2C">
          <w:rPr>
            <w:webHidden/>
          </w:rPr>
          <w:t>13</w:t>
        </w:r>
        <w:r w:rsidR="00826B2C">
          <w:rPr>
            <w:webHidden/>
          </w:rPr>
          <w:fldChar w:fldCharType="end"/>
        </w:r>
      </w:hyperlink>
    </w:p>
    <w:p w:rsidR="00826B2C" w:rsidRDefault="00014C21">
      <w:pPr>
        <w:pStyle w:val="TOC2"/>
        <w:rPr>
          <w:sz w:val="22"/>
        </w:rPr>
      </w:pPr>
      <w:hyperlink w:anchor="_Toc535608369" w:history="1">
        <w:r w:rsidR="00826B2C" w:rsidRPr="0087061A">
          <w:rPr>
            <w:rStyle w:val="Hyperlink"/>
          </w:rPr>
          <w:t>3.1</w:t>
        </w:r>
        <w:r w:rsidR="00826B2C">
          <w:rPr>
            <w:sz w:val="22"/>
          </w:rPr>
          <w:tab/>
        </w:r>
        <w:r w:rsidR="00826B2C" w:rsidRPr="0087061A">
          <w:rPr>
            <w:rStyle w:val="Hyperlink"/>
          </w:rPr>
          <w:t>Innovation – A Framework</w:t>
        </w:r>
        <w:r w:rsidR="00826B2C">
          <w:rPr>
            <w:webHidden/>
          </w:rPr>
          <w:tab/>
        </w:r>
        <w:r w:rsidR="00826B2C">
          <w:rPr>
            <w:webHidden/>
          </w:rPr>
          <w:fldChar w:fldCharType="begin"/>
        </w:r>
        <w:r w:rsidR="00826B2C">
          <w:rPr>
            <w:webHidden/>
          </w:rPr>
          <w:instrText xml:space="preserve"> PAGEREF _Toc535608369 \h </w:instrText>
        </w:r>
        <w:r w:rsidR="00826B2C">
          <w:rPr>
            <w:webHidden/>
          </w:rPr>
        </w:r>
        <w:r w:rsidR="00826B2C">
          <w:rPr>
            <w:webHidden/>
          </w:rPr>
          <w:fldChar w:fldCharType="separate"/>
        </w:r>
        <w:r w:rsidR="00826B2C">
          <w:rPr>
            <w:webHidden/>
          </w:rPr>
          <w:t>13</w:t>
        </w:r>
        <w:r w:rsidR="00826B2C">
          <w:rPr>
            <w:webHidden/>
          </w:rPr>
          <w:fldChar w:fldCharType="end"/>
        </w:r>
      </w:hyperlink>
    </w:p>
    <w:p w:rsidR="00826B2C" w:rsidRDefault="00014C21">
      <w:pPr>
        <w:pStyle w:val="TOC1"/>
        <w:rPr>
          <w:rFonts w:asciiTheme="minorHAnsi" w:eastAsiaTheme="minorEastAsia" w:hAnsiTheme="minorHAnsi" w:cstheme="minorBidi"/>
          <w:b w:val="0"/>
          <w:bCs w:val="0"/>
          <w:caps w:val="0"/>
          <w:sz w:val="22"/>
          <w:szCs w:val="22"/>
        </w:rPr>
      </w:pPr>
      <w:hyperlink w:anchor="_Toc535608370" w:history="1">
        <w:r w:rsidR="00826B2C" w:rsidRPr="0087061A">
          <w:rPr>
            <w:rStyle w:val="Hyperlink"/>
          </w:rPr>
          <w:t>3.</w:t>
        </w:r>
        <w:r w:rsidR="00826B2C">
          <w:rPr>
            <w:rFonts w:asciiTheme="minorHAnsi" w:eastAsiaTheme="minorEastAsia" w:hAnsiTheme="minorHAnsi" w:cstheme="minorBidi"/>
            <w:b w:val="0"/>
            <w:bCs w:val="0"/>
            <w:caps w:val="0"/>
            <w:sz w:val="22"/>
            <w:szCs w:val="22"/>
          </w:rPr>
          <w:tab/>
        </w:r>
        <w:r w:rsidR="00826B2C" w:rsidRPr="0087061A">
          <w:rPr>
            <w:rStyle w:val="Hyperlink"/>
          </w:rPr>
          <w:t>findinGS</w:t>
        </w:r>
        <w:r w:rsidR="00826B2C">
          <w:rPr>
            <w:webHidden/>
          </w:rPr>
          <w:tab/>
        </w:r>
        <w:r w:rsidR="00826B2C">
          <w:rPr>
            <w:webHidden/>
          </w:rPr>
          <w:fldChar w:fldCharType="begin"/>
        </w:r>
        <w:r w:rsidR="00826B2C">
          <w:rPr>
            <w:webHidden/>
          </w:rPr>
          <w:instrText xml:space="preserve"> PAGEREF _Toc535608370 \h </w:instrText>
        </w:r>
        <w:r w:rsidR="00826B2C">
          <w:rPr>
            <w:webHidden/>
          </w:rPr>
        </w:r>
        <w:r w:rsidR="00826B2C">
          <w:rPr>
            <w:webHidden/>
          </w:rPr>
          <w:fldChar w:fldCharType="separate"/>
        </w:r>
        <w:r w:rsidR="00826B2C">
          <w:rPr>
            <w:webHidden/>
          </w:rPr>
          <w:t>16</w:t>
        </w:r>
        <w:r w:rsidR="00826B2C">
          <w:rPr>
            <w:webHidden/>
          </w:rPr>
          <w:fldChar w:fldCharType="end"/>
        </w:r>
      </w:hyperlink>
    </w:p>
    <w:p w:rsidR="00826B2C" w:rsidRDefault="00014C21">
      <w:pPr>
        <w:pStyle w:val="TOC2"/>
        <w:rPr>
          <w:sz w:val="22"/>
        </w:rPr>
      </w:pPr>
      <w:hyperlink w:anchor="_Toc535608371" w:history="1">
        <w:r w:rsidR="00826B2C" w:rsidRPr="0087061A">
          <w:rPr>
            <w:rStyle w:val="Hyperlink"/>
          </w:rPr>
          <w:t>4.1</w:t>
        </w:r>
        <w:r w:rsidR="00826B2C">
          <w:rPr>
            <w:sz w:val="22"/>
          </w:rPr>
          <w:tab/>
        </w:r>
        <w:r w:rsidR="00826B2C" w:rsidRPr="0087061A">
          <w:rPr>
            <w:rStyle w:val="Hyperlink"/>
          </w:rPr>
          <w:t>INNOVATION IN GEORGIA TODAY</w:t>
        </w:r>
        <w:r w:rsidR="00826B2C">
          <w:rPr>
            <w:webHidden/>
          </w:rPr>
          <w:tab/>
        </w:r>
        <w:r w:rsidR="00826B2C">
          <w:rPr>
            <w:webHidden/>
          </w:rPr>
          <w:fldChar w:fldCharType="begin"/>
        </w:r>
        <w:r w:rsidR="00826B2C">
          <w:rPr>
            <w:webHidden/>
          </w:rPr>
          <w:instrText xml:space="preserve"> PAGEREF _Toc535608371 \h </w:instrText>
        </w:r>
        <w:r w:rsidR="00826B2C">
          <w:rPr>
            <w:webHidden/>
          </w:rPr>
        </w:r>
        <w:r w:rsidR="00826B2C">
          <w:rPr>
            <w:webHidden/>
          </w:rPr>
          <w:fldChar w:fldCharType="separate"/>
        </w:r>
        <w:r w:rsidR="00826B2C">
          <w:rPr>
            <w:webHidden/>
          </w:rPr>
          <w:t>16</w:t>
        </w:r>
        <w:r w:rsidR="00826B2C">
          <w:rPr>
            <w:webHidden/>
          </w:rPr>
          <w:fldChar w:fldCharType="end"/>
        </w:r>
      </w:hyperlink>
    </w:p>
    <w:p w:rsidR="00826B2C" w:rsidRDefault="00014C21">
      <w:pPr>
        <w:pStyle w:val="TOC2"/>
        <w:rPr>
          <w:sz w:val="22"/>
        </w:rPr>
      </w:pPr>
      <w:hyperlink w:anchor="_Toc535608372" w:history="1">
        <w:r w:rsidR="00826B2C" w:rsidRPr="0087061A">
          <w:rPr>
            <w:rStyle w:val="Hyperlink"/>
          </w:rPr>
          <w:t>5.1</w:t>
        </w:r>
        <w:r w:rsidR="00826B2C">
          <w:rPr>
            <w:sz w:val="22"/>
          </w:rPr>
          <w:tab/>
        </w:r>
        <w:r w:rsidR="00826B2C" w:rsidRPr="0087061A">
          <w:rPr>
            <w:rStyle w:val="Hyperlink"/>
          </w:rPr>
          <w:t>Breaking the stalemate: Building on Georgia’s strengths</w:t>
        </w:r>
        <w:r w:rsidR="00826B2C">
          <w:rPr>
            <w:webHidden/>
          </w:rPr>
          <w:tab/>
        </w:r>
        <w:r w:rsidR="00826B2C">
          <w:rPr>
            <w:webHidden/>
          </w:rPr>
          <w:fldChar w:fldCharType="begin"/>
        </w:r>
        <w:r w:rsidR="00826B2C">
          <w:rPr>
            <w:webHidden/>
          </w:rPr>
          <w:instrText xml:space="preserve"> PAGEREF _Toc535608372 \h </w:instrText>
        </w:r>
        <w:r w:rsidR="00826B2C">
          <w:rPr>
            <w:webHidden/>
          </w:rPr>
        </w:r>
        <w:r w:rsidR="00826B2C">
          <w:rPr>
            <w:webHidden/>
          </w:rPr>
          <w:fldChar w:fldCharType="separate"/>
        </w:r>
        <w:r w:rsidR="00826B2C">
          <w:rPr>
            <w:webHidden/>
          </w:rPr>
          <w:t>18</w:t>
        </w:r>
        <w:r w:rsidR="00826B2C">
          <w:rPr>
            <w:webHidden/>
          </w:rPr>
          <w:fldChar w:fldCharType="end"/>
        </w:r>
      </w:hyperlink>
    </w:p>
    <w:p w:rsidR="00826B2C" w:rsidRDefault="00014C21">
      <w:pPr>
        <w:pStyle w:val="TOC2"/>
        <w:rPr>
          <w:sz w:val="22"/>
        </w:rPr>
      </w:pPr>
      <w:hyperlink w:anchor="_Toc535608373" w:history="1">
        <w:r w:rsidR="00826B2C" w:rsidRPr="0087061A">
          <w:rPr>
            <w:rStyle w:val="Hyperlink"/>
          </w:rPr>
          <w:t>6.1</w:t>
        </w:r>
        <w:r w:rsidR="00826B2C">
          <w:rPr>
            <w:sz w:val="22"/>
          </w:rPr>
          <w:tab/>
        </w:r>
        <w:r w:rsidR="00826B2C" w:rsidRPr="0087061A">
          <w:rPr>
            <w:rStyle w:val="Hyperlink"/>
          </w:rPr>
          <w:t>Translating Georgia’s strengths into an innovation strategy</w:t>
        </w:r>
        <w:r w:rsidR="00826B2C">
          <w:rPr>
            <w:webHidden/>
          </w:rPr>
          <w:tab/>
        </w:r>
        <w:r w:rsidR="00826B2C">
          <w:rPr>
            <w:webHidden/>
          </w:rPr>
          <w:fldChar w:fldCharType="begin"/>
        </w:r>
        <w:r w:rsidR="00826B2C">
          <w:rPr>
            <w:webHidden/>
          </w:rPr>
          <w:instrText xml:space="preserve"> PAGEREF _Toc535608373 \h </w:instrText>
        </w:r>
        <w:r w:rsidR="00826B2C">
          <w:rPr>
            <w:webHidden/>
          </w:rPr>
        </w:r>
        <w:r w:rsidR="00826B2C">
          <w:rPr>
            <w:webHidden/>
          </w:rPr>
          <w:fldChar w:fldCharType="separate"/>
        </w:r>
        <w:r w:rsidR="00826B2C">
          <w:rPr>
            <w:webHidden/>
          </w:rPr>
          <w:t>23</w:t>
        </w:r>
        <w:r w:rsidR="00826B2C">
          <w:rPr>
            <w:webHidden/>
          </w:rPr>
          <w:fldChar w:fldCharType="end"/>
        </w:r>
      </w:hyperlink>
    </w:p>
    <w:p w:rsidR="00826B2C" w:rsidRDefault="00014C21">
      <w:pPr>
        <w:pStyle w:val="TOC2"/>
        <w:rPr>
          <w:sz w:val="22"/>
        </w:rPr>
      </w:pPr>
      <w:hyperlink w:anchor="_Toc535608374" w:history="1">
        <w:r w:rsidR="00826B2C" w:rsidRPr="0087061A">
          <w:rPr>
            <w:rStyle w:val="Hyperlink"/>
          </w:rPr>
          <w:t>7.1</w:t>
        </w:r>
        <w:r w:rsidR="00826B2C">
          <w:rPr>
            <w:sz w:val="22"/>
          </w:rPr>
          <w:tab/>
        </w:r>
        <w:r w:rsidR="00826B2C" w:rsidRPr="0087061A">
          <w:rPr>
            <w:rStyle w:val="Hyperlink"/>
          </w:rPr>
          <w:t>Activating the Strategy</w:t>
        </w:r>
        <w:r w:rsidR="00826B2C">
          <w:rPr>
            <w:webHidden/>
          </w:rPr>
          <w:tab/>
        </w:r>
        <w:r w:rsidR="00826B2C">
          <w:rPr>
            <w:webHidden/>
          </w:rPr>
          <w:fldChar w:fldCharType="begin"/>
        </w:r>
        <w:r w:rsidR="00826B2C">
          <w:rPr>
            <w:webHidden/>
          </w:rPr>
          <w:instrText xml:space="preserve"> PAGEREF _Toc535608374 \h </w:instrText>
        </w:r>
        <w:r w:rsidR="00826B2C">
          <w:rPr>
            <w:webHidden/>
          </w:rPr>
        </w:r>
        <w:r w:rsidR="00826B2C">
          <w:rPr>
            <w:webHidden/>
          </w:rPr>
          <w:fldChar w:fldCharType="separate"/>
        </w:r>
        <w:r w:rsidR="00826B2C">
          <w:rPr>
            <w:webHidden/>
          </w:rPr>
          <w:t>25</w:t>
        </w:r>
        <w:r w:rsidR="00826B2C">
          <w:rPr>
            <w:webHidden/>
          </w:rPr>
          <w:fldChar w:fldCharType="end"/>
        </w:r>
      </w:hyperlink>
    </w:p>
    <w:p w:rsidR="00826B2C" w:rsidRDefault="00014C21">
      <w:pPr>
        <w:pStyle w:val="TOC2"/>
        <w:rPr>
          <w:sz w:val="22"/>
        </w:rPr>
      </w:pPr>
      <w:hyperlink w:anchor="_Toc535608375" w:history="1">
        <w:r w:rsidR="00826B2C" w:rsidRPr="0087061A">
          <w:rPr>
            <w:rStyle w:val="Hyperlink"/>
          </w:rPr>
          <w:t>8.1</w:t>
        </w:r>
        <w:r w:rsidR="00826B2C">
          <w:rPr>
            <w:sz w:val="22"/>
          </w:rPr>
          <w:tab/>
        </w:r>
        <w:r w:rsidR="00826B2C" w:rsidRPr="0087061A">
          <w:rPr>
            <w:rStyle w:val="Hyperlink"/>
          </w:rPr>
          <w:t>Conclusion</w:t>
        </w:r>
        <w:r w:rsidR="00826B2C">
          <w:rPr>
            <w:webHidden/>
          </w:rPr>
          <w:tab/>
        </w:r>
        <w:r w:rsidR="00826B2C">
          <w:rPr>
            <w:webHidden/>
          </w:rPr>
          <w:fldChar w:fldCharType="begin"/>
        </w:r>
        <w:r w:rsidR="00826B2C">
          <w:rPr>
            <w:webHidden/>
          </w:rPr>
          <w:instrText xml:space="preserve"> PAGEREF _Toc535608375 \h </w:instrText>
        </w:r>
        <w:r w:rsidR="00826B2C">
          <w:rPr>
            <w:webHidden/>
          </w:rPr>
        </w:r>
        <w:r w:rsidR="00826B2C">
          <w:rPr>
            <w:webHidden/>
          </w:rPr>
          <w:fldChar w:fldCharType="separate"/>
        </w:r>
        <w:r w:rsidR="00826B2C">
          <w:rPr>
            <w:webHidden/>
          </w:rPr>
          <w:t>32</w:t>
        </w:r>
        <w:r w:rsidR="00826B2C">
          <w:rPr>
            <w:webHidden/>
          </w:rPr>
          <w:fldChar w:fldCharType="end"/>
        </w:r>
      </w:hyperlink>
    </w:p>
    <w:p w:rsidR="00826B2C" w:rsidRDefault="00014C21">
      <w:pPr>
        <w:pStyle w:val="TOC1"/>
        <w:rPr>
          <w:rFonts w:asciiTheme="minorHAnsi" w:eastAsiaTheme="minorEastAsia" w:hAnsiTheme="minorHAnsi" w:cstheme="minorBidi"/>
          <w:b w:val="0"/>
          <w:bCs w:val="0"/>
          <w:caps w:val="0"/>
          <w:sz w:val="22"/>
          <w:szCs w:val="22"/>
        </w:rPr>
      </w:pPr>
      <w:hyperlink w:anchor="_Toc535608376" w:history="1">
        <w:r w:rsidR="00826B2C" w:rsidRPr="0087061A">
          <w:rPr>
            <w:rStyle w:val="Hyperlink"/>
          </w:rPr>
          <w:t>4.</w:t>
        </w:r>
        <w:r w:rsidR="00826B2C">
          <w:rPr>
            <w:rFonts w:asciiTheme="minorHAnsi" w:eastAsiaTheme="minorEastAsia" w:hAnsiTheme="minorHAnsi" w:cstheme="minorBidi"/>
            <w:b w:val="0"/>
            <w:bCs w:val="0"/>
            <w:caps w:val="0"/>
            <w:sz w:val="22"/>
            <w:szCs w:val="22"/>
          </w:rPr>
          <w:tab/>
        </w:r>
        <w:r w:rsidR="00826B2C" w:rsidRPr="0087061A">
          <w:rPr>
            <w:rStyle w:val="Hyperlink"/>
          </w:rPr>
          <w:t>A vision for the Georgian innovation economy</w:t>
        </w:r>
        <w:r w:rsidR="00826B2C">
          <w:rPr>
            <w:webHidden/>
          </w:rPr>
          <w:tab/>
        </w:r>
        <w:r w:rsidR="00826B2C">
          <w:rPr>
            <w:webHidden/>
          </w:rPr>
          <w:fldChar w:fldCharType="begin"/>
        </w:r>
        <w:r w:rsidR="00826B2C">
          <w:rPr>
            <w:webHidden/>
          </w:rPr>
          <w:instrText xml:space="preserve"> PAGEREF _Toc535608376 \h </w:instrText>
        </w:r>
        <w:r w:rsidR="00826B2C">
          <w:rPr>
            <w:webHidden/>
          </w:rPr>
        </w:r>
        <w:r w:rsidR="00826B2C">
          <w:rPr>
            <w:webHidden/>
          </w:rPr>
          <w:fldChar w:fldCharType="separate"/>
        </w:r>
        <w:r w:rsidR="00826B2C">
          <w:rPr>
            <w:webHidden/>
          </w:rPr>
          <w:t>34</w:t>
        </w:r>
        <w:r w:rsidR="00826B2C">
          <w:rPr>
            <w:webHidden/>
          </w:rPr>
          <w:fldChar w:fldCharType="end"/>
        </w:r>
      </w:hyperlink>
    </w:p>
    <w:p w:rsidR="00826B2C" w:rsidRDefault="00014C21">
      <w:pPr>
        <w:pStyle w:val="TOC1"/>
        <w:rPr>
          <w:rFonts w:asciiTheme="minorHAnsi" w:eastAsiaTheme="minorEastAsia" w:hAnsiTheme="minorHAnsi" w:cstheme="minorBidi"/>
          <w:b w:val="0"/>
          <w:bCs w:val="0"/>
          <w:caps w:val="0"/>
          <w:sz w:val="22"/>
          <w:szCs w:val="22"/>
        </w:rPr>
      </w:pPr>
      <w:hyperlink w:anchor="_Toc535608377" w:history="1">
        <w:r w:rsidR="00826B2C" w:rsidRPr="0087061A">
          <w:rPr>
            <w:rStyle w:val="Hyperlink"/>
          </w:rPr>
          <w:t>5.</w:t>
        </w:r>
        <w:r w:rsidR="00826B2C">
          <w:rPr>
            <w:rFonts w:asciiTheme="minorHAnsi" w:eastAsiaTheme="minorEastAsia" w:hAnsiTheme="minorHAnsi" w:cstheme="minorBidi"/>
            <w:b w:val="0"/>
            <w:bCs w:val="0"/>
            <w:caps w:val="0"/>
            <w:sz w:val="22"/>
            <w:szCs w:val="22"/>
          </w:rPr>
          <w:tab/>
        </w:r>
        <w:r w:rsidR="00826B2C" w:rsidRPr="0087061A">
          <w:rPr>
            <w:rStyle w:val="Hyperlink"/>
          </w:rPr>
          <w:t>recommendations</w:t>
        </w:r>
        <w:r w:rsidR="00826B2C">
          <w:rPr>
            <w:webHidden/>
          </w:rPr>
          <w:tab/>
        </w:r>
        <w:r w:rsidR="00826B2C">
          <w:rPr>
            <w:webHidden/>
          </w:rPr>
          <w:fldChar w:fldCharType="begin"/>
        </w:r>
        <w:r w:rsidR="00826B2C">
          <w:rPr>
            <w:webHidden/>
          </w:rPr>
          <w:instrText xml:space="preserve"> PAGEREF _Toc535608377 \h </w:instrText>
        </w:r>
        <w:r w:rsidR="00826B2C">
          <w:rPr>
            <w:webHidden/>
          </w:rPr>
        </w:r>
        <w:r w:rsidR="00826B2C">
          <w:rPr>
            <w:webHidden/>
          </w:rPr>
          <w:fldChar w:fldCharType="separate"/>
        </w:r>
        <w:r w:rsidR="00826B2C">
          <w:rPr>
            <w:webHidden/>
          </w:rPr>
          <w:t>35</w:t>
        </w:r>
        <w:r w:rsidR="00826B2C">
          <w:rPr>
            <w:webHidden/>
          </w:rPr>
          <w:fldChar w:fldCharType="end"/>
        </w:r>
      </w:hyperlink>
    </w:p>
    <w:p w:rsidR="00826B2C" w:rsidRDefault="00014C21">
      <w:pPr>
        <w:pStyle w:val="TOC2"/>
        <w:rPr>
          <w:sz w:val="22"/>
        </w:rPr>
      </w:pPr>
      <w:hyperlink w:anchor="_Toc535608378" w:history="1">
        <w:r w:rsidR="00826B2C" w:rsidRPr="0087061A">
          <w:rPr>
            <w:rStyle w:val="Hyperlink"/>
            <w:rFonts w:eastAsiaTheme="majorEastAsia"/>
          </w:rPr>
          <w:t>9.1</w:t>
        </w:r>
        <w:r w:rsidR="00826B2C">
          <w:rPr>
            <w:sz w:val="22"/>
          </w:rPr>
          <w:tab/>
        </w:r>
        <w:r w:rsidR="00826B2C" w:rsidRPr="0087061A">
          <w:rPr>
            <w:rStyle w:val="Hyperlink"/>
            <w:rFonts w:eastAsiaTheme="majorEastAsia"/>
          </w:rPr>
          <w:t>Building foundational innovation incentives</w:t>
        </w:r>
        <w:r w:rsidR="00826B2C">
          <w:rPr>
            <w:webHidden/>
          </w:rPr>
          <w:tab/>
        </w:r>
        <w:r w:rsidR="00826B2C">
          <w:rPr>
            <w:webHidden/>
          </w:rPr>
          <w:fldChar w:fldCharType="begin"/>
        </w:r>
        <w:r w:rsidR="00826B2C">
          <w:rPr>
            <w:webHidden/>
          </w:rPr>
          <w:instrText xml:space="preserve"> PAGEREF _Toc535608378 \h </w:instrText>
        </w:r>
        <w:r w:rsidR="00826B2C">
          <w:rPr>
            <w:webHidden/>
          </w:rPr>
        </w:r>
        <w:r w:rsidR="00826B2C">
          <w:rPr>
            <w:webHidden/>
          </w:rPr>
          <w:fldChar w:fldCharType="separate"/>
        </w:r>
        <w:r w:rsidR="00826B2C">
          <w:rPr>
            <w:webHidden/>
          </w:rPr>
          <w:t>35</w:t>
        </w:r>
        <w:r w:rsidR="00826B2C">
          <w:rPr>
            <w:webHidden/>
          </w:rPr>
          <w:fldChar w:fldCharType="end"/>
        </w:r>
      </w:hyperlink>
    </w:p>
    <w:p w:rsidR="00826B2C" w:rsidRDefault="00014C21">
      <w:pPr>
        <w:pStyle w:val="TOC2"/>
        <w:rPr>
          <w:sz w:val="22"/>
        </w:rPr>
      </w:pPr>
      <w:hyperlink w:anchor="_Toc535608379" w:history="1">
        <w:r w:rsidR="00826B2C" w:rsidRPr="0087061A">
          <w:rPr>
            <w:rStyle w:val="Hyperlink"/>
            <w:rFonts w:eastAsiaTheme="majorEastAsia"/>
          </w:rPr>
          <w:t>10.1</w:t>
        </w:r>
        <w:r w:rsidR="00826B2C">
          <w:rPr>
            <w:sz w:val="22"/>
          </w:rPr>
          <w:tab/>
        </w:r>
        <w:r w:rsidR="00826B2C" w:rsidRPr="0087061A">
          <w:rPr>
            <w:rStyle w:val="Hyperlink"/>
            <w:rFonts w:eastAsiaTheme="majorEastAsia"/>
          </w:rPr>
          <w:t>Building foundational innovation assets</w:t>
        </w:r>
        <w:r w:rsidR="00826B2C">
          <w:rPr>
            <w:webHidden/>
          </w:rPr>
          <w:tab/>
        </w:r>
        <w:r w:rsidR="00826B2C">
          <w:rPr>
            <w:webHidden/>
          </w:rPr>
          <w:fldChar w:fldCharType="begin"/>
        </w:r>
        <w:r w:rsidR="00826B2C">
          <w:rPr>
            <w:webHidden/>
          </w:rPr>
          <w:instrText xml:space="preserve"> PAGEREF _Toc535608379 \h </w:instrText>
        </w:r>
        <w:r w:rsidR="00826B2C">
          <w:rPr>
            <w:webHidden/>
          </w:rPr>
        </w:r>
        <w:r w:rsidR="00826B2C">
          <w:rPr>
            <w:webHidden/>
          </w:rPr>
          <w:fldChar w:fldCharType="separate"/>
        </w:r>
        <w:r w:rsidR="00826B2C">
          <w:rPr>
            <w:webHidden/>
          </w:rPr>
          <w:t>39</w:t>
        </w:r>
        <w:r w:rsidR="00826B2C">
          <w:rPr>
            <w:webHidden/>
          </w:rPr>
          <w:fldChar w:fldCharType="end"/>
        </w:r>
      </w:hyperlink>
    </w:p>
    <w:p w:rsidR="00826B2C" w:rsidRDefault="00014C21">
      <w:pPr>
        <w:pStyle w:val="TOC2"/>
        <w:rPr>
          <w:sz w:val="22"/>
        </w:rPr>
      </w:pPr>
      <w:hyperlink w:anchor="_Toc535608380" w:history="1">
        <w:r w:rsidR="00826B2C" w:rsidRPr="0087061A">
          <w:rPr>
            <w:rStyle w:val="Hyperlink"/>
            <w:rFonts w:eastAsiaTheme="majorEastAsia"/>
          </w:rPr>
          <w:t>11.1</w:t>
        </w:r>
        <w:r w:rsidR="00826B2C">
          <w:rPr>
            <w:sz w:val="22"/>
          </w:rPr>
          <w:tab/>
        </w:r>
        <w:r w:rsidR="00826B2C" w:rsidRPr="0087061A">
          <w:rPr>
            <w:rStyle w:val="Hyperlink"/>
            <w:rFonts w:eastAsiaTheme="majorEastAsia"/>
          </w:rPr>
          <w:t>Attracting catalytic foreign direct investment</w:t>
        </w:r>
        <w:r w:rsidR="00826B2C">
          <w:rPr>
            <w:webHidden/>
          </w:rPr>
          <w:tab/>
        </w:r>
        <w:r w:rsidR="00826B2C">
          <w:rPr>
            <w:webHidden/>
          </w:rPr>
          <w:fldChar w:fldCharType="begin"/>
        </w:r>
        <w:r w:rsidR="00826B2C">
          <w:rPr>
            <w:webHidden/>
          </w:rPr>
          <w:instrText xml:space="preserve"> PAGEREF _Toc535608380 \h </w:instrText>
        </w:r>
        <w:r w:rsidR="00826B2C">
          <w:rPr>
            <w:webHidden/>
          </w:rPr>
        </w:r>
        <w:r w:rsidR="00826B2C">
          <w:rPr>
            <w:webHidden/>
          </w:rPr>
          <w:fldChar w:fldCharType="separate"/>
        </w:r>
        <w:r w:rsidR="00826B2C">
          <w:rPr>
            <w:webHidden/>
          </w:rPr>
          <w:t>45</w:t>
        </w:r>
        <w:r w:rsidR="00826B2C">
          <w:rPr>
            <w:webHidden/>
          </w:rPr>
          <w:fldChar w:fldCharType="end"/>
        </w:r>
      </w:hyperlink>
    </w:p>
    <w:p w:rsidR="00826B2C" w:rsidRDefault="00014C21">
      <w:pPr>
        <w:pStyle w:val="TOC2"/>
        <w:rPr>
          <w:sz w:val="22"/>
        </w:rPr>
      </w:pPr>
      <w:hyperlink w:anchor="_Toc535608381" w:history="1">
        <w:r w:rsidR="00826B2C" w:rsidRPr="0087061A">
          <w:rPr>
            <w:rStyle w:val="Hyperlink"/>
            <w:rFonts w:eastAsiaTheme="majorEastAsia"/>
          </w:rPr>
          <w:t>12.1</w:t>
        </w:r>
        <w:r w:rsidR="00826B2C">
          <w:rPr>
            <w:sz w:val="22"/>
          </w:rPr>
          <w:tab/>
        </w:r>
        <w:r w:rsidR="00826B2C" w:rsidRPr="0087061A">
          <w:rPr>
            <w:rStyle w:val="Hyperlink"/>
            <w:rFonts w:eastAsiaTheme="majorEastAsia"/>
          </w:rPr>
          <w:t>Innovation system maintenance and navigation</w:t>
        </w:r>
        <w:r w:rsidR="00826B2C">
          <w:rPr>
            <w:webHidden/>
          </w:rPr>
          <w:tab/>
        </w:r>
        <w:r w:rsidR="00826B2C">
          <w:rPr>
            <w:webHidden/>
          </w:rPr>
          <w:fldChar w:fldCharType="begin"/>
        </w:r>
        <w:r w:rsidR="00826B2C">
          <w:rPr>
            <w:webHidden/>
          </w:rPr>
          <w:instrText xml:space="preserve"> PAGEREF _Toc535608381 \h </w:instrText>
        </w:r>
        <w:r w:rsidR="00826B2C">
          <w:rPr>
            <w:webHidden/>
          </w:rPr>
        </w:r>
        <w:r w:rsidR="00826B2C">
          <w:rPr>
            <w:webHidden/>
          </w:rPr>
          <w:fldChar w:fldCharType="separate"/>
        </w:r>
        <w:r w:rsidR="00826B2C">
          <w:rPr>
            <w:webHidden/>
          </w:rPr>
          <w:t>49</w:t>
        </w:r>
        <w:r w:rsidR="00826B2C">
          <w:rPr>
            <w:webHidden/>
          </w:rPr>
          <w:fldChar w:fldCharType="end"/>
        </w:r>
      </w:hyperlink>
    </w:p>
    <w:p w:rsidR="00826B2C" w:rsidRDefault="00014C21">
      <w:pPr>
        <w:pStyle w:val="TOC1"/>
        <w:rPr>
          <w:rFonts w:asciiTheme="minorHAnsi" w:eastAsiaTheme="minorEastAsia" w:hAnsiTheme="minorHAnsi" w:cstheme="minorBidi"/>
          <w:b w:val="0"/>
          <w:bCs w:val="0"/>
          <w:caps w:val="0"/>
          <w:sz w:val="22"/>
          <w:szCs w:val="22"/>
        </w:rPr>
      </w:pPr>
      <w:hyperlink w:anchor="_Toc535608382" w:history="1">
        <w:r w:rsidR="00826B2C" w:rsidRPr="0087061A">
          <w:rPr>
            <w:rStyle w:val="Hyperlink"/>
          </w:rPr>
          <w:t>6.</w:t>
        </w:r>
        <w:r w:rsidR="00826B2C">
          <w:rPr>
            <w:rFonts w:asciiTheme="minorHAnsi" w:eastAsiaTheme="minorEastAsia" w:hAnsiTheme="minorHAnsi" w:cstheme="minorBidi"/>
            <w:b w:val="0"/>
            <w:bCs w:val="0"/>
            <w:caps w:val="0"/>
            <w:sz w:val="22"/>
            <w:szCs w:val="22"/>
          </w:rPr>
          <w:tab/>
        </w:r>
        <w:r w:rsidR="00826B2C" w:rsidRPr="0087061A">
          <w:rPr>
            <w:rStyle w:val="Hyperlink"/>
          </w:rPr>
          <w:t>Risk assessment</w:t>
        </w:r>
        <w:r w:rsidR="00826B2C">
          <w:rPr>
            <w:webHidden/>
          </w:rPr>
          <w:tab/>
        </w:r>
        <w:r w:rsidR="00826B2C">
          <w:rPr>
            <w:webHidden/>
          </w:rPr>
          <w:fldChar w:fldCharType="begin"/>
        </w:r>
        <w:r w:rsidR="00826B2C">
          <w:rPr>
            <w:webHidden/>
          </w:rPr>
          <w:instrText xml:space="preserve"> PAGEREF _Toc535608382 \h </w:instrText>
        </w:r>
        <w:r w:rsidR="00826B2C">
          <w:rPr>
            <w:webHidden/>
          </w:rPr>
        </w:r>
        <w:r w:rsidR="00826B2C">
          <w:rPr>
            <w:webHidden/>
          </w:rPr>
          <w:fldChar w:fldCharType="separate"/>
        </w:r>
        <w:r w:rsidR="00826B2C">
          <w:rPr>
            <w:webHidden/>
          </w:rPr>
          <w:t>51</w:t>
        </w:r>
        <w:r w:rsidR="00826B2C">
          <w:rPr>
            <w:webHidden/>
          </w:rPr>
          <w:fldChar w:fldCharType="end"/>
        </w:r>
      </w:hyperlink>
    </w:p>
    <w:p w:rsidR="00826B2C" w:rsidRDefault="00014C21">
      <w:pPr>
        <w:pStyle w:val="TOC1"/>
        <w:rPr>
          <w:rFonts w:asciiTheme="minorHAnsi" w:eastAsiaTheme="minorEastAsia" w:hAnsiTheme="minorHAnsi" w:cstheme="minorBidi"/>
          <w:b w:val="0"/>
          <w:bCs w:val="0"/>
          <w:caps w:val="0"/>
          <w:sz w:val="22"/>
          <w:szCs w:val="22"/>
        </w:rPr>
      </w:pPr>
      <w:hyperlink w:anchor="_Toc535608383" w:history="1">
        <w:r w:rsidR="00826B2C" w:rsidRPr="0087061A">
          <w:rPr>
            <w:rStyle w:val="Hyperlink"/>
          </w:rPr>
          <w:t>7.</w:t>
        </w:r>
        <w:r w:rsidR="00826B2C">
          <w:rPr>
            <w:rFonts w:asciiTheme="minorHAnsi" w:eastAsiaTheme="minorEastAsia" w:hAnsiTheme="minorHAnsi" w:cstheme="minorBidi"/>
            <w:b w:val="0"/>
            <w:bCs w:val="0"/>
            <w:caps w:val="0"/>
            <w:sz w:val="22"/>
            <w:szCs w:val="22"/>
          </w:rPr>
          <w:tab/>
        </w:r>
        <w:r w:rsidR="00826B2C" w:rsidRPr="0087061A">
          <w:rPr>
            <w:rStyle w:val="Hyperlink"/>
          </w:rPr>
          <w:t>Monitoring &amp; Evaluation</w:t>
        </w:r>
        <w:r w:rsidR="00826B2C">
          <w:rPr>
            <w:webHidden/>
          </w:rPr>
          <w:tab/>
        </w:r>
        <w:r w:rsidR="00826B2C">
          <w:rPr>
            <w:webHidden/>
          </w:rPr>
          <w:fldChar w:fldCharType="begin"/>
        </w:r>
        <w:r w:rsidR="00826B2C">
          <w:rPr>
            <w:webHidden/>
          </w:rPr>
          <w:instrText xml:space="preserve"> PAGEREF _Toc535608383 \h </w:instrText>
        </w:r>
        <w:r w:rsidR="00826B2C">
          <w:rPr>
            <w:webHidden/>
          </w:rPr>
        </w:r>
        <w:r w:rsidR="00826B2C">
          <w:rPr>
            <w:webHidden/>
          </w:rPr>
          <w:fldChar w:fldCharType="separate"/>
        </w:r>
        <w:r w:rsidR="00826B2C">
          <w:rPr>
            <w:webHidden/>
          </w:rPr>
          <w:t>54</w:t>
        </w:r>
        <w:r w:rsidR="00826B2C">
          <w:rPr>
            <w:webHidden/>
          </w:rPr>
          <w:fldChar w:fldCharType="end"/>
        </w:r>
      </w:hyperlink>
    </w:p>
    <w:p w:rsidR="00826B2C" w:rsidRDefault="00014C21">
      <w:pPr>
        <w:pStyle w:val="TOC1"/>
        <w:rPr>
          <w:rFonts w:asciiTheme="minorHAnsi" w:eastAsiaTheme="minorEastAsia" w:hAnsiTheme="minorHAnsi" w:cstheme="minorBidi"/>
          <w:b w:val="0"/>
          <w:bCs w:val="0"/>
          <w:caps w:val="0"/>
          <w:sz w:val="22"/>
          <w:szCs w:val="22"/>
        </w:rPr>
      </w:pPr>
      <w:hyperlink w:anchor="_Toc535608384" w:history="1">
        <w:r w:rsidR="00826B2C" w:rsidRPr="0087061A">
          <w:rPr>
            <w:rStyle w:val="Hyperlink"/>
          </w:rPr>
          <w:t>appendix: Action plan</w:t>
        </w:r>
        <w:r w:rsidR="00826B2C">
          <w:rPr>
            <w:webHidden/>
          </w:rPr>
          <w:tab/>
        </w:r>
        <w:r w:rsidR="00826B2C">
          <w:rPr>
            <w:webHidden/>
          </w:rPr>
          <w:fldChar w:fldCharType="begin"/>
        </w:r>
        <w:r w:rsidR="00826B2C">
          <w:rPr>
            <w:webHidden/>
          </w:rPr>
          <w:instrText xml:space="preserve"> PAGEREF _Toc535608384 \h </w:instrText>
        </w:r>
        <w:r w:rsidR="00826B2C">
          <w:rPr>
            <w:webHidden/>
          </w:rPr>
        </w:r>
        <w:r w:rsidR="00826B2C">
          <w:rPr>
            <w:webHidden/>
          </w:rPr>
          <w:fldChar w:fldCharType="separate"/>
        </w:r>
        <w:r w:rsidR="00826B2C">
          <w:rPr>
            <w:webHidden/>
          </w:rPr>
          <w:t>55</w:t>
        </w:r>
        <w:r w:rsidR="00826B2C">
          <w:rPr>
            <w:webHidden/>
          </w:rPr>
          <w:fldChar w:fldCharType="end"/>
        </w:r>
      </w:hyperlink>
    </w:p>
    <w:p w:rsidR="00C0651C" w:rsidRDefault="005D5A33" w:rsidP="00826B2C">
      <w:pPr>
        <w:pStyle w:val="TOCHeader"/>
        <w:pageBreakBefore/>
      </w:pPr>
      <w:r>
        <w:rPr>
          <w:rFonts w:ascii="Arial Bold" w:hAnsi="Arial Bold" w:cs="Arial"/>
          <w:bCs/>
          <w:noProof/>
        </w:rPr>
        <w:lastRenderedPageBreak/>
        <w:fldChar w:fldCharType="end"/>
      </w:r>
      <w:bookmarkStart w:id="22" w:name="_Toc535608366"/>
      <w:r w:rsidR="001E45F5">
        <w:t xml:space="preserve">Executive </w:t>
      </w:r>
      <w:r w:rsidR="00C0651C">
        <w:t>Summary</w:t>
      </w:r>
      <w:bookmarkEnd w:id="22"/>
      <w:r w:rsidR="00A9570D">
        <w:t xml:space="preserve"> </w:t>
      </w:r>
    </w:p>
    <w:p w:rsidR="009A6D3D" w:rsidRDefault="009A6D3D" w:rsidP="009E4B15">
      <w:pPr>
        <w:spacing w:line="240" w:lineRule="auto"/>
      </w:pPr>
    </w:p>
    <w:p w:rsidR="00647EEB" w:rsidRDefault="00647EEB" w:rsidP="00647EEB">
      <w:pPr>
        <w:rPr>
          <w:rFonts w:cstheme="minorHAnsi"/>
          <w:color w:val="000000" w:themeColor="text1"/>
          <w:szCs w:val="20"/>
        </w:rPr>
      </w:pPr>
      <w:r w:rsidRPr="00647EEB">
        <w:rPr>
          <w:rFonts w:cstheme="minorHAnsi"/>
          <w:color w:val="000000" w:themeColor="text1"/>
          <w:szCs w:val="20"/>
        </w:rPr>
        <w:t>Despite periods of regional instability and the global recession, Georgia experienced strong economic growth over the last two decades. More recently, however, growth has slowed from an average of nearly 8% per year in the decade prior to the 2008 recession, to less than 5% per year in the decade since.</w:t>
      </w:r>
      <w:r w:rsidRPr="00226CAA">
        <w:rPr>
          <w:vertAlign w:val="superscript"/>
        </w:rPr>
        <w:footnoteReference w:id="1"/>
      </w:r>
      <w:r w:rsidRPr="00647EEB">
        <w:rPr>
          <w:rFonts w:cstheme="minorHAnsi"/>
          <w:color w:val="000000" w:themeColor="text1"/>
          <w:szCs w:val="20"/>
        </w:rPr>
        <w:t xml:space="preserve"> Faced with a contracting population, increased deficit spending and widening inequality,</w:t>
      </w:r>
      <w:r w:rsidRPr="00226CAA">
        <w:rPr>
          <w:vertAlign w:val="superscript"/>
        </w:rPr>
        <w:footnoteReference w:id="2"/>
      </w:r>
      <w:r w:rsidRPr="00226CAA">
        <w:rPr>
          <w:vertAlign w:val="superscript"/>
        </w:rPr>
        <w:t xml:space="preserve"> </w:t>
      </w:r>
      <w:r w:rsidRPr="00647EEB">
        <w:rPr>
          <w:rFonts w:cstheme="minorHAnsi"/>
          <w:color w:val="000000" w:themeColor="text1"/>
          <w:szCs w:val="20"/>
        </w:rPr>
        <w:t>Georgia must move beyond the initial waves of reform and pursue a more strategic set of policies for the long term. Continued economic development and growth in prosperity depends on the country’s ability to help its companies upgrade and improve their performance – to innovate.</w:t>
      </w:r>
    </w:p>
    <w:p w:rsidR="00647EEB" w:rsidRPr="00647EEB" w:rsidRDefault="00647EEB" w:rsidP="00647EEB">
      <w:pPr>
        <w:rPr>
          <w:rFonts w:cstheme="minorHAnsi"/>
          <w:color w:val="000000" w:themeColor="text1"/>
          <w:szCs w:val="20"/>
        </w:rPr>
      </w:pPr>
      <w:r w:rsidRPr="00647EEB">
        <w:rPr>
          <w:rFonts w:cstheme="minorHAnsi"/>
          <w:color w:val="000000" w:themeColor="text1"/>
          <w:szCs w:val="20"/>
        </w:rPr>
        <w:t>Innovation at its core is about creating new products, services and ways of bringing them to market.</w:t>
      </w:r>
      <w:r>
        <w:rPr>
          <w:rFonts w:cstheme="minorHAnsi"/>
          <w:color w:val="000000" w:themeColor="text1"/>
          <w:szCs w:val="20"/>
        </w:rPr>
        <w:t xml:space="preserve"> </w:t>
      </w:r>
      <w:r w:rsidRPr="00647EEB">
        <w:rPr>
          <w:rFonts w:cstheme="minorHAnsi"/>
          <w:color w:val="000000" w:themeColor="text1"/>
          <w:szCs w:val="20"/>
        </w:rPr>
        <w:t>Some of the most exciting and impactful innovations in our world today are new technologies discovered, developed, and delivered by young start-up enterprises.  But just as much impact is coming from non-tech innovations and established companies. In assessing where a country should focus its investments</w:t>
      </w:r>
      <w:r w:rsidR="00226CAA">
        <w:rPr>
          <w:rFonts w:cstheme="minorHAnsi"/>
          <w:color w:val="000000" w:themeColor="text1"/>
          <w:szCs w:val="20"/>
        </w:rPr>
        <w:t xml:space="preserve"> in innovation</w:t>
      </w:r>
      <w:r w:rsidRPr="00647EEB">
        <w:rPr>
          <w:rFonts w:cstheme="minorHAnsi"/>
          <w:color w:val="000000" w:themeColor="text1"/>
          <w:szCs w:val="20"/>
        </w:rPr>
        <w:t>, one must cast a wide net, looking for opportunities not just in new industries, but in its traditional ones as well.</w:t>
      </w:r>
    </w:p>
    <w:p w:rsidR="00AC1093" w:rsidRDefault="00647EEB" w:rsidP="00647EEB">
      <w:pPr>
        <w:rPr>
          <w:rFonts w:cstheme="minorHAnsi"/>
          <w:color w:val="000000" w:themeColor="text1"/>
          <w:szCs w:val="20"/>
        </w:rPr>
      </w:pPr>
      <w:r w:rsidRPr="00647EEB">
        <w:rPr>
          <w:rFonts w:cstheme="minorHAnsi"/>
          <w:color w:val="000000" w:themeColor="text1"/>
          <w:szCs w:val="20"/>
        </w:rPr>
        <w:t>While virtually any type of organization – governments, non-profits, firms, etc. – can innovate, it is for-profit companies that use innovation to create new wealth and increase the prosperity.  For companies, innovation is a choice. Executives can choose to return p</w:t>
      </w:r>
      <w:r w:rsidR="00002560">
        <w:rPr>
          <w:rFonts w:cstheme="minorHAnsi"/>
          <w:color w:val="000000" w:themeColor="text1"/>
          <w:szCs w:val="20"/>
        </w:rPr>
        <w:t>rofits to owners and workers; invest in</w:t>
      </w:r>
      <w:r w:rsidRPr="00647EEB">
        <w:rPr>
          <w:rFonts w:cstheme="minorHAnsi"/>
          <w:color w:val="000000" w:themeColor="text1"/>
          <w:szCs w:val="20"/>
        </w:rPr>
        <w:t xml:space="preserve"> practices they h</w:t>
      </w:r>
      <w:r w:rsidR="00AC1093">
        <w:rPr>
          <w:rFonts w:cstheme="minorHAnsi"/>
          <w:color w:val="000000" w:themeColor="text1"/>
          <w:szCs w:val="20"/>
        </w:rPr>
        <w:t>ave observed in other companies; or,</w:t>
      </w:r>
      <w:r w:rsidRPr="00647EEB">
        <w:rPr>
          <w:rFonts w:cstheme="minorHAnsi"/>
          <w:color w:val="000000" w:themeColor="text1"/>
          <w:szCs w:val="20"/>
        </w:rPr>
        <w:t xml:space="preserve"> invest in developing novel production processes, products and services, or ways of bringing them to market – in innovation.  </w:t>
      </w:r>
    </w:p>
    <w:p w:rsidR="00AC1093" w:rsidRDefault="00647EEB" w:rsidP="00647EEB">
      <w:pPr>
        <w:rPr>
          <w:rFonts w:cstheme="minorHAnsi"/>
          <w:color w:val="000000" w:themeColor="text1"/>
          <w:szCs w:val="20"/>
        </w:rPr>
      </w:pPr>
      <w:r w:rsidRPr="00647EEB">
        <w:rPr>
          <w:rFonts w:cstheme="minorHAnsi"/>
          <w:color w:val="000000" w:themeColor="text1"/>
          <w:szCs w:val="20"/>
        </w:rPr>
        <w:t xml:space="preserve">In making and executing on these decisions, companies respond to incentives that create the desire or need to innovate, and draw from assets in the environment that provide the inputs </w:t>
      </w:r>
      <w:r w:rsidR="00AC1093">
        <w:rPr>
          <w:rFonts w:cstheme="minorHAnsi"/>
          <w:color w:val="000000" w:themeColor="text1"/>
          <w:szCs w:val="20"/>
        </w:rPr>
        <w:t>to innovation.</w:t>
      </w:r>
      <w:r w:rsidR="00CB3324">
        <w:rPr>
          <w:rFonts w:cstheme="minorHAnsi"/>
          <w:color w:val="000000" w:themeColor="text1"/>
          <w:szCs w:val="20"/>
        </w:rPr>
        <w:t xml:space="preserve"> </w:t>
      </w:r>
      <w:r w:rsidR="00CB3324" w:rsidRPr="00647EEB">
        <w:rPr>
          <w:rFonts w:cstheme="minorHAnsi"/>
          <w:color w:val="000000" w:themeColor="text1"/>
          <w:szCs w:val="20"/>
        </w:rPr>
        <w:t>A good innovation strategy identifies which incentives and assets need to be put in place</w:t>
      </w:r>
      <w:r w:rsidR="00CB3324">
        <w:rPr>
          <w:rFonts w:cstheme="minorHAnsi"/>
          <w:color w:val="000000" w:themeColor="text1"/>
          <w:szCs w:val="20"/>
        </w:rPr>
        <w:t xml:space="preserve"> – </w:t>
      </w:r>
      <w:r w:rsidR="00CB3324" w:rsidRPr="00647EEB">
        <w:rPr>
          <w:rFonts w:cstheme="minorHAnsi"/>
          <w:color w:val="000000" w:themeColor="text1"/>
          <w:szCs w:val="20"/>
        </w:rPr>
        <w:t>mainly by government, by also by other actors (e.g., educational institutions, com</w:t>
      </w:r>
      <w:r w:rsidR="00CB3324">
        <w:rPr>
          <w:rFonts w:cstheme="minorHAnsi"/>
          <w:color w:val="000000" w:themeColor="text1"/>
          <w:szCs w:val="20"/>
        </w:rPr>
        <w:t xml:space="preserve">panies, research centers, etc.) – </w:t>
      </w:r>
      <w:r w:rsidR="00CB3324" w:rsidRPr="00647EEB">
        <w:rPr>
          <w:rFonts w:cstheme="minorHAnsi"/>
          <w:color w:val="000000" w:themeColor="text1"/>
          <w:szCs w:val="20"/>
        </w:rPr>
        <w:t>so that companies will</w:t>
      </w:r>
      <w:r w:rsidR="00CB3324">
        <w:rPr>
          <w:rFonts w:cstheme="minorHAnsi"/>
          <w:color w:val="000000" w:themeColor="text1"/>
          <w:szCs w:val="20"/>
        </w:rPr>
        <w:t xml:space="preserve"> innovate and drive prosperity.</w:t>
      </w:r>
    </w:p>
    <w:p w:rsidR="00AC1093" w:rsidRPr="00647EEB" w:rsidRDefault="00CB3324" w:rsidP="00437EE3">
      <w:pPr>
        <w:pStyle w:val="Heading4"/>
      </w:pPr>
      <w:r>
        <w:t xml:space="preserve">FIGURE: </w:t>
      </w:r>
      <w:r w:rsidR="00AC1093">
        <w:t xml:space="preserve">Innovation </w:t>
      </w:r>
      <w:r w:rsidR="001855E4">
        <w:t>framework</w:t>
      </w:r>
    </w:p>
    <w:p w:rsidR="00647EEB" w:rsidRPr="00647EEB" w:rsidRDefault="00647EEB" w:rsidP="00647EEB">
      <w:pPr>
        <w:spacing w:after="160" w:line="259" w:lineRule="auto"/>
        <w:jc w:val="center"/>
        <w:rPr>
          <w:rFonts w:cstheme="minorHAnsi"/>
          <w:color w:val="000000" w:themeColor="text1"/>
          <w:szCs w:val="20"/>
        </w:rPr>
      </w:pPr>
      <w:r w:rsidRPr="00647EEB">
        <w:rPr>
          <w:rFonts w:cstheme="minorHAnsi"/>
          <w:noProof/>
          <w:color w:val="000000" w:themeColor="text1"/>
          <w:szCs w:val="20"/>
        </w:rPr>
        <w:drawing>
          <wp:inline distT="0" distB="0" distL="0" distR="0" wp14:anchorId="4A414C5F" wp14:editId="461BC708">
            <wp:extent cx="6280067" cy="2361063"/>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04255" cy="2370157"/>
                    </a:xfrm>
                    <a:prstGeom prst="rect">
                      <a:avLst/>
                    </a:prstGeom>
                  </pic:spPr>
                </pic:pic>
              </a:graphicData>
            </a:graphic>
          </wp:inline>
        </w:drawing>
      </w:r>
    </w:p>
    <w:p w:rsidR="00AC1093" w:rsidRDefault="00AC1093" w:rsidP="00647EEB">
      <w:pPr>
        <w:rPr>
          <w:rFonts w:cstheme="minorHAnsi"/>
          <w:color w:val="000000" w:themeColor="text1"/>
          <w:szCs w:val="20"/>
        </w:rPr>
      </w:pPr>
    </w:p>
    <w:p w:rsidR="001855E4" w:rsidRDefault="00647EEB" w:rsidP="00647EEB">
      <w:pPr>
        <w:rPr>
          <w:rFonts w:cstheme="minorHAnsi"/>
          <w:color w:val="000000" w:themeColor="text1"/>
          <w:szCs w:val="20"/>
        </w:rPr>
      </w:pPr>
      <w:r w:rsidRPr="00647EEB">
        <w:rPr>
          <w:rFonts w:cstheme="minorHAnsi"/>
          <w:color w:val="000000" w:themeColor="text1"/>
          <w:szCs w:val="20"/>
        </w:rPr>
        <w:t xml:space="preserve">There are </w:t>
      </w:r>
      <w:r w:rsidR="006F7C2A" w:rsidRPr="00647EEB">
        <w:rPr>
          <w:rFonts w:cstheme="minorHAnsi"/>
          <w:color w:val="000000" w:themeColor="text1"/>
          <w:szCs w:val="20"/>
        </w:rPr>
        <w:t>several</w:t>
      </w:r>
      <w:r w:rsidRPr="00647EEB">
        <w:rPr>
          <w:rFonts w:cstheme="minorHAnsi"/>
          <w:color w:val="000000" w:themeColor="text1"/>
          <w:szCs w:val="20"/>
        </w:rPr>
        <w:t xml:space="preserve"> challenges in Ge</w:t>
      </w:r>
      <w:r w:rsidR="00226CAA">
        <w:rPr>
          <w:rFonts w:cstheme="minorHAnsi"/>
          <w:color w:val="000000" w:themeColor="text1"/>
          <w:szCs w:val="20"/>
        </w:rPr>
        <w:t>orgia’s innovation ecosystem</w:t>
      </w:r>
      <w:r w:rsidR="00CB3324">
        <w:rPr>
          <w:rFonts w:cstheme="minorHAnsi"/>
          <w:color w:val="000000" w:themeColor="text1"/>
          <w:szCs w:val="20"/>
        </w:rPr>
        <w:t xml:space="preserve"> today, ranging from a weak talent pool, diminished research and development capability, to limited access to finance and lack of support for high-</w:t>
      </w:r>
      <w:r w:rsidR="00CB3324">
        <w:rPr>
          <w:rFonts w:cstheme="minorHAnsi"/>
          <w:color w:val="000000" w:themeColor="text1"/>
          <w:szCs w:val="20"/>
        </w:rPr>
        <w:lastRenderedPageBreak/>
        <w:t>growth entrepreneurs, among others</w:t>
      </w:r>
      <w:r w:rsidRPr="00647EEB">
        <w:rPr>
          <w:rFonts w:cstheme="minorHAnsi"/>
          <w:color w:val="000000" w:themeColor="text1"/>
          <w:szCs w:val="20"/>
        </w:rPr>
        <w:t>.</w:t>
      </w:r>
      <w:r w:rsidR="00226CAA">
        <w:rPr>
          <w:rStyle w:val="FootnoteReference"/>
          <w:rFonts w:cstheme="minorHAnsi"/>
          <w:color w:val="000000" w:themeColor="text1"/>
          <w:szCs w:val="20"/>
        </w:rPr>
        <w:footnoteReference w:id="3"/>
      </w:r>
      <w:r w:rsidRPr="00647EEB">
        <w:rPr>
          <w:rFonts w:cstheme="minorHAnsi"/>
          <w:color w:val="000000" w:themeColor="text1"/>
          <w:szCs w:val="20"/>
        </w:rPr>
        <w:t xml:space="preserve">  </w:t>
      </w:r>
      <w:r w:rsidR="00226CAA">
        <w:rPr>
          <w:rFonts w:cstheme="minorHAnsi"/>
          <w:color w:val="000000" w:themeColor="text1"/>
          <w:szCs w:val="20"/>
        </w:rPr>
        <w:t>T</w:t>
      </w:r>
      <w:r w:rsidRPr="00647EEB">
        <w:rPr>
          <w:rFonts w:cstheme="minorHAnsi"/>
          <w:color w:val="000000" w:themeColor="text1"/>
          <w:szCs w:val="20"/>
        </w:rPr>
        <w:t xml:space="preserve">hese challenges have led to a viscous cycle that locks </w:t>
      </w:r>
      <w:r w:rsidR="00AC1093">
        <w:rPr>
          <w:rFonts w:cstheme="minorHAnsi"/>
          <w:color w:val="000000" w:themeColor="text1"/>
          <w:szCs w:val="20"/>
        </w:rPr>
        <w:t>in a low innovation status quo, deeply tied to Georgia’s integration in the global economy. In a market where most local companies are competing for a sma</w:t>
      </w:r>
      <w:r w:rsidR="00AC00DE">
        <w:rPr>
          <w:rFonts w:cstheme="minorHAnsi"/>
          <w:color w:val="000000" w:themeColor="text1"/>
          <w:szCs w:val="20"/>
        </w:rPr>
        <w:t>ll share of the domestic market</w:t>
      </w:r>
      <w:r w:rsidR="00AC1093">
        <w:rPr>
          <w:rFonts w:cstheme="minorHAnsi"/>
          <w:color w:val="000000" w:themeColor="text1"/>
          <w:szCs w:val="20"/>
        </w:rPr>
        <w:t xml:space="preserve"> there is little demand</w:t>
      </w:r>
      <w:r w:rsidR="00AC00DE">
        <w:rPr>
          <w:rFonts w:cstheme="minorHAnsi"/>
          <w:color w:val="000000" w:themeColor="text1"/>
          <w:szCs w:val="20"/>
        </w:rPr>
        <w:t xml:space="preserve"> innovation assets, which in turn makes it </w:t>
      </w:r>
      <w:r w:rsidRPr="00647EEB">
        <w:rPr>
          <w:rFonts w:cstheme="minorHAnsi"/>
          <w:color w:val="000000" w:themeColor="text1"/>
          <w:szCs w:val="20"/>
        </w:rPr>
        <w:t xml:space="preserve">costly for firms to upgrade </w:t>
      </w:r>
      <w:r w:rsidR="001C5D5E">
        <w:rPr>
          <w:rFonts w:cstheme="minorHAnsi"/>
          <w:color w:val="000000" w:themeColor="text1"/>
          <w:szCs w:val="20"/>
        </w:rPr>
        <w:t>th</w:t>
      </w:r>
      <w:r w:rsidR="00AC00DE">
        <w:rPr>
          <w:rFonts w:cstheme="minorHAnsi"/>
          <w:color w:val="000000" w:themeColor="text1"/>
          <w:szCs w:val="20"/>
        </w:rPr>
        <w:t>eir processes and products to compete in global markets, perpetuating the cycle (see figure below)</w:t>
      </w:r>
      <w:r w:rsidRPr="00647EEB">
        <w:rPr>
          <w:rFonts w:cstheme="minorHAnsi"/>
          <w:color w:val="000000" w:themeColor="text1"/>
          <w:szCs w:val="20"/>
        </w:rPr>
        <w:t>.  Innovation is hard under the best of circumstances, and harder still in Georgia given this</w:t>
      </w:r>
      <w:r w:rsidR="00AC00DE">
        <w:rPr>
          <w:rFonts w:cstheme="minorHAnsi"/>
          <w:color w:val="000000" w:themeColor="text1"/>
          <w:szCs w:val="20"/>
        </w:rPr>
        <w:t xml:space="preserve"> self-reinforcing dynamic. </w:t>
      </w:r>
      <w:r w:rsidRPr="00647EEB">
        <w:rPr>
          <w:rFonts w:cstheme="minorHAnsi"/>
          <w:color w:val="000000" w:themeColor="text1"/>
          <w:szCs w:val="20"/>
        </w:rPr>
        <w:t>To break this cycle, Georgia will need to focus its efforts on areas of strength in its economy.</w:t>
      </w:r>
    </w:p>
    <w:p w:rsidR="00647EEB" w:rsidRDefault="00647EEB" w:rsidP="00647EEB">
      <w:pPr>
        <w:rPr>
          <w:rFonts w:cstheme="minorHAnsi"/>
          <w:color w:val="000000" w:themeColor="text1"/>
          <w:szCs w:val="20"/>
        </w:rPr>
      </w:pPr>
      <w:r w:rsidRPr="00647EEB">
        <w:rPr>
          <w:rFonts w:cstheme="minorHAnsi"/>
          <w:noProof/>
          <w:color w:val="000000" w:themeColor="text1"/>
          <w:szCs w:val="20"/>
        </w:rPr>
        <w:drawing>
          <wp:inline distT="0" distB="0" distL="0" distR="0" wp14:anchorId="32AF54AD" wp14:editId="0B50315D">
            <wp:extent cx="5943600" cy="239686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5894"/>
                    <a:stretch/>
                  </pic:blipFill>
                  <pic:spPr bwMode="auto">
                    <a:xfrm>
                      <a:off x="0" y="0"/>
                      <a:ext cx="5943600" cy="2396860"/>
                    </a:xfrm>
                    <a:prstGeom prst="rect">
                      <a:avLst/>
                    </a:prstGeom>
                    <a:ln>
                      <a:noFill/>
                    </a:ln>
                    <a:extLst>
                      <a:ext uri="{53640926-AAD7-44D8-BBD7-CCE9431645EC}">
                        <a14:shadowObscured xmlns:a14="http://schemas.microsoft.com/office/drawing/2010/main"/>
                      </a:ext>
                    </a:extLst>
                  </pic:spPr>
                </pic:pic>
              </a:graphicData>
            </a:graphic>
          </wp:inline>
        </w:drawing>
      </w:r>
    </w:p>
    <w:p w:rsidR="00893C9F" w:rsidRPr="00647EEB" w:rsidRDefault="00893C9F" w:rsidP="00647EEB">
      <w:pPr>
        <w:rPr>
          <w:rFonts w:cstheme="minorHAnsi"/>
          <w:color w:val="000000" w:themeColor="text1"/>
          <w:szCs w:val="20"/>
        </w:rPr>
      </w:pPr>
    </w:p>
    <w:p w:rsidR="00AC00DE" w:rsidRDefault="00647EEB" w:rsidP="00647EEB">
      <w:pPr>
        <w:rPr>
          <w:rFonts w:cstheme="minorHAnsi"/>
          <w:color w:val="000000" w:themeColor="text1"/>
          <w:szCs w:val="20"/>
        </w:rPr>
      </w:pPr>
      <w:r w:rsidRPr="00647EEB">
        <w:rPr>
          <w:rFonts w:cstheme="minorHAnsi"/>
          <w:color w:val="000000" w:themeColor="text1"/>
          <w:szCs w:val="20"/>
        </w:rPr>
        <w:t>Georgia has much on which to build. First, it has a fairly diversified economy</w:t>
      </w:r>
      <w:r w:rsidR="005E7A18">
        <w:rPr>
          <w:rFonts w:cstheme="minorHAnsi"/>
          <w:color w:val="000000" w:themeColor="text1"/>
          <w:szCs w:val="20"/>
        </w:rPr>
        <w:t>, featuring several</w:t>
      </w:r>
      <w:r w:rsidRPr="00647EEB">
        <w:rPr>
          <w:rFonts w:cstheme="minorHAnsi"/>
          <w:color w:val="000000" w:themeColor="text1"/>
          <w:szCs w:val="20"/>
        </w:rPr>
        <w:t xml:space="preserve"> industries</w:t>
      </w:r>
      <w:r w:rsidR="005E7A18">
        <w:rPr>
          <w:rFonts w:cstheme="minorHAnsi"/>
          <w:color w:val="000000" w:themeColor="text1"/>
          <w:szCs w:val="20"/>
        </w:rPr>
        <w:t xml:space="preserve"> that</w:t>
      </w:r>
      <w:r w:rsidRPr="00647EEB">
        <w:rPr>
          <w:rFonts w:cstheme="minorHAnsi"/>
          <w:color w:val="000000" w:themeColor="text1"/>
          <w:szCs w:val="20"/>
        </w:rPr>
        <w:t xml:space="preserve"> have achieved a good level of export competitiveness, including agriculture, food and beverages, </w:t>
      </w:r>
      <w:r w:rsidR="005E7A18">
        <w:rPr>
          <w:rFonts w:cstheme="minorHAnsi"/>
          <w:color w:val="000000" w:themeColor="text1"/>
          <w:szCs w:val="20"/>
        </w:rPr>
        <w:t>select</w:t>
      </w:r>
      <w:r w:rsidRPr="00647EEB">
        <w:rPr>
          <w:rFonts w:cstheme="minorHAnsi"/>
          <w:color w:val="000000" w:themeColor="text1"/>
          <w:szCs w:val="20"/>
        </w:rPr>
        <w:t xml:space="preserve"> heavy industri</w:t>
      </w:r>
      <w:r w:rsidR="005E7A18">
        <w:rPr>
          <w:rFonts w:cstheme="minorHAnsi"/>
          <w:color w:val="000000" w:themeColor="text1"/>
          <w:szCs w:val="20"/>
        </w:rPr>
        <w:t>es (e.g., metals), and tourism.</w:t>
      </w:r>
      <w:r w:rsidRPr="00647EEB">
        <w:rPr>
          <w:rFonts w:cstheme="minorHAnsi"/>
          <w:color w:val="000000" w:themeColor="text1"/>
          <w:szCs w:val="20"/>
        </w:rPr>
        <w:t xml:space="preserve"> </w:t>
      </w:r>
      <w:r w:rsidR="005E7A18">
        <w:rPr>
          <w:rFonts w:cstheme="minorHAnsi"/>
          <w:color w:val="000000" w:themeColor="text1"/>
          <w:szCs w:val="20"/>
        </w:rPr>
        <w:t>S</w:t>
      </w:r>
      <w:r w:rsidRPr="00647EEB">
        <w:rPr>
          <w:rFonts w:cstheme="minorHAnsi"/>
          <w:color w:val="000000" w:themeColor="text1"/>
          <w:szCs w:val="20"/>
        </w:rPr>
        <w:t>everal other smaller high-value</w:t>
      </w:r>
      <w:r w:rsidR="00AC00DE">
        <w:rPr>
          <w:rFonts w:cstheme="minorHAnsi"/>
          <w:color w:val="000000" w:themeColor="text1"/>
          <w:szCs w:val="20"/>
        </w:rPr>
        <w:t xml:space="preserve"> </w:t>
      </w:r>
      <w:r w:rsidRPr="00647EEB">
        <w:rPr>
          <w:rFonts w:cstheme="minorHAnsi"/>
          <w:color w:val="000000" w:themeColor="text1"/>
          <w:szCs w:val="20"/>
        </w:rPr>
        <w:t>/</w:t>
      </w:r>
      <w:r w:rsidR="00AC00DE">
        <w:rPr>
          <w:rFonts w:cstheme="minorHAnsi"/>
          <w:color w:val="000000" w:themeColor="text1"/>
          <w:szCs w:val="20"/>
        </w:rPr>
        <w:t xml:space="preserve"> </w:t>
      </w:r>
      <w:r w:rsidRPr="00647EEB">
        <w:rPr>
          <w:rFonts w:cstheme="minorHAnsi"/>
          <w:color w:val="000000" w:themeColor="text1"/>
          <w:szCs w:val="20"/>
        </w:rPr>
        <w:t xml:space="preserve">niche manufacturing industries that show some export competitiveness as well (e.g., vehicle parts, military and defense equipment, pharmaceuticals and health products, fashion/apparel, and furniture and housewares).  </w:t>
      </w:r>
    </w:p>
    <w:p w:rsidR="00AC00DE" w:rsidRDefault="00647EEB" w:rsidP="00647EEB">
      <w:pPr>
        <w:rPr>
          <w:rFonts w:cstheme="minorHAnsi"/>
          <w:color w:val="000000" w:themeColor="text1"/>
          <w:szCs w:val="20"/>
        </w:rPr>
      </w:pPr>
      <w:r w:rsidRPr="00647EEB">
        <w:rPr>
          <w:rFonts w:cstheme="minorHAnsi"/>
          <w:color w:val="000000" w:themeColor="text1"/>
          <w:szCs w:val="20"/>
        </w:rPr>
        <w:t>Second, there is a long tradition of creativity in Georgia and, despite the difficulties and costs, some companies ar</w:t>
      </w:r>
      <w:r w:rsidR="00DF1C57">
        <w:rPr>
          <w:rFonts w:cstheme="minorHAnsi"/>
          <w:color w:val="000000" w:themeColor="text1"/>
          <w:szCs w:val="20"/>
        </w:rPr>
        <w:t xml:space="preserve">e indeed innovating today. </w:t>
      </w:r>
      <w:r w:rsidR="00AC00DE">
        <w:rPr>
          <w:rFonts w:cstheme="minorHAnsi"/>
          <w:color w:val="000000" w:themeColor="text1"/>
          <w:szCs w:val="20"/>
        </w:rPr>
        <w:t>Recent years have seen the growth of a mixed local and expat community united around high growth entrepreneurship, along with an emerging group of</w:t>
      </w:r>
      <w:r w:rsidR="005E7A18">
        <w:rPr>
          <w:rFonts w:cstheme="minorHAnsi"/>
          <w:color w:val="000000" w:themeColor="text1"/>
          <w:szCs w:val="20"/>
        </w:rPr>
        <w:t xml:space="preserve"> foreign entrepreneurs choosing to settle in Georgia </w:t>
      </w:r>
      <w:r w:rsidR="00AC00DE">
        <w:rPr>
          <w:rFonts w:cstheme="minorHAnsi"/>
          <w:color w:val="000000" w:themeColor="text1"/>
          <w:szCs w:val="20"/>
        </w:rPr>
        <w:t xml:space="preserve">following </w:t>
      </w:r>
      <w:r w:rsidR="005E7A18">
        <w:rPr>
          <w:rFonts w:cstheme="minorHAnsi"/>
          <w:color w:val="000000" w:themeColor="text1"/>
          <w:szCs w:val="20"/>
        </w:rPr>
        <w:t>the country’s</w:t>
      </w:r>
      <w:r w:rsidR="00AC00DE">
        <w:rPr>
          <w:rFonts w:cstheme="minorHAnsi"/>
          <w:color w:val="000000" w:themeColor="text1"/>
          <w:szCs w:val="20"/>
        </w:rPr>
        <w:t xml:space="preserve"> tourism boom.</w:t>
      </w:r>
    </w:p>
    <w:p w:rsidR="00893C9F" w:rsidRDefault="00647EEB" w:rsidP="00647EEB">
      <w:pPr>
        <w:rPr>
          <w:rFonts w:cstheme="minorHAnsi"/>
          <w:szCs w:val="20"/>
        </w:rPr>
      </w:pPr>
      <w:r w:rsidRPr="0098670D">
        <w:rPr>
          <w:rFonts w:cstheme="minorHAnsi"/>
          <w:szCs w:val="20"/>
        </w:rPr>
        <w:t>Finally, Georgia has a collection of assets and incentives that, together, establish a differentiated p</w:t>
      </w:r>
      <w:r w:rsidR="00DF1C57" w:rsidRPr="0098670D">
        <w:rPr>
          <w:rFonts w:cstheme="minorHAnsi"/>
          <w:szCs w:val="20"/>
        </w:rPr>
        <w:t>osition vis-à-vis its neighbors.</w:t>
      </w:r>
      <w:r w:rsidR="00AC00DE" w:rsidRPr="0098670D">
        <w:rPr>
          <w:rFonts w:cstheme="minorHAnsi"/>
          <w:szCs w:val="20"/>
        </w:rPr>
        <w:t xml:space="preserve"> </w:t>
      </w:r>
      <w:r w:rsidRPr="0098670D">
        <w:rPr>
          <w:rFonts w:cstheme="minorHAnsi"/>
          <w:szCs w:val="20"/>
        </w:rPr>
        <w:t>These differentiating assets are particularly attractive to high-value/low volume manufacturing industries</w:t>
      </w:r>
      <w:r w:rsidR="005E7A18">
        <w:rPr>
          <w:rFonts w:cstheme="minorHAnsi"/>
          <w:szCs w:val="20"/>
        </w:rPr>
        <w:t>, particularly those</w:t>
      </w:r>
      <w:r w:rsidR="001855E4">
        <w:rPr>
          <w:rFonts w:cstheme="minorHAnsi"/>
          <w:szCs w:val="20"/>
        </w:rPr>
        <w:t xml:space="preserve"> that depend on human design and can benefit from Georgia’s movement towards harmonization with European Union (EU) standards</w:t>
      </w:r>
      <w:r w:rsidRPr="0098670D">
        <w:rPr>
          <w:rFonts w:cstheme="minorHAnsi"/>
          <w:szCs w:val="20"/>
        </w:rPr>
        <w:t>. Heavy industry tends to look for access to cheap resources an</w:t>
      </w:r>
      <w:r w:rsidR="0098670D" w:rsidRPr="0098670D">
        <w:rPr>
          <w:rFonts w:cstheme="minorHAnsi"/>
          <w:szCs w:val="20"/>
        </w:rPr>
        <w:t>d proximity to major markets, while s</w:t>
      </w:r>
      <w:r w:rsidRPr="0098670D">
        <w:rPr>
          <w:rFonts w:cstheme="minorHAnsi"/>
          <w:szCs w:val="20"/>
        </w:rPr>
        <w:t>ervices gravitate to places with strong educational systems and a deep</w:t>
      </w:r>
      <w:r w:rsidR="0098670D" w:rsidRPr="0098670D">
        <w:rPr>
          <w:rFonts w:cstheme="minorHAnsi"/>
          <w:szCs w:val="20"/>
        </w:rPr>
        <w:t xml:space="preserve"> pool of highly skilled labor. </w:t>
      </w:r>
      <w:r w:rsidR="00002560" w:rsidRPr="0098670D">
        <w:rPr>
          <w:rFonts w:cstheme="minorHAnsi"/>
          <w:szCs w:val="20"/>
        </w:rPr>
        <w:t>B</w:t>
      </w:r>
      <w:r w:rsidRPr="0098670D">
        <w:rPr>
          <w:rFonts w:cstheme="minorHAnsi"/>
          <w:szCs w:val="20"/>
        </w:rPr>
        <w:t xml:space="preserve">usinesses engaged in the production of goods can benefit disproportionately from the country’s low cost natural resources, free trade agreements, quality standards and low corruption.  </w:t>
      </w:r>
    </w:p>
    <w:p w:rsidR="00893C9F" w:rsidRDefault="00893C9F" w:rsidP="00893C9F">
      <w:pPr>
        <w:pStyle w:val="Heading4"/>
      </w:pPr>
      <w:r>
        <w:t>an innovation Strategy for georgia</w:t>
      </w:r>
    </w:p>
    <w:p w:rsidR="00286ACB" w:rsidRDefault="005E7A18" w:rsidP="00647EEB">
      <w:pPr>
        <w:rPr>
          <w:rFonts w:cstheme="minorHAnsi"/>
          <w:color w:val="000000" w:themeColor="text1"/>
          <w:szCs w:val="20"/>
        </w:rPr>
      </w:pPr>
      <w:r>
        <w:rPr>
          <w:rFonts w:cstheme="minorHAnsi"/>
          <w:szCs w:val="20"/>
        </w:rPr>
        <w:t xml:space="preserve">Bringing these strengths together, Georgia </w:t>
      </w:r>
      <w:r w:rsidR="001855E4">
        <w:rPr>
          <w:rFonts w:cstheme="minorHAnsi"/>
          <w:szCs w:val="20"/>
        </w:rPr>
        <w:t>can</w:t>
      </w:r>
      <w:r>
        <w:rPr>
          <w:rFonts w:cstheme="minorHAnsi"/>
          <w:szCs w:val="20"/>
        </w:rPr>
        <w:t xml:space="preserve"> change the current status quo</w:t>
      </w:r>
      <w:r w:rsidR="001855E4">
        <w:rPr>
          <w:rFonts w:cstheme="minorHAnsi"/>
          <w:szCs w:val="20"/>
        </w:rPr>
        <w:t xml:space="preserve"> around innovation. Prioritizing early investments to support and encourage innovation in high-tech, high-value manufacturing can position these industries to lead the country’s integration in global value chains. A</w:t>
      </w:r>
      <w:r w:rsidR="00647EEB" w:rsidRPr="0098670D">
        <w:rPr>
          <w:rFonts w:cstheme="minorHAnsi"/>
          <w:szCs w:val="20"/>
        </w:rPr>
        <w:t>s companies in these industries innovate more, increase their competitiveness, and push into global markets</w:t>
      </w:r>
      <w:r w:rsidR="00647EEB" w:rsidRPr="00647EEB">
        <w:rPr>
          <w:rFonts w:cstheme="minorHAnsi"/>
          <w:color w:val="000000" w:themeColor="text1"/>
          <w:szCs w:val="20"/>
        </w:rPr>
        <w:t xml:space="preserve">, they will in turn demand a higher level of service from the industries that serve them (e.g., ICT, banking and finance, construction, etc.).  This </w:t>
      </w:r>
      <w:r w:rsidR="00647EEB" w:rsidRPr="00647EEB">
        <w:rPr>
          <w:rFonts w:cstheme="minorHAnsi"/>
          <w:color w:val="000000" w:themeColor="text1"/>
          <w:szCs w:val="20"/>
        </w:rPr>
        <w:lastRenderedPageBreak/>
        <w:t xml:space="preserve">demand will incentivize companies in the service industries to innovate and upgrade their level of service quality in order to retain the business of their increasingly demanding customers.  </w:t>
      </w:r>
    </w:p>
    <w:p w:rsidR="00286ACB" w:rsidRPr="00647EEB" w:rsidRDefault="00286ACB" w:rsidP="00647EEB">
      <w:pPr>
        <w:rPr>
          <w:rFonts w:cstheme="minorHAnsi"/>
          <w:color w:val="000000" w:themeColor="text1"/>
          <w:szCs w:val="20"/>
        </w:rPr>
      </w:pPr>
      <w:r>
        <w:rPr>
          <w:rFonts w:cstheme="minorHAnsi"/>
          <w:szCs w:val="20"/>
        </w:rPr>
        <w:t>Moreover, f</w:t>
      </w:r>
      <w:r w:rsidRPr="00CB64E6">
        <w:rPr>
          <w:rFonts w:cstheme="minorHAnsi"/>
          <w:szCs w:val="20"/>
        </w:rPr>
        <w:t>ocusing on the intersection of manufacturing and design – industrial design</w:t>
      </w:r>
      <w:r>
        <w:rPr>
          <w:rFonts w:cstheme="minorHAnsi"/>
          <w:szCs w:val="20"/>
        </w:rPr>
        <w:t xml:space="preserve"> </w:t>
      </w:r>
      <w:r w:rsidRPr="00CB64E6">
        <w:rPr>
          <w:rFonts w:cstheme="minorHAnsi"/>
          <w:szCs w:val="20"/>
        </w:rPr>
        <w:t xml:space="preserve">– presents an opportunity for Georgia to engage its natural advantages in manufacturing and historically celebrated roots in the arts to build capabilities in the functions core to innovation – both technical and creative. This category of activity has both cultural relevance in its linkages with the creative arts and aesthetics, broad </w:t>
      </w:r>
      <w:r>
        <w:rPr>
          <w:rFonts w:cstheme="minorHAnsi"/>
          <w:szCs w:val="20"/>
        </w:rPr>
        <w:t>application across industries, and can encourage the development of local capabilities prepared to evolve along with technological change.</w:t>
      </w:r>
    </w:p>
    <w:p w:rsidR="00647EEB" w:rsidRPr="00647EEB" w:rsidRDefault="00647EEB" w:rsidP="00647EEB">
      <w:pPr>
        <w:rPr>
          <w:rFonts w:cstheme="minorHAnsi"/>
          <w:color w:val="000000" w:themeColor="text1"/>
          <w:szCs w:val="20"/>
        </w:rPr>
      </w:pPr>
      <w:r w:rsidRPr="00647EEB">
        <w:rPr>
          <w:rFonts w:cstheme="minorHAnsi"/>
          <w:noProof/>
          <w:color w:val="000000" w:themeColor="text1"/>
          <w:szCs w:val="20"/>
        </w:rPr>
        <w:drawing>
          <wp:inline distT="0" distB="0" distL="0" distR="0" wp14:anchorId="3D664C81" wp14:editId="1891BDAB">
            <wp:extent cx="5943600" cy="24618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461895"/>
                    </a:xfrm>
                    <a:prstGeom prst="rect">
                      <a:avLst/>
                    </a:prstGeom>
                  </pic:spPr>
                </pic:pic>
              </a:graphicData>
            </a:graphic>
          </wp:inline>
        </w:drawing>
      </w:r>
    </w:p>
    <w:p w:rsidR="00647EEB" w:rsidRPr="00647EEB" w:rsidRDefault="00647EEB" w:rsidP="00647EEB">
      <w:pPr>
        <w:rPr>
          <w:rFonts w:cstheme="minorHAnsi"/>
          <w:color w:val="000000" w:themeColor="text1"/>
          <w:szCs w:val="20"/>
        </w:rPr>
      </w:pPr>
    </w:p>
    <w:p w:rsidR="001855E4" w:rsidRDefault="00647EEB" w:rsidP="001855E4">
      <w:pPr>
        <w:rPr>
          <w:rFonts w:cstheme="minorHAnsi"/>
          <w:szCs w:val="20"/>
        </w:rPr>
      </w:pPr>
      <w:r w:rsidRPr="0098670D">
        <w:rPr>
          <w:rFonts w:cstheme="minorHAnsi"/>
          <w:szCs w:val="20"/>
        </w:rPr>
        <w:t>To activate this strategy, Georgia’s innovation agenda should put in place incentives</w:t>
      </w:r>
      <w:r w:rsidR="00A53883">
        <w:rPr>
          <w:rFonts w:cstheme="minorHAnsi"/>
          <w:szCs w:val="20"/>
        </w:rPr>
        <w:t xml:space="preserve"> and assets</w:t>
      </w:r>
      <w:r w:rsidRPr="0098670D">
        <w:rPr>
          <w:rFonts w:cstheme="minorHAnsi"/>
          <w:szCs w:val="20"/>
        </w:rPr>
        <w:t xml:space="preserve"> tailored to the needs of these high v</w:t>
      </w:r>
      <w:r w:rsidR="0098670D">
        <w:rPr>
          <w:rFonts w:cstheme="minorHAnsi"/>
          <w:szCs w:val="20"/>
        </w:rPr>
        <w:t>alue manufacturing industries</w:t>
      </w:r>
      <w:r w:rsidR="00286ACB">
        <w:rPr>
          <w:rFonts w:cstheme="minorHAnsi"/>
          <w:szCs w:val="20"/>
        </w:rPr>
        <w:t xml:space="preserve"> and industrial design</w:t>
      </w:r>
      <w:r w:rsidR="00841793">
        <w:rPr>
          <w:rFonts w:cstheme="minorHAnsi"/>
          <w:szCs w:val="20"/>
        </w:rPr>
        <w:t xml:space="preserve">, while similarly encouraging integration with local, growth-oriented businesses, innovators and entrepreneurs. These investments should focus on ten priority areas: </w:t>
      </w:r>
    </w:p>
    <w:p w:rsidR="001855E4" w:rsidRPr="00650828" w:rsidRDefault="002667C2" w:rsidP="00AF7FBA">
      <w:pPr>
        <w:pStyle w:val="Heading4"/>
        <w:rPr>
          <w:b w:val="0"/>
          <w:i/>
          <w:color w:val="auto"/>
        </w:rPr>
      </w:pPr>
      <w:r w:rsidRPr="00650828">
        <w:rPr>
          <w:b w:val="0"/>
          <w:i/>
          <w:caps w:val="0"/>
          <w:color w:val="auto"/>
        </w:rPr>
        <w:t xml:space="preserve">Incentives: </w:t>
      </w:r>
    </w:p>
    <w:p w:rsidR="00A53883" w:rsidRPr="00A53883" w:rsidRDefault="00AF7FBA" w:rsidP="00AF39BA">
      <w:pPr>
        <w:pStyle w:val="ListParagraph"/>
        <w:numPr>
          <w:ilvl w:val="0"/>
          <w:numId w:val="38"/>
        </w:numPr>
        <w:contextualSpacing/>
        <w:rPr>
          <w:rFonts w:cstheme="minorHAnsi"/>
          <w:color w:val="auto"/>
          <w:sz w:val="20"/>
          <w:szCs w:val="20"/>
        </w:rPr>
      </w:pPr>
      <w:r w:rsidRPr="00841793">
        <w:rPr>
          <w:rFonts w:cstheme="minorHAnsi"/>
          <w:b/>
          <w:color w:val="auto"/>
          <w:sz w:val="20"/>
          <w:szCs w:val="20"/>
        </w:rPr>
        <w:t>Upgrading policies and regulations</w:t>
      </w:r>
      <w:r>
        <w:rPr>
          <w:rFonts w:cstheme="minorHAnsi"/>
          <w:color w:val="auto"/>
          <w:sz w:val="20"/>
          <w:szCs w:val="20"/>
        </w:rPr>
        <w:t xml:space="preserve"> to ensure innovators can realize returns</w:t>
      </w:r>
    </w:p>
    <w:p w:rsidR="00A53883" w:rsidRDefault="00AF7FBA" w:rsidP="00AF39BA">
      <w:pPr>
        <w:pStyle w:val="ListParagraph"/>
        <w:numPr>
          <w:ilvl w:val="0"/>
          <w:numId w:val="38"/>
        </w:numPr>
        <w:contextualSpacing/>
        <w:rPr>
          <w:rFonts w:cstheme="minorHAnsi"/>
          <w:color w:val="auto"/>
          <w:sz w:val="20"/>
          <w:szCs w:val="20"/>
        </w:rPr>
      </w:pPr>
      <w:r w:rsidRPr="00841793">
        <w:rPr>
          <w:rFonts w:cstheme="minorHAnsi"/>
          <w:b/>
          <w:color w:val="auto"/>
          <w:sz w:val="20"/>
          <w:szCs w:val="20"/>
        </w:rPr>
        <w:t>Adapting procurement policies</w:t>
      </w:r>
      <w:r>
        <w:rPr>
          <w:rFonts w:cstheme="minorHAnsi"/>
          <w:color w:val="auto"/>
          <w:sz w:val="20"/>
          <w:szCs w:val="20"/>
        </w:rPr>
        <w:t xml:space="preserve"> and standards to promote innovation</w:t>
      </w:r>
    </w:p>
    <w:p w:rsidR="00A53883" w:rsidRDefault="002667C2" w:rsidP="00AF39BA">
      <w:pPr>
        <w:pStyle w:val="ListParagraph"/>
        <w:numPr>
          <w:ilvl w:val="0"/>
          <w:numId w:val="38"/>
        </w:numPr>
        <w:contextualSpacing/>
        <w:rPr>
          <w:rFonts w:cstheme="minorHAnsi"/>
          <w:color w:val="auto"/>
          <w:sz w:val="20"/>
          <w:szCs w:val="20"/>
        </w:rPr>
      </w:pPr>
      <w:r w:rsidRPr="00841793">
        <w:rPr>
          <w:rFonts w:cstheme="minorHAnsi"/>
          <w:b/>
          <w:color w:val="auto"/>
          <w:sz w:val="20"/>
          <w:szCs w:val="20"/>
        </w:rPr>
        <w:t>Upgrading quality standards</w:t>
      </w:r>
      <w:r>
        <w:rPr>
          <w:rFonts w:cstheme="minorHAnsi"/>
          <w:color w:val="auto"/>
          <w:sz w:val="20"/>
          <w:szCs w:val="20"/>
        </w:rPr>
        <w:t xml:space="preserve"> moving towards harmonization with EU and global best practice</w:t>
      </w:r>
    </w:p>
    <w:p w:rsidR="00AF7FBA" w:rsidRPr="00AF7FBA" w:rsidRDefault="00AF7FBA" w:rsidP="00AF39BA">
      <w:pPr>
        <w:pStyle w:val="ListParagraph"/>
        <w:numPr>
          <w:ilvl w:val="0"/>
          <w:numId w:val="38"/>
        </w:numPr>
        <w:contextualSpacing/>
        <w:rPr>
          <w:rFonts w:cstheme="minorHAnsi"/>
          <w:color w:val="auto"/>
          <w:sz w:val="20"/>
          <w:szCs w:val="20"/>
        </w:rPr>
      </w:pPr>
      <w:r w:rsidRPr="00841793">
        <w:rPr>
          <w:rFonts w:cstheme="minorHAnsi"/>
          <w:b/>
          <w:color w:val="auto"/>
          <w:sz w:val="20"/>
          <w:szCs w:val="20"/>
        </w:rPr>
        <w:t>Build</w:t>
      </w:r>
      <w:r w:rsidR="00841793">
        <w:rPr>
          <w:rFonts w:cstheme="minorHAnsi"/>
          <w:b/>
          <w:color w:val="auto"/>
          <w:sz w:val="20"/>
          <w:szCs w:val="20"/>
        </w:rPr>
        <w:t>ing</w:t>
      </w:r>
      <w:r w:rsidRPr="00841793">
        <w:rPr>
          <w:rFonts w:cstheme="minorHAnsi"/>
          <w:b/>
          <w:color w:val="auto"/>
          <w:sz w:val="20"/>
          <w:szCs w:val="20"/>
        </w:rPr>
        <w:t xml:space="preserve"> business linkages</w:t>
      </w:r>
      <w:r>
        <w:rPr>
          <w:rFonts w:cstheme="minorHAnsi"/>
          <w:color w:val="auto"/>
          <w:sz w:val="20"/>
          <w:szCs w:val="20"/>
        </w:rPr>
        <w:t xml:space="preserve"> between domestic companies, foreign investors and companies abroad</w:t>
      </w:r>
    </w:p>
    <w:p w:rsidR="00AF7FBA" w:rsidRPr="00841793" w:rsidRDefault="002667C2" w:rsidP="00AF7FBA">
      <w:pPr>
        <w:pStyle w:val="Heading4"/>
        <w:rPr>
          <w:b w:val="0"/>
          <w:i/>
          <w:color w:val="auto"/>
          <w:szCs w:val="20"/>
        </w:rPr>
      </w:pPr>
      <w:r w:rsidRPr="00841793">
        <w:rPr>
          <w:b w:val="0"/>
          <w:i/>
          <w:caps w:val="0"/>
          <w:color w:val="auto"/>
          <w:szCs w:val="20"/>
        </w:rPr>
        <w:t>Assets</w:t>
      </w:r>
      <w:r w:rsidR="00AF7FBA" w:rsidRPr="00841793">
        <w:rPr>
          <w:b w:val="0"/>
          <w:i/>
          <w:color w:val="auto"/>
          <w:szCs w:val="20"/>
        </w:rPr>
        <w:t>:</w:t>
      </w:r>
    </w:p>
    <w:p w:rsidR="00AF7FBA" w:rsidRPr="00AF7FBA" w:rsidRDefault="00AF7FBA" w:rsidP="00AF39BA">
      <w:pPr>
        <w:pStyle w:val="ListParagraph"/>
        <w:numPr>
          <w:ilvl w:val="0"/>
          <w:numId w:val="38"/>
        </w:numPr>
        <w:contextualSpacing/>
        <w:rPr>
          <w:rFonts w:cstheme="minorHAnsi"/>
          <w:color w:val="auto"/>
          <w:sz w:val="20"/>
          <w:szCs w:val="20"/>
        </w:rPr>
      </w:pPr>
      <w:r w:rsidRPr="00841793">
        <w:rPr>
          <w:rFonts w:cstheme="minorHAnsi"/>
          <w:b/>
          <w:color w:val="auto"/>
          <w:sz w:val="20"/>
          <w:szCs w:val="20"/>
        </w:rPr>
        <w:t>Build</w:t>
      </w:r>
      <w:r w:rsidR="00841793" w:rsidRPr="00841793">
        <w:rPr>
          <w:rFonts w:cstheme="minorHAnsi"/>
          <w:b/>
          <w:color w:val="auto"/>
          <w:sz w:val="20"/>
          <w:szCs w:val="20"/>
        </w:rPr>
        <w:t>ing</w:t>
      </w:r>
      <w:r w:rsidRPr="00841793">
        <w:rPr>
          <w:rFonts w:cstheme="minorHAnsi"/>
          <w:b/>
          <w:color w:val="auto"/>
          <w:sz w:val="20"/>
          <w:szCs w:val="20"/>
        </w:rPr>
        <w:t xml:space="preserve"> a talent pipeline</w:t>
      </w:r>
      <w:r>
        <w:rPr>
          <w:rFonts w:cstheme="minorHAnsi"/>
          <w:color w:val="auto"/>
          <w:sz w:val="20"/>
          <w:szCs w:val="20"/>
        </w:rPr>
        <w:t xml:space="preserve"> of qualified workers at all levels</w:t>
      </w:r>
      <w:r w:rsidR="00841793">
        <w:rPr>
          <w:rFonts w:cstheme="minorHAnsi"/>
          <w:color w:val="auto"/>
          <w:sz w:val="20"/>
          <w:szCs w:val="20"/>
        </w:rPr>
        <w:t xml:space="preserve"> to meet industry needs</w:t>
      </w:r>
    </w:p>
    <w:p w:rsidR="00AF7FBA" w:rsidRPr="00AF7FBA" w:rsidRDefault="00AF7FBA" w:rsidP="00AF39BA">
      <w:pPr>
        <w:pStyle w:val="ListParagraph"/>
        <w:numPr>
          <w:ilvl w:val="0"/>
          <w:numId w:val="38"/>
        </w:numPr>
        <w:contextualSpacing/>
        <w:rPr>
          <w:rFonts w:cstheme="minorHAnsi"/>
          <w:color w:val="auto"/>
          <w:sz w:val="20"/>
          <w:szCs w:val="20"/>
        </w:rPr>
      </w:pPr>
      <w:r w:rsidRPr="00841793">
        <w:rPr>
          <w:rFonts w:cstheme="minorHAnsi"/>
          <w:b/>
          <w:color w:val="auto"/>
          <w:sz w:val="20"/>
          <w:szCs w:val="20"/>
        </w:rPr>
        <w:t>Mainstream</w:t>
      </w:r>
      <w:r w:rsidR="00841793">
        <w:rPr>
          <w:rFonts w:cstheme="minorHAnsi"/>
          <w:b/>
          <w:color w:val="auto"/>
          <w:sz w:val="20"/>
          <w:szCs w:val="20"/>
        </w:rPr>
        <w:t>ing</w:t>
      </w:r>
      <w:r w:rsidRPr="00841793">
        <w:rPr>
          <w:rFonts w:cstheme="minorHAnsi"/>
          <w:b/>
          <w:color w:val="auto"/>
          <w:sz w:val="20"/>
          <w:szCs w:val="20"/>
        </w:rPr>
        <w:t xml:space="preserve"> digital technology</w:t>
      </w:r>
      <w:r w:rsidRPr="00AF7FBA">
        <w:rPr>
          <w:rFonts w:cstheme="minorHAnsi"/>
          <w:color w:val="auto"/>
          <w:sz w:val="20"/>
          <w:szCs w:val="20"/>
        </w:rPr>
        <w:t xml:space="preserve"> uptake among business and the public</w:t>
      </w:r>
    </w:p>
    <w:p w:rsidR="00AF7FBA" w:rsidRDefault="00AF7FBA" w:rsidP="00AF39BA">
      <w:pPr>
        <w:pStyle w:val="ListParagraph"/>
        <w:numPr>
          <w:ilvl w:val="0"/>
          <w:numId w:val="38"/>
        </w:numPr>
        <w:contextualSpacing/>
        <w:rPr>
          <w:rFonts w:cstheme="minorHAnsi"/>
          <w:color w:val="auto"/>
          <w:sz w:val="20"/>
          <w:szCs w:val="20"/>
        </w:rPr>
      </w:pPr>
      <w:r w:rsidRPr="00841793">
        <w:rPr>
          <w:rFonts w:cstheme="minorHAnsi"/>
          <w:b/>
          <w:color w:val="auto"/>
          <w:sz w:val="20"/>
          <w:szCs w:val="20"/>
        </w:rPr>
        <w:t>Expand</w:t>
      </w:r>
      <w:r w:rsidR="00841793">
        <w:rPr>
          <w:rFonts w:cstheme="minorHAnsi"/>
          <w:b/>
          <w:color w:val="auto"/>
          <w:sz w:val="20"/>
          <w:szCs w:val="20"/>
        </w:rPr>
        <w:t>ing</w:t>
      </w:r>
      <w:r w:rsidRPr="00841793">
        <w:rPr>
          <w:rFonts w:cstheme="minorHAnsi"/>
          <w:b/>
          <w:color w:val="auto"/>
          <w:sz w:val="20"/>
          <w:szCs w:val="20"/>
        </w:rPr>
        <w:t xml:space="preserve"> access to finance</w:t>
      </w:r>
      <w:r w:rsidRPr="00AF7FBA">
        <w:rPr>
          <w:rFonts w:cstheme="minorHAnsi"/>
          <w:color w:val="auto"/>
          <w:sz w:val="20"/>
          <w:szCs w:val="20"/>
        </w:rPr>
        <w:t xml:space="preserve"> by </w:t>
      </w:r>
      <w:r>
        <w:rPr>
          <w:rFonts w:cstheme="minorHAnsi"/>
          <w:color w:val="auto"/>
          <w:sz w:val="20"/>
          <w:szCs w:val="20"/>
        </w:rPr>
        <w:t xml:space="preserve">diversifying the portfolio of financial </w:t>
      </w:r>
      <w:r w:rsidRPr="00AF7FBA">
        <w:rPr>
          <w:rFonts w:cstheme="minorHAnsi"/>
          <w:color w:val="auto"/>
          <w:sz w:val="20"/>
          <w:szCs w:val="20"/>
        </w:rPr>
        <w:t xml:space="preserve">products available </w:t>
      </w:r>
      <w:r>
        <w:rPr>
          <w:rFonts w:cstheme="minorHAnsi"/>
          <w:color w:val="auto"/>
          <w:sz w:val="20"/>
          <w:szCs w:val="20"/>
        </w:rPr>
        <w:t>in-</w:t>
      </w:r>
      <w:r w:rsidRPr="00AF7FBA">
        <w:rPr>
          <w:rFonts w:cstheme="minorHAnsi"/>
          <w:color w:val="auto"/>
          <w:sz w:val="20"/>
          <w:szCs w:val="20"/>
        </w:rPr>
        <w:t xml:space="preserve">country </w:t>
      </w:r>
    </w:p>
    <w:p w:rsidR="00AF7FBA" w:rsidRPr="00AF7FBA" w:rsidRDefault="00841793" w:rsidP="00AF39BA">
      <w:pPr>
        <w:pStyle w:val="ListParagraph"/>
        <w:numPr>
          <w:ilvl w:val="0"/>
          <w:numId w:val="38"/>
        </w:numPr>
        <w:contextualSpacing/>
        <w:rPr>
          <w:rFonts w:cstheme="minorHAnsi"/>
          <w:color w:val="auto"/>
          <w:sz w:val="20"/>
          <w:szCs w:val="20"/>
        </w:rPr>
      </w:pPr>
      <w:r>
        <w:rPr>
          <w:rFonts w:cstheme="minorHAnsi"/>
          <w:b/>
          <w:color w:val="auto"/>
          <w:sz w:val="20"/>
          <w:szCs w:val="20"/>
        </w:rPr>
        <w:t>Enabling</w:t>
      </w:r>
      <w:r w:rsidR="00AF7FBA" w:rsidRPr="00841793">
        <w:rPr>
          <w:rFonts w:cstheme="minorHAnsi"/>
          <w:b/>
          <w:color w:val="auto"/>
          <w:sz w:val="20"/>
          <w:szCs w:val="20"/>
        </w:rPr>
        <w:t xml:space="preserve"> entrepreneurs and spinoffs</w:t>
      </w:r>
      <w:r w:rsidR="00AF7FBA" w:rsidRPr="00AF7FBA">
        <w:rPr>
          <w:rFonts w:cstheme="minorHAnsi"/>
          <w:color w:val="auto"/>
          <w:sz w:val="20"/>
          <w:szCs w:val="20"/>
        </w:rPr>
        <w:t xml:space="preserve"> to realize their aims from within Georgia</w:t>
      </w:r>
    </w:p>
    <w:p w:rsidR="00893C9F" w:rsidRDefault="00AF7FBA" w:rsidP="00AF39BA">
      <w:pPr>
        <w:pStyle w:val="ListParagraph"/>
        <w:numPr>
          <w:ilvl w:val="0"/>
          <w:numId w:val="38"/>
        </w:numPr>
        <w:contextualSpacing/>
        <w:rPr>
          <w:rFonts w:cstheme="minorHAnsi"/>
          <w:color w:val="auto"/>
          <w:sz w:val="20"/>
          <w:szCs w:val="20"/>
        </w:rPr>
      </w:pPr>
      <w:r w:rsidRPr="00841793">
        <w:rPr>
          <w:rFonts w:cstheme="minorHAnsi"/>
          <w:b/>
          <w:color w:val="auto"/>
          <w:sz w:val="20"/>
          <w:szCs w:val="20"/>
        </w:rPr>
        <w:t>Creating access to research</w:t>
      </w:r>
      <w:r w:rsidRPr="00AF7FBA">
        <w:rPr>
          <w:rFonts w:cstheme="minorHAnsi"/>
          <w:color w:val="auto"/>
          <w:sz w:val="20"/>
          <w:szCs w:val="20"/>
        </w:rPr>
        <w:t xml:space="preserve"> through partnerships and public-private research collaboration</w:t>
      </w:r>
    </w:p>
    <w:p w:rsidR="00841793" w:rsidRPr="00893C9F" w:rsidRDefault="00841793" w:rsidP="00AF39BA">
      <w:pPr>
        <w:pStyle w:val="ListParagraph"/>
        <w:numPr>
          <w:ilvl w:val="0"/>
          <w:numId w:val="38"/>
        </w:numPr>
        <w:contextualSpacing/>
        <w:rPr>
          <w:rFonts w:cstheme="minorHAnsi"/>
          <w:color w:val="auto"/>
          <w:sz w:val="20"/>
          <w:szCs w:val="20"/>
        </w:rPr>
      </w:pPr>
      <w:r w:rsidRPr="00841793">
        <w:rPr>
          <w:rFonts w:cstheme="minorHAnsi"/>
          <w:b/>
          <w:color w:val="auto"/>
          <w:sz w:val="20"/>
          <w:szCs w:val="20"/>
        </w:rPr>
        <w:t>Encouraging Georgia’s creative culture</w:t>
      </w:r>
      <w:r>
        <w:rPr>
          <w:rFonts w:cstheme="minorHAnsi"/>
          <w:color w:val="auto"/>
          <w:sz w:val="20"/>
          <w:szCs w:val="20"/>
        </w:rPr>
        <w:t xml:space="preserve"> and broadening public awareness of the value of innovation</w:t>
      </w:r>
    </w:p>
    <w:p w:rsidR="00893C9F" w:rsidRDefault="00841793" w:rsidP="00893C9F">
      <w:pPr>
        <w:pStyle w:val="Heading4"/>
      </w:pPr>
      <w:r>
        <w:t>Mobilizing the system</w:t>
      </w:r>
    </w:p>
    <w:p w:rsidR="00647EEB" w:rsidRPr="0098670D" w:rsidRDefault="00647EEB" w:rsidP="00647EEB">
      <w:pPr>
        <w:rPr>
          <w:rFonts w:cstheme="minorHAnsi"/>
          <w:szCs w:val="20"/>
        </w:rPr>
      </w:pPr>
      <w:r w:rsidRPr="0098670D">
        <w:rPr>
          <w:rFonts w:cstheme="minorHAnsi"/>
          <w:szCs w:val="20"/>
        </w:rPr>
        <w:t>A focus on cultivating domestic assets and incentives that cater to Georgia’s existing resources and capabilities is one pathway to encourage innovation over time. Yet this process is likely to be slow and evolutionary, dependent on massive reforms to education, workforce development, infrastructure, etc., all of which require resources. As with capital, as the time to returns increases, so too does the risk. As Georgia moves to catch up with, or leap-frog global innovation, that standard is constantly evolving.</w:t>
      </w:r>
    </w:p>
    <w:p w:rsidR="00647EEB" w:rsidRPr="0098670D" w:rsidRDefault="00647EEB" w:rsidP="00647EEB">
      <w:pPr>
        <w:rPr>
          <w:rFonts w:cstheme="minorHAnsi"/>
          <w:szCs w:val="20"/>
        </w:rPr>
      </w:pPr>
      <w:r w:rsidRPr="0098670D">
        <w:rPr>
          <w:rFonts w:cstheme="minorHAnsi"/>
          <w:szCs w:val="20"/>
        </w:rPr>
        <w:lastRenderedPageBreak/>
        <w:t xml:space="preserve">The question thus becomes, </w:t>
      </w:r>
      <w:r w:rsidRPr="0098670D">
        <w:rPr>
          <w:rFonts w:cstheme="minorHAnsi"/>
          <w:i/>
          <w:szCs w:val="20"/>
        </w:rPr>
        <w:t>how can Georgia accelerate its path to developing an innovation capability?</w:t>
      </w:r>
      <w:r w:rsidRPr="0098670D">
        <w:rPr>
          <w:rFonts w:cstheme="minorHAnsi"/>
          <w:szCs w:val="20"/>
        </w:rPr>
        <w:t xml:space="preserve"> One path many countries (e.g., Ireland, Singapore, Costa Rica, etc.) have pursued to do this is attracting </w:t>
      </w:r>
      <w:r w:rsidR="00841793">
        <w:rPr>
          <w:rFonts w:cstheme="minorHAnsi"/>
          <w:szCs w:val="20"/>
        </w:rPr>
        <w:t>foreign direct investment (</w:t>
      </w:r>
      <w:r w:rsidRPr="0098670D">
        <w:rPr>
          <w:rFonts w:cstheme="minorHAnsi"/>
          <w:szCs w:val="20"/>
        </w:rPr>
        <w:t>FDI</w:t>
      </w:r>
      <w:r w:rsidR="00841793">
        <w:rPr>
          <w:rFonts w:cstheme="minorHAnsi"/>
          <w:szCs w:val="20"/>
        </w:rPr>
        <w:t>)</w:t>
      </w:r>
      <w:r w:rsidRPr="0098670D">
        <w:rPr>
          <w:rFonts w:cstheme="minorHAnsi"/>
          <w:szCs w:val="20"/>
        </w:rPr>
        <w:t xml:space="preserve"> into key industries.  FDI attraction is already one of Georgia’s strengths</w:t>
      </w:r>
      <w:r w:rsidR="00841793">
        <w:rPr>
          <w:rFonts w:cstheme="minorHAnsi"/>
          <w:szCs w:val="20"/>
        </w:rPr>
        <w:t xml:space="preserve">, with national rates </w:t>
      </w:r>
      <w:r w:rsidRPr="0098670D">
        <w:rPr>
          <w:rFonts w:cstheme="minorHAnsi"/>
          <w:szCs w:val="20"/>
        </w:rPr>
        <w:t xml:space="preserve">among the highest of </w:t>
      </w:r>
      <w:r w:rsidR="00841793">
        <w:rPr>
          <w:rFonts w:cstheme="minorHAnsi"/>
          <w:szCs w:val="20"/>
        </w:rPr>
        <w:t xml:space="preserve">European and Central Asian (ECA) </w:t>
      </w:r>
      <w:r w:rsidRPr="0098670D">
        <w:rPr>
          <w:rFonts w:cstheme="minorHAnsi"/>
          <w:szCs w:val="20"/>
        </w:rPr>
        <w:t xml:space="preserve">countries.  Growing an innovation capability through FDI requires focusing on “the right kind” of FDI from companies with a proven track-record of investing in and developing the communities where the operate (see figure below). </w:t>
      </w:r>
    </w:p>
    <w:p w:rsidR="00647EEB" w:rsidRPr="00647EEB" w:rsidRDefault="00647EEB" w:rsidP="00647EEB">
      <w:pPr>
        <w:rPr>
          <w:rFonts w:cstheme="minorHAnsi"/>
          <w:color w:val="000000" w:themeColor="text1"/>
          <w:szCs w:val="20"/>
        </w:rPr>
      </w:pPr>
      <w:r w:rsidRPr="00647EEB">
        <w:rPr>
          <w:rFonts w:cstheme="minorHAnsi"/>
          <w:noProof/>
          <w:color w:val="000000" w:themeColor="text1"/>
          <w:szCs w:val="20"/>
        </w:rPr>
        <w:drawing>
          <wp:inline distT="0" distB="0" distL="0" distR="0" wp14:anchorId="7BE04DD5" wp14:editId="6716D572">
            <wp:extent cx="5943600" cy="215011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150110"/>
                    </a:xfrm>
                    <a:prstGeom prst="rect">
                      <a:avLst/>
                    </a:prstGeom>
                  </pic:spPr>
                </pic:pic>
              </a:graphicData>
            </a:graphic>
          </wp:inline>
        </w:drawing>
      </w:r>
    </w:p>
    <w:p w:rsidR="00647EEB" w:rsidRPr="00647EEB" w:rsidRDefault="00647EEB" w:rsidP="00647EEB">
      <w:pPr>
        <w:rPr>
          <w:rFonts w:cstheme="minorHAnsi"/>
          <w:color w:val="000000" w:themeColor="text1"/>
          <w:szCs w:val="20"/>
        </w:rPr>
      </w:pPr>
    </w:p>
    <w:p w:rsidR="00841793" w:rsidRDefault="00647EEB" w:rsidP="00647EEB">
      <w:pPr>
        <w:rPr>
          <w:rFonts w:cstheme="minorHAnsi"/>
          <w:color w:val="000000" w:themeColor="text1"/>
          <w:szCs w:val="20"/>
        </w:rPr>
      </w:pPr>
      <w:r w:rsidRPr="00647EEB">
        <w:rPr>
          <w:rFonts w:cstheme="minorHAnsi"/>
          <w:color w:val="000000" w:themeColor="text1"/>
          <w:szCs w:val="20"/>
        </w:rPr>
        <w:t>Over time, the effects of FDI and resulting ventures spread across the economy. Companies encouraged to procure locally invest in suppliers’ development, which – in building the capabilities to serve the company’s supply chain – improve productivity and gain exposure to global markets. Often companies produce spinoffs</w:t>
      </w:r>
      <w:r w:rsidRPr="00647EEB">
        <w:rPr>
          <w:rStyle w:val="FootnoteReference"/>
          <w:rFonts w:cstheme="minorHAnsi"/>
          <w:color w:val="000000" w:themeColor="text1"/>
          <w:szCs w:val="20"/>
        </w:rPr>
        <w:footnoteReference w:id="4"/>
      </w:r>
      <w:r w:rsidRPr="00647EEB">
        <w:rPr>
          <w:rFonts w:cstheme="minorHAnsi"/>
          <w:color w:val="000000" w:themeColor="text1"/>
          <w:szCs w:val="20"/>
        </w:rPr>
        <w:t xml:space="preserve"> that directly lead to new local businesses in related industries. By demanding sophisticated products and services ranging to software, to finance to talent recruitment they create a market that encourages and enables upgrading and innovation in these industries as well. As increased global exposure and trade strengthens awareness of the Georgian brand abroad, all industries have easier paths to integrate into global supply chains, laying the fo</w:t>
      </w:r>
      <w:r w:rsidR="00841793">
        <w:rPr>
          <w:rFonts w:cstheme="minorHAnsi"/>
          <w:color w:val="000000" w:themeColor="text1"/>
          <w:szCs w:val="20"/>
        </w:rPr>
        <w:t>undation for future innovation.</w:t>
      </w:r>
    </w:p>
    <w:p w:rsidR="00841793" w:rsidRDefault="00841793" w:rsidP="00841793">
      <w:pPr>
        <w:pStyle w:val="Heading4"/>
      </w:pPr>
      <w:r>
        <w:t>the path forward</w:t>
      </w:r>
    </w:p>
    <w:p w:rsidR="00647EEB" w:rsidRPr="00647EEB" w:rsidRDefault="00647EEB" w:rsidP="00647EEB">
      <w:pPr>
        <w:rPr>
          <w:rFonts w:cstheme="minorHAnsi"/>
          <w:color w:val="000000" w:themeColor="text1"/>
          <w:szCs w:val="20"/>
        </w:rPr>
      </w:pPr>
      <w:r w:rsidRPr="00647EEB">
        <w:rPr>
          <w:rFonts w:cstheme="minorHAnsi"/>
          <w:color w:val="000000" w:themeColor="text1"/>
          <w:szCs w:val="20"/>
        </w:rPr>
        <w:t>Georgia is at a pivotal moment where innovation is no more simply an aspiration, but a broad economic imperative. The past decade’s surge in tourism, investment into infrastructure, and trade agreements have catalyzed a new wave of resources and economic activity in the country and created a huge opportunity; whether that momentum can be directed towards transforming Georgia into an enabling platform for innovation in the next 5 years to 2025 will have a tremendous impact on the country’s economic trajectory for decades to come.</w:t>
      </w:r>
    </w:p>
    <w:p w:rsidR="00647EEB" w:rsidRPr="00647EEB" w:rsidRDefault="00647EEB" w:rsidP="00647EEB">
      <w:pPr>
        <w:spacing w:after="240"/>
        <w:rPr>
          <w:rFonts w:cstheme="minorHAnsi"/>
          <w:i/>
          <w:color w:val="000000" w:themeColor="text1"/>
          <w:szCs w:val="20"/>
        </w:rPr>
      </w:pPr>
      <w:r w:rsidRPr="00647EEB">
        <w:rPr>
          <w:rFonts w:cstheme="minorHAnsi"/>
          <w:i/>
          <w:color w:val="000000" w:themeColor="text1"/>
          <w:szCs w:val="20"/>
        </w:rPr>
        <w:t>Georgia’s success boils down to three main concepts:</w:t>
      </w:r>
    </w:p>
    <w:p w:rsidR="00647EEB" w:rsidRPr="00647EEB" w:rsidRDefault="00647EEB" w:rsidP="00AF39BA">
      <w:pPr>
        <w:pStyle w:val="ListParagraph"/>
        <w:numPr>
          <w:ilvl w:val="0"/>
          <w:numId w:val="11"/>
        </w:numPr>
        <w:autoSpaceDE/>
        <w:autoSpaceDN/>
        <w:adjustRightInd/>
        <w:spacing w:before="0" w:after="240" w:line="259" w:lineRule="auto"/>
        <w:contextualSpacing/>
        <w:rPr>
          <w:rFonts w:cstheme="minorHAnsi"/>
          <w:color w:val="000000" w:themeColor="text1"/>
          <w:sz w:val="20"/>
          <w:szCs w:val="20"/>
        </w:rPr>
      </w:pPr>
      <w:r w:rsidRPr="00647EEB">
        <w:rPr>
          <w:rFonts w:cstheme="minorHAnsi"/>
          <w:b/>
          <w:color w:val="000000" w:themeColor="text1"/>
          <w:sz w:val="20"/>
          <w:szCs w:val="20"/>
        </w:rPr>
        <w:t xml:space="preserve">Government’s role is to create the conditions that drive companies to choose to innovate: </w:t>
      </w:r>
      <w:r w:rsidRPr="00647EEB">
        <w:rPr>
          <w:rFonts w:cstheme="minorHAnsi"/>
          <w:color w:val="000000" w:themeColor="text1"/>
          <w:sz w:val="20"/>
          <w:szCs w:val="20"/>
        </w:rPr>
        <w:t>this means developing the assets and incentives that influence this choice, and then allowing companies to operate</w:t>
      </w:r>
    </w:p>
    <w:p w:rsidR="00647EEB" w:rsidRPr="00647EEB" w:rsidRDefault="00647EEB" w:rsidP="00AF39BA">
      <w:pPr>
        <w:pStyle w:val="ListParagraph"/>
        <w:numPr>
          <w:ilvl w:val="0"/>
          <w:numId w:val="11"/>
        </w:numPr>
        <w:autoSpaceDE/>
        <w:autoSpaceDN/>
        <w:adjustRightInd/>
        <w:spacing w:before="0" w:after="240" w:line="259" w:lineRule="auto"/>
        <w:contextualSpacing/>
        <w:rPr>
          <w:rFonts w:cstheme="minorHAnsi"/>
          <w:color w:val="000000" w:themeColor="text1"/>
          <w:sz w:val="20"/>
          <w:szCs w:val="20"/>
        </w:rPr>
      </w:pPr>
      <w:r w:rsidRPr="00647EEB">
        <w:rPr>
          <w:rFonts w:cstheme="minorHAnsi"/>
          <w:b/>
          <w:color w:val="000000" w:themeColor="text1"/>
          <w:sz w:val="20"/>
          <w:szCs w:val="20"/>
        </w:rPr>
        <w:t>Breaking into global value chains is a critical step to sustaining innovation, and requires focus on the country’s existing strengths:</w:t>
      </w:r>
      <w:r w:rsidRPr="00647EEB">
        <w:rPr>
          <w:rFonts w:cstheme="minorHAnsi"/>
          <w:color w:val="000000" w:themeColor="text1"/>
          <w:sz w:val="20"/>
          <w:szCs w:val="20"/>
        </w:rPr>
        <w:t xml:space="preserve"> High value manufacturing, including food and beverage, and industrial design represent industries that can lead the country to broad-based innovation</w:t>
      </w:r>
    </w:p>
    <w:p w:rsidR="00647EEB" w:rsidRPr="00647EEB" w:rsidRDefault="00647EEB" w:rsidP="00AF39BA">
      <w:pPr>
        <w:pStyle w:val="ListParagraph"/>
        <w:numPr>
          <w:ilvl w:val="0"/>
          <w:numId w:val="11"/>
        </w:numPr>
        <w:autoSpaceDE/>
        <w:autoSpaceDN/>
        <w:adjustRightInd/>
        <w:spacing w:before="0" w:after="240" w:line="259" w:lineRule="auto"/>
        <w:contextualSpacing/>
        <w:rPr>
          <w:rFonts w:cstheme="minorHAnsi"/>
          <w:color w:val="000000" w:themeColor="text1"/>
          <w:sz w:val="20"/>
          <w:szCs w:val="20"/>
        </w:rPr>
      </w:pPr>
      <w:r w:rsidRPr="00647EEB">
        <w:rPr>
          <w:rFonts w:cstheme="minorHAnsi"/>
          <w:b/>
          <w:color w:val="000000" w:themeColor="text1"/>
          <w:sz w:val="20"/>
          <w:szCs w:val="20"/>
        </w:rPr>
        <w:lastRenderedPageBreak/>
        <w:t>Attracting FDI can help accelerate the country’s path to becoming an innovation economy:</w:t>
      </w:r>
      <w:r w:rsidRPr="00647EEB">
        <w:rPr>
          <w:rFonts w:cstheme="minorHAnsi"/>
          <w:color w:val="000000" w:themeColor="text1"/>
          <w:sz w:val="20"/>
          <w:szCs w:val="20"/>
        </w:rPr>
        <w:t xml:space="preserve"> The “right kind of FDI’ can rapidly scale the supply of and demand for innovation incentives and assets, thereby catalyzing the system.</w:t>
      </w:r>
    </w:p>
    <w:p w:rsidR="00647EEB" w:rsidRPr="00647EEB" w:rsidRDefault="00647EEB" w:rsidP="00647EEB">
      <w:pPr>
        <w:spacing w:after="240"/>
        <w:rPr>
          <w:rFonts w:cstheme="minorHAnsi"/>
          <w:color w:val="000000" w:themeColor="text1"/>
          <w:szCs w:val="20"/>
        </w:rPr>
      </w:pPr>
      <w:r w:rsidRPr="00647EEB">
        <w:rPr>
          <w:rFonts w:cstheme="minorHAnsi"/>
          <w:color w:val="000000" w:themeColor="text1"/>
          <w:szCs w:val="20"/>
        </w:rPr>
        <w:t>Over the years to 2025, the Georgian government, private and civil sector must work together according to this framework to address foundational gaps and build the specialized architecture to foster creativity and innovation.</w:t>
      </w:r>
    </w:p>
    <w:p w:rsidR="00A76ED9" w:rsidRDefault="00D70F7A" w:rsidP="009E238C">
      <w:pPr>
        <w:pStyle w:val="Heading1"/>
      </w:pPr>
      <w:bookmarkStart w:id="23" w:name="_Toc535608367"/>
      <w:r>
        <w:lastRenderedPageBreak/>
        <w:t>Introduction, backround and methodology</w:t>
      </w:r>
      <w:bookmarkEnd w:id="23"/>
    </w:p>
    <w:p w:rsidR="00D70F7A" w:rsidRPr="002126B1" w:rsidRDefault="00D70F7A" w:rsidP="002126B1">
      <w:pPr>
        <w:pStyle w:val="Heading2"/>
      </w:pPr>
      <w:bookmarkStart w:id="24" w:name="_Toc535608368"/>
      <w:r w:rsidRPr="002126B1">
        <w:t>Introduction: The impetus to innovate</w:t>
      </w:r>
      <w:bookmarkEnd w:id="24"/>
    </w:p>
    <w:p w:rsidR="00D70F7A" w:rsidRPr="00D70F7A" w:rsidRDefault="00D70F7A" w:rsidP="00CB64E6">
      <w:pPr>
        <w:pStyle w:val="NoSpacing"/>
        <w:spacing w:before="120" w:after="120" w:line="269" w:lineRule="auto"/>
        <w:rPr>
          <w:rFonts w:cstheme="minorHAnsi"/>
          <w:sz w:val="20"/>
          <w:szCs w:val="20"/>
        </w:rPr>
      </w:pPr>
      <w:r w:rsidRPr="00D70F7A">
        <w:rPr>
          <w:rFonts w:cstheme="minorHAnsi"/>
          <w:sz w:val="20"/>
          <w:szCs w:val="20"/>
        </w:rPr>
        <w:t>Despite periods of regional instability and the global recession, Georgia experienced strong economic growth over the last two decades. A combination of economic and political reforms enabled strong growth, established institutions, increased the standard of living, and helped the country achieve upper-middle income status. Having reaped the gains of these reforms however, growth has overall slowed, down from an average of nearly 8% per year in the decade prior to the 2008 recession, to less than 5% per year in the decade since</w:t>
      </w:r>
      <w:r w:rsidRPr="00D70F7A">
        <w:rPr>
          <w:rStyle w:val="FootnoteReference"/>
          <w:rFonts w:cstheme="minorHAnsi"/>
          <w:sz w:val="20"/>
          <w:szCs w:val="20"/>
        </w:rPr>
        <w:footnoteReference w:id="5"/>
      </w:r>
      <w:r w:rsidRPr="00D70F7A">
        <w:rPr>
          <w:rFonts w:cstheme="minorHAnsi"/>
          <w:sz w:val="20"/>
          <w:szCs w:val="20"/>
        </w:rPr>
        <w:t xml:space="preserve"> and similar projections through 2023.</w:t>
      </w:r>
      <w:r w:rsidRPr="00D70F7A">
        <w:rPr>
          <w:rStyle w:val="FootnoteReference"/>
          <w:rFonts w:cstheme="minorHAnsi"/>
          <w:sz w:val="20"/>
          <w:szCs w:val="20"/>
        </w:rPr>
        <w:footnoteReference w:id="6"/>
      </w:r>
      <w:r w:rsidRPr="00D70F7A">
        <w:rPr>
          <w:rFonts w:cstheme="minorHAnsi"/>
          <w:sz w:val="20"/>
          <w:szCs w:val="20"/>
        </w:rPr>
        <w:t xml:space="preserve"> Faced with a contracting population, increased deficit spending and widening inequality,</w:t>
      </w:r>
      <w:r w:rsidRPr="00D70F7A">
        <w:rPr>
          <w:rStyle w:val="FootnoteReference"/>
          <w:rFonts w:cstheme="minorHAnsi"/>
          <w:sz w:val="20"/>
          <w:szCs w:val="20"/>
        </w:rPr>
        <w:footnoteReference w:id="7"/>
      </w:r>
      <w:r w:rsidRPr="00D70F7A">
        <w:rPr>
          <w:rFonts w:cstheme="minorHAnsi"/>
          <w:sz w:val="20"/>
          <w:szCs w:val="20"/>
        </w:rPr>
        <w:t xml:space="preserve"> Georgia must move beyond the initial waves of reform and pursue a more strategic set of policies for the long term. Continued economic development and growth in prosperity depends on the country’s ability to help its companies upgrade and improve their performance – to innovate.</w:t>
      </w:r>
    </w:p>
    <w:p w:rsidR="00D70F7A" w:rsidRPr="00D70F7A" w:rsidRDefault="00D70F7A" w:rsidP="00CB64E6">
      <w:pPr>
        <w:pStyle w:val="NoSpacing"/>
        <w:spacing w:before="120" w:after="120" w:line="269" w:lineRule="auto"/>
        <w:rPr>
          <w:rFonts w:cstheme="minorHAnsi"/>
          <w:sz w:val="20"/>
          <w:szCs w:val="20"/>
        </w:rPr>
      </w:pPr>
      <w:r w:rsidRPr="00D70F7A">
        <w:rPr>
          <w:rFonts w:cstheme="minorHAnsi"/>
          <w:sz w:val="20"/>
          <w:szCs w:val="20"/>
        </w:rPr>
        <w:t>Today, Georgia is innovating in pockets. Individual businesses across diverse parts of the economy are adapting global best practices to the Georgian context and creating new products, production processes, and client-facing services. These cases prove innovation is possible in Georgia.  At the same time, a range of barriers in the enabling environment limit the breadth and depth of innovation across the economy.  A national innovation strategy must address these barriers.</w:t>
      </w:r>
    </w:p>
    <w:p w:rsidR="00D70F7A" w:rsidRPr="00D70F7A" w:rsidRDefault="00D70F7A" w:rsidP="002126B1">
      <w:pPr>
        <w:pStyle w:val="Heading2"/>
      </w:pPr>
      <w:bookmarkStart w:id="25" w:name="_Toc535608369"/>
      <w:r w:rsidRPr="00073076">
        <w:t>Innovation</w:t>
      </w:r>
      <w:bookmarkStart w:id="26" w:name="_Toc522224203"/>
      <w:r w:rsidRPr="00073076">
        <w:t xml:space="preserve"> – A Framework</w:t>
      </w:r>
      <w:r w:rsidRPr="00073076">
        <w:rPr>
          <w:rStyle w:val="FootnoteReference"/>
          <w:rFonts w:asciiTheme="minorHAnsi" w:hAnsiTheme="minorHAnsi" w:cstheme="minorHAnsi"/>
        </w:rPr>
        <w:footnoteReference w:id="8"/>
      </w:r>
      <w:bookmarkEnd w:id="25"/>
      <w:bookmarkEnd w:id="26"/>
    </w:p>
    <w:p w:rsidR="00D70F7A" w:rsidRPr="00D70F7A" w:rsidRDefault="00D70F7A" w:rsidP="00D70F7A">
      <w:pPr>
        <w:rPr>
          <w:rFonts w:cstheme="minorHAnsi"/>
          <w:i/>
          <w:szCs w:val="20"/>
        </w:rPr>
      </w:pPr>
      <w:r w:rsidRPr="00D70F7A">
        <w:rPr>
          <w:rFonts w:cstheme="minorHAnsi"/>
          <w:szCs w:val="20"/>
        </w:rPr>
        <w:t>Innovation at its core is about creating new products, services and ways of bringing them to market.</w:t>
      </w:r>
      <w:r w:rsidRPr="00D70F7A">
        <w:rPr>
          <w:rFonts w:cstheme="minorHAnsi"/>
          <w:i/>
          <w:szCs w:val="20"/>
        </w:rPr>
        <w:t xml:space="preserve"> </w:t>
      </w:r>
      <w:r w:rsidRPr="00D70F7A">
        <w:rPr>
          <w:rFonts w:cstheme="minorHAnsi"/>
          <w:szCs w:val="20"/>
        </w:rPr>
        <w:t>Some of the most exciting and impactful innovations in our world today are new te</w:t>
      </w:r>
      <w:r w:rsidR="00D134F0">
        <w:rPr>
          <w:rFonts w:cstheme="minorHAnsi"/>
          <w:szCs w:val="20"/>
        </w:rPr>
        <w:t>chnologies</w:t>
      </w:r>
      <w:r w:rsidRPr="00D70F7A">
        <w:rPr>
          <w:rFonts w:cstheme="minorHAnsi"/>
          <w:szCs w:val="20"/>
        </w:rPr>
        <w:t xml:space="preserve"> discovered, developed, and delivered by young start-up enterprises – Bill Gates of Microsoft, or Jeff Bezos of Amazon are two globally-known examples.  By just as much impact is coming from non-tech innovations and established companies. Major car manufacturers like Volvo or Honda have been responsible for some of the largest gains in autonomous and electric vehicles, as have global pharmaceutical manufacturers contributed to breakthroughs in medicine. Pringles disrupted the potato chip industry by offering an alternative form and packaging, while Unilever has made billions from product and delivery innovation to reach the world’s poor with basic food and supplies. In assessing where a country should focus its innovation investments, one must cast a wide net, looking for opportunities not just in new industries, but in its traditional ones as well.</w:t>
      </w:r>
    </w:p>
    <w:p w:rsidR="00D70F7A" w:rsidRPr="00D70F7A" w:rsidRDefault="00D70F7A" w:rsidP="00D70F7A">
      <w:pPr>
        <w:rPr>
          <w:rFonts w:cstheme="minorHAnsi"/>
          <w:szCs w:val="20"/>
        </w:rPr>
      </w:pPr>
      <w:r w:rsidRPr="00D70F7A">
        <w:rPr>
          <w:rFonts w:cstheme="minorHAnsi"/>
          <w:szCs w:val="20"/>
        </w:rPr>
        <w:t>While virtually any type of organization – governments, non-profits, firms, etc. – can innovate, it is for-profit companies that use innovation to create new wealth and increase the prosperity of their workers, owners, and broader population.  For companies, innovation is a choice. Executives can forgo investments in innovation and instead choose to return profits to owners and workers; alternatively, they might invest not in innovation, but in imitating better practices they have observed in other companies.  Finally, they can of course choose to invest capital in developing new and novel production processes, products and services, or ways of bringing them to market – in innovation.  Company innovation can take on a range of forms and happens in every industry. Whether the result is a digital platform to hire a taxi, a new category of wine, or a more efficient way to process factory waste that conserves resources, each is the result of a company’s decision to invest in defining, building, testing and deploying that innovation.</w:t>
      </w:r>
    </w:p>
    <w:p w:rsidR="00D70F7A" w:rsidRPr="00D70F7A" w:rsidRDefault="00D70F7A" w:rsidP="00D70F7A">
      <w:pPr>
        <w:rPr>
          <w:rFonts w:cstheme="minorHAnsi"/>
          <w:szCs w:val="20"/>
        </w:rPr>
      </w:pPr>
    </w:p>
    <w:p w:rsidR="00D70F7A" w:rsidRPr="00D70F7A" w:rsidRDefault="00D70F7A" w:rsidP="00D70F7A">
      <w:pPr>
        <w:rPr>
          <w:rFonts w:cstheme="minorHAnsi"/>
          <w:szCs w:val="20"/>
        </w:rPr>
      </w:pPr>
      <w:r w:rsidRPr="00D70F7A">
        <w:rPr>
          <w:rFonts w:cstheme="minorHAnsi"/>
          <w:szCs w:val="20"/>
        </w:rPr>
        <w:lastRenderedPageBreak/>
        <w:t xml:space="preserve">In making and executing on these decisions, companies respond to </w:t>
      </w:r>
      <w:r w:rsidRPr="00D70F7A">
        <w:rPr>
          <w:rFonts w:cstheme="minorHAnsi"/>
          <w:b/>
          <w:szCs w:val="20"/>
        </w:rPr>
        <w:t xml:space="preserve">incentives </w:t>
      </w:r>
      <w:r w:rsidRPr="00D70F7A">
        <w:rPr>
          <w:rFonts w:cstheme="minorHAnsi"/>
          <w:szCs w:val="20"/>
        </w:rPr>
        <w:t xml:space="preserve">that create the desire or need to innovate, and draw from </w:t>
      </w:r>
      <w:r w:rsidRPr="00D70F7A">
        <w:rPr>
          <w:rFonts w:cstheme="minorHAnsi"/>
          <w:b/>
          <w:szCs w:val="20"/>
        </w:rPr>
        <w:t>assets</w:t>
      </w:r>
      <w:r w:rsidRPr="00D70F7A">
        <w:rPr>
          <w:rFonts w:cstheme="minorHAnsi"/>
          <w:szCs w:val="20"/>
        </w:rPr>
        <w:t xml:space="preserve"> in the environment that provide the inputs to innovation. These fall into five</w:t>
      </w:r>
      <w:r>
        <w:rPr>
          <w:rFonts w:cstheme="minorHAnsi"/>
          <w:szCs w:val="20"/>
        </w:rPr>
        <w:t xml:space="preserve"> main categories:</w:t>
      </w:r>
    </w:p>
    <w:p w:rsidR="00D70F7A" w:rsidRPr="00D70F7A" w:rsidRDefault="00D70F7A" w:rsidP="00D70F7A">
      <w:pPr>
        <w:rPr>
          <w:rFonts w:cstheme="minorHAnsi"/>
          <w:b/>
          <w:i/>
          <w:szCs w:val="20"/>
        </w:rPr>
      </w:pPr>
      <w:r w:rsidRPr="00D70F7A">
        <w:rPr>
          <w:rFonts w:cstheme="minorHAnsi"/>
          <w:i/>
          <w:szCs w:val="20"/>
        </w:rPr>
        <w:t>Assets</w:t>
      </w:r>
      <w:r w:rsidRPr="00D70F7A">
        <w:rPr>
          <w:rFonts w:cstheme="minorHAnsi"/>
          <w:b/>
          <w:i/>
          <w:szCs w:val="20"/>
        </w:rPr>
        <w:t>:</w:t>
      </w:r>
    </w:p>
    <w:p w:rsidR="00D70F7A" w:rsidRPr="00D70F7A" w:rsidRDefault="00D70F7A" w:rsidP="00AF39BA">
      <w:pPr>
        <w:pStyle w:val="ListParagraph"/>
        <w:numPr>
          <w:ilvl w:val="0"/>
          <w:numId w:val="13"/>
        </w:numPr>
        <w:autoSpaceDE/>
        <w:autoSpaceDN/>
        <w:adjustRightInd/>
        <w:spacing w:before="0" w:after="160" w:line="259" w:lineRule="auto"/>
        <w:contextualSpacing/>
        <w:rPr>
          <w:rFonts w:cstheme="minorHAnsi"/>
          <w:color w:val="auto"/>
          <w:sz w:val="20"/>
          <w:szCs w:val="20"/>
        </w:rPr>
      </w:pPr>
      <w:r w:rsidRPr="00D70F7A">
        <w:rPr>
          <w:rFonts w:cstheme="minorHAnsi"/>
          <w:b/>
          <w:color w:val="auto"/>
          <w:sz w:val="20"/>
          <w:szCs w:val="20"/>
        </w:rPr>
        <w:t>Inputs:</w:t>
      </w:r>
      <w:r w:rsidRPr="00D70F7A">
        <w:rPr>
          <w:rFonts w:cstheme="minorHAnsi"/>
          <w:color w:val="auto"/>
          <w:sz w:val="20"/>
          <w:szCs w:val="20"/>
        </w:rPr>
        <w:t xml:space="preserve"> Companies must be able to access the capital, talent, knowledge and other resources that enable them to translate concepts into tangible innovations and bring them to scale;</w:t>
      </w:r>
    </w:p>
    <w:p w:rsidR="00D70F7A" w:rsidRPr="00D70F7A" w:rsidRDefault="00D70F7A" w:rsidP="00AF39BA">
      <w:pPr>
        <w:pStyle w:val="ListParagraph"/>
        <w:numPr>
          <w:ilvl w:val="0"/>
          <w:numId w:val="13"/>
        </w:numPr>
        <w:autoSpaceDE/>
        <w:autoSpaceDN/>
        <w:adjustRightInd/>
        <w:spacing w:before="0" w:after="160" w:line="259" w:lineRule="auto"/>
        <w:contextualSpacing/>
        <w:rPr>
          <w:rFonts w:cstheme="minorHAnsi"/>
          <w:color w:val="auto"/>
          <w:sz w:val="20"/>
          <w:szCs w:val="20"/>
        </w:rPr>
      </w:pPr>
      <w:r w:rsidRPr="00D70F7A">
        <w:rPr>
          <w:rFonts w:cstheme="minorHAnsi"/>
          <w:b/>
          <w:color w:val="auto"/>
          <w:sz w:val="20"/>
          <w:szCs w:val="20"/>
        </w:rPr>
        <w:t>Supporting industry:</w:t>
      </w:r>
      <w:r w:rsidRPr="00D70F7A">
        <w:rPr>
          <w:rFonts w:cstheme="minorHAnsi"/>
          <w:color w:val="auto"/>
          <w:sz w:val="20"/>
          <w:szCs w:val="20"/>
        </w:rPr>
        <w:t xml:space="preserve"> Whether companies can access capabilities outside their core business (e.g., valuation and legal services in the case of a bank) influences their decision to pursue new innovation.</w:t>
      </w:r>
      <w:r w:rsidRPr="00D70F7A">
        <w:rPr>
          <w:rStyle w:val="FootnoteReference"/>
          <w:rFonts w:cstheme="minorHAnsi"/>
          <w:color w:val="auto"/>
          <w:sz w:val="20"/>
          <w:szCs w:val="20"/>
        </w:rPr>
        <w:footnoteReference w:id="9"/>
      </w:r>
    </w:p>
    <w:p w:rsidR="00D70F7A" w:rsidRPr="00D70F7A" w:rsidRDefault="00D70F7A" w:rsidP="00D70F7A">
      <w:pPr>
        <w:rPr>
          <w:rFonts w:cstheme="minorHAnsi"/>
          <w:i/>
          <w:szCs w:val="20"/>
        </w:rPr>
      </w:pPr>
      <w:r w:rsidRPr="00D70F7A">
        <w:rPr>
          <w:rFonts w:cstheme="minorHAnsi"/>
          <w:i/>
          <w:szCs w:val="20"/>
        </w:rPr>
        <w:t>Incentives:</w:t>
      </w:r>
    </w:p>
    <w:p w:rsidR="00D70F7A" w:rsidRPr="00D70F7A" w:rsidRDefault="00D70F7A" w:rsidP="00AF39BA">
      <w:pPr>
        <w:pStyle w:val="ListParagraph"/>
        <w:numPr>
          <w:ilvl w:val="0"/>
          <w:numId w:val="12"/>
        </w:numPr>
        <w:autoSpaceDE/>
        <w:autoSpaceDN/>
        <w:adjustRightInd/>
        <w:spacing w:before="0" w:after="160" w:line="259" w:lineRule="auto"/>
        <w:contextualSpacing/>
        <w:rPr>
          <w:rFonts w:cstheme="minorHAnsi"/>
          <w:color w:val="auto"/>
          <w:sz w:val="20"/>
          <w:szCs w:val="20"/>
        </w:rPr>
      </w:pPr>
      <w:r w:rsidRPr="00D70F7A">
        <w:rPr>
          <w:rFonts w:cstheme="minorHAnsi"/>
          <w:b/>
          <w:color w:val="auto"/>
          <w:sz w:val="20"/>
          <w:szCs w:val="20"/>
        </w:rPr>
        <w:t>Market opportunity:</w:t>
      </w:r>
      <w:r w:rsidRPr="00D70F7A">
        <w:rPr>
          <w:rFonts w:cstheme="minorHAnsi"/>
          <w:color w:val="auto"/>
          <w:sz w:val="20"/>
          <w:szCs w:val="20"/>
        </w:rPr>
        <w:t xml:space="preserve"> Companies must be able to identify an opportunity to serve a new market that is both sufficient in scale and value and is also untapped or can be feasibly captured;  </w:t>
      </w:r>
    </w:p>
    <w:p w:rsidR="00D70F7A" w:rsidRPr="00D70F7A" w:rsidRDefault="00D70F7A" w:rsidP="00AF39BA">
      <w:pPr>
        <w:pStyle w:val="ListParagraph"/>
        <w:numPr>
          <w:ilvl w:val="0"/>
          <w:numId w:val="12"/>
        </w:numPr>
        <w:autoSpaceDE/>
        <w:autoSpaceDN/>
        <w:adjustRightInd/>
        <w:spacing w:before="0" w:after="160" w:line="259" w:lineRule="auto"/>
        <w:contextualSpacing/>
        <w:rPr>
          <w:rFonts w:cstheme="minorHAnsi"/>
          <w:color w:val="auto"/>
          <w:sz w:val="20"/>
          <w:szCs w:val="20"/>
        </w:rPr>
      </w:pPr>
      <w:r w:rsidRPr="00D70F7A">
        <w:rPr>
          <w:rFonts w:cstheme="minorHAnsi"/>
          <w:b/>
          <w:color w:val="auto"/>
          <w:sz w:val="20"/>
          <w:szCs w:val="20"/>
        </w:rPr>
        <w:t>Threat of loss:</w:t>
      </w:r>
      <w:r w:rsidRPr="00D70F7A">
        <w:rPr>
          <w:rFonts w:cstheme="minorHAnsi"/>
          <w:color w:val="auto"/>
          <w:sz w:val="20"/>
          <w:szCs w:val="20"/>
        </w:rPr>
        <w:t xml:space="preserve"> Veritable threats from new or existing competitors push companies to improve efficiency or differentiate to preserve or expand their market share; by contrast, the absence of competition (e.g., the presence of a monopoly) often leads to complacency and stunts innovation.</w:t>
      </w:r>
    </w:p>
    <w:p w:rsidR="00D70F7A" w:rsidRPr="00D70F7A" w:rsidRDefault="00D70F7A" w:rsidP="00AF39BA">
      <w:pPr>
        <w:pStyle w:val="ListParagraph"/>
        <w:numPr>
          <w:ilvl w:val="0"/>
          <w:numId w:val="12"/>
        </w:numPr>
        <w:autoSpaceDE/>
        <w:autoSpaceDN/>
        <w:adjustRightInd/>
        <w:spacing w:before="0" w:after="160" w:line="259" w:lineRule="auto"/>
        <w:contextualSpacing/>
        <w:rPr>
          <w:rFonts w:cstheme="minorHAnsi"/>
          <w:color w:val="auto"/>
          <w:sz w:val="20"/>
          <w:szCs w:val="20"/>
        </w:rPr>
      </w:pPr>
      <w:r w:rsidRPr="00D70F7A">
        <w:rPr>
          <w:rFonts w:cstheme="minorHAnsi"/>
          <w:b/>
          <w:color w:val="auto"/>
          <w:sz w:val="20"/>
          <w:szCs w:val="20"/>
        </w:rPr>
        <w:t xml:space="preserve">Assurances of returns: </w:t>
      </w:r>
      <w:r w:rsidRPr="00D70F7A">
        <w:rPr>
          <w:rFonts w:cstheme="minorHAnsi"/>
          <w:color w:val="auto"/>
          <w:sz w:val="20"/>
          <w:szCs w:val="20"/>
        </w:rPr>
        <w:t>Companies must trust that protections are in place – laws, enforcement mechanisms, general market stability, etc. – such that they will be able to realize returns in the future on investments they make in the present.</w:t>
      </w:r>
    </w:p>
    <w:p w:rsidR="00437EE3" w:rsidRDefault="00D70F7A" w:rsidP="00D70F7A">
      <w:pPr>
        <w:rPr>
          <w:rFonts w:cstheme="minorHAnsi"/>
        </w:rPr>
      </w:pPr>
      <w:r w:rsidRPr="00073076">
        <w:rPr>
          <w:rFonts w:cstheme="minorHAnsi"/>
          <w:noProof/>
        </w:rPr>
        <mc:AlternateContent>
          <mc:Choice Requires="wps">
            <w:drawing>
              <wp:anchor distT="45720" distB="45720" distL="114300" distR="114300" simplePos="0" relativeHeight="251665920" behindDoc="0" locked="0" layoutInCell="1" allowOverlap="1" wp14:anchorId="10BCE4DB" wp14:editId="39A46CBE">
                <wp:simplePos x="0" y="0"/>
                <wp:positionH relativeFrom="margin">
                  <wp:posOffset>-24130</wp:posOffset>
                </wp:positionH>
                <wp:positionV relativeFrom="paragraph">
                  <wp:posOffset>221615</wp:posOffset>
                </wp:positionV>
                <wp:extent cx="5927725" cy="2743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725" cy="2743200"/>
                        </a:xfrm>
                        <a:prstGeom prst="rect">
                          <a:avLst/>
                        </a:prstGeom>
                        <a:solidFill>
                          <a:schemeClr val="bg1"/>
                        </a:solidFill>
                        <a:ln w="9525">
                          <a:noFill/>
                          <a:miter lim="800000"/>
                          <a:headEnd/>
                          <a:tailEnd/>
                        </a:ln>
                      </wps:spPr>
                      <wps:txbx>
                        <w:txbxContent>
                          <w:p w:rsidR="00826B2C" w:rsidRPr="00CB64E6" w:rsidRDefault="00826B2C" w:rsidP="00437EE3">
                            <w:pPr>
                              <w:pStyle w:val="Heading4"/>
                              <w:rPr>
                                <w:rFonts w:cs="Arial"/>
                              </w:rPr>
                            </w:pPr>
                            <w:bookmarkStart w:id="27" w:name="_Toc533078394"/>
                            <w:r w:rsidRPr="00CB64E6">
                              <w:t>Figure 1.1: Incentives and Assets to drive innovation</w:t>
                            </w:r>
                            <w:bookmarkEnd w:id="27"/>
                          </w:p>
                          <w:p w:rsidR="00826B2C" w:rsidRPr="00695F1E" w:rsidRDefault="00826B2C" w:rsidP="004350AC">
                            <w:pPr>
                              <w:jc w:val="center"/>
                              <w:rPr>
                                <w:rFonts w:cstheme="minorHAnsi"/>
                              </w:rPr>
                            </w:pPr>
                            <w:r w:rsidRPr="00695F1E">
                              <w:rPr>
                                <w:rFonts w:cstheme="minorHAnsi"/>
                                <w:noProof/>
                              </w:rPr>
                              <w:drawing>
                                <wp:inline distT="0" distB="0" distL="0" distR="0" wp14:anchorId="4A66BE54" wp14:editId="62A076F4">
                                  <wp:extent cx="5923762" cy="2204114"/>
                                  <wp:effectExtent l="0" t="0" r="1270" b="571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23762" cy="2204114"/>
                                          </a:xfrm>
                                          <a:prstGeom prst="rect">
                                            <a:avLst/>
                                          </a:prstGeom>
                                          <a:noFill/>
                                          <a:ln>
                                            <a:noFill/>
                                          </a:ln>
                                        </pic:spPr>
                                      </pic:pic>
                                    </a:graphicData>
                                  </a:graphic>
                                </wp:inline>
                              </w:drawing>
                            </w:r>
                          </w:p>
                          <w:p w:rsidR="00826B2C" w:rsidRPr="00695F1E" w:rsidRDefault="00826B2C" w:rsidP="00D70F7A">
                            <w:pPr>
                              <w:rPr>
                                <w:rFonts w:cstheme="minorHAnsi"/>
                              </w:rPr>
                            </w:pPr>
                          </w:p>
                          <w:p w:rsidR="00826B2C" w:rsidRPr="00695F1E" w:rsidRDefault="00826B2C" w:rsidP="00D70F7A">
                            <w:pPr>
                              <w:rPr>
                                <w:rFonts w:cstheme="minorHAnsi"/>
                              </w:rPr>
                            </w:pPr>
                          </w:p>
                          <w:p w:rsidR="00826B2C" w:rsidRPr="00695F1E" w:rsidRDefault="00826B2C" w:rsidP="00D70F7A">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BCE4DB" id="_x0000_s1029" type="#_x0000_t202" style="position:absolute;margin-left:-1.9pt;margin-top:17.45pt;width:466.75pt;height:3in;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" fillcolor="white [3212]" stroked="f">
                <v:textbox>
                  <w:txbxContent>
                    <w:p w:rsidR="00826B2C" w:rsidRPr="00CB64E6" w:rsidRDefault="00826B2C" w:rsidP="00437EE3">
                      <w:pPr>
                        <w:pStyle w:val="Heading4"/>
                        <w:rPr>
                          <w:rFonts w:cs="Arial"/>
                        </w:rPr>
                      </w:pPr>
                      <w:bookmarkStart w:id="29" w:name="_Toc533078394"/>
                      <w:r w:rsidRPr="00CB64E6">
                        <w:t>Figure 1.1: Incentives and Assets to drive innovation</w:t>
                      </w:r>
                      <w:bookmarkEnd w:id="29"/>
                    </w:p>
                    <w:p w:rsidR="00826B2C" w:rsidRPr="00695F1E" w:rsidRDefault="00826B2C" w:rsidP="004350AC">
                      <w:pPr>
                        <w:jc w:val="center"/>
                        <w:rPr>
                          <w:rFonts w:cstheme="minorHAnsi"/>
                        </w:rPr>
                      </w:pPr>
                      <w:r w:rsidRPr="00695F1E">
                        <w:rPr>
                          <w:rFonts w:cstheme="minorHAnsi"/>
                          <w:noProof/>
                        </w:rPr>
                        <w:drawing>
                          <wp:inline distT="0" distB="0" distL="0" distR="0" wp14:anchorId="4A66BE54" wp14:editId="62A076F4">
                            <wp:extent cx="5923762" cy="2204114"/>
                            <wp:effectExtent l="0" t="0" r="1270" b="571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3762" cy="2204114"/>
                                    </a:xfrm>
                                    <a:prstGeom prst="rect">
                                      <a:avLst/>
                                    </a:prstGeom>
                                    <a:noFill/>
                                    <a:ln>
                                      <a:noFill/>
                                    </a:ln>
                                  </pic:spPr>
                                </pic:pic>
                              </a:graphicData>
                            </a:graphic>
                          </wp:inline>
                        </w:drawing>
                      </w:r>
                    </w:p>
                    <w:p w:rsidR="00826B2C" w:rsidRPr="00695F1E" w:rsidRDefault="00826B2C" w:rsidP="00D70F7A">
                      <w:pPr>
                        <w:rPr>
                          <w:rFonts w:cstheme="minorHAnsi"/>
                        </w:rPr>
                      </w:pPr>
                    </w:p>
                    <w:p w:rsidR="00826B2C" w:rsidRPr="00695F1E" w:rsidRDefault="00826B2C" w:rsidP="00D70F7A">
                      <w:pPr>
                        <w:rPr>
                          <w:rFonts w:cstheme="minorHAnsi"/>
                        </w:rPr>
                      </w:pPr>
                    </w:p>
                    <w:p w:rsidR="00826B2C" w:rsidRPr="00695F1E" w:rsidRDefault="00826B2C" w:rsidP="00D70F7A">
                      <w:pPr>
                        <w:rPr>
                          <w:rFonts w:cstheme="minorHAnsi"/>
                        </w:rPr>
                      </w:pPr>
                    </w:p>
                  </w:txbxContent>
                </v:textbox>
                <w10:wrap type="square" anchorx="margin"/>
              </v:shape>
            </w:pict>
          </mc:Fallback>
        </mc:AlternateContent>
      </w:r>
    </w:p>
    <w:p w:rsidR="00437EE3" w:rsidRDefault="00437EE3" w:rsidP="00D70F7A">
      <w:pPr>
        <w:rPr>
          <w:rFonts w:cstheme="minorHAnsi"/>
        </w:rPr>
      </w:pPr>
    </w:p>
    <w:p w:rsidR="00D70F7A" w:rsidRPr="00073076" w:rsidRDefault="00D70F7A" w:rsidP="00D70F7A">
      <w:pPr>
        <w:rPr>
          <w:rFonts w:cstheme="minorHAnsi"/>
        </w:rPr>
      </w:pPr>
      <w:r w:rsidRPr="00073076">
        <w:rPr>
          <w:rFonts w:cstheme="minorHAnsi"/>
        </w:rPr>
        <w:t>The presence of these factors in the economy influences how firms calculate the potential returns and risks of investing in innovation in the short, medium and long-term. Together they constitute an integrated system whereby companies look to capture opportunities for growth, and have access to the resources and support they</w:t>
      </w:r>
      <w:r w:rsidR="00CB64E6">
        <w:rPr>
          <w:rFonts w:cstheme="minorHAnsi"/>
        </w:rPr>
        <w:t xml:space="preserve"> need to realize this ambition.</w:t>
      </w:r>
    </w:p>
    <w:p w:rsidR="00D70F7A" w:rsidRDefault="00D70F7A" w:rsidP="00D70F7A">
      <w:pPr>
        <w:rPr>
          <w:rFonts w:cstheme="minorHAnsi"/>
        </w:rPr>
      </w:pPr>
      <w:r>
        <w:rPr>
          <w:rFonts w:cstheme="minorHAnsi"/>
        </w:rPr>
        <w:t>W</w:t>
      </w:r>
      <w:r w:rsidRPr="00073076">
        <w:rPr>
          <w:rFonts w:cstheme="minorHAnsi"/>
        </w:rPr>
        <w:t xml:space="preserve">hile companies are the primary agents that choose whether and how to innovate, </w:t>
      </w:r>
      <w:r w:rsidRPr="00073076">
        <w:rPr>
          <w:rFonts w:cstheme="minorHAnsi"/>
          <w:b/>
        </w:rPr>
        <w:t>government plays a key role in putting in place good incentives and assets</w:t>
      </w:r>
      <w:r w:rsidRPr="00073076">
        <w:rPr>
          <w:rFonts w:cstheme="minorHAnsi"/>
        </w:rPr>
        <w:t xml:space="preserve">.  Laws, regulations and government behavior establish key incentives to innovate, or not (e.g., low levels of corruption encourage companies to put capital back into the business to generate long-term gains).  Government resource allocation heavily influences the availability of assets for innovation (e.g., education and training programs, trade policies and access to foreign markets, </w:t>
      </w:r>
      <w:r w:rsidRPr="00073076">
        <w:rPr>
          <w:rFonts w:cstheme="minorHAnsi"/>
        </w:rPr>
        <w:lastRenderedPageBreak/>
        <w:t xml:space="preserve">procurement policies, etc.).  Then, crucially, government must “get out of the way” and enable companies to make specific business decisions about </w:t>
      </w:r>
      <w:r>
        <w:rPr>
          <w:rFonts w:cstheme="minorHAnsi"/>
        </w:rPr>
        <w:t xml:space="preserve">whether and </w:t>
      </w:r>
      <w:r w:rsidRPr="00073076">
        <w:rPr>
          <w:rFonts w:cstheme="minorHAnsi"/>
        </w:rPr>
        <w:t xml:space="preserve">how they wish to innovate.  </w:t>
      </w:r>
    </w:p>
    <w:p w:rsidR="00D70F7A" w:rsidRPr="00CB64E6" w:rsidRDefault="00D70F7A" w:rsidP="00D70F7A">
      <w:pPr>
        <w:rPr>
          <w:rFonts w:cstheme="minorHAnsi"/>
        </w:rPr>
      </w:pPr>
      <w:r w:rsidRPr="00073076">
        <w:rPr>
          <w:rFonts w:cstheme="minorHAnsi"/>
        </w:rPr>
        <w:t xml:space="preserve">Among industries, those most capable of driving sustained innovation are </w:t>
      </w:r>
      <w:r w:rsidRPr="00073076">
        <w:rPr>
          <w:rFonts w:cstheme="minorHAnsi"/>
          <w:b/>
        </w:rPr>
        <w:t>tradable industries.</w:t>
      </w:r>
      <w:r w:rsidRPr="00073076">
        <w:rPr>
          <w:rStyle w:val="FootnoteReference"/>
          <w:rFonts w:cstheme="minorHAnsi"/>
        </w:rPr>
        <w:footnoteReference w:id="10"/>
      </w:r>
      <w:r w:rsidRPr="00073076">
        <w:rPr>
          <w:rFonts w:cstheme="minorHAnsi"/>
          <w:b/>
        </w:rPr>
        <w:t xml:space="preserve"> </w:t>
      </w:r>
      <w:r w:rsidRPr="00073076">
        <w:rPr>
          <w:rFonts w:cstheme="minorHAnsi"/>
        </w:rPr>
        <w:t xml:space="preserve">Tradeable industries are those that export into foreign markets, </w:t>
      </w:r>
      <w:r w:rsidR="006F7C2A" w:rsidRPr="00073076">
        <w:rPr>
          <w:rFonts w:cstheme="minorHAnsi"/>
        </w:rPr>
        <w:t>and</w:t>
      </w:r>
      <w:r w:rsidRPr="00073076">
        <w:rPr>
          <w:rFonts w:cstheme="minorHAnsi"/>
        </w:rPr>
        <w:t xml:space="preserve"> face competition from foreign imports.  Companies in these industries have strong incentives to innovate to keep up with the global competition and innovation is much more likely to occur in these types of industries. A national innovation strategy should focus effort on tradable industries in which a country can be both globally competitive and achieve a sizeable impact on the dome</w:t>
      </w:r>
      <w:r w:rsidR="00CB64E6">
        <w:rPr>
          <w:rFonts w:cstheme="minorHAnsi"/>
        </w:rPr>
        <w:t>stic economy.</w:t>
      </w:r>
    </w:p>
    <w:p w:rsidR="00D70F7A" w:rsidRPr="00CB64E6" w:rsidRDefault="00D70F7A" w:rsidP="00D70F7A">
      <w:pPr>
        <w:rPr>
          <w:rFonts w:cstheme="minorHAnsi"/>
        </w:rPr>
      </w:pPr>
      <w:r>
        <w:rPr>
          <w:rFonts w:cstheme="minorHAnsi"/>
        </w:rPr>
        <w:t>C</w:t>
      </w:r>
      <w:r w:rsidRPr="00073076">
        <w:rPr>
          <w:rFonts w:cstheme="minorHAnsi"/>
        </w:rPr>
        <w:t xml:space="preserve">ompanies located in close geographic proximity to other like and supporting industry players have easier, cheaper access to a greater variety of assets and incentives to innovate and therefore are more likely to do so. </w:t>
      </w:r>
      <w:r w:rsidRPr="002E4785">
        <w:rPr>
          <w:rFonts w:cstheme="minorHAnsi"/>
          <w:b/>
        </w:rPr>
        <w:t>Concentrations of businesses</w:t>
      </w:r>
      <w:r w:rsidRPr="00073076">
        <w:rPr>
          <w:rFonts w:cstheme="minorHAnsi"/>
        </w:rPr>
        <w:t xml:space="preserve"> create the opportunity for them to benefit from shared infrastructure, such as logistic facilities, public testing labs or university research centers, that would other be uneconomical to develop for a single company on its own. They create opportunities for knowledge exchange that can lead to new ideas and innovations, either via the movement of talent between companies or platforms for collaboration such as industry associations. They can also increase exposure to competition and lower costs to market discovery, strengtheni</w:t>
      </w:r>
      <w:r w:rsidR="00CB64E6">
        <w:rPr>
          <w:rFonts w:cstheme="minorHAnsi"/>
        </w:rPr>
        <w:t xml:space="preserve">ng incentives for innovation.  </w:t>
      </w:r>
    </w:p>
    <w:p w:rsidR="00D70F7A" w:rsidRPr="00073076" w:rsidRDefault="00D70F7A" w:rsidP="00D70F7A">
      <w:pPr>
        <w:rPr>
          <w:rFonts w:cstheme="minorHAnsi"/>
        </w:rPr>
      </w:pPr>
      <w:r w:rsidRPr="00073076">
        <w:rPr>
          <w:rFonts w:cstheme="minorHAnsi"/>
        </w:rPr>
        <w:t xml:space="preserve">Georgia’s national innovation strategy must focus the government on building the right incentives and assets that are tailored to the needs of tradable industries that are both sizeable enough to have an impact on the economy, and competitive enough that they can win in global markets.  Then, government must step away, allow these forces to work and let Georgian companies make decisions </w:t>
      </w:r>
      <w:r>
        <w:rPr>
          <w:rFonts w:cstheme="minorHAnsi"/>
        </w:rPr>
        <w:t>about</w:t>
      </w:r>
      <w:r w:rsidRPr="00073076">
        <w:rPr>
          <w:rFonts w:cstheme="minorHAnsi"/>
        </w:rPr>
        <w:t xml:space="preserve"> when and where to invest in innovation.  </w:t>
      </w:r>
    </w:p>
    <w:p w:rsidR="00A76ED9" w:rsidRDefault="00A76ED9" w:rsidP="00A76ED9"/>
    <w:p w:rsidR="00CB64E6" w:rsidRDefault="001E45F5" w:rsidP="00CB64E6">
      <w:pPr>
        <w:pStyle w:val="Heading1"/>
      </w:pPr>
      <w:bookmarkStart w:id="28" w:name="_Toc535608370"/>
      <w:r>
        <w:lastRenderedPageBreak/>
        <w:t>findin</w:t>
      </w:r>
      <w:r w:rsidR="00CB64E6">
        <w:t>GS</w:t>
      </w:r>
      <w:bookmarkEnd w:id="28"/>
    </w:p>
    <w:p w:rsidR="00CB64E6" w:rsidRPr="00CB64E6" w:rsidRDefault="00CB64E6" w:rsidP="002126B1">
      <w:pPr>
        <w:pStyle w:val="Heading2"/>
      </w:pPr>
      <w:bookmarkStart w:id="29" w:name="_Toc535608371"/>
      <w:r w:rsidRPr="00CB64E6">
        <w:t>INNOVATION IN GEORGIA TODAY</w:t>
      </w:r>
      <w:bookmarkEnd w:id="29"/>
    </w:p>
    <w:p w:rsidR="00CB64E6" w:rsidRPr="00CB64E6" w:rsidRDefault="00CB64E6" w:rsidP="00CB64E6">
      <w:pPr>
        <w:spacing w:beforeLines="120" w:before="288" w:afterLines="120" w:after="288"/>
        <w:rPr>
          <w:rFonts w:cstheme="minorHAnsi"/>
          <w:szCs w:val="20"/>
        </w:rPr>
      </w:pPr>
      <w:r w:rsidRPr="00CB64E6">
        <w:rPr>
          <w:rFonts w:cstheme="minorHAnsi"/>
          <w:szCs w:val="20"/>
        </w:rPr>
        <w:t>Georgia has a long history of creativity and innovation. Renowned for its historical leaders in the sciences, arts and literature – such as aviation engineer Alexander Kartveli, physiologist Ivan Beritashvili, or scientists Revaz Dogonadze – Georgia was a center of academic pursuit and cinematography for nearly a century prior to the collapse of the Soviet Union. Georgians continue to be key contributors to leading science and innovation agencies to this day, such as CERN (European Organization for Nuclear Research) and a number of Europe’s leading research institutes</w:t>
      </w:r>
      <w:r w:rsidRPr="00CB64E6">
        <w:rPr>
          <w:rStyle w:val="FootnoteReference"/>
          <w:rFonts w:cstheme="minorHAnsi"/>
          <w:szCs w:val="20"/>
        </w:rPr>
        <w:footnoteReference w:id="11"/>
      </w:r>
      <w:r w:rsidRPr="00CB64E6">
        <w:rPr>
          <w:rFonts w:cstheme="minorHAnsi"/>
          <w:szCs w:val="20"/>
        </w:rPr>
        <w:t>. Recent years have seen the re-emergence of an arts and entrepreneurial community focused on celebrating this history and the value of creativity in Georgian society. Around the country, a new generation of young people are turning towards entrepreneurship as a path towards independence and fulfillment. The 2014 establishment of the Georgia Innovation and Technology Agency (GITA) represented a pivotal move by government to harness and catalyze the country’s innovation potential.</w:t>
      </w:r>
    </w:p>
    <w:p w:rsidR="00CB64E6" w:rsidRPr="00CB64E6" w:rsidRDefault="00CB64E6" w:rsidP="00CB64E6">
      <w:pPr>
        <w:spacing w:beforeLines="120" w:before="288" w:afterLines="120" w:after="288"/>
        <w:rPr>
          <w:rFonts w:cstheme="minorHAnsi"/>
          <w:szCs w:val="20"/>
        </w:rPr>
      </w:pPr>
      <w:r w:rsidRPr="00CB64E6">
        <w:rPr>
          <w:rFonts w:cstheme="minorHAnsi"/>
          <w:szCs w:val="20"/>
        </w:rPr>
        <w:t>Yet after a tumultuous emergence from the former Soviet Union, Georgia’s enabling environment for innovation has some important weak points. After several decades of government focus on stabilizing the economy, navigating relationships with separatist movements, combatting corruption and instituting aggressive policy reforms to open the country for business, domestic innovation assets and incentives have understandably received less attention and support than they otherwise would have.  Key issues include:</w:t>
      </w:r>
    </w:p>
    <w:p w:rsidR="00CB64E6" w:rsidRPr="00CB64E6" w:rsidRDefault="00CB64E6" w:rsidP="00CB64E6">
      <w:pPr>
        <w:spacing w:beforeLines="120" w:before="288" w:afterLines="120" w:after="288"/>
        <w:rPr>
          <w:rFonts w:cstheme="minorHAnsi"/>
          <w:i/>
          <w:szCs w:val="20"/>
        </w:rPr>
      </w:pPr>
      <w:r w:rsidRPr="00CB64E6">
        <w:rPr>
          <w:rFonts w:cstheme="minorHAnsi"/>
          <w:i/>
          <w:noProof/>
          <w:szCs w:val="20"/>
        </w:rPr>
        <mc:AlternateContent>
          <mc:Choice Requires="wps">
            <w:drawing>
              <wp:anchor distT="45720" distB="45720" distL="114300" distR="114300" simplePos="0" relativeHeight="251667968" behindDoc="0" locked="0" layoutInCell="1" allowOverlap="1" wp14:anchorId="2852D203" wp14:editId="0C4F8B65">
                <wp:simplePos x="0" y="0"/>
                <wp:positionH relativeFrom="margin">
                  <wp:posOffset>3676650</wp:posOffset>
                </wp:positionH>
                <wp:positionV relativeFrom="paragraph">
                  <wp:posOffset>16510</wp:posOffset>
                </wp:positionV>
                <wp:extent cx="2255520" cy="2752725"/>
                <wp:effectExtent l="0" t="0" r="0" b="952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2752725"/>
                        </a:xfrm>
                        <a:prstGeom prst="rect">
                          <a:avLst/>
                        </a:prstGeom>
                        <a:solidFill>
                          <a:schemeClr val="accent3">
                            <a:lumMod val="40000"/>
                            <a:lumOff val="60000"/>
                          </a:schemeClr>
                        </a:solidFill>
                        <a:ln w="9525">
                          <a:noFill/>
                          <a:miter lim="800000"/>
                          <a:headEnd/>
                          <a:tailEnd/>
                        </a:ln>
                      </wps:spPr>
                      <wps:txbx>
                        <w:txbxContent>
                          <w:p w:rsidR="00826B2C" w:rsidRPr="004E141E" w:rsidRDefault="00826B2C" w:rsidP="00CB64E6">
                            <w:pPr>
                              <w:rPr>
                                <w:b/>
                              </w:rPr>
                            </w:pPr>
                            <w:bookmarkStart w:id="30" w:name="_Toc533078783"/>
                            <w:r w:rsidRPr="004E141E">
                              <w:rPr>
                                <w:b/>
                              </w:rPr>
                              <w:t>Key weaknesses limiting innovation in Georgia</w:t>
                            </w:r>
                            <w:bookmarkEnd w:id="30"/>
                            <w:r w:rsidRPr="004E141E">
                              <w:rPr>
                                <w:b/>
                              </w:rPr>
                              <w:t xml:space="preserve"> </w:t>
                            </w:r>
                          </w:p>
                          <w:p w:rsidR="00826B2C" w:rsidRPr="00CB64E6" w:rsidRDefault="00826B2C" w:rsidP="00CB64E6">
                            <w:pPr>
                              <w:rPr>
                                <w:b/>
                                <w:szCs w:val="20"/>
                              </w:rPr>
                            </w:pPr>
                            <w:r w:rsidRPr="00CB64E6">
                              <w:rPr>
                                <w:b/>
                                <w:szCs w:val="20"/>
                              </w:rPr>
                              <w:t>Assets:</w:t>
                            </w:r>
                          </w:p>
                          <w:p w:rsidR="00826B2C" w:rsidRPr="00CB64E6" w:rsidRDefault="00826B2C" w:rsidP="00AF39BA">
                            <w:pPr>
                              <w:pStyle w:val="ListParagraph"/>
                              <w:numPr>
                                <w:ilvl w:val="0"/>
                                <w:numId w:val="18"/>
                              </w:numPr>
                              <w:autoSpaceDE/>
                              <w:autoSpaceDN/>
                              <w:adjustRightInd/>
                              <w:spacing w:before="0" w:after="160" w:line="259" w:lineRule="auto"/>
                              <w:contextualSpacing/>
                              <w:rPr>
                                <w:color w:val="auto"/>
                                <w:sz w:val="20"/>
                                <w:szCs w:val="20"/>
                              </w:rPr>
                            </w:pPr>
                            <w:r w:rsidRPr="00CB64E6">
                              <w:rPr>
                                <w:color w:val="auto"/>
                                <w:sz w:val="20"/>
                                <w:szCs w:val="20"/>
                              </w:rPr>
                              <w:t>Education system &amp; talent pool</w:t>
                            </w:r>
                          </w:p>
                          <w:p w:rsidR="00826B2C" w:rsidRPr="00CB64E6" w:rsidRDefault="00826B2C" w:rsidP="00AF39BA">
                            <w:pPr>
                              <w:pStyle w:val="ListParagraph"/>
                              <w:numPr>
                                <w:ilvl w:val="0"/>
                                <w:numId w:val="18"/>
                              </w:numPr>
                              <w:autoSpaceDE/>
                              <w:autoSpaceDN/>
                              <w:adjustRightInd/>
                              <w:spacing w:before="0" w:after="160" w:line="259" w:lineRule="auto"/>
                              <w:contextualSpacing/>
                              <w:rPr>
                                <w:color w:val="auto"/>
                                <w:sz w:val="20"/>
                                <w:szCs w:val="20"/>
                              </w:rPr>
                            </w:pPr>
                            <w:r w:rsidRPr="00CB64E6">
                              <w:rPr>
                                <w:color w:val="auto"/>
                                <w:sz w:val="20"/>
                                <w:szCs w:val="20"/>
                              </w:rPr>
                              <w:t>Research capability</w:t>
                            </w:r>
                          </w:p>
                          <w:p w:rsidR="00826B2C" w:rsidRPr="00CB64E6" w:rsidRDefault="00826B2C" w:rsidP="00AF39BA">
                            <w:pPr>
                              <w:pStyle w:val="ListParagraph"/>
                              <w:numPr>
                                <w:ilvl w:val="0"/>
                                <w:numId w:val="18"/>
                              </w:numPr>
                              <w:autoSpaceDE/>
                              <w:autoSpaceDN/>
                              <w:adjustRightInd/>
                              <w:spacing w:before="0" w:after="160" w:line="259" w:lineRule="auto"/>
                              <w:contextualSpacing/>
                              <w:rPr>
                                <w:color w:val="auto"/>
                                <w:sz w:val="20"/>
                                <w:szCs w:val="20"/>
                              </w:rPr>
                            </w:pPr>
                            <w:r w:rsidRPr="00CB64E6">
                              <w:rPr>
                                <w:color w:val="auto"/>
                                <w:sz w:val="20"/>
                                <w:szCs w:val="20"/>
                              </w:rPr>
                              <w:t xml:space="preserve">Innovation entrepreneur ecosystem </w:t>
                            </w:r>
                          </w:p>
                          <w:p w:rsidR="00826B2C" w:rsidRPr="00CB64E6" w:rsidRDefault="00826B2C" w:rsidP="00AF39BA">
                            <w:pPr>
                              <w:pStyle w:val="ListParagraph"/>
                              <w:numPr>
                                <w:ilvl w:val="0"/>
                                <w:numId w:val="18"/>
                              </w:numPr>
                              <w:autoSpaceDE/>
                              <w:autoSpaceDN/>
                              <w:adjustRightInd/>
                              <w:spacing w:before="0" w:after="160" w:line="259" w:lineRule="auto"/>
                              <w:contextualSpacing/>
                              <w:rPr>
                                <w:color w:val="auto"/>
                                <w:sz w:val="20"/>
                                <w:szCs w:val="20"/>
                              </w:rPr>
                            </w:pPr>
                            <w:r w:rsidRPr="00CB64E6">
                              <w:rPr>
                                <w:color w:val="auto"/>
                                <w:sz w:val="20"/>
                                <w:szCs w:val="20"/>
                              </w:rPr>
                              <w:t>Access to capital</w:t>
                            </w:r>
                          </w:p>
                          <w:p w:rsidR="00826B2C" w:rsidRPr="00CB64E6" w:rsidRDefault="00826B2C" w:rsidP="00CB64E6">
                            <w:pPr>
                              <w:rPr>
                                <w:b/>
                                <w:szCs w:val="20"/>
                              </w:rPr>
                            </w:pPr>
                            <w:r w:rsidRPr="00CB64E6">
                              <w:rPr>
                                <w:b/>
                                <w:szCs w:val="20"/>
                              </w:rPr>
                              <w:t>Incentives:</w:t>
                            </w:r>
                          </w:p>
                          <w:p w:rsidR="00826B2C" w:rsidRPr="00CB64E6" w:rsidRDefault="00826B2C" w:rsidP="00AF39BA">
                            <w:pPr>
                              <w:pStyle w:val="ListParagraph"/>
                              <w:numPr>
                                <w:ilvl w:val="0"/>
                                <w:numId w:val="18"/>
                              </w:numPr>
                              <w:autoSpaceDE/>
                              <w:autoSpaceDN/>
                              <w:adjustRightInd/>
                              <w:spacing w:before="0" w:after="160" w:line="259" w:lineRule="auto"/>
                              <w:contextualSpacing/>
                              <w:rPr>
                                <w:color w:val="auto"/>
                                <w:sz w:val="20"/>
                                <w:szCs w:val="20"/>
                              </w:rPr>
                            </w:pPr>
                            <w:r w:rsidRPr="00CB64E6">
                              <w:rPr>
                                <w:color w:val="auto"/>
                                <w:sz w:val="20"/>
                                <w:szCs w:val="20"/>
                              </w:rPr>
                              <w:t xml:space="preserve">Market information </w:t>
                            </w:r>
                          </w:p>
                          <w:p w:rsidR="00826B2C" w:rsidRPr="00CB64E6" w:rsidRDefault="00826B2C" w:rsidP="00AF39BA">
                            <w:pPr>
                              <w:pStyle w:val="ListParagraph"/>
                              <w:numPr>
                                <w:ilvl w:val="0"/>
                                <w:numId w:val="18"/>
                              </w:numPr>
                              <w:autoSpaceDE/>
                              <w:autoSpaceDN/>
                              <w:adjustRightInd/>
                              <w:spacing w:before="0" w:after="160" w:line="259" w:lineRule="auto"/>
                              <w:contextualSpacing/>
                              <w:rPr>
                                <w:color w:val="auto"/>
                                <w:sz w:val="20"/>
                                <w:szCs w:val="20"/>
                              </w:rPr>
                            </w:pPr>
                            <w:r w:rsidRPr="00CB64E6">
                              <w:rPr>
                                <w:color w:val="auto"/>
                                <w:sz w:val="20"/>
                                <w:szCs w:val="20"/>
                              </w:rPr>
                              <w:t>Sophisticated demand</w:t>
                            </w:r>
                          </w:p>
                          <w:p w:rsidR="00826B2C" w:rsidRPr="00CB64E6" w:rsidRDefault="00826B2C" w:rsidP="00AF39BA">
                            <w:pPr>
                              <w:pStyle w:val="ListParagraph"/>
                              <w:numPr>
                                <w:ilvl w:val="0"/>
                                <w:numId w:val="18"/>
                              </w:numPr>
                              <w:autoSpaceDE/>
                              <w:autoSpaceDN/>
                              <w:adjustRightInd/>
                              <w:spacing w:before="0" w:after="160" w:line="259" w:lineRule="auto"/>
                              <w:contextualSpacing/>
                              <w:rPr>
                                <w:color w:val="auto"/>
                                <w:sz w:val="20"/>
                                <w:szCs w:val="20"/>
                              </w:rPr>
                            </w:pPr>
                            <w:r w:rsidRPr="00CB64E6">
                              <w:rPr>
                                <w:color w:val="auto"/>
                                <w:sz w:val="20"/>
                                <w:szCs w:val="20"/>
                              </w:rPr>
                              <w:t>Policy &amp; regulatory assurances</w:t>
                            </w:r>
                          </w:p>
                          <w:p w:rsidR="00826B2C" w:rsidRPr="00CB64E6" w:rsidRDefault="00826B2C" w:rsidP="00AF39BA">
                            <w:pPr>
                              <w:pStyle w:val="ListParagraph"/>
                              <w:numPr>
                                <w:ilvl w:val="0"/>
                                <w:numId w:val="18"/>
                              </w:numPr>
                              <w:autoSpaceDE/>
                              <w:autoSpaceDN/>
                              <w:adjustRightInd/>
                              <w:spacing w:before="0" w:after="160" w:line="259" w:lineRule="auto"/>
                              <w:contextualSpacing/>
                              <w:rPr>
                                <w:color w:val="auto"/>
                                <w:sz w:val="20"/>
                                <w:szCs w:val="20"/>
                              </w:rPr>
                            </w:pPr>
                            <w:r w:rsidRPr="00CB64E6">
                              <w:rPr>
                                <w:color w:val="auto"/>
                                <w:sz w:val="20"/>
                                <w:szCs w:val="20"/>
                              </w:rPr>
                              <w:t>Competitive procurement</w:t>
                            </w:r>
                          </w:p>
                          <w:p w:rsidR="00826B2C" w:rsidRPr="00CB64E6" w:rsidRDefault="00826B2C" w:rsidP="00CB64E6">
                            <w:pPr>
                              <w:rPr>
                                <w:szCs w:val="20"/>
                              </w:rPr>
                            </w:pPr>
                          </w:p>
                          <w:p w:rsidR="00826B2C" w:rsidRPr="00CB64E6" w:rsidRDefault="00826B2C" w:rsidP="00CB64E6">
                            <w:pPr>
                              <w:rPr>
                                <w:szCs w:val="20"/>
                              </w:rPr>
                            </w:pPr>
                          </w:p>
                          <w:p w:rsidR="00826B2C" w:rsidRPr="00CB64E6" w:rsidRDefault="00826B2C" w:rsidP="00CB64E6">
                            <w:pPr>
                              <w:rPr>
                                <w:szCs w:val="20"/>
                              </w:rPr>
                            </w:pPr>
                          </w:p>
                          <w:p w:rsidR="00826B2C" w:rsidRPr="00CB64E6" w:rsidRDefault="00826B2C" w:rsidP="00CB64E6">
                            <w:pPr>
                              <w:rPr>
                                <w:szCs w:val="20"/>
                              </w:rPr>
                            </w:pPr>
                          </w:p>
                          <w:p w:rsidR="00826B2C" w:rsidRPr="00CB64E6" w:rsidRDefault="00826B2C" w:rsidP="00CB64E6">
                            <w:pPr>
                              <w:rPr>
                                <w:szCs w:val="20"/>
                              </w:rPr>
                            </w:pPr>
                          </w:p>
                          <w:p w:rsidR="00826B2C" w:rsidRPr="00CB64E6" w:rsidRDefault="00826B2C" w:rsidP="00CB64E6">
                            <w:pPr>
                              <w:rPr>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2D203" id="_x0000_s1030" type="#_x0000_t202" style="position:absolute;margin-left:289.5pt;margin-top:1.3pt;width:177.6pt;height:216.75pt;z-index:251667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" fillcolor="#d7e5f4 [1302]" stroked="f">
                <v:textbox>
                  <w:txbxContent>
                    <w:p w:rsidR="00826B2C" w:rsidRPr="004E141E" w:rsidRDefault="00826B2C" w:rsidP="00CB64E6">
                      <w:pPr>
                        <w:rPr>
                          <w:b/>
                        </w:rPr>
                      </w:pPr>
                      <w:bookmarkStart w:id="33" w:name="_Toc533078783"/>
                      <w:r w:rsidRPr="004E141E">
                        <w:rPr>
                          <w:b/>
                        </w:rPr>
                        <w:t>Key weaknesses limiting innovation in Georgia</w:t>
                      </w:r>
                      <w:bookmarkEnd w:id="33"/>
                      <w:r w:rsidRPr="004E141E">
                        <w:rPr>
                          <w:b/>
                        </w:rPr>
                        <w:t xml:space="preserve"> </w:t>
                      </w:r>
                    </w:p>
                    <w:p w:rsidR="00826B2C" w:rsidRPr="00CB64E6" w:rsidRDefault="00826B2C" w:rsidP="00CB64E6">
                      <w:pPr>
                        <w:rPr>
                          <w:b/>
                          <w:szCs w:val="20"/>
                        </w:rPr>
                      </w:pPr>
                      <w:r w:rsidRPr="00CB64E6">
                        <w:rPr>
                          <w:b/>
                          <w:szCs w:val="20"/>
                        </w:rPr>
                        <w:t>Assets:</w:t>
                      </w:r>
                    </w:p>
                    <w:p w:rsidR="00826B2C" w:rsidRPr="00CB64E6" w:rsidRDefault="00826B2C" w:rsidP="00AF39BA">
                      <w:pPr>
                        <w:pStyle w:val="ListParagraph"/>
                        <w:numPr>
                          <w:ilvl w:val="0"/>
                          <w:numId w:val="18"/>
                        </w:numPr>
                        <w:autoSpaceDE/>
                        <w:autoSpaceDN/>
                        <w:adjustRightInd/>
                        <w:spacing w:before="0" w:after="160" w:line="259" w:lineRule="auto"/>
                        <w:contextualSpacing/>
                        <w:rPr>
                          <w:color w:val="auto"/>
                          <w:sz w:val="20"/>
                          <w:szCs w:val="20"/>
                        </w:rPr>
                      </w:pPr>
                      <w:r w:rsidRPr="00CB64E6">
                        <w:rPr>
                          <w:color w:val="auto"/>
                          <w:sz w:val="20"/>
                          <w:szCs w:val="20"/>
                        </w:rPr>
                        <w:t>Education system &amp; talent pool</w:t>
                      </w:r>
                    </w:p>
                    <w:p w:rsidR="00826B2C" w:rsidRPr="00CB64E6" w:rsidRDefault="00826B2C" w:rsidP="00AF39BA">
                      <w:pPr>
                        <w:pStyle w:val="ListParagraph"/>
                        <w:numPr>
                          <w:ilvl w:val="0"/>
                          <w:numId w:val="18"/>
                        </w:numPr>
                        <w:autoSpaceDE/>
                        <w:autoSpaceDN/>
                        <w:adjustRightInd/>
                        <w:spacing w:before="0" w:after="160" w:line="259" w:lineRule="auto"/>
                        <w:contextualSpacing/>
                        <w:rPr>
                          <w:color w:val="auto"/>
                          <w:sz w:val="20"/>
                          <w:szCs w:val="20"/>
                        </w:rPr>
                      </w:pPr>
                      <w:r w:rsidRPr="00CB64E6">
                        <w:rPr>
                          <w:color w:val="auto"/>
                          <w:sz w:val="20"/>
                          <w:szCs w:val="20"/>
                        </w:rPr>
                        <w:t>Research capability</w:t>
                      </w:r>
                    </w:p>
                    <w:p w:rsidR="00826B2C" w:rsidRPr="00CB64E6" w:rsidRDefault="00826B2C" w:rsidP="00AF39BA">
                      <w:pPr>
                        <w:pStyle w:val="ListParagraph"/>
                        <w:numPr>
                          <w:ilvl w:val="0"/>
                          <w:numId w:val="18"/>
                        </w:numPr>
                        <w:autoSpaceDE/>
                        <w:autoSpaceDN/>
                        <w:adjustRightInd/>
                        <w:spacing w:before="0" w:after="160" w:line="259" w:lineRule="auto"/>
                        <w:contextualSpacing/>
                        <w:rPr>
                          <w:color w:val="auto"/>
                          <w:sz w:val="20"/>
                          <w:szCs w:val="20"/>
                        </w:rPr>
                      </w:pPr>
                      <w:r w:rsidRPr="00CB64E6">
                        <w:rPr>
                          <w:color w:val="auto"/>
                          <w:sz w:val="20"/>
                          <w:szCs w:val="20"/>
                        </w:rPr>
                        <w:t xml:space="preserve">Innovation entrepreneur ecosystem </w:t>
                      </w:r>
                    </w:p>
                    <w:p w:rsidR="00826B2C" w:rsidRPr="00CB64E6" w:rsidRDefault="00826B2C" w:rsidP="00AF39BA">
                      <w:pPr>
                        <w:pStyle w:val="ListParagraph"/>
                        <w:numPr>
                          <w:ilvl w:val="0"/>
                          <w:numId w:val="18"/>
                        </w:numPr>
                        <w:autoSpaceDE/>
                        <w:autoSpaceDN/>
                        <w:adjustRightInd/>
                        <w:spacing w:before="0" w:after="160" w:line="259" w:lineRule="auto"/>
                        <w:contextualSpacing/>
                        <w:rPr>
                          <w:color w:val="auto"/>
                          <w:sz w:val="20"/>
                          <w:szCs w:val="20"/>
                        </w:rPr>
                      </w:pPr>
                      <w:r w:rsidRPr="00CB64E6">
                        <w:rPr>
                          <w:color w:val="auto"/>
                          <w:sz w:val="20"/>
                          <w:szCs w:val="20"/>
                        </w:rPr>
                        <w:t>Access to capital</w:t>
                      </w:r>
                    </w:p>
                    <w:p w:rsidR="00826B2C" w:rsidRPr="00CB64E6" w:rsidRDefault="00826B2C" w:rsidP="00CB64E6">
                      <w:pPr>
                        <w:rPr>
                          <w:b/>
                          <w:szCs w:val="20"/>
                        </w:rPr>
                      </w:pPr>
                      <w:r w:rsidRPr="00CB64E6">
                        <w:rPr>
                          <w:b/>
                          <w:szCs w:val="20"/>
                        </w:rPr>
                        <w:t>Incentives:</w:t>
                      </w:r>
                    </w:p>
                    <w:p w:rsidR="00826B2C" w:rsidRPr="00CB64E6" w:rsidRDefault="00826B2C" w:rsidP="00AF39BA">
                      <w:pPr>
                        <w:pStyle w:val="ListParagraph"/>
                        <w:numPr>
                          <w:ilvl w:val="0"/>
                          <w:numId w:val="18"/>
                        </w:numPr>
                        <w:autoSpaceDE/>
                        <w:autoSpaceDN/>
                        <w:adjustRightInd/>
                        <w:spacing w:before="0" w:after="160" w:line="259" w:lineRule="auto"/>
                        <w:contextualSpacing/>
                        <w:rPr>
                          <w:color w:val="auto"/>
                          <w:sz w:val="20"/>
                          <w:szCs w:val="20"/>
                        </w:rPr>
                      </w:pPr>
                      <w:r w:rsidRPr="00CB64E6">
                        <w:rPr>
                          <w:color w:val="auto"/>
                          <w:sz w:val="20"/>
                          <w:szCs w:val="20"/>
                        </w:rPr>
                        <w:t xml:space="preserve">Market information </w:t>
                      </w:r>
                    </w:p>
                    <w:p w:rsidR="00826B2C" w:rsidRPr="00CB64E6" w:rsidRDefault="00826B2C" w:rsidP="00AF39BA">
                      <w:pPr>
                        <w:pStyle w:val="ListParagraph"/>
                        <w:numPr>
                          <w:ilvl w:val="0"/>
                          <w:numId w:val="18"/>
                        </w:numPr>
                        <w:autoSpaceDE/>
                        <w:autoSpaceDN/>
                        <w:adjustRightInd/>
                        <w:spacing w:before="0" w:after="160" w:line="259" w:lineRule="auto"/>
                        <w:contextualSpacing/>
                        <w:rPr>
                          <w:color w:val="auto"/>
                          <w:sz w:val="20"/>
                          <w:szCs w:val="20"/>
                        </w:rPr>
                      </w:pPr>
                      <w:r w:rsidRPr="00CB64E6">
                        <w:rPr>
                          <w:color w:val="auto"/>
                          <w:sz w:val="20"/>
                          <w:szCs w:val="20"/>
                        </w:rPr>
                        <w:t>Sophisticated demand</w:t>
                      </w:r>
                    </w:p>
                    <w:p w:rsidR="00826B2C" w:rsidRPr="00CB64E6" w:rsidRDefault="00826B2C" w:rsidP="00AF39BA">
                      <w:pPr>
                        <w:pStyle w:val="ListParagraph"/>
                        <w:numPr>
                          <w:ilvl w:val="0"/>
                          <w:numId w:val="18"/>
                        </w:numPr>
                        <w:autoSpaceDE/>
                        <w:autoSpaceDN/>
                        <w:adjustRightInd/>
                        <w:spacing w:before="0" w:after="160" w:line="259" w:lineRule="auto"/>
                        <w:contextualSpacing/>
                        <w:rPr>
                          <w:color w:val="auto"/>
                          <w:sz w:val="20"/>
                          <w:szCs w:val="20"/>
                        </w:rPr>
                      </w:pPr>
                      <w:r w:rsidRPr="00CB64E6">
                        <w:rPr>
                          <w:color w:val="auto"/>
                          <w:sz w:val="20"/>
                          <w:szCs w:val="20"/>
                        </w:rPr>
                        <w:t>Policy &amp; regulatory assurances</w:t>
                      </w:r>
                    </w:p>
                    <w:p w:rsidR="00826B2C" w:rsidRPr="00CB64E6" w:rsidRDefault="00826B2C" w:rsidP="00AF39BA">
                      <w:pPr>
                        <w:pStyle w:val="ListParagraph"/>
                        <w:numPr>
                          <w:ilvl w:val="0"/>
                          <w:numId w:val="18"/>
                        </w:numPr>
                        <w:autoSpaceDE/>
                        <w:autoSpaceDN/>
                        <w:adjustRightInd/>
                        <w:spacing w:before="0" w:after="160" w:line="259" w:lineRule="auto"/>
                        <w:contextualSpacing/>
                        <w:rPr>
                          <w:color w:val="auto"/>
                          <w:sz w:val="20"/>
                          <w:szCs w:val="20"/>
                        </w:rPr>
                      </w:pPr>
                      <w:r w:rsidRPr="00CB64E6">
                        <w:rPr>
                          <w:color w:val="auto"/>
                          <w:sz w:val="20"/>
                          <w:szCs w:val="20"/>
                        </w:rPr>
                        <w:t>Competitive procurement</w:t>
                      </w:r>
                    </w:p>
                    <w:p w:rsidR="00826B2C" w:rsidRPr="00CB64E6" w:rsidRDefault="00826B2C" w:rsidP="00CB64E6">
                      <w:pPr>
                        <w:rPr>
                          <w:szCs w:val="20"/>
                        </w:rPr>
                      </w:pPr>
                    </w:p>
                    <w:p w:rsidR="00826B2C" w:rsidRPr="00CB64E6" w:rsidRDefault="00826B2C" w:rsidP="00CB64E6">
                      <w:pPr>
                        <w:rPr>
                          <w:szCs w:val="20"/>
                        </w:rPr>
                      </w:pPr>
                    </w:p>
                    <w:p w:rsidR="00826B2C" w:rsidRPr="00CB64E6" w:rsidRDefault="00826B2C" w:rsidP="00CB64E6">
                      <w:pPr>
                        <w:rPr>
                          <w:szCs w:val="20"/>
                        </w:rPr>
                      </w:pPr>
                    </w:p>
                    <w:p w:rsidR="00826B2C" w:rsidRPr="00CB64E6" w:rsidRDefault="00826B2C" w:rsidP="00CB64E6">
                      <w:pPr>
                        <w:rPr>
                          <w:szCs w:val="20"/>
                        </w:rPr>
                      </w:pPr>
                    </w:p>
                    <w:p w:rsidR="00826B2C" w:rsidRPr="00CB64E6" w:rsidRDefault="00826B2C" w:rsidP="00CB64E6">
                      <w:pPr>
                        <w:rPr>
                          <w:szCs w:val="20"/>
                        </w:rPr>
                      </w:pPr>
                    </w:p>
                    <w:p w:rsidR="00826B2C" w:rsidRPr="00CB64E6" w:rsidRDefault="00826B2C" w:rsidP="00CB64E6">
                      <w:pPr>
                        <w:rPr>
                          <w:szCs w:val="20"/>
                        </w:rPr>
                      </w:pPr>
                    </w:p>
                  </w:txbxContent>
                </v:textbox>
                <w10:wrap type="square" anchorx="margin"/>
              </v:shape>
            </w:pict>
          </mc:Fallback>
        </mc:AlternateContent>
      </w:r>
      <w:r w:rsidRPr="00CB64E6">
        <w:rPr>
          <w:rFonts w:cstheme="minorHAnsi"/>
          <w:i/>
          <w:szCs w:val="20"/>
        </w:rPr>
        <w:t>Weak or missing assets:</w:t>
      </w:r>
    </w:p>
    <w:p w:rsidR="00CB64E6" w:rsidRDefault="00CB64E6" w:rsidP="00AF39BA">
      <w:pPr>
        <w:pStyle w:val="ListParagraph"/>
        <w:numPr>
          <w:ilvl w:val="0"/>
          <w:numId w:val="16"/>
        </w:numPr>
        <w:autoSpaceDE/>
        <w:autoSpaceDN/>
        <w:adjustRightInd/>
        <w:spacing w:beforeLines="120" w:before="288" w:afterLines="120" w:after="288"/>
        <w:contextualSpacing/>
        <w:rPr>
          <w:rFonts w:cstheme="minorHAnsi"/>
          <w:color w:val="auto"/>
          <w:sz w:val="20"/>
          <w:szCs w:val="20"/>
        </w:rPr>
      </w:pPr>
      <w:r w:rsidRPr="00CB64E6">
        <w:rPr>
          <w:rFonts w:cstheme="minorHAnsi"/>
          <w:b/>
          <w:color w:val="auto"/>
          <w:sz w:val="20"/>
          <w:szCs w:val="20"/>
        </w:rPr>
        <w:t>Education system &amp; talent pool</w:t>
      </w:r>
      <w:r w:rsidRPr="00CB64E6">
        <w:rPr>
          <w:rFonts w:cstheme="minorHAnsi"/>
          <w:color w:val="auto"/>
          <w:sz w:val="20"/>
          <w:szCs w:val="20"/>
        </w:rPr>
        <w:t>: Georgia’s educational system struggles to produce a large enough workforce equipped with the technical, creative and critical thinking skills to meet business needs and define new solutions to local and global industry challenges. Performance at the primary, secondary and tertiary levels is behind OECD and regional standards, particularly in applied science, technology, engineering and math (STEM) fields critical for innovation.  Many Georgians seek education outside of the country and go on to pursue jobs abroad, severely constraining the availability of local talent, while much of the remaining talent is absorbed into high-paying bureaucratic functions in banks and casinos.</w:t>
      </w:r>
    </w:p>
    <w:p w:rsidR="00437EE3" w:rsidRPr="00CB64E6" w:rsidRDefault="00437EE3" w:rsidP="00437EE3">
      <w:pPr>
        <w:pStyle w:val="ListParagraph"/>
        <w:autoSpaceDE/>
        <w:autoSpaceDN/>
        <w:adjustRightInd/>
        <w:spacing w:beforeLines="120" w:before="288" w:afterLines="120" w:after="288"/>
        <w:ind w:firstLine="0"/>
        <w:contextualSpacing/>
        <w:rPr>
          <w:rFonts w:cstheme="minorHAnsi"/>
          <w:color w:val="auto"/>
          <w:sz w:val="20"/>
          <w:szCs w:val="20"/>
        </w:rPr>
      </w:pPr>
    </w:p>
    <w:p w:rsidR="00CB64E6" w:rsidRDefault="00CB64E6" w:rsidP="00AF39BA">
      <w:pPr>
        <w:pStyle w:val="ListParagraph"/>
        <w:numPr>
          <w:ilvl w:val="0"/>
          <w:numId w:val="16"/>
        </w:numPr>
        <w:autoSpaceDE/>
        <w:autoSpaceDN/>
        <w:adjustRightInd/>
        <w:spacing w:beforeLines="120" w:before="288" w:afterLines="120" w:after="288"/>
        <w:contextualSpacing/>
        <w:rPr>
          <w:rFonts w:cstheme="minorHAnsi"/>
          <w:color w:val="auto"/>
          <w:sz w:val="20"/>
          <w:szCs w:val="20"/>
        </w:rPr>
      </w:pPr>
      <w:r w:rsidRPr="00CB64E6">
        <w:rPr>
          <w:rFonts w:cstheme="minorHAnsi"/>
          <w:b/>
          <w:color w:val="auto"/>
          <w:sz w:val="20"/>
          <w:szCs w:val="20"/>
        </w:rPr>
        <w:t>Research capability:</w:t>
      </w:r>
      <w:r w:rsidRPr="00CB64E6">
        <w:rPr>
          <w:rFonts w:cstheme="minorHAnsi"/>
          <w:color w:val="auto"/>
          <w:sz w:val="20"/>
          <w:szCs w:val="20"/>
        </w:rPr>
        <w:t xml:space="preserve"> Once a source of strength for the country, Ge</w:t>
      </w:r>
      <w:r w:rsidR="002630E1">
        <w:rPr>
          <w:rFonts w:cstheme="minorHAnsi"/>
          <w:color w:val="auto"/>
          <w:sz w:val="20"/>
          <w:szCs w:val="20"/>
        </w:rPr>
        <w:t>orgia’s research sector (e.g., u</w:t>
      </w:r>
      <w:r w:rsidRPr="00CB64E6">
        <w:rPr>
          <w:rFonts w:cstheme="minorHAnsi"/>
          <w:color w:val="auto"/>
          <w:sz w:val="20"/>
          <w:szCs w:val="20"/>
        </w:rPr>
        <w:t>niversity labs, research institutes) has weakened due to limited funding, rigidity of legacy structures and a sparse pipeline of new talent. Current research focuses mainly on basic research as opposed to applied science with commercialization potential, and companies do not view universities or research institutes as viable value creating partners. While underfinancing has been a driver of the sectors devolution, at current stage it is unprepared to absorb a large influence of financing to drive commercial innovation.</w:t>
      </w:r>
    </w:p>
    <w:p w:rsidR="00437EE3" w:rsidRPr="00CB64E6" w:rsidRDefault="00437EE3" w:rsidP="00437EE3">
      <w:pPr>
        <w:pStyle w:val="ListParagraph"/>
        <w:autoSpaceDE/>
        <w:autoSpaceDN/>
        <w:adjustRightInd/>
        <w:spacing w:beforeLines="120" w:before="288" w:afterLines="120" w:after="288"/>
        <w:ind w:firstLine="0"/>
        <w:contextualSpacing/>
        <w:rPr>
          <w:rFonts w:cstheme="minorHAnsi"/>
          <w:color w:val="auto"/>
          <w:sz w:val="20"/>
          <w:szCs w:val="20"/>
        </w:rPr>
      </w:pPr>
    </w:p>
    <w:p w:rsidR="00CB64E6" w:rsidRDefault="00CB64E6" w:rsidP="00AF39BA">
      <w:pPr>
        <w:pStyle w:val="ListParagraph"/>
        <w:numPr>
          <w:ilvl w:val="0"/>
          <w:numId w:val="16"/>
        </w:numPr>
        <w:autoSpaceDE/>
        <w:autoSpaceDN/>
        <w:adjustRightInd/>
        <w:spacing w:beforeLines="120" w:before="288" w:afterLines="120" w:after="288"/>
        <w:contextualSpacing/>
        <w:rPr>
          <w:rFonts w:cstheme="minorHAnsi"/>
          <w:color w:val="auto"/>
          <w:sz w:val="20"/>
          <w:szCs w:val="20"/>
        </w:rPr>
      </w:pPr>
      <w:r w:rsidRPr="00CB64E6">
        <w:rPr>
          <w:rFonts w:cstheme="minorHAnsi"/>
          <w:b/>
          <w:color w:val="auto"/>
          <w:sz w:val="20"/>
          <w:szCs w:val="20"/>
        </w:rPr>
        <w:lastRenderedPageBreak/>
        <w:t>Innovation entrepreneurship</w:t>
      </w:r>
      <w:r w:rsidRPr="00CB64E6">
        <w:rPr>
          <w:rFonts w:cstheme="minorHAnsi"/>
          <w:color w:val="auto"/>
          <w:sz w:val="20"/>
          <w:szCs w:val="20"/>
        </w:rPr>
        <w:t>: While Georgia has received global acclaim for gains made in supporting traditional small and medium enterprises (SMEs)</w:t>
      </w:r>
      <w:r w:rsidRPr="00CB64E6">
        <w:rPr>
          <w:rStyle w:val="FootnoteReference"/>
          <w:rFonts w:cstheme="minorHAnsi"/>
          <w:color w:val="auto"/>
          <w:sz w:val="20"/>
          <w:szCs w:val="20"/>
        </w:rPr>
        <w:footnoteReference w:id="12"/>
      </w:r>
      <w:r w:rsidRPr="00CB64E6">
        <w:rPr>
          <w:rFonts w:cstheme="minorHAnsi"/>
          <w:color w:val="auto"/>
          <w:sz w:val="20"/>
          <w:szCs w:val="20"/>
        </w:rPr>
        <w:t>, entrepreneurs pursuing innovative ventures in Georgia lack access locally to the learning and support systems commonly associated with entrepreneurial hubs.  This ranges from a lack of experienced local mentors, to weak entrepreneur networks, to a lack of structured support programs (e.g., accelerators, incubators, etc.). Early investments have begun to help bridge these gaps, however the system remains largely underdeveloped, creating challenges for the success of new businesses.</w:t>
      </w:r>
    </w:p>
    <w:p w:rsidR="00437EE3" w:rsidRPr="00CB64E6" w:rsidRDefault="00437EE3" w:rsidP="00437EE3">
      <w:pPr>
        <w:pStyle w:val="ListParagraph"/>
        <w:autoSpaceDE/>
        <w:autoSpaceDN/>
        <w:adjustRightInd/>
        <w:spacing w:beforeLines="120" w:before="288" w:afterLines="120" w:after="288"/>
        <w:ind w:firstLine="0"/>
        <w:contextualSpacing/>
        <w:rPr>
          <w:rFonts w:cstheme="minorHAnsi"/>
          <w:color w:val="auto"/>
          <w:sz w:val="20"/>
          <w:szCs w:val="20"/>
        </w:rPr>
      </w:pPr>
    </w:p>
    <w:p w:rsidR="00CB64E6" w:rsidRPr="00CB64E6" w:rsidRDefault="00CB64E6" w:rsidP="00AF39BA">
      <w:pPr>
        <w:pStyle w:val="ListParagraph"/>
        <w:numPr>
          <w:ilvl w:val="0"/>
          <w:numId w:val="16"/>
        </w:numPr>
        <w:autoSpaceDE/>
        <w:autoSpaceDN/>
        <w:adjustRightInd/>
        <w:spacing w:beforeLines="120" w:before="288" w:afterLines="120" w:after="288"/>
        <w:contextualSpacing/>
        <w:rPr>
          <w:rFonts w:cstheme="minorHAnsi"/>
          <w:color w:val="auto"/>
          <w:sz w:val="20"/>
          <w:szCs w:val="20"/>
        </w:rPr>
      </w:pPr>
      <w:r w:rsidRPr="00CB64E6">
        <w:rPr>
          <w:rFonts w:cstheme="minorHAnsi"/>
          <w:b/>
          <w:color w:val="auto"/>
          <w:sz w:val="20"/>
          <w:szCs w:val="20"/>
        </w:rPr>
        <w:t>Access to capital:</w:t>
      </w:r>
      <w:r w:rsidRPr="00CB64E6">
        <w:rPr>
          <w:rFonts w:cstheme="minorHAnsi"/>
          <w:color w:val="auto"/>
          <w:sz w:val="20"/>
          <w:szCs w:val="20"/>
        </w:rPr>
        <w:t xml:space="preserve"> While donors, government agencies and the private sector alike have created new programs to finance entrepreneurs and young enterprises, obtaining financing for innovative ventures remains a challenge for established companies and start-ups alike. Enterprise Georgia’s co-financing programs have eased costs, bank financing remains expensive with interest rates ranging upwards of 9-12%. Seed-stage, angel investors and VC funding remain critical gaps. The risk capital that is available often seeks onerous terms (e.g., very large equity stakes in the companies) before investing.</w:t>
      </w:r>
    </w:p>
    <w:p w:rsidR="00CB64E6" w:rsidRPr="00CB64E6" w:rsidRDefault="00CB64E6" w:rsidP="00CB64E6">
      <w:pPr>
        <w:spacing w:beforeLines="120" w:before="288" w:afterLines="120" w:after="288"/>
        <w:rPr>
          <w:rFonts w:cstheme="minorHAnsi"/>
          <w:i/>
          <w:szCs w:val="20"/>
        </w:rPr>
      </w:pPr>
      <w:r w:rsidRPr="00CB64E6">
        <w:rPr>
          <w:rFonts w:cstheme="minorHAnsi"/>
          <w:i/>
          <w:szCs w:val="20"/>
        </w:rPr>
        <w:t>Diminished incentives:</w:t>
      </w:r>
    </w:p>
    <w:p w:rsidR="00CB64E6" w:rsidRDefault="00CB64E6" w:rsidP="00AF39BA">
      <w:pPr>
        <w:pStyle w:val="ListParagraph"/>
        <w:numPr>
          <w:ilvl w:val="0"/>
          <w:numId w:val="17"/>
        </w:numPr>
        <w:autoSpaceDE/>
        <w:autoSpaceDN/>
        <w:adjustRightInd/>
        <w:spacing w:beforeLines="120" w:before="288" w:afterLines="120" w:after="288"/>
        <w:contextualSpacing/>
        <w:rPr>
          <w:rFonts w:cstheme="minorHAnsi"/>
          <w:color w:val="auto"/>
          <w:sz w:val="20"/>
          <w:szCs w:val="20"/>
        </w:rPr>
      </w:pPr>
      <w:r w:rsidRPr="00CB64E6">
        <w:rPr>
          <w:rFonts w:cstheme="minorHAnsi"/>
          <w:b/>
          <w:color w:val="auto"/>
          <w:sz w:val="20"/>
          <w:szCs w:val="20"/>
        </w:rPr>
        <w:t>Market information:</w:t>
      </w:r>
      <w:r w:rsidRPr="00CB64E6">
        <w:rPr>
          <w:rFonts w:cstheme="minorHAnsi"/>
          <w:color w:val="auto"/>
          <w:sz w:val="20"/>
          <w:szCs w:val="20"/>
        </w:rPr>
        <w:t xml:space="preserve"> Businesses in Georgia today face high costs of external market discovery, in part the result of limited integration with global value chains that commonly provide channels for regular flow of market information. This creates a barrier to companies’ ability to perceive high value markets in need of offerings they could serve, and therefore, the impetus to innovate</w:t>
      </w:r>
    </w:p>
    <w:p w:rsidR="00437EE3" w:rsidRPr="00CB64E6" w:rsidRDefault="00437EE3" w:rsidP="00437EE3">
      <w:pPr>
        <w:pStyle w:val="ListParagraph"/>
        <w:autoSpaceDE/>
        <w:autoSpaceDN/>
        <w:adjustRightInd/>
        <w:spacing w:beforeLines="120" w:before="288" w:afterLines="120" w:after="288"/>
        <w:ind w:firstLine="0"/>
        <w:contextualSpacing/>
        <w:rPr>
          <w:rFonts w:cstheme="minorHAnsi"/>
          <w:color w:val="auto"/>
          <w:sz w:val="20"/>
          <w:szCs w:val="20"/>
        </w:rPr>
      </w:pPr>
    </w:p>
    <w:p w:rsidR="00CB64E6" w:rsidRPr="00437EE3" w:rsidRDefault="00CB64E6" w:rsidP="00AF39BA">
      <w:pPr>
        <w:pStyle w:val="ListParagraph"/>
        <w:numPr>
          <w:ilvl w:val="0"/>
          <w:numId w:val="17"/>
        </w:numPr>
        <w:autoSpaceDE/>
        <w:autoSpaceDN/>
        <w:adjustRightInd/>
        <w:spacing w:beforeLines="120" w:before="288" w:afterLines="120" w:after="288"/>
        <w:contextualSpacing/>
        <w:rPr>
          <w:rFonts w:cstheme="minorHAnsi"/>
          <w:color w:val="auto"/>
          <w:sz w:val="20"/>
          <w:szCs w:val="20"/>
        </w:rPr>
      </w:pPr>
      <w:r w:rsidRPr="00CB64E6">
        <w:rPr>
          <w:rFonts w:cstheme="minorHAnsi"/>
          <w:b/>
          <w:color w:val="auto"/>
          <w:sz w:val="20"/>
          <w:szCs w:val="20"/>
        </w:rPr>
        <w:t>Sophisticated demand:</w:t>
      </w:r>
      <w:r w:rsidRPr="00CB64E6">
        <w:rPr>
          <w:rFonts w:cstheme="minorHAnsi"/>
          <w:color w:val="auto"/>
          <w:sz w:val="20"/>
          <w:szCs w:val="20"/>
        </w:rPr>
        <w:t xml:space="preserve"> Buyers in Georgia (businesses, government institutions, individuals, etc.) tend to request and purchase relatively low-tech solutions compared to what is available on the global market, in many cases the result of a lack of knowledge of leading technologies. This diminishes the motivation for businesses to innovate as in most cases, they can serve customers and protect their market share by delivering existing solutions.</w:t>
      </w:r>
      <w:r w:rsidRPr="00CB64E6">
        <w:rPr>
          <w:rFonts w:cstheme="minorHAnsi"/>
          <w:i/>
          <w:color w:val="auto"/>
          <w:sz w:val="20"/>
          <w:szCs w:val="20"/>
        </w:rPr>
        <w:t xml:space="preserve"> </w:t>
      </w:r>
    </w:p>
    <w:p w:rsidR="00437EE3" w:rsidRPr="00CB64E6" w:rsidRDefault="00437EE3" w:rsidP="00437EE3">
      <w:pPr>
        <w:pStyle w:val="ListParagraph"/>
        <w:autoSpaceDE/>
        <w:autoSpaceDN/>
        <w:adjustRightInd/>
        <w:spacing w:beforeLines="120" w:before="288" w:afterLines="120" w:after="288"/>
        <w:ind w:firstLine="0"/>
        <w:contextualSpacing/>
        <w:rPr>
          <w:rFonts w:cstheme="minorHAnsi"/>
          <w:color w:val="auto"/>
          <w:sz w:val="20"/>
          <w:szCs w:val="20"/>
        </w:rPr>
      </w:pPr>
    </w:p>
    <w:p w:rsidR="00CB64E6" w:rsidRDefault="00CB64E6" w:rsidP="00AF39BA">
      <w:pPr>
        <w:pStyle w:val="ListParagraph"/>
        <w:numPr>
          <w:ilvl w:val="0"/>
          <w:numId w:val="17"/>
        </w:numPr>
        <w:autoSpaceDE/>
        <w:autoSpaceDN/>
        <w:adjustRightInd/>
        <w:spacing w:beforeLines="120" w:before="288" w:afterLines="120" w:after="288"/>
        <w:contextualSpacing/>
        <w:rPr>
          <w:rFonts w:cstheme="minorHAnsi"/>
          <w:color w:val="auto"/>
          <w:sz w:val="20"/>
          <w:szCs w:val="20"/>
        </w:rPr>
      </w:pPr>
      <w:r w:rsidRPr="00CB64E6">
        <w:rPr>
          <w:rFonts w:cstheme="minorHAnsi"/>
          <w:b/>
          <w:color w:val="auto"/>
          <w:sz w:val="20"/>
          <w:szCs w:val="20"/>
        </w:rPr>
        <w:t>Policy &amp; regulation:</w:t>
      </w:r>
      <w:r w:rsidRPr="00CB64E6">
        <w:rPr>
          <w:rFonts w:cstheme="minorHAnsi"/>
          <w:color w:val="auto"/>
          <w:sz w:val="20"/>
          <w:szCs w:val="20"/>
        </w:rPr>
        <w:t xml:space="preserve"> Insolvency laws, along with other procedures associated with shutting down businesses, place significant burden on company owners, creating disincentives to entrepreneurship, particularly bringing innovative offerings to market. Mistrust of intellectual property enforcement systems similarly deter companies from investing in patentable innovations locally.</w:t>
      </w:r>
    </w:p>
    <w:p w:rsidR="00437EE3" w:rsidRPr="00CB64E6" w:rsidRDefault="00437EE3" w:rsidP="00437EE3">
      <w:pPr>
        <w:pStyle w:val="ListParagraph"/>
        <w:autoSpaceDE/>
        <w:autoSpaceDN/>
        <w:adjustRightInd/>
        <w:spacing w:beforeLines="120" w:before="288" w:afterLines="120" w:after="288"/>
        <w:ind w:firstLine="0"/>
        <w:contextualSpacing/>
        <w:rPr>
          <w:rFonts w:cstheme="minorHAnsi"/>
          <w:color w:val="auto"/>
          <w:sz w:val="20"/>
          <w:szCs w:val="20"/>
        </w:rPr>
      </w:pPr>
    </w:p>
    <w:p w:rsidR="00CB64E6" w:rsidRPr="00CB64E6" w:rsidRDefault="00CB64E6" w:rsidP="00AF39BA">
      <w:pPr>
        <w:pStyle w:val="ListParagraph"/>
        <w:numPr>
          <w:ilvl w:val="0"/>
          <w:numId w:val="17"/>
        </w:numPr>
        <w:autoSpaceDE/>
        <w:autoSpaceDN/>
        <w:adjustRightInd/>
        <w:spacing w:beforeLines="120" w:before="288" w:afterLines="120" w:after="288"/>
        <w:contextualSpacing/>
        <w:rPr>
          <w:rFonts w:cstheme="minorHAnsi"/>
          <w:color w:val="auto"/>
          <w:sz w:val="20"/>
          <w:szCs w:val="20"/>
        </w:rPr>
      </w:pPr>
      <w:r w:rsidRPr="00CB64E6">
        <w:rPr>
          <w:rFonts w:cstheme="minorHAnsi"/>
          <w:b/>
          <w:color w:val="auto"/>
          <w:sz w:val="20"/>
          <w:szCs w:val="20"/>
        </w:rPr>
        <w:t xml:space="preserve">Competitive Procurement: </w:t>
      </w:r>
      <w:r w:rsidRPr="00CB64E6">
        <w:rPr>
          <w:rFonts w:cstheme="minorHAnsi"/>
          <w:color w:val="auto"/>
          <w:sz w:val="20"/>
          <w:szCs w:val="20"/>
        </w:rPr>
        <w:t xml:space="preserve">Government favors performing functions in-house as opposed to outsourcing them from the private sector, particularly with new technology solutions, inhibiting the private sector from accessing this market. In some cases, government functions compete directly with the private sector for contracts, squeezing their market. Moreover, dated procurement standards and processes create barriers to purchasing new, innovative products and services. </w:t>
      </w:r>
    </w:p>
    <w:p w:rsidR="00CB64E6" w:rsidRPr="00CB64E6" w:rsidRDefault="00CB64E6" w:rsidP="00CB64E6">
      <w:pPr>
        <w:spacing w:beforeLines="120" w:before="288" w:afterLines="120" w:after="288"/>
        <w:rPr>
          <w:rFonts w:cstheme="minorHAnsi"/>
          <w:szCs w:val="20"/>
        </w:rPr>
      </w:pPr>
      <w:r w:rsidRPr="00CB64E6">
        <w:rPr>
          <w:rFonts w:cstheme="minorHAnsi"/>
          <w:szCs w:val="20"/>
        </w:rPr>
        <w:t>The decline of these assets and incentives – as well as other challenges such as regional instability, a small domestic market, and challenging neighborhood – have driven Georgia’s innovation system to a stalemate. Today, Georgia’s economy is made largely of domestically oriented firms hustling for a share of a small local economy, and doing so with limited interaction with the rest of the global economy. Most are competing against traditional businesses, with traditional market views, using traditional technology and tools. Many companies lack the know-how and incentive to innovate as domestic market returns often fall short of the more predictable costs, which are high due to the dearth of local assets to enable innovation and policy assurances</w:t>
      </w:r>
      <w:r>
        <w:rPr>
          <w:rFonts w:cstheme="minorHAnsi"/>
          <w:szCs w:val="20"/>
        </w:rPr>
        <w:t xml:space="preserve"> protecting innovators.</w:t>
      </w:r>
    </w:p>
    <w:p w:rsidR="00CB64E6" w:rsidRPr="00CB64E6" w:rsidRDefault="00CB64E6" w:rsidP="00CB64E6">
      <w:pPr>
        <w:spacing w:beforeLines="120" w:before="288" w:afterLines="120" w:after="288"/>
        <w:rPr>
          <w:rFonts w:cstheme="minorHAnsi"/>
          <w:szCs w:val="20"/>
        </w:rPr>
      </w:pPr>
      <w:r w:rsidRPr="00CB64E6">
        <w:rPr>
          <w:rFonts w:cstheme="minorHAnsi"/>
          <w:szCs w:val="20"/>
        </w:rPr>
        <w:lastRenderedPageBreak/>
        <w:t>This has a compounding effect: limited assets diminish local industry competitiveness and therefore the incentive to innovate, and this lack of incentive stunts the demand for innovation assets. This has caused isolated investments in innovation infrastructure, such as fablabs or training programs, to have limited uptake. The system continues as persistent asset scarcity raises the cost of innovation and further diminishes companies’ incentive to invest and constrains the growth of companies that do try to expand abroad. The “stalemate” strengthens with time as the domestic economy becomes increasingly esoteric, which deters foreign companies from entering, and global markets pull farther ahead, increasing the costs and challenges for local firms to penetrate them</w:t>
      </w:r>
      <w:r>
        <w:rPr>
          <w:rFonts w:cstheme="minorHAnsi"/>
          <w:szCs w:val="20"/>
        </w:rPr>
        <w:t xml:space="preserve"> and compete.</w:t>
      </w:r>
    </w:p>
    <w:p w:rsidR="00CB64E6" w:rsidRPr="00CB64E6" w:rsidRDefault="00CB64E6" w:rsidP="00CB64E6">
      <w:pPr>
        <w:spacing w:beforeLines="120" w:before="288" w:afterLines="120" w:after="288"/>
        <w:rPr>
          <w:rFonts w:cstheme="minorHAnsi"/>
          <w:szCs w:val="20"/>
        </w:rPr>
      </w:pPr>
      <w:r w:rsidRPr="00CB64E6">
        <w:rPr>
          <w:rFonts w:cstheme="minorHAnsi"/>
          <w:szCs w:val="20"/>
        </w:rPr>
        <w:t>Companies that do try to innovate in this environment face enormous challenges, particularly those trying to reach global markets. Most businesses doing so innovate in silos and do not benefit from shared resources and knowledge exchange available to companies operating in areas with concentrations of other businesses innovating as well. They face additional costs to access the talent, equipment, expertise and information to build, pilot and launch new products, services and processes due to the scarcity of local resources, as well as to discover untapped market opportunities.  Jumpstarting innovation in Georgia comes dow</w:t>
      </w:r>
      <w:r>
        <w:rPr>
          <w:rFonts w:cstheme="minorHAnsi"/>
          <w:szCs w:val="20"/>
        </w:rPr>
        <w:t>n to disrupting this stalemate.</w:t>
      </w:r>
      <w:r w:rsidRPr="00CB64E6">
        <w:rPr>
          <w:rFonts w:cstheme="minorHAnsi"/>
          <w:noProof/>
          <w:szCs w:val="20"/>
        </w:rPr>
        <mc:AlternateContent>
          <mc:Choice Requires="wps">
            <w:drawing>
              <wp:anchor distT="0" distB="0" distL="114300" distR="114300" simplePos="0" relativeHeight="251670016" behindDoc="0" locked="0" layoutInCell="1" allowOverlap="1" wp14:anchorId="62A34E0C" wp14:editId="2DF61095">
                <wp:simplePos x="0" y="0"/>
                <wp:positionH relativeFrom="column">
                  <wp:posOffset>284480</wp:posOffset>
                </wp:positionH>
                <wp:positionV relativeFrom="paragraph">
                  <wp:posOffset>905619</wp:posOffset>
                </wp:positionV>
                <wp:extent cx="3265170" cy="2493645"/>
                <wp:effectExtent l="0" t="0" r="0" b="1905"/>
                <wp:wrapNone/>
                <wp:docPr id="24" name="Text Box 24"/>
                <wp:cNvGraphicFramePr/>
                <a:graphic xmlns:a="http://schemas.openxmlformats.org/drawingml/2006/main">
                  <a:graphicData uri="http://schemas.microsoft.com/office/word/2010/wordprocessingShape">
                    <wps:wsp>
                      <wps:cNvSpPr txBox="1"/>
                      <wps:spPr>
                        <a:xfrm>
                          <a:off x="0" y="0"/>
                          <a:ext cx="3265170" cy="2493645"/>
                        </a:xfrm>
                        <a:prstGeom prst="rect">
                          <a:avLst/>
                        </a:prstGeom>
                        <a:solidFill>
                          <a:schemeClr val="lt1"/>
                        </a:solidFill>
                        <a:ln w="6350">
                          <a:noFill/>
                        </a:ln>
                      </wps:spPr>
                      <wps:txbx>
                        <w:txbxContent>
                          <w:p w:rsidR="00826B2C" w:rsidRDefault="00826B2C" w:rsidP="00CB64E6">
                            <w:pPr>
                              <w:jc w:val="center"/>
                            </w:pPr>
                            <w:r w:rsidRPr="0012225B">
                              <w:rPr>
                                <w:noProof/>
                              </w:rPr>
                              <w:drawing>
                                <wp:inline distT="0" distB="0" distL="0" distR="0" wp14:anchorId="5D63BE42" wp14:editId="5686DDF7">
                                  <wp:extent cx="2681785" cy="2174257"/>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97925" cy="218734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34E0C" id="Text Box 24" o:spid="_x0000_s1031" type="#_x0000_t202" style="position:absolute;margin-left:22.4pt;margin-top:71.3pt;width:257.1pt;height:196.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" fillcolor="white [3201]" stroked="f" strokeweight=".5pt">
                <v:textbox>
                  <w:txbxContent>
                    <w:p w:rsidR="00826B2C" w:rsidRDefault="00826B2C" w:rsidP="00CB64E6">
                      <w:pPr>
                        <w:jc w:val="center"/>
                      </w:pPr>
                      <w:r w:rsidRPr="0012225B">
                        <w:rPr>
                          <w:noProof/>
                        </w:rPr>
                        <w:drawing>
                          <wp:inline distT="0" distB="0" distL="0" distR="0" wp14:anchorId="5D63BE42" wp14:editId="5686DDF7">
                            <wp:extent cx="2681785" cy="2174257"/>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97925" cy="2187343"/>
                                    </a:xfrm>
                                    <a:prstGeom prst="rect">
                                      <a:avLst/>
                                    </a:prstGeom>
                                    <a:noFill/>
                                    <a:ln>
                                      <a:noFill/>
                                    </a:ln>
                                  </pic:spPr>
                                </pic:pic>
                              </a:graphicData>
                            </a:graphic>
                          </wp:inline>
                        </w:drawing>
                      </w:r>
                    </w:p>
                  </w:txbxContent>
                </v:textbox>
              </v:shape>
            </w:pict>
          </mc:Fallback>
        </mc:AlternateContent>
      </w:r>
      <w:r w:rsidRPr="00CB64E6">
        <w:rPr>
          <w:rFonts w:cstheme="minorHAnsi"/>
          <w:noProof/>
          <w:szCs w:val="20"/>
        </w:rPr>
        <mc:AlternateContent>
          <mc:Choice Requires="wps">
            <w:drawing>
              <wp:anchor distT="45720" distB="45720" distL="114300" distR="114300" simplePos="0" relativeHeight="251668992" behindDoc="1" locked="0" layoutInCell="1" allowOverlap="1" wp14:anchorId="53E6DF06" wp14:editId="5B06BA2D">
                <wp:simplePos x="0" y="0"/>
                <wp:positionH relativeFrom="margin">
                  <wp:align>right</wp:align>
                </wp:positionH>
                <wp:positionV relativeFrom="paragraph">
                  <wp:posOffset>332105</wp:posOffset>
                </wp:positionV>
                <wp:extent cx="5949315" cy="349123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315" cy="3491230"/>
                        </a:xfrm>
                        <a:prstGeom prst="rect">
                          <a:avLst/>
                        </a:prstGeom>
                        <a:noFill/>
                        <a:ln w="9525">
                          <a:noFill/>
                          <a:miter lim="800000"/>
                          <a:headEnd/>
                          <a:tailEnd/>
                        </a:ln>
                      </wps:spPr>
                      <wps:txbx>
                        <w:txbxContent>
                          <w:p w:rsidR="00826B2C" w:rsidRDefault="00826B2C" w:rsidP="00437EE3">
                            <w:pPr>
                              <w:pStyle w:val="Heading4"/>
                            </w:pPr>
                            <w:bookmarkStart w:id="31" w:name="_Toc533080327"/>
                            <w:r w:rsidRPr="008358BA">
                              <w:t>Figure 1.2: Georgia’s innovation stalemate</w:t>
                            </w:r>
                            <w:bookmarkEnd w:id="31"/>
                          </w:p>
                          <w:p w:rsidR="00826B2C" w:rsidRDefault="00826B2C" w:rsidP="00437EE3">
                            <w:pPr>
                              <w:pStyle w:val="GraphicFooter"/>
                            </w:pPr>
                          </w:p>
                          <w:p w:rsidR="00826B2C" w:rsidRDefault="00826B2C" w:rsidP="00437EE3">
                            <w:pPr>
                              <w:pStyle w:val="GraphicFooter"/>
                            </w:pPr>
                          </w:p>
                          <w:p w:rsidR="00826B2C" w:rsidRPr="00D865A2" w:rsidRDefault="00826B2C" w:rsidP="00CB64E6">
                            <w:pPr>
                              <w:ind w:left="5850" w:right="250"/>
                              <w:rPr>
                                <w:i/>
                              </w:rPr>
                            </w:pPr>
                            <w:r w:rsidRPr="00D865A2">
                              <w:rPr>
                                <w:i/>
                              </w:rPr>
                              <w:t xml:space="preserve">Innovation in Georgia today is stuck in a </w:t>
                            </w:r>
                            <w:r w:rsidRPr="00D865A2">
                              <w:rPr>
                                <w:b/>
                                <w:i/>
                              </w:rPr>
                              <w:t>cyclical stalemate</w:t>
                            </w:r>
                            <w:r w:rsidRPr="00D865A2">
                              <w:rPr>
                                <w:i/>
                              </w:rPr>
                              <w:t xml:space="preserve">, where domestic orientation among businesses limits the incentive to innovate and therefore the demand for and investment in innovation assets. This raises the cost of innovation and ultimately increases barriers to global integration, thereby reinforcing the lack of incentive for innovation. </w:t>
                            </w:r>
                          </w:p>
                          <w:p w:rsidR="00826B2C" w:rsidRDefault="00826B2C" w:rsidP="00CB64E6">
                            <w:pPr>
                              <w:ind w:left="5850" w:right="250"/>
                            </w:pPr>
                          </w:p>
                          <w:p w:rsidR="00826B2C" w:rsidRDefault="00826B2C" w:rsidP="00CB64E6">
                            <w:pPr>
                              <w:ind w:left="585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E6DF06" id="_x0000_s1032" type="#_x0000_t202" style="position:absolute;margin-left:417.25pt;margin-top:26.15pt;width:468.45pt;height:274.9pt;z-index:-2516474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" filled="f" stroked="f">
                <v:textbox>
                  <w:txbxContent>
                    <w:p w:rsidR="00826B2C" w:rsidRDefault="00826B2C" w:rsidP="00437EE3">
                      <w:pPr>
                        <w:pStyle w:val="Heading4"/>
                      </w:pPr>
                      <w:bookmarkStart w:id="35" w:name="_Toc533080327"/>
                      <w:r w:rsidRPr="008358BA">
                        <w:t>Figure 1.2: Georgia’s innovation stalemate</w:t>
                      </w:r>
                      <w:bookmarkEnd w:id="35"/>
                    </w:p>
                    <w:p w:rsidR="00826B2C" w:rsidRDefault="00826B2C" w:rsidP="00437EE3">
                      <w:pPr>
                        <w:pStyle w:val="GraphicFooter"/>
                      </w:pPr>
                    </w:p>
                    <w:p w:rsidR="00826B2C" w:rsidRDefault="00826B2C" w:rsidP="00437EE3">
                      <w:pPr>
                        <w:pStyle w:val="GraphicFooter"/>
                      </w:pPr>
                    </w:p>
                    <w:p w:rsidR="00826B2C" w:rsidRPr="00D865A2" w:rsidRDefault="00826B2C" w:rsidP="00CB64E6">
                      <w:pPr>
                        <w:ind w:left="5850" w:right="250"/>
                        <w:rPr>
                          <w:i/>
                        </w:rPr>
                      </w:pPr>
                      <w:r w:rsidRPr="00D865A2">
                        <w:rPr>
                          <w:i/>
                        </w:rPr>
                        <w:t xml:space="preserve">Innovation in Georgia today is stuck in a </w:t>
                      </w:r>
                      <w:r w:rsidRPr="00D865A2">
                        <w:rPr>
                          <w:b/>
                          <w:i/>
                        </w:rPr>
                        <w:t>cyclical stalemate</w:t>
                      </w:r>
                      <w:r w:rsidRPr="00D865A2">
                        <w:rPr>
                          <w:i/>
                        </w:rPr>
                        <w:t xml:space="preserve">, where domestic orientation among businesses limits the incentive to innovate and therefore the demand for and investment in innovation assets. This raises the cost of innovation and ultimately increases barriers to global integration, thereby reinforcing the lack of incentive for innovation. </w:t>
                      </w:r>
                    </w:p>
                    <w:p w:rsidR="00826B2C" w:rsidRDefault="00826B2C" w:rsidP="00CB64E6">
                      <w:pPr>
                        <w:ind w:left="5850" w:right="250"/>
                      </w:pPr>
                    </w:p>
                    <w:p w:rsidR="00826B2C" w:rsidRDefault="00826B2C" w:rsidP="00CB64E6">
                      <w:pPr>
                        <w:ind w:left="5850"/>
                      </w:pPr>
                    </w:p>
                  </w:txbxContent>
                </v:textbox>
                <w10:wrap type="square" anchorx="margin"/>
              </v:shape>
            </w:pict>
          </mc:Fallback>
        </mc:AlternateContent>
      </w:r>
    </w:p>
    <w:p w:rsidR="00CB64E6" w:rsidRPr="0086032E" w:rsidRDefault="00CB64E6" w:rsidP="002126B1">
      <w:pPr>
        <w:pStyle w:val="Heading2"/>
      </w:pPr>
      <w:bookmarkStart w:id="32" w:name="_Toc535608372"/>
      <w:r w:rsidRPr="0086032E">
        <w:t>Breaking the stalemate: Building on Georgia’s strengths</w:t>
      </w:r>
      <w:bookmarkEnd w:id="32"/>
    </w:p>
    <w:p w:rsidR="00CB64E6" w:rsidRPr="00CB64E6" w:rsidRDefault="00CB64E6" w:rsidP="00CB64E6">
      <w:pPr>
        <w:spacing w:beforeLines="120" w:before="288" w:afterLines="120" w:after="288"/>
        <w:rPr>
          <w:rFonts w:cstheme="minorHAnsi"/>
          <w:szCs w:val="20"/>
        </w:rPr>
      </w:pPr>
      <w:r w:rsidRPr="00CB64E6">
        <w:rPr>
          <w:rFonts w:cstheme="minorHAnsi"/>
          <w:szCs w:val="20"/>
        </w:rPr>
        <w:t>Fortunately, Georgia has real strengths—both differentiated cultural and economic roots—that it can build on to stimulate innovation, and disrupt the status quo.</w:t>
      </w:r>
    </w:p>
    <w:p w:rsidR="00CB64E6" w:rsidRPr="00CB64E6" w:rsidRDefault="00CB64E6" w:rsidP="00CB64E6">
      <w:pPr>
        <w:spacing w:beforeLines="120" w:before="288" w:afterLines="120" w:after="288"/>
        <w:rPr>
          <w:rFonts w:cstheme="minorHAnsi"/>
          <w:szCs w:val="20"/>
        </w:rPr>
      </w:pPr>
      <w:r w:rsidRPr="00CB64E6">
        <w:rPr>
          <w:rFonts w:cstheme="minorHAnsi"/>
          <w:b/>
          <w:szCs w:val="20"/>
        </w:rPr>
        <w:t>First among these is a national culture that broadly values creativity and celebrates it as a point of national pride.</w:t>
      </w:r>
      <w:r w:rsidRPr="00CB64E6">
        <w:rPr>
          <w:rFonts w:cstheme="minorHAnsi"/>
          <w:szCs w:val="20"/>
        </w:rPr>
        <w:t xml:space="preserve"> While creativity and innovation are distinct, they are inherently linked, with creativity often described as the ability to conceptualize novel connections between seemingly dissimilar things, and innovation the translation of that connection into a product or service. Whether in science or the arts, support for creativity provides a natural launch pad from which to develop a capability in innovation. In Georgia, pioneers in literature and filmmaking, such as Tengiz Abuladze and Rezo Chkheidze to name a few, gained </w:t>
      </w:r>
      <w:r w:rsidRPr="00CB64E6">
        <w:rPr>
          <w:rFonts w:cstheme="minorHAnsi"/>
          <w:szCs w:val="20"/>
        </w:rPr>
        <w:lastRenderedPageBreak/>
        <w:t>global acclaim and helped to construct a culture celebrating the fine arts and human inquiry that has enabled citizens to preserve a national identity in the face of great odds.  Today this legacy lives on in society and government. Across the country, Georgians reflect on their people as innately “creative” and cities host a growing variety of museums, theater and exhibits for the arts. On the Global Innovation Index, Georgia performs well above its overall average on metrics linked to creative outputs (excluding those tied to ICT and online domains).</w:t>
      </w:r>
      <w:r w:rsidRPr="00CB64E6">
        <w:rPr>
          <w:rStyle w:val="FootnoteReference"/>
          <w:rFonts w:cstheme="minorHAnsi"/>
          <w:szCs w:val="20"/>
        </w:rPr>
        <w:footnoteReference w:id="13"/>
      </w:r>
      <w:r w:rsidRPr="00CB64E6">
        <w:rPr>
          <w:rFonts w:cstheme="minorHAnsi"/>
          <w:szCs w:val="20"/>
        </w:rPr>
        <w:t xml:space="preserve"> The establishment of Creative Georgia epitomizes the government’s commitment to preserv</w:t>
      </w:r>
      <w:r w:rsidR="0086032E">
        <w:rPr>
          <w:rFonts w:cstheme="minorHAnsi"/>
          <w:szCs w:val="20"/>
        </w:rPr>
        <w:t xml:space="preserve">ing and amplifying this asset. </w:t>
      </w:r>
    </w:p>
    <w:p w:rsidR="00CB64E6" w:rsidRPr="00CB64E6" w:rsidRDefault="00CB64E6" w:rsidP="00CB64E6">
      <w:pPr>
        <w:spacing w:beforeLines="120" w:before="288" w:afterLines="120" w:after="288"/>
        <w:rPr>
          <w:rFonts w:cstheme="minorHAnsi"/>
          <w:szCs w:val="20"/>
        </w:rPr>
      </w:pPr>
      <w:r w:rsidRPr="00CB64E6">
        <w:rPr>
          <w:rFonts w:cstheme="minorHAnsi"/>
          <w:szCs w:val="20"/>
        </w:rPr>
        <w:t xml:space="preserve">Recent years have seen the re-emergence of an arts and entrepreneurial community focused on celebrating creativity in Georgian society. Fabrika, initially a hostel, has evolved into a meeting ground for entrepreneurs and creative enthusiasts, hosted in a converted space that doubles as an exposé of local artists. The rise of a local fashion industry is an example of broader set of creative industries emerging out of these historical roots. </w:t>
      </w:r>
    </w:p>
    <w:p w:rsidR="00CB64E6" w:rsidRPr="00CB64E6" w:rsidRDefault="004E141E" w:rsidP="00CB64E6">
      <w:pPr>
        <w:spacing w:beforeLines="120" w:before="288" w:afterLines="120" w:after="288"/>
        <w:rPr>
          <w:rFonts w:cstheme="minorHAnsi"/>
          <w:szCs w:val="20"/>
        </w:rPr>
      </w:pPr>
      <w:r w:rsidRPr="00CB64E6">
        <w:rPr>
          <w:rFonts w:cstheme="minorHAnsi"/>
          <w:b/>
          <w:noProof/>
          <w:szCs w:val="20"/>
        </w:rPr>
        <mc:AlternateContent>
          <mc:Choice Requires="wps">
            <w:drawing>
              <wp:anchor distT="45720" distB="45720" distL="114300" distR="114300" simplePos="0" relativeHeight="251673088" behindDoc="0" locked="0" layoutInCell="1" allowOverlap="1" wp14:anchorId="2C2137C0" wp14:editId="11648DB4">
                <wp:simplePos x="0" y="0"/>
                <wp:positionH relativeFrom="margin">
                  <wp:posOffset>2809875</wp:posOffset>
                </wp:positionH>
                <wp:positionV relativeFrom="paragraph">
                  <wp:posOffset>347345</wp:posOffset>
                </wp:positionV>
                <wp:extent cx="3139440" cy="3686175"/>
                <wp:effectExtent l="0" t="0" r="381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3686175"/>
                        </a:xfrm>
                        <a:prstGeom prst="rect">
                          <a:avLst/>
                        </a:prstGeom>
                        <a:solidFill>
                          <a:schemeClr val="accent3">
                            <a:lumMod val="40000"/>
                            <a:lumOff val="60000"/>
                          </a:schemeClr>
                        </a:solidFill>
                        <a:ln w="9525">
                          <a:noFill/>
                          <a:miter lim="800000"/>
                          <a:headEnd/>
                          <a:tailEnd/>
                        </a:ln>
                      </wps:spPr>
                      <wps:txbx>
                        <w:txbxContent>
                          <w:p w:rsidR="00826B2C" w:rsidRPr="004E141E" w:rsidRDefault="00826B2C" w:rsidP="004E141E">
                            <w:pPr>
                              <w:pStyle w:val="TextBoxHeader"/>
                              <w:rPr>
                                <w:sz w:val="24"/>
                              </w:rPr>
                            </w:pPr>
                            <w:bookmarkStart w:id="33" w:name="_Hlk524701242"/>
                            <w:bookmarkEnd w:id="33"/>
                            <w:r w:rsidRPr="004E141E">
                              <w:rPr>
                                <w:sz w:val="24"/>
                              </w:rPr>
                              <w:t>Examples of Innovation in Georgia Today</w:t>
                            </w:r>
                          </w:p>
                          <w:p w:rsidR="00826B2C" w:rsidRPr="004E141E" w:rsidRDefault="00826B2C" w:rsidP="00CB64E6">
                            <w:pPr>
                              <w:rPr>
                                <w:rFonts w:cstheme="minorHAnsi"/>
                                <w:i/>
                                <w:sz w:val="18"/>
                                <w:szCs w:val="20"/>
                              </w:rPr>
                            </w:pPr>
                            <w:r w:rsidRPr="004E141E">
                              <w:rPr>
                                <w:rFonts w:cstheme="minorHAnsi"/>
                                <w:i/>
                                <w:sz w:val="18"/>
                                <w:szCs w:val="20"/>
                              </w:rPr>
                              <w:t xml:space="preserve">While entrepreneurs and startups are critical emerging sources of innovation in Georgia, they are not the only cases; </w:t>
                            </w:r>
                            <w:r>
                              <w:rPr>
                                <w:rFonts w:cstheme="minorHAnsi"/>
                                <w:i/>
                                <w:sz w:val="18"/>
                                <w:szCs w:val="20"/>
                              </w:rPr>
                              <w:t xml:space="preserve">established companies are also </w:t>
                            </w:r>
                            <w:r w:rsidRPr="004E141E">
                              <w:rPr>
                                <w:rFonts w:cstheme="minorHAnsi"/>
                                <w:i/>
                                <w:sz w:val="18"/>
                                <w:szCs w:val="20"/>
                              </w:rPr>
                              <w:t>contributors with significant potential to scale innovation in the economy</w:t>
                            </w:r>
                          </w:p>
                          <w:p w:rsidR="00826B2C" w:rsidRPr="004E141E" w:rsidRDefault="00826B2C" w:rsidP="00CB64E6">
                            <w:pPr>
                              <w:rPr>
                                <w:rFonts w:cstheme="minorHAnsi"/>
                                <w:sz w:val="18"/>
                                <w:szCs w:val="20"/>
                              </w:rPr>
                            </w:pPr>
                            <w:r w:rsidRPr="004E141E">
                              <w:rPr>
                                <w:rFonts w:cstheme="minorHAnsi"/>
                                <w:sz w:val="18"/>
                                <w:szCs w:val="20"/>
                              </w:rPr>
                              <w:t xml:space="preserve">A top Georgian defense research agency is </w:t>
                            </w:r>
                            <w:r w:rsidRPr="004E141E">
                              <w:rPr>
                                <w:rFonts w:cstheme="minorHAnsi"/>
                                <w:b/>
                                <w:sz w:val="18"/>
                                <w:szCs w:val="20"/>
                              </w:rPr>
                              <w:t>designing equipment and vehicle solutions</w:t>
                            </w:r>
                            <w:r w:rsidRPr="004E141E">
                              <w:rPr>
                                <w:rFonts w:cstheme="minorHAnsi"/>
                                <w:sz w:val="18"/>
                                <w:szCs w:val="20"/>
                              </w:rPr>
                              <w:t xml:space="preserve"> for the global market </w:t>
                            </w:r>
                          </w:p>
                          <w:p w:rsidR="00826B2C" w:rsidRPr="004E141E" w:rsidRDefault="00826B2C" w:rsidP="00CB64E6">
                            <w:pPr>
                              <w:rPr>
                                <w:rFonts w:cstheme="minorHAnsi"/>
                                <w:sz w:val="18"/>
                                <w:szCs w:val="20"/>
                              </w:rPr>
                            </w:pPr>
                            <w:r w:rsidRPr="004E141E">
                              <w:rPr>
                                <w:rFonts w:cstheme="minorHAnsi"/>
                                <w:sz w:val="18"/>
                                <w:szCs w:val="20"/>
                              </w:rPr>
                              <w:t xml:space="preserve">A local pharmaceuticals manufacturer is </w:t>
                            </w:r>
                            <w:r w:rsidRPr="004E141E">
                              <w:rPr>
                                <w:rFonts w:cstheme="minorHAnsi"/>
                                <w:b/>
                                <w:sz w:val="18"/>
                                <w:szCs w:val="20"/>
                              </w:rPr>
                              <w:t>adapting generic products to suit local consumption patterns</w:t>
                            </w:r>
                            <w:r w:rsidRPr="004E141E">
                              <w:rPr>
                                <w:rFonts w:cstheme="minorHAnsi"/>
                                <w:sz w:val="18"/>
                                <w:szCs w:val="20"/>
                              </w:rPr>
                              <w:t xml:space="preserve"> </w:t>
                            </w:r>
                          </w:p>
                          <w:p w:rsidR="00826B2C" w:rsidRPr="004E141E" w:rsidRDefault="00826B2C" w:rsidP="00CB64E6">
                            <w:pPr>
                              <w:rPr>
                                <w:rFonts w:cstheme="minorHAnsi"/>
                                <w:b/>
                                <w:sz w:val="18"/>
                                <w:szCs w:val="20"/>
                              </w:rPr>
                            </w:pPr>
                            <w:r w:rsidRPr="004E141E">
                              <w:rPr>
                                <w:rFonts w:cstheme="minorHAnsi"/>
                                <w:sz w:val="18"/>
                                <w:szCs w:val="20"/>
                              </w:rPr>
                              <w:t xml:space="preserve">The Eliava institute is creating </w:t>
                            </w:r>
                            <w:r w:rsidRPr="004E141E">
                              <w:rPr>
                                <w:rFonts w:cstheme="minorHAnsi"/>
                                <w:b/>
                                <w:sz w:val="18"/>
                                <w:szCs w:val="20"/>
                              </w:rPr>
                              <w:t>original bacteriophages treatments for a range of diseases</w:t>
                            </w:r>
                          </w:p>
                          <w:p w:rsidR="00826B2C" w:rsidRPr="004E141E" w:rsidRDefault="00826B2C" w:rsidP="00CB64E6">
                            <w:pPr>
                              <w:rPr>
                                <w:rFonts w:cstheme="minorHAnsi"/>
                                <w:sz w:val="18"/>
                                <w:szCs w:val="20"/>
                              </w:rPr>
                            </w:pPr>
                            <w:r w:rsidRPr="004E141E">
                              <w:rPr>
                                <w:rFonts w:cstheme="minorHAnsi"/>
                                <w:sz w:val="18"/>
                                <w:szCs w:val="20"/>
                              </w:rPr>
                              <w:t xml:space="preserve">Tech entrepreneurs are creating </w:t>
                            </w:r>
                            <w:r w:rsidRPr="004E141E">
                              <w:rPr>
                                <w:rFonts w:cstheme="minorHAnsi"/>
                                <w:b/>
                                <w:sz w:val="18"/>
                                <w:szCs w:val="20"/>
                              </w:rPr>
                              <w:t>virtual reality and language translation solutions</w:t>
                            </w:r>
                            <w:r w:rsidRPr="004E141E">
                              <w:rPr>
                                <w:rFonts w:cstheme="minorHAnsi"/>
                                <w:sz w:val="18"/>
                                <w:szCs w:val="20"/>
                              </w:rPr>
                              <w:t xml:space="preserve"> to enhance tourists’ experiences, and </w:t>
                            </w:r>
                            <w:r w:rsidRPr="004E141E">
                              <w:rPr>
                                <w:rFonts w:cstheme="minorHAnsi"/>
                                <w:b/>
                                <w:sz w:val="18"/>
                                <w:szCs w:val="20"/>
                              </w:rPr>
                              <w:t>web platforms bridging on- and offline</w:t>
                            </w:r>
                            <w:r w:rsidRPr="004E141E">
                              <w:rPr>
                                <w:rFonts w:cstheme="minorHAnsi"/>
                                <w:sz w:val="18"/>
                                <w:szCs w:val="20"/>
                              </w:rPr>
                              <w:t xml:space="preserve"> businesses</w:t>
                            </w:r>
                          </w:p>
                          <w:p w:rsidR="00826B2C" w:rsidRPr="004E141E" w:rsidRDefault="00826B2C" w:rsidP="00CB64E6">
                            <w:pPr>
                              <w:rPr>
                                <w:rFonts w:cstheme="minorHAnsi"/>
                                <w:i/>
                                <w:sz w:val="18"/>
                                <w:szCs w:val="20"/>
                              </w:rPr>
                            </w:pPr>
                            <w:r w:rsidRPr="004E141E">
                              <w:rPr>
                                <w:rFonts w:cstheme="minorHAnsi"/>
                                <w:sz w:val="18"/>
                                <w:szCs w:val="20"/>
                              </w:rPr>
                              <w:t xml:space="preserve">A construction materials company is using basalt fiber to </w:t>
                            </w:r>
                            <w:r w:rsidRPr="004E141E">
                              <w:rPr>
                                <w:rFonts w:cstheme="minorHAnsi"/>
                                <w:b/>
                                <w:sz w:val="18"/>
                                <w:szCs w:val="20"/>
                              </w:rPr>
                              <w:t>enhance the sustainability of road and building solutions</w:t>
                            </w:r>
                          </w:p>
                          <w:p w:rsidR="00826B2C" w:rsidRPr="00E13442" w:rsidRDefault="00826B2C" w:rsidP="00CB64E6">
                            <w:pPr>
                              <w:rPr>
                                <w:rFonts w:cstheme="minorHAnsi"/>
                                <w:i/>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137C0" id="_x0000_s1033" type="#_x0000_t202" style="position:absolute;margin-left:221.25pt;margin-top:27.35pt;width:247.2pt;height:290.25pt;z-index:251673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" fillcolor="#d7e5f4 [1302]" stroked="f">
                <v:textbox>
                  <w:txbxContent>
                    <w:p w:rsidR="00826B2C" w:rsidRPr="004E141E" w:rsidRDefault="00826B2C" w:rsidP="004E141E">
                      <w:pPr>
                        <w:pStyle w:val="TextBoxHeader"/>
                        <w:rPr>
                          <w:sz w:val="24"/>
                        </w:rPr>
                      </w:pPr>
                      <w:bookmarkStart w:id="38" w:name="_Hlk524701242"/>
                      <w:bookmarkEnd w:id="38"/>
                      <w:r w:rsidRPr="004E141E">
                        <w:rPr>
                          <w:sz w:val="24"/>
                        </w:rPr>
                        <w:t>Examples of Innovation in Georgia Today</w:t>
                      </w:r>
                    </w:p>
                    <w:p w:rsidR="00826B2C" w:rsidRPr="004E141E" w:rsidRDefault="00826B2C" w:rsidP="00CB64E6">
                      <w:pPr>
                        <w:rPr>
                          <w:rFonts w:cstheme="minorHAnsi"/>
                          <w:i/>
                          <w:sz w:val="18"/>
                          <w:szCs w:val="20"/>
                        </w:rPr>
                      </w:pPr>
                      <w:r w:rsidRPr="004E141E">
                        <w:rPr>
                          <w:rFonts w:cstheme="minorHAnsi"/>
                          <w:i/>
                          <w:sz w:val="18"/>
                          <w:szCs w:val="20"/>
                        </w:rPr>
                        <w:t xml:space="preserve">While entrepreneurs and startups are critical emerging sources of innovation in Georgia, they are not the only cases; </w:t>
                      </w:r>
                      <w:r>
                        <w:rPr>
                          <w:rFonts w:cstheme="minorHAnsi"/>
                          <w:i/>
                          <w:sz w:val="18"/>
                          <w:szCs w:val="20"/>
                        </w:rPr>
                        <w:t xml:space="preserve">established companies are also </w:t>
                      </w:r>
                      <w:r w:rsidRPr="004E141E">
                        <w:rPr>
                          <w:rFonts w:cstheme="minorHAnsi"/>
                          <w:i/>
                          <w:sz w:val="18"/>
                          <w:szCs w:val="20"/>
                        </w:rPr>
                        <w:t>contributors with significant potential to scale innovation in the economy</w:t>
                      </w:r>
                    </w:p>
                    <w:p w:rsidR="00826B2C" w:rsidRPr="004E141E" w:rsidRDefault="00826B2C" w:rsidP="00CB64E6">
                      <w:pPr>
                        <w:rPr>
                          <w:rFonts w:cstheme="minorHAnsi"/>
                          <w:sz w:val="18"/>
                          <w:szCs w:val="20"/>
                        </w:rPr>
                      </w:pPr>
                      <w:r w:rsidRPr="004E141E">
                        <w:rPr>
                          <w:rFonts w:cstheme="minorHAnsi"/>
                          <w:sz w:val="18"/>
                          <w:szCs w:val="20"/>
                        </w:rPr>
                        <w:t xml:space="preserve">A top Georgian defense research agency is </w:t>
                      </w:r>
                      <w:r w:rsidRPr="004E141E">
                        <w:rPr>
                          <w:rFonts w:cstheme="minorHAnsi"/>
                          <w:b/>
                          <w:sz w:val="18"/>
                          <w:szCs w:val="20"/>
                        </w:rPr>
                        <w:t>designing equipment and vehicle solutions</w:t>
                      </w:r>
                      <w:r w:rsidRPr="004E141E">
                        <w:rPr>
                          <w:rFonts w:cstheme="minorHAnsi"/>
                          <w:sz w:val="18"/>
                          <w:szCs w:val="20"/>
                        </w:rPr>
                        <w:t xml:space="preserve"> for the global market </w:t>
                      </w:r>
                    </w:p>
                    <w:p w:rsidR="00826B2C" w:rsidRPr="004E141E" w:rsidRDefault="00826B2C" w:rsidP="00CB64E6">
                      <w:pPr>
                        <w:rPr>
                          <w:rFonts w:cstheme="minorHAnsi"/>
                          <w:sz w:val="18"/>
                          <w:szCs w:val="20"/>
                        </w:rPr>
                      </w:pPr>
                      <w:r w:rsidRPr="004E141E">
                        <w:rPr>
                          <w:rFonts w:cstheme="minorHAnsi"/>
                          <w:sz w:val="18"/>
                          <w:szCs w:val="20"/>
                        </w:rPr>
                        <w:t xml:space="preserve">A local pharmaceuticals manufacturer is </w:t>
                      </w:r>
                      <w:r w:rsidRPr="004E141E">
                        <w:rPr>
                          <w:rFonts w:cstheme="minorHAnsi"/>
                          <w:b/>
                          <w:sz w:val="18"/>
                          <w:szCs w:val="20"/>
                        </w:rPr>
                        <w:t>adapting generic products to suit local consumption patterns</w:t>
                      </w:r>
                      <w:r w:rsidRPr="004E141E">
                        <w:rPr>
                          <w:rFonts w:cstheme="minorHAnsi"/>
                          <w:sz w:val="18"/>
                          <w:szCs w:val="20"/>
                        </w:rPr>
                        <w:t xml:space="preserve"> </w:t>
                      </w:r>
                    </w:p>
                    <w:p w:rsidR="00826B2C" w:rsidRPr="004E141E" w:rsidRDefault="00826B2C" w:rsidP="00CB64E6">
                      <w:pPr>
                        <w:rPr>
                          <w:rFonts w:cstheme="minorHAnsi"/>
                          <w:b/>
                          <w:sz w:val="18"/>
                          <w:szCs w:val="20"/>
                        </w:rPr>
                      </w:pPr>
                      <w:r w:rsidRPr="004E141E">
                        <w:rPr>
                          <w:rFonts w:cstheme="minorHAnsi"/>
                          <w:sz w:val="18"/>
                          <w:szCs w:val="20"/>
                        </w:rPr>
                        <w:t xml:space="preserve">The Eliava institute is creating </w:t>
                      </w:r>
                      <w:r w:rsidRPr="004E141E">
                        <w:rPr>
                          <w:rFonts w:cstheme="minorHAnsi"/>
                          <w:b/>
                          <w:sz w:val="18"/>
                          <w:szCs w:val="20"/>
                        </w:rPr>
                        <w:t>original bacteriophages treatments for a range of diseases</w:t>
                      </w:r>
                    </w:p>
                    <w:p w:rsidR="00826B2C" w:rsidRPr="004E141E" w:rsidRDefault="00826B2C" w:rsidP="00CB64E6">
                      <w:pPr>
                        <w:rPr>
                          <w:rFonts w:cstheme="minorHAnsi"/>
                          <w:sz w:val="18"/>
                          <w:szCs w:val="20"/>
                        </w:rPr>
                      </w:pPr>
                      <w:r w:rsidRPr="004E141E">
                        <w:rPr>
                          <w:rFonts w:cstheme="minorHAnsi"/>
                          <w:sz w:val="18"/>
                          <w:szCs w:val="20"/>
                        </w:rPr>
                        <w:t xml:space="preserve">Tech entrepreneurs are creating </w:t>
                      </w:r>
                      <w:r w:rsidRPr="004E141E">
                        <w:rPr>
                          <w:rFonts w:cstheme="minorHAnsi"/>
                          <w:b/>
                          <w:sz w:val="18"/>
                          <w:szCs w:val="20"/>
                        </w:rPr>
                        <w:t>virtual reality and language translation solutions</w:t>
                      </w:r>
                      <w:r w:rsidRPr="004E141E">
                        <w:rPr>
                          <w:rFonts w:cstheme="minorHAnsi"/>
                          <w:sz w:val="18"/>
                          <w:szCs w:val="20"/>
                        </w:rPr>
                        <w:t xml:space="preserve"> to enhance tourists’ experiences, and </w:t>
                      </w:r>
                      <w:r w:rsidRPr="004E141E">
                        <w:rPr>
                          <w:rFonts w:cstheme="minorHAnsi"/>
                          <w:b/>
                          <w:sz w:val="18"/>
                          <w:szCs w:val="20"/>
                        </w:rPr>
                        <w:t>web platforms bridging on- and offline</w:t>
                      </w:r>
                      <w:r w:rsidRPr="004E141E">
                        <w:rPr>
                          <w:rFonts w:cstheme="minorHAnsi"/>
                          <w:sz w:val="18"/>
                          <w:szCs w:val="20"/>
                        </w:rPr>
                        <w:t xml:space="preserve"> businesses</w:t>
                      </w:r>
                    </w:p>
                    <w:p w:rsidR="00826B2C" w:rsidRPr="004E141E" w:rsidRDefault="00826B2C" w:rsidP="00CB64E6">
                      <w:pPr>
                        <w:rPr>
                          <w:rFonts w:cstheme="minorHAnsi"/>
                          <w:i/>
                          <w:sz w:val="18"/>
                          <w:szCs w:val="20"/>
                        </w:rPr>
                      </w:pPr>
                      <w:r w:rsidRPr="004E141E">
                        <w:rPr>
                          <w:rFonts w:cstheme="minorHAnsi"/>
                          <w:sz w:val="18"/>
                          <w:szCs w:val="20"/>
                        </w:rPr>
                        <w:t xml:space="preserve">A construction materials company is using basalt fiber to </w:t>
                      </w:r>
                      <w:r w:rsidRPr="004E141E">
                        <w:rPr>
                          <w:rFonts w:cstheme="minorHAnsi"/>
                          <w:b/>
                          <w:sz w:val="18"/>
                          <w:szCs w:val="20"/>
                        </w:rPr>
                        <w:t>enhance the sustainability of road and building solutions</w:t>
                      </w:r>
                    </w:p>
                    <w:p w:rsidR="00826B2C" w:rsidRPr="00E13442" w:rsidRDefault="00826B2C" w:rsidP="00CB64E6">
                      <w:pPr>
                        <w:rPr>
                          <w:rFonts w:cstheme="minorHAnsi"/>
                          <w:i/>
                          <w:szCs w:val="20"/>
                        </w:rPr>
                      </w:pPr>
                    </w:p>
                  </w:txbxContent>
                </v:textbox>
                <w10:wrap type="square" anchorx="margin"/>
              </v:shape>
            </w:pict>
          </mc:Fallback>
        </mc:AlternateContent>
      </w:r>
      <w:r w:rsidR="00CB64E6" w:rsidRPr="00CB64E6">
        <w:rPr>
          <w:rFonts w:cstheme="minorHAnsi"/>
          <w:b/>
          <w:szCs w:val="20"/>
        </w:rPr>
        <w:t>Georgia’s second opportunity to build on is the innovation happening in the country today.</w:t>
      </w:r>
      <w:r w:rsidR="00CB64E6" w:rsidRPr="00CB64E6">
        <w:rPr>
          <w:rFonts w:cstheme="minorHAnsi"/>
          <w:szCs w:val="20"/>
        </w:rPr>
        <w:t xml:space="preserve"> These cases represent examples of businesses, institutions and individuals already making investments in innovation that could be amplified with the right support, but moreover, indicators of where Georgia can be competitive in global markets. While still limited, these cases represent an important </w:t>
      </w:r>
      <w:r w:rsidR="0086032E">
        <w:rPr>
          <w:rFonts w:cstheme="minorHAnsi"/>
          <w:szCs w:val="20"/>
        </w:rPr>
        <w:t>starting point for the country.</w:t>
      </w:r>
    </w:p>
    <w:p w:rsidR="00CB64E6" w:rsidRPr="00CB64E6" w:rsidRDefault="00CB64E6" w:rsidP="00CB64E6">
      <w:pPr>
        <w:spacing w:beforeLines="120" w:before="288" w:afterLines="120" w:after="288"/>
        <w:rPr>
          <w:rFonts w:cstheme="minorHAnsi"/>
          <w:szCs w:val="20"/>
        </w:rPr>
      </w:pPr>
      <w:r w:rsidRPr="00CB64E6">
        <w:rPr>
          <w:rFonts w:cstheme="minorHAnsi"/>
          <w:szCs w:val="20"/>
        </w:rPr>
        <w:t xml:space="preserve">In the private sector, there are examples of innovation in Georgia today ranging from entrepreneurs launching innovative startups to large established companies building new offerings and ways to bringing them to market. The tech sector, for instance, has witnessed the emergence of several new enterprises, and in parallel, the expansion and formalization of a community dedicated to supporting </w:t>
      </w:r>
      <w:r w:rsidR="006F7C2A" w:rsidRPr="00CB64E6">
        <w:rPr>
          <w:rFonts w:cstheme="minorHAnsi"/>
          <w:szCs w:val="20"/>
        </w:rPr>
        <w:t>local innovators</w:t>
      </w:r>
      <w:r w:rsidRPr="00CB64E6">
        <w:rPr>
          <w:rFonts w:cstheme="minorHAnsi"/>
          <w:szCs w:val="20"/>
        </w:rPr>
        <w:t xml:space="preserve"> through networks such as Startup Grind. Among established businesses, examples ranging from eco-friendly building materials, new categories of sparkling wine, to the proliferation of cryptocurrency indicate the </w:t>
      </w:r>
      <w:r w:rsidR="006F7C2A" w:rsidRPr="00CB64E6">
        <w:rPr>
          <w:rFonts w:cstheme="minorHAnsi"/>
          <w:szCs w:val="20"/>
        </w:rPr>
        <w:t>ongoing innovation</w:t>
      </w:r>
      <w:r w:rsidRPr="00CB64E6">
        <w:rPr>
          <w:rFonts w:cstheme="minorHAnsi"/>
          <w:szCs w:val="20"/>
        </w:rPr>
        <w:t xml:space="preserve"> occurring across the Georgian market.</w:t>
      </w:r>
    </w:p>
    <w:p w:rsidR="00CB64E6" w:rsidRPr="00CB64E6" w:rsidRDefault="00CB64E6" w:rsidP="00CB64E6">
      <w:pPr>
        <w:spacing w:beforeLines="120" w:before="288" w:afterLines="120" w:after="288"/>
        <w:rPr>
          <w:rFonts w:cstheme="minorHAnsi"/>
          <w:szCs w:val="20"/>
        </w:rPr>
      </w:pPr>
      <w:r w:rsidRPr="00CB64E6">
        <w:rPr>
          <w:rFonts w:cstheme="minorHAnsi"/>
          <w:szCs w:val="20"/>
        </w:rPr>
        <w:t>Government has been and continues to be a center of innovation. GITA has launched a series of programs to position itself as a core sponsor of high tech entrepreneurship and innovation. Based in Tbilisi’s Techpark – a dedicated space for tech and innovation-oriented enterprise stationed in the hills overlooking Tbilisi – the agency hosts resident entrepreneurs and offers a range of early stage financing and support products, ranging from competitive seed grants, to start-up community networking events, to support applying for patents.</w:t>
      </w:r>
    </w:p>
    <w:p w:rsidR="00CB64E6" w:rsidRPr="00CB64E6" w:rsidRDefault="00CB64E6" w:rsidP="00CB64E6">
      <w:pPr>
        <w:spacing w:beforeLines="120" w:before="288" w:afterLines="120" w:after="288"/>
        <w:rPr>
          <w:rFonts w:cstheme="minorHAnsi"/>
          <w:i/>
          <w:szCs w:val="20"/>
        </w:rPr>
      </w:pPr>
      <w:r w:rsidRPr="00CB64E6">
        <w:rPr>
          <w:rFonts w:cstheme="minorHAnsi"/>
          <w:szCs w:val="20"/>
        </w:rPr>
        <w:t xml:space="preserve">Government-sponsored institutions – including the national defense research agency Delta and the Eliava Institute – represent some of the most established innovation systems in the country, with offerings regularly serving globally markets and driving customers to Georgia. Government agencies have pioneered the </w:t>
      </w:r>
      <w:r w:rsidRPr="00CB64E6">
        <w:rPr>
          <w:rFonts w:cstheme="minorHAnsi"/>
          <w:szCs w:val="20"/>
        </w:rPr>
        <w:lastRenderedPageBreak/>
        <w:t>application of new technologies such as blockchain to enhance transparency and efficiency of public services, as well as bringing many of them online. The country’s centralized public service centers are among the first of its kind in the region and globally.</w:t>
      </w:r>
    </w:p>
    <w:p w:rsidR="00CB64E6" w:rsidRPr="00CB64E6" w:rsidRDefault="00CB64E6" w:rsidP="00CB64E6">
      <w:pPr>
        <w:spacing w:beforeLines="120" w:before="288" w:afterLines="120" w:after="288"/>
        <w:rPr>
          <w:rFonts w:cstheme="minorHAnsi"/>
          <w:b/>
          <w:szCs w:val="20"/>
        </w:rPr>
      </w:pPr>
      <w:r w:rsidRPr="00CB64E6">
        <w:rPr>
          <w:rFonts w:cstheme="minorHAnsi"/>
          <w:b/>
          <w:szCs w:val="20"/>
        </w:rPr>
        <w:t>Third, Georgia has a number of key differentiated assets and incentives that can help companies co</w:t>
      </w:r>
      <w:r>
        <w:rPr>
          <w:rFonts w:cstheme="minorHAnsi"/>
          <w:b/>
          <w:szCs w:val="20"/>
        </w:rPr>
        <w:t>mpete in global markets</w:t>
      </w:r>
      <w:r w:rsidRPr="00CB64E6">
        <w:rPr>
          <w:rFonts w:cstheme="minorHAnsi"/>
          <w:b/>
          <w:szCs w:val="20"/>
        </w:rPr>
        <w:t xml:space="preserve"> if enabled and applied strategically. </w:t>
      </w:r>
      <w:r w:rsidRPr="00CB64E6">
        <w:rPr>
          <w:rFonts w:cstheme="minorHAnsi"/>
          <w:szCs w:val="20"/>
        </w:rPr>
        <w:t xml:space="preserve">Some companies are already taking advantage of these local assets, yet </w:t>
      </w:r>
      <w:r w:rsidR="006F7C2A" w:rsidRPr="00CB64E6">
        <w:rPr>
          <w:rFonts w:cstheme="minorHAnsi"/>
          <w:szCs w:val="20"/>
        </w:rPr>
        <w:t>overall,</w:t>
      </w:r>
      <w:r w:rsidRPr="00CB64E6">
        <w:rPr>
          <w:rFonts w:cstheme="minorHAnsi"/>
          <w:szCs w:val="20"/>
        </w:rPr>
        <w:t xml:space="preserve"> they represent significant untapped potential. Based on extensive interviews with business leaders, and a comparison to regional and global competitors, Georgia’s main differentiating advantages include:</w:t>
      </w:r>
    </w:p>
    <w:p w:rsidR="00CB64E6" w:rsidRPr="00CB64E6" w:rsidRDefault="00CB64E6" w:rsidP="00AF39BA">
      <w:pPr>
        <w:pStyle w:val="ListParagraph"/>
        <w:numPr>
          <w:ilvl w:val="0"/>
          <w:numId w:val="19"/>
        </w:numPr>
        <w:autoSpaceDE/>
        <w:autoSpaceDN/>
        <w:adjustRightInd/>
        <w:spacing w:beforeLines="120" w:before="288" w:afterLines="120" w:after="288"/>
        <w:rPr>
          <w:rFonts w:cstheme="minorHAnsi"/>
          <w:color w:val="auto"/>
          <w:sz w:val="20"/>
          <w:szCs w:val="20"/>
        </w:rPr>
      </w:pPr>
      <w:r w:rsidRPr="00CB64E6">
        <w:rPr>
          <w:rFonts w:cstheme="minorHAnsi"/>
          <w:b/>
          <w:color w:val="auto"/>
          <w:sz w:val="20"/>
          <w:szCs w:val="20"/>
        </w:rPr>
        <w:t>Ease of doing business regulations:</w:t>
      </w:r>
      <w:r w:rsidRPr="00CB64E6">
        <w:rPr>
          <w:rFonts w:cstheme="minorHAnsi"/>
          <w:color w:val="auto"/>
          <w:sz w:val="20"/>
          <w:szCs w:val="20"/>
        </w:rPr>
        <w:t xml:space="preserve"> Georgia is widely known for general ease of doing business, ranking 6</w:t>
      </w:r>
      <w:r w:rsidRPr="00CB64E6">
        <w:rPr>
          <w:rFonts w:cstheme="minorHAnsi"/>
          <w:color w:val="auto"/>
          <w:sz w:val="20"/>
          <w:szCs w:val="20"/>
          <w:vertAlign w:val="superscript"/>
        </w:rPr>
        <w:t>th</w:t>
      </w:r>
      <w:r w:rsidRPr="00CB64E6">
        <w:rPr>
          <w:rFonts w:cstheme="minorHAnsi"/>
          <w:color w:val="auto"/>
          <w:sz w:val="20"/>
          <w:szCs w:val="20"/>
        </w:rPr>
        <w:t xml:space="preserve"> globally in the 2019 report, the highest performer in the European and Central Asian (ECA) region.</w:t>
      </w:r>
      <w:r w:rsidRPr="00CB64E6">
        <w:rPr>
          <w:rStyle w:val="FootnoteReference"/>
          <w:rFonts w:cstheme="minorHAnsi"/>
          <w:color w:val="auto"/>
          <w:sz w:val="20"/>
          <w:szCs w:val="20"/>
        </w:rPr>
        <w:footnoteReference w:id="14"/>
      </w:r>
      <w:r w:rsidRPr="00CB64E6">
        <w:rPr>
          <w:rFonts w:cstheme="minorHAnsi"/>
          <w:color w:val="auto"/>
          <w:sz w:val="20"/>
          <w:szCs w:val="20"/>
        </w:rPr>
        <w:t xml:space="preserve"> Indication of the country’s move to harmonize quality, safety, health and environmental standards to fulfill the requirements associated with the country’s Deep and Comprehensive Free Trade Agreement (DCFTA) with the EU and move towards EU integration provides further incentive for business to relocate, given that Georgia will offer a higher quality operating environment and easier, cheaper mobility between EU markets.</w:t>
      </w:r>
    </w:p>
    <w:p w:rsidR="00CB64E6" w:rsidRPr="00CB64E6" w:rsidRDefault="00CB64E6" w:rsidP="00AF39BA">
      <w:pPr>
        <w:pStyle w:val="ListParagraph"/>
        <w:numPr>
          <w:ilvl w:val="0"/>
          <w:numId w:val="19"/>
        </w:numPr>
        <w:autoSpaceDE/>
        <w:autoSpaceDN/>
        <w:adjustRightInd/>
        <w:spacing w:beforeLines="120" w:before="288" w:afterLines="120" w:after="288"/>
        <w:rPr>
          <w:rFonts w:cstheme="minorHAnsi"/>
          <w:color w:val="auto"/>
          <w:sz w:val="20"/>
          <w:szCs w:val="20"/>
        </w:rPr>
      </w:pPr>
      <w:r w:rsidRPr="00CB64E6">
        <w:rPr>
          <w:rFonts w:cstheme="minorHAnsi"/>
          <w:b/>
          <w:color w:val="auto"/>
          <w:sz w:val="20"/>
          <w:szCs w:val="20"/>
        </w:rPr>
        <w:t xml:space="preserve">Low levels of corruption: </w:t>
      </w:r>
      <w:r w:rsidRPr="00CB64E6">
        <w:rPr>
          <w:rFonts w:cstheme="minorHAnsi"/>
          <w:color w:val="auto"/>
          <w:sz w:val="20"/>
          <w:szCs w:val="20"/>
        </w:rPr>
        <w:t>Georgia ranked 46</w:t>
      </w:r>
      <w:r w:rsidRPr="00CB64E6">
        <w:rPr>
          <w:rFonts w:cstheme="minorHAnsi"/>
          <w:color w:val="auto"/>
          <w:sz w:val="20"/>
          <w:szCs w:val="20"/>
          <w:vertAlign w:val="superscript"/>
        </w:rPr>
        <w:t>th</w:t>
      </w:r>
      <w:r w:rsidRPr="00CB64E6">
        <w:rPr>
          <w:rFonts w:cstheme="minorHAnsi"/>
          <w:color w:val="auto"/>
          <w:sz w:val="20"/>
          <w:szCs w:val="20"/>
        </w:rPr>
        <w:t xml:space="preserve"> of 150 countries on Transparency International’s Corruption Perceptions Index in 2017, up nearly 20 places from the decade prior.</w:t>
      </w:r>
      <w:r w:rsidRPr="00CB64E6">
        <w:rPr>
          <w:rStyle w:val="FootnoteReference"/>
          <w:rFonts w:cstheme="minorHAnsi"/>
          <w:color w:val="auto"/>
          <w:sz w:val="20"/>
          <w:szCs w:val="20"/>
        </w:rPr>
        <w:footnoteReference w:id="15"/>
      </w:r>
      <w:r w:rsidRPr="00CB64E6">
        <w:rPr>
          <w:rFonts w:cstheme="minorHAnsi"/>
          <w:color w:val="auto"/>
          <w:sz w:val="20"/>
          <w:szCs w:val="20"/>
        </w:rPr>
        <w:t xml:space="preserve"> Benefiting targeted government reforms over the past decade, businesses widely view Georgia as a more trusted, transparent and easily navigable market, particularly compared to neighboring Central Asian countries.</w:t>
      </w:r>
    </w:p>
    <w:p w:rsidR="00CB64E6" w:rsidRPr="00CB64E6" w:rsidRDefault="00CB64E6" w:rsidP="00AF39BA">
      <w:pPr>
        <w:pStyle w:val="ListParagraph"/>
        <w:numPr>
          <w:ilvl w:val="0"/>
          <w:numId w:val="19"/>
        </w:numPr>
        <w:autoSpaceDE/>
        <w:autoSpaceDN/>
        <w:adjustRightInd/>
        <w:spacing w:beforeLines="120" w:before="288" w:afterLines="120" w:after="288"/>
        <w:rPr>
          <w:rFonts w:cstheme="minorHAnsi"/>
          <w:color w:val="auto"/>
          <w:sz w:val="20"/>
          <w:szCs w:val="20"/>
        </w:rPr>
      </w:pPr>
      <w:r w:rsidRPr="00CB64E6">
        <w:rPr>
          <w:rFonts w:cstheme="minorHAnsi"/>
          <w:b/>
          <w:color w:val="auto"/>
          <w:sz w:val="20"/>
          <w:szCs w:val="20"/>
        </w:rPr>
        <w:t>Low cost labor</w:t>
      </w:r>
      <w:r w:rsidRPr="00CB64E6">
        <w:rPr>
          <w:rFonts w:cstheme="minorHAnsi"/>
          <w:color w:val="auto"/>
          <w:sz w:val="20"/>
          <w:szCs w:val="20"/>
        </w:rPr>
        <w:t>: Average salaries for Georgians, particularly among the lower-skilled, higher volume workforce are significantly lower than others in the region, notably large neighboring economies that otherwise present attractive markets for business such as Turkey. Average manufacturing salaries in the apparel industry, for example, are in the range of $350 / month in Georgia, compared to $800-1,100 / month in Turkey. While overtime Georgia’s objective is to increase worker value creation and salaries, currently it presents an incentive for companies to locate in Georgia that can provide a potential pathway to upskill the workforce.</w:t>
      </w:r>
    </w:p>
    <w:p w:rsidR="00CB64E6" w:rsidRPr="00CB64E6" w:rsidRDefault="00CB64E6" w:rsidP="00AF39BA">
      <w:pPr>
        <w:pStyle w:val="ListParagraph"/>
        <w:numPr>
          <w:ilvl w:val="0"/>
          <w:numId w:val="19"/>
        </w:numPr>
        <w:autoSpaceDE/>
        <w:autoSpaceDN/>
        <w:adjustRightInd/>
        <w:spacing w:beforeLines="120" w:before="288" w:afterLines="120" w:after="288"/>
        <w:rPr>
          <w:rFonts w:cstheme="minorHAnsi"/>
          <w:color w:val="auto"/>
          <w:sz w:val="20"/>
          <w:szCs w:val="20"/>
        </w:rPr>
      </w:pPr>
      <w:r w:rsidRPr="00CB64E6">
        <w:rPr>
          <w:rFonts w:cstheme="minorHAnsi"/>
          <w:b/>
          <w:color w:val="auto"/>
          <w:sz w:val="20"/>
          <w:szCs w:val="20"/>
        </w:rPr>
        <w:t>Preferential market access:</w:t>
      </w:r>
      <w:r w:rsidRPr="00CB64E6">
        <w:rPr>
          <w:rFonts w:cstheme="minorHAnsi"/>
          <w:color w:val="auto"/>
          <w:sz w:val="20"/>
          <w:szCs w:val="20"/>
        </w:rPr>
        <w:t xml:space="preserve"> Georgia’s DCFTA with the EU and Free Trade Agreement (FTA) with China offer companies preferential access to these markets unparalleled by its neighbors. Strategic positioning on the Silk Road further enhances this advantage.</w:t>
      </w:r>
    </w:p>
    <w:p w:rsidR="00CB64E6" w:rsidRPr="00CB64E6" w:rsidRDefault="00CB64E6" w:rsidP="00AF39BA">
      <w:pPr>
        <w:pStyle w:val="ListParagraph"/>
        <w:numPr>
          <w:ilvl w:val="0"/>
          <w:numId w:val="19"/>
        </w:numPr>
        <w:autoSpaceDE/>
        <w:autoSpaceDN/>
        <w:adjustRightInd/>
        <w:spacing w:beforeLines="120" w:before="288" w:afterLines="120" w:after="288"/>
        <w:rPr>
          <w:rFonts w:cstheme="minorHAnsi"/>
          <w:color w:val="auto"/>
          <w:sz w:val="20"/>
          <w:szCs w:val="20"/>
        </w:rPr>
      </w:pPr>
      <w:r w:rsidRPr="00CB64E6">
        <w:rPr>
          <w:rFonts w:cstheme="minorHAnsi"/>
          <w:b/>
          <w:color w:val="auto"/>
          <w:sz w:val="20"/>
          <w:szCs w:val="20"/>
        </w:rPr>
        <w:t xml:space="preserve">Low cost “green” energy: </w:t>
      </w:r>
      <w:r w:rsidRPr="00CB64E6">
        <w:rPr>
          <w:rFonts w:cstheme="minorHAnsi"/>
          <w:color w:val="auto"/>
          <w:sz w:val="20"/>
          <w:szCs w:val="20"/>
        </w:rPr>
        <w:t>Energy costs, particularly in free trade zones where tariffs are lower than the national standard, are low by international and regional standards. The cost of electricity, measured as a percentage of income per capita, is nearly half the ECA average.</w:t>
      </w:r>
      <w:r w:rsidRPr="00CB64E6">
        <w:rPr>
          <w:rStyle w:val="FootnoteReference"/>
          <w:rFonts w:cstheme="minorHAnsi"/>
          <w:color w:val="auto"/>
          <w:sz w:val="20"/>
          <w:szCs w:val="20"/>
        </w:rPr>
        <w:footnoteReference w:id="16"/>
      </w:r>
      <w:r w:rsidRPr="00CB64E6">
        <w:rPr>
          <w:rFonts w:cstheme="minorHAnsi"/>
          <w:color w:val="auto"/>
          <w:sz w:val="20"/>
          <w:szCs w:val="20"/>
        </w:rPr>
        <w:t xml:space="preserve"> Moreover, Georgia’s energy base is primarily driven by “green” hydropower, making it attractive for global companies increasingly concerned about supply chain sustainability.</w:t>
      </w:r>
    </w:p>
    <w:p w:rsidR="00CB64E6" w:rsidRPr="00CB64E6" w:rsidRDefault="00CB64E6" w:rsidP="00AF39BA">
      <w:pPr>
        <w:pStyle w:val="ListParagraph"/>
        <w:numPr>
          <w:ilvl w:val="0"/>
          <w:numId w:val="19"/>
        </w:numPr>
        <w:autoSpaceDE/>
        <w:autoSpaceDN/>
        <w:adjustRightInd/>
        <w:spacing w:beforeLines="120" w:before="288" w:afterLines="120" w:after="288"/>
        <w:rPr>
          <w:rFonts w:cstheme="minorHAnsi"/>
          <w:color w:val="auto"/>
          <w:sz w:val="20"/>
          <w:szCs w:val="20"/>
        </w:rPr>
      </w:pPr>
      <w:r w:rsidRPr="00CB64E6">
        <w:rPr>
          <w:rFonts w:cstheme="minorHAnsi"/>
          <w:b/>
          <w:color w:val="auto"/>
          <w:sz w:val="20"/>
          <w:szCs w:val="20"/>
        </w:rPr>
        <w:t xml:space="preserve">Attractive environment: </w:t>
      </w:r>
      <w:r w:rsidRPr="00CB64E6">
        <w:rPr>
          <w:rFonts w:cstheme="minorHAnsi"/>
          <w:color w:val="auto"/>
          <w:sz w:val="20"/>
          <w:szCs w:val="20"/>
        </w:rPr>
        <w:t xml:space="preserve">Georgia offers an attractive landscape amenable to farming and food production as well as tourism, capable of harvesting certain categories of produce found in only a few locations globally (e.g., hazelnuts). It is also a relatively open society, making it an attractive place to </w:t>
      </w:r>
      <w:r w:rsidRPr="00CB64E6">
        <w:rPr>
          <w:rFonts w:cstheme="minorHAnsi"/>
          <w:color w:val="auto"/>
          <w:sz w:val="20"/>
          <w:szCs w:val="20"/>
        </w:rPr>
        <w:lastRenderedPageBreak/>
        <w:t>locate a business compared to other countries in the region. The growth of the tourism industry is enhancing this environment, prompting an upsurge in varieties of recreational experiences.</w:t>
      </w:r>
    </w:p>
    <w:p w:rsidR="00CB64E6" w:rsidRPr="00CB64E6" w:rsidRDefault="00CB64E6" w:rsidP="00AF39BA">
      <w:pPr>
        <w:pStyle w:val="ListParagraph"/>
        <w:numPr>
          <w:ilvl w:val="0"/>
          <w:numId w:val="19"/>
        </w:numPr>
        <w:autoSpaceDE/>
        <w:autoSpaceDN/>
        <w:adjustRightInd/>
        <w:spacing w:beforeLines="120" w:before="288" w:afterLines="120" w:after="288"/>
        <w:rPr>
          <w:rFonts w:cstheme="minorHAnsi"/>
          <w:color w:val="auto"/>
          <w:sz w:val="20"/>
          <w:szCs w:val="20"/>
        </w:rPr>
      </w:pPr>
      <w:r w:rsidRPr="00CB64E6">
        <w:rPr>
          <w:rFonts w:cstheme="minorHAnsi"/>
          <w:b/>
          <w:color w:val="auto"/>
          <w:sz w:val="20"/>
          <w:szCs w:val="20"/>
        </w:rPr>
        <w:t>Improving transport infrastructure:</w:t>
      </w:r>
      <w:r w:rsidRPr="00CB64E6">
        <w:rPr>
          <w:rFonts w:cstheme="minorHAnsi"/>
          <w:color w:val="auto"/>
          <w:sz w:val="20"/>
          <w:szCs w:val="20"/>
        </w:rPr>
        <w:t xml:space="preserve"> Georgia ranked 119 in the 2018 Logistics Performance Index, up from 130 in 2016. While the sector is still largely underdeveloped, the government has deemed the sector a priority and is underway with large projects to position Georgia as a transit hub, including rail lines connecting East Asia and Europe, and a deep-sea port in Anaklia.</w:t>
      </w:r>
    </w:p>
    <w:p w:rsidR="00CB64E6" w:rsidRPr="00CB64E6" w:rsidRDefault="00CB64E6" w:rsidP="00CB64E6">
      <w:pPr>
        <w:spacing w:beforeLines="120" w:before="288" w:afterLines="120" w:after="288"/>
        <w:rPr>
          <w:rFonts w:cstheme="minorHAnsi"/>
          <w:szCs w:val="20"/>
        </w:rPr>
      </w:pPr>
      <w:r w:rsidRPr="00CB64E6">
        <w:rPr>
          <w:rFonts w:cstheme="minorHAnsi"/>
          <w:b/>
          <w:szCs w:val="20"/>
        </w:rPr>
        <w:t>A final major strength that Georgia can build on is that for a small economy that is located far from major markets, Georgia has a number of competitive and potentially competitive traded industries.</w:t>
      </w:r>
      <w:r w:rsidRPr="00CB64E6">
        <w:rPr>
          <w:rFonts w:cstheme="minorHAnsi"/>
          <w:szCs w:val="20"/>
        </w:rPr>
        <w:t xml:space="preserve">  These fall into three main categories based on their contribution to exports and performance relative to the global and regional economy: 1) current drivers, 2) potential drivers, and 3) supporting industries.</w:t>
      </w:r>
      <w:r w:rsidRPr="00CB64E6">
        <w:rPr>
          <w:rStyle w:val="FootnoteReference"/>
          <w:rFonts w:cstheme="minorHAnsi"/>
          <w:szCs w:val="20"/>
        </w:rPr>
        <w:footnoteReference w:id="17"/>
      </w:r>
    </w:p>
    <w:p w:rsidR="00CB64E6" w:rsidRPr="00CB64E6" w:rsidRDefault="00CB64E6" w:rsidP="00CB64E6">
      <w:pPr>
        <w:spacing w:beforeLines="120" w:before="288" w:afterLines="120" w:after="288"/>
        <w:rPr>
          <w:rFonts w:cstheme="minorHAnsi"/>
          <w:b/>
          <w:i/>
          <w:szCs w:val="20"/>
        </w:rPr>
      </w:pPr>
      <w:r w:rsidRPr="00CB64E6">
        <w:rPr>
          <w:rFonts w:cstheme="minorHAnsi"/>
          <w:b/>
          <w:i/>
          <w:szCs w:val="20"/>
        </w:rPr>
        <w:t>Current Drivers</w:t>
      </w:r>
    </w:p>
    <w:p w:rsidR="00CB64E6" w:rsidRPr="00CB64E6" w:rsidRDefault="00CB64E6" w:rsidP="00CB64E6">
      <w:pPr>
        <w:spacing w:beforeLines="120" w:before="288" w:afterLines="120" w:after="288"/>
        <w:rPr>
          <w:rFonts w:cstheme="minorHAnsi"/>
          <w:szCs w:val="20"/>
        </w:rPr>
      </w:pPr>
      <w:r w:rsidRPr="00CB64E6">
        <w:rPr>
          <w:rFonts w:cstheme="minorHAnsi"/>
          <w:szCs w:val="20"/>
        </w:rPr>
        <w:t>Current drivers contribute the most to Georgia’s tradable economy, and include industries both leading in exports, and gaining shares in the regional and global economy. In Georgia, these include agriculture, processed food and beverages (including wine and spirits), heavy industry (specifically mining of ores, steel and aluminum production), and tourism. In total, agricultural, food, and beverage products account for nearly 70% of Georgia’s exported goods by value and, together with tourism, approximat</w:t>
      </w:r>
      <w:r>
        <w:rPr>
          <w:rFonts w:cstheme="minorHAnsi"/>
          <w:szCs w:val="20"/>
        </w:rPr>
        <w:t>ely a quarter of Georgia’s GDP.</w:t>
      </w:r>
    </w:p>
    <w:p w:rsidR="00CB64E6" w:rsidRPr="0086032E" w:rsidRDefault="00CB64E6" w:rsidP="0086032E">
      <w:pPr>
        <w:spacing w:beforeLines="120" w:before="288" w:afterLines="120" w:after="288"/>
        <w:rPr>
          <w:rFonts w:cstheme="minorHAnsi"/>
          <w:szCs w:val="20"/>
        </w:rPr>
      </w:pPr>
      <w:r w:rsidRPr="00CB64E6">
        <w:rPr>
          <w:rFonts w:cstheme="minorHAnsi"/>
          <w:szCs w:val="20"/>
        </w:rPr>
        <w:t>Not only do these categories of activity lead Georgia’s exports, they are also outperforming the global and regional economy in terms of growth. As examples, between 2012 and 2016, Georgia’s share of regional exports of beverages, spirits and vinegar grew by nearly 6%, edible fruits and nuts grew by nearly 4%, and ores, slash and ash by over 6%. These trends reflect similar trajectories relative to world exports. Agriculture, food and beverage processing and tourism are also comparably large contributors to economy, at approximately 8%, 4%</w:t>
      </w:r>
      <w:r w:rsidRPr="00CB64E6">
        <w:rPr>
          <w:rStyle w:val="FootnoteReference"/>
          <w:rFonts w:cstheme="minorHAnsi"/>
          <w:szCs w:val="20"/>
        </w:rPr>
        <w:footnoteReference w:id="18"/>
      </w:r>
      <w:r w:rsidRPr="00CB64E6">
        <w:rPr>
          <w:rFonts w:cstheme="minorHAnsi"/>
          <w:szCs w:val="20"/>
        </w:rPr>
        <w:t xml:space="preserve"> and 7%</w:t>
      </w:r>
      <w:r w:rsidRPr="00CB64E6">
        <w:rPr>
          <w:rStyle w:val="FootnoteReference"/>
          <w:rFonts w:cstheme="minorHAnsi"/>
          <w:szCs w:val="20"/>
        </w:rPr>
        <w:footnoteReference w:id="19"/>
      </w:r>
      <w:r w:rsidRPr="00CB64E6">
        <w:rPr>
          <w:rFonts w:cstheme="minorHAnsi"/>
          <w:szCs w:val="20"/>
        </w:rPr>
        <w:t xml:space="preserve"> of GDP respectively (h</w:t>
      </w:r>
      <w:r w:rsidR="0086032E">
        <w:rPr>
          <w:rFonts w:cstheme="minorHAnsi"/>
          <w:szCs w:val="20"/>
        </w:rPr>
        <w:t>eavy industry is less than 3%).</w:t>
      </w:r>
    </w:p>
    <w:p w:rsidR="00CB64E6" w:rsidRPr="00CB64E6" w:rsidRDefault="00CB64E6" w:rsidP="00CB64E6">
      <w:pPr>
        <w:tabs>
          <w:tab w:val="left" w:pos="1800"/>
        </w:tabs>
        <w:spacing w:beforeLines="120" w:before="288" w:afterLines="120" w:after="288"/>
        <w:rPr>
          <w:rFonts w:cstheme="minorHAnsi"/>
          <w:b/>
          <w:i/>
          <w:szCs w:val="20"/>
        </w:rPr>
      </w:pPr>
      <w:r w:rsidRPr="00CB64E6">
        <w:rPr>
          <w:rFonts w:cstheme="minorHAnsi"/>
          <w:noProof/>
          <w:szCs w:val="20"/>
        </w:rPr>
        <w:lastRenderedPageBreak/>
        <mc:AlternateContent>
          <mc:Choice Requires="wps">
            <w:drawing>
              <wp:anchor distT="45720" distB="45720" distL="114300" distR="114300" simplePos="0" relativeHeight="251671040" behindDoc="0" locked="0" layoutInCell="1" allowOverlap="1" wp14:anchorId="599CFAC5" wp14:editId="764D433C">
                <wp:simplePos x="0" y="0"/>
                <wp:positionH relativeFrom="margin">
                  <wp:align>right</wp:align>
                </wp:positionH>
                <wp:positionV relativeFrom="paragraph">
                  <wp:posOffset>142875</wp:posOffset>
                </wp:positionV>
                <wp:extent cx="5928995" cy="4046220"/>
                <wp:effectExtent l="0" t="0" r="14605" b="114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4046561"/>
                        </a:xfrm>
                        <a:prstGeom prst="rect">
                          <a:avLst/>
                        </a:prstGeom>
                        <a:solidFill>
                          <a:schemeClr val="bg1"/>
                        </a:solidFill>
                        <a:ln w="9525">
                          <a:solidFill>
                            <a:srgbClr val="000000"/>
                          </a:solidFill>
                          <a:miter lim="800000"/>
                          <a:headEnd/>
                          <a:tailEnd/>
                        </a:ln>
                      </wps:spPr>
                      <wps:txbx>
                        <w:txbxContent>
                          <w:p w:rsidR="00826B2C" w:rsidRDefault="00826B2C" w:rsidP="00437EE3">
                            <w:pPr>
                              <w:pStyle w:val="Heading4"/>
                            </w:pPr>
                            <w:r w:rsidRPr="00D54C2B">
                              <w:t>Exhibit 1</w:t>
                            </w:r>
                            <w:r>
                              <w:t>.1</w:t>
                            </w:r>
                            <w:r w:rsidRPr="00D54C2B">
                              <w:t>: Georgian exports compared to total ECA exports</w:t>
                            </w:r>
                          </w:p>
                          <w:p w:rsidR="00826B2C" w:rsidRPr="00FE272D" w:rsidRDefault="00826B2C" w:rsidP="00CB64E6"/>
                          <w:p w:rsidR="00826B2C" w:rsidRPr="00D54C2B" w:rsidRDefault="00826B2C" w:rsidP="00CB64E6">
                            <w:pPr>
                              <w:jc w:val="center"/>
                              <w:rPr>
                                <w:rFonts w:ascii="Arial" w:hAnsi="Arial" w:cs="Arial"/>
                                <w:i/>
                              </w:rPr>
                            </w:pPr>
                            <w:r w:rsidRPr="00D54C2B">
                              <w:rPr>
                                <w:rFonts w:ascii="Arial" w:hAnsi="Arial" w:cs="Arial"/>
                                <w:i/>
                              </w:rPr>
                              <w:t>% of total ECA exports – 2016, Change in % of ECA exports – 2012-2016</w:t>
                            </w:r>
                          </w:p>
                          <w:p w:rsidR="00826B2C" w:rsidRPr="00D54C2B" w:rsidRDefault="00826B2C" w:rsidP="00CB64E6">
                            <w:pPr>
                              <w:jc w:val="center"/>
                              <w:rPr>
                                <w:rFonts w:ascii="Arial" w:hAnsi="Arial" w:cs="Arial"/>
                                <w:i/>
                              </w:rPr>
                            </w:pPr>
                          </w:p>
                          <w:p w:rsidR="00826B2C" w:rsidRPr="00D54C2B" w:rsidRDefault="00826B2C" w:rsidP="00CB64E6">
                            <w:pPr>
                              <w:jc w:val="center"/>
                              <w:rPr>
                                <w:rFonts w:ascii="Arial" w:hAnsi="Arial" w:cs="Arial"/>
                              </w:rPr>
                            </w:pPr>
                            <w:r w:rsidRPr="00D54C2B">
                              <w:rPr>
                                <w:rFonts w:ascii="Arial" w:hAnsi="Arial" w:cs="Arial"/>
                                <w:i/>
                                <w:noProof/>
                                <w:sz w:val="18"/>
                              </w:rPr>
                              <w:drawing>
                                <wp:inline distT="0" distB="0" distL="0" distR="0" wp14:anchorId="360411D2" wp14:editId="552C7EE7">
                                  <wp:extent cx="4379495" cy="2588891"/>
                                  <wp:effectExtent l="0" t="0" r="2540" b="2540"/>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8"/>
                                          <a:stretch>
                                            <a:fillRect/>
                                          </a:stretch>
                                        </pic:blipFill>
                                        <pic:spPr>
                                          <a:xfrm>
                                            <a:off x="0" y="0"/>
                                            <a:ext cx="4404013" cy="2603385"/>
                                          </a:xfrm>
                                          <a:prstGeom prst="rect">
                                            <a:avLst/>
                                          </a:prstGeom>
                                        </pic:spPr>
                                      </pic:pic>
                                    </a:graphicData>
                                  </a:graphic>
                                </wp:inline>
                              </w:drawing>
                            </w:r>
                          </w:p>
                          <w:p w:rsidR="00826B2C" w:rsidRPr="00D54C2B" w:rsidRDefault="00826B2C" w:rsidP="00CB64E6">
                            <w:pPr>
                              <w:jc w:val="right"/>
                              <w:rPr>
                                <w:rFonts w:ascii="Arial" w:hAnsi="Arial" w:cs="Arial"/>
                                <w:i/>
                                <w:sz w:val="14"/>
                              </w:rPr>
                            </w:pPr>
                            <w:r w:rsidRPr="00D54C2B">
                              <w:rPr>
                                <w:rFonts w:ascii="Arial" w:hAnsi="Arial" w:cs="Arial"/>
                                <w:i/>
                                <w:sz w:val="14"/>
                              </w:rPr>
                              <w:t>Source: Deloitte analysis, adapted from Comtrade</w:t>
                            </w:r>
                          </w:p>
                          <w:p w:rsidR="00826B2C" w:rsidRPr="00D54C2B" w:rsidRDefault="00826B2C" w:rsidP="00CB64E6">
                            <w:pPr>
                              <w:jc w:val="center"/>
                              <w:rPr>
                                <w:rFonts w:ascii="Arial" w:hAnsi="Arial" w:cs="Arial"/>
                              </w:rPr>
                            </w:pPr>
                          </w:p>
                          <w:p w:rsidR="00826B2C" w:rsidRPr="00D54C2B" w:rsidRDefault="00826B2C" w:rsidP="00CB64E6">
                            <w:pPr>
                              <w:jc w:val="center"/>
                              <w:rPr>
                                <w:rFonts w:ascii="Arial" w:hAnsi="Arial" w:cs="Arial"/>
                                <w:i/>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CFAC5" id="_x0000_s1034" type="#_x0000_t202" style="position:absolute;margin-left:415.65pt;margin-top:11.25pt;width:466.85pt;height:318.6pt;z-index:2516710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" fillcolor="white [3212]">
                <v:textbox>
                  <w:txbxContent>
                    <w:p w:rsidR="00826B2C" w:rsidRDefault="00826B2C" w:rsidP="00437EE3">
                      <w:pPr>
                        <w:pStyle w:val="Heading4"/>
                      </w:pPr>
                      <w:r w:rsidRPr="00D54C2B">
                        <w:t>Exhibit 1</w:t>
                      </w:r>
                      <w:r>
                        <w:t>.1</w:t>
                      </w:r>
                      <w:r w:rsidRPr="00D54C2B">
                        <w:t>: Georgian exports compared to total ECA exports</w:t>
                      </w:r>
                    </w:p>
                    <w:p w:rsidR="00826B2C" w:rsidRPr="00FE272D" w:rsidRDefault="00826B2C" w:rsidP="00CB64E6"/>
                    <w:p w:rsidR="00826B2C" w:rsidRPr="00D54C2B" w:rsidRDefault="00826B2C" w:rsidP="00CB64E6">
                      <w:pPr>
                        <w:jc w:val="center"/>
                        <w:rPr>
                          <w:rFonts w:ascii="Arial" w:hAnsi="Arial" w:cs="Arial"/>
                          <w:i/>
                        </w:rPr>
                      </w:pPr>
                      <w:r w:rsidRPr="00D54C2B">
                        <w:rPr>
                          <w:rFonts w:ascii="Arial" w:hAnsi="Arial" w:cs="Arial"/>
                          <w:i/>
                        </w:rPr>
                        <w:t>% of total ECA exports – 2016, Change in % of ECA exports – 2012-2016</w:t>
                      </w:r>
                    </w:p>
                    <w:p w:rsidR="00826B2C" w:rsidRPr="00D54C2B" w:rsidRDefault="00826B2C" w:rsidP="00CB64E6">
                      <w:pPr>
                        <w:jc w:val="center"/>
                        <w:rPr>
                          <w:rFonts w:ascii="Arial" w:hAnsi="Arial" w:cs="Arial"/>
                          <w:i/>
                        </w:rPr>
                      </w:pPr>
                    </w:p>
                    <w:p w:rsidR="00826B2C" w:rsidRPr="00D54C2B" w:rsidRDefault="00826B2C" w:rsidP="00CB64E6">
                      <w:pPr>
                        <w:jc w:val="center"/>
                        <w:rPr>
                          <w:rFonts w:ascii="Arial" w:hAnsi="Arial" w:cs="Arial"/>
                        </w:rPr>
                      </w:pPr>
                      <w:r w:rsidRPr="00D54C2B">
                        <w:rPr>
                          <w:rFonts w:ascii="Arial" w:hAnsi="Arial" w:cs="Arial"/>
                          <w:i/>
                          <w:noProof/>
                          <w:sz w:val="18"/>
                        </w:rPr>
                        <w:drawing>
                          <wp:inline distT="0" distB="0" distL="0" distR="0" wp14:anchorId="360411D2" wp14:editId="552C7EE7">
                            <wp:extent cx="4379495" cy="2588891"/>
                            <wp:effectExtent l="0" t="0" r="2540" b="2540"/>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9"/>
                                    <a:stretch>
                                      <a:fillRect/>
                                    </a:stretch>
                                  </pic:blipFill>
                                  <pic:spPr>
                                    <a:xfrm>
                                      <a:off x="0" y="0"/>
                                      <a:ext cx="4404013" cy="2603385"/>
                                    </a:xfrm>
                                    <a:prstGeom prst="rect">
                                      <a:avLst/>
                                    </a:prstGeom>
                                  </pic:spPr>
                                </pic:pic>
                              </a:graphicData>
                            </a:graphic>
                          </wp:inline>
                        </w:drawing>
                      </w:r>
                    </w:p>
                    <w:p w:rsidR="00826B2C" w:rsidRPr="00D54C2B" w:rsidRDefault="00826B2C" w:rsidP="00CB64E6">
                      <w:pPr>
                        <w:jc w:val="right"/>
                        <w:rPr>
                          <w:rFonts w:ascii="Arial" w:hAnsi="Arial" w:cs="Arial"/>
                          <w:i/>
                          <w:sz w:val="14"/>
                        </w:rPr>
                      </w:pPr>
                      <w:r w:rsidRPr="00D54C2B">
                        <w:rPr>
                          <w:rFonts w:ascii="Arial" w:hAnsi="Arial" w:cs="Arial"/>
                          <w:i/>
                          <w:sz w:val="14"/>
                        </w:rPr>
                        <w:t>Source: Deloitte analysis, adapted from Comtrade</w:t>
                      </w:r>
                    </w:p>
                    <w:p w:rsidR="00826B2C" w:rsidRPr="00D54C2B" w:rsidRDefault="00826B2C" w:rsidP="00CB64E6">
                      <w:pPr>
                        <w:jc w:val="center"/>
                        <w:rPr>
                          <w:rFonts w:ascii="Arial" w:hAnsi="Arial" w:cs="Arial"/>
                        </w:rPr>
                      </w:pPr>
                    </w:p>
                    <w:p w:rsidR="00826B2C" w:rsidRPr="00D54C2B" w:rsidRDefault="00826B2C" w:rsidP="00CB64E6">
                      <w:pPr>
                        <w:jc w:val="center"/>
                        <w:rPr>
                          <w:rFonts w:ascii="Arial" w:hAnsi="Arial" w:cs="Arial"/>
                          <w:i/>
                          <w:sz w:val="18"/>
                        </w:rPr>
                      </w:pPr>
                    </w:p>
                  </w:txbxContent>
                </v:textbox>
                <w10:wrap type="square" anchorx="margin"/>
              </v:shape>
            </w:pict>
          </mc:Fallback>
        </mc:AlternateContent>
      </w:r>
    </w:p>
    <w:p w:rsidR="00CB64E6" w:rsidRPr="00CB64E6" w:rsidRDefault="00CB64E6" w:rsidP="00CB64E6">
      <w:pPr>
        <w:tabs>
          <w:tab w:val="left" w:pos="1800"/>
        </w:tabs>
        <w:spacing w:beforeLines="120" w:before="288" w:afterLines="120" w:after="288"/>
        <w:rPr>
          <w:rFonts w:cstheme="minorHAnsi"/>
          <w:b/>
          <w:i/>
          <w:szCs w:val="20"/>
        </w:rPr>
      </w:pPr>
      <w:r w:rsidRPr="00CB64E6">
        <w:rPr>
          <w:rFonts w:cstheme="minorHAnsi"/>
          <w:b/>
          <w:i/>
          <w:szCs w:val="20"/>
        </w:rPr>
        <w:t>Potential Drivers</w:t>
      </w:r>
    </w:p>
    <w:p w:rsidR="00CB64E6" w:rsidRPr="00CB64E6" w:rsidRDefault="00CB64E6" w:rsidP="00CB64E6">
      <w:pPr>
        <w:spacing w:beforeLines="120" w:before="288" w:afterLines="120" w:after="288"/>
        <w:rPr>
          <w:rFonts w:cstheme="minorHAnsi"/>
          <w:szCs w:val="20"/>
        </w:rPr>
      </w:pPr>
      <w:r w:rsidRPr="00CB64E6">
        <w:rPr>
          <w:rFonts w:cstheme="minorHAnsi"/>
          <w:szCs w:val="20"/>
        </w:rPr>
        <w:t>Potential drivers include a range of industries that broadly fall under a category of consumer manufacturing. Each comprises a smaller, yet significant portion of Georgian exports compared to the main drivers, and in some cases is increasing in terms of global and regional share. The main activities in this category include pharmaceuticals, fashion and apparel, vehicles, aerospace and defense, building materials and industrial chemical products (e.g., fertilizers). Excluding defense, these industries account for nearly 20% of ex</w:t>
      </w:r>
      <w:r>
        <w:rPr>
          <w:rFonts w:cstheme="minorHAnsi"/>
          <w:szCs w:val="20"/>
        </w:rPr>
        <w:t>ports.</w:t>
      </w:r>
    </w:p>
    <w:p w:rsidR="00CB64E6" w:rsidRPr="00CB64E6" w:rsidRDefault="00CB64E6" w:rsidP="00CB64E6">
      <w:pPr>
        <w:spacing w:beforeLines="120" w:before="288" w:afterLines="120" w:after="288"/>
        <w:rPr>
          <w:rFonts w:cstheme="minorHAnsi"/>
          <w:szCs w:val="20"/>
        </w:rPr>
      </w:pPr>
      <w:r w:rsidRPr="00CB64E6">
        <w:rPr>
          <w:rFonts w:cstheme="minorHAnsi"/>
          <w:szCs w:val="20"/>
        </w:rPr>
        <w:t>Certain industries within this category have seen notable expansion in recent years, in absolute value creation and as a share of global trade. Between 2012 and 2016, Georgia’s share of regional pharmaceutical exports grew by 1.8%, while articles of apparel grew by just under 1%. Although export data is not publicly available, Georgia’s defense production and innovation capabilities are widely known to be one of the most advanced in the country. Recent investment into the aerospace sector by Israeli company Elbit will add to the country’s export capability on</w:t>
      </w:r>
      <w:r>
        <w:rPr>
          <w:rFonts w:cstheme="minorHAnsi"/>
          <w:szCs w:val="20"/>
        </w:rPr>
        <w:t xml:space="preserve">ce the factory is operational. </w:t>
      </w:r>
    </w:p>
    <w:p w:rsidR="00CB64E6" w:rsidRPr="00CB64E6" w:rsidRDefault="00CB64E6" w:rsidP="00CB64E6">
      <w:pPr>
        <w:spacing w:beforeLines="120" w:before="288" w:afterLines="120" w:after="288"/>
        <w:rPr>
          <w:rFonts w:cstheme="minorHAnsi"/>
          <w:b/>
          <w:i/>
          <w:szCs w:val="20"/>
        </w:rPr>
      </w:pPr>
      <w:r w:rsidRPr="00CB64E6">
        <w:rPr>
          <w:rFonts w:cstheme="minorHAnsi"/>
          <w:b/>
          <w:i/>
          <w:szCs w:val="20"/>
        </w:rPr>
        <w:t>Supporting Industries</w:t>
      </w:r>
    </w:p>
    <w:p w:rsidR="00CB64E6" w:rsidRPr="00CB64E6" w:rsidRDefault="00CB64E6" w:rsidP="00CB64E6">
      <w:pPr>
        <w:spacing w:beforeLines="120" w:before="288" w:afterLines="120" w:after="288"/>
        <w:rPr>
          <w:rFonts w:cstheme="minorHAnsi"/>
          <w:szCs w:val="20"/>
        </w:rPr>
      </w:pPr>
      <w:r w:rsidRPr="00CB64E6">
        <w:rPr>
          <w:rFonts w:cstheme="minorHAnsi"/>
          <w:szCs w:val="20"/>
        </w:rPr>
        <w:t>The final category of industries in Georgia’s tradable economy have the potential to serve external markets but at present, almost exclusively serve the domestic market apart from firm-level exceptions. The main industries in this category include transportation and logistics, information and communications technology (ICT), finance, energy and construction.</w:t>
      </w:r>
    </w:p>
    <w:p w:rsidR="00CB64E6" w:rsidRPr="00CB64E6" w:rsidRDefault="00CB64E6" w:rsidP="00CB64E6">
      <w:pPr>
        <w:spacing w:beforeLines="120" w:before="288" w:afterLines="120" w:after="288"/>
        <w:rPr>
          <w:rFonts w:cstheme="minorHAnsi"/>
          <w:szCs w:val="20"/>
        </w:rPr>
      </w:pPr>
    </w:p>
    <w:p w:rsidR="00CB64E6" w:rsidRPr="00CB64E6" w:rsidRDefault="00CB64E6" w:rsidP="00CB64E6">
      <w:pPr>
        <w:spacing w:beforeLines="120" w:before="288" w:afterLines="120" w:after="288"/>
        <w:rPr>
          <w:rFonts w:cstheme="minorHAnsi"/>
          <w:szCs w:val="20"/>
        </w:rPr>
      </w:pPr>
      <w:r w:rsidRPr="00CB64E6">
        <w:rPr>
          <w:rFonts w:cstheme="minorHAnsi"/>
          <w:szCs w:val="20"/>
        </w:rPr>
        <w:lastRenderedPageBreak/>
        <w:t>Industries within this category fall into two main groups: 1) developed, well-resourced industries lacking the drive to pursue external markets, and 2) underdeveloped industries aiming to serve global markets but currently lacking the a</w:t>
      </w:r>
      <w:r>
        <w:rPr>
          <w:rFonts w:cstheme="minorHAnsi"/>
          <w:szCs w:val="20"/>
        </w:rPr>
        <w:t>ssets to be competitive abroad.</w:t>
      </w:r>
    </w:p>
    <w:p w:rsidR="00CB64E6" w:rsidRPr="00CB64E6" w:rsidRDefault="00CB64E6" w:rsidP="00CB64E6">
      <w:pPr>
        <w:spacing w:beforeLines="120" w:before="288" w:afterLines="120" w:after="288"/>
        <w:rPr>
          <w:rFonts w:cstheme="minorHAnsi"/>
          <w:szCs w:val="20"/>
        </w:rPr>
      </w:pPr>
      <w:r w:rsidRPr="00CB64E6">
        <w:rPr>
          <w:rFonts w:cstheme="minorHAnsi"/>
          <w:szCs w:val="20"/>
        </w:rPr>
        <w:t xml:space="preserve">Finance, energy and construction fall into the first category. Each benefits from strong, growing local demand and reliably comfortable margins which has enabled them to rally significant local investment. Georgia’s leading banks have been using resources to invest in innovation, however their focus is predominantly on the local market. Transportation and logistics, and ICT fall into the second category. While an emerging cadre of ICT specialists and entrepreneurs and large investments into the transport sector provide fuel for growth in each respectively, both sectors are today underdeveloped and require significant upgrades to compete against more established regional and global </w:t>
      </w:r>
      <w:r w:rsidR="0086032E">
        <w:rPr>
          <w:rFonts w:cstheme="minorHAnsi"/>
          <w:szCs w:val="20"/>
        </w:rPr>
        <w:t>industry hubs in the near term.</w:t>
      </w:r>
    </w:p>
    <w:p w:rsidR="00CB64E6" w:rsidRPr="004E141E" w:rsidRDefault="00CB64E6" w:rsidP="002126B1">
      <w:pPr>
        <w:pStyle w:val="Heading2"/>
      </w:pPr>
      <w:bookmarkStart w:id="34" w:name="_Toc535608373"/>
      <w:r w:rsidRPr="004E141E">
        <w:t>Translating Georgia’s strengths into an innovation strategy</w:t>
      </w:r>
      <w:bookmarkEnd w:id="34"/>
    </w:p>
    <w:p w:rsidR="00CB64E6" w:rsidRPr="00CB64E6" w:rsidRDefault="00CB64E6" w:rsidP="00CB64E6">
      <w:pPr>
        <w:spacing w:beforeLines="120" w:before="288" w:afterLines="120" w:after="288"/>
        <w:rPr>
          <w:rFonts w:cstheme="minorHAnsi"/>
          <w:szCs w:val="20"/>
        </w:rPr>
      </w:pPr>
      <w:r w:rsidRPr="00CB64E6">
        <w:rPr>
          <w:rFonts w:cstheme="minorHAnsi"/>
          <w:i/>
          <w:szCs w:val="20"/>
        </w:rPr>
        <w:t xml:space="preserve">How can Georgia translate these strengths into an innovation strategy? </w:t>
      </w:r>
      <w:r w:rsidRPr="00CB64E6">
        <w:rPr>
          <w:rFonts w:cstheme="minorHAnsi"/>
          <w:szCs w:val="20"/>
        </w:rPr>
        <w:t>Looking ahead, Georgia’s objective is become a place where broad-based innovation – across industries and geographies –  contributes to inclusive growth and prosperity for its people. Each of these strengths – culture, existing innovation, differentiated environment and diversified tradable industry – has implications for the pathway Georgia p</w:t>
      </w:r>
      <w:r w:rsidR="0086032E">
        <w:rPr>
          <w:rFonts w:cstheme="minorHAnsi"/>
          <w:szCs w:val="20"/>
        </w:rPr>
        <w:t>ursues to realize this outcome.</w:t>
      </w:r>
    </w:p>
    <w:p w:rsidR="00CB64E6" w:rsidRPr="00CB64E6" w:rsidRDefault="00CB64E6" w:rsidP="00CB64E6">
      <w:pPr>
        <w:spacing w:beforeLines="120" w:before="288" w:afterLines="120" w:after="288"/>
        <w:rPr>
          <w:rFonts w:cstheme="minorHAnsi"/>
          <w:szCs w:val="20"/>
        </w:rPr>
      </w:pPr>
      <w:r w:rsidRPr="00CB64E6">
        <w:rPr>
          <w:rFonts w:cstheme="minorHAnsi"/>
          <w:szCs w:val="20"/>
        </w:rPr>
        <w:t>Innovation is difficult in the best of circumstances.  Georgia’s innovation “stalemate” (described above) makes it still more difficult. Breaking the stalemate will not happen by spreading resources evenly across all areas of the economy.  It will require a focus on intentionally cultivating those industries where Georgia has differentiated advantages that make them to better compete, both at home and in foreign markets. These “leading” industries present the best opportunity to disrupt the current cycle, break down deepening information asymmetries and rising market discovery costs and open a pathway for o</w:t>
      </w:r>
      <w:r w:rsidR="0086032E">
        <w:rPr>
          <w:rFonts w:cstheme="minorHAnsi"/>
          <w:szCs w:val="20"/>
        </w:rPr>
        <w:t>ther industries to follow suit.</w:t>
      </w:r>
    </w:p>
    <w:p w:rsidR="00CB64E6" w:rsidRPr="00CB64E6" w:rsidRDefault="00CB64E6" w:rsidP="00CB64E6">
      <w:pPr>
        <w:spacing w:beforeLines="120" w:before="288" w:afterLines="120" w:after="288"/>
        <w:rPr>
          <w:rFonts w:cstheme="minorHAnsi"/>
          <w:szCs w:val="20"/>
        </w:rPr>
      </w:pPr>
      <w:r w:rsidRPr="00CB64E6">
        <w:rPr>
          <w:rFonts w:cstheme="minorHAnsi"/>
          <w:szCs w:val="20"/>
        </w:rPr>
        <w:t>While Georgia’s tradable economy is diverse, its greatest advantage is in the production of goods – and specifically in categories of manufacturing that are low volume, and high value. Relative to service industries that depend heavily on strong education system and large volumes of human capital – two of Georgia’s weaknesses relative to the region and globally – businesses engaged in the production of goods can benefit disproportionately from the country’s low cost natural resources, free trade agreements, quality</w:t>
      </w:r>
      <w:r w:rsidR="0086032E">
        <w:rPr>
          <w:rFonts w:cstheme="minorHAnsi"/>
          <w:szCs w:val="20"/>
        </w:rPr>
        <w:t xml:space="preserve"> standards and low corruption. </w:t>
      </w:r>
    </w:p>
    <w:p w:rsidR="00CB64E6" w:rsidRPr="00CB64E6" w:rsidRDefault="00CB64E6" w:rsidP="00CB64E6">
      <w:pPr>
        <w:spacing w:beforeLines="120" w:before="288" w:afterLines="120" w:after="288"/>
        <w:rPr>
          <w:rFonts w:cstheme="minorHAnsi"/>
          <w:szCs w:val="20"/>
        </w:rPr>
      </w:pPr>
      <w:r w:rsidRPr="00CB64E6">
        <w:rPr>
          <w:rFonts w:cstheme="minorHAnsi"/>
          <w:szCs w:val="20"/>
        </w:rPr>
        <w:t xml:space="preserve">With quality standards moving credibly towards harmonization with the EU and low-cost human capital, Georgia is particularly suited to serve manufacturing businesses in industries that face complex regulations and depend on manual labor, common among high value, design-oriented industries. Importing items such as food, pharmaceuticals, personal care products, or medical instruments that are tightly regulated from emerging economies into Europe and other developed markets is often prohibitively costly for business, pushing them to keep production in local markets with high labor costs. Similarly navigating complex and often vague industry regulations in other countries in the Caucuses can keep businesses from entering these markets. As a </w:t>
      </w:r>
      <w:r w:rsidR="002630E1">
        <w:rPr>
          <w:rFonts w:cstheme="minorHAnsi"/>
          <w:szCs w:val="20"/>
        </w:rPr>
        <w:t>country</w:t>
      </w:r>
      <w:r w:rsidRPr="00CB64E6">
        <w:rPr>
          <w:rFonts w:cstheme="minorHAnsi"/>
          <w:szCs w:val="20"/>
        </w:rPr>
        <w:t xml:space="preserve"> increasingly matching European standards and with local insight into neighboring markets, Georgia represents a far less</w:t>
      </w:r>
      <w:r w:rsidR="0086032E">
        <w:rPr>
          <w:rFonts w:cstheme="minorHAnsi"/>
          <w:szCs w:val="20"/>
        </w:rPr>
        <w:t xml:space="preserve"> costly option to reach both.  </w:t>
      </w:r>
    </w:p>
    <w:p w:rsidR="00CB64E6" w:rsidRPr="00CB64E6" w:rsidRDefault="00CB64E6" w:rsidP="00CB64E6">
      <w:pPr>
        <w:spacing w:beforeLines="120" w:before="288" w:afterLines="120" w:after="288"/>
        <w:rPr>
          <w:rFonts w:cstheme="minorHAnsi"/>
          <w:szCs w:val="20"/>
        </w:rPr>
      </w:pPr>
      <w:r w:rsidRPr="00CB64E6">
        <w:rPr>
          <w:rFonts w:cstheme="minorHAnsi"/>
          <w:noProof/>
          <w:szCs w:val="20"/>
        </w:rPr>
        <w:lastRenderedPageBreak/>
        <mc:AlternateContent>
          <mc:Choice Requires="wps">
            <w:drawing>
              <wp:anchor distT="45720" distB="45720" distL="114300" distR="114300" simplePos="0" relativeHeight="251674112" behindDoc="0" locked="0" layoutInCell="1" allowOverlap="1" wp14:anchorId="0D1955AD" wp14:editId="1FF89183">
                <wp:simplePos x="0" y="0"/>
                <wp:positionH relativeFrom="margin">
                  <wp:align>left</wp:align>
                </wp:positionH>
                <wp:positionV relativeFrom="paragraph">
                  <wp:posOffset>46990</wp:posOffset>
                </wp:positionV>
                <wp:extent cx="2562225" cy="2733675"/>
                <wp:effectExtent l="0" t="0" r="9525" b="952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733675"/>
                        </a:xfrm>
                        <a:prstGeom prst="rect">
                          <a:avLst/>
                        </a:prstGeom>
                        <a:solidFill>
                          <a:schemeClr val="accent3">
                            <a:lumMod val="40000"/>
                            <a:lumOff val="60000"/>
                          </a:schemeClr>
                        </a:solidFill>
                        <a:ln w="9525">
                          <a:noFill/>
                          <a:miter lim="800000"/>
                          <a:headEnd/>
                          <a:tailEnd/>
                        </a:ln>
                      </wps:spPr>
                      <wps:txbx>
                        <w:txbxContent>
                          <w:p w:rsidR="00826B2C" w:rsidRPr="004E141E" w:rsidRDefault="00826B2C" w:rsidP="004E141E">
                            <w:pPr>
                              <w:pStyle w:val="TextBoxHeader"/>
                              <w:rPr>
                                <w:sz w:val="22"/>
                              </w:rPr>
                            </w:pPr>
                            <w:r w:rsidRPr="004E141E">
                              <w:rPr>
                                <w:sz w:val="22"/>
                              </w:rPr>
                              <w:t>What is high value manufacturing?</w:t>
                            </w:r>
                          </w:p>
                          <w:p w:rsidR="00826B2C" w:rsidRPr="004E141E" w:rsidRDefault="00826B2C" w:rsidP="00CB64E6">
                            <w:pPr>
                              <w:rPr>
                                <w:rFonts w:cstheme="minorHAnsi"/>
                                <w:color w:val="000000" w:themeColor="text1"/>
                                <w:sz w:val="18"/>
                                <w:szCs w:val="20"/>
                              </w:rPr>
                            </w:pPr>
                            <w:r w:rsidRPr="004E141E">
                              <w:rPr>
                                <w:rFonts w:cstheme="minorHAnsi"/>
                                <w:color w:val="000000" w:themeColor="text1"/>
                                <w:sz w:val="18"/>
                                <w:szCs w:val="20"/>
                              </w:rPr>
                              <w:t xml:space="preserve">High-value manufacturing is a sub-category of manufacturing whose business model depends on fewer goods sold at higher margins. </w:t>
                            </w:r>
                          </w:p>
                          <w:p w:rsidR="00826B2C" w:rsidRPr="004E141E" w:rsidRDefault="00826B2C" w:rsidP="00CB64E6">
                            <w:pPr>
                              <w:rPr>
                                <w:rFonts w:cstheme="minorHAnsi"/>
                                <w:i/>
                                <w:color w:val="000000" w:themeColor="text1"/>
                                <w:sz w:val="18"/>
                                <w:szCs w:val="20"/>
                              </w:rPr>
                            </w:pPr>
                            <w:r w:rsidRPr="004E141E">
                              <w:rPr>
                                <w:rFonts w:cstheme="minorHAnsi"/>
                                <w:i/>
                                <w:color w:val="000000" w:themeColor="text1"/>
                                <w:sz w:val="18"/>
                                <w:szCs w:val="20"/>
                              </w:rPr>
                              <w:t xml:space="preserve">Examples of industries included: </w:t>
                            </w:r>
                          </w:p>
                          <w:p w:rsidR="00826B2C" w:rsidRPr="004E141E" w:rsidRDefault="00826B2C" w:rsidP="00AF39BA">
                            <w:pPr>
                              <w:pStyle w:val="ListParagraph"/>
                              <w:numPr>
                                <w:ilvl w:val="0"/>
                                <w:numId w:val="21"/>
                              </w:numPr>
                              <w:autoSpaceDE/>
                              <w:autoSpaceDN/>
                              <w:adjustRightInd/>
                              <w:spacing w:before="0" w:line="259" w:lineRule="auto"/>
                              <w:contextualSpacing/>
                              <w:rPr>
                                <w:rFonts w:cstheme="minorHAnsi"/>
                                <w:color w:val="000000" w:themeColor="text1"/>
                                <w:sz w:val="18"/>
                                <w:szCs w:val="20"/>
                              </w:rPr>
                            </w:pPr>
                            <w:r w:rsidRPr="004E141E">
                              <w:rPr>
                                <w:rFonts w:cstheme="minorHAnsi"/>
                                <w:color w:val="000000" w:themeColor="text1"/>
                                <w:sz w:val="18"/>
                                <w:szCs w:val="20"/>
                              </w:rPr>
                              <w:t>Pharma and biotechnology</w:t>
                            </w:r>
                          </w:p>
                          <w:p w:rsidR="00826B2C" w:rsidRPr="004E141E" w:rsidRDefault="00826B2C" w:rsidP="00AF39BA">
                            <w:pPr>
                              <w:pStyle w:val="ListParagraph"/>
                              <w:numPr>
                                <w:ilvl w:val="0"/>
                                <w:numId w:val="21"/>
                              </w:numPr>
                              <w:autoSpaceDE/>
                              <w:autoSpaceDN/>
                              <w:adjustRightInd/>
                              <w:spacing w:before="0" w:line="259" w:lineRule="auto"/>
                              <w:contextualSpacing/>
                              <w:rPr>
                                <w:rFonts w:cstheme="minorHAnsi"/>
                                <w:color w:val="000000" w:themeColor="text1"/>
                                <w:sz w:val="18"/>
                                <w:szCs w:val="20"/>
                              </w:rPr>
                            </w:pPr>
                            <w:r w:rsidRPr="004E141E">
                              <w:rPr>
                                <w:rFonts w:cstheme="minorHAnsi"/>
                                <w:color w:val="000000" w:themeColor="text1"/>
                                <w:sz w:val="18"/>
                                <w:szCs w:val="20"/>
                              </w:rPr>
                              <w:t>Synthetic foods</w:t>
                            </w:r>
                          </w:p>
                          <w:p w:rsidR="00826B2C" w:rsidRPr="004E141E" w:rsidRDefault="00826B2C" w:rsidP="00AF39BA">
                            <w:pPr>
                              <w:pStyle w:val="ListParagraph"/>
                              <w:numPr>
                                <w:ilvl w:val="0"/>
                                <w:numId w:val="21"/>
                              </w:numPr>
                              <w:autoSpaceDE/>
                              <w:autoSpaceDN/>
                              <w:adjustRightInd/>
                              <w:spacing w:before="0" w:line="259" w:lineRule="auto"/>
                              <w:contextualSpacing/>
                              <w:rPr>
                                <w:rFonts w:cstheme="minorHAnsi"/>
                                <w:i/>
                                <w:color w:val="000000" w:themeColor="text1"/>
                                <w:sz w:val="18"/>
                                <w:szCs w:val="20"/>
                              </w:rPr>
                            </w:pPr>
                            <w:r w:rsidRPr="004E141E">
                              <w:rPr>
                                <w:rFonts w:cstheme="minorHAnsi"/>
                                <w:color w:val="000000" w:themeColor="text1"/>
                                <w:sz w:val="18"/>
                                <w:szCs w:val="20"/>
                              </w:rPr>
                              <w:t xml:space="preserve">Medical Instruments </w:t>
                            </w:r>
                          </w:p>
                          <w:p w:rsidR="00826B2C" w:rsidRPr="004E141E" w:rsidRDefault="00826B2C" w:rsidP="00AF39BA">
                            <w:pPr>
                              <w:pStyle w:val="ListParagraph"/>
                              <w:numPr>
                                <w:ilvl w:val="0"/>
                                <w:numId w:val="21"/>
                              </w:numPr>
                              <w:autoSpaceDE/>
                              <w:autoSpaceDN/>
                              <w:adjustRightInd/>
                              <w:spacing w:before="0" w:line="259" w:lineRule="auto"/>
                              <w:contextualSpacing/>
                              <w:rPr>
                                <w:rFonts w:cstheme="minorHAnsi"/>
                                <w:i/>
                                <w:color w:val="000000" w:themeColor="text1"/>
                                <w:sz w:val="18"/>
                                <w:szCs w:val="20"/>
                              </w:rPr>
                            </w:pPr>
                            <w:r w:rsidRPr="004E141E">
                              <w:rPr>
                                <w:rFonts w:cstheme="minorHAnsi"/>
                                <w:color w:val="000000" w:themeColor="text1"/>
                                <w:sz w:val="18"/>
                                <w:szCs w:val="20"/>
                              </w:rPr>
                              <w:t>Materials sciences</w:t>
                            </w:r>
                          </w:p>
                          <w:p w:rsidR="00826B2C" w:rsidRPr="004E141E" w:rsidRDefault="00826B2C" w:rsidP="00AF39BA">
                            <w:pPr>
                              <w:pStyle w:val="ListParagraph"/>
                              <w:numPr>
                                <w:ilvl w:val="0"/>
                                <w:numId w:val="21"/>
                              </w:numPr>
                              <w:autoSpaceDE/>
                              <w:autoSpaceDN/>
                              <w:adjustRightInd/>
                              <w:spacing w:before="0" w:line="259" w:lineRule="auto"/>
                              <w:contextualSpacing/>
                              <w:rPr>
                                <w:rFonts w:cstheme="minorHAnsi"/>
                                <w:color w:val="000000" w:themeColor="text1"/>
                                <w:sz w:val="18"/>
                                <w:szCs w:val="20"/>
                              </w:rPr>
                            </w:pPr>
                            <w:r w:rsidRPr="004E141E">
                              <w:rPr>
                                <w:rFonts w:cstheme="minorHAnsi"/>
                                <w:color w:val="000000" w:themeColor="text1"/>
                                <w:sz w:val="18"/>
                                <w:szCs w:val="20"/>
                              </w:rPr>
                              <w:t>Wine and spirits</w:t>
                            </w:r>
                          </w:p>
                          <w:p w:rsidR="00826B2C" w:rsidRPr="004E141E" w:rsidRDefault="00826B2C" w:rsidP="00CB64E6">
                            <w:pPr>
                              <w:rPr>
                                <w:rFonts w:cstheme="minorHAnsi"/>
                                <w:i/>
                                <w:color w:val="000000" w:themeColor="text1"/>
                                <w:sz w:val="18"/>
                                <w:szCs w:val="20"/>
                              </w:rPr>
                            </w:pPr>
                            <w:r w:rsidRPr="004E141E">
                              <w:rPr>
                                <w:rFonts w:cstheme="minorHAnsi"/>
                                <w:i/>
                                <w:color w:val="000000" w:themeColor="text1"/>
                                <w:sz w:val="18"/>
                                <w:szCs w:val="20"/>
                              </w:rPr>
                              <w:t>Examples of industries excluded:</w:t>
                            </w:r>
                          </w:p>
                          <w:p w:rsidR="00826B2C" w:rsidRPr="004E141E" w:rsidRDefault="00826B2C" w:rsidP="00AF39BA">
                            <w:pPr>
                              <w:pStyle w:val="ListParagraph"/>
                              <w:numPr>
                                <w:ilvl w:val="0"/>
                                <w:numId w:val="23"/>
                              </w:numPr>
                              <w:autoSpaceDE/>
                              <w:autoSpaceDN/>
                              <w:adjustRightInd/>
                              <w:spacing w:before="0" w:line="259" w:lineRule="auto"/>
                              <w:contextualSpacing/>
                              <w:rPr>
                                <w:rFonts w:cstheme="minorHAnsi"/>
                                <w:color w:val="000000" w:themeColor="text1"/>
                                <w:sz w:val="18"/>
                                <w:szCs w:val="20"/>
                              </w:rPr>
                            </w:pPr>
                            <w:r w:rsidRPr="004E141E">
                              <w:rPr>
                                <w:rFonts w:cstheme="minorHAnsi"/>
                                <w:color w:val="000000" w:themeColor="text1"/>
                                <w:sz w:val="18"/>
                                <w:szCs w:val="20"/>
                              </w:rPr>
                              <w:t>Consumer mobile phones</w:t>
                            </w:r>
                          </w:p>
                          <w:p w:rsidR="00826B2C" w:rsidRPr="004E141E" w:rsidRDefault="00826B2C" w:rsidP="00AF39BA">
                            <w:pPr>
                              <w:pStyle w:val="ListParagraph"/>
                              <w:numPr>
                                <w:ilvl w:val="0"/>
                                <w:numId w:val="23"/>
                              </w:numPr>
                              <w:autoSpaceDE/>
                              <w:autoSpaceDN/>
                              <w:adjustRightInd/>
                              <w:spacing w:before="0" w:line="259" w:lineRule="auto"/>
                              <w:contextualSpacing/>
                              <w:rPr>
                                <w:rFonts w:cstheme="minorHAnsi"/>
                                <w:color w:val="000000" w:themeColor="text1"/>
                                <w:sz w:val="18"/>
                                <w:szCs w:val="20"/>
                              </w:rPr>
                            </w:pPr>
                            <w:r w:rsidRPr="004E141E">
                              <w:rPr>
                                <w:rFonts w:cstheme="minorHAnsi"/>
                                <w:color w:val="000000" w:themeColor="text1"/>
                                <w:sz w:val="18"/>
                                <w:szCs w:val="20"/>
                              </w:rPr>
                              <w:t>Fast fashion apparel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955AD" id="_x0000_s1035" type="#_x0000_t202" style="position:absolute;margin-left:0;margin-top:3.7pt;width:201.75pt;height:215.25pt;z-index:2516741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" fillcolor="#d7e5f4 [1302]" stroked="f">
                <v:textbox>
                  <w:txbxContent>
                    <w:p w:rsidR="00826B2C" w:rsidRPr="004E141E" w:rsidRDefault="00826B2C" w:rsidP="004E141E">
                      <w:pPr>
                        <w:pStyle w:val="TextBoxHeader"/>
                        <w:rPr>
                          <w:sz w:val="22"/>
                        </w:rPr>
                      </w:pPr>
                      <w:r w:rsidRPr="004E141E">
                        <w:rPr>
                          <w:sz w:val="22"/>
                        </w:rPr>
                        <w:t>What is high value manufacturing?</w:t>
                      </w:r>
                    </w:p>
                    <w:p w:rsidR="00826B2C" w:rsidRPr="004E141E" w:rsidRDefault="00826B2C" w:rsidP="00CB64E6">
                      <w:pPr>
                        <w:rPr>
                          <w:rFonts w:cstheme="minorHAnsi"/>
                          <w:color w:val="000000" w:themeColor="text1"/>
                          <w:sz w:val="18"/>
                          <w:szCs w:val="20"/>
                        </w:rPr>
                      </w:pPr>
                      <w:r w:rsidRPr="004E141E">
                        <w:rPr>
                          <w:rFonts w:cstheme="minorHAnsi"/>
                          <w:color w:val="000000" w:themeColor="text1"/>
                          <w:sz w:val="18"/>
                          <w:szCs w:val="20"/>
                        </w:rPr>
                        <w:t xml:space="preserve">High-value manufacturing is a sub-category of manufacturing whose business model depends on fewer goods sold at higher margins. </w:t>
                      </w:r>
                    </w:p>
                    <w:p w:rsidR="00826B2C" w:rsidRPr="004E141E" w:rsidRDefault="00826B2C" w:rsidP="00CB64E6">
                      <w:pPr>
                        <w:rPr>
                          <w:rFonts w:cstheme="minorHAnsi"/>
                          <w:i/>
                          <w:color w:val="000000" w:themeColor="text1"/>
                          <w:sz w:val="18"/>
                          <w:szCs w:val="20"/>
                        </w:rPr>
                      </w:pPr>
                      <w:r w:rsidRPr="004E141E">
                        <w:rPr>
                          <w:rFonts w:cstheme="minorHAnsi"/>
                          <w:i/>
                          <w:color w:val="000000" w:themeColor="text1"/>
                          <w:sz w:val="18"/>
                          <w:szCs w:val="20"/>
                        </w:rPr>
                        <w:t xml:space="preserve">Examples of industries included: </w:t>
                      </w:r>
                    </w:p>
                    <w:p w:rsidR="00826B2C" w:rsidRPr="004E141E" w:rsidRDefault="00826B2C" w:rsidP="00AF39BA">
                      <w:pPr>
                        <w:pStyle w:val="ListParagraph"/>
                        <w:numPr>
                          <w:ilvl w:val="0"/>
                          <w:numId w:val="21"/>
                        </w:numPr>
                        <w:autoSpaceDE/>
                        <w:autoSpaceDN/>
                        <w:adjustRightInd/>
                        <w:spacing w:before="0" w:line="259" w:lineRule="auto"/>
                        <w:contextualSpacing/>
                        <w:rPr>
                          <w:rFonts w:cstheme="minorHAnsi"/>
                          <w:color w:val="000000" w:themeColor="text1"/>
                          <w:sz w:val="18"/>
                          <w:szCs w:val="20"/>
                        </w:rPr>
                      </w:pPr>
                      <w:r w:rsidRPr="004E141E">
                        <w:rPr>
                          <w:rFonts w:cstheme="minorHAnsi"/>
                          <w:color w:val="000000" w:themeColor="text1"/>
                          <w:sz w:val="18"/>
                          <w:szCs w:val="20"/>
                        </w:rPr>
                        <w:t>Pharma and biotechnology</w:t>
                      </w:r>
                    </w:p>
                    <w:p w:rsidR="00826B2C" w:rsidRPr="004E141E" w:rsidRDefault="00826B2C" w:rsidP="00AF39BA">
                      <w:pPr>
                        <w:pStyle w:val="ListParagraph"/>
                        <w:numPr>
                          <w:ilvl w:val="0"/>
                          <w:numId w:val="21"/>
                        </w:numPr>
                        <w:autoSpaceDE/>
                        <w:autoSpaceDN/>
                        <w:adjustRightInd/>
                        <w:spacing w:before="0" w:line="259" w:lineRule="auto"/>
                        <w:contextualSpacing/>
                        <w:rPr>
                          <w:rFonts w:cstheme="minorHAnsi"/>
                          <w:color w:val="000000" w:themeColor="text1"/>
                          <w:sz w:val="18"/>
                          <w:szCs w:val="20"/>
                        </w:rPr>
                      </w:pPr>
                      <w:r w:rsidRPr="004E141E">
                        <w:rPr>
                          <w:rFonts w:cstheme="minorHAnsi"/>
                          <w:color w:val="000000" w:themeColor="text1"/>
                          <w:sz w:val="18"/>
                          <w:szCs w:val="20"/>
                        </w:rPr>
                        <w:t>Synthetic foods</w:t>
                      </w:r>
                    </w:p>
                    <w:p w:rsidR="00826B2C" w:rsidRPr="004E141E" w:rsidRDefault="00826B2C" w:rsidP="00AF39BA">
                      <w:pPr>
                        <w:pStyle w:val="ListParagraph"/>
                        <w:numPr>
                          <w:ilvl w:val="0"/>
                          <w:numId w:val="21"/>
                        </w:numPr>
                        <w:autoSpaceDE/>
                        <w:autoSpaceDN/>
                        <w:adjustRightInd/>
                        <w:spacing w:before="0" w:line="259" w:lineRule="auto"/>
                        <w:contextualSpacing/>
                        <w:rPr>
                          <w:rFonts w:cstheme="minorHAnsi"/>
                          <w:i/>
                          <w:color w:val="000000" w:themeColor="text1"/>
                          <w:sz w:val="18"/>
                          <w:szCs w:val="20"/>
                        </w:rPr>
                      </w:pPr>
                      <w:r w:rsidRPr="004E141E">
                        <w:rPr>
                          <w:rFonts w:cstheme="minorHAnsi"/>
                          <w:color w:val="000000" w:themeColor="text1"/>
                          <w:sz w:val="18"/>
                          <w:szCs w:val="20"/>
                        </w:rPr>
                        <w:t xml:space="preserve">Medical Instruments </w:t>
                      </w:r>
                    </w:p>
                    <w:p w:rsidR="00826B2C" w:rsidRPr="004E141E" w:rsidRDefault="00826B2C" w:rsidP="00AF39BA">
                      <w:pPr>
                        <w:pStyle w:val="ListParagraph"/>
                        <w:numPr>
                          <w:ilvl w:val="0"/>
                          <w:numId w:val="21"/>
                        </w:numPr>
                        <w:autoSpaceDE/>
                        <w:autoSpaceDN/>
                        <w:adjustRightInd/>
                        <w:spacing w:before="0" w:line="259" w:lineRule="auto"/>
                        <w:contextualSpacing/>
                        <w:rPr>
                          <w:rFonts w:cstheme="minorHAnsi"/>
                          <w:i/>
                          <w:color w:val="000000" w:themeColor="text1"/>
                          <w:sz w:val="18"/>
                          <w:szCs w:val="20"/>
                        </w:rPr>
                      </w:pPr>
                      <w:r w:rsidRPr="004E141E">
                        <w:rPr>
                          <w:rFonts w:cstheme="minorHAnsi"/>
                          <w:color w:val="000000" w:themeColor="text1"/>
                          <w:sz w:val="18"/>
                          <w:szCs w:val="20"/>
                        </w:rPr>
                        <w:t>Materials sciences</w:t>
                      </w:r>
                    </w:p>
                    <w:p w:rsidR="00826B2C" w:rsidRPr="004E141E" w:rsidRDefault="00826B2C" w:rsidP="00AF39BA">
                      <w:pPr>
                        <w:pStyle w:val="ListParagraph"/>
                        <w:numPr>
                          <w:ilvl w:val="0"/>
                          <w:numId w:val="21"/>
                        </w:numPr>
                        <w:autoSpaceDE/>
                        <w:autoSpaceDN/>
                        <w:adjustRightInd/>
                        <w:spacing w:before="0" w:line="259" w:lineRule="auto"/>
                        <w:contextualSpacing/>
                        <w:rPr>
                          <w:rFonts w:cstheme="minorHAnsi"/>
                          <w:color w:val="000000" w:themeColor="text1"/>
                          <w:sz w:val="18"/>
                          <w:szCs w:val="20"/>
                        </w:rPr>
                      </w:pPr>
                      <w:r w:rsidRPr="004E141E">
                        <w:rPr>
                          <w:rFonts w:cstheme="minorHAnsi"/>
                          <w:color w:val="000000" w:themeColor="text1"/>
                          <w:sz w:val="18"/>
                          <w:szCs w:val="20"/>
                        </w:rPr>
                        <w:t>Wine and spirits</w:t>
                      </w:r>
                    </w:p>
                    <w:p w:rsidR="00826B2C" w:rsidRPr="004E141E" w:rsidRDefault="00826B2C" w:rsidP="00CB64E6">
                      <w:pPr>
                        <w:rPr>
                          <w:rFonts w:cstheme="minorHAnsi"/>
                          <w:i/>
                          <w:color w:val="000000" w:themeColor="text1"/>
                          <w:sz w:val="18"/>
                          <w:szCs w:val="20"/>
                        </w:rPr>
                      </w:pPr>
                      <w:r w:rsidRPr="004E141E">
                        <w:rPr>
                          <w:rFonts w:cstheme="minorHAnsi"/>
                          <w:i/>
                          <w:color w:val="000000" w:themeColor="text1"/>
                          <w:sz w:val="18"/>
                          <w:szCs w:val="20"/>
                        </w:rPr>
                        <w:t>Examples of industries excluded:</w:t>
                      </w:r>
                    </w:p>
                    <w:p w:rsidR="00826B2C" w:rsidRPr="004E141E" w:rsidRDefault="00826B2C" w:rsidP="00AF39BA">
                      <w:pPr>
                        <w:pStyle w:val="ListParagraph"/>
                        <w:numPr>
                          <w:ilvl w:val="0"/>
                          <w:numId w:val="23"/>
                        </w:numPr>
                        <w:autoSpaceDE/>
                        <w:autoSpaceDN/>
                        <w:adjustRightInd/>
                        <w:spacing w:before="0" w:line="259" w:lineRule="auto"/>
                        <w:contextualSpacing/>
                        <w:rPr>
                          <w:rFonts w:cstheme="minorHAnsi"/>
                          <w:color w:val="000000" w:themeColor="text1"/>
                          <w:sz w:val="18"/>
                          <w:szCs w:val="20"/>
                        </w:rPr>
                      </w:pPr>
                      <w:r w:rsidRPr="004E141E">
                        <w:rPr>
                          <w:rFonts w:cstheme="minorHAnsi"/>
                          <w:color w:val="000000" w:themeColor="text1"/>
                          <w:sz w:val="18"/>
                          <w:szCs w:val="20"/>
                        </w:rPr>
                        <w:t>Consumer mobile phones</w:t>
                      </w:r>
                    </w:p>
                    <w:p w:rsidR="00826B2C" w:rsidRPr="004E141E" w:rsidRDefault="00826B2C" w:rsidP="00AF39BA">
                      <w:pPr>
                        <w:pStyle w:val="ListParagraph"/>
                        <w:numPr>
                          <w:ilvl w:val="0"/>
                          <w:numId w:val="23"/>
                        </w:numPr>
                        <w:autoSpaceDE/>
                        <w:autoSpaceDN/>
                        <w:adjustRightInd/>
                        <w:spacing w:before="0" w:line="259" w:lineRule="auto"/>
                        <w:contextualSpacing/>
                        <w:rPr>
                          <w:rFonts w:cstheme="minorHAnsi"/>
                          <w:color w:val="000000" w:themeColor="text1"/>
                          <w:sz w:val="18"/>
                          <w:szCs w:val="20"/>
                        </w:rPr>
                      </w:pPr>
                      <w:r w:rsidRPr="004E141E">
                        <w:rPr>
                          <w:rFonts w:cstheme="minorHAnsi"/>
                          <w:color w:val="000000" w:themeColor="text1"/>
                          <w:sz w:val="18"/>
                          <w:szCs w:val="20"/>
                        </w:rPr>
                        <w:t>Fast fashion apparel</w:t>
                      </w:r>
                    </w:p>
                  </w:txbxContent>
                </v:textbox>
                <w10:wrap type="square" anchorx="margin"/>
              </v:shape>
            </w:pict>
          </mc:Fallback>
        </mc:AlternateContent>
      </w:r>
      <w:r w:rsidRPr="00CB64E6">
        <w:rPr>
          <w:rFonts w:cstheme="minorHAnsi"/>
          <w:szCs w:val="20"/>
        </w:rPr>
        <w:t>Proof of this advantage is evident in Georgia’s exports and industry landscape today. Current business leaders in Georgia’s nascent high value manufacturing industries with export growth outpacing global rates, such as pharmaceuticals, processed food and beverage, wine and spirits, and high value apparel and fashion, report they are able to compete regionally and globally because they can offer uniquely high-quality standards at far lower costs compared to competitors in the region.</w:t>
      </w:r>
      <w:r w:rsidRPr="00CB64E6">
        <w:rPr>
          <w:rStyle w:val="FootnoteReference"/>
          <w:rFonts w:cstheme="minorHAnsi"/>
          <w:szCs w:val="20"/>
        </w:rPr>
        <w:footnoteReference w:id="20"/>
      </w:r>
      <w:r w:rsidRPr="00CB64E6">
        <w:rPr>
          <w:rFonts w:cstheme="minorHAnsi"/>
          <w:szCs w:val="20"/>
        </w:rPr>
        <w:t xml:space="preserve"> Foreign investors have come to the region for similar reasons, some making sizeable investments in human capital development to </w:t>
      </w:r>
      <w:r w:rsidR="0086032E">
        <w:rPr>
          <w:rFonts w:cstheme="minorHAnsi"/>
          <w:szCs w:val="20"/>
        </w:rPr>
        <w:t>capitalize on these advantages.</w:t>
      </w:r>
    </w:p>
    <w:p w:rsidR="00CB64E6" w:rsidRPr="00CB64E6" w:rsidRDefault="00CB64E6" w:rsidP="00CB64E6">
      <w:pPr>
        <w:spacing w:beforeLines="120" w:before="288" w:afterLines="120" w:after="288"/>
        <w:rPr>
          <w:rFonts w:cstheme="minorHAnsi"/>
          <w:szCs w:val="20"/>
        </w:rPr>
      </w:pPr>
      <w:r w:rsidRPr="00CB64E6">
        <w:rPr>
          <w:rFonts w:cstheme="minorHAnsi"/>
          <w:szCs w:val="20"/>
        </w:rPr>
        <w:t>By cultivating its differentiated strengths, Georgia can move into other opportunities as well, such as medical instruments, high value fashion accessories, measurement instruments, and so forth. In doing so, the country’s trade relationships and diaspora networks offer a ready advantage. Countries among Georgia’s largest EU trade partners – including Germany, Switzerland, Italy, Spain and the Netherlands – are some of the world’s leading hubs for high value instruments and machinery, as well as food and beverage products, much of which circulates within the EU. Concentrations of Georgian diaspora in these markets provide potential, yet untapped human networks to build relat</w:t>
      </w:r>
      <w:r w:rsidR="0086032E">
        <w:rPr>
          <w:rFonts w:cstheme="minorHAnsi"/>
          <w:szCs w:val="20"/>
        </w:rPr>
        <w:t>ionships into these industries.</w:t>
      </w:r>
    </w:p>
    <w:p w:rsidR="00CB64E6" w:rsidRPr="00CB64E6" w:rsidRDefault="00CB64E6" w:rsidP="00CB64E6">
      <w:pPr>
        <w:spacing w:beforeLines="120" w:before="288" w:afterLines="120" w:after="288"/>
        <w:rPr>
          <w:rFonts w:cstheme="minorHAnsi"/>
          <w:szCs w:val="20"/>
        </w:rPr>
      </w:pPr>
      <w:r w:rsidRPr="00CB64E6">
        <w:rPr>
          <w:rFonts w:cstheme="minorHAnsi"/>
          <w:noProof/>
          <w:szCs w:val="20"/>
        </w:rPr>
        <mc:AlternateContent>
          <mc:Choice Requires="wps">
            <w:drawing>
              <wp:anchor distT="45720" distB="45720" distL="114300" distR="114300" simplePos="0" relativeHeight="251677184" behindDoc="0" locked="0" layoutInCell="1" allowOverlap="1" wp14:anchorId="1DF302E4" wp14:editId="0EC2B66E">
                <wp:simplePos x="0" y="0"/>
                <wp:positionH relativeFrom="margin">
                  <wp:align>right</wp:align>
                </wp:positionH>
                <wp:positionV relativeFrom="paragraph">
                  <wp:posOffset>499745</wp:posOffset>
                </wp:positionV>
                <wp:extent cx="3440430" cy="2847975"/>
                <wp:effectExtent l="0" t="0" r="7620" b="952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0430" cy="2847975"/>
                        </a:xfrm>
                        <a:prstGeom prst="rect">
                          <a:avLst/>
                        </a:prstGeom>
                        <a:solidFill>
                          <a:schemeClr val="accent3">
                            <a:lumMod val="40000"/>
                            <a:lumOff val="60000"/>
                          </a:schemeClr>
                        </a:solidFill>
                        <a:ln w="9525">
                          <a:noFill/>
                          <a:miter lim="800000"/>
                          <a:headEnd/>
                          <a:tailEnd/>
                        </a:ln>
                      </wps:spPr>
                      <wps:txbx>
                        <w:txbxContent>
                          <w:p w:rsidR="00826B2C" w:rsidRPr="004E141E" w:rsidRDefault="00826B2C" w:rsidP="004E141E">
                            <w:pPr>
                              <w:pStyle w:val="TextBoxHeader"/>
                              <w:rPr>
                                <w:sz w:val="22"/>
                              </w:rPr>
                            </w:pPr>
                            <w:r w:rsidRPr="004E141E">
                              <w:rPr>
                                <w:sz w:val="22"/>
                              </w:rPr>
                              <w:t>What is industrial design?</w:t>
                            </w:r>
                          </w:p>
                          <w:p w:rsidR="00826B2C" w:rsidRPr="004E141E" w:rsidRDefault="00826B2C" w:rsidP="00CB64E6">
                            <w:pPr>
                              <w:rPr>
                                <w:rFonts w:cstheme="minorHAnsi"/>
                                <w:bCs/>
                                <w:i/>
                                <w:sz w:val="18"/>
                                <w:szCs w:val="20"/>
                              </w:rPr>
                            </w:pPr>
                            <w:r w:rsidRPr="004E141E">
                              <w:rPr>
                                <w:rFonts w:cstheme="minorHAnsi"/>
                                <w:bCs/>
                                <w:i/>
                                <w:sz w:val="18"/>
                                <w:szCs w:val="20"/>
                              </w:rPr>
                              <w:t>There are multiple definitions of industrial design – at its core it is a function that bridges the functional and aesthetic to optimize performance:</w:t>
                            </w:r>
                          </w:p>
                          <w:p w:rsidR="00826B2C" w:rsidRPr="004E141E" w:rsidRDefault="00826B2C" w:rsidP="00CB64E6">
                            <w:pPr>
                              <w:rPr>
                                <w:rFonts w:cstheme="minorHAnsi"/>
                                <w:i/>
                                <w:sz w:val="18"/>
                                <w:szCs w:val="20"/>
                              </w:rPr>
                            </w:pPr>
                            <w:r w:rsidRPr="004E141E">
                              <w:rPr>
                                <w:rFonts w:cstheme="minorHAnsi"/>
                                <w:b/>
                                <w:bCs/>
                                <w:sz w:val="18"/>
                                <w:szCs w:val="20"/>
                              </w:rPr>
                              <w:t>“Industrial design</w:t>
                            </w:r>
                            <w:r w:rsidRPr="004E141E">
                              <w:rPr>
                                <w:rFonts w:cstheme="minorHAnsi"/>
                                <w:sz w:val="18"/>
                                <w:szCs w:val="20"/>
                              </w:rPr>
                              <w:t> is the professional service of creating and developing concepts and specifications that optimize the function, value and appearance of products and systems for the mutual benefit of both user and manufacturer”</w:t>
                            </w:r>
                            <w:r w:rsidRPr="004E141E">
                              <w:rPr>
                                <w:rFonts w:cstheme="minorHAnsi"/>
                                <w:i/>
                                <w:sz w:val="18"/>
                                <w:szCs w:val="20"/>
                              </w:rPr>
                              <w:t xml:space="preserve"> - NC State Industrial Design Program</w:t>
                            </w:r>
                          </w:p>
                          <w:p w:rsidR="00826B2C" w:rsidRPr="004E141E" w:rsidRDefault="00826B2C" w:rsidP="00CB64E6">
                            <w:pPr>
                              <w:rPr>
                                <w:rFonts w:cstheme="minorHAnsi"/>
                                <w:i/>
                                <w:sz w:val="18"/>
                                <w:szCs w:val="20"/>
                              </w:rPr>
                            </w:pPr>
                            <w:r w:rsidRPr="004E141E">
                              <w:rPr>
                                <w:rFonts w:cstheme="minorHAnsi"/>
                                <w:sz w:val="18"/>
                                <w:szCs w:val="20"/>
                              </w:rPr>
                              <w:t>“</w:t>
                            </w:r>
                            <w:r w:rsidRPr="004E141E">
                              <w:rPr>
                                <w:rFonts w:cstheme="minorHAnsi"/>
                                <w:b/>
                                <w:sz w:val="18"/>
                                <w:szCs w:val="20"/>
                              </w:rPr>
                              <w:t>Industrial designers</w:t>
                            </w:r>
                            <w:r w:rsidRPr="004E141E">
                              <w:rPr>
                                <w:rFonts w:cstheme="minorHAnsi"/>
                                <w:sz w:val="18"/>
                                <w:szCs w:val="20"/>
                              </w:rPr>
                              <w:t xml:space="preserve"> create and develop concepts and specifications that optimize the function, value, and aesthetics of products, environments, systems, and services for the benefit of user, industry, and society…[combining] the visual arts disciplines, sciences, and technology, and requires problem-solving and communication skills”</w:t>
                            </w:r>
                            <w:r w:rsidRPr="004E141E">
                              <w:rPr>
                                <w:rFonts w:cstheme="minorHAnsi"/>
                                <w:i/>
                                <w:sz w:val="18"/>
                                <w:szCs w:val="20"/>
                              </w:rPr>
                              <w:t xml:space="preserve"> - National Association of Schools of Design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302E4" id="_x0000_s1036" type="#_x0000_t202" style="position:absolute;margin-left:219.7pt;margin-top:39.35pt;width:270.9pt;height:224.25pt;z-index:2516771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" fillcolor="#d7e5f4 [1302]" stroked="f">
                <v:textbox>
                  <w:txbxContent>
                    <w:p w:rsidR="00826B2C" w:rsidRPr="004E141E" w:rsidRDefault="00826B2C" w:rsidP="004E141E">
                      <w:pPr>
                        <w:pStyle w:val="TextBoxHeader"/>
                        <w:rPr>
                          <w:sz w:val="22"/>
                        </w:rPr>
                      </w:pPr>
                      <w:r w:rsidRPr="004E141E">
                        <w:rPr>
                          <w:sz w:val="22"/>
                        </w:rPr>
                        <w:t>What is industrial design?</w:t>
                      </w:r>
                    </w:p>
                    <w:p w:rsidR="00826B2C" w:rsidRPr="004E141E" w:rsidRDefault="00826B2C" w:rsidP="00CB64E6">
                      <w:pPr>
                        <w:rPr>
                          <w:rFonts w:cstheme="minorHAnsi"/>
                          <w:bCs/>
                          <w:i/>
                          <w:sz w:val="18"/>
                          <w:szCs w:val="20"/>
                        </w:rPr>
                      </w:pPr>
                      <w:r w:rsidRPr="004E141E">
                        <w:rPr>
                          <w:rFonts w:cstheme="minorHAnsi"/>
                          <w:bCs/>
                          <w:i/>
                          <w:sz w:val="18"/>
                          <w:szCs w:val="20"/>
                        </w:rPr>
                        <w:t>There are multiple definitions of industrial design – at its core it is a function that bridges the functional and aesthetic to optimize performance:</w:t>
                      </w:r>
                    </w:p>
                    <w:p w:rsidR="00826B2C" w:rsidRPr="004E141E" w:rsidRDefault="00826B2C" w:rsidP="00CB64E6">
                      <w:pPr>
                        <w:rPr>
                          <w:rFonts w:cstheme="minorHAnsi"/>
                          <w:i/>
                          <w:sz w:val="18"/>
                          <w:szCs w:val="20"/>
                        </w:rPr>
                      </w:pPr>
                      <w:r w:rsidRPr="004E141E">
                        <w:rPr>
                          <w:rFonts w:cstheme="minorHAnsi"/>
                          <w:b/>
                          <w:bCs/>
                          <w:sz w:val="18"/>
                          <w:szCs w:val="20"/>
                        </w:rPr>
                        <w:t>“Industrial design</w:t>
                      </w:r>
                      <w:r w:rsidRPr="004E141E">
                        <w:rPr>
                          <w:rFonts w:cstheme="minorHAnsi"/>
                          <w:sz w:val="18"/>
                          <w:szCs w:val="20"/>
                        </w:rPr>
                        <w:t> is the professional service of creating and developing concepts and specifications that optimize the function, value and appearance of products and systems for the mutual benefit of both user and manufacturer”</w:t>
                      </w:r>
                      <w:r w:rsidRPr="004E141E">
                        <w:rPr>
                          <w:rFonts w:cstheme="minorHAnsi"/>
                          <w:i/>
                          <w:sz w:val="18"/>
                          <w:szCs w:val="20"/>
                        </w:rPr>
                        <w:t xml:space="preserve"> - NC State Industrial Design Program</w:t>
                      </w:r>
                    </w:p>
                    <w:p w:rsidR="00826B2C" w:rsidRPr="004E141E" w:rsidRDefault="00826B2C" w:rsidP="00CB64E6">
                      <w:pPr>
                        <w:rPr>
                          <w:rFonts w:cstheme="minorHAnsi"/>
                          <w:i/>
                          <w:sz w:val="18"/>
                          <w:szCs w:val="20"/>
                        </w:rPr>
                      </w:pPr>
                      <w:r w:rsidRPr="004E141E">
                        <w:rPr>
                          <w:rFonts w:cstheme="minorHAnsi"/>
                          <w:sz w:val="18"/>
                          <w:szCs w:val="20"/>
                        </w:rPr>
                        <w:t>“</w:t>
                      </w:r>
                      <w:r w:rsidRPr="004E141E">
                        <w:rPr>
                          <w:rFonts w:cstheme="minorHAnsi"/>
                          <w:b/>
                          <w:sz w:val="18"/>
                          <w:szCs w:val="20"/>
                        </w:rPr>
                        <w:t>Industrial designers</w:t>
                      </w:r>
                      <w:r w:rsidRPr="004E141E">
                        <w:rPr>
                          <w:rFonts w:cstheme="minorHAnsi"/>
                          <w:sz w:val="18"/>
                          <w:szCs w:val="20"/>
                        </w:rPr>
                        <w:t xml:space="preserve"> create and develop concepts and specifications that optimize the function, value, and aesthetics of products, environments, systems, and services for the benefit of user, industry, and society…[combining] the visual arts disciplines, sciences, and technology, and requires problem-solving and communication skills”</w:t>
                      </w:r>
                      <w:r w:rsidRPr="004E141E">
                        <w:rPr>
                          <w:rFonts w:cstheme="minorHAnsi"/>
                          <w:i/>
                          <w:sz w:val="18"/>
                          <w:szCs w:val="20"/>
                        </w:rPr>
                        <w:t xml:space="preserve"> - National Association of Schools of Design</w:t>
                      </w:r>
                    </w:p>
                  </w:txbxContent>
                </v:textbox>
                <w10:wrap type="square" anchorx="margin"/>
              </v:shape>
            </w:pict>
          </mc:Fallback>
        </mc:AlternateContent>
      </w:r>
      <w:r w:rsidRPr="00CB64E6">
        <w:rPr>
          <w:rFonts w:cstheme="minorHAnsi"/>
          <w:szCs w:val="20"/>
        </w:rPr>
        <w:t>Focusing on the intersection of manufacturing and design – industrial design (see box) – presents an opportunity for Georgia to engage its natural advantages in manufacturing and historically celebrated roots in the arts to build capabilities in the functions core to innovation – both technical and creative. This category of activity has both cultural relevance in its linkages with the creative arts and aesthetics, and broad application across industries. Due to their fundamental dependency on human synthesis, jobs are also more resilient to substitution by artificial intelligence and in turn have the added benefit of strengthening economic resilience in the face of technological chan</w:t>
      </w:r>
      <w:r w:rsidR="0086032E">
        <w:rPr>
          <w:rFonts w:cstheme="minorHAnsi"/>
          <w:szCs w:val="20"/>
        </w:rPr>
        <w:t>ge.</w:t>
      </w:r>
    </w:p>
    <w:p w:rsidR="00CB64E6" w:rsidRPr="00CB64E6" w:rsidRDefault="00CB64E6" w:rsidP="00CB64E6">
      <w:pPr>
        <w:spacing w:beforeLines="120" w:before="288" w:afterLines="120" w:after="288"/>
        <w:rPr>
          <w:rFonts w:cstheme="minorHAnsi"/>
          <w:szCs w:val="20"/>
        </w:rPr>
      </w:pPr>
      <w:r w:rsidRPr="00CB64E6">
        <w:rPr>
          <w:rFonts w:cstheme="minorHAnsi"/>
          <w:b/>
          <w:szCs w:val="20"/>
        </w:rPr>
        <w:t>Positioning high value manufacturing (including food production) and industrial design to “lead” the country’s integration with global value chains and path to innovation is at the core of Georgia’s innovation strategy.</w:t>
      </w:r>
      <w:r w:rsidRPr="00CB64E6">
        <w:rPr>
          <w:rFonts w:cstheme="minorHAnsi"/>
          <w:szCs w:val="20"/>
        </w:rPr>
        <w:t xml:space="preserve"> This does not, however, mean investments must focus on these industries alone, or that they should be the sole sources of innovation. Equally as important is creating a domestic environment where global integration translates into innovation and other industries can capitalize on the momentum that the</w:t>
      </w:r>
      <w:r w:rsidR="0086032E">
        <w:rPr>
          <w:rFonts w:cstheme="minorHAnsi"/>
          <w:szCs w:val="20"/>
        </w:rPr>
        <w:t xml:space="preserve">se “leader” industries create. </w:t>
      </w:r>
    </w:p>
    <w:p w:rsidR="00CB64E6" w:rsidRPr="0086032E" w:rsidRDefault="00CB64E6" w:rsidP="0086032E">
      <w:pPr>
        <w:spacing w:beforeLines="120" w:before="288" w:afterLines="120" w:after="288"/>
        <w:rPr>
          <w:rFonts w:cstheme="minorHAnsi"/>
          <w:szCs w:val="20"/>
        </w:rPr>
      </w:pPr>
      <w:r w:rsidRPr="00CB64E6">
        <w:rPr>
          <w:rFonts w:cstheme="minorHAnsi"/>
          <w:szCs w:val="20"/>
        </w:rPr>
        <w:t>High value manufacturing and industrial design are distinct yet complementary – whereas high value manufacturing refers to the physical production of a certain category of product, industrial design is a cross-industry function. Industrial design is a part of the pre-manufacturing process, during which the aspects of the product itself are defined; it is also part of the process of defining any product or service destined for a consumer market. Focusing on these categories of business activity means positioning Georgia as an advantageous place for companies to do both, by developing and building on Georgia’s natural advantages and current industry momentum.</w:t>
      </w:r>
    </w:p>
    <w:p w:rsidR="00CB64E6" w:rsidRPr="00CB64E6" w:rsidRDefault="00CB64E6" w:rsidP="004350AC">
      <w:pPr>
        <w:pStyle w:val="Heading4"/>
      </w:pPr>
      <w:r w:rsidRPr="00CB64E6">
        <w:t xml:space="preserve">Figure 1.3: Georgia’s Innovation Strategy </w:t>
      </w:r>
    </w:p>
    <w:p w:rsidR="00CB64E6" w:rsidRPr="00CB64E6" w:rsidRDefault="00CB64E6" w:rsidP="00CB64E6">
      <w:pPr>
        <w:spacing w:beforeLines="120" w:before="288" w:afterLines="120" w:after="288"/>
        <w:rPr>
          <w:rFonts w:cstheme="minorHAnsi"/>
          <w:szCs w:val="20"/>
        </w:rPr>
      </w:pPr>
      <w:r w:rsidRPr="00CB64E6">
        <w:rPr>
          <w:rFonts w:cstheme="minorHAnsi"/>
          <w:noProof/>
          <w:szCs w:val="20"/>
        </w:rPr>
        <w:drawing>
          <wp:inline distT="0" distB="0" distL="0" distR="0" wp14:anchorId="5EDD4604" wp14:editId="69D40029">
            <wp:extent cx="5882185" cy="242817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10326" cy="2439795"/>
                    </a:xfrm>
                    <a:prstGeom prst="rect">
                      <a:avLst/>
                    </a:prstGeom>
                    <a:noFill/>
                  </pic:spPr>
                </pic:pic>
              </a:graphicData>
            </a:graphic>
          </wp:inline>
        </w:drawing>
      </w:r>
    </w:p>
    <w:p w:rsidR="00CB64E6" w:rsidRPr="00CB64E6" w:rsidRDefault="00CB64E6" w:rsidP="00CB64E6">
      <w:pPr>
        <w:spacing w:beforeLines="120" w:before="288" w:afterLines="120" w:after="288"/>
        <w:rPr>
          <w:rFonts w:cstheme="minorHAnsi"/>
          <w:szCs w:val="20"/>
        </w:rPr>
      </w:pPr>
    </w:p>
    <w:p w:rsidR="00CB64E6" w:rsidRPr="00CB64E6" w:rsidRDefault="00CB64E6" w:rsidP="00CB64E6">
      <w:pPr>
        <w:spacing w:beforeLines="120" w:before="288" w:afterLines="120" w:after="288"/>
        <w:rPr>
          <w:rFonts w:cstheme="minorHAnsi"/>
          <w:szCs w:val="20"/>
        </w:rPr>
      </w:pPr>
      <w:r w:rsidRPr="00CB64E6">
        <w:rPr>
          <w:rFonts w:cstheme="minorHAnsi"/>
          <w:szCs w:val="20"/>
        </w:rPr>
        <w:t xml:space="preserve">If properly curated, high value manufacturing and industrial design can have spill-over effects that stimulate innovation in other industries: opening new channels to external markets that begin to break down discovery costs, introducing new, sophisticated demand to incentivize innovation among local suppliers, and investing in shared assets. Georgia’s diversified tradable economy presents a foundation for this to take root. This early prioritization of a limited set of industries can thus create a pathway to innovation across the economy long-term. </w:t>
      </w:r>
    </w:p>
    <w:p w:rsidR="00CB64E6" w:rsidRPr="0086032E" w:rsidRDefault="00CB64E6" w:rsidP="002126B1">
      <w:pPr>
        <w:pStyle w:val="Heading2"/>
      </w:pPr>
      <w:bookmarkStart w:id="35" w:name="_Toc535608374"/>
      <w:r w:rsidRPr="00CB64E6">
        <w:t>Activating the Strategy</w:t>
      </w:r>
      <w:bookmarkEnd w:id="35"/>
    </w:p>
    <w:p w:rsidR="00CB64E6" w:rsidRPr="00CB64E6" w:rsidRDefault="00CB64E6" w:rsidP="00CB64E6">
      <w:pPr>
        <w:spacing w:beforeLines="120" w:before="288" w:afterLines="120" w:after="288"/>
        <w:rPr>
          <w:rFonts w:cstheme="minorHAnsi"/>
          <w:szCs w:val="20"/>
        </w:rPr>
      </w:pPr>
      <w:r w:rsidRPr="00CB64E6">
        <w:rPr>
          <w:rFonts w:cstheme="minorHAnsi"/>
          <w:szCs w:val="20"/>
        </w:rPr>
        <w:t>Activating this strategy requires prioritizing investments in developing the assets and incentives that enable businesses in “leading” industries – high value manufacturing and industrial design – to compete globally and innovate, and lay the foundation for other industries to follow course. Some of these investments are cross-cutting, while others are industry-specific and will necessarily imply trade-offs in the short-term to achieve Georgia’s long-term objectives. This applies to government innovation as well, which should focus on initiatives that ultimately serve the objective of driving broader in</w:t>
      </w:r>
      <w:r w:rsidR="0086032E">
        <w:rPr>
          <w:rFonts w:cstheme="minorHAnsi"/>
          <w:szCs w:val="20"/>
        </w:rPr>
        <w:t>novation in the private sector.</w:t>
      </w:r>
    </w:p>
    <w:p w:rsidR="00CB64E6" w:rsidRPr="0086032E" w:rsidRDefault="00CB64E6" w:rsidP="00CB64E6">
      <w:pPr>
        <w:spacing w:beforeLines="120" w:before="288" w:afterLines="120" w:after="288"/>
        <w:rPr>
          <w:rFonts w:cstheme="minorHAnsi"/>
          <w:b/>
          <w:i/>
          <w:szCs w:val="20"/>
        </w:rPr>
      </w:pPr>
      <w:r w:rsidRPr="00CB64E6">
        <w:rPr>
          <w:rFonts w:cstheme="minorHAnsi"/>
          <w:noProof/>
          <w:szCs w:val="20"/>
        </w:rPr>
        <mc:AlternateContent>
          <mc:Choice Requires="wps">
            <w:drawing>
              <wp:anchor distT="45720" distB="45720" distL="114300" distR="114300" simplePos="0" relativeHeight="251672064" behindDoc="0" locked="0" layoutInCell="1" allowOverlap="1" wp14:anchorId="051716A4" wp14:editId="61CC3AB6">
                <wp:simplePos x="0" y="0"/>
                <wp:positionH relativeFrom="margin">
                  <wp:align>right</wp:align>
                </wp:positionH>
                <wp:positionV relativeFrom="paragraph">
                  <wp:posOffset>7620</wp:posOffset>
                </wp:positionV>
                <wp:extent cx="3382010" cy="3200400"/>
                <wp:effectExtent l="0" t="0" r="8890" b="0"/>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010" cy="3200400"/>
                        </a:xfrm>
                        <a:prstGeom prst="rect">
                          <a:avLst/>
                        </a:prstGeom>
                        <a:solidFill>
                          <a:schemeClr val="bg1">
                            <a:lumMod val="95000"/>
                          </a:schemeClr>
                        </a:solidFill>
                        <a:ln w="9525">
                          <a:noFill/>
                          <a:miter lim="800000"/>
                          <a:headEnd/>
                          <a:tailEnd/>
                        </a:ln>
                      </wps:spPr>
                      <wps:txbx>
                        <w:txbxContent>
                          <w:p w:rsidR="00826B2C" w:rsidRPr="004E141E" w:rsidRDefault="00826B2C" w:rsidP="002630E1">
                            <w:pPr>
                              <w:pStyle w:val="Heading4"/>
                            </w:pPr>
                            <w:r w:rsidRPr="004E141E">
                              <w:t>Figure 1.4: “virtuous” innovation cycle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716A4" id="_x0000_s1037" type="#_x0000_t202" style="position:absolute;margin-left:215.1pt;margin-top:.6pt;width:266.3pt;height:252pt;z-index:2516720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" fillcolor="#f2f2f2 [3052]" stroked="f">
                <v:textbox>
                  <w:txbxContent>
                    <w:p w:rsidR="00826B2C" w:rsidRPr="004E141E" w:rsidRDefault="00826B2C" w:rsidP="002630E1">
                      <w:pPr>
                        <w:pStyle w:val="Heading4"/>
                      </w:pPr>
                      <w:r w:rsidRPr="004E141E">
                        <w:t>Figure 1.4: “virtuous” innovation cycle</w:t>
                      </w:r>
                    </w:p>
                  </w:txbxContent>
                </v:textbox>
                <w10:wrap type="square" anchorx="margin"/>
              </v:shape>
            </w:pict>
          </mc:Fallback>
        </mc:AlternateContent>
      </w:r>
      <w:r w:rsidRPr="00CB64E6">
        <w:rPr>
          <w:rFonts w:cstheme="minorHAnsi"/>
          <w:b/>
          <w:i/>
          <w:szCs w:val="20"/>
        </w:rPr>
        <w:t>Laying the domestic foundation: “Seeding” assets and incen</w:t>
      </w:r>
      <w:r w:rsidR="0086032E">
        <w:rPr>
          <w:rFonts w:cstheme="minorHAnsi"/>
          <w:b/>
          <w:i/>
          <w:szCs w:val="20"/>
        </w:rPr>
        <w:t>tives</w:t>
      </w:r>
    </w:p>
    <w:p w:rsidR="00CB64E6" w:rsidRPr="00CB64E6" w:rsidRDefault="0086032E" w:rsidP="00CB64E6">
      <w:pPr>
        <w:spacing w:beforeLines="120" w:before="288" w:afterLines="120" w:after="288"/>
        <w:rPr>
          <w:rFonts w:cstheme="minorHAnsi"/>
          <w:szCs w:val="20"/>
        </w:rPr>
      </w:pPr>
      <w:r>
        <w:rPr>
          <w:rFonts w:cstheme="minorHAnsi"/>
          <w:noProof/>
          <w:szCs w:val="20"/>
        </w:rPr>
        <mc:AlternateContent>
          <mc:Choice Requires="wps">
            <w:drawing>
              <wp:anchor distT="0" distB="0" distL="114300" distR="114300" simplePos="0" relativeHeight="251680256" behindDoc="0" locked="0" layoutInCell="1" allowOverlap="1">
                <wp:simplePos x="0" y="0"/>
                <wp:positionH relativeFrom="column">
                  <wp:posOffset>3078480</wp:posOffset>
                </wp:positionH>
                <wp:positionV relativeFrom="paragraph">
                  <wp:posOffset>111125</wp:posOffset>
                </wp:positionV>
                <wp:extent cx="2915392" cy="2422566"/>
                <wp:effectExtent l="0" t="0" r="18415" b="15875"/>
                <wp:wrapNone/>
                <wp:docPr id="34" name="Text Box 34"/>
                <wp:cNvGraphicFramePr/>
                <a:graphic xmlns:a="http://schemas.openxmlformats.org/drawingml/2006/main">
                  <a:graphicData uri="http://schemas.microsoft.com/office/word/2010/wordprocessingShape">
                    <wps:wsp>
                      <wps:cNvSpPr txBox="1"/>
                      <wps:spPr>
                        <a:xfrm>
                          <a:off x="0" y="0"/>
                          <a:ext cx="2915392" cy="2422566"/>
                        </a:xfrm>
                        <a:prstGeom prst="rect">
                          <a:avLst/>
                        </a:prstGeom>
                        <a:solidFill>
                          <a:schemeClr val="lt1"/>
                        </a:solidFill>
                        <a:ln w="6350">
                          <a:solidFill>
                            <a:prstClr val="black"/>
                          </a:solidFill>
                        </a:ln>
                      </wps:spPr>
                      <wps:txbx>
                        <w:txbxContent>
                          <w:p w:rsidR="00826B2C" w:rsidRDefault="00826B2C">
                            <w:r w:rsidRPr="00E636F1">
                              <w:rPr>
                                <w:noProof/>
                                <w:sz w:val="18"/>
                              </w:rPr>
                              <w:drawing>
                                <wp:inline distT="0" distB="0" distL="0" distR="0" wp14:anchorId="4B015E0B" wp14:editId="0E81A158">
                                  <wp:extent cx="2726055" cy="2093863"/>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26055" cy="20938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4" o:spid="_x0000_s1038" type="#_x0000_t202" style="position:absolute;margin-left:242.4pt;margin-top:8.75pt;width:229.55pt;height:190.75pt;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" fillcolor="white [3201]" strokeweight=".5pt">
                <v:textbox>
                  <w:txbxContent>
                    <w:p w:rsidR="00826B2C" w:rsidRDefault="00826B2C">
                      <w:r w:rsidRPr="00E636F1">
                        <w:rPr>
                          <w:noProof/>
                          <w:sz w:val="18"/>
                        </w:rPr>
                        <w:drawing>
                          <wp:inline distT="0" distB="0" distL="0" distR="0" wp14:anchorId="4B015E0B" wp14:editId="0E81A158">
                            <wp:extent cx="2726055" cy="2093863"/>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26055" cy="2093863"/>
                                    </a:xfrm>
                                    <a:prstGeom prst="rect">
                                      <a:avLst/>
                                    </a:prstGeom>
                                    <a:noFill/>
                                    <a:ln>
                                      <a:noFill/>
                                    </a:ln>
                                  </pic:spPr>
                                </pic:pic>
                              </a:graphicData>
                            </a:graphic>
                          </wp:inline>
                        </w:drawing>
                      </w:r>
                    </w:p>
                  </w:txbxContent>
                </v:textbox>
              </v:shape>
            </w:pict>
          </mc:Fallback>
        </mc:AlternateContent>
      </w:r>
      <w:r w:rsidR="00CB64E6" w:rsidRPr="00CB64E6">
        <w:rPr>
          <w:rFonts w:cstheme="minorHAnsi"/>
          <w:szCs w:val="20"/>
        </w:rPr>
        <w:t xml:space="preserve">Strengthening the domestic environment requires investments in incentives and assets that are commonly associated with innovation – such as research and development, or entrepreneurship – but even more importantly, in areas typically perceived to be in the realm of economic development. Stimulating innovation hinges on addressing barriers in the workforce, governance and finance, which represent the most fundamental, universal challenges to businesses. Doing so is ultimately a gateway to scaling demand for entrepreneurial, research and development infrastructure, and therefore the resources that </w:t>
      </w:r>
      <w:r>
        <w:rPr>
          <w:rFonts w:cstheme="minorHAnsi"/>
          <w:szCs w:val="20"/>
        </w:rPr>
        <w:t>will help these assets develop.</w:t>
      </w:r>
    </w:p>
    <w:p w:rsidR="00CB64E6" w:rsidRDefault="00CB64E6" w:rsidP="00CB64E6">
      <w:pPr>
        <w:spacing w:beforeLines="120" w:before="288" w:afterLines="120" w:after="288"/>
        <w:rPr>
          <w:rFonts w:cstheme="minorHAnsi"/>
          <w:szCs w:val="20"/>
        </w:rPr>
      </w:pPr>
      <w:r w:rsidRPr="00CB64E6">
        <w:rPr>
          <w:rFonts w:cstheme="minorHAnsi"/>
          <w:szCs w:val="20"/>
        </w:rPr>
        <w:t xml:space="preserve">While certain gaps can be addressed through a single initiative or investment led by government (e.g., legal reform, upgrades to public services) most evolve in response to markets: early supply – meaning assets available in the local market – can stimulate demand, which can trigger more resources to expand and refine supply, which increases demand, and on. Georgia’s goal through 2025 is thus to build the foundation – </w:t>
      </w:r>
      <w:r w:rsidRPr="00CB64E6">
        <w:rPr>
          <w:rFonts w:cstheme="minorHAnsi"/>
          <w:i/>
          <w:szCs w:val="20"/>
        </w:rPr>
        <w:t>to “seed”</w:t>
      </w:r>
      <w:r w:rsidRPr="00CB64E6">
        <w:rPr>
          <w:rFonts w:cstheme="minorHAnsi"/>
          <w:szCs w:val="20"/>
        </w:rPr>
        <w:t xml:space="preserve"> incentives and assets for innovation to start these market forces in motion and catalyze their grow over time. The following pages provide a high-level description of key recommendations.</w:t>
      </w:r>
      <w:r w:rsidRPr="00CB64E6">
        <w:rPr>
          <w:rStyle w:val="FootnoteReference"/>
          <w:rFonts w:cstheme="minorHAnsi"/>
          <w:szCs w:val="20"/>
        </w:rPr>
        <w:footnoteReference w:id="21"/>
      </w:r>
    </w:p>
    <w:p w:rsidR="004350AC" w:rsidRDefault="004350AC" w:rsidP="00CB64E6">
      <w:pPr>
        <w:spacing w:beforeLines="120" w:before="288" w:afterLines="120" w:after="288"/>
        <w:rPr>
          <w:rStyle w:val="Heading4Char"/>
        </w:rPr>
      </w:pPr>
    </w:p>
    <w:p w:rsidR="004350AC" w:rsidRDefault="004350AC" w:rsidP="00CB64E6">
      <w:pPr>
        <w:spacing w:beforeLines="120" w:before="288" w:afterLines="120" w:after="288"/>
        <w:rPr>
          <w:rStyle w:val="Heading4Char"/>
        </w:rPr>
      </w:pPr>
      <w:r w:rsidRPr="004350AC">
        <w:rPr>
          <w:rStyle w:val="Heading4Char"/>
        </w:rPr>
        <w:t>Figure 1.5: Seeding incentives and assets</w:t>
      </w:r>
    </w:p>
    <w:p w:rsidR="004350AC" w:rsidRPr="00CB64E6" w:rsidRDefault="004350AC" w:rsidP="00CB64E6">
      <w:pPr>
        <w:spacing w:beforeLines="120" w:before="288" w:afterLines="120" w:after="288"/>
        <w:rPr>
          <w:rFonts w:cstheme="minorHAnsi"/>
          <w:szCs w:val="20"/>
        </w:rPr>
      </w:pPr>
      <w:r w:rsidRPr="00DA2CDA">
        <w:rPr>
          <w:noProof/>
        </w:rPr>
        <w:drawing>
          <wp:inline distT="0" distB="0" distL="0" distR="0" wp14:anchorId="51EA2A0D" wp14:editId="1F5C21B5">
            <wp:extent cx="5749290" cy="2081084"/>
            <wp:effectExtent l="0" t="0" r="381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49290" cy="2081084"/>
                    </a:xfrm>
                    <a:prstGeom prst="rect">
                      <a:avLst/>
                    </a:prstGeom>
                    <a:noFill/>
                    <a:ln>
                      <a:noFill/>
                    </a:ln>
                  </pic:spPr>
                </pic:pic>
              </a:graphicData>
            </a:graphic>
          </wp:inline>
        </w:drawing>
      </w:r>
    </w:p>
    <w:p w:rsidR="00CB64E6" w:rsidRPr="00CB64E6" w:rsidRDefault="00CB64E6" w:rsidP="00CB64E6">
      <w:pPr>
        <w:spacing w:beforeLines="120" w:before="288" w:afterLines="120" w:after="288"/>
        <w:rPr>
          <w:rFonts w:cstheme="minorHAnsi"/>
          <w:szCs w:val="20"/>
        </w:rPr>
      </w:pPr>
    </w:p>
    <w:p w:rsidR="00CB64E6" w:rsidRPr="0086032E" w:rsidRDefault="00CB64E6" w:rsidP="004350AC">
      <w:pPr>
        <w:pStyle w:val="Heading4"/>
      </w:pPr>
      <w:r w:rsidRPr="00CB64E6">
        <w:t>Seeding incentives</w:t>
      </w:r>
    </w:p>
    <w:p w:rsidR="00CB64E6" w:rsidRPr="00CB64E6" w:rsidRDefault="00CB64E6" w:rsidP="00CB64E6">
      <w:pPr>
        <w:spacing w:beforeLines="120" w:before="288" w:afterLines="120" w:after="288"/>
        <w:rPr>
          <w:rFonts w:cstheme="minorHAnsi"/>
          <w:szCs w:val="20"/>
        </w:rPr>
      </w:pPr>
      <w:r w:rsidRPr="00CB64E6">
        <w:rPr>
          <w:rFonts w:cstheme="minorHAnsi"/>
          <w:b/>
          <w:szCs w:val="20"/>
        </w:rPr>
        <w:t>Upgrade policies and regulations:</w:t>
      </w:r>
      <w:r w:rsidRPr="00CB64E6">
        <w:rPr>
          <w:rFonts w:cstheme="minorHAnsi"/>
          <w:szCs w:val="20"/>
        </w:rPr>
        <w:t xml:space="preserve"> While Georgia has made great strides in improving the ease of starting a business, improving transparency, among other regulations, more can be done to bring the regulatory environment in line with global best practice to create incentives for innovation. Three categories of policies and regulations should be the focus to diminish risk associated with inn</w:t>
      </w:r>
      <w:r w:rsidR="0086032E">
        <w:rPr>
          <w:rFonts w:cstheme="minorHAnsi"/>
          <w:szCs w:val="20"/>
        </w:rPr>
        <w:t>ovation and encourage activity:</w:t>
      </w:r>
    </w:p>
    <w:p w:rsidR="00CB64E6" w:rsidRPr="00CB64E6" w:rsidRDefault="00CB64E6" w:rsidP="00AF39BA">
      <w:pPr>
        <w:pStyle w:val="ListParagraph"/>
        <w:numPr>
          <w:ilvl w:val="0"/>
          <w:numId w:val="20"/>
        </w:numPr>
        <w:autoSpaceDE/>
        <w:autoSpaceDN/>
        <w:adjustRightInd/>
        <w:spacing w:beforeLines="120" w:before="288" w:afterLines="120" w:after="288"/>
        <w:rPr>
          <w:rFonts w:cstheme="minorHAnsi"/>
          <w:color w:val="auto"/>
          <w:sz w:val="20"/>
          <w:szCs w:val="20"/>
        </w:rPr>
      </w:pPr>
      <w:r w:rsidRPr="00CB64E6">
        <w:rPr>
          <w:rFonts w:cstheme="minorHAnsi"/>
          <w:i/>
          <w:color w:val="auto"/>
          <w:sz w:val="20"/>
          <w:szCs w:val="20"/>
        </w:rPr>
        <w:t xml:space="preserve">Intellectual property (IP): </w:t>
      </w:r>
      <w:r w:rsidRPr="00CB64E6">
        <w:rPr>
          <w:rFonts w:cstheme="minorHAnsi"/>
          <w:color w:val="auto"/>
          <w:sz w:val="20"/>
          <w:szCs w:val="20"/>
        </w:rPr>
        <w:t>although the legal framework generally offers sufficient protections, the government should take steps to demonstrate and build business confidence in the system by actively pursuing cases, encouraging transparency in the judicial process and addressing weaknesses in efficacy; building confidence that innovators will themselves reap the benefits of their ideas will encourage more attempts to innovate.</w:t>
      </w:r>
    </w:p>
    <w:p w:rsidR="00CB64E6" w:rsidRPr="00CB64E6" w:rsidRDefault="00CB64E6" w:rsidP="00AF39BA">
      <w:pPr>
        <w:pStyle w:val="ListParagraph"/>
        <w:numPr>
          <w:ilvl w:val="0"/>
          <w:numId w:val="20"/>
        </w:numPr>
        <w:autoSpaceDE/>
        <w:autoSpaceDN/>
        <w:adjustRightInd/>
        <w:spacing w:beforeLines="120" w:before="288" w:afterLines="120" w:after="288"/>
        <w:rPr>
          <w:rFonts w:cstheme="minorHAnsi"/>
          <w:color w:val="auto"/>
          <w:sz w:val="20"/>
          <w:szCs w:val="20"/>
        </w:rPr>
      </w:pPr>
      <w:r w:rsidRPr="00CB64E6">
        <w:rPr>
          <w:rFonts w:cstheme="minorHAnsi"/>
          <w:i/>
          <w:color w:val="auto"/>
          <w:sz w:val="20"/>
          <w:szCs w:val="20"/>
        </w:rPr>
        <w:t>Insolvency law:</w:t>
      </w:r>
      <w:r w:rsidRPr="00CB64E6">
        <w:rPr>
          <w:rFonts w:cstheme="minorHAnsi"/>
          <w:color w:val="auto"/>
          <w:sz w:val="20"/>
          <w:szCs w:val="20"/>
        </w:rPr>
        <w:t xml:space="preserve"> current insolvency law and practices associated with filing for bankruptcy create extraordinary risk for debtors and creditors. Regulations prohibit lenders from being compensated according to their ranking among creditors, incentivizing interventionist behavior at early signs of risk and deterring lending to early stage business. Despite protections under law, entrepreneurs and business owners also report concern over limited de facto protections of personal assets in the case their limited liability companies (LLC) must file for bankruptcy. Addressing these challenges can empower potential entrepreneurs and expand access to finance.</w:t>
      </w:r>
    </w:p>
    <w:p w:rsidR="00CB64E6" w:rsidRPr="0086032E" w:rsidRDefault="00CB64E6" w:rsidP="00AF39BA">
      <w:pPr>
        <w:pStyle w:val="ListParagraph"/>
        <w:numPr>
          <w:ilvl w:val="0"/>
          <w:numId w:val="20"/>
        </w:numPr>
        <w:autoSpaceDE/>
        <w:autoSpaceDN/>
        <w:adjustRightInd/>
        <w:spacing w:beforeLines="120" w:before="288" w:afterLines="120" w:after="288"/>
        <w:rPr>
          <w:rFonts w:cstheme="minorHAnsi"/>
          <w:color w:val="auto"/>
          <w:sz w:val="20"/>
          <w:szCs w:val="20"/>
        </w:rPr>
      </w:pPr>
      <w:r w:rsidRPr="00CB64E6">
        <w:rPr>
          <w:rFonts w:cstheme="minorHAnsi"/>
          <w:i/>
          <w:color w:val="auto"/>
          <w:sz w:val="20"/>
          <w:szCs w:val="20"/>
        </w:rPr>
        <w:t>Investment law</w:t>
      </w:r>
      <w:r w:rsidRPr="00CB64E6">
        <w:rPr>
          <w:rFonts w:cstheme="minorHAnsi"/>
          <w:color w:val="auto"/>
          <w:sz w:val="20"/>
          <w:szCs w:val="20"/>
        </w:rPr>
        <w:t>: Georgia should continue to adapt its laws to expand the types of investment possible in the country (e.g., crowdfunding) and enhance flexibility around the terms under which firms can qualify for certain categories of investment; expanding the range of financing mechanisms will make it easier for entrepreneurs and businesses to access appropriate capital to develop and commercialize innovations</w:t>
      </w:r>
    </w:p>
    <w:p w:rsidR="00CB64E6" w:rsidRPr="00CB64E6" w:rsidRDefault="00CB64E6" w:rsidP="00CB64E6">
      <w:pPr>
        <w:spacing w:beforeLines="120" w:before="288" w:afterLines="120" w:after="288"/>
        <w:rPr>
          <w:rFonts w:cstheme="minorHAnsi"/>
          <w:szCs w:val="20"/>
        </w:rPr>
      </w:pPr>
      <w:r w:rsidRPr="00CB64E6">
        <w:rPr>
          <w:rFonts w:cstheme="minorHAnsi"/>
          <w:szCs w:val="20"/>
        </w:rPr>
        <w:t>In each of these cases, proving the efficacy of the enforcement system – specifically that it can work in favor of innovators when justified – is equally a</w:t>
      </w:r>
      <w:r w:rsidR="0086032E">
        <w:rPr>
          <w:rFonts w:cstheme="minorHAnsi"/>
          <w:szCs w:val="20"/>
        </w:rPr>
        <w:t xml:space="preserve">s important as the law itself. </w:t>
      </w:r>
    </w:p>
    <w:p w:rsidR="00CB64E6" w:rsidRPr="0086032E" w:rsidRDefault="00CB64E6" w:rsidP="00CB64E6">
      <w:pPr>
        <w:spacing w:beforeLines="120" w:before="288" w:afterLines="120" w:after="288"/>
        <w:rPr>
          <w:rFonts w:cstheme="minorHAnsi"/>
          <w:szCs w:val="20"/>
        </w:rPr>
      </w:pPr>
      <w:r w:rsidRPr="00CB64E6">
        <w:rPr>
          <w:rFonts w:cstheme="minorHAnsi"/>
          <w:b/>
          <w:szCs w:val="20"/>
        </w:rPr>
        <w:t>Enhance procurement processes and standards:</w:t>
      </w:r>
      <w:r w:rsidRPr="00CB64E6">
        <w:rPr>
          <w:rFonts w:cstheme="minorHAnsi"/>
          <w:szCs w:val="20"/>
        </w:rPr>
        <w:t xml:space="preserve"> Government must reorient procurement standards and processes to encourage innovation. This requires updating old standards that incentivize and / or mandate the procurement of dated technologies, and creating incentives for procurement of solutions that offer the best results, rather than rewarding risk mitigation only. In addition, government should place the institutional incentives to encourage outsourcing rather than a default to in-house production, to help local industry develop and optimize the deploym</w:t>
      </w:r>
      <w:r w:rsidR="0086032E">
        <w:rPr>
          <w:rFonts w:cstheme="minorHAnsi"/>
          <w:szCs w:val="20"/>
        </w:rPr>
        <w:t>ent of scarce technical talent.</w:t>
      </w:r>
    </w:p>
    <w:p w:rsidR="00CB64E6" w:rsidRPr="00CB64E6" w:rsidRDefault="00CB64E6" w:rsidP="00CB64E6">
      <w:pPr>
        <w:spacing w:beforeLines="120" w:before="288" w:afterLines="120" w:after="288"/>
        <w:rPr>
          <w:rFonts w:cstheme="minorHAnsi"/>
          <w:szCs w:val="20"/>
        </w:rPr>
      </w:pPr>
      <w:r w:rsidRPr="00CB64E6">
        <w:rPr>
          <w:rFonts w:cstheme="minorHAnsi"/>
          <w:b/>
          <w:szCs w:val="20"/>
        </w:rPr>
        <w:t>Upgrade quality standards:</w:t>
      </w:r>
      <w:r w:rsidRPr="00CB64E6">
        <w:rPr>
          <w:rFonts w:cstheme="minorHAnsi"/>
          <w:szCs w:val="20"/>
        </w:rPr>
        <w:t xml:space="preserve"> Promoting upgrades to quality standards, including general environmental, safety and governance (ESG) and industry-specific product standards, will support innovation in Georgia in two ways, first by strengthening the country’s competitiveness as a differentiated destination for high value activities and facilitate integration in global value chains. More broadly, however, it will position businesses realize returns on investment in innovation by minimizing competition from low-cos, low-quality providers, and establishing an environment where consumers are willing to pay more for higher quality offerings be</w:t>
      </w:r>
      <w:r w:rsidR="0086032E">
        <w:rPr>
          <w:rFonts w:cstheme="minorHAnsi"/>
          <w:szCs w:val="20"/>
        </w:rPr>
        <w:t xml:space="preserve">cause they trust the purchase. </w:t>
      </w:r>
    </w:p>
    <w:p w:rsidR="00CB64E6" w:rsidRPr="00CB64E6" w:rsidRDefault="00CB64E6" w:rsidP="00CB64E6">
      <w:pPr>
        <w:spacing w:beforeLines="120" w:before="288" w:afterLines="120" w:after="288"/>
        <w:rPr>
          <w:rFonts w:cstheme="minorHAnsi"/>
          <w:szCs w:val="20"/>
        </w:rPr>
      </w:pPr>
      <w:r w:rsidRPr="00CB64E6">
        <w:rPr>
          <w:rFonts w:cstheme="minorHAnsi"/>
          <w:szCs w:val="20"/>
        </w:rPr>
        <w:t>While efforts to upgrade quality standards are in progress, Georgia has vested interest in accelerating this process, particularly alignment with EU standards to maximize the benefits of the FTA. This requires both establishing clear guidelines, enhancing enforcement capabilities, and creating resources to support businesses in compliance.</w:t>
      </w:r>
    </w:p>
    <w:p w:rsidR="00CB64E6" w:rsidRPr="00CB64E6" w:rsidRDefault="00CB64E6" w:rsidP="00CB64E6">
      <w:pPr>
        <w:spacing w:beforeLines="120" w:before="288" w:afterLines="120" w:after="288"/>
        <w:rPr>
          <w:rFonts w:cstheme="minorHAnsi"/>
          <w:szCs w:val="20"/>
        </w:rPr>
      </w:pPr>
    </w:p>
    <w:p w:rsidR="00CB64E6" w:rsidRPr="00CB64E6" w:rsidRDefault="00CB64E6" w:rsidP="00CB64E6">
      <w:pPr>
        <w:spacing w:beforeLines="120" w:before="288" w:afterLines="120" w:after="288"/>
        <w:rPr>
          <w:rFonts w:cstheme="minorHAnsi"/>
          <w:szCs w:val="20"/>
        </w:rPr>
      </w:pPr>
      <w:r w:rsidRPr="00CB64E6">
        <w:rPr>
          <w:rFonts w:cstheme="minorHAnsi"/>
          <w:b/>
          <w:szCs w:val="20"/>
        </w:rPr>
        <w:t xml:space="preserve">Building business linkages: </w:t>
      </w:r>
      <w:r w:rsidRPr="00CB64E6">
        <w:rPr>
          <w:rFonts w:cstheme="minorHAnsi"/>
          <w:szCs w:val="20"/>
        </w:rPr>
        <w:t>Creating platforms and policies to encourage deeper formal and informal ties among Georgian businesses, between Georgian and foreign businesses, and between Georgian businesses and external markets will incentivize businesses to innovate by exposing them to new market opportunities and competition, and enabling the transfer of assets (e.g., technology, skills). Georgia should focus on three categories of linkages in particular:</w:t>
      </w:r>
    </w:p>
    <w:p w:rsidR="00CB64E6" w:rsidRPr="00CB64E6" w:rsidRDefault="00CB64E6" w:rsidP="00AF39BA">
      <w:pPr>
        <w:pStyle w:val="ListParagraph"/>
        <w:numPr>
          <w:ilvl w:val="0"/>
          <w:numId w:val="14"/>
        </w:numPr>
        <w:autoSpaceDE/>
        <w:autoSpaceDN/>
        <w:adjustRightInd/>
        <w:spacing w:beforeLines="120" w:before="288" w:afterLines="120" w:after="288"/>
        <w:contextualSpacing/>
        <w:rPr>
          <w:rFonts w:cstheme="minorHAnsi"/>
          <w:color w:val="auto"/>
          <w:sz w:val="20"/>
          <w:szCs w:val="20"/>
        </w:rPr>
      </w:pPr>
      <w:r w:rsidRPr="00CB64E6">
        <w:rPr>
          <w:rFonts w:cstheme="minorHAnsi"/>
          <w:color w:val="auto"/>
          <w:sz w:val="20"/>
          <w:szCs w:val="20"/>
        </w:rPr>
        <w:t>Global-local “backwards” linkages: Encouraging global companies based in Georgia to integrate local businesses into their supply chains and invest in their development</w:t>
      </w:r>
    </w:p>
    <w:p w:rsidR="00CB64E6" w:rsidRPr="00CB64E6" w:rsidRDefault="00CB64E6" w:rsidP="00AF39BA">
      <w:pPr>
        <w:pStyle w:val="ListParagraph"/>
        <w:numPr>
          <w:ilvl w:val="0"/>
          <w:numId w:val="14"/>
        </w:numPr>
        <w:autoSpaceDE/>
        <w:autoSpaceDN/>
        <w:adjustRightInd/>
        <w:spacing w:beforeLines="120" w:before="288" w:afterLines="120" w:after="288"/>
        <w:contextualSpacing/>
        <w:rPr>
          <w:rFonts w:cstheme="minorHAnsi"/>
          <w:color w:val="auto"/>
          <w:sz w:val="20"/>
          <w:szCs w:val="20"/>
        </w:rPr>
      </w:pPr>
      <w:r w:rsidRPr="00CB64E6">
        <w:rPr>
          <w:rFonts w:cstheme="minorHAnsi"/>
          <w:color w:val="auto"/>
          <w:sz w:val="20"/>
          <w:szCs w:val="20"/>
        </w:rPr>
        <w:t>Domestic business-to-global market linkages: providing support to high performing domestic business with aspirations to expand into foreign markets (e.g., Georgian companies that have succeeded in securing contracts in foreign markets but require support expanding)</w:t>
      </w:r>
    </w:p>
    <w:p w:rsidR="00CB64E6" w:rsidRPr="00CB64E6" w:rsidRDefault="00CB64E6" w:rsidP="00AF39BA">
      <w:pPr>
        <w:pStyle w:val="ListParagraph"/>
        <w:numPr>
          <w:ilvl w:val="0"/>
          <w:numId w:val="14"/>
        </w:numPr>
        <w:autoSpaceDE/>
        <w:autoSpaceDN/>
        <w:adjustRightInd/>
        <w:spacing w:beforeLines="120" w:before="288" w:afterLines="120" w:after="288"/>
        <w:contextualSpacing/>
        <w:rPr>
          <w:rFonts w:cstheme="minorHAnsi"/>
          <w:b/>
          <w:color w:val="auto"/>
          <w:sz w:val="20"/>
          <w:szCs w:val="20"/>
        </w:rPr>
      </w:pPr>
      <w:r w:rsidRPr="00CB64E6">
        <w:rPr>
          <w:rFonts w:cstheme="minorHAnsi"/>
          <w:color w:val="auto"/>
          <w:sz w:val="20"/>
          <w:szCs w:val="20"/>
        </w:rPr>
        <w:t>Domestic business-to-business linkages: Helping local businesses to connect with each other, to facilitate collaboration as well the exchange of assets and ideas that reduce the costs on innovation</w:t>
      </w:r>
    </w:p>
    <w:p w:rsidR="00CB64E6" w:rsidRPr="0086032E" w:rsidRDefault="00CB64E6" w:rsidP="00CB64E6">
      <w:pPr>
        <w:spacing w:beforeLines="120" w:before="288" w:afterLines="120" w:after="288"/>
        <w:rPr>
          <w:rFonts w:cstheme="minorHAnsi"/>
          <w:b/>
          <w:szCs w:val="20"/>
        </w:rPr>
      </w:pPr>
      <w:r w:rsidRPr="00CB64E6">
        <w:rPr>
          <w:rFonts w:cstheme="minorHAnsi"/>
          <w:szCs w:val="20"/>
        </w:rPr>
        <w:t>Each of these can be achieved through a range of tools, including regulatory / policy incentives, networking platforms, capacity building programs, etc. In doing so, Georgia must cultivate a balance between regulation, and capacity building incentives to impact behavior without constraining business activity.</w:t>
      </w:r>
    </w:p>
    <w:p w:rsidR="00CB64E6" w:rsidRPr="0086032E" w:rsidRDefault="00CB64E6" w:rsidP="004350AC">
      <w:pPr>
        <w:pStyle w:val="Heading4"/>
      </w:pPr>
      <w:r w:rsidRPr="00CB64E6">
        <w:t>Seeding assets</w:t>
      </w:r>
    </w:p>
    <w:p w:rsidR="00CB64E6" w:rsidRPr="00CB64E6" w:rsidRDefault="002630E1" w:rsidP="00CB64E6">
      <w:pPr>
        <w:spacing w:beforeLines="120" w:before="288" w:afterLines="120" w:after="288"/>
        <w:rPr>
          <w:rFonts w:cstheme="minorHAnsi"/>
          <w:szCs w:val="20"/>
        </w:rPr>
      </w:pPr>
      <w:r w:rsidRPr="00CB64E6">
        <w:rPr>
          <w:noProof/>
        </w:rPr>
        <mc:AlternateContent>
          <mc:Choice Requires="wps">
            <w:drawing>
              <wp:anchor distT="45720" distB="45720" distL="114300" distR="114300" simplePos="0" relativeHeight="251678208" behindDoc="0" locked="0" layoutInCell="1" allowOverlap="1" wp14:anchorId="4ED883C4" wp14:editId="6343E180">
                <wp:simplePos x="0" y="0"/>
                <wp:positionH relativeFrom="margin">
                  <wp:posOffset>3060065</wp:posOffset>
                </wp:positionH>
                <wp:positionV relativeFrom="paragraph">
                  <wp:posOffset>126365</wp:posOffset>
                </wp:positionV>
                <wp:extent cx="2874645" cy="1835150"/>
                <wp:effectExtent l="0" t="0" r="1905"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4645" cy="1835150"/>
                        </a:xfrm>
                        <a:prstGeom prst="rect">
                          <a:avLst/>
                        </a:prstGeom>
                        <a:solidFill>
                          <a:schemeClr val="accent3">
                            <a:lumMod val="40000"/>
                            <a:lumOff val="60000"/>
                          </a:schemeClr>
                        </a:solidFill>
                        <a:ln w="9525">
                          <a:noFill/>
                          <a:miter lim="800000"/>
                          <a:headEnd/>
                          <a:tailEnd/>
                        </a:ln>
                      </wps:spPr>
                      <wps:txbx>
                        <w:txbxContent>
                          <w:p w:rsidR="00826B2C" w:rsidRPr="004E141E" w:rsidRDefault="00826B2C" w:rsidP="002630E1">
                            <w:pPr>
                              <w:pStyle w:val="Heading4"/>
                            </w:pPr>
                            <w:r w:rsidRPr="004E141E">
                              <w:t>Case in action: Industry TVET partnerships</w:t>
                            </w:r>
                          </w:p>
                          <w:p w:rsidR="00826B2C" w:rsidRDefault="00826B2C" w:rsidP="004E141E">
                            <w:pPr>
                              <w:rPr>
                                <w:rFonts w:cstheme="minorHAnsi"/>
                                <w:szCs w:val="20"/>
                              </w:rPr>
                            </w:pPr>
                            <w:r w:rsidRPr="004E141E">
                              <w:rPr>
                                <w:rFonts w:cstheme="minorHAnsi"/>
                                <w:b/>
                                <w:sz w:val="18"/>
                                <w:szCs w:val="20"/>
                              </w:rPr>
                              <w:t>Georgia Capital PLC:</w:t>
                            </w:r>
                            <w:r w:rsidRPr="004E141E">
                              <w:rPr>
                                <w:rFonts w:cstheme="minorHAnsi"/>
                                <w:sz w:val="18"/>
                                <w:szCs w:val="20"/>
                              </w:rPr>
                              <w:t xml:space="preserve"> The construction arm of Georgia Capital PLC opened a collage for vocational education in Western Georgia in 2018. The college, with a total project cost of GEL 3 million, offers 11 short-term vocational courses to more than 600 construction workers and specialists annually. The company expects to employ most of the graduates</w:t>
                            </w:r>
                            <w:r w:rsidRPr="009072C7">
                              <w:rPr>
                                <w:rFonts w:cstheme="minorHAnsi"/>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883C4" id="_x0000_s1039" type="#_x0000_t202" style="position:absolute;margin-left:240.95pt;margin-top:9.95pt;width:226.35pt;height:144.5pt;z-index:251678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" fillcolor="#d7e5f4 [1302]" stroked="f">
                <v:textbox>
                  <w:txbxContent>
                    <w:p w:rsidR="00826B2C" w:rsidRPr="004E141E" w:rsidRDefault="00826B2C" w:rsidP="002630E1">
                      <w:pPr>
                        <w:pStyle w:val="Heading4"/>
                      </w:pPr>
                      <w:r w:rsidRPr="004E141E">
                        <w:t>Case in action: Industry TVET partnerships</w:t>
                      </w:r>
                    </w:p>
                    <w:p w:rsidR="00826B2C" w:rsidRDefault="00826B2C" w:rsidP="004E141E">
                      <w:pPr>
                        <w:rPr>
                          <w:rFonts w:cstheme="minorHAnsi"/>
                          <w:szCs w:val="20"/>
                        </w:rPr>
                      </w:pPr>
                      <w:r w:rsidRPr="004E141E">
                        <w:rPr>
                          <w:rFonts w:cstheme="minorHAnsi"/>
                          <w:b/>
                          <w:sz w:val="18"/>
                          <w:szCs w:val="20"/>
                        </w:rPr>
                        <w:t>Georgia Capital PLC:</w:t>
                      </w:r>
                      <w:r w:rsidRPr="004E141E">
                        <w:rPr>
                          <w:rFonts w:cstheme="minorHAnsi"/>
                          <w:sz w:val="18"/>
                          <w:szCs w:val="20"/>
                        </w:rPr>
                        <w:t xml:space="preserve"> The construction arm of Georgia Capital PLC opened a collage for vocational education in Western Georgia in 2018. The college, with a total project cost of GEL 3 million, offers 11 short-term vocational courses to more than 600 construction workers and specialists annually. The company expects to employ most of the graduates</w:t>
                      </w:r>
                      <w:r w:rsidRPr="009072C7">
                        <w:rPr>
                          <w:rFonts w:cstheme="minorHAnsi"/>
                          <w:szCs w:val="20"/>
                        </w:rPr>
                        <w:t>.</w:t>
                      </w:r>
                    </w:p>
                  </w:txbxContent>
                </v:textbox>
                <w10:wrap type="square" anchorx="margin"/>
              </v:shape>
            </w:pict>
          </mc:Fallback>
        </mc:AlternateContent>
      </w:r>
      <w:r w:rsidR="00CB64E6" w:rsidRPr="00CB64E6">
        <w:rPr>
          <w:rFonts w:cstheme="minorHAnsi"/>
          <w:b/>
          <w:szCs w:val="20"/>
        </w:rPr>
        <w:t>Prepare the talent pipeline:</w:t>
      </w:r>
      <w:r w:rsidR="00CB64E6" w:rsidRPr="00CB64E6">
        <w:rPr>
          <w:rFonts w:cstheme="minorHAnsi"/>
          <w:szCs w:val="20"/>
        </w:rPr>
        <w:t xml:space="preserve"> Investing in education must be a top priority, both in vocational training and higher education to serve the needs of target industries, and also in broad reforms to cultivate a population that is equipped with the creativity, critical thinking and technology skills to compete in the global economy. In Georgia, upgrading the education system to support innovation must focus on strengthening science, technology, engineering, arts and math (STEAM) education, however that is not the only solution. More importantly, it is about building the fundamentals: modernizing curricula, shifting incentives to build a pipeline of skilled and motivated teachers and encourage their professional development, integrating new learning models to reach broader populations, and on. True education reform will require time and investment and will not happen overnight; in the interim, businesses must be directly involved in set</w:t>
      </w:r>
      <w:r w:rsidR="0086032E">
        <w:rPr>
          <w:rFonts w:cstheme="minorHAnsi"/>
          <w:szCs w:val="20"/>
        </w:rPr>
        <w:t xml:space="preserve">ting short-term priorities. </w:t>
      </w:r>
    </w:p>
    <w:p w:rsidR="00CB64E6" w:rsidRPr="00CB64E6" w:rsidRDefault="00CB64E6" w:rsidP="00CB64E6">
      <w:pPr>
        <w:spacing w:beforeLines="120" w:before="288" w:afterLines="120" w:after="288"/>
        <w:rPr>
          <w:rFonts w:cstheme="minorHAnsi"/>
          <w:szCs w:val="20"/>
        </w:rPr>
      </w:pPr>
      <w:r w:rsidRPr="00CB64E6">
        <w:rPr>
          <w:rFonts w:cstheme="minorHAnsi"/>
          <w:b/>
          <w:szCs w:val="20"/>
        </w:rPr>
        <w:t>Enhance tech uptake:</w:t>
      </w:r>
      <w:r w:rsidRPr="00CB64E6">
        <w:rPr>
          <w:rFonts w:cstheme="minorHAnsi"/>
          <w:szCs w:val="20"/>
        </w:rPr>
        <w:t xml:space="preserve"> In an age where digital technology is increasingly ubiquitous and enables major advances in productivity, expanding digital infrastructure and fluency across Georgian society – both businesses and citizens – is critical to helping companies in Georgia to access rapidly changing industry knowledge, remain competitive, and reach global markets to innovate. A key priority is expanding its broadband infrastructure to work towards universal access. A second is encouraging popular uptake among businesses and citizens. Strategic initiatives in e-governance along complementary targeted education and incentives programs can help drive this, by promotin</w:t>
      </w:r>
      <w:r w:rsidR="00B34DBC">
        <w:rPr>
          <w:rFonts w:cstheme="minorHAnsi"/>
          <w:szCs w:val="20"/>
        </w:rPr>
        <w:t>g upgrading and self-education.</w:t>
      </w:r>
    </w:p>
    <w:p w:rsidR="00CB64E6" w:rsidRPr="00CB64E6" w:rsidRDefault="00CB64E6" w:rsidP="00CB64E6">
      <w:pPr>
        <w:spacing w:beforeLines="120" w:before="288" w:afterLines="120" w:after="288"/>
        <w:rPr>
          <w:rFonts w:cstheme="minorHAnsi"/>
          <w:szCs w:val="20"/>
        </w:rPr>
      </w:pPr>
      <w:r w:rsidRPr="00CB64E6">
        <w:rPr>
          <w:rFonts w:cstheme="minorHAnsi"/>
          <w:szCs w:val="20"/>
        </w:rPr>
        <w:t>In addition, Georgia must focus on growing its domestic ICT sector, supporting it in building the capacity to offer sophisticated services to local, regional and global consumers. Efforts should build on efforts already in motion to establish a local ICT cluster and address workforce bottlenecks through targeted tra</w:t>
      </w:r>
      <w:r w:rsidR="0086032E">
        <w:rPr>
          <w:rFonts w:cstheme="minorHAnsi"/>
          <w:szCs w:val="20"/>
        </w:rPr>
        <w:t xml:space="preserve">ining and education programs.  </w:t>
      </w:r>
    </w:p>
    <w:p w:rsidR="00CB64E6" w:rsidRPr="00CB64E6" w:rsidRDefault="00CB64E6" w:rsidP="00CB64E6">
      <w:pPr>
        <w:spacing w:beforeLines="120" w:before="288" w:afterLines="120" w:after="288"/>
        <w:rPr>
          <w:rFonts w:cstheme="minorHAnsi"/>
          <w:szCs w:val="20"/>
        </w:rPr>
      </w:pPr>
      <w:r w:rsidRPr="00CB64E6">
        <w:rPr>
          <w:rFonts w:cstheme="minorHAnsi"/>
          <w:b/>
          <w:szCs w:val="20"/>
        </w:rPr>
        <w:t>Expand access to finance:</w:t>
      </w:r>
      <w:r w:rsidRPr="00CB64E6">
        <w:rPr>
          <w:rFonts w:cstheme="minorHAnsi"/>
          <w:szCs w:val="20"/>
        </w:rPr>
        <w:t xml:space="preserve"> Helping business access a more diverse and affordable range of capital is needed to improve the viability of securing the necessary financial resources to invest in innovation. While some programs are already in place to make capital more affordable (e.g., Enterprise Georgia’s small business program), more investment is needed. A central priority is improving the environment for equity financing through a combination of regulatory enhancement, capacity building and incentives programs to introduce the capital and expertise to jumpstart the market. Efforts underway to enable crowdfunding can similarly help catalyze latent capital. Encouraging the deployment of alternative debt and blended financing instruments and strategic subsidy programs for innovators can h</w:t>
      </w:r>
      <w:r w:rsidR="0086032E">
        <w:rPr>
          <w:rFonts w:cstheme="minorHAnsi"/>
          <w:szCs w:val="20"/>
        </w:rPr>
        <w:t xml:space="preserve">elp improve access to capital. </w:t>
      </w:r>
    </w:p>
    <w:p w:rsidR="00CB64E6" w:rsidRDefault="00CB64E6" w:rsidP="00CB64E6">
      <w:pPr>
        <w:spacing w:beforeLines="120" w:before="288" w:afterLines="120" w:after="288"/>
        <w:rPr>
          <w:rFonts w:cstheme="minorHAnsi"/>
          <w:szCs w:val="20"/>
        </w:rPr>
      </w:pPr>
      <w:r w:rsidRPr="00CB64E6">
        <w:rPr>
          <w:rFonts w:cstheme="minorHAnsi"/>
          <w:noProof/>
          <w:szCs w:val="20"/>
        </w:rPr>
        <mc:AlternateContent>
          <mc:Choice Requires="wps">
            <w:drawing>
              <wp:anchor distT="45720" distB="45720" distL="114300" distR="114300" simplePos="0" relativeHeight="251679232" behindDoc="0" locked="0" layoutInCell="1" allowOverlap="1" wp14:anchorId="3E2EC989" wp14:editId="23F66509">
                <wp:simplePos x="0" y="0"/>
                <wp:positionH relativeFrom="margin">
                  <wp:align>left</wp:align>
                </wp:positionH>
                <wp:positionV relativeFrom="paragraph">
                  <wp:posOffset>625475</wp:posOffset>
                </wp:positionV>
                <wp:extent cx="3219450" cy="194310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943100"/>
                        </a:xfrm>
                        <a:prstGeom prst="rect">
                          <a:avLst/>
                        </a:prstGeom>
                        <a:solidFill>
                          <a:schemeClr val="accent3">
                            <a:lumMod val="40000"/>
                            <a:lumOff val="60000"/>
                          </a:schemeClr>
                        </a:solidFill>
                        <a:ln w="9525">
                          <a:noFill/>
                          <a:miter lim="800000"/>
                          <a:headEnd/>
                          <a:tailEnd/>
                        </a:ln>
                      </wps:spPr>
                      <wps:txbx>
                        <w:txbxContent>
                          <w:p w:rsidR="00826B2C" w:rsidRPr="004E141E" w:rsidRDefault="00826B2C" w:rsidP="002630E1">
                            <w:pPr>
                              <w:pStyle w:val="Heading4"/>
                            </w:pPr>
                            <w:r w:rsidRPr="004E141E">
                              <w:t>Case in action: World class learning institutions in Georgia</w:t>
                            </w:r>
                          </w:p>
                          <w:p w:rsidR="00826B2C" w:rsidRPr="00B34DBC" w:rsidRDefault="00826B2C" w:rsidP="00CB64E6">
                            <w:pPr>
                              <w:rPr>
                                <w:rFonts w:cstheme="minorHAnsi"/>
                                <w:sz w:val="18"/>
                                <w:szCs w:val="20"/>
                              </w:rPr>
                            </w:pPr>
                            <w:r w:rsidRPr="00B34DBC">
                              <w:rPr>
                                <w:rFonts w:cstheme="minorHAnsi"/>
                                <w:b/>
                                <w:sz w:val="18"/>
                                <w:szCs w:val="20"/>
                              </w:rPr>
                              <w:t>Les Roches:</w:t>
                            </w:r>
                            <w:r w:rsidRPr="00B34DBC">
                              <w:rPr>
                                <w:rFonts w:cstheme="minorHAnsi"/>
                                <w:sz w:val="18"/>
                                <w:szCs w:val="20"/>
                              </w:rPr>
                              <w:t xml:space="preserve"> For the first time in Georgia and the region, Swiss Tourism and Hospitality School of Higher Education Les Roches – ranked among the top three hospitality management schools in the world – started operations in 2018 on the base of the University of Business and Technologies. Les Roches came to Georgia as part of an initiative of the Georgian National Tourism Administration and the UN World Tourism Organization.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EC989" id="_x0000_s1040" type="#_x0000_t202" style="position:absolute;margin-left:0;margin-top:49.25pt;width:253.5pt;height:153pt;z-index:2516792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" fillcolor="#d7e5f4 [1302]" stroked="f">
                <v:textbox>
                  <w:txbxContent>
                    <w:p w:rsidR="00826B2C" w:rsidRPr="004E141E" w:rsidRDefault="00826B2C" w:rsidP="002630E1">
                      <w:pPr>
                        <w:pStyle w:val="Heading4"/>
                      </w:pPr>
                      <w:r w:rsidRPr="004E141E">
                        <w:t>Case in action: World class learning institutions in Georgia</w:t>
                      </w:r>
                    </w:p>
                    <w:p w:rsidR="00826B2C" w:rsidRPr="00B34DBC" w:rsidRDefault="00826B2C" w:rsidP="00CB64E6">
                      <w:pPr>
                        <w:rPr>
                          <w:rFonts w:cstheme="minorHAnsi"/>
                          <w:sz w:val="18"/>
                          <w:szCs w:val="20"/>
                        </w:rPr>
                      </w:pPr>
                      <w:r w:rsidRPr="00B34DBC">
                        <w:rPr>
                          <w:rFonts w:cstheme="minorHAnsi"/>
                          <w:b/>
                          <w:sz w:val="18"/>
                          <w:szCs w:val="20"/>
                        </w:rPr>
                        <w:t>Les Roches:</w:t>
                      </w:r>
                      <w:r w:rsidRPr="00B34DBC">
                        <w:rPr>
                          <w:rFonts w:cstheme="minorHAnsi"/>
                          <w:sz w:val="18"/>
                          <w:szCs w:val="20"/>
                        </w:rPr>
                        <w:t xml:space="preserve"> For the first time in Georgia and the region, Swiss Tourism and Hospitality School of Higher Education Les Roches – ranked among the top three hospitality management schools in the world – started operations in 2018 on the base of the University of Business and Technologies. Les Roches came to Georgia as part of an initiative of the Georgian National Tourism Administration and the UN World Tourism Organization.</w:t>
                      </w:r>
                    </w:p>
                  </w:txbxContent>
                </v:textbox>
                <w10:wrap type="square" anchorx="margin"/>
              </v:shape>
            </w:pict>
          </mc:Fallback>
        </mc:AlternateContent>
      </w:r>
      <w:r w:rsidRPr="00CB64E6">
        <w:rPr>
          <w:rFonts w:cstheme="minorHAnsi"/>
          <w:b/>
          <w:szCs w:val="20"/>
        </w:rPr>
        <w:t xml:space="preserve">Enable </w:t>
      </w:r>
      <w:r w:rsidR="00C111E5">
        <w:rPr>
          <w:rFonts w:cstheme="minorHAnsi"/>
          <w:b/>
          <w:szCs w:val="20"/>
        </w:rPr>
        <w:t xml:space="preserve">high-growth </w:t>
      </w:r>
      <w:r w:rsidRPr="00CB64E6">
        <w:rPr>
          <w:rFonts w:cstheme="minorHAnsi"/>
          <w:b/>
          <w:szCs w:val="20"/>
        </w:rPr>
        <w:t>entrepreneurs and spinoffs:</w:t>
      </w:r>
      <w:r w:rsidRPr="00CB64E6">
        <w:rPr>
          <w:rFonts w:cstheme="minorHAnsi"/>
          <w:szCs w:val="20"/>
        </w:rPr>
        <w:t xml:space="preserve"> Georgia must cultivate and environment in which promising innovative ventures –</w:t>
      </w:r>
      <w:r w:rsidR="00C111E5">
        <w:rPr>
          <w:rFonts w:cstheme="minorHAnsi"/>
          <w:szCs w:val="20"/>
        </w:rPr>
        <w:t xml:space="preserve"> high-growth</w:t>
      </w:r>
      <w:r w:rsidRPr="00CB64E6">
        <w:rPr>
          <w:rFonts w:cstheme="minorHAnsi"/>
          <w:szCs w:val="20"/>
        </w:rPr>
        <w:t xml:space="preserve"> startups and spinoffs, high-tech and not </w:t>
      </w:r>
      <w:r w:rsidR="002630E1">
        <w:rPr>
          <w:rFonts w:cstheme="minorHAnsi"/>
          <w:szCs w:val="20"/>
        </w:rPr>
        <w:t>–</w:t>
      </w:r>
      <w:r w:rsidRPr="00CB64E6">
        <w:rPr>
          <w:rFonts w:cstheme="minorHAnsi"/>
          <w:szCs w:val="20"/>
        </w:rPr>
        <w:t xml:space="preserve"> are able to access to resources they need to grow and thrive, ranging from finance, to mentorship, global market experiences and community networks. Strengthening the capabilities and credibility of these ventures requires maintaining a commitment to performance standards over numbers. In the near-term this requires providing tailored opportunities to a limit</w:t>
      </w:r>
      <w:r w:rsidR="00C111E5">
        <w:rPr>
          <w:rFonts w:cstheme="minorHAnsi"/>
          <w:szCs w:val="20"/>
        </w:rPr>
        <w:t>ed</w:t>
      </w:r>
      <w:r w:rsidRPr="00CB64E6">
        <w:rPr>
          <w:rFonts w:cstheme="minorHAnsi"/>
          <w:szCs w:val="20"/>
        </w:rPr>
        <w:t xml:space="preserve"> set of businesses – engaging resources both in and outside the country – with a view to grow and adapt local infrastructure to encourage and meet the needs of a future pipeline of entrepr</w:t>
      </w:r>
      <w:r w:rsidR="0086032E">
        <w:rPr>
          <w:rFonts w:cstheme="minorHAnsi"/>
          <w:szCs w:val="20"/>
        </w:rPr>
        <w:t>eneurs as it evolves over time.</w:t>
      </w:r>
    </w:p>
    <w:p w:rsidR="002630E1" w:rsidRPr="00CB64E6" w:rsidRDefault="002630E1" w:rsidP="00CB64E6">
      <w:pPr>
        <w:spacing w:beforeLines="120" w:before="288" w:afterLines="120" w:after="288"/>
        <w:rPr>
          <w:rFonts w:cstheme="minorHAnsi"/>
          <w:szCs w:val="20"/>
        </w:rPr>
      </w:pPr>
      <w:r>
        <w:rPr>
          <w:rFonts w:cstheme="minorHAnsi"/>
          <w:szCs w:val="20"/>
        </w:rPr>
        <w:t xml:space="preserve">In </w:t>
      </w:r>
      <w:r w:rsidR="00C111E5">
        <w:rPr>
          <w:rFonts w:cstheme="minorHAnsi"/>
          <w:szCs w:val="20"/>
        </w:rPr>
        <w:t>developing these assets and incentives, Georgia should focus not only on cultivating locally-grown high-growth entrepreneurs, but also positioning the country to capture and benefit from foreign-born talent attracted to the country by its quality standard of living, open environment and creative culture. This requires creating a pathway for foreign high-growth entrepreneurs with an interest in building in Georgia to access domestic programs and benefits</w:t>
      </w:r>
      <w:r w:rsidR="00F73192">
        <w:rPr>
          <w:rFonts w:cstheme="minorHAnsi"/>
          <w:szCs w:val="20"/>
        </w:rPr>
        <w:t xml:space="preserve"> (e.g., through a specialized visa program or “resident entrepreneur status”)</w:t>
      </w:r>
      <w:r w:rsidR="00C111E5">
        <w:rPr>
          <w:rFonts w:cstheme="minorHAnsi"/>
          <w:szCs w:val="20"/>
        </w:rPr>
        <w:t xml:space="preserve">, </w:t>
      </w:r>
      <w:r w:rsidR="00F73192">
        <w:rPr>
          <w:rFonts w:cstheme="minorHAnsi"/>
          <w:szCs w:val="20"/>
        </w:rPr>
        <w:t xml:space="preserve">and </w:t>
      </w:r>
      <w:r w:rsidR="00C111E5">
        <w:rPr>
          <w:rFonts w:cstheme="minorHAnsi"/>
          <w:szCs w:val="20"/>
        </w:rPr>
        <w:t xml:space="preserve">developing Georgia’s brand as a center for innovation </w:t>
      </w:r>
      <w:r w:rsidR="00F73192">
        <w:rPr>
          <w:rFonts w:cstheme="minorHAnsi"/>
          <w:szCs w:val="20"/>
        </w:rPr>
        <w:t xml:space="preserve">around those assets and incentives </w:t>
      </w:r>
      <w:r w:rsidR="00C111E5">
        <w:rPr>
          <w:rFonts w:cstheme="minorHAnsi"/>
          <w:szCs w:val="20"/>
        </w:rPr>
        <w:t>and marketing it abroad</w:t>
      </w:r>
      <w:r w:rsidR="00F73192">
        <w:rPr>
          <w:rFonts w:cstheme="minorHAnsi"/>
          <w:szCs w:val="20"/>
        </w:rPr>
        <w:t xml:space="preserve"> to attract top talent. Moreover, it requires developing</w:t>
      </w:r>
      <w:r w:rsidR="00C111E5">
        <w:rPr>
          <w:rFonts w:cstheme="minorHAnsi"/>
          <w:szCs w:val="20"/>
        </w:rPr>
        <w:t xml:space="preserve"> a direct on-ramp for entrepreneurs when they arrive in country to ensure they are aware of support available to them</w:t>
      </w:r>
      <w:r w:rsidR="00F73192">
        <w:rPr>
          <w:rFonts w:cstheme="minorHAnsi"/>
          <w:szCs w:val="20"/>
        </w:rPr>
        <w:t>, the process to access them is clear and efficient, and that they ultimately understand the value of investing in Georgia.</w:t>
      </w:r>
    </w:p>
    <w:p w:rsidR="00CB64E6" w:rsidRPr="00CB64E6" w:rsidRDefault="00CB64E6" w:rsidP="00CB64E6">
      <w:pPr>
        <w:spacing w:beforeLines="120" w:before="288" w:afterLines="120" w:after="288"/>
        <w:rPr>
          <w:rFonts w:cstheme="minorHAnsi"/>
          <w:szCs w:val="20"/>
        </w:rPr>
      </w:pPr>
      <w:r w:rsidRPr="00CB64E6">
        <w:rPr>
          <w:rFonts w:cstheme="minorHAnsi"/>
          <w:b/>
          <w:szCs w:val="20"/>
        </w:rPr>
        <w:t>Create access to research:</w:t>
      </w:r>
      <w:r w:rsidRPr="00CB64E6">
        <w:rPr>
          <w:rFonts w:cstheme="minorHAnsi"/>
          <w:szCs w:val="20"/>
        </w:rPr>
        <w:t xml:space="preserve"> Rebuilding Georgia’s research capability is important to the country’s innovation system long term, and positioning research develop in partnership with industry can help secure the resources and expertise to do so. Focusing on a limited set of applied research priorities aligned to business interests and Horizon 2020 goals in high value manufacturing, food and beverage production, (e.g., materials sciences, pharmacological technology) and adapting policies to promote corporate collaboration and international projects are critical first steps. In the process, government and academia need to re-envision their role, from transfer office to broker, working to develop tailored solutions for companies interested in research (including cultivating early interest) and helping Georgia’s local research c</w:t>
      </w:r>
      <w:r w:rsidR="0086032E">
        <w:rPr>
          <w:rFonts w:cstheme="minorHAnsi"/>
          <w:szCs w:val="20"/>
        </w:rPr>
        <w:t>enters to grow along with them.</w:t>
      </w:r>
    </w:p>
    <w:p w:rsidR="00CB64E6" w:rsidRPr="00CB64E6" w:rsidRDefault="00CB64E6" w:rsidP="00CB64E6">
      <w:pPr>
        <w:spacing w:beforeLines="120" w:before="288" w:afterLines="120" w:after="288"/>
        <w:rPr>
          <w:rFonts w:cstheme="minorHAnsi"/>
          <w:szCs w:val="20"/>
        </w:rPr>
      </w:pPr>
      <w:r w:rsidRPr="00CB64E6">
        <w:rPr>
          <w:rFonts w:cstheme="minorHAnsi"/>
          <w:b/>
          <w:szCs w:val="20"/>
        </w:rPr>
        <w:t>Encourage creative society:</w:t>
      </w:r>
      <w:r w:rsidRPr="00CB64E6">
        <w:rPr>
          <w:rFonts w:cstheme="minorHAnsi"/>
          <w:szCs w:val="20"/>
        </w:rPr>
        <w:t xml:space="preserve"> Balancing technical capabilities, encouraging innovation requires fostering a culture of creativity, risk taking and entrepreneurship, and a society that understands its value and is ready to participate. Beyond the educational system, Georgia’s traditional strengthen in creative arts and the emerging creative industries are an important asset to cultivate. Actively celebrating creative minds, innovators and broad applications of the arts can help increase public engagement in activities that stretch traditional thinking and strengthen support for the</w:t>
      </w:r>
      <w:r w:rsidR="0086032E">
        <w:rPr>
          <w:rFonts w:cstheme="minorHAnsi"/>
          <w:szCs w:val="20"/>
        </w:rPr>
        <w:t xml:space="preserve"> role of innovation in society.</w:t>
      </w:r>
    </w:p>
    <w:p w:rsidR="00CB64E6" w:rsidRPr="00CB64E6" w:rsidRDefault="00CB64E6" w:rsidP="00CB64E6">
      <w:pPr>
        <w:spacing w:beforeLines="120" w:before="288" w:afterLines="120" w:after="288"/>
        <w:rPr>
          <w:rFonts w:cstheme="minorHAnsi"/>
          <w:szCs w:val="20"/>
        </w:rPr>
      </w:pPr>
      <w:r w:rsidRPr="00CB64E6">
        <w:rPr>
          <w:rFonts w:cstheme="minorHAnsi"/>
          <w:szCs w:val="20"/>
        </w:rPr>
        <w:t>Each of these areas represents a focus for Georgia through 2025, and many are likely to remain central for years and decades to come. In developing these assets and incentives, a few cross-cutting design principles apply. First, efforts through 2025 should fo</w:t>
      </w:r>
      <w:r w:rsidRPr="00CB64E6">
        <w:rPr>
          <w:rFonts w:cstheme="minorHAnsi"/>
          <w:b/>
          <w:szCs w:val="20"/>
        </w:rPr>
        <w:t>cus on high value manufacturing and industrial design</w:t>
      </w:r>
      <w:r w:rsidRPr="00CB64E6">
        <w:rPr>
          <w:rFonts w:cstheme="minorHAnsi"/>
          <w:szCs w:val="20"/>
        </w:rPr>
        <w:t xml:space="preserve"> as leading industries, and support other industries to build off its momentum. Second, ensuring that </w:t>
      </w:r>
      <w:r w:rsidRPr="00CB64E6">
        <w:rPr>
          <w:rFonts w:cstheme="minorHAnsi"/>
          <w:b/>
          <w:szCs w:val="20"/>
        </w:rPr>
        <w:t>businesses can access assets from within Georgia</w:t>
      </w:r>
      <w:r w:rsidRPr="00CB64E6">
        <w:rPr>
          <w:rFonts w:cstheme="minorHAnsi"/>
          <w:szCs w:val="20"/>
        </w:rPr>
        <w:t xml:space="preserve"> is critical (whether they are located domestically or in other countries), rather than necessarily developing them locally. Particularly in cases such as research, building global partnerships that help Georgian innovators access accelerators, labs or mentorships overseas can have greater returns compared to building assets locally, particularly in cases where demand is limited. Finally, collaboration with businesses is paramount to ensure that programs and resources a</w:t>
      </w:r>
      <w:r w:rsidR="0086032E">
        <w:rPr>
          <w:rFonts w:cstheme="minorHAnsi"/>
          <w:szCs w:val="20"/>
        </w:rPr>
        <w:t>dequately align to their needs.</w:t>
      </w:r>
    </w:p>
    <w:p w:rsidR="00CB64E6" w:rsidRPr="0086032E" w:rsidRDefault="00CB64E6" w:rsidP="004350AC">
      <w:pPr>
        <w:pStyle w:val="Heading4"/>
      </w:pPr>
      <w:r w:rsidRPr="00CB64E6">
        <w:t>Engaging gov</w:t>
      </w:r>
      <w:r w:rsidR="0086032E">
        <w:t>ernment innovation</w:t>
      </w:r>
    </w:p>
    <w:p w:rsidR="00CB64E6" w:rsidRPr="00CB64E6" w:rsidRDefault="00CB64E6" w:rsidP="00CB64E6">
      <w:pPr>
        <w:spacing w:beforeLines="120" w:before="288" w:afterLines="120" w:after="288"/>
        <w:rPr>
          <w:rFonts w:cstheme="minorHAnsi"/>
          <w:szCs w:val="20"/>
        </w:rPr>
      </w:pPr>
      <w:r w:rsidRPr="00CB64E6">
        <w:rPr>
          <w:rFonts w:cstheme="minorHAnsi"/>
          <w:szCs w:val="20"/>
        </w:rPr>
        <w:t>Government has been and will continue to be an important contributor to Georgia’s innovation system. GITA in particular, has a key role to play as the “custodian” of the country’s innovation ecosystem (responsible for identifying and mobilizing opportunities for development) and a central point of contact to help companies navigate evolving incentives and assets. In addition to filling critical gaps in support for high performing innovators through local investment and global partnerships – with an emphasis on world class quality standards – helping to fill this central void can</w:t>
      </w:r>
      <w:r w:rsidR="0086032E">
        <w:rPr>
          <w:rFonts w:cstheme="minorHAnsi"/>
          <w:szCs w:val="20"/>
        </w:rPr>
        <w:t xml:space="preserve"> help drive the system forward.</w:t>
      </w:r>
    </w:p>
    <w:p w:rsidR="00CB64E6" w:rsidRPr="00CB64E6" w:rsidRDefault="00CB64E6" w:rsidP="00CB64E6">
      <w:pPr>
        <w:spacing w:beforeLines="120" w:before="288" w:afterLines="120" w:after="288"/>
        <w:rPr>
          <w:rFonts w:cstheme="minorHAnsi"/>
          <w:szCs w:val="20"/>
        </w:rPr>
      </w:pPr>
      <w:r w:rsidRPr="00CB64E6">
        <w:rPr>
          <w:rFonts w:cstheme="minorHAnsi"/>
          <w:szCs w:val="20"/>
        </w:rPr>
        <w:t>Bold commitments from the highest levels of government to leadership in blockchain, digital public services and agile public reforms also create significant opportunity for public institutions to be a source of inn</w:t>
      </w:r>
      <w:r w:rsidR="0086032E">
        <w:rPr>
          <w:rFonts w:cstheme="minorHAnsi"/>
          <w:szCs w:val="20"/>
        </w:rPr>
        <w:t>ovation, as much as an enabler.</w:t>
      </w:r>
    </w:p>
    <w:p w:rsidR="00CB64E6" w:rsidRPr="00CB64E6" w:rsidRDefault="00CB64E6" w:rsidP="00CB64E6">
      <w:pPr>
        <w:spacing w:beforeLines="120" w:before="288" w:afterLines="120" w:after="288"/>
        <w:rPr>
          <w:rFonts w:cstheme="minorHAnsi"/>
          <w:szCs w:val="20"/>
        </w:rPr>
      </w:pPr>
      <w:r w:rsidRPr="00CB64E6">
        <w:rPr>
          <w:rFonts w:cstheme="minorHAnsi"/>
          <w:szCs w:val="20"/>
        </w:rPr>
        <w:t>In pursuing an internal innovation agenda however, government must align around a common vision for the role of innovation in government, which should ultimately be in the service of promoting private sector competitiveness and innovation. This implies prioritizing those initiatives based on their relative ability to improve the performance of local business, develop new technologies with commercial application, and attract new resources, talent and expertise into the country. Correspondingly, this means eliminating cases of innovation for the sake of innovation. By adopting this view, government can focus in on those innovation with the greatest pote</w:t>
      </w:r>
      <w:r w:rsidR="0086032E">
        <w:rPr>
          <w:rFonts w:cstheme="minorHAnsi"/>
          <w:szCs w:val="20"/>
        </w:rPr>
        <w:t>ntial to drive economic impact.</w:t>
      </w:r>
    </w:p>
    <w:p w:rsidR="00CB64E6" w:rsidRPr="00CB64E6" w:rsidRDefault="00CB64E6" w:rsidP="00CB64E6">
      <w:pPr>
        <w:spacing w:beforeLines="120" w:before="288" w:afterLines="120" w:after="288"/>
        <w:rPr>
          <w:rFonts w:cstheme="minorHAnsi"/>
          <w:szCs w:val="20"/>
        </w:rPr>
      </w:pPr>
      <w:r w:rsidRPr="00CB64E6">
        <w:rPr>
          <w:rFonts w:cstheme="minorHAnsi"/>
          <w:szCs w:val="20"/>
        </w:rPr>
        <w:t>This entails prioritizing government innovatio</w:t>
      </w:r>
      <w:r w:rsidR="0086032E">
        <w:rPr>
          <w:rFonts w:cstheme="minorHAnsi"/>
          <w:szCs w:val="20"/>
        </w:rPr>
        <w:t>n based on three main criteria:</w:t>
      </w:r>
    </w:p>
    <w:p w:rsidR="00CB64E6" w:rsidRPr="00CB64E6" w:rsidRDefault="00CB64E6" w:rsidP="00AF39BA">
      <w:pPr>
        <w:pStyle w:val="ListParagraph"/>
        <w:numPr>
          <w:ilvl w:val="0"/>
          <w:numId w:val="22"/>
        </w:numPr>
        <w:autoSpaceDE/>
        <w:autoSpaceDN/>
        <w:adjustRightInd/>
        <w:spacing w:beforeLines="120" w:before="288" w:afterLines="120" w:after="288"/>
        <w:contextualSpacing/>
        <w:rPr>
          <w:rFonts w:cstheme="minorHAnsi"/>
          <w:color w:val="auto"/>
          <w:sz w:val="20"/>
          <w:szCs w:val="20"/>
        </w:rPr>
      </w:pPr>
      <w:r w:rsidRPr="00CB64E6">
        <w:rPr>
          <w:rFonts w:cstheme="minorHAnsi"/>
          <w:b/>
          <w:color w:val="auto"/>
          <w:sz w:val="20"/>
          <w:szCs w:val="20"/>
        </w:rPr>
        <w:t>Impact on industry competitiveness:</w:t>
      </w:r>
      <w:r w:rsidRPr="00CB64E6">
        <w:rPr>
          <w:rFonts w:cstheme="minorHAnsi"/>
          <w:color w:val="auto"/>
          <w:sz w:val="20"/>
          <w:szCs w:val="20"/>
        </w:rPr>
        <w:t xml:space="preserve"> the likeliness that the innovation can enhance the operating environment for business and particularly for innovation (e.g., streamlining business services and transaction through innovative business models)</w:t>
      </w:r>
    </w:p>
    <w:p w:rsidR="00CB64E6" w:rsidRPr="00CB64E6" w:rsidRDefault="00CB64E6" w:rsidP="00AF39BA">
      <w:pPr>
        <w:pStyle w:val="ListParagraph"/>
        <w:numPr>
          <w:ilvl w:val="0"/>
          <w:numId w:val="22"/>
        </w:numPr>
        <w:autoSpaceDE/>
        <w:autoSpaceDN/>
        <w:adjustRightInd/>
        <w:spacing w:beforeLines="120" w:before="288" w:afterLines="120" w:after="288"/>
        <w:contextualSpacing/>
        <w:rPr>
          <w:rFonts w:cstheme="minorHAnsi"/>
          <w:color w:val="auto"/>
          <w:sz w:val="20"/>
          <w:szCs w:val="20"/>
        </w:rPr>
      </w:pPr>
      <w:r w:rsidRPr="00CB64E6">
        <w:rPr>
          <w:rFonts w:cstheme="minorHAnsi"/>
          <w:b/>
          <w:color w:val="auto"/>
          <w:sz w:val="20"/>
          <w:szCs w:val="20"/>
        </w:rPr>
        <w:t>Potential for private sector uptake:</w:t>
      </w:r>
      <w:r w:rsidRPr="00CB64E6">
        <w:rPr>
          <w:rFonts w:cstheme="minorHAnsi"/>
          <w:color w:val="auto"/>
          <w:sz w:val="20"/>
          <w:szCs w:val="20"/>
        </w:rPr>
        <w:t xml:space="preserve"> the potential for innovations piloted in government to be adopted in the private sector with the right channels for technology transfer, and or to have commercial application (e.g., piloting different forms of smart contracts using blockchain)</w:t>
      </w:r>
    </w:p>
    <w:p w:rsidR="00CB64E6" w:rsidRPr="0086032E" w:rsidRDefault="00CB64E6" w:rsidP="00AF39BA">
      <w:pPr>
        <w:pStyle w:val="ListParagraph"/>
        <w:numPr>
          <w:ilvl w:val="0"/>
          <w:numId w:val="22"/>
        </w:numPr>
        <w:autoSpaceDE/>
        <w:autoSpaceDN/>
        <w:adjustRightInd/>
        <w:spacing w:beforeLines="120" w:before="288" w:afterLines="120" w:after="288"/>
        <w:contextualSpacing/>
        <w:rPr>
          <w:rFonts w:cstheme="minorHAnsi"/>
          <w:color w:val="auto"/>
          <w:sz w:val="20"/>
          <w:szCs w:val="20"/>
        </w:rPr>
      </w:pPr>
      <w:r w:rsidRPr="00CB64E6">
        <w:rPr>
          <w:rFonts w:cstheme="minorHAnsi"/>
          <w:b/>
          <w:color w:val="auto"/>
          <w:sz w:val="20"/>
          <w:szCs w:val="20"/>
        </w:rPr>
        <w:t xml:space="preserve">Opportunity for differentiation: </w:t>
      </w:r>
      <w:r w:rsidRPr="00CB64E6">
        <w:rPr>
          <w:rFonts w:cstheme="minorHAnsi"/>
          <w:color w:val="auto"/>
          <w:sz w:val="20"/>
          <w:szCs w:val="20"/>
        </w:rPr>
        <w:t>The extent to which they offer new and / or differentiated value to the global community, e.g., by piloting a new business model that responds to a regional or global challenge, not already being tested by others. This creates the opportunity to attract international interest and investment into the local economy. (e.g., technologies to address institutional transparency, currency risk or data security, etc.)</w:t>
      </w:r>
    </w:p>
    <w:p w:rsidR="00CB64E6" w:rsidRPr="00B34DBC" w:rsidRDefault="00CB64E6" w:rsidP="00CB64E6">
      <w:pPr>
        <w:spacing w:beforeLines="120" w:before="288" w:afterLines="120" w:after="288"/>
        <w:rPr>
          <w:rFonts w:cstheme="minorHAnsi"/>
          <w:szCs w:val="20"/>
        </w:rPr>
      </w:pPr>
      <w:r w:rsidRPr="00CB64E6">
        <w:rPr>
          <w:rFonts w:cstheme="minorHAnsi"/>
          <w:szCs w:val="20"/>
        </w:rPr>
        <w:t>Maximizing and realizing the returns from government innovation requires centralizing leadership and oversight, while maintaining sufficient autonomy across agencies such that they operate efficiently and capitalize on evolving opportunities. Identifying a central custodian of the government innovation system – responsible for setting the vision for government innovation, internal and external communication, advocating for required assets and incentives and managing external engagement – would be a first step in realizing this outcome. Developing innovation champions at the agency level, engaging them in central vision-setting and other functions, and empowering them to make regular decisions respective to their agency can enable a centralized strategy, while positioning agencies to act in order to best ful</w:t>
      </w:r>
      <w:r w:rsidR="00B34DBC">
        <w:rPr>
          <w:rFonts w:cstheme="minorHAnsi"/>
          <w:szCs w:val="20"/>
        </w:rPr>
        <w:t>fill their respective missions.</w:t>
      </w:r>
    </w:p>
    <w:p w:rsidR="00CB64E6" w:rsidRPr="00CB64E6" w:rsidRDefault="00CB64E6" w:rsidP="004350AC">
      <w:pPr>
        <w:pStyle w:val="Heading4"/>
      </w:pPr>
      <w:r w:rsidRPr="00CB64E6">
        <w:t>Mobilizing the system: e</w:t>
      </w:r>
      <w:r w:rsidR="0086032E">
        <w:t>ngaging the “right kind of FDI”</w:t>
      </w:r>
    </w:p>
    <w:p w:rsidR="00CB64E6" w:rsidRPr="00CB64E6" w:rsidRDefault="00CB64E6" w:rsidP="00CB64E6">
      <w:pPr>
        <w:spacing w:beforeLines="120" w:before="288" w:afterLines="120" w:after="288"/>
        <w:rPr>
          <w:rFonts w:cstheme="minorHAnsi"/>
          <w:szCs w:val="20"/>
        </w:rPr>
      </w:pPr>
      <w:r w:rsidRPr="00CB64E6">
        <w:rPr>
          <w:rFonts w:cstheme="minorHAnsi"/>
          <w:szCs w:val="20"/>
        </w:rPr>
        <w:t>A focus on cultivating domestic assets and incentives that cater to Georgia’s existing resources and capabilities is one pathway to encourage innovation over time. Yet this process is likely to be slow and evolutionary, dependent on massive reforms to education, workforce development, infrastructure, etc., all of which require resources. As with capital, as the time to returns increases, so too does the risk. As Georgia moves to catch up with, or leap-frog global innovation, that standard is constantly evolving.</w:t>
      </w:r>
    </w:p>
    <w:p w:rsidR="00CB64E6" w:rsidRPr="00CB64E6" w:rsidRDefault="00CB64E6" w:rsidP="00CB64E6">
      <w:pPr>
        <w:spacing w:beforeLines="120" w:before="288" w:afterLines="120" w:after="288"/>
        <w:rPr>
          <w:rFonts w:cstheme="minorHAnsi"/>
          <w:szCs w:val="20"/>
        </w:rPr>
      </w:pPr>
      <w:r w:rsidRPr="00CB64E6">
        <w:rPr>
          <w:rFonts w:cstheme="minorHAnsi"/>
          <w:szCs w:val="20"/>
        </w:rPr>
        <w:t xml:space="preserve">The question thus becomes, </w:t>
      </w:r>
      <w:r w:rsidRPr="00CB64E6">
        <w:rPr>
          <w:rFonts w:cstheme="minorHAnsi"/>
          <w:i/>
          <w:szCs w:val="20"/>
        </w:rPr>
        <w:t>how can Georgia accelerate its path to developing an innovation capability?</w:t>
      </w:r>
      <w:r w:rsidR="0086032E">
        <w:rPr>
          <w:rFonts w:cstheme="minorHAnsi"/>
          <w:szCs w:val="20"/>
        </w:rPr>
        <w:t xml:space="preserve"> </w:t>
      </w:r>
      <w:r w:rsidRPr="00CB64E6">
        <w:rPr>
          <w:rFonts w:cstheme="minorHAnsi"/>
          <w:szCs w:val="20"/>
        </w:rPr>
        <w:t>One path many countries (e.g., Ireland, Singapore, Costa Rica, etc.) have pursued to do this is attracting FDI into key industries.  This is already one of Georgia’s strengths. Rates of FDI in Georgia are among the highest of ECA countries in its income category at $431 per capita in 2016, compared to the regional average of $225.</w:t>
      </w:r>
      <w:r w:rsidRPr="00CB64E6">
        <w:rPr>
          <w:rStyle w:val="FootnoteReference"/>
          <w:rFonts w:cstheme="minorHAnsi"/>
          <w:szCs w:val="20"/>
        </w:rPr>
        <w:footnoteReference w:id="22"/>
      </w:r>
      <w:r w:rsidRPr="00CB64E6">
        <w:rPr>
          <w:rFonts w:cstheme="minorHAnsi"/>
          <w:szCs w:val="20"/>
        </w:rPr>
        <w:t xml:space="preserve"> FDI into the country has been growing steadily, at an annual growth rate of 12% from 2012-2016.</w:t>
      </w:r>
      <w:r w:rsidRPr="00CB64E6">
        <w:rPr>
          <w:rStyle w:val="FootnoteReference"/>
          <w:rFonts w:cstheme="minorHAnsi"/>
          <w:szCs w:val="20"/>
        </w:rPr>
        <w:footnoteReference w:id="23"/>
      </w:r>
      <w:r w:rsidRPr="00CB64E6">
        <w:rPr>
          <w:rFonts w:cstheme="minorHAnsi"/>
          <w:szCs w:val="20"/>
        </w:rPr>
        <w:t xml:space="preserve"> In order to make FDI work for innovation, Georgia needs to evolve this capability to attract a different category of FDI. To date, FDI has primarily gone into non-tradable industries that have done little to integrate Georgia into global markets and build a local innovation capability. In 2016 nearly 40% of FDI went into transport sector and related infrastructure projects, and another 16% into construction and real estate.</w:t>
      </w:r>
      <w:r w:rsidRPr="00CB64E6">
        <w:rPr>
          <w:rStyle w:val="FootnoteReference"/>
          <w:rFonts w:cstheme="minorHAnsi"/>
          <w:szCs w:val="20"/>
        </w:rPr>
        <w:footnoteReference w:id="24"/>
      </w:r>
      <w:r w:rsidR="0086032E">
        <w:rPr>
          <w:rFonts w:cstheme="minorHAnsi"/>
          <w:szCs w:val="20"/>
        </w:rPr>
        <w:t xml:space="preserve"> </w:t>
      </w:r>
    </w:p>
    <w:p w:rsidR="00CB64E6" w:rsidRPr="0086032E" w:rsidRDefault="00CB64E6" w:rsidP="00CB64E6">
      <w:pPr>
        <w:spacing w:beforeLines="120" w:before="288" w:afterLines="120" w:after="288"/>
        <w:rPr>
          <w:rFonts w:cstheme="minorHAnsi"/>
          <w:szCs w:val="20"/>
        </w:rPr>
      </w:pPr>
      <w:r w:rsidRPr="00CB64E6">
        <w:rPr>
          <w:rFonts w:cstheme="minorHAnsi"/>
          <w:szCs w:val="20"/>
        </w:rPr>
        <w:t xml:space="preserve">Initially prioritizing FDI aimed at serving EU markets, benefitting from the DCFTA, will help Georgia harness the world class capabilities, resources and access to technology to thrive in global markets, but also position the country as a gateway into emerging regional markets. Looking forward, Georgia will be positioned to localize innovation activity geared at adapting these high value products to lower income groups, reaching into the Caucuses, the Middle East and ultimately into China. Focusing on FDI into high value manufacturing taps into market needs that present a clear, demand-driven pathway to </w:t>
      </w:r>
      <w:r w:rsidR="0086032E">
        <w:rPr>
          <w:rFonts w:cstheme="minorHAnsi"/>
          <w:szCs w:val="20"/>
        </w:rPr>
        <w:t>innovation.</w:t>
      </w:r>
    </w:p>
    <w:p w:rsidR="00CB64E6" w:rsidRPr="00CB64E6" w:rsidRDefault="00CB64E6" w:rsidP="00CB64E6">
      <w:pPr>
        <w:spacing w:beforeLines="120" w:before="288" w:afterLines="120" w:after="288"/>
        <w:rPr>
          <w:rFonts w:cstheme="minorHAnsi"/>
          <w:szCs w:val="20"/>
        </w:rPr>
      </w:pPr>
      <w:r w:rsidRPr="00CB64E6">
        <w:rPr>
          <w:rFonts w:cstheme="minorHAnsi"/>
          <w:i/>
          <w:szCs w:val="20"/>
        </w:rPr>
        <w:t xml:space="preserve">How does FDI work to stimulate innovation? </w:t>
      </w:r>
      <w:r w:rsidRPr="00CB64E6">
        <w:rPr>
          <w:rFonts w:cstheme="minorHAnsi"/>
          <w:szCs w:val="20"/>
        </w:rPr>
        <w:t xml:space="preserve">Growing an innovation capability through FDI requires focusing on “the right kind” of FDI from companies with a proven track-record of investing in and developing the communities where the operate. These companies direct resources into training local employees, procure locally and support businesses in developing capabilities to service their supply chain, and bring world class technology; they invest the welfare of their employees and work actively with local government, academia and other businesses to cultivate an environment that will enable the private sector’s long-term success. Some of Georgia’s recent FDI successes demonstrate these characteristics, including one </w:t>
      </w:r>
      <w:r w:rsidR="006F7C2A" w:rsidRPr="00CB64E6">
        <w:rPr>
          <w:rFonts w:cstheme="minorHAnsi"/>
          <w:szCs w:val="20"/>
        </w:rPr>
        <w:t>industrials company</w:t>
      </w:r>
      <w:r w:rsidRPr="00CB64E6">
        <w:rPr>
          <w:rFonts w:cstheme="minorHAnsi"/>
          <w:szCs w:val="20"/>
        </w:rPr>
        <w:t xml:space="preserve"> that invested its resources to send new employees abroad for training for a year before putting them to work. Georgia needs to at</w:t>
      </w:r>
      <w:r w:rsidR="0086032E">
        <w:rPr>
          <w:rFonts w:cstheme="minorHAnsi"/>
          <w:szCs w:val="20"/>
        </w:rPr>
        <w:t xml:space="preserve">tract more of this investment. </w:t>
      </w:r>
    </w:p>
    <w:p w:rsidR="00CB64E6" w:rsidRPr="00CB64E6" w:rsidRDefault="00CB64E6" w:rsidP="00CB64E6">
      <w:pPr>
        <w:spacing w:beforeLines="120" w:before="288" w:afterLines="120" w:after="288"/>
        <w:rPr>
          <w:rFonts w:cstheme="minorHAnsi"/>
          <w:szCs w:val="20"/>
        </w:rPr>
      </w:pPr>
      <w:r w:rsidRPr="00CB64E6">
        <w:rPr>
          <w:rFonts w:cstheme="minorHAnsi"/>
          <w:szCs w:val="20"/>
        </w:rPr>
        <w:t>If incentivized to do so, competitive global businesses cultivate the assets and incentives that help companies be more productive and start to innovate. For example, by localizing new production technologies and opening channels with global markets, they bridge information gaps that empower local businesses to innovate to reach new markets. Similarly, the need for talent creates demand that can attract specialized education providers and research programs, which produce skilled workers and researchers that spill into adjacent industries. As these assets develop, the region is better equipped to attract other companies, creating a reinforcing concentration effect through which proximity leads to increased collaboration, shared assets and knowledge exchange contributes to more innovation.</w:t>
      </w:r>
    </w:p>
    <w:p w:rsidR="00CB64E6" w:rsidRPr="00CB64E6" w:rsidRDefault="00CB64E6" w:rsidP="00CB64E6">
      <w:pPr>
        <w:spacing w:beforeLines="120" w:before="288" w:afterLines="120" w:after="288"/>
        <w:rPr>
          <w:rFonts w:cstheme="minorHAnsi"/>
          <w:szCs w:val="20"/>
        </w:rPr>
      </w:pPr>
    </w:p>
    <w:p w:rsidR="00CB64E6" w:rsidRPr="00CB64E6" w:rsidRDefault="00CB64E6" w:rsidP="00CB64E6">
      <w:pPr>
        <w:spacing w:beforeLines="120" w:before="288" w:afterLines="120" w:after="288"/>
        <w:rPr>
          <w:rFonts w:cstheme="minorHAnsi"/>
          <w:szCs w:val="20"/>
        </w:rPr>
      </w:pPr>
    </w:p>
    <w:p w:rsidR="00CB64E6" w:rsidRPr="0086032E" w:rsidRDefault="00CB64E6" w:rsidP="004350AC">
      <w:pPr>
        <w:pStyle w:val="Heading4"/>
      </w:pPr>
      <w:r w:rsidRPr="00CB64E6">
        <w:t>Figure 1.6: FDI pathway to broad-based innovation</w:t>
      </w:r>
    </w:p>
    <w:p w:rsidR="00CB64E6" w:rsidRPr="00CB64E6" w:rsidRDefault="00CB64E6" w:rsidP="00CB64E6">
      <w:pPr>
        <w:spacing w:beforeLines="120" w:before="288" w:afterLines="120" w:after="288"/>
        <w:rPr>
          <w:rFonts w:cstheme="minorHAnsi"/>
          <w:szCs w:val="20"/>
        </w:rPr>
      </w:pPr>
      <w:r w:rsidRPr="00CB64E6">
        <w:rPr>
          <w:rFonts w:cstheme="minorHAnsi"/>
          <w:noProof/>
          <w:szCs w:val="20"/>
        </w:rPr>
        <w:drawing>
          <wp:inline distT="0" distB="0" distL="0" distR="0" wp14:anchorId="3E8EE30F" wp14:editId="0AA999A8">
            <wp:extent cx="5932432" cy="28384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52756" cy="2848174"/>
                    </a:xfrm>
                    <a:prstGeom prst="rect">
                      <a:avLst/>
                    </a:prstGeom>
                    <a:noFill/>
                    <a:ln>
                      <a:noFill/>
                    </a:ln>
                  </pic:spPr>
                </pic:pic>
              </a:graphicData>
            </a:graphic>
          </wp:inline>
        </w:drawing>
      </w:r>
    </w:p>
    <w:p w:rsidR="00CB64E6" w:rsidRPr="00CB64E6" w:rsidRDefault="00CB64E6" w:rsidP="00CB64E6">
      <w:pPr>
        <w:spacing w:beforeLines="120" w:before="288" w:afterLines="120" w:after="288"/>
        <w:rPr>
          <w:rFonts w:cstheme="minorHAnsi"/>
          <w:szCs w:val="20"/>
        </w:rPr>
      </w:pPr>
    </w:p>
    <w:p w:rsidR="00CB64E6" w:rsidRPr="002B2455" w:rsidRDefault="00CB64E6" w:rsidP="00CB64E6">
      <w:pPr>
        <w:spacing w:beforeLines="120" w:before="288" w:afterLines="120" w:after="288"/>
        <w:rPr>
          <w:rFonts w:cstheme="minorHAnsi"/>
          <w:szCs w:val="20"/>
        </w:rPr>
      </w:pPr>
      <w:r w:rsidRPr="00CB64E6">
        <w:rPr>
          <w:rFonts w:cstheme="minorHAnsi"/>
          <w:szCs w:val="20"/>
        </w:rPr>
        <w:t>Over time, the effects of FDI and resulting ventures spread across the economy. Companies encouraged to procure locally invest in suppliers’ development, which – in building the capabilities to serve the company’s supply chain – improve productivity and gain exposure to global markets. Often companies produce spinoffs</w:t>
      </w:r>
      <w:r w:rsidRPr="00CB64E6">
        <w:rPr>
          <w:rStyle w:val="FootnoteReference"/>
          <w:rFonts w:cstheme="minorHAnsi"/>
          <w:szCs w:val="20"/>
        </w:rPr>
        <w:footnoteReference w:id="25"/>
      </w:r>
      <w:r w:rsidRPr="00CB64E6">
        <w:rPr>
          <w:rFonts w:cstheme="minorHAnsi"/>
          <w:szCs w:val="20"/>
        </w:rPr>
        <w:t xml:space="preserve"> that directly lead to new local businesses in related industries. By demanding sophisticated products and services ranging to software, to finance to talent recruitment they create a market that encourages and enables upgrading and innovation in these industries as well. As increased global exposure and trade strengthens awareness of the Georgian brand abroad, all industries have easier paths to integrate into global supply chains, laying the foundation for f</w:t>
      </w:r>
      <w:r w:rsidR="002B2455">
        <w:rPr>
          <w:rFonts w:cstheme="minorHAnsi"/>
          <w:szCs w:val="20"/>
        </w:rPr>
        <w:t>uture innovation.</w:t>
      </w:r>
    </w:p>
    <w:p w:rsidR="00CB64E6" w:rsidRPr="002B2455" w:rsidRDefault="00CB64E6" w:rsidP="002126B1">
      <w:pPr>
        <w:pStyle w:val="Heading2"/>
      </w:pPr>
      <w:bookmarkStart w:id="36" w:name="_Toc535608375"/>
      <w:r w:rsidRPr="00CB64E6">
        <w:t>Conclusion</w:t>
      </w:r>
      <w:bookmarkEnd w:id="36"/>
    </w:p>
    <w:p w:rsidR="00CB64E6" w:rsidRPr="00CB64E6" w:rsidRDefault="00CB64E6" w:rsidP="00CB64E6">
      <w:pPr>
        <w:spacing w:beforeLines="120" w:before="288" w:afterLines="120" w:after="288"/>
        <w:rPr>
          <w:rFonts w:cstheme="minorHAnsi"/>
          <w:szCs w:val="20"/>
        </w:rPr>
      </w:pPr>
      <w:r w:rsidRPr="00CB64E6">
        <w:rPr>
          <w:rFonts w:cstheme="minorHAnsi"/>
          <w:szCs w:val="20"/>
        </w:rPr>
        <w:t>Georgia is at a pivotal moment where innovation is no more simply an aspiration, but a broad economic imperative. The past decade’s surge in tourism, investment into infrastructure, and trade agreements have catalyzed a new wave of resources and economic activity in the country and created a huge opportunity; whether that momentum can be directed towards transforming Georgia into an enabling platform for innovation in the next 5 years to 2025 will have a tremendous impact on the country’s economic trajectory for decades to come.</w:t>
      </w:r>
    </w:p>
    <w:p w:rsidR="00CB64E6" w:rsidRPr="00CB64E6" w:rsidRDefault="00CB64E6" w:rsidP="00CB64E6">
      <w:pPr>
        <w:spacing w:beforeLines="120" w:before="288" w:afterLines="120" w:after="288"/>
        <w:rPr>
          <w:rFonts w:cstheme="minorHAnsi"/>
          <w:color w:val="000000" w:themeColor="text1"/>
          <w:szCs w:val="20"/>
        </w:rPr>
      </w:pPr>
    </w:p>
    <w:p w:rsidR="00CB64E6" w:rsidRPr="00CB64E6" w:rsidRDefault="00CB64E6" w:rsidP="00CB64E6">
      <w:pPr>
        <w:spacing w:beforeLines="120" w:before="288" w:afterLines="120" w:after="288"/>
        <w:rPr>
          <w:rFonts w:cstheme="minorHAnsi"/>
          <w:color w:val="000000" w:themeColor="text1"/>
          <w:szCs w:val="20"/>
        </w:rPr>
      </w:pPr>
      <w:r w:rsidRPr="00CB64E6">
        <w:rPr>
          <w:rFonts w:cstheme="minorHAnsi"/>
          <w:color w:val="000000" w:themeColor="text1"/>
          <w:szCs w:val="20"/>
        </w:rPr>
        <w:t>Georgia’s success boils down to three main concepts:</w:t>
      </w:r>
    </w:p>
    <w:p w:rsidR="00CB64E6" w:rsidRPr="00CB64E6" w:rsidRDefault="00CB64E6" w:rsidP="00AF39BA">
      <w:pPr>
        <w:pStyle w:val="ListParagraph"/>
        <w:numPr>
          <w:ilvl w:val="0"/>
          <w:numId w:val="11"/>
        </w:numPr>
        <w:autoSpaceDE/>
        <w:autoSpaceDN/>
        <w:adjustRightInd/>
        <w:spacing w:beforeLines="120" w:before="288" w:afterLines="120" w:after="288"/>
        <w:contextualSpacing/>
        <w:rPr>
          <w:rFonts w:cstheme="minorHAnsi"/>
          <w:color w:val="000000" w:themeColor="text1"/>
          <w:sz w:val="20"/>
          <w:szCs w:val="20"/>
        </w:rPr>
      </w:pPr>
      <w:r w:rsidRPr="00CB64E6">
        <w:rPr>
          <w:rFonts w:cstheme="minorHAnsi"/>
          <w:b/>
          <w:color w:val="000000" w:themeColor="text1"/>
          <w:sz w:val="20"/>
          <w:szCs w:val="20"/>
        </w:rPr>
        <w:t xml:space="preserve">Government’s role is to create the conditions that drive companies to choose to innovate: </w:t>
      </w:r>
      <w:r w:rsidRPr="00CB64E6">
        <w:rPr>
          <w:rFonts w:cstheme="minorHAnsi"/>
          <w:color w:val="000000" w:themeColor="text1"/>
          <w:sz w:val="20"/>
          <w:szCs w:val="20"/>
        </w:rPr>
        <w:t>this means developing the assets and incentives that influence this choice, and then allowing companies to operate</w:t>
      </w:r>
    </w:p>
    <w:p w:rsidR="00CB64E6" w:rsidRPr="00CB64E6" w:rsidRDefault="00CB64E6" w:rsidP="00AF39BA">
      <w:pPr>
        <w:pStyle w:val="ListParagraph"/>
        <w:numPr>
          <w:ilvl w:val="0"/>
          <w:numId w:val="11"/>
        </w:numPr>
        <w:autoSpaceDE/>
        <w:autoSpaceDN/>
        <w:adjustRightInd/>
        <w:spacing w:beforeLines="120" w:before="288" w:afterLines="120" w:after="288"/>
        <w:contextualSpacing/>
        <w:rPr>
          <w:rFonts w:cstheme="minorHAnsi"/>
          <w:color w:val="000000" w:themeColor="text1"/>
          <w:sz w:val="20"/>
          <w:szCs w:val="20"/>
        </w:rPr>
      </w:pPr>
      <w:r w:rsidRPr="00CB64E6">
        <w:rPr>
          <w:rFonts w:cstheme="minorHAnsi"/>
          <w:b/>
          <w:color w:val="000000" w:themeColor="text1"/>
          <w:sz w:val="20"/>
          <w:szCs w:val="20"/>
        </w:rPr>
        <w:t>Breaking into global value chains is a critical step to sustaining innovation, and requires focus on the country’s existing strengths:</w:t>
      </w:r>
      <w:r w:rsidRPr="00CB64E6">
        <w:rPr>
          <w:rFonts w:cstheme="minorHAnsi"/>
          <w:color w:val="000000" w:themeColor="text1"/>
          <w:sz w:val="20"/>
          <w:szCs w:val="20"/>
        </w:rPr>
        <w:t xml:space="preserve"> High value manufacturing, including food and beverage, and industrial design represent industries that can lead the country to broad-based innovation</w:t>
      </w:r>
    </w:p>
    <w:p w:rsidR="00CB64E6" w:rsidRPr="00CB64E6" w:rsidRDefault="00CB64E6" w:rsidP="00AF39BA">
      <w:pPr>
        <w:pStyle w:val="ListParagraph"/>
        <w:numPr>
          <w:ilvl w:val="0"/>
          <w:numId w:val="11"/>
        </w:numPr>
        <w:autoSpaceDE/>
        <w:autoSpaceDN/>
        <w:adjustRightInd/>
        <w:spacing w:beforeLines="120" w:before="288" w:afterLines="120" w:after="288"/>
        <w:contextualSpacing/>
        <w:rPr>
          <w:rFonts w:cstheme="minorHAnsi"/>
          <w:color w:val="000000" w:themeColor="text1"/>
          <w:sz w:val="20"/>
          <w:szCs w:val="20"/>
        </w:rPr>
      </w:pPr>
      <w:r w:rsidRPr="00CB64E6">
        <w:rPr>
          <w:rFonts w:cstheme="minorHAnsi"/>
          <w:b/>
          <w:color w:val="000000" w:themeColor="text1"/>
          <w:sz w:val="20"/>
          <w:szCs w:val="20"/>
        </w:rPr>
        <w:t>Attracting FDI can help accelerate the country’s path to becoming an innovation economy:</w:t>
      </w:r>
      <w:r w:rsidRPr="00CB64E6">
        <w:rPr>
          <w:rFonts w:cstheme="minorHAnsi"/>
          <w:color w:val="000000" w:themeColor="text1"/>
          <w:sz w:val="20"/>
          <w:szCs w:val="20"/>
        </w:rPr>
        <w:t xml:space="preserve"> The “right kind of FDI’ can rapidly scale the supply of and demand for innovation incentives and assets, thereby catalyzing the system.</w:t>
      </w:r>
    </w:p>
    <w:p w:rsidR="00CB64E6" w:rsidRPr="00CB64E6" w:rsidRDefault="00CB64E6" w:rsidP="00CB64E6">
      <w:pPr>
        <w:spacing w:beforeLines="120" w:before="288" w:afterLines="120" w:after="288"/>
        <w:rPr>
          <w:rFonts w:cstheme="minorHAnsi"/>
          <w:color w:val="000000" w:themeColor="text1"/>
          <w:szCs w:val="20"/>
        </w:rPr>
      </w:pPr>
      <w:r w:rsidRPr="00CB64E6">
        <w:rPr>
          <w:rFonts w:cstheme="minorHAnsi"/>
          <w:color w:val="000000" w:themeColor="text1"/>
          <w:szCs w:val="20"/>
        </w:rPr>
        <w:t>Over the years to 2025, the Georgian government, private and civil sector must work together according to this framework to address foundational gaps and build the specialized architecture to foster creativity and innovation.</w:t>
      </w:r>
    </w:p>
    <w:p w:rsidR="00CB64E6" w:rsidRPr="00FE2CEA" w:rsidRDefault="00CB64E6" w:rsidP="00CB64E6">
      <w:pPr>
        <w:spacing w:after="240"/>
        <w:rPr>
          <w:rFonts w:cstheme="minorHAnsi"/>
          <w:color w:val="000000" w:themeColor="text1"/>
          <w:szCs w:val="20"/>
        </w:rPr>
      </w:pPr>
    </w:p>
    <w:p w:rsidR="00CB64E6" w:rsidRPr="00CB64E6" w:rsidRDefault="00CB64E6" w:rsidP="00CB64E6">
      <w:r>
        <w:br w:type="page"/>
      </w:r>
    </w:p>
    <w:p w:rsidR="002B2455" w:rsidRDefault="002B2455" w:rsidP="001E45F5">
      <w:pPr>
        <w:pStyle w:val="Heading1"/>
      </w:pPr>
      <w:bookmarkStart w:id="37" w:name="_Toc535608376"/>
      <w:r>
        <w:t>A vision for</w:t>
      </w:r>
      <w:r w:rsidRPr="00530490">
        <w:t xml:space="preserve"> </w:t>
      </w:r>
      <w:r>
        <w:t xml:space="preserve">the </w:t>
      </w:r>
      <w:r w:rsidRPr="00530490">
        <w:t>Georgia</w:t>
      </w:r>
      <w:r>
        <w:t>n</w:t>
      </w:r>
      <w:r w:rsidRPr="00530490">
        <w:t xml:space="preserve"> innovation </w:t>
      </w:r>
      <w:r>
        <w:t>economy</w:t>
      </w:r>
      <w:bookmarkEnd w:id="37"/>
      <w:r>
        <w:t xml:space="preserve"> </w:t>
      </w:r>
    </w:p>
    <w:p w:rsidR="002B2455" w:rsidRDefault="002B2455" w:rsidP="002B2455">
      <w:pPr>
        <w:rPr>
          <w:rFonts w:cstheme="minorHAnsi"/>
          <w:b/>
          <w:color w:val="000000" w:themeColor="text1"/>
          <w:szCs w:val="20"/>
        </w:rPr>
      </w:pPr>
    </w:p>
    <w:p w:rsidR="002B2455" w:rsidRPr="002B2455" w:rsidRDefault="002B2455" w:rsidP="002B2455">
      <w:pPr>
        <w:rPr>
          <w:rFonts w:cstheme="minorHAnsi"/>
          <w:b/>
          <w:color w:val="000000" w:themeColor="text1"/>
          <w:szCs w:val="20"/>
        </w:rPr>
      </w:pPr>
      <w:r w:rsidRPr="002B2455">
        <w:rPr>
          <w:rFonts w:cstheme="minorHAnsi"/>
          <w:b/>
          <w:color w:val="000000" w:themeColor="text1"/>
          <w:szCs w:val="20"/>
        </w:rPr>
        <w:t>Georgia’s ultimate long-term vision is to become an innovation economy, in which regular, recurring innovation across sectors and industries contributes to sustainable economic growth and prosperity for al</w:t>
      </w:r>
      <w:r>
        <w:rPr>
          <w:rFonts w:cstheme="minorHAnsi"/>
          <w:b/>
          <w:color w:val="000000" w:themeColor="text1"/>
          <w:szCs w:val="20"/>
        </w:rPr>
        <w:t xml:space="preserve">l members of Georgian society. </w:t>
      </w:r>
    </w:p>
    <w:p w:rsidR="002B2455" w:rsidRPr="002B2455" w:rsidRDefault="002B2455" w:rsidP="002B2455">
      <w:pPr>
        <w:rPr>
          <w:rFonts w:cstheme="minorHAnsi"/>
          <w:i/>
          <w:color w:val="000000" w:themeColor="text1"/>
          <w:szCs w:val="20"/>
        </w:rPr>
      </w:pPr>
      <w:r w:rsidRPr="002B2455">
        <w:rPr>
          <w:rFonts w:cstheme="minorHAnsi"/>
          <w:i/>
          <w:noProof/>
          <w:color w:val="000000" w:themeColor="text1"/>
          <w:szCs w:val="20"/>
        </w:rPr>
        <mc:AlternateContent>
          <mc:Choice Requires="wps">
            <w:drawing>
              <wp:anchor distT="45720" distB="45720" distL="114300" distR="114300" simplePos="0" relativeHeight="251682304" behindDoc="1" locked="0" layoutInCell="1" allowOverlap="1" wp14:anchorId="0AF543B6" wp14:editId="7E336246">
                <wp:simplePos x="0" y="0"/>
                <wp:positionH relativeFrom="margin">
                  <wp:posOffset>19050</wp:posOffset>
                </wp:positionH>
                <wp:positionV relativeFrom="paragraph">
                  <wp:posOffset>60960</wp:posOffset>
                </wp:positionV>
                <wp:extent cx="6143625" cy="1285875"/>
                <wp:effectExtent l="0" t="0" r="9525" b="9525"/>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285875"/>
                        </a:xfrm>
                        <a:prstGeom prst="rect">
                          <a:avLst/>
                        </a:prstGeom>
                        <a:solidFill>
                          <a:schemeClr val="accent3">
                            <a:lumMod val="40000"/>
                            <a:lumOff val="60000"/>
                          </a:schemeClr>
                        </a:solidFill>
                        <a:ln w="9525">
                          <a:noFill/>
                          <a:miter lim="800000"/>
                          <a:headEnd/>
                          <a:tailEnd/>
                        </a:ln>
                      </wps:spPr>
                      <wps:txbx>
                        <w:txbxContent>
                          <w:p w:rsidR="00826B2C" w:rsidRDefault="00826B2C" w:rsidP="002B24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543B6" id="_x0000_s1041" type="#_x0000_t202" style="position:absolute;margin-left:1.5pt;margin-top:4.8pt;width:483.75pt;height:101.25pt;z-index:-251634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" fillcolor="#d7e5f4 [1302]" stroked="f">
                <v:textbox>
                  <w:txbxContent>
                    <w:p w:rsidR="00826B2C" w:rsidRDefault="00826B2C" w:rsidP="002B2455"/>
                  </w:txbxContent>
                </v:textbox>
                <w10:wrap anchorx="margin"/>
              </v:shape>
            </w:pict>
          </mc:Fallback>
        </mc:AlternateContent>
      </w:r>
    </w:p>
    <w:p w:rsidR="002B2455" w:rsidRPr="002B2455" w:rsidRDefault="002B2455" w:rsidP="002B2455">
      <w:pPr>
        <w:ind w:left="180"/>
        <w:rPr>
          <w:rFonts w:cstheme="minorHAnsi"/>
          <w:b/>
          <w:i/>
          <w:color w:val="000000" w:themeColor="text1"/>
          <w:szCs w:val="20"/>
        </w:rPr>
      </w:pPr>
      <w:r w:rsidRPr="002B2455">
        <w:rPr>
          <w:rFonts w:cstheme="minorHAnsi"/>
          <w:b/>
          <w:i/>
          <w:color w:val="000000" w:themeColor="text1"/>
          <w:szCs w:val="20"/>
        </w:rPr>
        <w:t>In practic</w:t>
      </w:r>
      <w:r>
        <w:rPr>
          <w:rFonts w:cstheme="minorHAnsi"/>
          <w:b/>
          <w:i/>
          <w:color w:val="000000" w:themeColor="text1"/>
          <w:szCs w:val="20"/>
        </w:rPr>
        <w:t>al terms, this means achieving:</w:t>
      </w:r>
    </w:p>
    <w:p w:rsidR="002B2455" w:rsidRPr="002B2455" w:rsidRDefault="002B2455" w:rsidP="00AF39BA">
      <w:pPr>
        <w:pStyle w:val="ListParagraph"/>
        <w:numPr>
          <w:ilvl w:val="0"/>
          <w:numId w:val="25"/>
        </w:numPr>
        <w:autoSpaceDE/>
        <w:autoSpaceDN/>
        <w:adjustRightInd/>
        <w:spacing w:before="0" w:after="60" w:line="257" w:lineRule="auto"/>
        <w:rPr>
          <w:rFonts w:cstheme="minorHAnsi"/>
          <w:color w:val="000000" w:themeColor="text1"/>
          <w:sz w:val="20"/>
          <w:szCs w:val="20"/>
        </w:rPr>
      </w:pPr>
      <w:r w:rsidRPr="002B2455">
        <w:rPr>
          <w:rFonts w:cstheme="minorHAnsi"/>
          <w:color w:val="000000" w:themeColor="text1"/>
          <w:sz w:val="20"/>
          <w:szCs w:val="20"/>
        </w:rPr>
        <w:t xml:space="preserve">Domestic, regional and global </w:t>
      </w:r>
      <w:r w:rsidRPr="002B2455">
        <w:rPr>
          <w:rFonts w:cstheme="minorHAnsi"/>
          <w:b/>
          <w:color w:val="000000" w:themeColor="text1"/>
          <w:sz w:val="20"/>
          <w:szCs w:val="20"/>
        </w:rPr>
        <w:t>recognition as a source of innovations and innovative people</w:t>
      </w:r>
    </w:p>
    <w:p w:rsidR="002B2455" w:rsidRPr="002B2455" w:rsidRDefault="002B2455" w:rsidP="00AF39BA">
      <w:pPr>
        <w:pStyle w:val="ListParagraph"/>
        <w:numPr>
          <w:ilvl w:val="0"/>
          <w:numId w:val="25"/>
        </w:numPr>
        <w:autoSpaceDE/>
        <w:autoSpaceDN/>
        <w:adjustRightInd/>
        <w:spacing w:before="0" w:after="60" w:line="257" w:lineRule="auto"/>
        <w:rPr>
          <w:rFonts w:cstheme="minorHAnsi"/>
          <w:color w:val="000000" w:themeColor="text1"/>
          <w:sz w:val="20"/>
          <w:szCs w:val="20"/>
        </w:rPr>
      </w:pPr>
      <w:r w:rsidRPr="002B2455">
        <w:rPr>
          <w:rFonts w:cstheme="minorHAnsi"/>
          <w:color w:val="000000" w:themeColor="text1"/>
          <w:sz w:val="20"/>
          <w:szCs w:val="20"/>
        </w:rPr>
        <w:t xml:space="preserve">An </w:t>
      </w:r>
      <w:r w:rsidRPr="002B2455">
        <w:rPr>
          <w:rFonts w:cstheme="minorHAnsi"/>
          <w:b/>
          <w:color w:val="000000" w:themeColor="text1"/>
          <w:sz w:val="20"/>
          <w:szCs w:val="20"/>
        </w:rPr>
        <w:t>increasing share of GDP attributed to home grown innovations</w:t>
      </w:r>
      <w:r w:rsidRPr="002B2455">
        <w:rPr>
          <w:rFonts w:cstheme="minorHAnsi"/>
          <w:color w:val="000000" w:themeColor="text1"/>
          <w:sz w:val="20"/>
          <w:szCs w:val="20"/>
        </w:rPr>
        <w:t xml:space="preserve"> and their exports</w:t>
      </w:r>
    </w:p>
    <w:p w:rsidR="002B2455" w:rsidRPr="002B2455" w:rsidRDefault="002B2455" w:rsidP="00AF39BA">
      <w:pPr>
        <w:pStyle w:val="ListParagraph"/>
        <w:numPr>
          <w:ilvl w:val="0"/>
          <w:numId w:val="25"/>
        </w:numPr>
        <w:autoSpaceDE/>
        <w:autoSpaceDN/>
        <w:adjustRightInd/>
        <w:spacing w:before="0" w:after="60" w:line="257" w:lineRule="auto"/>
        <w:rPr>
          <w:rFonts w:cstheme="minorHAnsi"/>
          <w:color w:val="000000" w:themeColor="text1"/>
          <w:sz w:val="20"/>
          <w:szCs w:val="20"/>
        </w:rPr>
      </w:pPr>
      <w:r w:rsidRPr="002B2455">
        <w:rPr>
          <w:rFonts w:cstheme="minorHAnsi"/>
          <w:b/>
          <w:color w:val="000000" w:themeColor="text1"/>
          <w:sz w:val="20"/>
          <w:szCs w:val="20"/>
        </w:rPr>
        <w:t>Increasing productivity rates in core industries</w:t>
      </w:r>
      <w:r w:rsidRPr="002B2455">
        <w:rPr>
          <w:rFonts w:cstheme="minorHAnsi"/>
          <w:color w:val="000000" w:themeColor="text1"/>
          <w:sz w:val="20"/>
          <w:szCs w:val="20"/>
        </w:rPr>
        <w:t xml:space="preserve"> (high val</w:t>
      </w:r>
      <w:r w:rsidR="00B34DBC">
        <w:rPr>
          <w:rFonts w:cstheme="minorHAnsi"/>
          <w:color w:val="000000" w:themeColor="text1"/>
          <w:sz w:val="20"/>
          <w:szCs w:val="20"/>
        </w:rPr>
        <w:t>ue manufacturing and industrial</w:t>
      </w:r>
      <w:r w:rsidRPr="002B2455">
        <w:rPr>
          <w:rFonts w:cstheme="minorHAnsi"/>
          <w:color w:val="000000" w:themeColor="text1"/>
          <w:sz w:val="20"/>
          <w:szCs w:val="20"/>
        </w:rPr>
        <w:t xml:space="preserve"> design) and across the economy</w:t>
      </w:r>
      <w:r w:rsidRPr="002B2455">
        <w:rPr>
          <w:rStyle w:val="FootnoteReference"/>
          <w:rFonts w:cstheme="minorHAnsi"/>
          <w:color w:val="000000" w:themeColor="text1"/>
          <w:sz w:val="20"/>
          <w:szCs w:val="20"/>
        </w:rPr>
        <w:footnoteReference w:id="26"/>
      </w:r>
    </w:p>
    <w:p w:rsidR="002B2455" w:rsidRPr="002B2455" w:rsidRDefault="002B2455" w:rsidP="002B2455">
      <w:pPr>
        <w:spacing w:after="160" w:line="256" w:lineRule="auto"/>
        <w:rPr>
          <w:rFonts w:cstheme="minorHAnsi"/>
          <w:color w:val="000000" w:themeColor="text1"/>
          <w:szCs w:val="20"/>
        </w:rPr>
      </w:pPr>
    </w:p>
    <w:p w:rsidR="002B2455" w:rsidRPr="002B2455" w:rsidRDefault="002B2455" w:rsidP="002B2455">
      <w:pPr>
        <w:spacing w:after="160" w:line="256" w:lineRule="auto"/>
        <w:rPr>
          <w:rFonts w:cstheme="minorHAnsi"/>
          <w:color w:val="000000" w:themeColor="text1"/>
          <w:szCs w:val="20"/>
        </w:rPr>
      </w:pPr>
      <w:r w:rsidRPr="002B2455">
        <w:rPr>
          <w:rFonts w:cstheme="minorHAnsi"/>
          <w:color w:val="000000" w:themeColor="text1"/>
          <w:szCs w:val="20"/>
        </w:rPr>
        <w:t>The country will be on its way to realizing this vision when, in the nearer term, it is able to establish itself as a high value design and manufacturing hub, becoming a predominant destination for businesses seeking to serve the EU markets and buyers globally. In achieving this vision, Georgia will capitalize on its differentiated assets to drive innovation and growth across the economy, positioning the country as a location where businesses can access a full range of world-class services and products that enable them to thrive in global markets.</w:t>
      </w:r>
    </w:p>
    <w:p w:rsidR="002B2455" w:rsidRPr="002B2455" w:rsidRDefault="002B2455" w:rsidP="002B2455">
      <w:pPr>
        <w:spacing w:after="160" w:line="256" w:lineRule="auto"/>
        <w:rPr>
          <w:rFonts w:cstheme="minorHAnsi"/>
          <w:color w:val="000000" w:themeColor="text1"/>
          <w:szCs w:val="20"/>
        </w:rPr>
      </w:pPr>
      <w:r w:rsidRPr="002B2455">
        <w:rPr>
          <w:rFonts w:cstheme="minorHAnsi"/>
          <w:color w:val="000000" w:themeColor="text1"/>
          <w:szCs w:val="20"/>
        </w:rPr>
        <w:t xml:space="preserve">This vision for Georgia will not materialize overnight; it will necessarily entail commitment to the end goal, an agility to capitalize on unexpected opportunities and respond to challenges. </w:t>
      </w:r>
    </w:p>
    <w:p w:rsidR="002B2455" w:rsidRPr="002B2455" w:rsidRDefault="002B2455" w:rsidP="002B2455">
      <w:pPr>
        <w:spacing w:after="160" w:line="256" w:lineRule="auto"/>
        <w:rPr>
          <w:rFonts w:cstheme="minorHAnsi"/>
          <w:color w:val="000000" w:themeColor="text1"/>
          <w:szCs w:val="20"/>
        </w:rPr>
      </w:pPr>
      <w:r w:rsidRPr="002B2455">
        <w:rPr>
          <w:rFonts w:cstheme="minorHAnsi"/>
          <w:b/>
          <w:color w:val="000000" w:themeColor="text1"/>
          <w:szCs w:val="20"/>
        </w:rPr>
        <w:t>Looking towards 2025, Georgia must create the conditions for the emergence of a high-value manufacturing industry and a population that values the role of innovation in Georgia’s future prosperity and strives to contribute.</w:t>
      </w:r>
      <w:r w:rsidRPr="002B2455">
        <w:rPr>
          <w:rFonts w:cstheme="minorHAnsi"/>
          <w:color w:val="000000" w:themeColor="text1"/>
          <w:szCs w:val="20"/>
        </w:rPr>
        <w:t xml:space="preserve"> Success will be marked by instances of innovation, but more importantly by shifts in business attitudes and behaviors that indicate confidence in Georgia’s future as a manufacturing hub and innovation economy. </w:t>
      </w:r>
    </w:p>
    <w:p w:rsidR="002B2455" w:rsidRPr="002B2455" w:rsidRDefault="002B2455" w:rsidP="002B2455">
      <w:pPr>
        <w:spacing w:after="160" w:line="256" w:lineRule="auto"/>
        <w:rPr>
          <w:rFonts w:cstheme="minorHAnsi"/>
          <w:b/>
          <w:i/>
          <w:color w:val="000000" w:themeColor="text1"/>
          <w:szCs w:val="20"/>
        </w:rPr>
      </w:pPr>
      <w:r w:rsidRPr="002B2455">
        <w:rPr>
          <w:rFonts w:cstheme="minorHAnsi"/>
          <w:b/>
          <w:i/>
          <w:color w:val="000000" w:themeColor="text1"/>
          <w:szCs w:val="20"/>
        </w:rPr>
        <w:t>If on track, Georgia in 2025 will exhibit the following:</w:t>
      </w:r>
    </w:p>
    <w:p w:rsidR="002B2455" w:rsidRPr="002B2455" w:rsidRDefault="002B2455" w:rsidP="00AF39BA">
      <w:pPr>
        <w:pStyle w:val="ListParagraph"/>
        <w:numPr>
          <w:ilvl w:val="0"/>
          <w:numId w:val="24"/>
        </w:numPr>
        <w:autoSpaceDE/>
        <w:autoSpaceDN/>
        <w:adjustRightInd/>
        <w:spacing w:before="0" w:after="160" w:line="256" w:lineRule="auto"/>
        <w:contextualSpacing/>
        <w:rPr>
          <w:rFonts w:cstheme="minorHAnsi"/>
          <w:color w:val="000000" w:themeColor="text1"/>
          <w:sz w:val="20"/>
          <w:szCs w:val="20"/>
        </w:rPr>
      </w:pPr>
      <w:r w:rsidRPr="002B2455">
        <w:rPr>
          <w:rFonts w:cstheme="minorHAnsi"/>
          <w:color w:val="000000" w:themeColor="text1"/>
          <w:sz w:val="20"/>
          <w:szCs w:val="20"/>
        </w:rPr>
        <w:t xml:space="preserve">The country has succeeded in </w:t>
      </w:r>
      <w:r w:rsidRPr="002B2455">
        <w:rPr>
          <w:rFonts w:cstheme="minorHAnsi"/>
          <w:b/>
          <w:color w:val="000000" w:themeColor="text1"/>
          <w:sz w:val="20"/>
          <w:szCs w:val="20"/>
        </w:rPr>
        <w:t>attracting global enterprises</w:t>
      </w:r>
      <w:r w:rsidRPr="002B2455">
        <w:rPr>
          <w:rFonts w:cstheme="minorHAnsi"/>
          <w:color w:val="000000" w:themeColor="text1"/>
          <w:sz w:val="20"/>
          <w:szCs w:val="20"/>
        </w:rPr>
        <w:t xml:space="preserve"> </w:t>
      </w:r>
      <w:r w:rsidRPr="002B2455">
        <w:rPr>
          <w:rFonts w:cstheme="minorHAnsi"/>
          <w:b/>
          <w:color w:val="000000" w:themeColor="text1"/>
          <w:sz w:val="20"/>
          <w:szCs w:val="20"/>
        </w:rPr>
        <w:t xml:space="preserve">actively investing in local workforce and capability development </w:t>
      </w:r>
      <w:r w:rsidRPr="002B2455">
        <w:rPr>
          <w:rFonts w:cstheme="minorHAnsi"/>
          <w:color w:val="000000" w:themeColor="text1"/>
          <w:sz w:val="20"/>
          <w:szCs w:val="20"/>
        </w:rPr>
        <w:t>and see the country as a critical part of their global supply chain</w:t>
      </w:r>
    </w:p>
    <w:p w:rsidR="002B2455" w:rsidRPr="002B2455" w:rsidRDefault="002B2455" w:rsidP="00AF39BA">
      <w:pPr>
        <w:pStyle w:val="ListParagraph"/>
        <w:numPr>
          <w:ilvl w:val="0"/>
          <w:numId w:val="24"/>
        </w:numPr>
        <w:autoSpaceDE/>
        <w:autoSpaceDN/>
        <w:adjustRightInd/>
        <w:spacing w:before="0" w:after="160" w:line="256" w:lineRule="auto"/>
        <w:contextualSpacing/>
        <w:rPr>
          <w:rFonts w:cstheme="minorHAnsi"/>
          <w:color w:val="000000" w:themeColor="text1"/>
          <w:sz w:val="20"/>
          <w:szCs w:val="20"/>
        </w:rPr>
      </w:pPr>
      <w:r w:rsidRPr="002B2455">
        <w:rPr>
          <w:rFonts w:cstheme="minorHAnsi"/>
          <w:color w:val="000000" w:themeColor="text1"/>
          <w:sz w:val="20"/>
          <w:szCs w:val="20"/>
        </w:rPr>
        <w:t xml:space="preserve">An increasing share of the </w:t>
      </w:r>
      <w:r w:rsidRPr="002B2455">
        <w:rPr>
          <w:rFonts w:cstheme="minorHAnsi"/>
          <w:b/>
          <w:color w:val="000000" w:themeColor="text1"/>
          <w:sz w:val="20"/>
          <w:szCs w:val="20"/>
        </w:rPr>
        <w:t>workforce is employed in technical roles in globally competitive industries</w:t>
      </w:r>
      <w:r w:rsidRPr="002B2455">
        <w:rPr>
          <w:rFonts w:cstheme="minorHAnsi"/>
          <w:color w:val="000000" w:themeColor="text1"/>
          <w:sz w:val="20"/>
          <w:szCs w:val="20"/>
        </w:rPr>
        <w:t>, or actively pursuing education and training to obtain those roles</w:t>
      </w:r>
    </w:p>
    <w:p w:rsidR="002B2455" w:rsidRPr="002B2455" w:rsidRDefault="002B2455" w:rsidP="00AF39BA">
      <w:pPr>
        <w:pStyle w:val="ListParagraph"/>
        <w:numPr>
          <w:ilvl w:val="0"/>
          <w:numId w:val="24"/>
        </w:numPr>
        <w:autoSpaceDE/>
        <w:autoSpaceDN/>
        <w:adjustRightInd/>
        <w:spacing w:before="0" w:after="160" w:line="256" w:lineRule="auto"/>
        <w:contextualSpacing/>
        <w:rPr>
          <w:rFonts w:cstheme="minorHAnsi"/>
          <w:color w:val="000000" w:themeColor="text1"/>
          <w:sz w:val="20"/>
          <w:szCs w:val="20"/>
        </w:rPr>
      </w:pPr>
      <w:r w:rsidRPr="002B2455">
        <w:rPr>
          <w:rFonts w:cstheme="minorHAnsi"/>
          <w:color w:val="000000" w:themeColor="text1"/>
          <w:sz w:val="20"/>
          <w:szCs w:val="20"/>
        </w:rPr>
        <w:t xml:space="preserve">Business leaders express </w:t>
      </w:r>
      <w:r w:rsidRPr="002B2455">
        <w:rPr>
          <w:rFonts w:cstheme="minorHAnsi"/>
          <w:b/>
          <w:color w:val="000000" w:themeColor="text1"/>
          <w:sz w:val="20"/>
          <w:szCs w:val="20"/>
        </w:rPr>
        <w:t>increased optimism about the potential and viability of innovation</w:t>
      </w:r>
      <w:r w:rsidRPr="002B2455">
        <w:rPr>
          <w:rFonts w:cstheme="minorHAnsi"/>
          <w:color w:val="000000" w:themeColor="text1"/>
          <w:sz w:val="20"/>
          <w:szCs w:val="20"/>
        </w:rPr>
        <w:t xml:space="preserve"> in Georgia and are increasing R&amp;D budgets</w:t>
      </w:r>
    </w:p>
    <w:p w:rsidR="002B2455" w:rsidRPr="002B2455" w:rsidRDefault="002B2455" w:rsidP="00AF39BA">
      <w:pPr>
        <w:pStyle w:val="ListParagraph"/>
        <w:numPr>
          <w:ilvl w:val="0"/>
          <w:numId w:val="24"/>
        </w:numPr>
        <w:autoSpaceDE/>
        <w:autoSpaceDN/>
        <w:adjustRightInd/>
        <w:spacing w:before="0" w:after="160" w:line="256" w:lineRule="auto"/>
        <w:contextualSpacing/>
        <w:rPr>
          <w:rFonts w:cstheme="minorHAnsi"/>
          <w:color w:val="000000" w:themeColor="text1"/>
          <w:sz w:val="20"/>
          <w:szCs w:val="20"/>
        </w:rPr>
      </w:pPr>
      <w:r w:rsidRPr="002B2455">
        <w:rPr>
          <w:rFonts w:cstheme="minorHAnsi"/>
          <w:b/>
          <w:color w:val="000000" w:themeColor="text1"/>
          <w:sz w:val="20"/>
          <w:szCs w:val="20"/>
        </w:rPr>
        <w:t>Harmonization with EU standards has translated</w:t>
      </w:r>
      <w:r w:rsidRPr="002B2455">
        <w:rPr>
          <w:rFonts w:cstheme="minorHAnsi"/>
          <w:color w:val="000000" w:themeColor="text1"/>
          <w:sz w:val="20"/>
          <w:szCs w:val="20"/>
        </w:rPr>
        <w:t xml:space="preserve"> </w:t>
      </w:r>
      <w:r w:rsidRPr="002B2455">
        <w:rPr>
          <w:rFonts w:cstheme="minorHAnsi"/>
          <w:b/>
          <w:color w:val="000000" w:themeColor="text1"/>
          <w:sz w:val="20"/>
          <w:szCs w:val="20"/>
        </w:rPr>
        <w:t xml:space="preserve">into quality improvements </w:t>
      </w:r>
      <w:r w:rsidRPr="002B2455">
        <w:rPr>
          <w:rFonts w:cstheme="minorHAnsi"/>
          <w:color w:val="000000" w:themeColor="text1"/>
          <w:sz w:val="20"/>
          <w:szCs w:val="20"/>
        </w:rPr>
        <w:t>across Georgia’s industries and Georgia has received global recognition for its progress</w:t>
      </w:r>
    </w:p>
    <w:p w:rsidR="002B2455" w:rsidRPr="002B2455" w:rsidRDefault="002B2455" w:rsidP="00AF39BA">
      <w:pPr>
        <w:pStyle w:val="ListParagraph"/>
        <w:numPr>
          <w:ilvl w:val="0"/>
          <w:numId w:val="24"/>
        </w:numPr>
        <w:autoSpaceDE/>
        <w:autoSpaceDN/>
        <w:adjustRightInd/>
        <w:spacing w:before="0" w:after="160" w:line="256" w:lineRule="auto"/>
        <w:contextualSpacing/>
        <w:rPr>
          <w:rFonts w:cstheme="minorHAnsi"/>
          <w:color w:val="000000" w:themeColor="text1"/>
          <w:sz w:val="20"/>
          <w:szCs w:val="20"/>
        </w:rPr>
      </w:pPr>
      <w:r w:rsidRPr="002B2455">
        <w:rPr>
          <w:rFonts w:cstheme="minorHAnsi"/>
          <w:b/>
          <w:color w:val="000000" w:themeColor="text1"/>
          <w:sz w:val="20"/>
          <w:szCs w:val="20"/>
        </w:rPr>
        <w:t>Entrepreneurs express increasing confidence</w:t>
      </w:r>
      <w:r w:rsidRPr="002B2455">
        <w:rPr>
          <w:rFonts w:cstheme="minorHAnsi"/>
          <w:color w:val="000000" w:themeColor="text1"/>
          <w:sz w:val="20"/>
          <w:szCs w:val="20"/>
        </w:rPr>
        <w:t xml:space="preserve"> </w:t>
      </w:r>
      <w:r w:rsidRPr="002B2455">
        <w:rPr>
          <w:rFonts w:cstheme="minorHAnsi"/>
          <w:b/>
          <w:color w:val="000000" w:themeColor="text1"/>
          <w:sz w:val="20"/>
          <w:szCs w:val="20"/>
        </w:rPr>
        <w:t>in their ability to access the types of support</w:t>
      </w:r>
      <w:r w:rsidRPr="002B2455">
        <w:rPr>
          <w:rFonts w:cstheme="minorHAnsi"/>
          <w:color w:val="000000" w:themeColor="text1"/>
          <w:sz w:val="20"/>
          <w:szCs w:val="20"/>
        </w:rPr>
        <w:t xml:space="preserve"> needed to grow their businesses</w:t>
      </w:r>
    </w:p>
    <w:p w:rsidR="002B2455" w:rsidRPr="002B2455" w:rsidRDefault="002B2455" w:rsidP="00AF39BA">
      <w:pPr>
        <w:pStyle w:val="ListParagraph"/>
        <w:numPr>
          <w:ilvl w:val="0"/>
          <w:numId w:val="24"/>
        </w:numPr>
        <w:autoSpaceDE/>
        <w:autoSpaceDN/>
        <w:adjustRightInd/>
        <w:spacing w:before="0" w:after="160" w:line="256" w:lineRule="auto"/>
        <w:contextualSpacing/>
        <w:rPr>
          <w:rFonts w:cstheme="minorHAnsi"/>
          <w:color w:val="000000" w:themeColor="text1"/>
          <w:sz w:val="20"/>
          <w:szCs w:val="20"/>
        </w:rPr>
      </w:pPr>
      <w:r w:rsidRPr="002B2455">
        <w:rPr>
          <w:rFonts w:cstheme="minorHAnsi"/>
          <w:b/>
          <w:color w:val="000000" w:themeColor="text1"/>
          <w:sz w:val="20"/>
          <w:szCs w:val="20"/>
        </w:rPr>
        <w:t>Citizens are aware of and invested in the country’s innovation agenda</w:t>
      </w:r>
      <w:r w:rsidRPr="002B2455">
        <w:rPr>
          <w:rFonts w:cstheme="minorHAnsi"/>
          <w:color w:val="000000" w:themeColor="text1"/>
          <w:sz w:val="20"/>
          <w:szCs w:val="20"/>
        </w:rPr>
        <w:t>, and increasingly celebrate the value of creative and technical fields in Georgian society</w:t>
      </w:r>
    </w:p>
    <w:p w:rsidR="002B2455" w:rsidRPr="002B2455" w:rsidRDefault="002B2455" w:rsidP="00AF39BA">
      <w:pPr>
        <w:pStyle w:val="ListParagraph"/>
        <w:numPr>
          <w:ilvl w:val="0"/>
          <w:numId w:val="24"/>
        </w:numPr>
        <w:autoSpaceDE/>
        <w:autoSpaceDN/>
        <w:adjustRightInd/>
        <w:spacing w:before="0" w:after="160" w:line="256" w:lineRule="auto"/>
        <w:contextualSpacing/>
        <w:rPr>
          <w:rFonts w:cstheme="minorHAnsi"/>
          <w:color w:val="000000" w:themeColor="text1"/>
          <w:sz w:val="20"/>
          <w:szCs w:val="20"/>
        </w:rPr>
      </w:pPr>
      <w:r w:rsidRPr="002B2455">
        <w:rPr>
          <w:rFonts w:cstheme="minorHAnsi"/>
          <w:b/>
          <w:color w:val="000000" w:themeColor="text1"/>
          <w:sz w:val="20"/>
          <w:szCs w:val="20"/>
        </w:rPr>
        <w:t>Industry, government, academia and civil society have systematic and regular channels for collaboration</w:t>
      </w:r>
      <w:r w:rsidRPr="002B2455">
        <w:rPr>
          <w:rFonts w:cstheme="minorHAnsi"/>
          <w:color w:val="000000" w:themeColor="text1"/>
          <w:sz w:val="20"/>
          <w:szCs w:val="20"/>
        </w:rPr>
        <w:t xml:space="preserve"> on policies that consistently strengthen the environment for innovation</w:t>
      </w:r>
    </w:p>
    <w:p w:rsidR="002B2455" w:rsidRPr="002B2455" w:rsidRDefault="002B2455" w:rsidP="002B2455">
      <w:pPr>
        <w:rPr>
          <w:color w:val="000000" w:themeColor="text1"/>
          <w:szCs w:val="20"/>
        </w:rPr>
      </w:pPr>
    </w:p>
    <w:p w:rsidR="001E45F5" w:rsidRDefault="001E45F5" w:rsidP="001E45F5">
      <w:pPr>
        <w:pStyle w:val="Heading1"/>
      </w:pPr>
      <w:bookmarkStart w:id="38" w:name="_Toc535608377"/>
      <w:r>
        <w:t>recommendations</w:t>
      </w:r>
      <w:bookmarkEnd w:id="38"/>
    </w:p>
    <w:p w:rsidR="002B2455" w:rsidRDefault="002B2455" w:rsidP="002B2455"/>
    <w:p w:rsidR="002B2455" w:rsidRPr="001447C2" w:rsidRDefault="002B2455" w:rsidP="002B2455">
      <w:pPr>
        <w:spacing w:after="160" w:line="259" w:lineRule="auto"/>
      </w:pPr>
      <w:r w:rsidRPr="001447C2">
        <w:t>The future of innovation in Georgia depends on its ability to integrate into global value chains. Doing so is part of a critical path to building the domestic assets and incentives to encourage companies in the country to make the choice to innovate, and reversing the negative cycle that today handicaps even Georgia’s most competitive entrepreneurs and innovators relative to its peers.</w:t>
      </w:r>
    </w:p>
    <w:p w:rsidR="002B2455" w:rsidRPr="001447C2" w:rsidRDefault="002B2455" w:rsidP="002B2455">
      <w:pPr>
        <w:spacing w:after="160" w:line="259" w:lineRule="auto"/>
      </w:pPr>
      <w:r w:rsidRPr="001447C2">
        <w:t xml:space="preserve">Succeeding in this effort requires building on Georgia’s differentiated assets, ranging from its free trade agreements, to low cost labor and energy, to low levels of corruption. Together, these give Georgia the advantage to be a global competitor in high value manufacturing and industrial design – industries including pharmaceuticals, defense and high value apparel, many of which Georgia is already beginning to export today. Making early investments in assets and incentives to cater to innovation in these industries will enable them to lead others, and put the country on track towards broad-based innovation. </w:t>
      </w:r>
    </w:p>
    <w:p w:rsidR="002B2455" w:rsidRPr="001447C2" w:rsidRDefault="002B2455" w:rsidP="002B2455">
      <w:pPr>
        <w:spacing w:after="160" w:line="259" w:lineRule="auto"/>
      </w:pPr>
      <w:r w:rsidRPr="001447C2">
        <w:t xml:space="preserve">While Georgians have an innate capability to innovate, cultivating this capability from the ground up will take generations and is most likely to keep the country in a perpetual state of “catch-up”. Building on the successful models of Ireland, Costa Rica, among others, attracting strategic foreign direct investment - by companies with a proven track record of investing in their communities – can help jumpstart a carefully “seeded” domestic innovation ecosystem and accelerate the pathway to results. </w:t>
      </w:r>
    </w:p>
    <w:p w:rsidR="002B2455" w:rsidRPr="001447C2" w:rsidRDefault="002B2455" w:rsidP="002B2455">
      <w:pPr>
        <w:spacing w:after="160" w:line="259" w:lineRule="auto"/>
      </w:pPr>
      <w:r w:rsidRPr="001447C2">
        <w:t>Delivering this strategy rests on achieving objectives aligned to four categories:</w:t>
      </w:r>
    </w:p>
    <w:p w:rsidR="002B2455" w:rsidRPr="001447C2" w:rsidRDefault="002B2455" w:rsidP="00AF39BA">
      <w:pPr>
        <w:numPr>
          <w:ilvl w:val="0"/>
          <w:numId w:val="15"/>
        </w:numPr>
        <w:spacing w:before="0" w:after="160" w:line="259" w:lineRule="auto"/>
        <w:contextualSpacing/>
      </w:pPr>
      <w:r w:rsidRPr="001447C2">
        <w:t>Building foundational innovation incentives</w:t>
      </w:r>
    </w:p>
    <w:p w:rsidR="002B2455" w:rsidRPr="001447C2" w:rsidRDefault="002B2455" w:rsidP="00AF39BA">
      <w:pPr>
        <w:numPr>
          <w:ilvl w:val="0"/>
          <w:numId w:val="15"/>
        </w:numPr>
        <w:spacing w:before="0" w:after="160" w:line="259" w:lineRule="auto"/>
        <w:contextualSpacing/>
      </w:pPr>
      <w:r w:rsidRPr="001447C2">
        <w:t>Building foundational innovation assets</w:t>
      </w:r>
    </w:p>
    <w:p w:rsidR="002B2455" w:rsidRPr="001447C2" w:rsidRDefault="002B2455" w:rsidP="00AF39BA">
      <w:pPr>
        <w:numPr>
          <w:ilvl w:val="0"/>
          <w:numId w:val="15"/>
        </w:numPr>
        <w:spacing w:before="0" w:after="160" w:line="259" w:lineRule="auto"/>
        <w:contextualSpacing/>
      </w:pPr>
      <w:r w:rsidRPr="001447C2">
        <w:t>Catalyzing the system through FDI</w:t>
      </w:r>
    </w:p>
    <w:p w:rsidR="002B2455" w:rsidRDefault="002B2455" w:rsidP="00AF39BA">
      <w:pPr>
        <w:numPr>
          <w:ilvl w:val="0"/>
          <w:numId w:val="15"/>
        </w:numPr>
        <w:spacing w:before="0" w:after="160" w:line="259" w:lineRule="auto"/>
        <w:contextualSpacing/>
      </w:pPr>
      <w:r w:rsidRPr="001447C2">
        <w:t>Innovation System maintenance and navigation</w:t>
      </w:r>
    </w:p>
    <w:p w:rsidR="002B2455" w:rsidRPr="001447C2" w:rsidRDefault="002B2455" w:rsidP="002B2455">
      <w:pPr>
        <w:spacing w:after="160" w:line="259" w:lineRule="auto"/>
        <w:ind w:left="360"/>
        <w:contextualSpacing/>
      </w:pPr>
    </w:p>
    <w:p w:rsidR="002B2455" w:rsidRPr="001447C2" w:rsidRDefault="002B2455" w:rsidP="002B2455">
      <w:pPr>
        <w:spacing w:after="160" w:line="259" w:lineRule="auto"/>
      </w:pPr>
      <w:r w:rsidRPr="001447C2">
        <w:t>The following defines these objectives and corresponding recommended actions to achieve them:</w:t>
      </w:r>
    </w:p>
    <w:p w:rsidR="002B2455" w:rsidRPr="001447C2" w:rsidRDefault="002B2455" w:rsidP="002B2455">
      <w:pPr>
        <w:spacing w:after="160" w:line="259" w:lineRule="auto"/>
      </w:pPr>
    </w:p>
    <w:p w:rsidR="002B2455" w:rsidRPr="001447C2" w:rsidRDefault="002B2455" w:rsidP="004350AC">
      <w:pPr>
        <w:pStyle w:val="Heading2"/>
        <w:rPr>
          <w:rFonts w:eastAsiaTheme="majorEastAsia"/>
        </w:rPr>
      </w:pPr>
      <w:bookmarkStart w:id="39" w:name="_Toc535608378"/>
      <w:r w:rsidRPr="001447C2">
        <w:rPr>
          <w:rFonts w:eastAsiaTheme="majorEastAsia"/>
        </w:rPr>
        <w:t>Building foundational innovation incentives</w:t>
      </w:r>
      <w:bookmarkEnd w:id="39"/>
    </w:p>
    <w:p w:rsidR="002B2455" w:rsidRPr="001447C2" w:rsidRDefault="002B2455" w:rsidP="002B2455">
      <w:pPr>
        <w:spacing w:after="160" w:line="259" w:lineRule="auto"/>
      </w:pPr>
    </w:p>
    <w:p w:rsidR="002B2455" w:rsidRPr="001447C2" w:rsidRDefault="002B2455" w:rsidP="002B2455">
      <w:pPr>
        <w:pStyle w:val="Heading4"/>
        <w:rPr>
          <w:rFonts w:eastAsiaTheme="majorEastAsia"/>
        </w:rPr>
      </w:pPr>
      <w:bookmarkStart w:id="40" w:name="_Hlk528582853"/>
      <w:r>
        <w:rPr>
          <w:rFonts w:eastAsiaTheme="majorEastAsia"/>
        </w:rPr>
        <w:t>Upgrade policies and</w:t>
      </w:r>
      <w:r w:rsidRPr="001447C2">
        <w:rPr>
          <w:rFonts w:eastAsiaTheme="majorEastAsia"/>
        </w:rPr>
        <w:t xml:space="preserve"> regulations </w:t>
      </w:r>
      <w:bookmarkEnd w:id="40"/>
    </w:p>
    <w:p w:rsidR="002B2455" w:rsidRPr="001447C2" w:rsidRDefault="002B2455" w:rsidP="002B2455">
      <w:pPr>
        <w:spacing w:after="160" w:line="259" w:lineRule="auto"/>
      </w:pPr>
      <w:r w:rsidRPr="001447C2">
        <w:t>Georgia’s policy and regulatory environment is broadly enabling for business.  However, gaps remain that create risk for innovative ventures, specifically related to insolvency, intellectual property, and challenges to investment. To further improve its enabling regulatory environment, Georgia should address outstanding policy gaps and build confidence in the country’s institutional ability to enforce them efficiently and transparently. In parallel, structuring regular dialogue between the public and private sectors is critical to aligning the regulatory environment with businesses’ needs to innovate.</w:t>
      </w:r>
    </w:p>
    <w:p w:rsidR="002B2455" w:rsidRDefault="002B2455" w:rsidP="002B2455">
      <w:pPr>
        <w:spacing w:after="160" w:line="259" w:lineRule="auto"/>
        <w:rPr>
          <w:b/>
        </w:rPr>
      </w:pPr>
    </w:p>
    <w:p w:rsidR="002B2455" w:rsidRDefault="002B2455" w:rsidP="002B2455">
      <w:pPr>
        <w:spacing w:after="160" w:line="259" w:lineRule="auto"/>
        <w:rPr>
          <w:b/>
        </w:rPr>
      </w:pPr>
      <w:r w:rsidRPr="001447C2">
        <w:rPr>
          <w:b/>
        </w:rPr>
        <w:t xml:space="preserve">Objective: </w:t>
      </w:r>
      <w:r w:rsidRPr="00AB0668">
        <w:rPr>
          <w:b/>
        </w:rPr>
        <w:t xml:space="preserve">Build business confidence in Georgia’s intellectual property (IP) regime and protections </w:t>
      </w:r>
    </w:p>
    <w:p w:rsidR="002B2455" w:rsidRPr="001447C2" w:rsidRDefault="002B2455" w:rsidP="002B2455">
      <w:pPr>
        <w:spacing w:after="160" w:line="259" w:lineRule="auto"/>
        <w:rPr>
          <w:i/>
        </w:rPr>
      </w:pPr>
      <w:r w:rsidRPr="001447C2">
        <w:rPr>
          <w:i/>
        </w:rPr>
        <w:t>Recommended actions:</w:t>
      </w:r>
    </w:p>
    <w:p w:rsidR="002B2455" w:rsidRPr="001447C2" w:rsidRDefault="002B2455" w:rsidP="00AF39BA">
      <w:pPr>
        <w:numPr>
          <w:ilvl w:val="0"/>
          <w:numId w:val="29"/>
        </w:numPr>
        <w:spacing w:before="0" w:after="60" w:line="259" w:lineRule="auto"/>
      </w:pPr>
      <w:r w:rsidRPr="001447C2">
        <w:t>Pursue IP cases to pressure test existing IP laws, policies and enforcement mechanisms</w:t>
      </w:r>
    </w:p>
    <w:p w:rsidR="002B2455" w:rsidRPr="001447C2" w:rsidRDefault="002B2455" w:rsidP="00AF39BA">
      <w:pPr>
        <w:numPr>
          <w:ilvl w:val="0"/>
          <w:numId w:val="29"/>
        </w:numPr>
        <w:spacing w:before="0" w:after="60" w:line="259" w:lineRule="auto"/>
      </w:pPr>
      <w:r w:rsidRPr="001447C2">
        <w:t>Actively promote cases that resulted in effective protection of IP rights</w:t>
      </w:r>
    </w:p>
    <w:p w:rsidR="002B2455" w:rsidRPr="001447C2" w:rsidRDefault="002B2455" w:rsidP="00AF39BA">
      <w:pPr>
        <w:numPr>
          <w:ilvl w:val="0"/>
          <w:numId w:val="29"/>
        </w:numPr>
        <w:spacing w:before="0" w:after="160" w:line="259" w:lineRule="auto"/>
      </w:pPr>
      <w:r w:rsidRPr="001447C2">
        <w:t xml:space="preserve">Assess processes, procedures and incentives within the </w:t>
      </w:r>
      <w:r>
        <w:t xml:space="preserve">law enforcement and </w:t>
      </w:r>
      <w:r w:rsidRPr="001447C2">
        <w:t>judicial system to identify opportunities to improve the efficiency and transparency of IP enforcement</w:t>
      </w:r>
      <w:r>
        <w:t>, and provide capacity building support accordingly</w:t>
      </w:r>
    </w:p>
    <w:p w:rsidR="002B2455" w:rsidRPr="001447C2" w:rsidRDefault="002B2455" w:rsidP="002B2455">
      <w:pPr>
        <w:spacing w:after="160" w:line="259" w:lineRule="auto"/>
        <w:rPr>
          <w:b/>
        </w:rPr>
      </w:pPr>
      <w:r w:rsidRPr="001447C2">
        <w:rPr>
          <w:b/>
        </w:rPr>
        <w:t xml:space="preserve">Objective: </w:t>
      </w:r>
      <w:r w:rsidRPr="00E92CB0">
        <w:rPr>
          <w:b/>
        </w:rPr>
        <w:t>Address weaknesses in insolvency laws and close-down audit processes to minimize perceived risk associated with investment in innovation ventures</w:t>
      </w:r>
    </w:p>
    <w:p w:rsidR="002B2455" w:rsidRPr="00D57B98" w:rsidRDefault="002B2455" w:rsidP="00AF39BA">
      <w:pPr>
        <w:numPr>
          <w:ilvl w:val="0"/>
          <w:numId w:val="29"/>
        </w:numPr>
        <w:spacing w:before="0" w:after="60" w:line="259" w:lineRule="auto"/>
      </w:pPr>
      <w:r w:rsidRPr="00D57B98">
        <w:rPr>
          <w:color w:val="000000" w:themeColor="text1"/>
        </w:rPr>
        <w:t>Adopt and implement proposed revisions to the insolvency laws currently under development to maintain ranked compensation in case of liquidity</w:t>
      </w:r>
      <w:r>
        <w:rPr>
          <w:color w:val="000000" w:themeColor="text1"/>
        </w:rPr>
        <w:t xml:space="preserve"> </w:t>
      </w:r>
    </w:p>
    <w:p w:rsidR="002B2455" w:rsidRPr="001447C2" w:rsidRDefault="002B2455" w:rsidP="00AF39BA">
      <w:pPr>
        <w:numPr>
          <w:ilvl w:val="0"/>
          <w:numId w:val="29"/>
        </w:numPr>
        <w:spacing w:before="0" w:after="160" w:line="259" w:lineRule="auto"/>
      </w:pPr>
      <w:r w:rsidRPr="001447C2">
        <w:t>Improve transparency around audits required to shut down businesses to improve public trust in the process</w:t>
      </w:r>
      <w:r>
        <w:t>, including by providing capacity building for law enforcement</w:t>
      </w:r>
    </w:p>
    <w:p w:rsidR="002B2455" w:rsidRPr="001447C2" w:rsidRDefault="002B2455" w:rsidP="002B2455">
      <w:pPr>
        <w:spacing w:after="160" w:line="259" w:lineRule="auto"/>
        <w:rPr>
          <w:b/>
        </w:rPr>
      </w:pPr>
      <w:r w:rsidRPr="001447C2">
        <w:rPr>
          <w:b/>
        </w:rPr>
        <w:t xml:space="preserve">Objective: </w:t>
      </w:r>
      <w:r w:rsidRPr="00D57B98">
        <w:rPr>
          <w:b/>
        </w:rPr>
        <w:t xml:space="preserve">Optimize legislation regulating </w:t>
      </w:r>
      <w:r>
        <w:rPr>
          <w:b/>
        </w:rPr>
        <w:t xml:space="preserve">lending and </w:t>
      </w:r>
      <w:r w:rsidRPr="00D57B98">
        <w:rPr>
          <w:b/>
        </w:rPr>
        <w:t>investment to expand access to financing for early stage ventures</w:t>
      </w:r>
    </w:p>
    <w:p w:rsidR="002B2455" w:rsidRDefault="002B2455" w:rsidP="00AF39BA">
      <w:pPr>
        <w:numPr>
          <w:ilvl w:val="0"/>
          <w:numId w:val="29"/>
        </w:numPr>
        <w:spacing w:before="0" w:after="60" w:line="259" w:lineRule="auto"/>
      </w:pPr>
      <w:r w:rsidRPr="00D57B98">
        <w:t>Finalize and adopt draft Investment Fund Law</w:t>
      </w:r>
      <w:r>
        <w:t xml:space="preserve"> </w:t>
      </w:r>
      <w:r w:rsidRPr="00D57B98">
        <w:t>to enable fund equity investments (alternative public funds, private funds) in non-tradable securities by qualified specialists</w:t>
      </w:r>
    </w:p>
    <w:p w:rsidR="002B2455" w:rsidRDefault="002B2455" w:rsidP="00AF39BA">
      <w:pPr>
        <w:numPr>
          <w:ilvl w:val="0"/>
          <w:numId w:val="29"/>
        </w:numPr>
        <w:spacing w:before="0" w:after="60" w:line="259" w:lineRule="auto"/>
      </w:pPr>
      <w:r w:rsidRPr="001447C2">
        <w:t>Create a legal framework to allow equity and debt crowd-funding, in addition to frameworks enabling rewards-based crowd-funding</w:t>
      </w:r>
    </w:p>
    <w:p w:rsidR="002B2455" w:rsidRDefault="002B2455" w:rsidP="00AF39BA">
      <w:pPr>
        <w:numPr>
          <w:ilvl w:val="0"/>
          <w:numId w:val="29"/>
        </w:numPr>
        <w:spacing w:before="0" w:after="160" w:line="259" w:lineRule="auto"/>
      </w:pPr>
      <w:r>
        <w:t>Review regulations governing lending secured with moveable collateral and assess opportunities to improve the viability movable asset-backed loans for banks (e.g., reducing reserve requirements to make moveable asset-backed lending more affordable)</w:t>
      </w:r>
    </w:p>
    <w:p w:rsidR="002B2455" w:rsidRPr="008013D2" w:rsidRDefault="002B2455" w:rsidP="002B2455">
      <w:pPr>
        <w:spacing w:after="160" w:line="259" w:lineRule="auto"/>
        <w:ind w:left="720"/>
      </w:pPr>
    </w:p>
    <w:p w:rsidR="002B2455" w:rsidRPr="001447C2" w:rsidRDefault="002B2455" w:rsidP="002B2455">
      <w:pPr>
        <w:pStyle w:val="Heading4"/>
        <w:rPr>
          <w:rFonts w:eastAsiaTheme="majorEastAsia"/>
        </w:rPr>
      </w:pPr>
      <w:r w:rsidRPr="001447C2">
        <w:rPr>
          <w:rFonts w:eastAsiaTheme="majorEastAsia"/>
        </w:rPr>
        <w:t xml:space="preserve">Adapt procurement processes and </w:t>
      </w:r>
      <w:r>
        <w:rPr>
          <w:rFonts w:eastAsiaTheme="majorEastAsia"/>
        </w:rPr>
        <w:t xml:space="preserve">classification </w:t>
      </w:r>
      <w:r w:rsidRPr="001447C2">
        <w:rPr>
          <w:rFonts w:eastAsiaTheme="majorEastAsia"/>
        </w:rPr>
        <w:t xml:space="preserve">standards </w:t>
      </w:r>
    </w:p>
    <w:p w:rsidR="002B2455" w:rsidRPr="001447C2" w:rsidRDefault="002B2455" w:rsidP="002B2455">
      <w:pPr>
        <w:spacing w:after="160" w:line="259" w:lineRule="auto"/>
      </w:pPr>
      <w:r w:rsidRPr="001447C2">
        <w:t>Government procurement standards, processes and performance incentives today hamper adoption of innovative technologies, and in some cases put the government in direct competition with the private sector in high tech industries thereby stunting the development of companies in those industries. Revising standards, procedures and employee incentives to encourage more strategic outsourcing will position the government to drive business innovation.</w:t>
      </w:r>
    </w:p>
    <w:p w:rsidR="002B2455" w:rsidRPr="001447C2" w:rsidRDefault="002B2455" w:rsidP="002B2455">
      <w:pPr>
        <w:spacing w:after="160" w:line="259" w:lineRule="auto"/>
        <w:rPr>
          <w:b/>
        </w:rPr>
      </w:pPr>
      <w:r w:rsidRPr="001447C2">
        <w:rPr>
          <w:b/>
        </w:rPr>
        <w:t xml:space="preserve">Objective: Upgrade government procurement standards and processes to incentivize procurement of innovative technologies where they provide a more effective alternative to traditional solutions </w:t>
      </w:r>
    </w:p>
    <w:p w:rsidR="002B2455" w:rsidRDefault="002B2455" w:rsidP="00AF39BA">
      <w:pPr>
        <w:numPr>
          <w:ilvl w:val="0"/>
          <w:numId w:val="29"/>
        </w:numPr>
        <w:spacing w:before="0" w:after="60" w:line="259" w:lineRule="auto"/>
      </w:pPr>
      <w:r>
        <w:t xml:space="preserve">Define </w:t>
      </w:r>
      <w:r w:rsidRPr="008F2407">
        <w:t>champion</w:t>
      </w:r>
      <w:r>
        <w:t>s within the executive government and the</w:t>
      </w:r>
      <w:r w:rsidRPr="008F2407">
        <w:t xml:space="preserve"> State Procurement Agency </w:t>
      </w:r>
      <w:r>
        <w:t>for</w:t>
      </w:r>
      <w:r w:rsidRPr="008F2407">
        <w:t xml:space="preserve"> pu</w:t>
      </w:r>
      <w:r>
        <w:t>blic procurement of innovation</w:t>
      </w:r>
    </w:p>
    <w:p w:rsidR="002B2455" w:rsidRDefault="002B2455" w:rsidP="00AF39BA">
      <w:pPr>
        <w:numPr>
          <w:ilvl w:val="0"/>
          <w:numId w:val="29"/>
        </w:numPr>
        <w:spacing w:before="0" w:after="60" w:line="259" w:lineRule="auto"/>
      </w:pPr>
      <w:r w:rsidRPr="001447C2">
        <w:t>Adapt performance</w:t>
      </w:r>
      <w:r>
        <w:t xml:space="preserve"> requirements and</w:t>
      </w:r>
      <w:r w:rsidRPr="001447C2">
        <w:t xml:space="preserve"> metrics</w:t>
      </w:r>
      <w:r>
        <w:t xml:space="preserve"> for procurement officers</w:t>
      </w:r>
      <w:r w:rsidRPr="001447C2">
        <w:t xml:space="preserve"> to incentivize procurement of new technologies, where they offer the most effective delivery solutions</w:t>
      </w:r>
      <w:r>
        <w:t xml:space="preserve"> (e.g., requiring market research for certain categories of procurement; adding a metric such as number of innovative procurement proposals piloted to individual performance evaluations)</w:t>
      </w:r>
    </w:p>
    <w:p w:rsidR="002B2455" w:rsidRPr="001447C2" w:rsidRDefault="002B2455" w:rsidP="00AF39BA">
      <w:pPr>
        <w:numPr>
          <w:ilvl w:val="0"/>
          <w:numId w:val="29"/>
        </w:numPr>
        <w:spacing w:before="0" w:after="60" w:line="259" w:lineRule="auto"/>
      </w:pPr>
      <w:r w:rsidRPr="00B82D71">
        <w:t xml:space="preserve">Establish </w:t>
      </w:r>
      <w:r>
        <w:t xml:space="preserve">a </w:t>
      </w:r>
      <w:r w:rsidRPr="00B82D71">
        <w:t>government grant program to make financing available to public agencies to test pre-commercial or other innovative solution</w:t>
      </w:r>
      <w:r>
        <w:t>s prior to formal procurement</w:t>
      </w:r>
    </w:p>
    <w:p w:rsidR="002B2455" w:rsidRPr="001447C2" w:rsidRDefault="002B2455" w:rsidP="00AF39BA">
      <w:pPr>
        <w:numPr>
          <w:ilvl w:val="0"/>
          <w:numId w:val="29"/>
        </w:numPr>
        <w:spacing w:before="0" w:after="60" w:line="259" w:lineRule="auto"/>
      </w:pPr>
      <w:r w:rsidRPr="001447C2">
        <w:t xml:space="preserve">Design </w:t>
      </w:r>
      <w:r>
        <w:t>central government guidelines</w:t>
      </w:r>
      <w:r w:rsidRPr="001447C2">
        <w:t xml:space="preserve"> to </w:t>
      </w:r>
      <w:r>
        <w:t>limit</w:t>
      </w:r>
      <w:r w:rsidRPr="001447C2">
        <w:t xml:space="preserve"> in-house ICT functions from competing directly with private external ICT companies on open competitive bids for technology services</w:t>
      </w:r>
    </w:p>
    <w:p w:rsidR="002B2455" w:rsidRPr="001447C2" w:rsidRDefault="002B2455" w:rsidP="00AF39BA">
      <w:pPr>
        <w:numPr>
          <w:ilvl w:val="0"/>
          <w:numId w:val="29"/>
        </w:numPr>
        <w:spacing w:before="0" w:after="160" w:line="259" w:lineRule="auto"/>
      </w:pPr>
      <w:r w:rsidRPr="001447C2">
        <w:t>Accelerate efforts to strengthen legislation enabling public-private partnerships</w:t>
      </w:r>
      <w:r>
        <w:t xml:space="preserve"> (e.g., defining a regulatory framework balancing risk between public and private partners)</w:t>
      </w:r>
      <w:r w:rsidRPr="008013D2">
        <w:rPr>
          <w:rStyle w:val="FootnoteReference"/>
        </w:rPr>
        <w:footnoteReference w:id="27"/>
      </w:r>
    </w:p>
    <w:p w:rsidR="002B2455" w:rsidRPr="001447C2" w:rsidRDefault="002B2455" w:rsidP="002B2455">
      <w:pPr>
        <w:spacing w:after="160" w:line="259" w:lineRule="auto"/>
        <w:rPr>
          <w:b/>
        </w:rPr>
      </w:pPr>
      <w:bookmarkStart w:id="41" w:name="_Hlk525136720"/>
      <w:r w:rsidRPr="001447C2">
        <w:rPr>
          <w:b/>
        </w:rPr>
        <w:t xml:space="preserve">Objective: Simplify and streamline the process for technology declassification to enable the diffusion of technologies developed for the defense sector with commercial applications </w:t>
      </w:r>
    </w:p>
    <w:p w:rsidR="002B2455" w:rsidRPr="001447C2" w:rsidRDefault="002B2455" w:rsidP="00AF39BA">
      <w:pPr>
        <w:numPr>
          <w:ilvl w:val="0"/>
          <w:numId w:val="29"/>
        </w:numPr>
        <w:spacing w:before="0" w:after="60" w:line="259" w:lineRule="auto"/>
      </w:pPr>
      <w:r w:rsidRPr="001447C2">
        <w:t>Change classification laws to simplify the commercialization of projects initially deemed classified for security purposed and later identified as have commercial applications</w:t>
      </w:r>
    </w:p>
    <w:p w:rsidR="002B2455" w:rsidRPr="001447C2" w:rsidRDefault="002B2455" w:rsidP="00AF39BA">
      <w:pPr>
        <w:numPr>
          <w:ilvl w:val="0"/>
          <w:numId w:val="29"/>
        </w:numPr>
        <w:spacing w:before="0" w:after="60" w:line="259" w:lineRule="auto"/>
      </w:pPr>
      <w:r w:rsidRPr="001447C2">
        <w:t xml:space="preserve">Evaluate internal government capabilities to identify classified technology with potential to be commercialized and facilitate the process without compromising security, and upgrade as </w:t>
      </w:r>
      <w:bookmarkEnd w:id="41"/>
      <w:r w:rsidRPr="001447C2">
        <w:t>required to improve capabilities to responsibly identify and process technologies with commercial applications</w:t>
      </w:r>
    </w:p>
    <w:p w:rsidR="002B2455" w:rsidRPr="001447C2" w:rsidRDefault="002B2455" w:rsidP="002B2455">
      <w:pPr>
        <w:spacing w:after="160" w:line="259" w:lineRule="auto"/>
      </w:pPr>
    </w:p>
    <w:p w:rsidR="002B2455" w:rsidRPr="001447C2" w:rsidRDefault="002B2455" w:rsidP="002B2455">
      <w:pPr>
        <w:pStyle w:val="Heading4"/>
        <w:rPr>
          <w:rFonts w:eastAsiaTheme="majorEastAsia"/>
        </w:rPr>
      </w:pPr>
      <w:r w:rsidRPr="001447C2">
        <w:rPr>
          <w:rFonts w:eastAsiaTheme="majorEastAsia"/>
        </w:rPr>
        <w:t>Upgrade quality standards</w:t>
      </w:r>
    </w:p>
    <w:p w:rsidR="002B2455" w:rsidRPr="001447C2" w:rsidRDefault="002B2455" w:rsidP="002B2455">
      <w:pPr>
        <w:spacing w:after="160" w:line="259" w:lineRule="auto"/>
      </w:pPr>
      <w:r>
        <w:t xml:space="preserve">While the potential to find businesses and facilities offering </w:t>
      </w:r>
      <w:r w:rsidRPr="001447C2">
        <w:t xml:space="preserve">quality standards </w:t>
      </w:r>
      <w:r>
        <w:t xml:space="preserve">on par with high global standards </w:t>
      </w:r>
      <w:r w:rsidRPr="001447C2">
        <w:t>is one of Georgia’s differentiated strengths relative to countries in the region,</w:t>
      </w:r>
      <w:r>
        <w:rPr>
          <w:rStyle w:val="FootnoteReference"/>
        </w:rPr>
        <w:footnoteReference w:id="28"/>
      </w:r>
      <w:r w:rsidRPr="001447C2">
        <w:t xml:space="preserve"> there is significant variability within and across sectors. This detracts from the country’s potential as a hub for innovative high value manufacturing, as low cost / low quality competition squeezes margins available for innovation. Defining and enforcing baseline health, safety and environmental standards must be a cross-cutting priority, with specific emphasis on accelerating alignment with EU standards in high value manufacturing industries. </w:t>
      </w:r>
    </w:p>
    <w:p w:rsidR="002B2455" w:rsidRPr="001447C2" w:rsidRDefault="002B2455" w:rsidP="002B2455">
      <w:pPr>
        <w:spacing w:after="160" w:line="259" w:lineRule="auto"/>
        <w:rPr>
          <w:b/>
        </w:rPr>
      </w:pPr>
      <w:r w:rsidRPr="001447C2">
        <w:rPr>
          <w:b/>
        </w:rPr>
        <w:t>Objective: Harmonize local industry quality and performance standards with EU standards</w:t>
      </w:r>
    </w:p>
    <w:p w:rsidR="002B2455" w:rsidRPr="001447C2" w:rsidRDefault="002B2455" w:rsidP="00AF39BA">
      <w:pPr>
        <w:numPr>
          <w:ilvl w:val="0"/>
          <w:numId w:val="29"/>
        </w:numPr>
        <w:spacing w:before="0" w:after="60" w:line="259" w:lineRule="auto"/>
      </w:pPr>
      <w:r w:rsidRPr="001447C2">
        <w:t>Evaluate options to accelerate timeline to harmonize factory and supply chain standards with EU performance standards (e.g., HACCP standards for food and beverage; GMP for pharmaceuticals; general health, safety and environmental (HSE) standards)</w:t>
      </w:r>
    </w:p>
    <w:p w:rsidR="002B2455" w:rsidRPr="001447C2" w:rsidRDefault="002B2455" w:rsidP="00AF39BA">
      <w:pPr>
        <w:numPr>
          <w:ilvl w:val="0"/>
          <w:numId w:val="29"/>
        </w:numPr>
        <w:spacing w:before="0" w:after="60" w:line="259" w:lineRule="auto"/>
      </w:pPr>
      <w:r w:rsidRPr="001447C2">
        <w:t>Conduct an impact and performance assessment of entities responsible for overseeing standards alignment (e.g., GEOSTM, National Body for Accreditation, Technical Construction Supervision Agency, National Food Agency etc.) to as</w:t>
      </w:r>
      <w:r>
        <w:t xml:space="preserve">sess current performance levels (e.g., ability to identify cases of non-compliance with mandatory standards; effectiveness and efficiency of enforcement in cases of non-compliance, etc.) </w:t>
      </w:r>
    </w:p>
    <w:p w:rsidR="002B2455" w:rsidRPr="001447C2" w:rsidRDefault="002B2455" w:rsidP="00AF39BA">
      <w:pPr>
        <w:numPr>
          <w:ilvl w:val="0"/>
          <w:numId w:val="29"/>
        </w:numPr>
        <w:spacing w:before="0" w:after="60" w:line="259" w:lineRule="auto"/>
      </w:pPr>
      <w:r w:rsidRPr="001447C2">
        <w:t>Support agencies responsible for overseeing standards compliance in improving their oversight and enforcement capabilities (including issuing of licenses, penalties, etc.), based on an assessment of their baseline capabilities</w:t>
      </w:r>
    </w:p>
    <w:p w:rsidR="002B2455" w:rsidRPr="001447C2" w:rsidRDefault="002B2455" w:rsidP="00AF39BA">
      <w:pPr>
        <w:numPr>
          <w:ilvl w:val="0"/>
          <w:numId w:val="29"/>
        </w:numPr>
        <w:spacing w:before="0" w:after="60" w:line="259" w:lineRule="auto"/>
      </w:pPr>
      <w:r w:rsidRPr="001447C2">
        <w:t>Introduce financing and capacity-building programs to support businesses interested in navigating and adhering to EU standards, targeting priority sectors (high value manufacturing, food and beverage) and based on an initial assessment of current programs and their impact</w:t>
      </w:r>
    </w:p>
    <w:p w:rsidR="002B2455" w:rsidRPr="001447C2" w:rsidRDefault="002B2455" w:rsidP="00AF39BA">
      <w:pPr>
        <w:numPr>
          <w:ilvl w:val="0"/>
          <w:numId w:val="29"/>
        </w:numPr>
        <w:spacing w:before="0" w:after="160" w:line="259" w:lineRule="auto"/>
        <w:contextualSpacing/>
        <w:rPr>
          <w:color w:val="000000" w:themeColor="text1"/>
        </w:rPr>
      </w:pPr>
      <w:r w:rsidRPr="001447C2">
        <w:rPr>
          <w:color w:val="000000" w:themeColor="text1"/>
        </w:rPr>
        <w:t xml:space="preserve">Review and upgrade efforts to combat the flows of counterfeit Georgian products (e.g., wine, spirits) domestically and abroad, focusing on preserving the value of the Georgian brand </w:t>
      </w:r>
      <w:r w:rsidRPr="001447C2">
        <w:rPr>
          <w:color w:val="000000" w:themeColor="text1"/>
          <w:vertAlign w:val="superscript"/>
        </w:rPr>
        <w:footnoteReference w:id="29"/>
      </w:r>
      <w:r w:rsidRPr="001447C2">
        <w:rPr>
          <w:color w:val="000000" w:themeColor="text1"/>
        </w:rPr>
        <w:t>; potential actions to consider:</w:t>
      </w:r>
    </w:p>
    <w:p w:rsidR="002B2455" w:rsidRPr="001447C2" w:rsidRDefault="002B2455" w:rsidP="00AF39BA">
      <w:pPr>
        <w:numPr>
          <w:ilvl w:val="1"/>
          <w:numId w:val="29"/>
        </w:numPr>
        <w:spacing w:before="0" w:after="160" w:line="259" w:lineRule="auto"/>
        <w:contextualSpacing/>
      </w:pPr>
      <w:r w:rsidRPr="001447C2">
        <w:t>Establishing a national branding scheme for priority products (e.g., label, secure product ledger with easy traceability, etc.)</w:t>
      </w:r>
    </w:p>
    <w:p w:rsidR="002B2455" w:rsidRPr="001447C2" w:rsidRDefault="002B2455" w:rsidP="00AF39BA">
      <w:pPr>
        <w:numPr>
          <w:ilvl w:val="1"/>
          <w:numId w:val="29"/>
        </w:numPr>
        <w:spacing w:before="0" w:after="160" w:line="259" w:lineRule="auto"/>
        <w:contextualSpacing/>
      </w:pPr>
      <w:r w:rsidRPr="001447C2">
        <w:t xml:space="preserve">Strengthen law enforcement through capacity building and investment, working in tandem with neighboring countries </w:t>
      </w:r>
    </w:p>
    <w:p w:rsidR="002B2455" w:rsidRPr="001447C2" w:rsidRDefault="002B2455" w:rsidP="00AF39BA">
      <w:pPr>
        <w:numPr>
          <w:ilvl w:val="1"/>
          <w:numId w:val="29"/>
        </w:numPr>
        <w:spacing w:before="0" w:after="160" w:line="259" w:lineRule="auto"/>
        <w:contextualSpacing/>
      </w:pPr>
      <w:r w:rsidRPr="001447C2">
        <w:t>Proactively pursue counterfeit cases in neighboring countries with high rates of violations</w:t>
      </w:r>
    </w:p>
    <w:p w:rsidR="002B2455" w:rsidRPr="001447C2" w:rsidRDefault="002B2455" w:rsidP="00AF39BA">
      <w:pPr>
        <w:numPr>
          <w:ilvl w:val="0"/>
          <w:numId w:val="29"/>
        </w:numPr>
        <w:spacing w:before="0" w:after="160" w:line="259" w:lineRule="auto"/>
      </w:pPr>
      <w:r w:rsidRPr="001447C2">
        <w:t>Increase public relations efforts to raise awareness among domestic and international businesses in target markets about what the Government of Georgia is doing to improve quality standards</w:t>
      </w:r>
    </w:p>
    <w:p w:rsidR="002B2455" w:rsidRPr="001447C2" w:rsidRDefault="002B2455" w:rsidP="002B2455">
      <w:pPr>
        <w:spacing w:after="160" w:line="259" w:lineRule="auto"/>
        <w:rPr>
          <w:b/>
        </w:rPr>
      </w:pPr>
      <w:r w:rsidRPr="001447C2">
        <w:rPr>
          <w:b/>
        </w:rPr>
        <w:t>Objective: Strengthen the Georgian brand for “quality” by increasing the predictability of standards associated with visitor experiences</w:t>
      </w:r>
    </w:p>
    <w:p w:rsidR="002B2455" w:rsidRPr="001447C2" w:rsidRDefault="002B2455" w:rsidP="00AF39BA">
      <w:pPr>
        <w:numPr>
          <w:ilvl w:val="0"/>
          <w:numId w:val="29"/>
        </w:numPr>
        <w:spacing w:before="0" w:after="60" w:line="259" w:lineRule="auto"/>
      </w:pPr>
      <w:r w:rsidRPr="001447C2">
        <w:t>Focus the tourism strategy on attracting on high value customer flows defined in cooperation with the agencies responsible for investment promotion and economic development</w:t>
      </w:r>
    </w:p>
    <w:p w:rsidR="002B2455" w:rsidRPr="001447C2" w:rsidRDefault="002B2455" w:rsidP="00AF39BA">
      <w:pPr>
        <w:numPr>
          <w:ilvl w:val="0"/>
          <w:numId w:val="29"/>
        </w:numPr>
        <w:spacing w:before="0" w:after="60" w:line="259" w:lineRule="auto"/>
      </w:pPr>
      <w:r w:rsidRPr="001447C2">
        <w:t>Define a clear set of industry HSE standards for the tourism industry aligned to EU regulations, set a clear timeline for compliance, and develop an oversight and enforcement capability</w:t>
      </w:r>
    </w:p>
    <w:p w:rsidR="002B2455" w:rsidRPr="001447C2" w:rsidRDefault="002B2455" w:rsidP="00AF39BA">
      <w:pPr>
        <w:numPr>
          <w:ilvl w:val="0"/>
          <w:numId w:val="29"/>
        </w:numPr>
        <w:spacing w:before="0" w:after="60" w:line="259" w:lineRule="auto"/>
      </w:pPr>
      <w:r w:rsidRPr="001447C2">
        <w:t>Create access to training programs (e.g., hotel staff, etc.) for tourism and hospitality professionals to improve talent consistency, based on an assessment of existing MCA programs</w:t>
      </w:r>
      <w:r w:rsidRPr="001447C2">
        <w:rPr>
          <w:vertAlign w:val="superscript"/>
        </w:rPr>
        <w:footnoteReference w:id="30"/>
      </w:r>
      <w:r w:rsidRPr="001447C2">
        <w:rPr>
          <w:vertAlign w:val="superscript"/>
        </w:rPr>
        <w:t xml:space="preserve"> </w:t>
      </w:r>
    </w:p>
    <w:p w:rsidR="002B2455" w:rsidRPr="001447C2" w:rsidRDefault="002B2455" w:rsidP="00AF39BA">
      <w:pPr>
        <w:numPr>
          <w:ilvl w:val="0"/>
          <w:numId w:val="29"/>
        </w:numPr>
        <w:spacing w:before="0" w:after="60" w:line="259" w:lineRule="auto"/>
      </w:pPr>
      <w:r w:rsidRPr="001447C2">
        <w:t>Develop tourism campaigns and supporting marketing around products and industry areas where Georgia has a regional advantage, promoting the Georgian brand for specific high value products (e.g. wine, high value fashion, fine arts)</w:t>
      </w:r>
      <w:r w:rsidRPr="001447C2">
        <w:rPr>
          <w:vertAlign w:val="superscript"/>
        </w:rPr>
        <w:footnoteReference w:id="31"/>
      </w:r>
    </w:p>
    <w:p w:rsidR="002B2455" w:rsidRPr="001447C2" w:rsidRDefault="002B2455" w:rsidP="002B2455">
      <w:pPr>
        <w:keepNext/>
        <w:keepLines/>
        <w:spacing w:before="40" w:line="259" w:lineRule="auto"/>
        <w:outlineLvl w:val="1"/>
        <w:rPr>
          <w:rFonts w:asciiTheme="majorHAnsi" w:eastAsiaTheme="majorEastAsia" w:hAnsiTheme="majorHAnsi" w:cstheme="majorBidi"/>
          <w:color w:val="001F50" w:themeColor="accent1" w:themeShade="BF"/>
          <w:sz w:val="26"/>
          <w:szCs w:val="26"/>
        </w:rPr>
      </w:pPr>
    </w:p>
    <w:p w:rsidR="002B2455" w:rsidRPr="001447C2" w:rsidRDefault="002B2455" w:rsidP="002B2455">
      <w:pPr>
        <w:pStyle w:val="Heading4"/>
        <w:rPr>
          <w:rFonts w:eastAsiaTheme="majorEastAsia"/>
        </w:rPr>
      </w:pPr>
      <w:r w:rsidRPr="001447C2">
        <w:rPr>
          <w:rFonts w:eastAsiaTheme="majorEastAsia"/>
        </w:rPr>
        <w:t>Build business linkages</w:t>
      </w:r>
    </w:p>
    <w:p w:rsidR="002B2455" w:rsidRPr="002B2455" w:rsidRDefault="002B2455" w:rsidP="002B2455">
      <w:pPr>
        <w:spacing w:after="160" w:line="259" w:lineRule="auto"/>
        <w:rPr>
          <w:color w:val="000000" w:themeColor="text1"/>
          <w:szCs w:val="20"/>
        </w:rPr>
      </w:pPr>
      <w:r w:rsidRPr="001447C2">
        <w:t xml:space="preserve">High cost of global market discovery and deepening information asymmetries cause many businesses in Georgia to default to a focus on the domestic market and contribute to siloed operations. Strategic interventions to bridge these divides between domestic and global markets and among Georgian businesses can accelerate the introduction of competitive and demand forces. This can stimulate innovation and </w:t>
      </w:r>
      <w:r w:rsidRPr="002B2455">
        <w:rPr>
          <w:color w:val="000000" w:themeColor="text1"/>
          <w:szCs w:val="20"/>
        </w:rPr>
        <w:t>encourage technology transfer and collaboration, particularly targeting growth-oriented businesses already seeking to integrate into global markets. Policies encouraging global companies to procure locally can also harness them as channels to access global markets.</w:t>
      </w:r>
    </w:p>
    <w:p w:rsidR="002B2455" w:rsidRPr="002B2455" w:rsidRDefault="002B2455" w:rsidP="002B2455">
      <w:pPr>
        <w:spacing w:after="160" w:line="259" w:lineRule="auto"/>
        <w:rPr>
          <w:b/>
          <w:color w:val="000000" w:themeColor="text1"/>
          <w:szCs w:val="20"/>
        </w:rPr>
      </w:pPr>
      <w:r w:rsidRPr="002B2455">
        <w:rPr>
          <w:b/>
          <w:color w:val="000000" w:themeColor="text1"/>
          <w:szCs w:val="20"/>
        </w:rPr>
        <w:t>Objective: Enable growth-oriented companies to access the information and capacity-building support to reach external markets</w:t>
      </w:r>
    </w:p>
    <w:p w:rsidR="002B2455" w:rsidRPr="002B2455" w:rsidRDefault="002B2455" w:rsidP="00AF39BA">
      <w:pPr>
        <w:numPr>
          <w:ilvl w:val="0"/>
          <w:numId w:val="29"/>
        </w:numPr>
        <w:spacing w:before="0" w:after="60" w:line="259" w:lineRule="auto"/>
        <w:rPr>
          <w:color w:val="000000" w:themeColor="text1"/>
          <w:szCs w:val="20"/>
        </w:rPr>
      </w:pPr>
      <w:r w:rsidRPr="002B2455">
        <w:rPr>
          <w:color w:val="000000" w:themeColor="text1"/>
          <w:szCs w:val="20"/>
        </w:rPr>
        <w:t>Define a set of criteria for businesses to qualify for support and make this standard public; potential criteria could include:</w:t>
      </w:r>
    </w:p>
    <w:p w:rsidR="002B2455" w:rsidRPr="002B2455" w:rsidRDefault="002B2455" w:rsidP="00AF39BA">
      <w:pPr>
        <w:pStyle w:val="ListParagraph"/>
        <w:numPr>
          <w:ilvl w:val="1"/>
          <w:numId w:val="26"/>
        </w:numPr>
        <w:autoSpaceDE/>
        <w:autoSpaceDN/>
        <w:adjustRightInd/>
        <w:spacing w:before="0" w:after="160" w:line="256" w:lineRule="auto"/>
        <w:contextualSpacing/>
        <w:rPr>
          <w:rFonts w:cstheme="minorHAnsi"/>
          <w:color w:val="000000" w:themeColor="text1"/>
          <w:sz w:val="20"/>
          <w:szCs w:val="20"/>
        </w:rPr>
      </w:pPr>
      <w:r w:rsidRPr="002B2455">
        <w:rPr>
          <w:rFonts w:cstheme="minorHAnsi"/>
          <w:color w:val="000000" w:themeColor="text1"/>
          <w:sz w:val="20"/>
          <w:szCs w:val="20"/>
        </w:rPr>
        <w:t>Annual or total investment in innovation or R&amp;D</w:t>
      </w:r>
    </w:p>
    <w:p w:rsidR="002B2455" w:rsidRPr="002B2455" w:rsidRDefault="002B2455" w:rsidP="00AF39BA">
      <w:pPr>
        <w:pStyle w:val="ListParagraph"/>
        <w:numPr>
          <w:ilvl w:val="1"/>
          <w:numId w:val="26"/>
        </w:numPr>
        <w:autoSpaceDE/>
        <w:autoSpaceDN/>
        <w:adjustRightInd/>
        <w:spacing w:before="0" w:after="160" w:line="256" w:lineRule="auto"/>
        <w:contextualSpacing/>
        <w:rPr>
          <w:rFonts w:cstheme="minorHAnsi"/>
          <w:color w:val="000000" w:themeColor="text1"/>
          <w:sz w:val="20"/>
          <w:szCs w:val="20"/>
        </w:rPr>
      </w:pPr>
      <w:r w:rsidRPr="002B2455">
        <w:rPr>
          <w:rFonts w:cstheme="minorHAnsi"/>
          <w:color w:val="000000" w:themeColor="text1"/>
          <w:sz w:val="20"/>
          <w:szCs w:val="20"/>
        </w:rPr>
        <w:t>Clear evidence of investments made to reach foreign markets</w:t>
      </w:r>
    </w:p>
    <w:p w:rsidR="002B2455" w:rsidRPr="002B2455" w:rsidRDefault="002B2455" w:rsidP="00AF39BA">
      <w:pPr>
        <w:pStyle w:val="ListParagraph"/>
        <w:numPr>
          <w:ilvl w:val="1"/>
          <w:numId w:val="26"/>
        </w:numPr>
        <w:autoSpaceDE/>
        <w:autoSpaceDN/>
        <w:adjustRightInd/>
        <w:spacing w:before="0" w:after="160" w:line="256" w:lineRule="auto"/>
        <w:contextualSpacing/>
        <w:rPr>
          <w:rFonts w:cstheme="minorHAnsi"/>
          <w:color w:val="000000" w:themeColor="text1"/>
          <w:sz w:val="20"/>
          <w:szCs w:val="20"/>
        </w:rPr>
      </w:pPr>
      <w:r w:rsidRPr="002B2455">
        <w:rPr>
          <w:rFonts w:cstheme="minorHAnsi"/>
          <w:color w:val="000000" w:themeColor="text1"/>
          <w:sz w:val="20"/>
          <w:szCs w:val="20"/>
        </w:rPr>
        <w:t>Number and value of existing global contracts</w:t>
      </w:r>
    </w:p>
    <w:p w:rsidR="002B2455" w:rsidRPr="002B2455" w:rsidRDefault="002B2455" w:rsidP="00AF39BA">
      <w:pPr>
        <w:pStyle w:val="ListParagraph"/>
        <w:numPr>
          <w:ilvl w:val="1"/>
          <w:numId w:val="26"/>
        </w:numPr>
        <w:autoSpaceDE/>
        <w:autoSpaceDN/>
        <w:adjustRightInd/>
        <w:spacing w:before="0" w:after="160" w:line="256" w:lineRule="auto"/>
        <w:contextualSpacing/>
        <w:rPr>
          <w:rFonts w:cstheme="minorHAnsi"/>
          <w:color w:val="000000" w:themeColor="text1"/>
          <w:sz w:val="20"/>
          <w:szCs w:val="20"/>
        </w:rPr>
      </w:pPr>
      <w:r w:rsidRPr="002B2455">
        <w:rPr>
          <w:rFonts w:cstheme="minorHAnsi"/>
          <w:color w:val="000000" w:themeColor="text1"/>
          <w:sz w:val="20"/>
          <w:szCs w:val="20"/>
        </w:rPr>
        <w:t>Minimum number of employees</w:t>
      </w:r>
    </w:p>
    <w:p w:rsidR="002B2455" w:rsidRPr="002B2455" w:rsidRDefault="002B2455" w:rsidP="00AF39BA">
      <w:pPr>
        <w:pStyle w:val="ListParagraph"/>
        <w:numPr>
          <w:ilvl w:val="1"/>
          <w:numId w:val="26"/>
        </w:numPr>
        <w:autoSpaceDE/>
        <w:autoSpaceDN/>
        <w:adjustRightInd/>
        <w:spacing w:before="0" w:after="160" w:line="256" w:lineRule="auto"/>
        <w:contextualSpacing/>
        <w:rPr>
          <w:rFonts w:cstheme="minorHAnsi"/>
          <w:color w:val="000000" w:themeColor="text1"/>
          <w:sz w:val="20"/>
          <w:szCs w:val="20"/>
        </w:rPr>
      </w:pPr>
      <w:r w:rsidRPr="002B2455">
        <w:rPr>
          <w:rFonts w:cstheme="minorHAnsi"/>
          <w:color w:val="000000" w:themeColor="text1"/>
          <w:sz w:val="20"/>
          <w:szCs w:val="20"/>
        </w:rPr>
        <w:t>Minimum annual revenue</w:t>
      </w:r>
    </w:p>
    <w:p w:rsidR="002B2455" w:rsidRPr="002B2455" w:rsidRDefault="002B2455" w:rsidP="00AF39BA">
      <w:pPr>
        <w:pStyle w:val="ListParagraph"/>
        <w:numPr>
          <w:ilvl w:val="1"/>
          <w:numId w:val="26"/>
        </w:numPr>
        <w:autoSpaceDE/>
        <w:autoSpaceDN/>
        <w:adjustRightInd/>
        <w:spacing w:before="0" w:after="160" w:line="256" w:lineRule="auto"/>
        <w:contextualSpacing/>
        <w:rPr>
          <w:rFonts w:cstheme="minorHAnsi"/>
          <w:color w:val="000000" w:themeColor="text1"/>
          <w:sz w:val="20"/>
          <w:szCs w:val="20"/>
        </w:rPr>
      </w:pPr>
      <w:r w:rsidRPr="002B2455">
        <w:rPr>
          <w:rFonts w:cstheme="minorHAnsi"/>
          <w:color w:val="000000" w:themeColor="text1"/>
          <w:sz w:val="20"/>
          <w:szCs w:val="20"/>
        </w:rPr>
        <w:t>Business case for capacity building support</w:t>
      </w:r>
    </w:p>
    <w:p w:rsidR="002B2455" w:rsidRPr="002B2455" w:rsidRDefault="002B2455" w:rsidP="00AF39BA">
      <w:pPr>
        <w:numPr>
          <w:ilvl w:val="0"/>
          <w:numId w:val="29"/>
        </w:numPr>
        <w:spacing w:before="0" w:after="60" w:line="259" w:lineRule="auto"/>
        <w:rPr>
          <w:color w:val="000000" w:themeColor="text1"/>
          <w:szCs w:val="20"/>
        </w:rPr>
      </w:pPr>
      <w:r w:rsidRPr="002B2455">
        <w:rPr>
          <w:color w:val="000000" w:themeColor="text1"/>
          <w:szCs w:val="20"/>
        </w:rPr>
        <w:t>Sponsor market “tours” / learning programs for select high performing business leaders across industries in target foreign markets (e.g., Germany, Israel) focused on helping them gain a general introduction to market opportunities and dynamics</w:t>
      </w:r>
    </w:p>
    <w:p w:rsidR="002B2455" w:rsidRPr="002B2455" w:rsidRDefault="002B2455" w:rsidP="00AF39BA">
      <w:pPr>
        <w:numPr>
          <w:ilvl w:val="0"/>
          <w:numId w:val="29"/>
        </w:numPr>
        <w:spacing w:before="0" w:after="60" w:line="259" w:lineRule="auto"/>
        <w:rPr>
          <w:color w:val="000000" w:themeColor="text1"/>
          <w:szCs w:val="20"/>
        </w:rPr>
      </w:pPr>
      <w:r w:rsidRPr="002B2455">
        <w:rPr>
          <w:color w:val="000000" w:themeColor="text1"/>
          <w:szCs w:val="20"/>
        </w:rPr>
        <w:t>Set up short-term internship programs for current or rising senior executives in high potential Georgian SMEs to help them gain exposure to global markets, working with business association (e.g., Chambers of Commerce, etc.) in target foreign markets</w:t>
      </w:r>
    </w:p>
    <w:p w:rsidR="002B2455" w:rsidRPr="001447C2" w:rsidRDefault="002B2455" w:rsidP="00AF39BA">
      <w:pPr>
        <w:numPr>
          <w:ilvl w:val="0"/>
          <w:numId w:val="29"/>
        </w:numPr>
        <w:spacing w:before="0" w:after="160" w:line="259" w:lineRule="auto"/>
      </w:pPr>
      <w:r w:rsidRPr="002B2455">
        <w:rPr>
          <w:color w:val="000000" w:themeColor="text1"/>
          <w:szCs w:val="20"/>
        </w:rPr>
        <w:t>Evaluate the business case to expand the EBRD SME consultancy program</w:t>
      </w:r>
      <w:r w:rsidRPr="002B2455">
        <w:rPr>
          <w:color w:val="000000" w:themeColor="text1"/>
        </w:rPr>
        <w:t xml:space="preserve"> </w:t>
      </w:r>
      <w:r w:rsidRPr="001447C2">
        <w:t>to identify high performing SMEs and help them access consultants who can help them navigate target external markets</w:t>
      </w:r>
    </w:p>
    <w:p w:rsidR="002B2455" w:rsidRPr="001447C2" w:rsidRDefault="002B2455" w:rsidP="002B2455">
      <w:pPr>
        <w:spacing w:after="160" w:line="259" w:lineRule="auto"/>
        <w:rPr>
          <w:b/>
        </w:rPr>
      </w:pPr>
      <w:r w:rsidRPr="001447C2">
        <w:rPr>
          <w:b/>
        </w:rPr>
        <w:t>Objective: Encourage global companies to procure from and invest in the development of local businesses</w:t>
      </w:r>
    </w:p>
    <w:p w:rsidR="002B2455" w:rsidRPr="001447C2" w:rsidRDefault="002B2455" w:rsidP="00AF39BA">
      <w:pPr>
        <w:numPr>
          <w:ilvl w:val="0"/>
          <w:numId w:val="29"/>
        </w:numPr>
        <w:spacing w:before="0" w:after="60" w:line="259" w:lineRule="auto"/>
      </w:pPr>
      <w:r w:rsidRPr="001447C2">
        <w:t>Hold industry events to showcase local companies positioned to supply global companies in target sectors, determined based on the profile of new and existing foreign investors</w:t>
      </w:r>
    </w:p>
    <w:p w:rsidR="002B2455" w:rsidRPr="001447C2" w:rsidRDefault="002B2455" w:rsidP="00AF39BA">
      <w:pPr>
        <w:numPr>
          <w:ilvl w:val="0"/>
          <w:numId w:val="29"/>
        </w:numPr>
        <w:spacing w:before="0" w:after="60" w:line="259" w:lineRule="auto"/>
      </w:pPr>
      <w:r w:rsidRPr="001447C2">
        <w:t>Organize business development workshops targeting current and potential local suppliers to global companies, integrating training on how innovation (e.g., product, customer service) can better position them to secure business</w:t>
      </w:r>
    </w:p>
    <w:p w:rsidR="002B2455" w:rsidRPr="001447C2" w:rsidRDefault="002B2455" w:rsidP="00AF39BA">
      <w:pPr>
        <w:numPr>
          <w:ilvl w:val="0"/>
          <w:numId w:val="29"/>
        </w:numPr>
        <w:spacing w:before="0" w:after="60" w:line="259" w:lineRule="auto"/>
      </w:pPr>
      <w:r w:rsidRPr="001447C2">
        <w:t xml:space="preserve">Conduct a study of the viability and benefits of </w:t>
      </w:r>
      <w:r>
        <w:t xml:space="preserve">regulatory, tax or other </w:t>
      </w:r>
      <w:r w:rsidRPr="001447C2">
        <w:t xml:space="preserve">policy incentives to encourage </w:t>
      </w:r>
      <w:r>
        <w:t>businesses to procure from local suppliers</w:t>
      </w:r>
      <w:r w:rsidRPr="001447C2">
        <w:t>, based on the state of development and needs of specific industry (e.g., local content requirements, etc.)</w:t>
      </w:r>
    </w:p>
    <w:p w:rsidR="002B2455" w:rsidRPr="001447C2" w:rsidRDefault="002B2455" w:rsidP="00AF39BA">
      <w:pPr>
        <w:numPr>
          <w:ilvl w:val="0"/>
          <w:numId w:val="29"/>
        </w:numPr>
        <w:spacing w:before="0" w:after="160" w:line="259" w:lineRule="auto"/>
      </w:pPr>
      <w:r w:rsidRPr="001447C2">
        <w:t>Re-orient rural development programs to focus on identifying and supporting a limited set of high performing / high potential local ventures based on industry need and with strong backward linkages to local agricultural producers</w:t>
      </w:r>
    </w:p>
    <w:p w:rsidR="002B2455" w:rsidRPr="001447C2" w:rsidRDefault="002B2455" w:rsidP="002B2455">
      <w:pPr>
        <w:spacing w:after="160" w:line="259" w:lineRule="auto"/>
        <w:rPr>
          <w:b/>
        </w:rPr>
      </w:pPr>
      <w:r w:rsidRPr="001447C2">
        <w:rPr>
          <w:b/>
        </w:rPr>
        <w:t xml:space="preserve">Objective: </w:t>
      </w:r>
      <w:r>
        <w:rPr>
          <w:b/>
        </w:rPr>
        <w:t>Facilitate</w:t>
      </w:r>
      <w:r w:rsidRPr="001447C2">
        <w:rPr>
          <w:b/>
        </w:rPr>
        <w:t xml:space="preserve"> industry knowledge exchange an</w:t>
      </w:r>
      <w:r>
        <w:rPr>
          <w:b/>
        </w:rPr>
        <w:t>d collaboration (by developing anchor</w:t>
      </w:r>
      <w:r w:rsidRPr="001447C2">
        <w:rPr>
          <w:b/>
        </w:rPr>
        <w:t xml:space="preserve"> institutions)</w:t>
      </w:r>
    </w:p>
    <w:p w:rsidR="002B2455" w:rsidRPr="001447C2" w:rsidRDefault="002B2455" w:rsidP="00AF39BA">
      <w:pPr>
        <w:numPr>
          <w:ilvl w:val="0"/>
          <w:numId w:val="29"/>
        </w:numPr>
        <w:spacing w:before="0" w:after="60" w:line="259" w:lineRule="auto"/>
      </w:pPr>
      <w:r w:rsidRPr="001447C2">
        <w:t xml:space="preserve">Work with the Georgian Agrarian University to develop a rural extension program with </w:t>
      </w:r>
      <w:r>
        <w:t>a regional</w:t>
      </w:r>
      <w:r w:rsidRPr="001447C2">
        <w:t>, global, or EU partner to provide research and hands on learning experiences, working with local food processing and agricultural businesses to define location and focus</w:t>
      </w:r>
    </w:p>
    <w:p w:rsidR="002B2455" w:rsidRPr="001447C2" w:rsidRDefault="002B2455" w:rsidP="00AF39BA">
      <w:pPr>
        <w:numPr>
          <w:ilvl w:val="0"/>
          <w:numId w:val="29"/>
        </w:numPr>
        <w:spacing w:before="0" w:after="60" w:line="259" w:lineRule="auto"/>
      </w:pPr>
      <w:r w:rsidRPr="001447C2">
        <w:t>Attract a world class higher education institution in industrial design and production to launch a degree program in Georgia, working with existing local industry and external market leaders to define priority degrees / concentrations (e.g., Georgia Institute of Technology, Aalto University School of Arts, Design and Architecture)</w:t>
      </w:r>
    </w:p>
    <w:p w:rsidR="002B2455" w:rsidRDefault="002B2455" w:rsidP="00AF39BA">
      <w:pPr>
        <w:numPr>
          <w:ilvl w:val="0"/>
          <w:numId w:val="29"/>
        </w:numPr>
        <w:spacing w:before="0" w:after="60" w:line="259" w:lineRule="auto"/>
      </w:pPr>
      <w:r w:rsidRPr="001447C2">
        <w:t>Consult with domestic and external industry leaders in food and beverage production and target categories of high value manufacturing to identify other high priority institutions</w:t>
      </w:r>
      <w:r>
        <w:t xml:space="preserve"> </w:t>
      </w:r>
      <w:r w:rsidRPr="001447C2">
        <w:t>to serve the industry</w:t>
      </w:r>
      <w:r>
        <w:t xml:space="preserve"> (e.g., testing labs, training institutes, other shared infrastructure, etc.)</w:t>
      </w:r>
    </w:p>
    <w:p w:rsidR="002B2455" w:rsidRPr="001447C2" w:rsidRDefault="002B2455" w:rsidP="00AF39BA">
      <w:pPr>
        <w:numPr>
          <w:ilvl w:val="0"/>
          <w:numId w:val="29"/>
        </w:numPr>
        <w:spacing w:before="0" w:after="60" w:line="259" w:lineRule="auto"/>
      </w:pPr>
      <w:r w:rsidRPr="001447C2">
        <w:t>Organize an advisory group of business leaders from across design and manufacturing industries to identify opportunities to support and strengthen industry synergies</w:t>
      </w:r>
    </w:p>
    <w:p w:rsidR="002B2455" w:rsidRDefault="002B2455" w:rsidP="002B2455">
      <w:pPr>
        <w:spacing w:after="160" w:line="259" w:lineRule="auto"/>
        <w:rPr>
          <w:b/>
        </w:rPr>
      </w:pPr>
    </w:p>
    <w:p w:rsidR="002B2455" w:rsidRPr="001447C2" w:rsidRDefault="002B2455" w:rsidP="002B2455">
      <w:pPr>
        <w:spacing w:after="160" w:line="259" w:lineRule="auto"/>
      </w:pPr>
    </w:p>
    <w:p w:rsidR="002B2455" w:rsidRPr="002B2455" w:rsidRDefault="002B2455" w:rsidP="004350AC">
      <w:pPr>
        <w:pStyle w:val="Heading2"/>
        <w:rPr>
          <w:rFonts w:eastAsiaTheme="majorEastAsia"/>
        </w:rPr>
      </w:pPr>
      <w:bookmarkStart w:id="42" w:name="_Toc535608379"/>
      <w:r w:rsidRPr="001447C2">
        <w:rPr>
          <w:rFonts w:eastAsiaTheme="majorEastAsia"/>
        </w:rPr>
        <w:t>Building foundational innovation assets</w:t>
      </w:r>
      <w:bookmarkEnd w:id="42"/>
    </w:p>
    <w:p w:rsidR="002B2455" w:rsidRPr="001447C2" w:rsidRDefault="002B2455" w:rsidP="002B2455">
      <w:pPr>
        <w:pStyle w:val="Heading4"/>
        <w:rPr>
          <w:rFonts w:eastAsiaTheme="majorEastAsia"/>
        </w:rPr>
      </w:pPr>
      <w:r>
        <w:rPr>
          <w:rFonts w:eastAsiaTheme="majorEastAsia"/>
        </w:rPr>
        <w:t>Prepare the talent pipeline</w:t>
      </w:r>
    </w:p>
    <w:p w:rsidR="002B2455" w:rsidRPr="001447C2" w:rsidRDefault="002B2455" w:rsidP="002B2455">
      <w:pPr>
        <w:spacing w:after="160" w:line="259" w:lineRule="auto"/>
      </w:pPr>
      <w:r w:rsidRPr="001447C2">
        <w:t>Enhancing Georgia’s innovation talent pool has both immediate and longer-term aims:  Short term priorities should be to invest in vocational and higher education training programs and targeted recruitment platforms – defined and led by industry – to serve priority segments in high value manufacturing and industrial design to serve Georgia’s existing growth-oriented businesses and those it aims to attract within the segment. In parallel, it must take steps to upgrade basic education with an emphasis on STEAM subjects, and bring creativity, critical thinking, and applied learning into the classroom.</w:t>
      </w:r>
    </w:p>
    <w:p w:rsidR="002B2455" w:rsidRPr="001447C2" w:rsidRDefault="002B2455" w:rsidP="002B2455">
      <w:pPr>
        <w:spacing w:after="160" w:line="259" w:lineRule="auto"/>
        <w:rPr>
          <w:b/>
        </w:rPr>
      </w:pPr>
      <w:r w:rsidRPr="001447C2">
        <w:rPr>
          <w:b/>
        </w:rPr>
        <w:t>Objective: Attract students, employees and other unemployed adults into technical and vocational education and training (TVET) programs aligned with industry needs that put them on track to employment</w:t>
      </w:r>
    </w:p>
    <w:p w:rsidR="002B2455" w:rsidRPr="001447C2" w:rsidRDefault="002B2455" w:rsidP="00AF39BA">
      <w:pPr>
        <w:numPr>
          <w:ilvl w:val="0"/>
          <w:numId w:val="29"/>
        </w:numPr>
        <w:spacing w:before="0" w:after="60" w:line="259" w:lineRule="auto"/>
      </w:pPr>
      <w:r w:rsidRPr="001447C2">
        <w:t>Align vocational programs and adult learning programs to industry needs and clear employment opportunities to encourage enrollment</w:t>
      </w:r>
    </w:p>
    <w:p w:rsidR="002B2455" w:rsidRPr="001447C2" w:rsidRDefault="002B2455" w:rsidP="00AF39BA">
      <w:pPr>
        <w:numPr>
          <w:ilvl w:val="0"/>
          <w:numId w:val="29"/>
        </w:numPr>
        <w:spacing w:before="0" w:after="60" w:line="259" w:lineRule="auto"/>
      </w:pPr>
      <w:r w:rsidRPr="001447C2">
        <w:t>Identify businesses partners in target industry areas to co-invest in TVET program upgrading, including increasing access to equipment, field experts, and contributing to content reform</w:t>
      </w:r>
    </w:p>
    <w:p w:rsidR="002B2455" w:rsidRPr="001447C2" w:rsidRDefault="002B2455" w:rsidP="00AF39BA">
      <w:pPr>
        <w:numPr>
          <w:ilvl w:val="0"/>
          <w:numId w:val="29"/>
        </w:numPr>
        <w:spacing w:before="0" w:after="60" w:line="259" w:lineRule="auto"/>
      </w:pPr>
      <w:r w:rsidRPr="001447C2">
        <w:t>Create incentive programs targeting potential students and employers to encourage enrollment in vocational skills programs (e.g. tuition reimbursements, deferred military service)</w:t>
      </w:r>
      <w:r w:rsidRPr="001447C2">
        <w:rPr>
          <w:vertAlign w:val="superscript"/>
        </w:rPr>
        <w:footnoteReference w:id="32"/>
      </w:r>
    </w:p>
    <w:p w:rsidR="002B2455" w:rsidRPr="001447C2" w:rsidRDefault="002B2455" w:rsidP="00AF39BA">
      <w:pPr>
        <w:numPr>
          <w:ilvl w:val="0"/>
          <w:numId w:val="29"/>
        </w:numPr>
        <w:spacing w:before="0" w:after="60" w:line="259" w:lineRule="auto"/>
      </w:pPr>
      <w:r w:rsidRPr="001447C2">
        <w:t>Work with target industries to standardize and update certification and credentialing programs and a regular (e.g., annual) basis (e.g. industrial design, precision metal works etc.)</w:t>
      </w:r>
    </w:p>
    <w:p w:rsidR="002B2455" w:rsidRPr="001447C2" w:rsidRDefault="002B2455" w:rsidP="00AF39BA">
      <w:pPr>
        <w:numPr>
          <w:ilvl w:val="0"/>
          <w:numId w:val="29"/>
        </w:numPr>
        <w:spacing w:before="0" w:after="160" w:line="259" w:lineRule="auto"/>
      </w:pPr>
      <w:r w:rsidRPr="001447C2">
        <w:t xml:space="preserve">Partner with community and regional innovation centers to set up commercial training centers for specific technical needs which offer businesses an opportunity to contribute instructors and software for digital, ICT, and other technical skill upgrading </w:t>
      </w:r>
    </w:p>
    <w:p w:rsidR="002B2455" w:rsidRPr="001447C2" w:rsidRDefault="002B2455" w:rsidP="002B2455">
      <w:pPr>
        <w:spacing w:after="160" w:line="259" w:lineRule="auto"/>
        <w:rPr>
          <w:b/>
        </w:rPr>
      </w:pPr>
      <w:r w:rsidRPr="001447C2">
        <w:rPr>
          <w:b/>
        </w:rPr>
        <w:t>Objective: Create access to globally competitive higher education degree programs in high tech industries aligned to domestic industry needs</w:t>
      </w:r>
    </w:p>
    <w:p w:rsidR="002B2455" w:rsidRPr="001447C2" w:rsidRDefault="002B2455" w:rsidP="00AF39BA">
      <w:pPr>
        <w:numPr>
          <w:ilvl w:val="0"/>
          <w:numId w:val="29"/>
        </w:numPr>
        <w:spacing w:before="0" w:after="60" w:line="259" w:lineRule="auto"/>
      </w:pPr>
      <w:r w:rsidRPr="001447C2">
        <w:t>Establish partnerships with a limited set of international university programs to offer Georgian students access to world class degree programs in priority high-tech subjects, including advanced manufacturing, industrial design and related technologies (e.g., robotics, quantum engineering, etc.,) through streamlined application processes, exchange programs, etc.</w:t>
      </w:r>
    </w:p>
    <w:p w:rsidR="002B2455" w:rsidRPr="001447C2" w:rsidRDefault="002B2455" w:rsidP="00AF39BA">
      <w:pPr>
        <w:numPr>
          <w:ilvl w:val="0"/>
          <w:numId w:val="29"/>
        </w:numPr>
        <w:spacing w:before="0" w:after="60" w:line="259" w:lineRule="auto"/>
      </w:pPr>
      <w:r w:rsidRPr="001447C2">
        <w:t xml:space="preserve">Revise financing schemes and develop other incentive programs for Georgian public universities to acquire international program accreditation in a limited set of priority technical industries (e.g., advanced manufacturing, industrial design, robotics, quantum engineering, etc.) </w:t>
      </w:r>
    </w:p>
    <w:p w:rsidR="002B2455" w:rsidRPr="001447C2" w:rsidRDefault="002B2455" w:rsidP="00AF39BA">
      <w:pPr>
        <w:numPr>
          <w:ilvl w:val="0"/>
          <w:numId w:val="29"/>
        </w:numPr>
        <w:spacing w:before="0" w:after="160" w:line="259" w:lineRule="auto"/>
      </w:pPr>
      <w:r w:rsidRPr="001447C2">
        <w:t>Adapt financing and other incentive schemes to encourage local universities to invest in developing, and drive students into higher education programs tied to leader innovation industries</w:t>
      </w:r>
    </w:p>
    <w:p w:rsidR="002B2455" w:rsidRPr="001447C2" w:rsidRDefault="002B2455" w:rsidP="002B2455">
      <w:pPr>
        <w:spacing w:after="160" w:line="259" w:lineRule="auto"/>
        <w:rPr>
          <w:b/>
        </w:rPr>
      </w:pPr>
      <w:r w:rsidRPr="001447C2">
        <w:rPr>
          <w:b/>
        </w:rPr>
        <w:t>Objective: Update primary and secondary education programs to match skills development with industry needs, with a focus on STEAM subjects aligned to the country’s competitive sectors</w:t>
      </w:r>
    </w:p>
    <w:p w:rsidR="002B2455" w:rsidRPr="001447C2" w:rsidRDefault="002B2455" w:rsidP="00AF39BA">
      <w:pPr>
        <w:numPr>
          <w:ilvl w:val="0"/>
          <w:numId w:val="29"/>
        </w:numPr>
        <w:spacing w:before="0" w:after="60" w:line="259" w:lineRule="auto"/>
      </w:pPr>
      <w:r w:rsidRPr="001447C2">
        <w:t>Sponsor programs to encourage a pipeline of new teachers; potential initiatives may include service programs for high school and college students, overseas teaching scholarships for high potential students, visiting teacher programs, etc.</w:t>
      </w:r>
    </w:p>
    <w:p w:rsidR="002B2455" w:rsidRPr="001447C2" w:rsidRDefault="002B2455" w:rsidP="00AF39BA">
      <w:pPr>
        <w:numPr>
          <w:ilvl w:val="0"/>
          <w:numId w:val="29"/>
        </w:numPr>
        <w:spacing w:before="0" w:after="60" w:line="259" w:lineRule="auto"/>
      </w:pPr>
      <w:r w:rsidRPr="001447C2">
        <w:t>Institute a merit-based compensation scheme that incentivizes qualified teachers to enter the profession and ongoing professional development</w:t>
      </w:r>
    </w:p>
    <w:p w:rsidR="002B2455" w:rsidRPr="001447C2" w:rsidRDefault="002B2455" w:rsidP="00AF39BA">
      <w:pPr>
        <w:numPr>
          <w:ilvl w:val="0"/>
          <w:numId w:val="29"/>
        </w:numPr>
        <w:spacing w:before="0" w:after="60" w:line="259" w:lineRule="auto"/>
      </w:pPr>
      <w:r w:rsidRPr="001447C2">
        <w:t>Work with industry leaders to define a set of curriculum objectives that incorporate digital technologies, collaboration with machines, critical thinking and design</w:t>
      </w:r>
    </w:p>
    <w:p w:rsidR="002B2455" w:rsidRPr="001447C2" w:rsidRDefault="002B2455" w:rsidP="00AF39BA">
      <w:pPr>
        <w:numPr>
          <w:ilvl w:val="0"/>
          <w:numId w:val="29"/>
        </w:numPr>
        <w:spacing w:before="0" w:after="60" w:line="259" w:lineRule="auto"/>
      </w:pPr>
      <w:r w:rsidRPr="001447C2">
        <w:t>Create universal access to computer technology and smart classroom equipment in public schools and work with teachers to integrate digital “blended” learning into standard teaching models</w:t>
      </w:r>
    </w:p>
    <w:p w:rsidR="002B2455" w:rsidRPr="001447C2" w:rsidRDefault="002B2455" w:rsidP="00AF39BA">
      <w:pPr>
        <w:numPr>
          <w:ilvl w:val="0"/>
          <w:numId w:val="29"/>
        </w:numPr>
        <w:spacing w:before="0" w:after="60" w:line="259" w:lineRule="auto"/>
      </w:pPr>
      <w:r w:rsidRPr="001447C2">
        <w:t>Strengthen English and foreign language programming with the goal of helping all students achieve basic written and oral fluency upon graduation, focusing on languages aligned to target markets</w:t>
      </w:r>
    </w:p>
    <w:p w:rsidR="002B2455" w:rsidRPr="001447C2" w:rsidRDefault="002B2455" w:rsidP="00AF39BA">
      <w:pPr>
        <w:numPr>
          <w:ilvl w:val="0"/>
          <w:numId w:val="29"/>
        </w:numPr>
        <w:spacing w:before="0" w:after="60" w:line="259" w:lineRule="auto"/>
      </w:pPr>
      <w:r w:rsidRPr="001447C2">
        <w:t>Adapt student assessments to prioritize performance on critical thinking, collaboration, applied sciences</w:t>
      </w:r>
    </w:p>
    <w:p w:rsidR="002B2455" w:rsidRPr="001447C2" w:rsidRDefault="002B2455" w:rsidP="002B2455">
      <w:pPr>
        <w:spacing w:after="160" w:line="259" w:lineRule="auto"/>
      </w:pPr>
    </w:p>
    <w:p w:rsidR="002B2455" w:rsidRPr="001447C2" w:rsidRDefault="002B2455" w:rsidP="002B2455">
      <w:pPr>
        <w:pStyle w:val="Heading4"/>
        <w:rPr>
          <w:rFonts w:eastAsiaTheme="majorEastAsia"/>
        </w:rPr>
      </w:pPr>
      <w:r w:rsidRPr="001447C2">
        <w:rPr>
          <w:rFonts w:eastAsiaTheme="majorEastAsia"/>
        </w:rPr>
        <w:t>Mainstream digital technology</w:t>
      </w:r>
    </w:p>
    <w:p w:rsidR="002B2455" w:rsidRPr="001447C2" w:rsidRDefault="002B2455" w:rsidP="002B2455">
      <w:pPr>
        <w:spacing w:after="160" w:line="259" w:lineRule="auto"/>
      </w:pPr>
      <w:r w:rsidRPr="001447C2">
        <w:t xml:space="preserve">Georgia needs to increase digital technology uptake and deployment among both individuals and businesses to facilitate more seamless integration with global markets. To do so, 2025 priorities should focus on expanding baseline technology networks, and promoting proliferation of high and emerging tech solutions, engaging government and public services as a driver to push uptake. </w:t>
      </w:r>
    </w:p>
    <w:p w:rsidR="002B2455" w:rsidRPr="001447C2" w:rsidRDefault="002B2455" w:rsidP="002B2455">
      <w:pPr>
        <w:spacing w:after="160" w:line="259" w:lineRule="auto"/>
        <w:rPr>
          <w:b/>
        </w:rPr>
      </w:pPr>
      <w:r w:rsidRPr="001447C2">
        <w:rPr>
          <w:b/>
        </w:rPr>
        <w:t>Objective: Advance technology uptake across Georgian society to create a population capable of understanding and applying basic digital information and communications technology (ICT) to enhance productivity</w:t>
      </w:r>
    </w:p>
    <w:p w:rsidR="002B2455" w:rsidRPr="001447C2" w:rsidRDefault="002B2455" w:rsidP="00AF39BA">
      <w:pPr>
        <w:numPr>
          <w:ilvl w:val="0"/>
          <w:numId w:val="29"/>
        </w:numPr>
        <w:spacing w:before="0" w:after="60" w:line="259" w:lineRule="auto"/>
      </w:pPr>
      <w:r w:rsidRPr="001447C2">
        <w:t>Define a plan to introduce of public facing e-governance services (e.g., health services, etc.), paired with broad access to basic digital training opportunities, to drive universal uptake up to a baseline level of competency and engagement (baseline to be determined)</w:t>
      </w:r>
    </w:p>
    <w:p w:rsidR="002B2455" w:rsidRPr="002D363A" w:rsidRDefault="002B2455" w:rsidP="00AF39BA">
      <w:pPr>
        <w:numPr>
          <w:ilvl w:val="0"/>
          <w:numId w:val="29"/>
        </w:numPr>
        <w:spacing w:before="0" w:after="160" w:line="259" w:lineRule="auto"/>
      </w:pPr>
      <w:bookmarkStart w:id="43" w:name="_Hlk524695545"/>
      <w:r w:rsidRPr="001447C2">
        <w:t>Continue efforts to increase access to broadband throughout the country and improve the quality of connectivity, including efforts to stimulate supply of and demand for broadband (e.g., 100% broadband across the country)</w:t>
      </w:r>
      <w:r w:rsidRPr="002D363A">
        <w:rPr>
          <w:rStyle w:val="FootnoteReference"/>
        </w:rPr>
        <w:footnoteReference w:id="33"/>
      </w:r>
      <w:bookmarkEnd w:id="43"/>
    </w:p>
    <w:p w:rsidR="002B2455" w:rsidRPr="001447C2" w:rsidRDefault="002B2455" w:rsidP="002B2455">
      <w:pPr>
        <w:spacing w:after="160" w:line="259" w:lineRule="auto"/>
        <w:rPr>
          <w:b/>
        </w:rPr>
      </w:pPr>
      <w:r w:rsidRPr="001447C2">
        <w:rPr>
          <w:b/>
        </w:rPr>
        <w:t>Objective: Support local ICT industry development by alleviating workforce bottlenecks</w:t>
      </w:r>
    </w:p>
    <w:p w:rsidR="002B2455" w:rsidRPr="001447C2" w:rsidRDefault="002B2455" w:rsidP="00AF39BA">
      <w:pPr>
        <w:numPr>
          <w:ilvl w:val="0"/>
          <w:numId w:val="29"/>
        </w:numPr>
        <w:spacing w:before="0" w:after="60" w:line="259" w:lineRule="auto"/>
      </w:pPr>
      <w:r w:rsidRPr="001447C2">
        <w:t xml:space="preserve">Co-invest with industry, academia, and civil society leaders in transitional training programs to upskill the existing workforce and create a clear path from university programs into ICT careers, building on existing models operated by members of the ICT industry </w:t>
      </w:r>
    </w:p>
    <w:p w:rsidR="002B2455" w:rsidRPr="001447C2" w:rsidRDefault="002B2455" w:rsidP="00AF39BA">
      <w:pPr>
        <w:numPr>
          <w:ilvl w:val="0"/>
          <w:numId w:val="29"/>
        </w:numPr>
        <w:spacing w:before="0" w:after="60" w:line="259" w:lineRule="auto"/>
      </w:pPr>
      <w:r w:rsidRPr="001447C2">
        <w:t>Develop a targeted scholarship program to provide high-performing high school and university-age students with an interest in entrepreneurial / innovation-oriented career paths in ICT to pursue training abroad</w:t>
      </w:r>
      <w:r>
        <w:t xml:space="preserve"> </w:t>
      </w:r>
    </w:p>
    <w:p w:rsidR="002B2455" w:rsidRPr="001447C2" w:rsidRDefault="002B2455" w:rsidP="00AF39BA">
      <w:pPr>
        <w:numPr>
          <w:ilvl w:val="0"/>
          <w:numId w:val="29"/>
        </w:numPr>
        <w:spacing w:before="0" w:after="160" w:line="259" w:lineRule="auto"/>
      </w:pPr>
      <w:r w:rsidRPr="001447C2">
        <w:t>Attract talent from regional neighbors with strong ICT sectors (e.g., Belarus, Israel, Ukraine) to meet existing workforce needs, through efficient sourcing platforms and targeted marketing initiatives promoting career opportunities, ease of doing business and quality of life</w:t>
      </w:r>
    </w:p>
    <w:p w:rsidR="002B2455" w:rsidRPr="001447C2" w:rsidRDefault="002B2455" w:rsidP="002B2455">
      <w:pPr>
        <w:spacing w:after="160" w:line="259" w:lineRule="auto"/>
        <w:rPr>
          <w:b/>
        </w:rPr>
      </w:pPr>
      <w:r w:rsidRPr="001447C2">
        <w:rPr>
          <w:b/>
        </w:rPr>
        <w:t>Objective: Engage government digital innovation initiatives to model technology use cases, support business uptake and serve the broader innovation agenda</w:t>
      </w:r>
    </w:p>
    <w:p w:rsidR="002B2455" w:rsidRPr="001447C2" w:rsidRDefault="002B2455" w:rsidP="00AF39BA">
      <w:pPr>
        <w:numPr>
          <w:ilvl w:val="0"/>
          <w:numId w:val="29"/>
        </w:numPr>
        <w:spacing w:before="0" w:after="60" w:line="259" w:lineRule="auto"/>
      </w:pPr>
      <w:r w:rsidRPr="001447C2">
        <w:t>Filter and prioritize government innovation initiatives based on a limited set of criteria, among them including: 1) Potential to improve the overall business environment; 2) Potential for social impact; 3) Potential for regional and global differentiation; 4) Potential to pioneer and solve domestic / global business challenges; 5) Transferability to the private sector</w:t>
      </w:r>
    </w:p>
    <w:p w:rsidR="002B2455" w:rsidRPr="001447C2" w:rsidRDefault="002B2455" w:rsidP="00AF39BA">
      <w:pPr>
        <w:numPr>
          <w:ilvl w:val="0"/>
          <w:numId w:val="29"/>
        </w:numPr>
        <w:spacing w:before="0" w:after="60" w:line="259" w:lineRule="auto"/>
      </w:pPr>
      <w:r w:rsidRPr="001447C2">
        <w:t>Define a central agency or unit to define a vision for government innovation, oversee its implementation and serve as the main point of contact for external partners</w:t>
      </w:r>
    </w:p>
    <w:p w:rsidR="002B2455" w:rsidRPr="001447C2" w:rsidRDefault="002B2455" w:rsidP="00AF39BA">
      <w:pPr>
        <w:numPr>
          <w:ilvl w:val="0"/>
          <w:numId w:val="29"/>
        </w:numPr>
        <w:spacing w:before="0" w:after="60" w:line="259" w:lineRule="auto"/>
      </w:pPr>
      <w:r w:rsidRPr="001447C2">
        <w:t>Create incentives for public-private partnerships on ICT-focused government innovation projects (e.g., through individual performance metrics, procurement standards, etc.)</w:t>
      </w:r>
    </w:p>
    <w:p w:rsidR="002B2455" w:rsidRPr="001447C2" w:rsidRDefault="002B2455" w:rsidP="00AF39BA">
      <w:pPr>
        <w:numPr>
          <w:ilvl w:val="0"/>
          <w:numId w:val="29"/>
        </w:numPr>
        <w:spacing w:before="0" w:after="60" w:line="259" w:lineRule="auto"/>
      </w:pPr>
      <w:r w:rsidRPr="001447C2">
        <w:t>Establish regular platforms to showcase how government engages ICT and related innovations to the private sector, with the aim to drive knowledge exchange and government-to-business technology transfer</w:t>
      </w:r>
    </w:p>
    <w:p w:rsidR="002B2455" w:rsidRPr="001447C2" w:rsidRDefault="002B2455" w:rsidP="002B2455">
      <w:pPr>
        <w:spacing w:after="60" w:line="259" w:lineRule="auto"/>
        <w:ind w:left="720"/>
      </w:pPr>
    </w:p>
    <w:p w:rsidR="002B2455" w:rsidRPr="001447C2" w:rsidRDefault="002B2455" w:rsidP="002B2455">
      <w:pPr>
        <w:pStyle w:val="Heading4"/>
        <w:rPr>
          <w:rFonts w:eastAsiaTheme="majorEastAsia"/>
        </w:rPr>
      </w:pPr>
      <w:r w:rsidRPr="001447C2">
        <w:rPr>
          <w:rFonts w:eastAsiaTheme="majorEastAsia"/>
        </w:rPr>
        <w:t>Expand access to finance</w:t>
      </w:r>
    </w:p>
    <w:p w:rsidR="002B2455" w:rsidRPr="001447C2" w:rsidRDefault="002B2455" w:rsidP="002B2455">
      <w:pPr>
        <w:spacing w:after="160" w:line="259" w:lineRule="auto"/>
      </w:pPr>
      <w:r w:rsidRPr="001447C2">
        <w:t xml:space="preserve">Businesses – including start-ups and established companies alike – face challenges gaining access to affordable capital for innovative ventures, largely attributed to notable gaps in private equity and other forms of growth financing and risk capital that force businesses to rely on banks (e.g., angel investors, venture capital, etc.). Some programs have sought to address these gaps by improving the affordability of debt financing with some success, including Enterprise Georgia’s small business financing programs. The focus to 2025 should be on building local capacity in diversified areas of finance and expanding successful programs. </w:t>
      </w:r>
    </w:p>
    <w:p w:rsidR="002B2455" w:rsidRPr="001447C2" w:rsidRDefault="002B2455" w:rsidP="002B2455">
      <w:pPr>
        <w:spacing w:after="160" w:line="259" w:lineRule="auto"/>
        <w:rPr>
          <w:b/>
        </w:rPr>
      </w:pPr>
      <w:r w:rsidRPr="001447C2">
        <w:rPr>
          <w:b/>
        </w:rPr>
        <w:t>Objective: Increase access to affordable debt financing for growth-stage businesses to invest in innovation project and overall business expansion and productivity enhancements</w:t>
      </w:r>
    </w:p>
    <w:p w:rsidR="002B2455" w:rsidRDefault="002B2455" w:rsidP="00AF39BA">
      <w:pPr>
        <w:numPr>
          <w:ilvl w:val="0"/>
          <w:numId w:val="29"/>
        </w:numPr>
        <w:spacing w:before="0" w:after="60" w:line="259" w:lineRule="auto"/>
      </w:pPr>
      <w:r w:rsidRPr="00432800">
        <w:t>Assess demand and resources to expand Enterprise Georgia’s programs to cover the cost of interest for SMEs taking on debt for expansion, technology upgrades and innovation projects, including a robust program analysis to enhance program strategy and execution</w:t>
      </w:r>
    </w:p>
    <w:p w:rsidR="002B2455" w:rsidRPr="00A420B1" w:rsidRDefault="002B2455" w:rsidP="00AF39BA">
      <w:pPr>
        <w:numPr>
          <w:ilvl w:val="0"/>
          <w:numId w:val="29"/>
        </w:numPr>
        <w:spacing w:before="0" w:after="60" w:line="259" w:lineRule="auto"/>
      </w:pPr>
      <w:r w:rsidRPr="001447C2">
        <w:t xml:space="preserve">Set up a collaboration with banks, alternative lenders (e.g., fintech, financing companies, etc.) and donors to develop lower interest rate financing tools for innovation-focused project (e.g., </w:t>
      </w:r>
      <w:r w:rsidRPr="00A420B1">
        <w:t>guarantee structures, movable collateral lending tools, etc.)</w:t>
      </w:r>
    </w:p>
    <w:p w:rsidR="002B2455" w:rsidRPr="00A420B1" w:rsidRDefault="002B2455" w:rsidP="00AF39BA">
      <w:pPr>
        <w:numPr>
          <w:ilvl w:val="0"/>
          <w:numId w:val="29"/>
        </w:numPr>
        <w:spacing w:before="0" w:after="60" w:line="259" w:lineRule="auto"/>
      </w:pPr>
      <w:r w:rsidRPr="00A420B1">
        <w:t>Develop and deliver regular a blended learning (offline courses with supporting online training) to train businesses in fundamentals of business plan development and financial accounting, using innovation centers as locations for periodic in—person / offline training)</w:t>
      </w:r>
    </w:p>
    <w:p w:rsidR="002B2455" w:rsidRPr="005A1E1B" w:rsidRDefault="002B2455" w:rsidP="00AF39BA">
      <w:pPr>
        <w:numPr>
          <w:ilvl w:val="0"/>
          <w:numId w:val="29"/>
        </w:numPr>
        <w:spacing w:before="0" w:after="160" w:line="259" w:lineRule="auto"/>
      </w:pPr>
      <w:r w:rsidRPr="001447C2">
        <w:t>Research opportunities and the respective business case to introduce greater competition into the credit market to drive innovation around access to affordable financial products</w:t>
      </w:r>
      <w:r>
        <w:t>.</w:t>
      </w:r>
      <w:r w:rsidRPr="002D363A">
        <w:footnoteReference w:id="34"/>
      </w:r>
      <w:r>
        <w:t xml:space="preserve"> Potential interventions could include “open banking” policies and others to facilitate customer movement between banks, or policies to enable new market entrants (e.g., early stage subsidies / tax exemptions, etc.)</w:t>
      </w:r>
      <w:r w:rsidRPr="002D363A">
        <w:rPr>
          <w:rStyle w:val="FootnoteReference"/>
        </w:rPr>
        <w:footnoteReference w:id="35"/>
      </w:r>
    </w:p>
    <w:p w:rsidR="002B2455" w:rsidRPr="001447C2" w:rsidRDefault="002B2455" w:rsidP="002B2455">
      <w:pPr>
        <w:spacing w:after="160" w:line="259" w:lineRule="auto"/>
        <w:rPr>
          <w:b/>
        </w:rPr>
      </w:pPr>
      <w:r w:rsidRPr="001447C2">
        <w:rPr>
          <w:b/>
        </w:rPr>
        <w:t xml:space="preserve">Objective: Stimulate the local market for private equity, long-term debt instruments and other tradable securities </w:t>
      </w:r>
    </w:p>
    <w:p w:rsidR="002B2455" w:rsidRPr="001447C2" w:rsidRDefault="002B2455" w:rsidP="00AF39BA">
      <w:pPr>
        <w:numPr>
          <w:ilvl w:val="0"/>
          <w:numId w:val="29"/>
        </w:numPr>
        <w:spacing w:before="0" w:after="60" w:line="259" w:lineRule="auto"/>
      </w:pPr>
      <w:r>
        <w:t>Establish</w:t>
      </w:r>
      <w:r w:rsidRPr="001447C2">
        <w:t xml:space="preserve"> a cross-sector private equity advisory group </w:t>
      </w:r>
      <w:r>
        <w:t xml:space="preserve">with official (government-recognized) status </w:t>
      </w:r>
      <w:r w:rsidRPr="001447C2">
        <w:t>to guide and champion the introduction of private equity and long-term debt instruments in the Georgian market</w:t>
      </w:r>
    </w:p>
    <w:p w:rsidR="002B2455" w:rsidRPr="001447C2" w:rsidRDefault="002B2455" w:rsidP="00AF39BA">
      <w:pPr>
        <w:numPr>
          <w:ilvl w:val="0"/>
          <w:numId w:val="29"/>
        </w:numPr>
        <w:spacing w:before="0" w:after="60" w:line="259" w:lineRule="auto"/>
      </w:pPr>
      <w:r w:rsidRPr="001447C2">
        <w:t>Invest in training for current and potential providers of private equity financing (e.g., fund managers, financial intermediaries, potential angel investors, etc.) on products and implementation strategies to introduce private equity into the Georgian market</w:t>
      </w:r>
    </w:p>
    <w:p w:rsidR="002B2455" w:rsidRDefault="002B2455" w:rsidP="00AF39BA">
      <w:pPr>
        <w:numPr>
          <w:ilvl w:val="0"/>
          <w:numId w:val="29"/>
        </w:numPr>
        <w:spacing w:before="0" w:after="60" w:line="259" w:lineRule="auto"/>
      </w:pPr>
      <w:r w:rsidRPr="001447C2">
        <w:t>Evaluate the business case for a co-financing / risk-sharing program to attract external venture capital and private equity funds to Georgia</w:t>
      </w:r>
      <w:r w:rsidRPr="002D363A">
        <w:rPr>
          <w:rStyle w:val="FootnoteReference"/>
        </w:rPr>
        <w:footnoteReference w:id="36"/>
      </w:r>
    </w:p>
    <w:p w:rsidR="002B2455" w:rsidRPr="002B2455" w:rsidRDefault="002B2455" w:rsidP="00AF39BA">
      <w:pPr>
        <w:numPr>
          <w:ilvl w:val="0"/>
          <w:numId w:val="29"/>
        </w:numPr>
        <w:spacing w:before="0" w:after="60" w:line="259" w:lineRule="auto"/>
        <w:rPr>
          <w:color w:val="000000" w:themeColor="text1"/>
          <w:szCs w:val="20"/>
        </w:rPr>
      </w:pPr>
      <w:r>
        <w:t xml:space="preserve">Develop an incentives package to attract equity investors into the Georgian market, including benefits such as the </w:t>
      </w:r>
      <w:r w:rsidRPr="002B2455">
        <w:rPr>
          <w:color w:val="000000" w:themeColor="text1"/>
          <w:szCs w:val="20"/>
        </w:rPr>
        <w:t>following:</w:t>
      </w:r>
    </w:p>
    <w:p w:rsidR="002B2455" w:rsidRPr="002B2455" w:rsidRDefault="002B2455" w:rsidP="00AF39BA">
      <w:pPr>
        <w:pStyle w:val="ListParagraph"/>
        <w:numPr>
          <w:ilvl w:val="1"/>
          <w:numId w:val="26"/>
        </w:numPr>
        <w:autoSpaceDE/>
        <w:autoSpaceDN/>
        <w:adjustRightInd/>
        <w:spacing w:before="0" w:after="160" w:line="256" w:lineRule="auto"/>
        <w:contextualSpacing/>
        <w:rPr>
          <w:rFonts w:cstheme="minorHAnsi"/>
          <w:color w:val="000000" w:themeColor="text1"/>
          <w:sz w:val="20"/>
          <w:szCs w:val="20"/>
        </w:rPr>
      </w:pPr>
      <w:r w:rsidRPr="002B2455">
        <w:rPr>
          <w:rFonts w:cstheme="minorHAnsi"/>
          <w:color w:val="000000" w:themeColor="text1"/>
          <w:sz w:val="20"/>
          <w:szCs w:val="20"/>
        </w:rPr>
        <w:t>Exemption from personal and / or income taxes on investment dividends</w:t>
      </w:r>
    </w:p>
    <w:p w:rsidR="002B2455" w:rsidRPr="002B2455" w:rsidRDefault="002B2455" w:rsidP="00AF39BA">
      <w:pPr>
        <w:pStyle w:val="ListParagraph"/>
        <w:numPr>
          <w:ilvl w:val="1"/>
          <w:numId w:val="26"/>
        </w:numPr>
        <w:autoSpaceDE/>
        <w:autoSpaceDN/>
        <w:adjustRightInd/>
        <w:spacing w:before="0" w:after="160" w:line="256" w:lineRule="auto"/>
        <w:contextualSpacing/>
        <w:rPr>
          <w:rFonts w:cstheme="minorHAnsi"/>
          <w:color w:val="000000" w:themeColor="text1"/>
          <w:sz w:val="20"/>
          <w:szCs w:val="20"/>
        </w:rPr>
      </w:pPr>
      <w:r w:rsidRPr="002B2455">
        <w:rPr>
          <w:rFonts w:cstheme="minorHAnsi"/>
          <w:color w:val="000000" w:themeColor="text1"/>
          <w:sz w:val="20"/>
          <w:szCs w:val="20"/>
        </w:rPr>
        <w:t>Risk capital guarantee (e.g., government guarantees losses on equity investments up to a total share of the initial investment amount)</w:t>
      </w:r>
    </w:p>
    <w:p w:rsidR="002B2455" w:rsidRPr="002B2455" w:rsidRDefault="002B2455" w:rsidP="00AF39BA">
      <w:pPr>
        <w:pStyle w:val="ListParagraph"/>
        <w:numPr>
          <w:ilvl w:val="1"/>
          <w:numId w:val="26"/>
        </w:numPr>
        <w:autoSpaceDE/>
        <w:autoSpaceDN/>
        <w:adjustRightInd/>
        <w:spacing w:before="0" w:after="160" w:line="256" w:lineRule="auto"/>
        <w:contextualSpacing/>
        <w:rPr>
          <w:rFonts w:cstheme="minorHAnsi"/>
          <w:color w:val="000000" w:themeColor="text1"/>
          <w:sz w:val="20"/>
          <w:szCs w:val="20"/>
        </w:rPr>
      </w:pPr>
      <w:r w:rsidRPr="002B2455">
        <w:rPr>
          <w:rFonts w:cstheme="minorHAnsi"/>
          <w:color w:val="000000" w:themeColor="text1"/>
          <w:sz w:val="20"/>
          <w:szCs w:val="20"/>
        </w:rPr>
        <w:t>Temporary exemption from income taxes for private equity firms that incorporate in Georgia</w:t>
      </w:r>
    </w:p>
    <w:p w:rsidR="002B2455" w:rsidRPr="002B2455" w:rsidRDefault="002B2455" w:rsidP="00AF39BA">
      <w:pPr>
        <w:numPr>
          <w:ilvl w:val="0"/>
          <w:numId w:val="29"/>
        </w:numPr>
        <w:spacing w:before="0" w:after="160" w:line="259" w:lineRule="auto"/>
        <w:rPr>
          <w:color w:val="000000" w:themeColor="text1"/>
          <w:szCs w:val="20"/>
        </w:rPr>
      </w:pPr>
      <w:r w:rsidRPr="002B2455">
        <w:rPr>
          <w:color w:val="000000" w:themeColor="text1"/>
          <w:szCs w:val="20"/>
        </w:rPr>
        <w:t>Assess options and define a strategy to strengthen the market for tradable securities and define a strategy accordingly</w:t>
      </w:r>
    </w:p>
    <w:p w:rsidR="002B2455" w:rsidRPr="001447C2" w:rsidRDefault="002B2455" w:rsidP="002B2455">
      <w:pPr>
        <w:spacing w:after="160" w:line="259" w:lineRule="auto"/>
        <w:rPr>
          <w:b/>
        </w:rPr>
      </w:pPr>
      <w:r w:rsidRPr="001447C2">
        <w:rPr>
          <w:b/>
        </w:rPr>
        <w:t>Objective: Enhance the capability of growth-oriented businesses to access finance for early stage ventures</w:t>
      </w:r>
    </w:p>
    <w:p w:rsidR="002B2455" w:rsidRPr="001447C2" w:rsidRDefault="002B2455" w:rsidP="00AF39BA">
      <w:pPr>
        <w:numPr>
          <w:ilvl w:val="0"/>
          <w:numId w:val="29"/>
        </w:numPr>
        <w:spacing w:before="0" w:after="60" w:line="259" w:lineRule="auto"/>
      </w:pPr>
      <w:r w:rsidRPr="001447C2">
        <w:t xml:space="preserve">Invest in </w:t>
      </w:r>
      <w:r>
        <w:t xml:space="preserve">targeted </w:t>
      </w:r>
      <w:r w:rsidRPr="001447C2">
        <w:t>training for early and growth stage businesses that are potential recipients of private equity finance to build their capacity to receive and manage financing</w:t>
      </w:r>
      <w:r>
        <w:t>, based on stage of growth, business plan and viability, leadership and funding track record.</w:t>
      </w:r>
    </w:p>
    <w:p w:rsidR="002B2455" w:rsidRPr="001447C2" w:rsidRDefault="002B2455" w:rsidP="00AF39BA">
      <w:pPr>
        <w:numPr>
          <w:ilvl w:val="0"/>
          <w:numId w:val="29"/>
        </w:numPr>
        <w:spacing w:before="0" w:after="60" w:line="259" w:lineRule="auto"/>
      </w:pPr>
      <w:r w:rsidRPr="001447C2">
        <w:t xml:space="preserve">Develop and sponsor networking platforms to increase frequency of exchange between growth-stage companies seeking investment and potential investors </w:t>
      </w:r>
    </w:p>
    <w:p w:rsidR="002B2455" w:rsidRPr="001447C2" w:rsidRDefault="002B2455" w:rsidP="002B2455">
      <w:pPr>
        <w:spacing w:after="160" w:line="259" w:lineRule="auto"/>
      </w:pPr>
    </w:p>
    <w:p w:rsidR="002B2455" w:rsidRPr="001447C2" w:rsidRDefault="002B2455" w:rsidP="002B2455">
      <w:pPr>
        <w:pStyle w:val="Heading4"/>
        <w:rPr>
          <w:rFonts w:eastAsiaTheme="majorEastAsia"/>
        </w:rPr>
      </w:pPr>
      <w:r w:rsidRPr="001447C2">
        <w:rPr>
          <w:rFonts w:eastAsiaTheme="majorEastAsia"/>
        </w:rPr>
        <w:t>Enable entrepreneurs and spinoffs</w:t>
      </w:r>
    </w:p>
    <w:p w:rsidR="002B2455" w:rsidRPr="001447C2" w:rsidRDefault="002B2455" w:rsidP="002B2455">
      <w:pPr>
        <w:spacing w:after="160" w:line="259" w:lineRule="auto"/>
      </w:pPr>
      <w:r w:rsidRPr="001447C2">
        <w:t>2025 goals should focus on enabling high potential entrepreneurs, both as a source of innovation and to attract large innovative companies. Support for innovative entrepreneurs and spinoffs in Georgia is highly underdeveloped and to date has been channeled to a limited set of high tech businesses with variable success. Immediate initiatives should focus on providing more tailored programs a smaller network of entrepreneurs meeting a fixed baseline quality threshold, and creating access to mentorship, community, accelerator / incubator through global partnerships</w:t>
      </w:r>
    </w:p>
    <w:p w:rsidR="002B2455" w:rsidRPr="001447C2" w:rsidRDefault="002B2455" w:rsidP="002B2455">
      <w:pPr>
        <w:spacing w:after="160" w:line="259" w:lineRule="auto"/>
        <w:rPr>
          <w:b/>
        </w:rPr>
      </w:pPr>
      <w:r w:rsidRPr="001447C2">
        <w:rPr>
          <w:b/>
        </w:rPr>
        <w:t>Objective: Create access to mentorship and support programs for growth-oriented innovative entrepreneurs</w:t>
      </w:r>
    </w:p>
    <w:p w:rsidR="002B2455" w:rsidRPr="001447C2" w:rsidRDefault="002B2455" w:rsidP="00AF39BA">
      <w:pPr>
        <w:numPr>
          <w:ilvl w:val="0"/>
          <w:numId w:val="29"/>
        </w:numPr>
        <w:spacing w:before="0" w:after="60" w:line="259" w:lineRule="auto"/>
      </w:pPr>
      <w:r w:rsidRPr="001447C2">
        <w:t>Identify and engage business leaders and entrepreneurs in established markets to serve as “stand-by” mentors to local entrepreneurs and facilitate match-making process</w:t>
      </w:r>
    </w:p>
    <w:p w:rsidR="002B2455" w:rsidRPr="001447C2" w:rsidRDefault="002B2455" w:rsidP="00AF39BA">
      <w:pPr>
        <w:numPr>
          <w:ilvl w:val="0"/>
          <w:numId w:val="29"/>
        </w:numPr>
        <w:spacing w:before="0" w:after="160" w:line="259" w:lineRule="auto"/>
      </w:pPr>
      <w:r w:rsidRPr="001447C2">
        <w:t>Establish relationships with incubator and accelerator programs in target markets (e.g., Germany, Israel, USA, UK) to create access for qualified local entrepreneurs at discounted / subsidized costs</w:t>
      </w:r>
      <w:r>
        <w:rPr>
          <w:rStyle w:val="FootnoteReference"/>
        </w:rPr>
        <w:footnoteReference w:id="37"/>
      </w:r>
    </w:p>
    <w:p w:rsidR="002B2455" w:rsidRPr="001447C2" w:rsidRDefault="002B2455" w:rsidP="002B2455">
      <w:pPr>
        <w:spacing w:after="160" w:line="259" w:lineRule="auto"/>
        <w:rPr>
          <w:b/>
        </w:rPr>
      </w:pPr>
      <w:r w:rsidRPr="001447C2">
        <w:rPr>
          <w:b/>
        </w:rPr>
        <w:t>Objective: Strengthen local entrepreneur networks and communities</w:t>
      </w:r>
    </w:p>
    <w:p w:rsidR="002B2455" w:rsidRDefault="002B2455" w:rsidP="00AF39BA">
      <w:pPr>
        <w:numPr>
          <w:ilvl w:val="0"/>
          <w:numId w:val="29"/>
        </w:numPr>
        <w:spacing w:before="0" w:after="60" w:line="259" w:lineRule="auto"/>
      </w:pPr>
      <w:r w:rsidRPr="00AE52E1">
        <w:t xml:space="preserve">Establish "resident innovation entrepreneur" status, whereby non-Georgian / expat entrepreneurs building innovative companies who meet a limited set of </w:t>
      </w:r>
      <w:r w:rsidR="006F7C2A" w:rsidRPr="00AE52E1">
        <w:t>criteria are</w:t>
      </w:r>
      <w:r w:rsidRPr="00AE52E1">
        <w:t xml:space="preserve"> able to qualify for national entrepreneurship / SME / innovation programs, through an application process</w:t>
      </w:r>
      <w:r>
        <w:t xml:space="preserve"> and promote the program in target markets</w:t>
      </w:r>
    </w:p>
    <w:p w:rsidR="00F73192" w:rsidRDefault="00F73192" w:rsidP="00AF39BA">
      <w:pPr>
        <w:numPr>
          <w:ilvl w:val="0"/>
          <w:numId w:val="29"/>
        </w:numPr>
        <w:spacing w:before="0" w:after="60" w:line="259" w:lineRule="auto"/>
      </w:pPr>
      <w:r>
        <w:t>Streamline the process for foreign high-growth entrepreneurs arriving in Georgia to gain access to the local entrepreneur networks and resources, and obtain “resident entrepreneur status” as applicable based on qualifications, potentially by establishing a one-stop-shop “welcoming” platform housed under GITA</w:t>
      </w:r>
    </w:p>
    <w:p w:rsidR="002B2455" w:rsidRPr="001447C2" w:rsidRDefault="002B2455" w:rsidP="00AF39BA">
      <w:pPr>
        <w:numPr>
          <w:ilvl w:val="0"/>
          <w:numId w:val="29"/>
        </w:numPr>
        <w:spacing w:before="0" w:after="60" w:line="259" w:lineRule="auto"/>
      </w:pPr>
      <w:r w:rsidRPr="001447C2">
        <w:t>Sponsor periodic collective experiences abroad for select entrepreneurs, innovators, business leaders, and advocates of the innovation community to expand global market knowledge, increase exposure to functional entrepreneurial ecosystems and strengthen comradery</w:t>
      </w:r>
    </w:p>
    <w:p w:rsidR="002B2455" w:rsidRPr="001447C2" w:rsidRDefault="002B2455" w:rsidP="00AF39BA">
      <w:pPr>
        <w:numPr>
          <w:ilvl w:val="0"/>
          <w:numId w:val="29"/>
        </w:numPr>
        <w:spacing w:before="0" w:after="160" w:line="259" w:lineRule="auto"/>
      </w:pPr>
      <w:r w:rsidRPr="001447C2">
        <w:t>Creating funding pools for entrepreneurship community and networking initiatives and events that can be accessed through an application and / or competitive process</w:t>
      </w:r>
    </w:p>
    <w:p w:rsidR="002B2455" w:rsidRPr="001447C2" w:rsidRDefault="002B2455" w:rsidP="002B2455">
      <w:pPr>
        <w:spacing w:after="160" w:line="259" w:lineRule="auto"/>
        <w:rPr>
          <w:b/>
        </w:rPr>
      </w:pPr>
      <w:r w:rsidRPr="001447C2">
        <w:rPr>
          <w:b/>
        </w:rPr>
        <w:t>Objective: Create access to financing products that drive innovation and excellence</w:t>
      </w:r>
    </w:p>
    <w:p w:rsidR="002B2455" w:rsidRDefault="002B2455" w:rsidP="00AF39BA">
      <w:pPr>
        <w:numPr>
          <w:ilvl w:val="0"/>
          <w:numId w:val="29"/>
        </w:numPr>
        <w:spacing w:before="0" w:after="160" w:line="259" w:lineRule="auto"/>
      </w:pPr>
      <w:r w:rsidRPr="00E636F1">
        <w:t>Expand revolving</w:t>
      </w:r>
      <w:r>
        <w:t xml:space="preserve"> project</w:t>
      </w:r>
      <w:r w:rsidRPr="00E636F1">
        <w:t xml:space="preserve"> microfinancing grants (non-matching) from US$2,000 up to US$5,000</w:t>
      </w:r>
    </w:p>
    <w:p w:rsidR="002B2455" w:rsidRDefault="002B2455" w:rsidP="00AF39BA">
      <w:pPr>
        <w:numPr>
          <w:ilvl w:val="0"/>
          <w:numId w:val="29"/>
        </w:numPr>
        <w:spacing w:before="0" w:after="160" w:line="259" w:lineRule="auto"/>
      </w:pPr>
      <w:r>
        <w:t>A</w:t>
      </w:r>
      <w:r w:rsidRPr="00E636F1">
        <w:t>djust criteria for US$40,000 10% matching grant program to increase emphasis on how projects offer novel ways to serve a clear consumer market, and eliminate minimum quota for grants disbursed annually (award</w:t>
      </w:r>
      <w:r>
        <w:t>s should be based on clear achie</w:t>
      </w:r>
      <w:r w:rsidRPr="00E636F1">
        <w:t>vement of quality standards)</w:t>
      </w:r>
    </w:p>
    <w:p w:rsidR="002B2455" w:rsidRPr="001447C2" w:rsidRDefault="002B2455" w:rsidP="00AF39BA">
      <w:pPr>
        <w:numPr>
          <w:ilvl w:val="0"/>
          <w:numId w:val="29"/>
        </w:numPr>
        <w:spacing w:before="0" w:after="160" w:line="259" w:lineRule="auto"/>
      </w:pPr>
      <w:r w:rsidRPr="001447C2">
        <w:t xml:space="preserve">Develop a flexible range, mid-tier (~US$50,000 – 250,000) matching grant financing mechanism available to innovative entrepreneurs who successfully raise capital </w:t>
      </w:r>
    </w:p>
    <w:p w:rsidR="002B2455" w:rsidRPr="001447C2" w:rsidRDefault="002B2455" w:rsidP="002B2455">
      <w:pPr>
        <w:spacing w:after="160" w:line="259" w:lineRule="auto"/>
        <w:rPr>
          <w:b/>
        </w:rPr>
      </w:pPr>
      <w:r w:rsidRPr="001447C2">
        <w:rPr>
          <w:b/>
        </w:rPr>
        <w:t xml:space="preserve">Objective: Promote a culture that celebrates entrepreneurship and innovation </w:t>
      </w:r>
    </w:p>
    <w:p w:rsidR="002B2455" w:rsidRPr="001447C2" w:rsidRDefault="002B2455" w:rsidP="00AF39BA">
      <w:pPr>
        <w:numPr>
          <w:ilvl w:val="0"/>
          <w:numId w:val="29"/>
        </w:numPr>
        <w:spacing w:before="0" w:after="60" w:line="259" w:lineRule="auto"/>
      </w:pPr>
      <w:r w:rsidRPr="001447C2">
        <w:t>Support public events and campaigns promoting entrepreneurs and intrapreneurs across industries, as well as intersections with the creative industries and fine arts (e.g., annual awards ceremony with press coverage, public awareness campaigns, etc.)</w:t>
      </w:r>
    </w:p>
    <w:p w:rsidR="002B2455" w:rsidRPr="001447C2" w:rsidRDefault="002B2455" w:rsidP="00AF39BA">
      <w:pPr>
        <w:numPr>
          <w:ilvl w:val="0"/>
          <w:numId w:val="29"/>
        </w:numPr>
        <w:spacing w:before="0" w:after="60" w:line="259" w:lineRule="auto"/>
      </w:pPr>
      <w:r w:rsidRPr="001447C2">
        <w:t>Develop and Integrate regular innovation-focused entrepreneurial experiences into public education at the primary and secondary school levels, building on existing science innovation competitions</w:t>
      </w:r>
    </w:p>
    <w:p w:rsidR="002B2455" w:rsidRDefault="002B2455" w:rsidP="00AF39BA">
      <w:pPr>
        <w:numPr>
          <w:ilvl w:val="0"/>
          <w:numId w:val="29"/>
        </w:numPr>
        <w:spacing w:before="0" w:after="160" w:line="259" w:lineRule="auto"/>
      </w:pPr>
      <w:r w:rsidRPr="001447C2">
        <w:t>Better integrate innovation / entrepreneurship programming and infrastructure</w:t>
      </w:r>
      <w:r>
        <w:t xml:space="preserve"> in Tbilisi</w:t>
      </w:r>
      <w:r w:rsidRPr="001447C2">
        <w:t xml:space="preserve"> with the broader community to make it more readily accessible and visible to the public (e.g., consider additional down</w:t>
      </w:r>
      <w:r>
        <w:t>town location for GITA and the T</w:t>
      </w:r>
      <w:r w:rsidRPr="001447C2">
        <w:t>echpark)</w:t>
      </w:r>
    </w:p>
    <w:p w:rsidR="002B2455" w:rsidRPr="00E636F1" w:rsidRDefault="002B2455" w:rsidP="002B2455">
      <w:pPr>
        <w:spacing w:after="160" w:line="259" w:lineRule="auto"/>
        <w:rPr>
          <w:b/>
        </w:rPr>
      </w:pPr>
      <w:r w:rsidRPr="00E636F1">
        <w:rPr>
          <w:b/>
        </w:rPr>
        <w:t>Objective: Market Georgia as a global platform for innovation in target external markets</w:t>
      </w:r>
    </w:p>
    <w:p w:rsidR="002B2455" w:rsidRPr="002B2455" w:rsidRDefault="002B2455" w:rsidP="00AF39BA">
      <w:pPr>
        <w:pStyle w:val="ListParagraph"/>
        <w:numPr>
          <w:ilvl w:val="0"/>
          <w:numId w:val="34"/>
        </w:numPr>
        <w:autoSpaceDE/>
        <w:autoSpaceDN/>
        <w:adjustRightInd/>
        <w:spacing w:before="0" w:after="160" w:line="259" w:lineRule="auto"/>
        <w:contextualSpacing/>
        <w:rPr>
          <w:color w:val="000000" w:themeColor="text1"/>
          <w:sz w:val="20"/>
          <w:szCs w:val="20"/>
        </w:rPr>
      </w:pPr>
      <w:r w:rsidRPr="002B2455">
        <w:rPr>
          <w:color w:val="000000" w:themeColor="text1"/>
          <w:sz w:val="20"/>
          <w:szCs w:val="20"/>
        </w:rPr>
        <w:t>Develop and implement a targeted branding and marketing strategy to promote Georgia as a center / platform for innovation in priority markets where Georgia seeks to attract investment (e.g., Germany, Israel, Netherlands, etc.)</w:t>
      </w:r>
    </w:p>
    <w:p w:rsidR="002B2455" w:rsidRPr="001447C2" w:rsidRDefault="002B2455" w:rsidP="002B2455">
      <w:pPr>
        <w:keepNext/>
        <w:keepLines/>
        <w:spacing w:before="40" w:line="259" w:lineRule="auto"/>
        <w:outlineLvl w:val="1"/>
        <w:rPr>
          <w:rFonts w:asciiTheme="majorHAnsi" w:eastAsiaTheme="majorEastAsia" w:hAnsiTheme="majorHAnsi" w:cstheme="majorBidi"/>
          <w:color w:val="001F50" w:themeColor="accent1" w:themeShade="BF"/>
          <w:sz w:val="26"/>
          <w:szCs w:val="26"/>
        </w:rPr>
      </w:pPr>
    </w:p>
    <w:p w:rsidR="002B2455" w:rsidRPr="001447C2" w:rsidRDefault="002B2455" w:rsidP="002B2455">
      <w:pPr>
        <w:pStyle w:val="Heading4"/>
        <w:rPr>
          <w:rFonts w:eastAsiaTheme="majorEastAsia"/>
        </w:rPr>
      </w:pPr>
      <w:r w:rsidRPr="001447C2">
        <w:rPr>
          <w:rFonts w:eastAsiaTheme="majorEastAsia"/>
        </w:rPr>
        <w:t>Create access to research</w:t>
      </w:r>
    </w:p>
    <w:p w:rsidR="002B2455" w:rsidRPr="001447C2" w:rsidRDefault="002B2455" w:rsidP="002B2455">
      <w:pPr>
        <w:spacing w:after="160" w:line="259" w:lineRule="auto"/>
      </w:pPr>
      <w:r w:rsidRPr="001447C2">
        <w:t>Georgia’s research sector is weak and currently not viewed by the private sector as a source of commercial innovation. Rebuilding this capability requires first positioning Georgia as a viable platform for R&amp;D by helping companies access research support through partnerships, and using that momentum to channel resources and expertise into local research institutions to drive their long-term development.</w:t>
      </w:r>
    </w:p>
    <w:p w:rsidR="002B2455" w:rsidRPr="001447C2" w:rsidRDefault="002B2455" w:rsidP="002B2455">
      <w:pPr>
        <w:spacing w:after="160" w:line="259" w:lineRule="auto"/>
        <w:rPr>
          <w:b/>
        </w:rPr>
      </w:pPr>
      <w:r w:rsidRPr="001447C2">
        <w:rPr>
          <w:b/>
        </w:rPr>
        <w:t>Objective: Focus research priorities on a limited set of objectives aligned to competitive industry needs and Horizon 2020 objectives</w:t>
      </w:r>
    </w:p>
    <w:p w:rsidR="002B2455" w:rsidRPr="001447C2" w:rsidRDefault="002B2455" w:rsidP="00AF39BA">
      <w:pPr>
        <w:numPr>
          <w:ilvl w:val="0"/>
          <w:numId w:val="29"/>
        </w:numPr>
        <w:spacing w:before="0" w:after="60" w:line="259" w:lineRule="auto"/>
      </w:pPr>
      <w:r w:rsidRPr="001447C2">
        <w:t>Filter and prioritize funding areas in applied sciences supporting target industries, aligned with EU Horizon 2020 focus areas (e.g., Industrial leadership – advanced manufacturing; materials &amp; composites; societal issues – environment and natural resources; food), and having strong industry interest and support</w:t>
      </w:r>
    </w:p>
    <w:p w:rsidR="002B2455" w:rsidRPr="001447C2" w:rsidRDefault="002B2455" w:rsidP="00AF39BA">
      <w:pPr>
        <w:numPr>
          <w:ilvl w:val="0"/>
          <w:numId w:val="29"/>
        </w:numPr>
        <w:spacing w:before="0" w:after="160" w:line="259" w:lineRule="auto"/>
      </w:pPr>
      <w:r w:rsidRPr="001447C2">
        <w:t>Sponsor and invest in project calls related to specific product, service, or technology that includes an investment match by a private sector partner and business-academic research collaboration; incorporate the function of helping to broker these deals in research leadership’s functions</w:t>
      </w:r>
    </w:p>
    <w:p w:rsidR="002B2455" w:rsidRPr="001447C2" w:rsidRDefault="002B2455" w:rsidP="002B2455">
      <w:pPr>
        <w:spacing w:after="160" w:line="259" w:lineRule="auto"/>
        <w:rPr>
          <w:b/>
        </w:rPr>
      </w:pPr>
      <w:r w:rsidRPr="001447C2">
        <w:rPr>
          <w:b/>
        </w:rPr>
        <w:t>Objective: Strengthen and expand partnerships with external research institutions</w:t>
      </w:r>
    </w:p>
    <w:p w:rsidR="002B2455" w:rsidRPr="001447C2" w:rsidRDefault="002B2455" w:rsidP="00AF39BA">
      <w:pPr>
        <w:numPr>
          <w:ilvl w:val="0"/>
          <w:numId w:val="29"/>
        </w:numPr>
        <w:spacing w:before="0" w:after="60" w:line="259" w:lineRule="auto"/>
      </w:pPr>
      <w:r w:rsidRPr="001447C2">
        <w:t>Evaluate and filter current research partnerships sponsored through the Rustaveli Foundation and other publicly funded research centers (e.g., public university programs, etc.) to assess the alignment with broader economic and innovation strategy (e.g., strength in areas of science tied to high value manufacturing, industrial design, food and beverage and related technologies; alignment with Horizon 2020 initiatives; etc.)</w:t>
      </w:r>
    </w:p>
    <w:p w:rsidR="002B2455" w:rsidRPr="001447C2" w:rsidRDefault="002B2455" w:rsidP="00AF39BA">
      <w:pPr>
        <w:numPr>
          <w:ilvl w:val="0"/>
          <w:numId w:val="29"/>
        </w:numPr>
        <w:spacing w:before="0" w:after="160" w:line="259" w:lineRule="auto"/>
      </w:pPr>
      <w:r w:rsidRPr="001447C2">
        <w:t>Define a research partnership strategy and associated action plan focused on creating access to world class research centers aligned with globally competitive industries, working in collaboration with industry</w:t>
      </w:r>
    </w:p>
    <w:p w:rsidR="002B2455" w:rsidRPr="001447C2" w:rsidRDefault="002B2455" w:rsidP="002B2455">
      <w:pPr>
        <w:spacing w:after="160" w:line="259" w:lineRule="auto"/>
        <w:rPr>
          <w:b/>
        </w:rPr>
      </w:pPr>
      <w:r w:rsidRPr="001447C2">
        <w:rPr>
          <w:b/>
        </w:rPr>
        <w:t>Objective: Create an enabling environment for cross-sector collaboration in research</w:t>
      </w:r>
    </w:p>
    <w:p w:rsidR="002B2455" w:rsidRPr="001447C2" w:rsidRDefault="002B2455" w:rsidP="00AF39BA">
      <w:pPr>
        <w:numPr>
          <w:ilvl w:val="0"/>
          <w:numId w:val="29"/>
        </w:numPr>
        <w:spacing w:before="0" w:after="60" w:line="259" w:lineRule="auto"/>
      </w:pPr>
      <w:r w:rsidRPr="001447C2">
        <w:t>Adapt</w:t>
      </w:r>
      <w:r>
        <w:t xml:space="preserve"> current law governing research funding</w:t>
      </w:r>
      <w:r w:rsidRPr="001447C2">
        <w:t xml:space="preserve"> to make it possible for government funding to be directed to joint research efforts with the private sector (e.g., allow the private sector to receive funding for research projects if they work in collaboration with an academic institution)</w:t>
      </w:r>
    </w:p>
    <w:p w:rsidR="002B2455" w:rsidRPr="001447C2" w:rsidRDefault="002B2455" w:rsidP="00AF39BA">
      <w:pPr>
        <w:numPr>
          <w:ilvl w:val="0"/>
          <w:numId w:val="29"/>
        </w:numPr>
        <w:spacing w:before="0" w:after="60" w:line="259" w:lineRule="auto"/>
      </w:pPr>
      <w:r w:rsidRPr="001447C2">
        <w:t>Collaborate with existing local businesses to design and develop Competence Centers</w:t>
      </w:r>
      <w:r w:rsidRPr="00101096">
        <w:rPr>
          <w:vertAlign w:val="superscript"/>
        </w:rPr>
        <w:footnoteReference w:id="38"/>
      </w:r>
      <w:r w:rsidRPr="001447C2">
        <w:t xml:space="preserve"> in agronomy, food and beverage production; wine production; and industrial design and manufacturing, in cooperation with local learning institutions and global partners; development should be dependent on co-financing from the private sector, and tied to apprenticeship or job preparation programs</w:t>
      </w:r>
    </w:p>
    <w:p w:rsidR="002B2455" w:rsidRPr="001447C2" w:rsidRDefault="002B2455" w:rsidP="00AF39BA">
      <w:pPr>
        <w:numPr>
          <w:ilvl w:val="0"/>
          <w:numId w:val="29"/>
        </w:numPr>
        <w:spacing w:before="0" w:after="160" w:line="259" w:lineRule="auto"/>
      </w:pPr>
      <w:r w:rsidRPr="001447C2">
        <w:t>Implement voucher program for innovation collaboration building on EU / OECD models (e.g., 4,000-5,000 euro vouchers for prototyping, researching, etc.), which can initially be used for business-business joint projects, as well as business-university / research center collaborations to encourage early adoption; gradually introduce incentives for business-research collaborations as research capability focuses and develops</w:t>
      </w:r>
    </w:p>
    <w:p w:rsidR="002B2455" w:rsidRPr="001447C2" w:rsidRDefault="002B2455" w:rsidP="002B2455">
      <w:pPr>
        <w:spacing w:after="160" w:line="259" w:lineRule="auto"/>
        <w:rPr>
          <w:b/>
        </w:rPr>
      </w:pPr>
      <w:r w:rsidRPr="001447C2">
        <w:rPr>
          <w:b/>
        </w:rPr>
        <w:t>Objective: Develop career pathways in research to encourage the growth of a new generation of scientists</w:t>
      </w:r>
    </w:p>
    <w:p w:rsidR="002B2455" w:rsidRPr="001447C2" w:rsidRDefault="002B2455" w:rsidP="00AF39BA">
      <w:pPr>
        <w:numPr>
          <w:ilvl w:val="0"/>
          <w:numId w:val="29"/>
        </w:numPr>
        <w:spacing w:before="0" w:after="60" w:line="259" w:lineRule="auto"/>
      </w:pPr>
      <w:r w:rsidRPr="001447C2">
        <w:t xml:space="preserve">Partner with prioritized research institutions to create a rotational program for young Georgian researchers and scientists to access and learn from leading researchers </w:t>
      </w:r>
    </w:p>
    <w:p w:rsidR="002B2455" w:rsidRPr="001447C2" w:rsidRDefault="002B2455" w:rsidP="00AF39BA">
      <w:pPr>
        <w:numPr>
          <w:ilvl w:val="0"/>
          <w:numId w:val="29"/>
        </w:numPr>
        <w:spacing w:before="0" w:after="60" w:line="259" w:lineRule="auto"/>
      </w:pPr>
      <w:r w:rsidRPr="001447C2">
        <w:t xml:space="preserve">Develop partnerships with leading EU research universities to foster mentorship and create opportunities for Georgian’s to apply for research internships or teaching assistantships </w:t>
      </w:r>
    </w:p>
    <w:p w:rsidR="002B2455" w:rsidRPr="001447C2" w:rsidRDefault="002B2455" w:rsidP="00AF39BA">
      <w:pPr>
        <w:numPr>
          <w:ilvl w:val="0"/>
          <w:numId w:val="29"/>
        </w:numPr>
        <w:spacing w:before="0" w:after="60" w:line="259" w:lineRule="auto"/>
      </w:pPr>
      <w:r w:rsidRPr="001447C2">
        <w:t xml:space="preserve">Create a program to assist young researchers apply for and access EU Horizon 2020 funding, by providing application guidance and support </w:t>
      </w:r>
    </w:p>
    <w:p w:rsidR="002B2455" w:rsidRPr="001447C2" w:rsidRDefault="002B2455" w:rsidP="00AF39BA">
      <w:pPr>
        <w:numPr>
          <w:ilvl w:val="0"/>
          <w:numId w:val="29"/>
        </w:numPr>
        <w:spacing w:before="0" w:after="60" w:line="259" w:lineRule="auto"/>
      </w:pPr>
      <w:r w:rsidRPr="001447C2">
        <w:t>Work with universities and companies in target industries to identify priority PhD focus areas and develop public-private co-sponsored PhD scholarships / grant programs to attract students into these fields</w:t>
      </w:r>
    </w:p>
    <w:p w:rsidR="002B2455" w:rsidRPr="001447C2" w:rsidRDefault="002B2455" w:rsidP="002B2455">
      <w:pPr>
        <w:spacing w:after="160" w:line="259" w:lineRule="auto"/>
      </w:pPr>
    </w:p>
    <w:p w:rsidR="002B2455" w:rsidRPr="002B2455" w:rsidRDefault="002B2455" w:rsidP="004350AC">
      <w:pPr>
        <w:pStyle w:val="Heading2"/>
        <w:rPr>
          <w:rFonts w:eastAsiaTheme="majorEastAsia"/>
        </w:rPr>
      </w:pPr>
      <w:bookmarkStart w:id="44" w:name="_Toc535608380"/>
      <w:r w:rsidRPr="001447C2">
        <w:rPr>
          <w:rFonts w:eastAsiaTheme="majorEastAsia"/>
        </w:rPr>
        <w:t>Attracting catalytic foreign direct investment</w:t>
      </w:r>
      <w:bookmarkEnd w:id="44"/>
    </w:p>
    <w:p w:rsidR="002B2455" w:rsidRPr="001447C2" w:rsidRDefault="002B2455" w:rsidP="002B2455">
      <w:pPr>
        <w:pStyle w:val="Heading4"/>
        <w:rPr>
          <w:rFonts w:eastAsiaTheme="majorEastAsia"/>
        </w:rPr>
      </w:pPr>
      <w:r w:rsidRPr="001447C2">
        <w:rPr>
          <w:rFonts w:eastAsiaTheme="majorEastAsia"/>
        </w:rPr>
        <w:t>Build a world-class investment attraction capability</w:t>
      </w:r>
    </w:p>
    <w:p w:rsidR="002B2455" w:rsidRPr="001447C2" w:rsidRDefault="002B2455" w:rsidP="002B2455">
      <w:pPr>
        <w:spacing w:after="160" w:line="259" w:lineRule="auto"/>
      </w:pPr>
      <w:r w:rsidRPr="001447C2">
        <w:t xml:space="preserve">To attract the FDI that can catalyze innovation, Georgia must prioritize building a world leading, market-oriented investment attraction capability to support that agenda. The country’s existing capability, under Enterprise Georgia’s “Invest in Georgia” program, provides a foundation, yet it is far under-resourced and under-equipped. Georgia must build up this agency into a world-class capability, looking to models such as Ireland’s IDA, Singapore’s EDB, or Costa Rica’s CINDE for best practices that can be adapted to the Georgian context. The agency should develop a vision and spearhead the process for identifying and attracting FDI to Georgia, providing guidance and support to relevant public and private sector actors to ensure an integrated approach. </w:t>
      </w:r>
    </w:p>
    <w:p w:rsidR="002B2455" w:rsidRPr="001447C2" w:rsidRDefault="002B2455" w:rsidP="002B2455">
      <w:pPr>
        <w:spacing w:after="160" w:line="259" w:lineRule="auto"/>
        <w:rPr>
          <w:b/>
        </w:rPr>
      </w:pPr>
      <w:r w:rsidRPr="001447C2">
        <w:rPr>
          <w:b/>
        </w:rPr>
        <w:t xml:space="preserve">Objective: </w:t>
      </w:r>
      <w:r w:rsidRPr="005B7ADB">
        <w:rPr>
          <w:b/>
        </w:rPr>
        <w:t>Recruit world-class investment attraction leadership team and supporting staff</w:t>
      </w:r>
    </w:p>
    <w:p w:rsidR="002B2455" w:rsidRPr="001447C2" w:rsidRDefault="002B2455" w:rsidP="00AF39BA">
      <w:pPr>
        <w:numPr>
          <w:ilvl w:val="0"/>
          <w:numId w:val="29"/>
        </w:numPr>
        <w:spacing w:before="0" w:after="60" w:line="259" w:lineRule="auto"/>
      </w:pPr>
      <w:r w:rsidRPr="001447C2">
        <w:t>Recruit a highly qualified, motivated executive director and deputy executive (Georgian national or foreign expats) to lead the investment attraction function, exhibiting the following among key attributes:</w:t>
      </w:r>
    </w:p>
    <w:p w:rsidR="002B2455" w:rsidRPr="002B2455" w:rsidRDefault="002B2455" w:rsidP="00AF39BA">
      <w:pPr>
        <w:pStyle w:val="ListParagraph"/>
        <w:numPr>
          <w:ilvl w:val="1"/>
          <w:numId w:val="26"/>
        </w:numPr>
        <w:autoSpaceDE/>
        <w:autoSpaceDN/>
        <w:adjustRightInd/>
        <w:spacing w:before="0" w:after="160" w:line="256" w:lineRule="auto"/>
        <w:contextualSpacing/>
        <w:rPr>
          <w:rFonts w:cstheme="minorHAnsi"/>
          <w:color w:val="000000" w:themeColor="text1"/>
          <w:sz w:val="20"/>
          <w:szCs w:val="20"/>
        </w:rPr>
      </w:pPr>
      <w:r w:rsidRPr="002B2455">
        <w:rPr>
          <w:rFonts w:cstheme="minorHAnsi"/>
          <w:color w:val="000000" w:themeColor="text1"/>
          <w:sz w:val="20"/>
          <w:szCs w:val="20"/>
        </w:rPr>
        <w:t>Proven capabilities in building global business partnerships, building collaborative cross-agency partnerships and developing and executing global investment deals</w:t>
      </w:r>
    </w:p>
    <w:p w:rsidR="002B2455" w:rsidRPr="002B2455" w:rsidRDefault="002B2455" w:rsidP="00AF39BA">
      <w:pPr>
        <w:pStyle w:val="ListParagraph"/>
        <w:numPr>
          <w:ilvl w:val="1"/>
          <w:numId w:val="26"/>
        </w:numPr>
        <w:autoSpaceDE/>
        <w:autoSpaceDN/>
        <w:adjustRightInd/>
        <w:spacing w:before="0" w:after="160" w:line="256" w:lineRule="auto"/>
        <w:contextualSpacing/>
        <w:rPr>
          <w:rFonts w:cstheme="minorHAnsi"/>
          <w:color w:val="000000" w:themeColor="text1"/>
          <w:sz w:val="20"/>
          <w:szCs w:val="20"/>
        </w:rPr>
      </w:pPr>
      <w:r w:rsidRPr="002B2455">
        <w:rPr>
          <w:rFonts w:cstheme="minorHAnsi"/>
          <w:color w:val="000000" w:themeColor="text1"/>
          <w:sz w:val="20"/>
          <w:szCs w:val="20"/>
        </w:rPr>
        <w:t>Experience in investment promotion</w:t>
      </w:r>
    </w:p>
    <w:p w:rsidR="002B2455" w:rsidRPr="002B2455" w:rsidRDefault="002B2455" w:rsidP="00AF39BA">
      <w:pPr>
        <w:pStyle w:val="ListParagraph"/>
        <w:numPr>
          <w:ilvl w:val="1"/>
          <w:numId w:val="26"/>
        </w:numPr>
        <w:autoSpaceDE/>
        <w:autoSpaceDN/>
        <w:adjustRightInd/>
        <w:spacing w:before="0" w:after="160" w:line="256" w:lineRule="auto"/>
        <w:contextualSpacing/>
        <w:rPr>
          <w:rFonts w:cstheme="minorHAnsi"/>
          <w:color w:val="000000" w:themeColor="text1"/>
          <w:sz w:val="20"/>
          <w:szCs w:val="20"/>
        </w:rPr>
      </w:pPr>
      <w:r w:rsidRPr="002B2455">
        <w:rPr>
          <w:rFonts w:cstheme="minorHAnsi"/>
          <w:color w:val="000000" w:themeColor="text1"/>
          <w:sz w:val="20"/>
          <w:szCs w:val="20"/>
        </w:rPr>
        <w:t>Experience leading organizations through growth and transformation period</w:t>
      </w:r>
    </w:p>
    <w:p w:rsidR="002B2455" w:rsidRPr="002B2455" w:rsidRDefault="002B2455" w:rsidP="00AF39BA">
      <w:pPr>
        <w:pStyle w:val="ListParagraph"/>
        <w:numPr>
          <w:ilvl w:val="1"/>
          <w:numId w:val="26"/>
        </w:numPr>
        <w:autoSpaceDE/>
        <w:autoSpaceDN/>
        <w:adjustRightInd/>
        <w:spacing w:before="0" w:after="160" w:line="256" w:lineRule="auto"/>
        <w:contextualSpacing/>
        <w:rPr>
          <w:rFonts w:cstheme="minorHAnsi"/>
          <w:color w:val="000000" w:themeColor="text1"/>
          <w:sz w:val="20"/>
          <w:szCs w:val="20"/>
        </w:rPr>
      </w:pPr>
      <w:r w:rsidRPr="002B2455">
        <w:rPr>
          <w:rFonts w:cstheme="minorHAnsi"/>
          <w:color w:val="000000" w:themeColor="text1"/>
          <w:sz w:val="20"/>
          <w:szCs w:val="20"/>
        </w:rPr>
        <w:t>Private sector and public office executive experience</w:t>
      </w:r>
    </w:p>
    <w:p w:rsidR="002B2455" w:rsidRPr="002B2455" w:rsidRDefault="002B2455" w:rsidP="00AF39BA">
      <w:pPr>
        <w:pStyle w:val="ListParagraph"/>
        <w:numPr>
          <w:ilvl w:val="1"/>
          <w:numId w:val="26"/>
        </w:numPr>
        <w:autoSpaceDE/>
        <w:autoSpaceDN/>
        <w:adjustRightInd/>
        <w:spacing w:before="0" w:after="160" w:line="256" w:lineRule="auto"/>
        <w:contextualSpacing/>
        <w:rPr>
          <w:rFonts w:cstheme="minorHAnsi"/>
          <w:color w:val="000000" w:themeColor="text1"/>
          <w:sz w:val="20"/>
          <w:szCs w:val="20"/>
        </w:rPr>
      </w:pPr>
      <w:r w:rsidRPr="002B2455">
        <w:rPr>
          <w:rFonts w:cstheme="minorHAnsi"/>
          <w:color w:val="000000" w:themeColor="text1"/>
          <w:sz w:val="20"/>
          <w:szCs w:val="20"/>
        </w:rPr>
        <w:t>Strong business acumen and market orientation</w:t>
      </w:r>
    </w:p>
    <w:p w:rsidR="002B2455" w:rsidRPr="002B2455" w:rsidRDefault="002B2455" w:rsidP="00AF39BA">
      <w:pPr>
        <w:pStyle w:val="ListParagraph"/>
        <w:numPr>
          <w:ilvl w:val="1"/>
          <w:numId w:val="26"/>
        </w:numPr>
        <w:autoSpaceDE/>
        <w:autoSpaceDN/>
        <w:adjustRightInd/>
        <w:spacing w:before="0" w:after="160" w:line="256" w:lineRule="auto"/>
        <w:contextualSpacing/>
        <w:rPr>
          <w:rFonts w:cstheme="minorHAnsi"/>
          <w:color w:val="000000" w:themeColor="text1"/>
          <w:sz w:val="20"/>
          <w:szCs w:val="20"/>
        </w:rPr>
      </w:pPr>
      <w:r w:rsidRPr="002B2455">
        <w:rPr>
          <w:rFonts w:cstheme="minorHAnsi"/>
          <w:color w:val="000000" w:themeColor="text1"/>
          <w:sz w:val="20"/>
          <w:szCs w:val="20"/>
        </w:rPr>
        <w:t>Demonstrated relationships with businesses in target global markets</w:t>
      </w:r>
    </w:p>
    <w:p w:rsidR="002B2455" w:rsidRPr="001447C2" w:rsidRDefault="002B2455" w:rsidP="00AF39BA">
      <w:pPr>
        <w:numPr>
          <w:ilvl w:val="0"/>
          <w:numId w:val="29"/>
        </w:numPr>
        <w:spacing w:before="0" w:after="60" w:line="259" w:lineRule="auto"/>
      </w:pPr>
      <w:r w:rsidRPr="002B2455">
        <w:rPr>
          <w:color w:val="000000" w:themeColor="text1"/>
          <w:szCs w:val="20"/>
        </w:rPr>
        <w:t>Define salary and benefits packages</w:t>
      </w:r>
      <w:r w:rsidRPr="002B2455">
        <w:rPr>
          <w:color w:val="000000" w:themeColor="text1"/>
        </w:rPr>
        <w:t xml:space="preserve"> </w:t>
      </w:r>
      <w:r w:rsidRPr="001447C2">
        <w:t>that are competitive with global executive functions and able to attract and retain top talent, pursuing legal exemptions or moving functions outside of government to the private sector as required</w:t>
      </w:r>
    </w:p>
    <w:p w:rsidR="002B2455" w:rsidRPr="001447C2" w:rsidRDefault="002B2455" w:rsidP="00AF39BA">
      <w:pPr>
        <w:numPr>
          <w:ilvl w:val="0"/>
          <w:numId w:val="29"/>
        </w:numPr>
        <w:spacing w:before="0" w:after="60" w:line="259" w:lineRule="auto"/>
      </w:pPr>
      <w:r w:rsidRPr="001447C2">
        <w:t>Under the executive’s leadership, define human capital and talent requirements across the organization and establish a talent framework; Assess current staff capabilities against the framework, identify weaknesses and gaps, and recruit, hire, transition staff as needed</w:t>
      </w:r>
    </w:p>
    <w:p w:rsidR="002B2455" w:rsidRPr="001447C2" w:rsidRDefault="002B2455" w:rsidP="00AF39BA">
      <w:pPr>
        <w:numPr>
          <w:ilvl w:val="0"/>
          <w:numId w:val="29"/>
        </w:numPr>
        <w:spacing w:before="0" w:after="160" w:line="259" w:lineRule="auto"/>
      </w:pPr>
      <w:r w:rsidRPr="001447C2">
        <w:t>Establish a Board of Directors that includes key public sector officials, domestic business leaders and other Georgian and foreign national experts capable of contributing value to the agency’s mission and operations (e.g., linkages in key markets, leadership / expert experience in investment promotion, oversight over government functions affecting investments such as tax authority, etc.)</w:t>
      </w:r>
    </w:p>
    <w:p w:rsidR="002B2455" w:rsidRPr="001447C2" w:rsidRDefault="002B2455" w:rsidP="002B2455">
      <w:pPr>
        <w:spacing w:after="160" w:line="259" w:lineRule="auto"/>
        <w:rPr>
          <w:b/>
        </w:rPr>
      </w:pPr>
      <w:r w:rsidRPr="001447C2">
        <w:rPr>
          <w:b/>
        </w:rPr>
        <w:t xml:space="preserve">Objective: </w:t>
      </w:r>
      <w:r>
        <w:rPr>
          <w:b/>
        </w:rPr>
        <w:t>Define a strategy and o</w:t>
      </w:r>
      <w:r w:rsidRPr="001447C2">
        <w:rPr>
          <w:b/>
        </w:rPr>
        <w:t>ptimize the organizational structure to align with priority functions</w:t>
      </w:r>
    </w:p>
    <w:p w:rsidR="002B2455" w:rsidRDefault="002B2455" w:rsidP="00AF39BA">
      <w:pPr>
        <w:numPr>
          <w:ilvl w:val="0"/>
          <w:numId w:val="29"/>
        </w:numPr>
        <w:spacing w:before="0" w:after="60" w:line="259" w:lineRule="auto"/>
      </w:pPr>
      <w:r w:rsidRPr="001447C2">
        <w:t>Validate the business case for reclassifying the investment attraction agency as an independent, quasi-public entity</w:t>
      </w:r>
      <w:r w:rsidRPr="001447C2">
        <w:rPr>
          <w:vertAlign w:val="superscript"/>
        </w:rPr>
        <w:footnoteReference w:id="39"/>
      </w:r>
      <w:r w:rsidRPr="001447C2">
        <w:t xml:space="preserve"> separate from Enterprise Georgia, against alternatives keeping it independent but fully within government, or in its current status within Enterprise Georgia.</w:t>
      </w:r>
      <w:r>
        <w:rPr>
          <w:rStyle w:val="FootnoteReference"/>
        </w:rPr>
        <w:footnoteReference w:id="40"/>
      </w:r>
    </w:p>
    <w:p w:rsidR="002B2455" w:rsidRPr="00A420B1" w:rsidRDefault="002B2455" w:rsidP="00AF39BA">
      <w:pPr>
        <w:numPr>
          <w:ilvl w:val="0"/>
          <w:numId w:val="29"/>
        </w:numPr>
        <w:spacing w:before="0" w:after="60" w:line="259" w:lineRule="auto"/>
      </w:pPr>
      <w:r w:rsidRPr="001447C2">
        <w:t>Define</w:t>
      </w:r>
      <w:r w:rsidRPr="00A420B1">
        <w:t>, in cooperation with other government and private sector stakeholders, the role, responsibility and mission for the investment promotion agency</w:t>
      </w:r>
    </w:p>
    <w:p w:rsidR="002B2455" w:rsidRDefault="002B2455" w:rsidP="00AF39BA">
      <w:pPr>
        <w:numPr>
          <w:ilvl w:val="0"/>
          <w:numId w:val="29"/>
        </w:numPr>
        <w:spacing w:before="0" w:after="60" w:line="259" w:lineRule="auto"/>
      </w:pPr>
      <w:r w:rsidRPr="00A420B1">
        <w:t>Under the executive’s leadership, define a targeted investment attraction strategy, aligned to the core tenants of Georgia's national innovation and broader economic development strategies</w:t>
      </w:r>
      <w:r>
        <w:t>. Strategy should include and define the following:</w:t>
      </w:r>
    </w:p>
    <w:p w:rsidR="002B2455" w:rsidRDefault="002B2455" w:rsidP="00AF39BA">
      <w:pPr>
        <w:numPr>
          <w:ilvl w:val="1"/>
          <w:numId w:val="29"/>
        </w:numPr>
        <w:spacing w:before="0" w:after="60" w:line="259" w:lineRule="auto"/>
      </w:pPr>
      <w:r>
        <w:t>Industry focus on high value manufacturing, food and beverage processing and industrial design</w:t>
      </w:r>
    </w:p>
    <w:p w:rsidR="002B2455" w:rsidRDefault="002B2455" w:rsidP="00AF39BA">
      <w:pPr>
        <w:numPr>
          <w:ilvl w:val="1"/>
          <w:numId w:val="29"/>
        </w:numPr>
        <w:spacing w:before="0" w:after="60" w:line="259" w:lineRule="auto"/>
      </w:pPr>
      <w:r>
        <w:t xml:space="preserve">Where the strategy will focus, both in terms of where the function will seek to attract investment domestically, and also where it will prioritize attracting investment from abroad </w:t>
      </w:r>
    </w:p>
    <w:p w:rsidR="002B2455" w:rsidRDefault="002B2455" w:rsidP="00AF39BA">
      <w:pPr>
        <w:numPr>
          <w:ilvl w:val="1"/>
          <w:numId w:val="29"/>
        </w:numPr>
        <w:spacing w:before="0" w:after="60" w:line="259" w:lineRule="auto"/>
      </w:pPr>
      <w:r>
        <w:t>A clear thesis on how the agency will succeed in attracting investment from / into these areas</w:t>
      </w:r>
    </w:p>
    <w:p w:rsidR="002B2455" w:rsidRDefault="002B2455" w:rsidP="00AF39BA">
      <w:pPr>
        <w:numPr>
          <w:ilvl w:val="1"/>
          <w:numId w:val="29"/>
        </w:numPr>
        <w:spacing w:before="0" w:after="60" w:line="259" w:lineRule="auto"/>
      </w:pPr>
      <w:r>
        <w:t>What capabilities the agency must have to succeed (e.g., overseas presence, language and technical expertise, agility in responding to investor needs, etc.)</w:t>
      </w:r>
    </w:p>
    <w:p w:rsidR="002B2455" w:rsidRDefault="002B2455" w:rsidP="00AF39BA">
      <w:pPr>
        <w:numPr>
          <w:ilvl w:val="1"/>
          <w:numId w:val="29"/>
        </w:numPr>
        <w:spacing w:before="0" w:after="60" w:line="259" w:lineRule="auto"/>
      </w:pPr>
      <w:r>
        <w:t>How the Function will be organized to support these capabilities (e.g., organizational structure, priority procedures and processes, etc.)</w:t>
      </w:r>
    </w:p>
    <w:p w:rsidR="002B2455" w:rsidRPr="00A420B1" w:rsidRDefault="002B2455" w:rsidP="00AF39BA">
      <w:pPr>
        <w:numPr>
          <w:ilvl w:val="0"/>
          <w:numId w:val="29"/>
        </w:numPr>
        <w:spacing w:before="0" w:after="60" w:line="259" w:lineRule="auto"/>
      </w:pPr>
      <w:r w:rsidRPr="00A420B1">
        <w:t>Define an optimal organizational structure to deliver the following core functions:</w:t>
      </w:r>
    </w:p>
    <w:p w:rsidR="002B2455" w:rsidRPr="00A420B1" w:rsidRDefault="002B2455" w:rsidP="00AF39BA">
      <w:pPr>
        <w:numPr>
          <w:ilvl w:val="1"/>
          <w:numId w:val="30"/>
        </w:numPr>
        <w:spacing w:before="0" w:after="160" w:line="259" w:lineRule="auto"/>
        <w:contextualSpacing/>
      </w:pPr>
      <w:r w:rsidRPr="00A420B1">
        <w:t>Strategy</w:t>
      </w:r>
    </w:p>
    <w:p w:rsidR="002B2455" w:rsidRPr="00A420B1" w:rsidRDefault="002B2455" w:rsidP="00AF39BA">
      <w:pPr>
        <w:numPr>
          <w:ilvl w:val="1"/>
          <w:numId w:val="30"/>
        </w:numPr>
        <w:spacing w:before="0" w:after="160" w:line="259" w:lineRule="auto"/>
        <w:contextualSpacing/>
      </w:pPr>
      <w:r w:rsidRPr="00A420B1">
        <w:t>Marketing</w:t>
      </w:r>
    </w:p>
    <w:p w:rsidR="002B2455" w:rsidRPr="00A420B1" w:rsidRDefault="002B2455" w:rsidP="00AF39BA">
      <w:pPr>
        <w:numPr>
          <w:ilvl w:val="1"/>
          <w:numId w:val="30"/>
        </w:numPr>
        <w:spacing w:before="0" w:after="160" w:line="259" w:lineRule="auto"/>
        <w:contextualSpacing/>
      </w:pPr>
      <w:r w:rsidRPr="00A420B1">
        <w:t xml:space="preserve">Investor targeting </w:t>
      </w:r>
    </w:p>
    <w:p w:rsidR="002B2455" w:rsidRPr="00A420B1" w:rsidRDefault="002B2455" w:rsidP="00AF39BA">
      <w:pPr>
        <w:numPr>
          <w:ilvl w:val="1"/>
          <w:numId w:val="30"/>
        </w:numPr>
        <w:spacing w:before="0" w:after="160" w:line="259" w:lineRule="auto"/>
        <w:contextualSpacing/>
      </w:pPr>
      <w:r w:rsidRPr="00A420B1">
        <w:t>Investment advising (focusing on priority competitive industries)</w:t>
      </w:r>
    </w:p>
    <w:p w:rsidR="002B2455" w:rsidRPr="00A420B1" w:rsidRDefault="002B2455" w:rsidP="00AF39BA">
      <w:pPr>
        <w:numPr>
          <w:ilvl w:val="1"/>
          <w:numId w:val="30"/>
        </w:numPr>
        <w:spacing w:before="0" w:after="160" w:line="259" w:lineRule="auto"/>
        <w:contextualSpacing/>
      </w:pPr>
      <w:r w:rsidRPr="00A420B1">
        <w:t xml:space="preserve">After care (supporting investors following deal execution) </w:t>
      </w:r>
    </w:p>
    <w:p w:rsidR="002B2455" w:rsidRPr="00A420B1" w:rsidRDefault="002B2455" w:rsidP="00AF39BA">
      <w:pPr>
        <w:numPr>
          <w:ilvl w:val="1"/>
          <w:numId w:val="30"/>
        </w:numPr>
        <w:spacing w:before="0" w:after="160" w:line="259" w:lineRule="auto"/>
      </w:pPr>
      <w:r w:rsidRPr="00A420B1">
        <w:t>Policy advising / advocacy</w:t>
      </w:r>
    </w:p>
    <w:p w:rsidR="002B2455" w:rsidRPr="00A420B1" w:rsidRDefault="002B2455" w:rsidP="00AF39BA">
      <w:pPr>
        <w:numPr>
          <w:ilvl w:val="0"/>
          <w:numId w:val="29"/>
        </w:numPr>
        <w:spacing w:before="0" w:after="60" w:line="259" w:lineRule="auto"/>
      </w:pPr>
      <w:r w:rsidRPr="00A420B1">
        <w:t>Adapt policies, procedures and regulations to allocate the following authorities to the investment attraction agency, based on a thorough review of how these authorities are allocated and executed at present:</w:t>
      </w:r>
    </w:p>
    <w:p w:rsidR="002B2455" w:rsidRPr="00A420B1" w:rsidRDefault="002B2455" w:rsidP="00AF39BA">
      <w:pPr>
        <w:numPr>
          <w:ilvl w:val="1"/>
          <w:numId w:val="30"/>
        </w:numPr>
        <w:spacing w:before="0" w:after="160" w:line="259" w:lineRule="auto"/>
        <w:contextualSpacing/>
      </w:pPr>
      <w:r w:rsidRPr="00A420B1">
        <w:t>Approve investment applications</w:t>
      </w:r>
    </w:p>
    <w:p w:rsidR="002B2455" w:rsidRPr="00A420B1" w:rsidRDefault="002B2455" w:rsidP="00AF39BA">
      <w:pPr>
        <w:numPr>
          <w:ilvl w:val="1"/>
          <w:numId w:val="30"/>
        </w:numPr>
        <w:spacing w:before="0" w:after="160" w:line="259" w:lineRule="auto"/>
        <w:contextualSpacing/>
      </w:pPr>
      <w:r w:rsidRPr="00A420B1">
        <w:t>Grant investment licenses (e.g., land acquisition, permission for specific activities such as banking) and incentives</w:t>
      </w:r>
    </w:p>
    <w:p w:rsidR="002B2455" w:rsidRPr="00A420B1" w:rsidRDefault="002B2455" w:rsidP="00AF39BA">
      <w:pPr>
        <w:numPr>
          <w:ilvl w:val="1"/>
          <w:numId w:val="30"/>
        </w:numPr>
        <w:spacing w:before="0" w:after="160" w:line="259" w:lineRule="auto"/>
        <w:contextualSpacing/>
      </w:pPr>
      <w:r w:rsidRPr="00A420B1">
        <w:t>Coordinate investment plans</w:t>
      </w:r>
    </w:p>
    <w:p w:rsidR="002B2455" w:rsidRPr="00A420B1" w:rsidRDefault="002B2455" w:rsidP="00AF39BA">
      <w:pPr>
        <w:numPr>
          <w:ilvl w:val="1"/>
          <w:numId w:val="30"/>
        </w:numPr>
        <w:spacing w:before="0" w:after="160" w:line="259" w:lineRule="auto"/>
      </w:pPr>
      <w:r w:rsidRPr="00A420B1">
        <w:t>Promote investment</w:t>
      </w:r>
    </w:p>
    <w:p w:rsidR="002B2455" w:rsidRPr="00A420B1" w:rsidRDefault="002B2455" w:rsidP="00AF39BA">
      <w:pPr>
        <w:numPr>
          <w:ilvl w:val="0"/>
          <w:numId w:val="30"/>
        </w:numPr>
        <w:spacing w:before="0" w:after="160" w:line="259" w:lineRule="auto"/>
        <w:contextualSpacing/>
      </w:pPr>
      <w:r w:rsidRPr="00A420B1">
        <w:t>Develop a comprehensive, attractive and easily navigable web platform to promote investment opportunities and help external users navigate agency services</w:t>
      </w:r>
    </w:p>
    <w:p w:rsidR="002B2455" w:rsidRPr="00A420B1" w:rsidRDefault="002B2455" w:rsidP="00AF39BA">
      <w:pPr>
        <w:numPr>
          <w:ilvl w:val="0"/>
          <w:numId w:val="29"/>
        </w:numPr>
        <w:spacing w:before="0" w:after="160" w:line="259" w:lineRule="auto"/>
      </w:pPr>
      <w:r w:rsidRPr="00A420B1">
        <w:t xml:space="preserve">Upgrade agency technical infrastructure (e.g., knowledge management platforms, etc.) to support new operating structure </w:t>
      </w:r>
    </w:p>
    <w:p w:rsidR="002B2455" w:rsidRPr="00A420B1" w:rsidRDefault="002B2455" w:rsidP="002B2455">
      <w:pPr>
        <w:spacing w:after="160" w:line="259" w:lineRule="auto"/>
        <w:rPr>
          <w:b/>
        </w:rPr>
      </w:pPr>
      <w:r w:rsidRPr="00A420B1">
        <w:rPr>
          <w:b/>
        </w:rPr>
        <w:t>Objective: Strengthen domestic linkages with businesses and government</w:t>
      </w:r>
    </w:p>
    <w:p w:rsidR="002B2455" w:rsidRPr="00A420B1" w:rsidRDefault="002B2455" w:rsidP="00AF39BA">
      <w:pPr>
        <w:numPr>
          <w:ilvl w:val="0"/>
          <w:numId w:val="29"/>
        </w:numPr>
        <w:spacing w:before="0" w:after="60" w:line="259" w:lineRule="auto"/>
      </w:pPr>
      <w:r w:rsidRPr="00A420B1">
        <w:t>Identify Georgia</w:t>
      </w:r>
      <w:r>
        <w:t>’s highest potential and growth-</w:t>
      </w:r>
      <w:r w:rsidRPr="00A420B1">
        <w:t>oriented companies within and supporting the country’s priority competitive sectors (high value manufacturing and industrial design)</w:t>
      </w:r>
    </w:p>
    <w:p w:rsidR="002B2455" w:rsidRPr="00A420B1" w:rsidRDefault="002B2455" w:rsidP="00AF39BA">
      <w:pPr>
        <w:numPr>
          <w:ilvl w:val="0"/>
          <w:numId w:val="29"/>
        </w:numPr>
        <w:spacing w:before="0" w:after="60" w:line="259" w:lineRule="auto"/>
      </w:pPr>
      <w:r w:rsidRPr="00A420B1">
        <w:t>Proactively build and maintain relationships with leaders of identified businesses with the aim to:</w:t>
      </w:r>
    </w:p>
    <w:p w:rsidR="002B2455" w:rsidRPr="00A420B1" w:rsidRDefault="002B2455" w:rsidP="00AF39BA">
      <w:pPr>
        <w:numPr>
          <w:ilvl w:val="1"/>
          <w:numId w:val="32"/>
        </w:numPr>
        <w:spacing w:before="0" w:after="160" w:line="259" w:lineRule="auto"/>
        <w:contextualSpacing/>
      </w:pPr>
      <w:r w:rsidRPr="00A420B1">
        <w:t>Understand their business needs</w:t>
      </w:r>
    </w:p>
    <w:p w:rsidR="002B2455" w:rsidRPr="00A420B1" w:rsidRDefault="002B2455" w:rsidP="00AF39BA">
      <w:pPr>
        <w:numPr>
          <w:ilvl w:val="1"/>
          <w:numId w:val="32"/>
        </w:numPr>
        <w:spacing w:before="0" w:after="160" w:line="259" w:lineRule="auto"/>
        <w:contextualSpacing/>
      </w:pPr>
      <w:r w:rsidRPr="00A420B1">
        <w:t>Understand their perspective on being the target of or partner in an investment deal</w:t>
      </w:r>
    </w:p>
    <w:p w:rsidR="002B2455" w:rsidRPr="00A420B1" w:rsidRDefault="002B2455" w:rsidP="00AF39BA">
      <w:pPr>
        <w:numPr>
          <w:ilvl w:val="1"/>
          <w:numId w:val="32"/>
        </w:numPr>
        <w:spacing w:before="0" w:after="160" w:line="259" w:lineRule="auto"/>
        <w:contextualSpacing/>
      </w:pPr>
      <w:r w:rsidRPr="00A420B1">
        <w:t>More fully understand domestic industry dynamics, strengths and weaknesses</w:t>
      </w:r>
    </w:p>
    <w:p w:rsidR="002B2455" w:rsidRPr="00A420B1" w:rsidRDefault="002B2455" w:rsidP="00AF39BA">
      <w:pPr>
        <w:numPr>
          <w:ilvl w:val="1"/>
          <w:numId w:val="32"/>
        </w:numPr>
        <w:spacing w:before="0" w:after="160" w:line="259" w:lineRule="auto"/>
      </w:pPr>
      <w:r w:rsidRPr="00A420B1">
        <w:t>Maintain as active partners to leverage in attracting and structuring FDI deals</w:t>
      </w:r>
    </w:p>
    <w:p w:rsidR="002B2455" w:rsidRPr="00A420B1" w:rsidRDefault="002B2455" w:rsidP="00AF39BA">
      <w:pPr>
        <w:numPr>
          <w:ilvl w:val="0"/>
          <w:numId w:val="29"/>
        </w:numPr>
        <w:spacing w:before="0" w:after="60" w:line="259" w:lineRule="auto"/>
      </w:pPr>
      <w:r w:rsidRPr="00A420B1">
        <w:t>Based on external market interest, support high potential businesses that are potential vehicles for investment attraction in accessing support and resources for initiatives that can enhance their attractiveness to investors</w:t>
      </w:r>
    </w:p>
    <w:p w:rsidR="002B2455" w:rsidRPr="00A420B1" w:rsidRDefault="002B2455" w:rsidP="00AF39BA">
      <w:pPr>
        <w:numPr>
          <w:ilvl w:val="0"/>
          <w:numId w:val="29"/>
        </w:numPr>
        <w:spacing w:before="0" w:after="160" w:line="259" w:lineRule="auto"/>
      </w:pPr>
      <w:r w:rsidRPr="00A420B1">
        <w:t xml:space="preserve">Identify policy and / or other asset gaps in the domestic market that inhibit investment into competitive industries and advocate across government for reforms and / or investment to alleviate these barriers </w:t>
      </w:r>
    </w:p>
    <w:p w:rsidR="002B2455" w:rsidRPr="00A420B1" w:rsidRDefault="002B2455" w:rsidP="002B2455">
      <w:pPr>
        <w:spacing w:after="160" w:line="259" w:lineRule="auto"/>
        <w:rPr>
          <w:b/>
        </w:rPr>
      </w:pPr>
      <w:r w:rsidRPr="00A420B1">
        <w:rPr>
          <w:b/>
        </w:rPr>
        <w:t>Objective: Build overseas presence and representation in target markets</w:t>
      </w:r>
    </w:p>
    <w:p w:rsidR="002B2455" w:rsidRPr="00A420B1" w:rsidRDefault="002B2455" w:rsidP="00AF39BA">
      <w:pPr>
        <w:numPr>
          <w:ilvl w:val="0"/>
          <w:numId w:val="29"/>
        </w:numPr>
        <w:spacing w:before="0" w:after="60" w:line="259" w:lineRule="auto"/>
      </w:pPr>
      <w:r w:rsidRPr="00A420B1">
        <w:t>Based on markets prioritized in the agency strategy, define a set of markets to focus on bolstering investment attraction collaboration and capabilities</w:t>
      </w:r>
    </w:p>
    <w:p w:rsidR="002B2455" w:rsidRPr="00A420B1" w:rsidRDefault="002B2455" w:rsidP="00AF39BA">
      <w:pPr>
        <w:numPr>
          <w:ilvl w:val="0"/>
          <w:numId w:val="29"/>
        </w:numPr>
        <w:spacing w:before="0" w:after="60" w:line="259" w:lineRule="auto"/>
      </w:pPr>
      <w:r w:rsidRPr="00A420B1">
        <w:t>Develop a framework for collaboration with foreign attaches based in overseas markets, built on the following principles:</w:t>
      </w:r>
    </w:p>
    <w:p w:rsidR="002B2455" w:rsidRPr="00A420B1" w:rsidRDefault="002B2455" w:rsidP="00AF39BA">
      <w:pPr>
        <w:numPr>
          <w:ilvl w:val="1"/>
          <w:numId w:val="31"/>
        </w:numPr>
        <w:spacing w:before="0" w:after="160" w:line="259" w:lineRule="auto"/>
        <w:contextualSpacing/>
      </w:pPr>
      <w:r w:rsidRPr="00A420B1">
        <w:t>Regular exchange on investment pipeline development and priorities</w:t>
      </w:r>
    </w:p>
    <w:p w:rsidR="002B2455" w:rsidRPr="00A420B1" w:rsidRDefault="002B2455" w:rsidP="00AF39BA">
      <w:pPr>
        <w:numPr>
          <w:ilvl w:val="1"/>
          <w:numId w:val="31"/>
        </w:numPr>
        <w:spacing w:before="0" w:after="160" w:line="259" w:lineRule="auto"/>
        <w:contextualSpacing/>
      </w:pPr>
      <w:r w:rsidRPr="00A420B1">
        <w:t>Collaboration in relationship cultivation and development</w:t>
      </w:r>
    </w:p>
    <w:p w:rsidR="002B2455" w:rsidRPr="00A420B1" w:rsidRDefault="002B2455" w:rsidP="00AF39BA">
      <w:pPr>
        <w:numPr>
          <w:ilvl w:val="1"/>
          <w:numId w:val="31"/>
        </w:numPr>
        <w:spacing w:before="0" w:after="160" w:line="259" w:lineRule="auto"/>
        <w:contextualSpacing/>
      </w:pPr>
      <w:r w:rsidRPr="00A420B1">
        <w:t>Coordination on decision-making that affects investment attraction and / or the viability of deals</w:t>
      </w:r>
    </w:p>
    <w:p w:rsidR="002B2455" w:rsidRDefault="002B2455" w:rsidP="00AF39BA">
      <w:pPr>
        <w:numPr>
          <w:ilvl w:val="1"/>
          <w:numId w:val="31"/>
        </w:numPr>
        <w:spacing w:before="0" w:after="160" w:line="259" w:lineRule="auto"/>
        <w:contextualSpacing/>
      </w:pPr>
      <w:r w:rsidRPr="00A420B1">
        <w:t>Clearly defined roles during deal development and transaction negotiations</w:t>
      </w:r>
    </w:p>
    <w:p w:rsidR="008358BA" w:rsidRPr="00A420B1" w:rsidRDefault="008358BA" w:rsidP="008358BA">
      <w:pPr>
        <w:spacing w:before="0" w:after="160" w:line="259" w:lineRule="auto"/>
        <w:ind w:left="1487"/>
        <w:contextualSpacing/>
      </w:pPr>
    </w:p>
    <w:p w:rsidR="002B2455" w:rsidRPr="00A420B1" w:rsidRDefault="002B2455" w:rsidP="00AF39BA">
      <w:pPr>
        <w:numPr>
          <w:ilvl w:val="0"/>
          <w:numId w:val="29"/>
        </w:numPr>
        <w:spacing w:before="0" w:after="60" w:line="259" w:lineRule="auto"/>
      </w:pPr>
      <w:r w:rsidRPr="00A420B1">
        <w:t>Develop and undertake a training program to build attaché knowledge of investment promotion, the agency strategy and how to work with agency leaders to further Georgia’s investment promotion agenda</w:t>
      </w:r>
    </w:p>
    <w:p w:rsidR="002B2455" w:rsidRPr="00A420B1" w:rsidRDefault="002B2455" w:rsidP="00AF39BA">
      <w:pPr>
        <w:numPr>
          <w:ilvl w:val="0"/>
          <w:numId w:val="29"/>
        </w:numPr>
        <w:spacing w:before="0" w:after="60" w:line="259" w:lineRule="auto"/>
      </w:pPr>
      <w:r w:rsidRPr="00A420B1">
        <w:t xml:space="preserve">Identify and engage Georgian diaspora members holding leadership positions in business communities and target companies in priority markets, using direct personal outreach, networking and other events in their home markets </w:t>
      </w:r>
    </w:p>
    <w:p w:rsidR="002B2455" w:rsidRPr="00A420B1" w:rsidRDefault="002B2455" w:rsidP="00AF39BA">
      <w:pPr>
        <w:numPr>
          <w:ilvl w:val="0"/>
          <w:numId w:val="29"/>
        </w:numPr>
        <w:spacing w:before="0" w:after="160" w:line="259" w:lineRule="auto"/>
      </w:pPr>
      <w:r w:rsidRPr="00A420B1">
        <w:t>Evaluate the business case for setting up a limited number of permanent investment agency offices in priority markets</w:t>
      </w:r>
    </w:p>
    <w:p w:rsidR="002B2455" w:rsidRPr="00A420B1" w:rsidRDefault="002B2455" w:rsidP="002B2455">
      <w:pPr>
        <w:spacing w:after="160" w:line="259" w:lineRule="auto"/>
        <w:rPr>
          <w:b/>
          <w:color w:val="000000" w:themeColor="text1"/>
        </w:rPr>
      </w:pPr>
      <w:r w:rsidRPr="00A420B1">
        <w:rPr>
          <w:b/>
          <w:color w:val="000000" w:themeColor="text1"/>
        </w:rPr>
        <w:t>Objective: Embed tools and mechanisms to ensure long-term performance management</w:t>
      </w:r>
    </w:p>
    <w:p w:rsidR="002B2455" w:rsidRPr="00A420B1" w:rsidRDefault="002B2455" w:rsidP="00AF39BA">
      <w:pPr>
        <w:numPr>
          <w:ilvl w:val="0"/>
          <w:numId w:val="33"/>
        </w:numPr>
        <w:spacing w:before="0" w:after="160" w:line="259" w:lineRule="auto"/>
        <w:contextualSpacing/>
        <w:rPr>
          <w:color w:val="000000" w:themeColor="text1"/>
        </w:rPr>
      </w:pPr>
      <w:r w:rsidRPr="00A420B1">
        <w:rPr>
          <w:color w:val="000000" w:themeColor="text1"/>
        </w:rPr>
        <w:t>Define a clear, limited set of agency-level goals for performance and make these targets available publicly</w:t>
      </w:r>
    </w:p>
    <w:p w:rsidR="002B2455" w:rsidRPr="00A420B1" w:rsidRDefault="002B2455" w:rsidP="00AF39BA">
      <w:pPr>
        <w:numPr>
          <w:ilvl w:val="0"/>
          <w:numId w:val="33"/>
        </w:numPr>
        <w:spacing w:before="0" w:after="160" w:line="259" w:lineRule="auto"/>
        <w:contextualSpacing/>
        <w:rPr>
          <w:color w:val="000000" w:themeColor="text1"/>
        </w:rPr>
      </w:pPr>
      <w:r w:rsidRPr="00A420B1">
        <w:rPr>
          <w:color w:val="000000" w:themeColor="text1"/>
        </w:rPr>
        <w:t xml:space="preserve">Establish a regular (annual / semi-annual) performance review cycle, providing transparent analysis and reporting of performance against targets </w:t>
      </w:r>
    </w:p>
    <w:p w:rsidR="002B2455" w:rsidRPr="00A420B1" w:rsidRDefault="002B2455" w:rsidP="00AF39BA">
      <w:pPr>
        <w:numPr>
          <w:ilvl w:val="0"/>
          <w:numId w:val="33"/>
        </w:numPr>
        <w:spacing w:before="0" w:after="160" w:line="259" w:lineRule="auto"/>
        <w:contextualSpacing/>
        <w:rPr>
          <w:color w:val="000000" w:themeColor="text1"/>
        </w:rPr>
      </w:pPr>
      <w:r w:rsidRPr="00A420B1">
        <w:rPr>
          <w:color w:val="000000" w:themeColor="text1"/>
        </w:rPr>
        <w:t>Issue an annual performance report, made available to the public through the agency’s website</w:t>
      </w:r>
    </w:p>
    <w:p w:rsidR="002B2455" w:rsidRPr="00A420B1" w:rsidRDefault="002B2455" w:rsidP="002B2455">
      <w:pPr>
        <w:spacing w:after="160" w:line="259" w:lineRule="auto"/>
      </w:pPr>
    </w:p>
    <w:p w:rsidR="002B2455" w:rsidRPr="00A420B1" w:rsidRDefault="002B2455" w:rsidP="002B2455">
      <w:pPr>
        <w:pStyle w:val="Heading4"/>
        <w:rPr>
          <w:rFonts w:eastAsiaTheme="majorEastAsia"/>
        </w:rPr>
      </w:pPr>
      <w:r w:rsidRPr="00A420B1">
        <w:rPr>
          <w:rFonts w:eastAsiaTheme="majorEastAsia"/>
        </w:rPr>
        <w:t>Rapidly upskill workforce segments</w:t>
      </w:r>
    </w:p>
    <w:p w:rsidR="002B2455" w:rsidRPr="00A420B1" w:rsidRDefault="002B2455" w:rsidP="002B2455">
      <w:pPr>
        <w:spacing w:after="160" w:line="259" w:lineRule="auto"/>
      </w:pPr>
      <w:r w:rsidRPr="00A420B1">
        <w:t>Attracting FDI into high value manufacturing requires a targeted effort to rapidly scale a pool of skilled workers. With over 40% of the Georgian workforce working in agriculture and more in informal sectors, Georgia must work with manufacturing companies to develop training programs and incentivize participation to address key workforce bottlenecks, and platforms to identify candidates to fill executive and leadership roles.</w:t>
      </w:r>
    </w:p>
    <w:p w:rsidR="002B2455" w:rsidRPr="00A420B1" w:rsidRDefault="002B2455" w:rsidP="002B2455">
      <w:pPr>
        <w:spacing w:after="160" w:line="259" w:lineRule="auto"/>
        <w:rPr>
          <w:b/>
        </w:rPr>
      </w:pPr>
      <w:r w:rsidRPr="00A420B1">
        <w:rPr>
          <w:b/>
        </w:rPr>
        <w:t>Objective: Launch a targeted program to create a pipeline of qualified workers in manufacturing, food and beverage production and agronomy</w:t>
      </w:r>
    </w:p>
    <w:p w:rsidR="002B2455" w:rsidRPr="00A420B1" w:rsidRDefault="002B2455" w:rsidP="00AF39BA">
      <w:pPr>
        <w:numPr>
          <w:ilvl w:val="0"/>
          <w:numId w:val="29"/>
        </w:numPr>
        <w:spacing w:before="0" w:after="160" w:line="259" w:lineRule="auto"/>
      </w:pPr>
      <w:r w:rsidRPr="00A420B1">
        <w:t>Develop and launch TVET training programs in basic and specialized manufacturing, agronomy, and food and beverage production working with local businesses to identify existing skill needs, develop curriculum, and promote a clear pathway to employment; focus on attracting low-skilled and unemployed workers in target regions to these programs</w:t>
      </w:r>
    </w:p>
    <w:p w:rsidR="002B2455" w:rsidRPr="00A420B1" w:rsidRDefault="002B2455" w:rsidP="002B2455">
      <w:pPr>
        <w:spacing w:after="160" w:line="259" w:lineRule="auto"/>
        <w:rPr>
          <w:b/>
        </w:rPr>
      </w:pPr>
      <w:r w:rsidRPr="00A420B1">
        <w:rPr>
          <w:b/>
        </w:rPr>
        <w:t>Objective: Develop platforms to source Georgians to fill executive and other leadership roles in target industries</w:t>
      </w:r>
    </w:p>
    <w:p w:rsidR="002B2455" w:rsidRPr="00A420B1" w:rsidRDefault="002B2455" w:rsidP="00AF39BA">
      <w:pPr>
        <w:numPr>
          <w:ilvl w:val="0"/>
          <w:numId w:val="29"/>
        </w:numPr>
        <w:spacing w:before="0" w:after="60" w:line="259" w:lineRule="auto"/>
      </w:pPr>
      <w:r w:rsidRPr="00A420B1">
        <w:t>Develop a talent sourcing platform, targeting the Georgian diaspora, that is accessible to domestic and foreign companies planning to invest in Georgia and looking to fill management and executive roles</w:t>
      </w:r>
    </w:p>
    <w:p w:rsidR="002B2455" w:rsidRPr="00A420B1" w:rsidRDefault="002B2455" w:rsidP="00AF39BA">
      <w:pPr>
        <w:numPr>
          <w:ilvl w:val="0"/>
          <w:numId w:val="29"/>
        </w:numPr>
        <w:spacing w:before="0" w:after="60" w:line="259" w:lineRule="auto"/>
        <w:rPr>
          <w:color w:val="000000" w:themeColor="text1"/>
        </w:rPr>
      </w:pPr>
      <w:r w:rsidRPr="00A420B1">
        <w:rPr>
          <w:color w:val="000000" w:themeColor="text1"/>
        </w:rPr>
        <w:t>Establish internship and / or other on-the-job learning opportunities in high value manufacturing and industrial design in cooperation with businesses and employers, which may include support for high potential leaders to seek training and experience abroad; in developing this program, assess what incentives would encourage business participation (e.g., partial subsidization, lead recruiting and selection, etc.)</w:t>
      </w:r>
    </w:p>
    <w:p w:rsidR="002B2455" w:rsidRPr="00A420B1" w:rsidRDefault="002B2455" w:rsidP="00AF39BA">
      <w:pPr>
        <w:numPr>
          <w:ilvl w:val="0"/>
          <w:numId w:val="29"/>
        </w:numPr>
        <w:spacing w:before="0" w:after="60" w:line="259" w:lineRule="auto"/>
      </w:pPr>
      <w:r w:rsidRPr="00A420B1">
        <w:t>Develop partnerships with leading research centers - and potentially companies - around the world in priority industries where Georgia may lack a large number of domestic executive / management roles today (e.g., oenology, food sciences, industrial design) to create a professional career path that will incentivize students to enter these specializations and serve domestic industry as it evolves</w:t>
      </w:r>
    </w:p>
    <w:p w:rsidR="002B2455" w:rsidRPr="00A420B1" w:rsidRDefault="002B2455" w:rsidP="002B2455">
      <w:pPr>
        <w:spacing w:after="160" w:line="259" w:lineRule="auto"/>
      </w:pPr>
    </w:p>
    <w:p w:rsidR="002B2455" w:rsidRPr="00A420B1" w:rsidRDefault="002B2455" w:rsidP="002B2455">
      <w:pPr>
        <w:pStyle w:val="Heading4"/>
        <w:rPr>
          <w:rFonts w:eastAsiaTheme="majorEastAsia"/>
        </w:rPr>
      </w:pPr>
      <w:r w:rsidRPr="00A420B1">
        <w:rPr>
          <w:rFonts w:eastAsiaTheme="majorEastAsia"/>
        </w:rPr>
        <w:t>Strengthen strategic infrastructure</w:t>
      </w:r>
    </w:p>
    <w:p w:rsidR="002B2455" w:rsidRPr="00A420B1" w:rsidRDefault="002B2455" w:rsidP="002B2455">
      <w:pPr>
        <w:spacing w:after="160" w:line="259" w:lineRule="auto"/>
      </w:pPr>
      <w:r w:rsidRPr="00A420B1">
        <w:t xml:space="preserve">Tactical investments in foundational transportation and logistics infrastructure will improve Georgia’s position as a destination for high value FDI. In line with the country’s efforts to strengthen the competitiveness of the sector, basic road and connectivity infrastructure along target supply chain routes and specialized infrastructure (e.g., cold chain logistics) should be among 2025 priorities. </w:t>
      </w:r>
    </w:p>
    <w:p w:rsidR="002B2455" w:rsidRPr="00A420B1" w:rsidRDefault="002B2455" w:rsidP="002B2455">
      <w:pPr>
        <w:spacing w:after="160" w:line="259" w:lineRule="auto"/>
        <w:rPr>
          <w:b/>
        </w:rPr>
      </w:pPr>
      <w:r w:rsidRPr="00A420B1">
        <w:rPr>
          <w:b/>
        </w:rPr>
        <w:t>Objective: Enhance Georgia’s foundational logistics capabilities with a focus on improving performance on timeliness, reliability and traceability of local services</w:t>
      </w:r>
    </w:p>
    <w:p w:rsidR="002B2455" w:rsidRPr="00A420B1" w:rsidRDefault="002B2455" w:rsidP="00AF39BA">
      <w:pPr>
        <w:numPr>
          <w:ilvl w:val="0"/>
          <w:numId w:val="29"/>
        </w:numPr>
        <w:spacing w:before="0" w:after="60" w:line="259" w:lineRule="auto"/>
      </w:pPr>
      <w:r w:rsidRPr="00A420B1">
        <w:t>Define priority routes and prioritize those for developing local infrastructure critical to enabling quality logistics services that facilitate reliability and traceability, with a focus on connecting target markets defined in cooperation with industry (e.g., road transit between production / export points; wireless / broadband connectivity to support traceability; port-services to receive incoming shipments)</w:t>
      </w:r>
    </w:p>
    <w:p w:rsidR="002B2455" w:rsidRPr="00A420B1" w:rsidRDefault="002B2455" w:rsidP="00AF39BA">
      <w:pPr>
        <w:numPr>
          <w:ilvl w:val="0"/>
          <w:numId w:val="29"/>
        </w:numPr>
        <w:spacing w:before="0" w:after="60" w:line="259" w:lineRule="auto"/>
      </w:pPr>
      <w:r w:rsidRPr="00A420B1">
        <w:t xml:space="preserve">Attract one or more experienced world class logistics providers (FDI) to design and develop quality, foundational services, targeting key ports of entry and priority routes </w:t>
      </w:r>
    </w:p>
    <w:p w:rsidR="002B2455" w:rsidRPr="00A420B1" w:rsidRDefault="002B2455" w:rsidP="00AF39BA">
      <w:pPr>
        <w:numPr>
          <w:ilvl w:val="0"/>
          <w:numId w:val="29"/>
        </w:numPr>
        <w:spacing w:before="0" w:after="160" w:line="259" w:lineRule="auto"/>
      </w:pPr>
      <w:r w:rsidRPr="00A420B1">
        <w:t>Work with neighboring countries to streamline customs processes between Georgia, to enhance predictability around the timeliness of the movement of goods</w:t>
      </w:r>
    </w:p>
    <w:p w:rsidR="002B2455" w:rsidRPr="00A420B1" w:rsidRDefault="002B2455" w:rsidP="002B2455">
      <w:pPr>
        <w:spacing w:after="160"/>
        <w:rPr>
          <w:rFonts w:ascii="Arial" w:hAnsi="Arial" w:cs="Arial"/>
          <w:b/>
          <w:szCs w:val="20"/>
        </w:rPr>
      </w:pPr>
      <w:r w:rsidRPr="00A420B1">
        <w:rPr>
          <w:b/>
        </w:rPr>
        <w:t>Objective: Develop specialized logistics capabilities to serve target industries (e.g., cold chain, secured warehousing)</w:t>
      </w:r>
    </w:p>
    <w:p w:rsidR="002B2455" w:rsidRPr="00A420B1" w:rsidRDefault="002B2455" w:rsidP="00AF39BA">
      <w:pPr>
        <w:numPr>
          <w:ilvl w:val="0"/>
          <w:numId w:val="29"/>
        </w:numPr>
        <w:spacing w:before="0" w:after="60" w:line="259" w:lineRule="auto"/>
      </w:pPr>
      <w:r w:rsidRPr="00A420B1">
        <w:t>Work with local businesses in high value manufacturing (e.g., pharmaceuticals) and food and beverage to prioritize categories of value added services to be located in Georgia – initial priorities should include cold chain infrastructure and secured warehousing</w:t>
      </w:r>
    </w:p>
    <w:p w:rsidR="002B2455" w:rsidRPr="00A420B1" w:rsidRDefault="002B2455" w:rsidP="00AF39BA">
      <w:pPr>
        <w:numPr>
          <w:ilvl w:val="0"/>
          <w:numId w:val="29"/>
        </w:numPr>
        <w:spacing w:before="0" w:after="60" w:line="259" w:lineRule="auto"/>
      </w:pPr>
      <w:r w:rsidRPr="00A420B1">
        <w:t>Attract foreign companies that uses forecasting and just-in-time tracking methods to build local warehousing and supply chain capabilities in Georgia</w:t>
      </w:r>
    </w:p>
    <w:p w:rsidR="002B2455" w:rsidRPr="00A420B1" w:rsidRDefault="002B2455" w:rsidP="00AF39BA">
      <w:pPr>
        <w:numPr>
          <w:ilvl w:val="0"/>
          <w:numId w:val="29"/>
        </w:numPr>
        <w:spacing w:before="0" w:after="60" w:line="259" w:lineRule="auto"/>
      </w:pPr>
      <w:r w:rsidRPr="00A420B1">
        <w:t>Invest in developing segmented warehouses to meet specialized consumer and product needs for high value industries, tailored to specific regions’ industry makeup (e.g., high security warehouses near areas with concentrations in high value apparel, cool chain near centers for food production, etc.)</w:t>
      </w:r>
    </w:p>
    <w:p w:rsidR="002B2455" w:rsidRPr="00A420B1" w:rsidRDefault="002B2455" w:rsidP="00AF39BA">
      <w:pPr>
        <w:numPr>
          <w:ilvl w:val="0"/>
          <w:numId w:val="29"/>
        </w:numPr>
        <w:spacing w:before="0" w:after="60" w:line="259" w:lineRule="auto"/>
      </w:pPr>
      <w:r w:rsidRPr="00A420B1">
        <w:t>Complete alignment to EU and comparable global standards for supply chain and logistics, including support data interchange, processes, and capabilities</w:t>
      </w:r>
    </w:p>
    <w:p w:rsidR="002B2455" w:rsidRPr="00A420B1" w:rsidRDefault="002B2455" w:rsidP="002B2455">
      <w:pPr>
        <w:spacing w:after="160" w:line="259" w:lineRule="auto"/>
      </w:pPr>
    </w:p>
    <w:p w:rsidR="002B2455" w:rsidRPr="00A420B1" w:rsidRDefault="002B2455" w:rsidP="002B2455">
      <w:pPr>
        <w:pStyle w:val="Heading4"/>
        <w:rPr>
          <w:rFonts w:eastAsiaTheme="majorEastAsia"/>
        </w:rPr>
      </w:pPr>
      <w:r w:rsidRPr="00A420B1">
        <w:rPr>
          <w:rFonts w:eastAsiaTheme="majorEastAsia"/>
        </w:rPr>
        <w:t>Secure early catalytic investments</w:t>
      </w:r>
    </w:p>
    <w:p w:rsidR="002B2455" w:rsidRPr="00A420B1" w:rsidRDefault="002B2455" w:rsidP="002B2455">
      <w:pPr>
        <w:spacing w:after="160" w:line="259" w:lineRule="auto"/>
      </w:pPr>
      <w:r w:rsidRPr="00A420B1">
        <w:t>Securing a set of early investments is important to anchor industry growth, introduce the demand for shared innovation assets (e.g., higher education programs) and stimulate the broader innovation system. Georgia should focus on “leading” industries – high value manufacturing and food and beverage production – yet cast a broad net within them, allowing market forces to direct towards Georgia’s best opportunity to compete. It should optimize synergies where possible (e.g., industry, geographic) and focus on categories of activity that incorporate high tech and design functions.</w:t>
      </w:r>
    </w:p>
    <w:p w:rsidR="002B2455" w:rsidRPr="00A420B1" w:rsidRDefault="002B2455" w:rsidP="002B2455">
      <w:pPr>
        <w:spacing w:after="160" w:line="259" w:lineRule="auto"/>
        <w:rPr>
          <w:b/>
        </w:rPr>
      </w:pPr>
      <w:r w:rsidRPr="00A420B1">
        <w:rPr>
          <w:b/>
        </w:rPr>
        <w:t xml:space="preserve">Objective: Attract anchor businesses to locate production capabilities in Georgia that put the country on a path towards more sophisticated categories of production </w:t>
      </w:r>
    </w:p>
    <w:p w:rsidR="002B2455" w:rsidRPr="00A420B1" w:rsidRDefault="002B2455" w:rsidP="00AF39BA">
      <w:pPr>
        <w:numPr>
          <w:ilvl w:val="0"/>
          <w:numId w:val="29"/>
        </w:numPr>
        <w:spacing w:before="0" w:after="60" w:line="259" w:lineRule="auto"/>
      </w:pPr>
      <w:r w:rsidRPr="00A420B1">
        <w:t>Define (or update if already developed) a short list of priority markets based on manufacturing and food production priorities, existing trade and investment relationships and concentrations of diaspora communities – potential candidates may include: Germany, Israel, Netherlands, Switzerland, Italy, Spain</w:t>
      </w:r>
    </w:p>
    <w:p w:rsidR="002B2455" w:rsidRPr="00A420B1" w:rsidRDefault="002B2455" w:rsidP="00AF39BA">
      <w:pPr>
        <w:numPr>
          <w:ilvl w:val="0"/>
          <w:numId w:val="29"/>
        </w:numPr>
        <w:spacing w:before="0" w:after="60" w:line="259" w:lineRule="auto"/>
      </w:pPr>
      <w:r w:rsidRPr="00A420B1">
        <w:t>Pursue a short-list of high potential opportunities for investment attraction into Georgia based on a preliminary market scan and demand analysis, focused on target European markets; priority industries should include:</w:t>
      </w:r>
    </w:p>
    <w:p w:rsidR="002B2455" w:rsidRPr="00A420B1" w:rsidRDefault="002B2455" w:rsidP="00AF39BA">
      <w:pPr>
        <w:numPr>
          <w:ilvl w:val="1"/>
          <w:numId w:val="29"/>
        </w:numPr>
        <w:spacing w:before="0" w:after="60" w:line="259" w:lineRule="auto"/>
      </w:pPr>
      <w:r w:rsidRPr="00A420B1">
        <w:t>High value manufacturing: e.g., pharmaceuticals, high value fashion / apparel, aerospace and defense, instruments and devices (e.g., medical instruments, measurement instruments), etc.</w:t>
      </w:r>
    </w:p>
    <w:p w:rsidR="002B2455" w:rsidRPr="00A420B1" w:rsidRDefault="002B2455" w:rsidP="00AF39BA">
      <w:pPr>
        <w:numPr>
          <w:ilvl w:val="1"/>
          <w:numId w:val="29"/>
        </w:numPr>
        <w:spacing w:before="0" w:after="60" w:line="259" w:lineRule="auto"/>
      </w:pPr>
      <w:r w:rsidRPr="00A420B1">
        <w:t>Processed food and beverage: Wine / spirits, processed fruits and nuts, etc.</w:t>
      </w:r>
    </w:p>
    <w:p w:rsidR="002B2455" w:rsidRPr="00A420B1" w:rsidRDefault="002B2455" w:rsidP="00AF39BA">
      <w:pPr>
        <w:numPr>
          <w:ilvl w:val="0"/>
          <w:numId w:val="29"/>
        </w:numPr>
        <w:spacing w:before="0" w:after="60" w:line="259" w:lineRule="auto"/>
      </w:pPr>
      <w:r w:rsidRPr="00A420B1">
        <w:t>Develop adaptable contract and project structures for priority markets and industries (e.g., ownership, capital structure, labor / hiring requirements, etc.), incorporating assurances of investment in local workforce development</w:t>
      </w:r>
    </w:p>
    <w:p w:rsidR="002B2455" w:rsidRPr="00A420B1" w:rsidRDefault="002B2455" w:rsidP="002B2455">
      <w:pPr>
        <w:spacing w:after="160" w:line="259" w:lineRule="auto"/>
      </w:pPr>
    </w:p>
    <w:p w:rsidR="002B2455" w:rsidRPr="008358BA" w:rsidRDefault="002B2455" w:rsidP="004350AC">
      <w:pPr>
        <w:pStyle w:val="Heading2"/>
        <w:rPr>
          <w:rFonts w:eastAsiaTheme="majorEastAsia"/>
        </w:rPr>
      </w:pPr>
      <w:bookmarkStart w:id="45" w:name="_Toc535608381"/>
      <w:r w:rsidRPr="00A420B1">
        <w:rPr>
          <w:rFonts w:eastAsiaTheme="majorEastAsia"/>
        </w:rPr>
        <w:t>Innovation system maintenance and navigation</w:t>
      </w:r>
      <w:bookmarkEnd w:id="45"/>
    </w:p>
    <w:p w:rsidR="002B2455" w:rsidRPr="00A420B1" w:rsidRDefault="002B2455" w:rsidP="008358BA">
      <w:pPr>
        <w:pStyle w:val="Heading4"/>
        <w:rPr>
          <w:rFonts w:eastAsiaTheme="majorEastAsia"/>
        </w:rPr>
      </w:pPr>
      <w:bookmarkStart w:id="46" w:name="_Toc533080853"/>
      <w:r w:rsidRPr="00A420B1">
        <w:rPr>
          <w:rFonts w:eastAsiaTheme="majorEastAsia"/>
        </w:rPr>
        <w:t>Enhance agility and responsiveness in innovation governance</w:t>
      </w:r>
      <w:bookmarkEnd w:id="46"/>
      <w:r w:rsidRPr="00A420B1">
        <w:rPr>
          <w:rFonts w:eastAsiaTheme="majorEastAsia"/>
        </w:rPr>
        <w:t xml:space="preserve"> </w:t>
      </w:r>
    </w:p>
    <w:p w:rsidR="002B2455" w:rsidRPr="00A420B1" w:rsidRDefault="002B2455" w:rsidP="002B2455">
      <w:pPr>
        <w:spacing w:after="160" w:line="259" w:lineRule="auto"/>
      </w:pPr>
      <w:r w:rsidRPr="00A420B1">
        <w:t>Georgia’s ability to successfully enable continuous and evolutionary innovation will require agile and attentive governance structure, that is responsive to business needs as they evolve with the economy. To set up to achieve this, the country requires a central function to continuously monitor and advocate for innovation interests, a clear governing body capable of timely decision-making, and a transparent system for performance management.</w:t>
      </w:r>
    </w:p>
    <w:p w:rsidR="002B2455" w:rsidRPr="00A420B1" w:rsidRDefault="002B2455" w:rsidP="002B2455">
      <w:pPr>
        <w:spacing w:after="160" w:line="259" w:lineRule="auto"/>
        <w:rPr>
          <w:b/>
        </w:rPr>
      </w:pPr>
      <w:r w:rsidRPr="00A420B1">
        <w:rPr>
          <w:b/>
        </w:rPr>
        <w:t>Objective: Establish a system to govern Georgia’s innovation ecosystem that is agile and adaptive to evolving business and technology requirements</w:t>
      </w:r>
    </w:p>
    <w:p w:rsidR="002B2455" w:rsidRPr="00A420B1" w:rsidRDefault="002B2455" w:rsidP="00AF39BA">
      <w:pPr>
        <w:numPr>
          <w:ilvl w:val="0"/>
          <w:numId w:val="27"/>
        </w:numPr>
        <w:spacing w:before="0" w:after="160" w:line="259" w:lineRule="auto"/>
        <w:contextualSpacing/>
      </w:pPr>
      <w:r w:rsidRPr="00A420B1">
        <w:t>Define a steward of the innovation legal system (e.g., GITA), responsible for maintaining holistic view of its strengths and pain points relative to other countries and the needs of business, and playing a leadership role in designing and advocating for reforms</w:t>
      </w:r>
    </w:p>
    <w:p w:rsidR="002B2455" w:rsidRPr="00A420B1" w:rsidRDefault="002B2455" w:rsidP="00AF39BA">
      <w:pPr>
        <w:numPr>
          <w:ilvl w:val="0"/>
          <w:numId w:val="27"/>
        </w:numPr>
        <w:spacing w:before="0" w:after="160" w:line="259" w:lineRule="auto"/>
        <w:contextualSpacing/>
      </w:pPr>
      <w:r w:rsidRPr="00A420B1">
        <w:t>Empower the Research &amp; Innovation Council (RIC), or define an alternative central decision-making body and deputy committees, to make informed and timely cross-sector / cross-agency decisions; the main body should include executive-level government leaders, working in cooperation with more junior staff members who engage more frequently in committees</w:t>
      </w:r>
    </w:p>
    <w:p w:rsidR="002B2455" w:rsidRPr="00A420B1" w:rsidRDefault="002B2455" w:rsidP="00AF39BA">
      <w:pPr>
        <w:numPr>
          <w:ilvl w:val="0"/>
          <w:numId w:val="27"/>
        </w:numPr>
        <w:spacing w:before="0" w:after="160" w:line="259" w:lineRule="auto"/>
        <w:contextualSpacing/>
      </w:pPr>
      <w:r w:rsidRPr="00A420B1">
        <w:t>Establish a clear set of goals and metrics, performance standards, and transparent reporting processes to hold the RIC or alternative central body accountable to the broader government and Georgian public and encourage outcomes</w:t>
      </w:r>
    </w:p>
    <w:p w:rsidR="002B2455" w:rsidRPr="00A420B1" w:rsidRDefault="002B2455" w:rsidP="00AF39BA">
      <w:pPr>
        <w:numPr>
          <w:ilvl w:val="0"/>
          <w:numId w:val="29"/>
        </w:numPr>
        <w:spacing w:before="0" w:after="160" w:line="259" w:lineRule="auto"/>
      </w:pPr>
      <w:r w:rsidRPr="00A420B1">
        <w:t>Establish a web platform that clearly articulate Georgia’s national innovation agenda and objectives, with a process for annual reporting issued publicly</w:t>
      </w:r>
    </w:p>
    <w:p w:rsidR="002B2455" w:rsidRPr="00A420B1" w:rsidRDefault="002B2455" w:rsidP="002B2455">
      <w:pPr>
        <w:spacing w:after="160" w:line="259" w:lineRule="auto"/>
        <w:rPr>
          <w:b/>
        </w:rPr>
      </w:pPr>
      <w:r w:rsidRPr="00A420B1">
        <w:rPr>
          <w:b/>
        </w:rPr>
        <w:t>Objective: Increase the regularity of public-private dialogue and cooperation across government on innovation and related business function</w:t>
      </w:r>
    </w:p>
    <w:p w:rsidR="002B2455" w:rsidRPr="00A420B1" w:rsidRDefault="002B2455" w:rsidP="00AF39BA">
      <w:pPr>
        <w:numPr>
          <w:ilvl w:val="0"/>
          <w:numId w:val="29"/>
        </w:numPr>
        <w:spacing w:before="0" w:after="60" w:line="259" w:lineRule="auto"/>
      </w:pPr>
      <w:r w:rsidRPr="00A420B1">
        <w:t>Facilitate basic business or commercial training opportunities for public sector employees in front-line roles, potentially including externships, support for enrollment in mini MBA programs, classroom training programs, etc.</w:t>
      </w:r>
    </w:p>
    <w:p w:rsidR="002B2455" w:rsidRPr="00A420B1" w:rsidRDefault="002B2455" w:rsidP="00AF39BA">
      <w:pPr>
        <w:numPr>
          <w:ilvl w:val="0"/>
          <w:numId w:val="29"/>
        </w:numPr>
        <w:spacing w:before="0" w:after="60" w:line="259" w:lineRule="auto"/>
      </w:pPr>
      <w:r w:rsidRPr="00A420B1">
        <w:t>Pursue a recruitment strategy that incorporates hiring high performing private sector leaders into strategic public-sector roles, particularly that require frequent cross-sector communication</w:t>
      </w:r>
    </w:p>
    <w:p w:rsidR="002B2455" w:rsidRPr="00A420B1" w:rsidRDefault="002B2455" w:rsidP="00AF39BA">
      <w:pPr>
        <w:numPr>
          <w:ilvl w:val="0"/>
          <w:numId w:val="29"/>
        </w:numPr>
        <w:spacing w:before="0" w:after="160" w:line="259" w:lineRule="auto"/>
      </w:pPr>
      <w:r w:rsidRPr="00A420B1">
        <w:t>Hold workshops for businesses interested in serving government clients to learn basics of government priorities and procedures and ways companies can adapt their business models to serve public agencies more competitively</w:t>
      </w:r>
    </w:p>
    <w:p w:rsidR="002B2455" w:rsidRPr="00A420B1" w:rsidRDefault="002B2455" w:rsidP="002B2455">
      <w:pPr>
        <w:spacing w:after="160" w:line="259" w:lineRule="auto"/>
        <w:ind w:left="720"/>
      </w:pPr>
    </w:p>
    <w:p w:rsidR="002B2455" w:rsidRPr="00A420B1" w:rsidRDefault="002B2455" w:rsidP="008358BA">
      <w:pPr>
        <w:pStyle w:val="Heading4"/>
        <w:rPr>
          <w:rFonts w:eastAsiaTheme="majorEastAsia"/>
        </w:rPr>
      </w:pPr>
      <w:r w:rsidRPr="00A420B1">
        <w:rPr>
          <w:rFonts w:eastAsiaTheme="majorEastAsia"/>
        </w:rPr>
        <w:t xml:space="preserve">Improve ease of navigation </w:t>
      </w:r>
    </w:p>
    <w:p w:rsidR="002B2455" w:rsidRPr="00A420B1" w:rsidRDefault="002B2455" w:rsidP="002B2455">
      <w:pPr>
        <w:spacing w:after="160" w:line="259" w:lineRule="auto"/>
        <w:rPr>
          <w:color w:val="000000" w:themeColor="text1"/>
        </w:rPr>
      </w:pPr>
      <w:r w:rsidRPr="00A420B1">
        <w:rPr>
          <w:color w:val="000000" w:themeColor="text1"/>
        </w:rPr>
        <w:t>For investments in innovation assets and incentives to impact business behavior, businesses must be knowledgeable that they exist and be able to access relevant resources. As Georgia develops new resources to encourage innovation, establishing central points of reference will help businesses navigate a changing environment and ultimately enhance their impact.</w:t>
      </w:r>
    </w:p>
    <w:p w:rsidR="002B2455" w:rsidRPr="00A420B1" w:rsidRDefault="002B2455" w:rsidP="002B2455">
      <w:pPr>
        <w:spacing w:after="160" w:line="259" w:lineRule="auto"/>
        <w:rPr>
          <w:b/>
        </w:rPr>
      </w:pPr>
      <w:r w:rsidRPr="00A420B1">
        <w:rPr>
          <w:b/>
        </w:rPr>
        <w:t>Objective: Make Georgia’s innovation resources easy to navigate for investors, businesses and other engaged stakeholders</w:t>
      </w:r>
    </w:p>
    <w:p w:rsidR="002B2455" w:rsidRPr="00A420B1" w:rsidRDefault="002B2455" w:rsidP="00AF39BA">
      <w:pPr>
        <w:numPr>
          <w:ilvl w:val="0"/>
          <w:numId w:val="28"/>
        </w:numPr>
        <w:spacing w:before="0" w:after="160" w:line="259" w:lineRule="auto"/>
        <w:contextualSpacing/>
      </w:pPr>
      <w:r w:rsidRPr="00A420B1">
        <w:t>Identify and empower a unit within government to serve as the primary point of contact for businesses seeking to innovate (e.g., GITA), with the core function of helping stakeholders access the resources necessary to do so from within Georgia</w:t>
      </w:r>
    </w:p>
    <w:p w:rsidR="002B2455" w:rsidRPr="00A420B1" w:rsidRDefault="002B2455" w:rsidP="00AF39BA">
      <w:pPr>
        <w:numPr>
          <w:ilvl w:val="0"/>
          <w:numId w:val="28"/>
        </w:numPr>
        <w:spacing w:before="0" w:after="160" w:line="259" w:lineRule="auto"/>
        <w:contextualSpacing/>
      </w:pPr>
      <w:r w:rsidRPr="00A420B1">
        <w:t>Build a web platform that provides a central point of access to Georgia’s innovation assets and programs that can help businesses independently explore and access resources</w:t>
      </w:r>
    </w:p>
    <w:p w:rsidR="002B2455" w:rsidRPr="002B2455" w:rsidRDefault="002B2455" w:rsidP="002B2455"/>
    <w:p w:rsidR="001E45F5" w:rsidRDefault="002B2455" w:rsidP="001E45F5">
      <w:pPr>
        <w:pStyle w:val="Heading1"/>
      </w:pPr>
      <w:bookmarkStart w:id="47" w:name="_Toc533080854"/>
      <w:bookmarkStart w:id="48" w:name="_Toc535608382"/>
      <w:r>
        <w:t>Risk assessment</w:t>
      </w:r>
      <w:bookmarkEnd w:id="47"/>
      <w:bookmarkEnd w:id="48"/>
    </w:p>
    <w:p w:rsidR="002B2455" w:rsidRPr="00A420B1" w:rsidRDefault="002B2455" w:rsidP="002B2455">
      <w:r w:rsidRPr="00A420B1">
        <w:t xml:space="preserve">While this strategy builds on established best practices and existing assets within Georgia, a variety of external factors will influence its success. Several key risks represent potential challenges to realizing the strategy’s impact. Identifying these risks and taking direct steps to mitigate their effects, building on existing elements of the strategy, presents the best opportunity to limit their likely impact on the strategy. </w:t>
      </w:r>
    </w:p>
    <w:p w:rsidR="002B2455" w:rsidRPr="00A420B1" w:rsidRDefault="002B2455" w:rsidP="002B2455">
      <w:pPr>
        <w:spacing w:after="160" w:line="259" w:lineRule="auto"/>
        <w:rPr>
          <w:i/>
        </w:rPr>
      </w:pPr>
    </w:p>
    <w:p w:rsidR="002B2455" w:rsidRPr="00A420B1" w:rsidRDefault="002B2455" w:rsidP="002B2455">
      <w:pPr>
        <w:pStyle w:val="Heading4"/>
      </w:pPr>
      <w:r w:rsidRPr="00A420B1">
        <w:t>Economic risk:</w:t>
      </w:r>
    </w:p>
    <w:p w:rsidR="002B2455" w:rsidRPr="002B2455" w:rsidRDefault="002B2455" w:rsidP="002B2455">
      <w:pPr>
        <w:spacing w:after="160" w:line="259" w:lineRule="auto"/>
        <w:rPr>
          <w:b/>
        </w:rPr>
      </w:pPr>
      <w:r w:rsidRPr="00A420B1">
        <w:t xml:space="preserve">A downturn in the domestic or regional economy could undermine incentives for innovation and diminish resources available to finance Georgia’s innovation agenda. Externally, a downturn in the global economy could impact the viability of attracting foreign investment and investors become more conservative. Economic challenges in nearby countries could also affect the value of Georgian currency and therefore its ability to finance required innovation investments. Current challenges in Turkey make this a particularly imminent threat. This is potentially compounded by Georgia’s increasing dependence on deficit spending, which could over time present a challenge to attract international financing and constrain liquid capital available to finance investments to advance innovation. </w:t>
      </w:r>
    </w:p>
    <w:p w:rsidR="002B2455" w:rsidRPr="00A420B1" w:rsidRDefault="002B2455" w:rsidP="002B2455">
      <w:r w:rsidRPr="00A420B1">
        <w:rPr>
          <w:i/>
        </w:rPr>
        <w:t>Mitigation:</w:t>
      </w:r>
      <w:r w:rsidRPr="00A420B1">
        <w:t xml:space="preserve"> Core to mitigating this risk will be targeting industries, as well as trade partners with sound economies, that are relatively resilient to economic impact. In addition to the benefits implied through the DCFTA, trade relationships with EU countries (as opposed to nearby emerging economies) can bring the benefit of enhancing economic and financial security and are central to this strategy. Pursuing a diversified industrial development approach, without compromising focus on core competitive industries, can also enhance economic resilience. Domestically, proper management of the government budget with appropriate deficit spending will be important to </w:t>
      </w:r>
      <w:r>
        <w:t>achieving its long-term agenda.</w:t>
      </w:r>
    </w:p>
    <w:p w:rsidR="002B2455" w:rsidRPr="002B2455" w:rsidRDefault="002B2455" w:rsidP="002B2455">
      <w:r w:rsidRPr="00A420B1">
        <w:t>In addition, this strategy mitigates risk tied to government financing capabilities by emphasizing incentives to encourage private sector engagement, thereby shifting some of the burden onto global companies. Beyond diversifying sources of financing, these companies may be more resilient to local economic challenges thanks to deep linkages in other markets, thereby offering a potentially steadier stre</w:t>
      </w:r>
      <w:r>
        <w:t>am of financing.</w:t>
      </w:r>
    </w:p>
    <w:p w:rsidR="002B2455" w:rsidRDefault="002B2455" w:rsidP="002B2455">
      <w:pPr>
        <w:spacing w:after="160" w:line="259" w:lineRule="auto"/>
        <w:rPr>
          <w:b/>
        </w:rPr>
      </w:pPr>
    </w:p>
    <w:p w:rsidR="002B2455" w:rsidRPr="00A420B1" w:rsidRDefault="002B2455" w:rsidP="002B2455">
      <w:pPr>
        <w:pStyle w:val="Heading4"/>
      </w:pPr>
      <w:r w:rsidRPr="00A420B1">
        <w:t>Geopolitical risk</w:t>
      </w:r>
    </w:p>
    <w:p w:rsidR="002B2455" w:rsidRPr="00A420B1" w:rsidRDefault="002B2455" w:rsidP="002B2455">
      <w:r w:rsidRPr="00A420B1">
        <w:t xml:space="preserve">The success of this strategy would potentially be affected by a change in the real or perceived domestic or regional security environment. This could include a rise in tensions among local separatist movements, or potential aggressive move by neighboring countries challenging other’s sovereignty.  This extends not only to Georgia’s immediate neighbors, but also to countries along its main trade routes with Europe and China. Both would affect the country’s ability to attract foreign investment and tradable sectors bringing money into the economy (e.g., tourism), as well as propensity of local companies to invest in innovation, particularly that which may have a longer lead-time to returns. </w:t>
      </w:r>
    </w:p>
    <w:p w:rsidR="002B2455" w:rsidRPr="00A420B1" w:rsidRDefault="002B2455" w:rsidP="002B2455">
      <w:r w:rsidRPr="00A420B1">
        <w:rPr>
          <w:i/>
        </w:rPr>
        <w:t>Mitigation:</w:t>
      </w:r>
      <w:r w:rsidRPr="00A420B1">
        <w:t xml:space="preserve"> Georgia is unlikely to be able to avoid all the repercussions should this occur; however, a few steps can help mitigate the risk. Domestically, prioritizing inclusive investments that benefit and engage diverse domestic groups, particularly those at risk for marginalization, can create an environment where more of the population benefits from these investments, thereby decreasing the chances of discontent. Externally, diversifying industrial partnerships and trade routes can diminish vulnerability to targeted or spill-over disruptions. Similarly, limiting dependence on highly perishable products can also improve resilience of the innovation economy in the case of domestic or regional instability, by improve the ability to withstand supply chain delays.</w:t>
      </w:r>
    </w:p>
    <w:p w:rsidR="002B2455" w:rsidRPr="00A420B1" w:rsidRDefault="002B2455" w:rsidP="002B2455"/>
    <w:p w:rsidR="002B2455" w:rsidRDefault="002B2455" w:rsidP="002B2455">
      <w:r w:rsidRPr="00A420B1">
        <w:t>In addition, empowering defense and defense-related sector innovation such that they are prepared to thrive in an environment where they are the target of increased investment and demand can convert this risk into an innovation opportunity</w:t>
      </w:r>
    </w:p>
    <w:p w:rsidR="002B2455" w:rsidRDefault="002B2455" w:rsidP="002B2455">
      <w:pPr>
        <w:rPr>
          <w:i/>
        </w:rPr>
      </w:pPr>
    </w:p>
    <w:p w:rsidR="002B2455" w:rsidRPr="00734161" w:rsidRDefault="002B2455" w:rsidP="002B2455">
      <w:pPr>
        <w:pStyle w:val="Heading4"/>
      </w:pPr>
      <w:r w:rsidRPr="00D87835">
        <w:t>Institutional coordination</w:t>
      </w:r>
      <w:r>
        <w:t xml:space="preserve"> risk</w:t>
      </w:r>
    </w:p>
    <w:p w:rsidR="002B2455" w:rsidRDefault="002B2455" w:rsidP="002B2455">
      <w:r>
        <w:t>Implementing this strategy r</w:t>
      </w:r>
      <w:r w:rsidRPr="00C908F1">
        <w:t xml:space="preserve">equires collaboration across government, </w:t>
      </w:r>
      <w:r>
        <w:t>the private sector and across industries, which has historically been a challenge given the large number of stakeholders and corresponding interests</w:t>
      </w:r>
      <w:r w:rsidRPr="00C908F1">
        <w:t>. In the past, lack of accountability, slow decision-making and siloed initiatives have prevented development in the innovation ecosystem from progressing. Poor communication has also led to duplicative activities, or compromised implementation. A lack of qualified and empowered leadership</w:t>
      </w:r>
      <w:r>
        <w:t xml:space="preserve"> of key functions (e.g., investment attraction)</w:t>
      </w:r>
      <w:r w:rsidRPr="00C908F1">
        <w:t xml:space="preserve"> will also put the effect</w:t>
      </w:r>
      <w:r>
        <w:t>iveness of the strategy at risk.</w:t>
      </w:r>
    </w:p>
    <w:p w:rsidR="002B2455" w:rsidRDefault="002B2455" w:rsidP="002B2455">
      <w:r w:rsidRPr="00BB106F">
        <w:rPr>
          <w:i/>
        </w:rPr>
        <w:t xml:space="preserve">Mitigation:  </w:t>
      </w:r>
      <w:r>
        <w:t>This strategy mitigates this risk first and foremost by recommending a s</w:t>
      </w:r>
      <w:r w:rsidRPr="00845FA4">
        <w:t>trong</w:t>
      </w:r>
      <w:r>
        <w:t xml:space="preserve"> yet agile central</w:t>
      </w:r>
      <w:r w:rsidRPr="00845FA4">
        <w:t xml:space="preserve"> coordination function</w:t>
      </w:r>
      <w:r>
        <w:t>, integrating members of the public and private sector. While executive level participation is critical to ensuring this body has sufficient authority to mobilize coordinated action, complementary committees staffed with more junior operators and advisors that meet more regularly is important to ensuring regular and timeline interaction across parties.</w:t>
      </w:r>
    </w:p>
    <w:p w:rsidR="002B2455" w:rsidRDefault="002B2455" w:rsidP="002B2455">
      <w:r>
        <w:t xml:space="preserve">Clearly identifying </w:t>
      </w:r>
      <w:r w:rsidRPr="00845FA4">
        <w:t xml:space="preserve">parties </w:t>
      </w:r>
      <w:r>
        <w:t>responsible</w:t>
      </w:r>
      <w:r w:rsidRPr="00845FA4">
        <w:t xml:space="preserve"> for delivery</w:t>
      </w:r>
      <w:r>
        <w:t xml:space="preserve"> of different components of the strategy and holding them accountable to clear metrics through t</w:t>
      </w:r>
      <w:r w:rsidRPr="00845FA4">
        <w:t>ransparent and regular reporting</w:t>
      </w:r>
      <w:r>
        <w:t xml:space="preserve"> will similarly help diminish coordination risks. The action plan accompanying this document identifies the proposed owners for each. Government should likewise establish clear process and standard for annual / semi-annual reporting on performance.</w:t>
      </w:r>
    </w:p>
    <w:p w:rsidR="002B2455" w:rsidRDefault="002B2455" w:rsidP="002B2455">
      <w:pPr>
        <w:pStyle w:val="ListParagraph"/>
        <w:ind w:left="1440"/>
      </w:pPr>
    </w:p>
    <w:p w:rsidR="002B2455" w:rsidRPr="00734161" w:rsidRDefault="002B2455" w:rsidP="002B2455">
      <w:pPr>
        <w:pStyle w:val="Heading4"/>
      </w:pPr>
      <w:r w:rsidRPr="00D87835">
        <w:t>Political Risk</w:t>
      </w:r>
      <w:r>
        <w:t xml:space="preserve">  </w:t>
      </w:r>
    </w:p>
    <w:p w:rsidR="002B2455" w:rsidRPr="002B2455" w:rsidRDefault="002B2455" w:rsidP="002B2455">
      <w:r>
        <w:t xml:space="preserve">Changes in leadership – at all levels of government but particularly at the executive level – risk leading to deviations from the initial strategy and disrupt delivery and impact, particularly in areas that requires longer-term investment and time to maturity. Georgia has historically experienced a range of policy shifts and projects ceased under these circumstances and it remains one of the clearest risk to the strategy. Short of full transitions, near-sighted political ambitions could overshadow necessary long-term investments, particularly during election cycles. </w:t>
      </w:r>
    </w:p>
    <w:p w:rsidR="002B2455" w:rsidRDefault="002B2455" w:rsidP="002B2455">
      <w:r w:rsidRPr="00D87835">
        <w:rPr>
          <w:i/>
        </w:rPr>
        <w:t>Mitigation:</w:t>
      </w:r>
      <w:r>
        <w:t xml:space="preserve"> Core to mitigating this risk is avoiding politicization of innovation policies, particularly by engaging diverse political groups in their prioritization, design and implementation. Ensuring that different groups and parties can realize their interests and share accountability for its delivery will help diminish likeliness of a complete disruption in the case of a political transition.</w:t>
      </w:r>
    </w:p>
    <w:p w:rsidR="002B2455" w:rsidRDefault="002B2455" w:rsidP="002B2455">
      <w:r>
        <w:t>In addition to guarding against financial and economic risks, the strategy’s focus on empower the private sector and the broader population is similarly important to mitigating against this risk, by building a neutral base capable of driving the strategy forward in the case of a government transition. Identifying and engaging private sector champions who are relatively resilient to the pull of politics, can help offer a sustained voice for the policies prescribed in this strategy.</w:t>
      </w:r>
    </w:p>
    <w:p w:rsidR="002B2455" w:rsidRDefault="002B2455" w:rsidP="002B2455"/>
    <w:p w:rsidR="002B2455" w:rsidRPr="00734161" w:rsidRDefault="002B2455" w:rsidP="002B2455">
      <w:pPr>
        <w:pStyle w:val="Heading4"/>
      </w:pPr>
      <w:r w:rsidRPr="00734161">
        <w:t>Competitive risk</w:t>
      </w:r>
    </w:p>
    <w:p w:rsidR="002B2455" w:rsidRDefault="002B2455" w:rsidP="002B2455">
      <w:r>
        <w:t>This strategy builds on Georgia’s clear comparative advantages relative to its neighbors, however it is possible that those countries could make investments that detract from Georgia’s relative advantage and close that gap. Successfully negotiating a FTA, or dramatic reforms to the business environment in a neighboring country such as Armenia that divert potential investment away from Georgia are examples of such a risk. Georgia could see a net benefit from such a case; however it would need to craft policies and investments accordingly to optimize the potential returns realized through differentiated assets and incentives.</w:t>
      </w:r>
    </w:p>
    <w:p w:rsidR="002B2455" w:rsidRDefault="002B2455" w:rsidP="002B2455"/>
    <w:p w:rsidR="002B2455" w:rsidRDefault="002B2455" w:rsidP="002B2455">
      <w:r w:rsidRPr="004B61B7">
        <w:rPr>
          <w:i/>
        </w:rPr>
        <w:t>Mitigation:</w:t>
      </w:r>
      <w:r>
        <w:t xml:space="preserve"> Continuing to focus on and reinforce Georgia’s differentiated advantages identified in this strategy is essential to mitigating this risk, particularly those that are not easily replicable (e.g., environmental). In parallel, Georgia should continue to monitor neighboring countries’ economic development and innovation strategies to ensure Georgia’s remains complementary, leveraging central coordination to remain agile in case of a need for a shift. Likewise, Georgia can proactively engage with policy makers on issues that have material effects on Georgia’s innovation potential to try to influence policy in Georgia’s interest</w:t>
      </w:r>
    </w:p>
    <w:p w:rsidR="002B2455" w:rsidRDefault="002B2455" w:rsidP="002B2455"/>
    <w:p w:rsidR="002B2455" w:rsidRPr="00734161" w:rsidRDefault="002B2455" w:rsidP="002B2455">
      <w:pPr>
        <w:pStyle w:val="Heading4"/>
      </w:pPr>
      <w:r w:rsidRPr="00734161">
        <w:t>Social risk</w:t>
      </w:r>
    </w:p>
    <w:p w:rsidR="002B2455" w:rsidRDefault="002B2455" w:rsidP="002B2455">
      <w:r>
        <w:t>In an environment where wealth, education and shared public resources are increasingly concentrated I Tbilisi and Georgia’s urban areas, there is a risk that investments in innovation could lead to actual or perceived benefits for only a small portion of the population, potentially causing large segments of the population to reject the strategy. Apart from provoking unrest, this could deepen social and economic inequality among Georgians and threaten the underlying stability of the economy.</w:t>
      </w:r>
    </w:p>
    <w:p w:rsidR="002B2455" w:rsidRDefault="002B2455" w:rsidP="002B2455">
      <w:r w:rsidRPr="00C31137">
        <w:rPr>
          <w:i/>
        </w:rPr>
        <w:t>Mitigation:</w:t>
      </w:r>
      <w:r>
        <w:t xml:space="preserve"> Mitigating this risk requires focus on inclusive policies and programs, in particular those that create opportunities for both Georgia’s urban and rural populations. Efforts to attract investment should focus on projects that bridge the divide between urban and non-urban centers and other social and geographic divides. One way to help make this happen is by ensuring that representatives from Tbilisi’s rural areas, and from traditionally marginalized groups (e.g., women, youth) are sufficiently represented in key decision-making bodies associated with delivery of the strategy.</w:t>
      </w:r>
    </w:p>
    <w:p w:rsidR="00437EE3" w:rsidRDefault="00437EE3" w:rsidP="00437EE3"/>
    <w:p w:rsidR="00437EE3" w:rsidRDefault="00437EE3" w:rsidP="00437EE3"/>
    <w:p w:rsidR="00437EE3" w:rsidRDefault="00437EE3" w:rsidP="00437EE3">
      <w:pPr>
        <w:pStyle w:val="Heading1"/>
      </w:pPr>
      <w:bookmarkStart w:id="49" w:name="_Toc535608383"/>
      <w:r>
        <w:t>Monitoring &amp; Evaluation</w:t>
      </w:r>
      <w:bookmarkEnd w:id="49"/>
    </w:p>
    <w:p w:rsidR="00437EE3" w:rsidRDefault="00437EE3" w:rsidP="00437EE3"/>
    <w:p w:rsidR="00437EE3" w:rsidRPr="00437EE3" w:rsidRDefault="00437EE3" w:rsidP="00437EE3">
      <w:r>
        <w:t>A</w:t>
      </w:r>
      <w:r w:rsidRPr="007D3547">
        <w:t xml:space="preserve"> monitoring, reporting and evaluation mechanism shall be developed and put in place to ensure accountability of the respective governmental agencies over the imple</w:t>
      </w:r>
      <w:r>
        <w:t xml:space="preserve">mentation of their commitments. </w:t>
      </w:r>
      <w:r w:rsidRPr="007D3547">
        <w:t xml:space="preserve">Georgia Innovation Strategy 2025 covers the period of </w:t>
      </w:r>
      <w:r>
        <w:t>six years. A corresponding action plan</w:t>
      </w:r>
      <w:r w:rsidRPr="007D3547">
        <w:t xml:space="preserve"> </w:t>
      </w:r>
      <w:r>
        <w:t>for that period includes</w:t>
      </w:r>
      <w:r w:rsidRPr="007D3547">
        <w:t xml:space="preserve"> activities to achieve these objectives, performance indicators, implementation time</w:t>
      </w:r>
      <w:r>
        <w:t>line for short, medium and long-</w:t>
      </w:r>
      <w:r w:rsidRPr="007D3547">
        <w:t xml:space="preserve">term targets and the responsible agencies. </w:t>
      </w:r>
      <w:r>
        <w:t>Owners of these activities are accountable for results</w:t>
      </w:r>
      <w:r w:rsidRPr="007D3547">
        <w:t xml:space="preserve"> measured by performance indicators defined for each specific objective to be</w:t>
      </w:r>
      <w:r>
        <w:t xml:space="preserve"> achieved within the given time</w:t>
      </w:r>
      <w:r w:rsidRPr="007D3547">
        <w:t xml:space="preserve"> period. As pa</w:t>
      </w:r>
      <w:r>
        <w:t>rt of monitoring and evaluation, responsible entities will establish a baseline</w:t>
      </w:r>
      <w:r w:rsidRPr="007D3547">
        <w:t xml:space="preserve"> </w:t>
      </w:r>
      <w:r w:rsidRPr="007D3547">
        <w:rPr>
          <w:bCs/>
        </w:rPr>
        <w:t>at the outset of a new strategy against which progress will be measured.</w:t>
      </w:r>
    </w:p>
    <w:p w:rsidR="00437EE3" w:rsidRPr="007D3547" w:rsidRDefault="00437EE3" w:rsidP="00437EE3">
      <w:r w:rsidRPr="007D3547">
        <w:t xml:space="preserve">The designated lead institution [or an interagency council/commission created by the lead institution] will coordinate policy implementation. </w:t>
      </w:r>
      <w:r>
        <w:t xml:space="preserve">This agency </w:t>
      </w:r>
      <w:r w:rsidRPr="007D3547">
        <w:t>will be responsible for monitoring, reporting and evaluation, which is to:</w:t>
      </w:r>
    </w:p>
    <w:p w:rsidR="00437EE3" w:rsidRPr="00437EE3" w:rsidRDefault="00437EE3" w:rsidP="00AF39BA">
      <w:pPr>
        <w:pStyle w:val="ListParagraph"/>
        <w:numPr>
          <w:ilvl w:val="0"/>
          <w:numId w:val="37"/>
        </w:numPr>
        <w:contextualSpacing/>
        <w:rPr>
          <w:color w:val="auto"/>
          <w:sz w:val="20"/>
        </w:rPr>
      </w:pPr>
      <w:r w:rsidRPr="00437EE3">
        <w:rPr>
          <w:color w:val="auto"/>
          <w:sz w:val="20"/>
        </w:rPr>
        <w:t>organize data collection from the implementing agencies within the set time limits,</w:t>
      </w:r>
    </w:p>
    <w:p w:rsidR="00437EE3" w:rsidRPr="00437EE3" w:rsidRDefault="00437EE3" w:rsidP="00AF39BA">
      <w:pPr>
        <w:pStyle w:val="ListParagraph"/>
        <w:numPr>
          <w:ilvl w:val="0"/>
          <w:numId w:val="37"/>
        </w:numPr>
        <w:contextualSpacing/>
        <w:rPr>
          <w:color w:val="auto"/>
          <w:sz w:val="20"/>
        </w:rPr>
      </w:pPr>
      <w:r w:rsidRPr="00437EE3">
        <w:rPr>
          <w:color w:val="auto"/>
          <w:sz w:val="20"/>
        </w:rPr>
        <w:t>ensure incorporation of the received information, and</w:t>
      </w:r>
    </w:p>
    <w:p w:rsidR="00437EE3" w:rsidRDefault="00437EE3" w:rsidP="00AF39BA">
      <w:pPr>
        <w:pStyle w:val="ListParagraph"/>
        <w:numPr>
          <w:ilvl w:val="0"/>
          <w:numId w:val="37"/>
        </w:numPr>
        <w:contextualSpacing/>
        <w:rPr>
          <w:color w:val="auto"/>
          <w:sz w:val="20"/>
        </w:rPr>
      </w:pPr>
      <w:r w:rsidRPr="00437EE3">
        <w:rPr>
          <w:color w:val="auto"/>
          <w:sz w:val="20"/>
        </w:rPr>
        <w:t xml:space="preserve">produce annual / semi-annual progress report including the action plan implementation report. </w:t>
      </w:r>
    </w:p>
    <w:p w:rsidR="00437EE3" w:rsidRPr="00437EE3" w:rsidRDefault="00437EE3" w:rsidP="00437EE3">
      <w:pPr>
        <w:pStyle w:val="ListParagraph"/>
        <w:ind w:firstLine="0"/>
        <w:contextualSpacing/>
        <w:rPr>
          <w:color w:val="auto"/>
          <w:sz w:val="20"/>
        </w:rPr>
      </w:pPr>
    </w:p>
    <w:p w:rsidR="00437EE3" w:rsidRPr="00437EE3" w:rsidRDefault="00437EE3" w:rsidP="00437EE3">
      <w:r w:rsidRPr="00437EE3">
        <w:t xml:space="preserve">To evaluate the implementation of the strategy on mid-term and final stages, the responsible agency will also produce mid-term and final reports. </w:t>
      </w:r>
    </w:p>
    <w:p w:rsidR="00437EE3" w:rsidRPr="00437EE3" w:rsidRDefault="00437EE3" w:rsidP="00437EE3">
      <w:r w:rsidRPr="00437EE3">
        <w:t>Overall progress against the 2025 innovation strategy should be evaluated against three primary indicators:</w:t>
      </w:r>
    </w:p>
    <w:p w:rsidR="00437EE3" w:rsidRDefault="00437EE3" w:rsidP="00437EE3">
      <w:pPr>
        <w:pStyle w:val="NoSpacing"/>
        <w:rPr>
          <w:color w:val="000000"/>
        </w:rPr>
      </w:pPr>
    </w:p>
    <w:tbl>
      <w:tblPr>
        <w:tblW w:w="0" w:type="auto"/>
        <w:tblBorders>
          <w:top w:val="single" w:sz="4" w:space="0" w:color="002A6C" w:themeColor="accent1"/>
          <w:bottom w:val="single" w:sz="4" w:space="0" w:color="002A6C" w:themeColor="accent1"/>
          <w:insideH w:val="single" w:sz="4" w:space="0" w:color="002A6C" w:themeColor="accent1"/>
        </w:tblBorders>
        <w:tblLook w:val="04A0" w:firstRow="1" w:lastRow="0" w:firstColumn="1" w:lastColumn="0" w:noHBand="0" w:noVBand="1"/>
      </w:tblPr>
      <w:tblGrid>
        <w:gridCol w:w="5485"/>
        <w:gridCol w:w="3865"/>
      </w:tblGrid>
      <w:tr w:rsidR="00437EE3" w:rsidRPr="00437EE3" w:rsidTr="00437EE3">
        <w:trPr>
          <w:trHeight w:val="382"/>
        </w:trPr>
        <w:tc>
          <w:tcPr>
            <w:tcW w:w="5485" w:type="dxa"/>
            <w:vAlign w:val="center"/>
          </w:tcPr>
          <w:p w:rsidR="00437EE3" w:rsidRPr="00437EE3" w:rsidRDefault="00437EE3" w:rsidP="00437EE3">
            <w:pPr>
              <w:pStyle w:val="NoSpacing"/>
              <w:rPr>
                <w:b/>
                <w:color w:val="000000"/>
                <w:sz w:val="20"/>
                <w:szCs w:val="20"/>
              </w:rPr>
            </w:pPr>
            <w:r w:rsidRPr="00437EE3">
              <w:rPr>
                <w:b/>
                <w:color w:val="000000"/>
                <w:sz w:val="20"/>
                <w:szCs w:val="20"/>
              </w:rPr>
              <w:t>Indicators</w:t>
            </w:r>
          </w:p>
        </w:tc>
        <w:tc>
          <w:tcPr>
            <w:tcW w:w="3865" w:type="dxa"/>
            <w:vAlign w:val="center"/>
          </w:tcPr>
          <w:p w:rsidR="00437EE3" w:rsidRPr="00437EE3" w:rsidRDefault="00437EE3" w:rsidP="00437EE3">
            <w:pPr>
              <w:pStyle w:val="NoSpacing"/>
              <w:rPr>
                <w:b/>
                <w:color w:val="000000"/>
                <w:sz w:val="20"/>
                <w:szCs w:val="20"/>
              </w:rPr>
            </w:pPr>
            <w:r w:rsidRPr="00437EE3">
              <w:rPr>
                <w:b/>
                <w:color w:val="000000"/>
                <w:sz w:val="20"/>
                <w:szCs w:val="20"/>
              </w:rPr>
              <w:t>Unit of measure</w:t>
            </w:r>
          </w:p>
        </w:tc>
      </w:tr>
      <w:tr w:rsidR="00437EE3" w:rsidRPr="00437EE3" w:rsidTr="00437EE3">
        <w:trPr>
          <w:trHeight w:val="1048"/>
        </w:trPr>
        <w:tc>
          <w:tcPr>
            <w:tcW w:w="5485" w:type="dxa"/>
            <w:vAlign w:val="center"/>
          </w:tcPr>
          <w:p w:rsidR="00437EE3" w:rsidRPr="00437EE3" w:rsidRDefault="00437EE3" w:rsidP="00437EE3">
            <w:pPr>
              <w:spacing w:line="256" w:lineRule="auto"/>
              <w:rPr>
                <w:rFonts w:cstheme="minorHAnsi"/>
                <w:szCs w:val="20"/>
              </w:rPr>
            </w:pPr>
            <w:r w:rsidRPr="00437EE3">
              <w:rPr>
                <w:rFonts w:cstheme="minorHAnsi"/>
                <w:szCs w:val="20"/>
              </w:rPr>
              <w:t>Domestic, regional and global recognition as a source of innovations and innovative people</w:t>
            </w:r>
          </w:p>
        </w:tc>
        <w:tc>
          <w:tcPr>
            <w:tcW w:w="3865" w:type="dxa"/>
            <w:vAlign w:val="center"/>
          </w:tcPr>
          <w:p w:rsidR="00437EE3" w:rsidRPr="00437EE3" w:rsidRDefault="00437EE3" w:rsidP="00AF39BA">
            <w:pPr>
              <w:pStyle w:val="NoSpacing"/>
              <w:numPr>
                <w:ilvl w:val="0"/>
                <w:numId w:val="36"/>
              </w:numPr>
              <w:ind w:left="342"/>
              <w:rPr>
                <w:color w:val="000000"/>
                <w:sz w:val="20"/>
                <w:szCs w:val="20"/>
              </w:rPr>
            </w:pPr>
            <w:r w:rsidRPr="00437EE3">
              <w:rPr>
                <w:color w:val="000000"/>
                <w:sz w:val="20"/>
                <w:szCs w:val="20"/>
              </w:rPr>
              <w:t>Global Innovation Index overall rank</w:t>
            </w:r>
          </w:p>
          <w:p w:rsidR="00437EE3" w:rsidRPr="00437EE3" w:rsidRDefault="00437EE3" w:rsidP="00AF39BA">
            <w:pPr>
              <w:pStyle w:val="NoSpacing"/>
              <w:numPr>
                <w:ilvl w:val="0"/>
                <w:numId w:val="36"/>
              </w:numPr>
              <w:ind w:left="342"/>
              <w:rPr>
                <w:color w:val="000000"/>
                <w:sz w:val="20"/>
                <w:szCs w:val="20"/>
              </w:rPr>
            </w:pPr>
            <w:r w:rsidRPr="00437EE3">
              <w:rPr>
                <w:color w:val="000000"/>
                <w:sz w:val="20"/>
                <w:szCs w:val="20"/>
              </w:rPr>
              <w:t>Frequency of recognition (e.g., media reports / month, year)</w:t>
            </w:r>
          </w:p>
        </w:tc>
      </w:tr>
      <w:tr w:rsidR="00437EE3" w:rsidRPr="00437EE3" w:rsidTr="00437EE3">
        <w:trPr>
          <w:trHeight w:val="881"/>
        </w:trPr>
        <w:tc>
          <w:tcPr>
            <w:tcW w:w="5485" w:type="dxa"/>
            <w:vAlign w:val="center"/>
          </w:tcPr>
          <w:p w:rsidR="00437EE3" w:rsidRPr="00437EE3" w:rsidRDefault="00437EE3" w:rsidP="00437EE3">
            <w:pPr>
              <w:spacing w:line="256" w:lineRule="auto"/>
              <w:rPr>
                <w:rFonts w:cstheme="minorHAnsi"/>
                <w:szCs w:val="20"/>
              </w:rPr>
            </w:pPr>
            <w:r w:rsidRPr="00437EE3">
              <w:rPr>
                <w:rFonts w:cstheme="minorHAnsi"/>
                <w:szCs w:val="20"/>
              </w:rPr>
              <w:t>An increasing share of GDP attributed to home grown innovations and their exports</w:t>
            </w:r>
          </w:p>
        </w:tc>
        <w:tc>
          <w:tcPr>
            <w:tcW w:w="3865" w:type="dxa"/>
            <w:vAlign w:val="center"/>
          </w:tcPr>
          <w:p w:rsidR="00437EE3" w:rsidRPr="00437EE3" w:rsidRDefault="00437EE3" w:rsidP="00AF39BA">
            <w:pPr>
              <w:pStyle w:val="NoSpacing"/>
              <w:numPr>
                <w:ilvl w:val="0"/>
                <w:numId w:val="36"/>
              </w:numPr>
              <w:ind w:left="342"/>
              <w:rPr>
                <w:color w:val="000000"/>
                <w:sz w:val="20"/>
                <w:szCs w:val="20"/>
              </w:rPr>
            </w:pPr>
            <w:r w:rsidRPr="00437EE3">
              <w:rPr>
                <w:color w:val="000000"/>
                <w:sz w:val="20"/>
                <w:szCs w:val="20"/>
              </w:rPr>
              <w:t>% GDP</w:t>
            </w:r>
          </w:p>
          <w:p w:rsidR="00437EE3" w:rsidRPr="00437EE3" w:rsidRDefault="00437EE3" w:rsidP="00AF39BA">
            <w:pPr>
              <w:pStyle w:val="NoSpacing"/>
              <w:numPr>
                <w:ilvl w:val="0"/>
                <w:numId w:val="36"/>
              </w:numPr>
              <w:ind w:left="342"/>
              <w:rPr>
                <w:color w:val="000000"/>
                <w:sz w:val="20"/>
                <w:szCs w:val="20"/>
              </w:rPr>
            </w:pPr>
            <w:r w:rsidRPr="00437EE3">
              <w:rPr>
                <w:color w:val="000000"/>
                <w:sz w:val="20"/>
                <w:szCs w:val="20"/>
              </w:rPr>
              <w:t>% total exports</w:t>
            </w:r>
          </w:p>
        </w:tc>
      </w:tr>
      <w:tr w:rsidR="00437EE3" w:rsidRPr="00437EE3" w:rsidTr="00437EE3">
        <w:trPr>
          <w:trHeight w:val="881"/>
        </w:trPr>
        <w:tc>
          <w:tcPr>
            <w:tcW w:w="5485" w:type="dxa"/>
            <w:vAlign w:val="center"/>
          </w:tcPr>
          <w:p w:rsidR="00437EE3" w:rsidRPr="00437EE3" w:rsidRDefault="00437EE3" w:rsidP="00437EE3">
            <w:pPr>
              <w:pStyle w:val="NoSpacing"/>
              <w:rPr>
                <w:color w:val="000000"/>
                <w:sz w:val="20"/>
                <w:szCs w:val="20"/>
              </w:rPr>
            </w:pPr>
            <w:r w:rsidRPr="00437EE3">
              <w:rPr>
                <w:rFonts w:cstheme="minorHAnsi"/>
                <w:sz w:val="20"/>
                <w:szCs w:val="20"/>
              </w:rPr>
              <w:t>Increasing productivity rates in core industries (high value manufacturing) and across the economy</w:t>
            </w:r>
          </w:p>
        </w:tc>
        <w:tc>
          <w:tcPr>
            <w:tcW w:w="3865" w:type="dxa"/>
            <w:vAlign w:val="center"/>
          </w:tcPr>
          <w:p w:rsidR="00437EE3" w:rsidRPr="00437EE3" w:rsidRDefault="00437EE3" w:rsidP="00AF39BA">
            <w:pPr>
              <w:pStyle w:val="NoSpacing"/>
              <w:numPr>
                <w:ilvl w:val="0"/>
                <w:numId w:val="36"/>
              </w:numPr>
              <w:ind w:left="342"/>
              <w:rPr>
                <w:color w:val="000000"/>
                <w:sz w:val="20"/>
                <w:szCs w:val="20"/>
              </w:rPr>
            </w:pPr>
            <w:r w:rsidRPr="00437EE3">
              <w:rPr>
                <w:color w:val="000000"/>
                <w:sz w:val="20"/>
                <w:szCs w:val="20"/>
              </w:rPr>
              <w:t>Industry labor productivity</w:t>
            </w:r>
          </w:p>
          <w:p w:rsidR="00437EE3" w:rsidRPr="00437EE3" w:rsidRDefault="00437EE3" w:rsidP="00AF39BA">
            <w:pPr>
              <w:pStyle w:val="NoSpacing"/>
              <w:numPr>
                <w:ilvl w:val="0"/>
                <w:numId w:val="36"/>
              </w:numPr>
              <w:ind w:left="342"/>
              <w:rPr>
                <w:color w:val="000000"/>
                <w:sz w:val="20"/>
                <w:szCs w:val="20"/>
              </w:rPr>
            </w:pPr>
            <w:r w:rsidRPr="00437EE3">
              <w:rPr>
                <w:color w:val="000000"/>
                <w:sz w:val="20"/>
                <w:szCs w:val="20"/>
              </w:rPr>
              <w:t>Industry multifactor productivity</w:t>
            </w:r>
          </w:p>
        </w:tc>
      </w:tr>
    </w:tbl>
    <w:p w:rsidR="00437EE3" w:rsidRPr="00437EE3" w:rsidRDefault="00437EE3" w:rsidP="00437EE3">
      <w:pPr>
        <w:pStyle w:val="NoSpacing"/>
        <w:rPr>
          <w:color w:val="000000"/>
          <w:sz w:val="20"/>
          <w:szCs w:val="20"/>
        </w:rPr>
      </w:pPr>
    </w:p>
    <w:p w:rsidR="00437EE3" w:rsidRPr="007D3547" w:rsidRDefault="00437EE3" w:rsidP="00437EE3">
      <w:pPr>
        <w:rPr>
          <w:rFonts w:cstheme="minorHAnsi"/>
        </w:rPr>
      </w:pPr>
    </w:p>
    <w:p w:rsidR="00437EE3" w:rsidRPr="007D3547" w:rsidRDefault="00437EE3" w:rsidP="00437EE3">
      <w:pPr>
        <w:spacing w:after="160" w:line="259" w:lineRule="auto"/>
        <w:rPr>
          <w:rFonts w:cstheme="minorHAnsi"/>
        </w:rPr>
      </w:pPr>
    </w:p>
    <w:p w:rsidR="00437EE3" w:rsidRPr="007D3547" w:rsidRDefault="00437EE3" w:rsidP="00437EE3">
      <w:pPr>
        <w:spacing w:after="160" w:line="259" w:lineRule="auto"/>
        <w:rPr>
          <w:rFonts w:cstheme="minorHAnsi"/>
        </w:rPr>
      </w:pPr>
    </w:p>
    <w:p w:rsidR="006079BD" w:rsidRDefault="006079BD" w:rsidP="00437EE3"/>
    <w:p w:rsidR="00826B2C" w:rsidRDefault="00826B2C">
      <w:pPr>
        <w:spacing w:before="0" w:after="0" w:line="240" w:lineRule="auto"/>
        <w:sectPr w:rsidR="00826B2C" w:rsidSect="00A9570D">
          <w:headerReference w:type="default" r:id="rId25"/>
          <w:footerReference w:type="default" r:id="rId26"/>
          <w:pgSz w:w="11909" w:h="16834" w:code="9"/>
          <w:pgMar w:top="1858" w:right="1019" w:bottom="1440" w:left="1080" w:header="720" w:footer="720" w:gutter="0"/>
          <w:cols w:space="720"/>
          <w:docGrid w:linePitch="360"/>
        </w:sectPr>
      </w:pPr>
    </w:p>
    <w:p w:rsidR="006079BD" w:rsidRPr="006079BD" w:rsidRDefault="006079BD" w:rsidP="00826B2C">
      <w:pPr>
        <w:pStyle w:val="Heading1"/>
        <w:numPr>
          <w:ilvl w:val="0"/>
          <w:numId w:val="0"/>
        </w:numPr>
      </w:pPr>
      <w:bookmarkStart w:id="50" w:name="_Toc535348836"/>
      <w:bookmarkStart w:id="51" w:name="_Toc535608384"/>
      <w:r w:rsidRPr="006079BD">
        <w:t>appendix: Action plan</w:t>
      </w:r>
      <w:bookmarkEnd w:id="50"/>
      <w:bookmarkEnd w:id="51"/>
      <w:r w:rsidRPr="006079BD">
        <w:t xml:space="preserve"> </w:t>
      </w:r>
    </w:p>
    <w:p w:rsidR="006079BD" w:rsidRPr="006079BD" w:rsidRDefault="006079BD" w:rsidP="006079BD">
      <w:pPr>
        <w:spacing w:line="240" w:lineRule="auto"/>
        <w:rPr>
          <w:rFonts w:ascii="Arial" w:hAnsi="Arial" w:cs="Arial"/>
          <w:i/>
          <w:sz w:val="16"/>
        </w:rPr>
      </w:pPr>
    </w:p>
    <w:tbl>
      <w:tblPr>
        <w:tblW w:w="0" w:type="dxa"/>
        <w:tblLayout w:type="fixed"/>
        <w:tblLook w:val="04A0" w:firstRow="1" w:lastRow="0" w:firstColumn="1" w:lastColumn="0" w:noHBand="0" w:noVBand="1"/>
      </w:tblPr>
      <w:tblGrid>
        <w:gridCol w:w="714"/>
        <w:gridCol w:w="1870"/>
        <w:gridCol w:w="3176"/>
        <w:gridCol w:w="2795"/>
        <w:gridCol w:w="1350"/>
        <w:gridCol w:w="1646"/>
        <w:gridCol w:w="14"/>
        <w:gridCol w:w="1485"/>
        <w:gridCol w:w="480"/>
      </w:tblGrid>
      <w:tr w:rsidR="006079BD" w:rsidRPr="006079BD" w:rsidTr="006079BD">
        <w:trPr>
          <w:gridAfter w:val="1"/>
          <w:wAfter w:w="480" w:type="dxa"/>
          <w:trHeight w:val="720"/>
        </w:trPr>
        <w:tc>
          <w:tcPr>
            <w:tcW w:w="13050" w:type="dxa"/>
            <w:gridSpan w:val="8"/>
            <w:noWrap/>
            <w:vAlign w:val="bottom"/>
            <w:hideMark/>
          </w:tcPr>
          <w:p w:rsidR="006079BD" w:rsidRPr="006079BD" w:rsidRDefault="006079BD" w:rsidP="006079BD">
            <w:pPr>
              <w:spacing w:before="0" w:after="0" w:line="240" w:lineRule="auto"/>
              <w:jc w:val="center"/>
              <w:rPr>
                <w:rFonts w:ascii="Arial" w:hAnsi="Arial" w:cs="Arial"/>
                <w:b/>
                <w:bCs/>
                <w:sz w:val="40"/>
                <w:szCs w:val="48"/>
              </w:rPr>
            </w:pPr>
            <w:r w:rsidRPr="006079BD">
              <w:rPr>
                <w:rFonts w:ascii="Arial" w:hAnsi="Arial" w:cs="Arial"/>
                <w:b/>
                <w:bCs/>
                <w:sz w:val="40"/>
                <w:szCs w:val="48"/>
              </w:rPr>
              <w:t>Georgia Innovation Strategy 2025 Action Plan</w:t>
            </w:r>
          </w:p>
        </w:tc>
      </w:tr>
      <w:tr w:rsidR="006079BD" w:rsidRPr="006079BD" w:rsidTr="006079BD">
        <w:trPr>
          <w:gridAfter w:val="1"/>
          <w:wAfter w:w="480" w:type="dxa"/>
          <w:trHeight w:val="413"/>
        </w:trPr>
        <w:tc>
          <w:tcPr>
            <w:tcW w:w="714" w:type="dxa"/>
            <w:noWrap/>
            <w:vAlign w:val="bottom"/>
            <w:hideMark/>
          </w:tcPr>
          <w:p w:rsidR="006079BD" w:rsidRPr="006079BD" w:rsidRDefault="006079BD" w:rsidP="006079BD">
            <w:pPr>
              <w:spacing w:before="0" w:after="160" w:line="256" w:lineRule="auto"/>
              <w:rPr>
                <w:rFonts w:ascii="Calibri" w:eastAsia="Calibri" w:hAnsi="Calibri"/>
                <w:sz w:val="22"/>
                <w:szCs w:val="22"/>
              </w:rPr>
            </w:pPr>
          </w:p>
        </w:tc>
        <w:tc>
          <w:tcPr>
            <w:tcW w:w="1870" w:type="dxa"/>
            <w:noWrap/>
            <w:vAlign w:val="bottom"/>
            <w:hideMark/>
          </w:tcPr>
          <w:p w:rsidR="006079BD" w:rsidRPr="006079BD" w:rsidRDefault="006079BD" w:rsidP="006079BD">
            <w:pPr>
              <w:spacing w:before="0" w:after="0" w:line="256" w:lineRule="auto"/>
              <w:rPr>
                <w:rFonts w:ascii="Calibri" w:eastAsia="Calibri" w:hAnsi="Calibri"/>
                <w:szCs w:val="20"/>
              </w:rPr>
            </w:pPr>
          </w:p>
        </w:tc>
        <w:tc>
          <w:tcPr>
            <w:tcW w:w="3176" w:type="dxa"/>
            <w:noWrap/>
            <w:vAlign w:val="bottom"/>
            <w:hideMark/>
          </w:tcPr>
          <w:p w:rsidR="006079BD" w:rsidRPr="006079BD" w:rsidRDefault="006079BD" w:rsidP="006079BD">
            <w:pPr>
              <w:spacing w:before="0" w:after="0" w:line="256" w:lineRule="auto"/>
              <w:rPr>
                <w:rFonts w:ascii="Calibri" w:eastAsia="Calibri" w:hAnsi="Calibri"/>
                <w:szCs w:val="20"/>
              </w:rPr>
            </w:pPr>
          </w:p>
        </w:tc>
        <w:tc>
          <w:tcPr>
            <w:tcW w:w="2795" w:type="dxa"/>
            <w:noWrap/>
            <w:vAlign w:val="bottom"/>
            <w:hideMark/>
          </w:tcPr>
          <w:p w:rsidR="006079BD" w:rsidRPr="006079BD" w:rsidRDefault="006079BD" w:rsidP="006079BD">
            <w:pPr>
              <w:spacing w:before="0" w:after="0" w:line="256" w:lineRule="auto"/>
              <w:rPr>
                <w:rFonts w:ascii="Calibri" w:eastAsia="Calibri" w:hAnsi="Calibri"/>
                <w:szCs w:val="20"/>
              </w:rPr>
            </w:pPr>
          </w:p>
        </w:tc>
        <w:tc>
          <w:tcPr>
            <w:tcW w:w="1350" w:type="dxa"/>
            <w:noWrap/>
            <w:vAlign w:val="bottom"/>
            <w:hideMark/>
          </w:tcPr>
          <w:p w:rsidR="006079BD" w:rsidRPr="006079BD" w:rsidRDefault="006079BD" w:rsidP="006079BD">
            <w:pPr>
              <w:spacing w:before="0" w:after="0" w:line="256" w:lineRule="auto"/>
              <w:rPr>
                <w:rFonts w:ascii="Calibri" w:eastAsia="Calibri" w:hAnsi="Calibri"/>
                <w:szCs w:val="20"/>
              </w:rPr>
            </w:pPr>
          </w:p>
        </w:tc>
        <w:tc>
          <w:tcPr>
            <w:tcW w:w="1660" w:type="dxa"/>
            <w:gridSpan w:val="2"/>
            <w:noWrap/>
            <w:vAlign w:val="bottom"/>
            <w:hideMark/>
          </w:tcPr>
          <w:p w:rsidR="006079BD" w:rsidRPr="006079BD" w:rsidRDefault="006079BD" w:rsidP="006079BD">
            <w:pPr>
              <w:spacing w:before="0" w:after="0" w:line="256" w:lineRule="auto"/>
              <w:rPr>
                <w:rFonts w:ascii="Calibri" w:eastAsia="Calibri" w:hAnsi="Calibri"/>
                <w:szCs w:val="20"/>
              </w:rPr>
            </w:pPr>
          </w:p>
        </w:tc>
        <w:tc>
          <w:tcPr>
            <w:tcW w:w="1485" w:type="dxa"/>
            <w:noWrap/>
            <w:vAlign w:val="bottom"/>
            <w:hideMark/>
          </w:tcPr>
          <w:p w:rsidR="006079BD" w:rsidRPr="006079BD" w:rsidRDefault="006079BD" w:rsidP="006079BD">
            <w:pPr>
              <w:spacing w:before="0" w:after="0" w:line="256" w:lineRule="auto"/>
              <w:rPr>
                <w:rFonts w:ascii="Calibri" w:eastAsia="Calibri" w:hAnsi="Calibri"/>
                <w:szCs w:val="20"/>
              </w:rPr>
            </w:pPr>
          </w:p>
        </w:tc>
      </w:tr>
      <w:tr w:rsidR="006079BD" w:rsidRPr="006079BD" w:rsidTr="006079BD">
        <w:trPr>
          <w:gridAfter w:val="1"/>
          <w:wAfter w:w="480" w:type="dxa"/>
          <w:trHeight w:val="840"/>
        </w:trPr>
        <w:tc>
          <w:tcPr>
            <w:tcW w:w="2584" w:type="dxa"/>
            <w:gridSpan w:val="2"/>
            <w:tcBorders>
              <w:top w:val="single" w:sz="8" w:space="0" w:color="auto"/>
              <w:left w:val="single" w:sz="8" w:space="0" w:color="auto"/>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b/>
                <w:bCs/>
                <w:sz w:val="16"/>
                <w:szCs w:val="22"/>
              </w:rPr>
            </w:pPr>
            <w:r w:rsidRPr="006079BD">
              <w:rPr>
                <w:rFonts w:ascii="Arial" w:hAnsi="Arial" w:cs="Arial"/>
                <w:b/>
                <w:bCs/>
                <w:sz w:val="16"/>
                <w:szCs w:val="22"/>
              </w:rPr>
              <w:t>Objective</w:t>
            </w:r>
          </w:p>
        </w:tc>
        <w:tc>
          <w:tcPr>
            <w:tcW w:w="3176" w:type="dxa"/>
            <w:tcBorders>
              <w:top w:val="single" w:sz="8" w:space="0" w:color="auto"/>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b/>
                <w:bCs/>
                <w:sz w:val="16"/>
                <w:szCs w:val="22"/>
              </w:rPr>
            </w:pPr>
            <w:r w:rsidRPr="006079BD">
              <w:rPr>
                <w:rFonts w:ascii="Arial" w:hAnsi="Arial" w:cs="Arial"/>
                <w:b/>
                <w:bCs/>
                <w:sz w:val="16"/>
                <w:szCs w:val="22"/>
              </w:rPr>
              <w:t>Action</w:t>
            </w:r>
          </w:p>
        </w:tc>
        <w:tc>
          <w:tcPr>
            <w:tcW w:w="2795" w:type="dxa"/>
            <w:tcBorders>
              <w:top w:val="single" w:sz="8" w:space="0" w:color="auto"/>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b/>
                <w:bCs/>
                <w:sz w:val="16"/>
                <w:szCs w:val="22"/>
              </w:rPr>
            </w:pPr>
            <w:r w:rsidRPr="006079BD">
              <w:rPr>
                <w:rFonts w:ascii="Arial" w:hAnsi="Arial" w:cs="Arial"/>
                <w:b/>
                <w:bCs/>
                <w:sz w:val="16"/>
                <w:szCs w:val="22"/>
              </w:rPr>
              <w:t>Action Performance Indicator</w:t>
            </w:r>
          </w:p>
        </w:tc>
        <w:tc>
          <w:tcPr>
            <w:tcW w:w="1350" w:type="dxa"/>
            <w:tcBorders>
              <w:top w:val="single" w:sz="8" w:space="0" w:color="auto"/>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b/>
                <w:bCs/>
                <w:sz w:val="16"/>
                <w:szCs w:val="22"/>
              </w:rPr>
            </w:pPr>
            <w:r w:rsidRPr="006079BD">
              <w:rPr>
                <w:rFonts w:ascii="Arial" w:hAnsi="Arial" w:cs="Arial"/>
                <w:b/>
                <w:bCs/>
                <w:sz w:val="16"/>
                <w:szCs w:val="22"/>
              </w:rPr>
              <w:t>Responsible Institutions</w:t>
            </w:r>
          </w:p>
        </w:tc>
        <w:tc>
          <w:tcPr>
            <w:tcW w:w="1660" w:type="dxa"/>
            <w:gridSpan w:val="2"/>
            <w:tcBorders>
              <w:top w:val="single" w:sz="8" w:space="0" w:color="auto"/>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b/>
                <w:bCs/>
                <w:sz w:val="16"/>
                <w:szCs w:val="22"/>
              </w:rPr>
            </w:pPr>
            <w:r w:rsidRPr="006079BD">
              <w:rPr>
                <w:rFonts w:ascii="Arial" w:hAnsi="Arial" w:cs="Arial"/>
                <w:b/>
                <w:bCs/>
                <w:sz w:val="16"/>
                <w:szCs w:val="22"/>
              </w:rPr>
              <w:t>Partner Institutions</w:t>
            </w:r>
          </w:p>
        </w:tc>
        <w:tc>
          <w:tcPr>
            <w:tcW w:w="1485" w:type="dxa"/>
            <w:tcBorders>
              <w:top w:val="single" w:sz="8" w:space="0" w:color="auto"/>
              <w:left w:val="nil"/>
              <w:bottom w:val="single" w:sz="8"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b/>
                <w:bCs/>
                <w:sz w:val="16"/>
                <w:szCs w:val="22"/>
              </w:rPr>
            </w:pPr>
            <w:r w:rsidRPr="006079BD">
              <w:rPr>
                <w:rFonts w:ascii="Arial" w:hAnsi="Arial" w:cs="Arial"/>
                <w:b/>
                <w:bCs/>
                <w:sz w:val="16"/>
                <w:szCs w:val="22"/>
              </w:rPr>
              <w:t>Implementation Timeframe</w:t>
            </w:r>
          </w:p>
        </w:tc>
      </w:tr>
      <w:tr w:rsidR="006079BD" w:rsidRPr="006079BD" w:rsidTr="006079BD">
        <w:trPr>
          <w:gridAfter w:val="1"/>
          <w:wAfter w:w="480" w:type="dxa"/>
          <w:trHeight w:val="600"/>
        </w:trPr>
        <w:tc>
          <w:tcPr>
            <w:tcW w:w="13050" w:type="dxa"/>
            <w:gridSpan w:val="8"/>
            <w:tcBorders>
              <w:top w:val="single" w:sz="8" w:space="0" w:color="auto"/>
              <w:left w:val="single" w:sz="8" w:space="0" w:color="auto"/>
              <w:bottom w:val="single" w:sz="8" w:space="0" w:color="auto"/>
              <w:right w:val="single" w:sz="4" w:space="0" w:color="auto"/>
            </w:tcBorders>
            <w:shd w:val="clear" w:color="auto" w:fill="DEEBF6"/>
            <w:vAlign w:val="center"/>
            <w:hideMark/>
          </w:tcPr>
          <w:p w:rsidR="006079BD" w:rsidRPr="006079BD" w:rsidRDefault="006079BD" w:rsidP="006079BD">
            <w:pPr>
              <w:spacing w:before="0" w:after="0" w:line="240" w:lineRule="auto"/>
              <w:jc w:val="center"/>
              <w:rPr>
                <w:rFonts w:ascii="Arial" w:hAnsi="Arial" w:cs="Arial"/>
                <w:b/>
                <w:bCs/>
                <w:sz w:val="22"/>
                <w:szCs w:val="38"/>
              </w:rPr>
            </w:pPr>
            <w:r w:rsidRPr="006079BD">
              <w:rPr>
                <w:rFonts w:ascii="Arial" w:hAnsi="Arial" w:cs="Arial"/>
                <w:b/>
                <w:bCs/>
                <w:sz w:val="22"/>
                <w:szCs w:val="38"/>
              </w:rPr>
              <w:t>Strategic Direction 1: Building foundational innovation incentives</w:t>
            </w:r>
          </w:p>
        </w:tc>
      </w:tr>
      <w:tr w:rsidR="006079BD" w:rsidRPr="006079BD" w:rsidTr="006079BD">
        <w:trPr>
          <w:gridAfter w:val="1"/>
          <w:wAfter w:w="480" w:type="dxa"/>
          <w:trHeight w:val="570"/>
        </w:trPr>
        <w:tc>
          <w:tcPr>
            <w:tcW w:w="13050" w:type="dxa"/>
            <w:gridSpan w:val="8"/>
            <w:tcBorders>
              <w:top w:val="single" w:sz="8" w:space="0" w:color="auto"/>
              <w:left w:val="single" w:sz="8" w:space="0" w:color="auto"/>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Cs w:val="32"/>
              </w:rPr>
            </w:pPr>
            <w:bookmarkStart w:id="52" w:name="RANGE!B6"/>
            <w:r w:rsidRPr="006079BD">
              <w:rPr>
                <w:rFonts w:ascii="Arial" w:hAnsi="Arial" w:cs="Arial"/>
                <w:szCs w:val="32"/>
              </w:rPr>
              <w:t>Upgrade policies, regulations and governance</w:t>
            </w:r>
            <w:bookmarkEnd w:id="52"/>
          </w:p>
        </w:tc>
      </w:tr>
      <w:tr w:rsidR="006079BD" w:rsidRPr="006079BD" w:rsidTr="006079BD">
        <w:trPr>
          <w:gridAfter w:val="1"/>
          <w:wAfter w:w="480" w:type="dxa"/>
          <w:trHeight w:val="1178"/>
        </w:trPr>
        <w:tc>
          <w:tcPr>
            <w:tcW w:w="714" w:type="dxa"/>
            <w:vMerge w:val="restart"/>
            <w:tcBorders>
              <w:top w:val="nil"/>
              <w:left w:val="single" w:sz="8" w:space="0" w:color="auto"/>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1.1</w:t>
            </w:r>
          </w:p>
        </w:tc>
        <w:tc>
          <w:tcPr>
            <w:tcW w:w="1870" w:type="dxa"/>
            <w:vMerge w:val="restart"/>
            <w:tcBorders>
              <w:top w:val="nil"/>
              <w:left w:val="single" w:sz="4" w:space="0" w:color="auto"/>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Build business confidence in Georgia’s intellectual property (IP) regime and protections</w:t>
            </w:r>
          </w:p>
        </w:tc>
        <w:tc>
          <w:tcPr>
            <w:tcW w:w="3176"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1.1.1. Pursue IP cases to pressure test existing IP laws, policies and enforcement mechanisms</w:t>
            </w:r>
          </w:p>
        </w:tc>
        <w:tc>
          <w:tcPr>
            <w:tcW w:w="2795"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Number of cases successfully processed and concluded</w:t>
            </w:r>
          </w:p>
        </w:tc>
        <w:tc>
          <w:tcPr>
            <w:tcW w:w="1350"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Sakpatenti</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Business Association, MOJ</w:t>
            </w:r>
          </w:p>
        </w:tc>
        <w:tc>
          <w:tcPr>
            <w:tcW w:w="1485" w:type="dxa"/>
            <w:tcBorders>
              <w:top w:val="nil"/>
              <w:left w:val="nil"/>
              <w:bottom w:val="single" w:sz="4" w:space="0" w:color="auto"/>
              <w:right w:val="single" w:sz="8"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2019-2022</w:t>
            </w:r>
          </w:p>
        </w:tc>
      </w:tr>
      <w:tr w:rsidR="006079BD" w:rsidRPr="006079BD" w:rsidTr="006079BD">
        <w:trPr>
          <w:gridAfter w:val="1"/>
          <w:wAfter w:w="480" w:type="dxa"/>
          <w:trHeight w:val="1178"/>
        </w:trPr>
        <w:tc>
          <w:tcPr>
            <w:tcW w:w="13050" w:type="dxa"/>
            <w:vMerge/>
            <w:tcBorders>
              <w:top w:val="nil"/>
              <w:left w:val="single" w:sz="8"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1.1.2. Implement a campaign to promote cases resulting in effective protection of IP rights among target markets (e.g., business magazine articles, meetings with influencers, etc.)</w:t>
            </w:r>
          </w:p>
        </w:tc>
        <w:tc>
          <w:tcPr>
            <w:tcW w:w="2795"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Level of awareness of cases among business leaders in target markets</w:t>
            </w:r>
          </w:p>
        </w:tc>
        <w:tc>
          <w:tcPr>
            <w:tcW w:w="1350"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Sakpatenti</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Business Association, MOJ</w:t>
            </w:r>
          </w:p>
        </w:tc>
        <w:tc>
          <w:tcPr>
            <w:tcW w:w="1485" w:type="dxa"/>
            <w:tcBorders>
              <w:top w:val="nil"/>
              <w:left w:val="nil"/>
              <w:bottom w:val="single" w:sz="4" w:space="0" w:color="auto"/>
              <w:right w:val="single" w:sz="8"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2020-2025</w:t>
            </w:r>
          </w:p>
        </w:tc>
      </w:tr>
      <w:tr w:rsidR="006079BD" w:rsidRPr="006079BD" w:rsidTr="006079BD">
        <w:trPr>
          <w:gridAfter w:val="1"/>
          <w:wAfter w:w="480" w:type="dxa"/>
          <w:trHeight w:val="1178"/>
        </w:trPr>
        <w:tc>
          <w:tcPr>
            <w:tcW w:w="13050" w:type="dxa"/>
            <w:vMerge/>
            <w:tcBorders>
              <w:top w:val="nil"/>
              <w:left w:val="single" w:sz="8"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1.1.3. Conduct an assessment of processes, procedures and incentives within the judicial system to improve the efficiency and transparency of IP enforcement</w:t>
            </w:r>
          </w:p>
        </w:tc>
        <w:tc>
          <w:tcPr>
            <w:tcW w:w="2795"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Assessment completed</w:t>
            </w:r>
            <w:r w:rsidRPr="006079BD">
              <w:rPr>
                <w:rFonts w:ascii="Arial" w:hAnsi="Arial" w:cs="Arial"/>
                <w:sz w:val="16"/>
                <w:szCs w:val="22"/>
              </w:rPr>
              <w:br/>
              <w:t>- Results published</w:t>
            </w:r>
          </w:p>
        </w:tc>
        <w:tc>
          <w:tcPr>
            <w:tcW w:w="1350"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Sakpatenti</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Business Association, MOJ, Donors (financing, technical assistance)</w:t>
            </w:r>
          </w:p>
        </w:tc>
        <w:tc>
          <w:tcPr>
            <w:tcW w:w="1485" w:type="dxa"/>
            <w:tcBorders>
              <w:top w:val="nil"/>
              <w:left w:val="nil"/>
              <w:bottom w:val="single" w:sz="4" w:space="0" w:color="auto"/>
              <w:right w:val="single" w:sz="8"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2019-2020</w:t>
            </w:r>
          </w:p>
        </w:tc>
      </w:tr>
      <w:tr w:rsidR="006079BD" w:rsidRPr="006079BD" w:rsidTr="006079BD">
        <w:trPr>
          <w:gridAfter w:val="1"/>
          <w:wAfter w:w="480" w:type="dxa"/>
          <w:trHeight w:val="1178"/>
        </w:trPr>
        <w:tc>
          <w:tcPr>
            <w:tcW w:w="13050" w:type="dxa"/>
            <w:vMerge/>
            <w:tcBorders>
              <w:top w:val="nil"/>
              <w:left w:val="single" w:sz="8"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1.1.4. Develop a plan to improve the transparency and efficiency of IP rights enforcement based on the outcomes of the assessment, including a clear timeline for implementation and performance management framework</w:t>
            </w:r>
          </w:p>
        </w:tc>
        <w:tc>
          <w:tcPr>
            <w:tcW w:w="2795"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Plan developed and implemented</w:t>
            </w:r>
            <w:r w:rsidRPr="006079BD">
              <w:rPr>
                <w:rFonts w:ascii="Arial" w:hAnsi="Arial" w:cs="Arial"/>
                <w:sz w:val="16"/>
                <w:szCs w:val="22"/>
              </w:rPr>
              <w:br/>
              <w:t>- Number of implementation targets achieved according to schedule</w:t>
            </w:r>
          </w:p>
        </w:tc>
        <w:tc>
          <w:tcPr>
            <w:tcW w:w="1350"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Sakpatenti</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Business Association, MOJ</w:t>
            </w:r>
          </w:p>
        </w:tc>
        <w:tc>
          <w:tcPr>
            <w:tcW w:w="1485" w:type="dxa"/>
            <w:tcBorders>
              <w:top w:val="nil"/>
              <w:left w:val="nil"/>
              <w:bottom w:val="single" w:sz="4" w:space="0" w:color="auto"/>
              <w:right w:val="single" w:sz="8"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2019-2020</w:t>
            </w:r>
          </w:p>
        </w:tc>
      </w:tr>
      <w:tr w:rsidR="006079BD" w:rsidRPr="006079BD" w:rsidTr="006079BD">
        <w:trPr>
          <w:gridAfter w:val="1"/>
          <w:wAfter w:w="480" w:type="dxa"/>
          <w:trHeight w:val="1210"/>
        </w:trPr>
        <w:tc>
          <w:tcPr>
            <w:tcW w:w="714" w:type="dxa"/>
            <w:vMerge w:val="restart"/>
            <w:tcBorders>
              <w:top w:val="single" w:sz="8" w:space="0" w:color="auto"/>
              <w:left w:val="single" w:sz="8" w:space="0" w:color="auto"/>
              <w:bottom w:val="single" w:sz="8" w:space="0" w:color="000000"/>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1.2</w:t>
            </w:r>
          </w:p>
        </w:tc>
        <w:tc>
          <w:tcPr>
            <w:tcW w:w="1870" w:type="dxa"/>
            <w:vMerge w:val="restart"/>
            <w:tcBorders>
              <w:top w:val="single" w:sz="8" w:space="0" w:color="auto"/>
              <w:left w:val="single" w:sz="4" w:space="0" w:color="auto"/>
              <w:bottom w:val="single" w:sz="8" w:space="0" w:color="000000"/>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Address weaknesses in insolvency laws and close-down audit processes to minimize perceived risk associated with investment in innovation ventures</w:t>
            </w:r>
          </w:p>
        </w:tc>
        <w:tc>
          <w:tcPr>
            <w:tcW w:w="3176" w:type="dxa"/>
            <w:tcBorders>
              <w:top w:val="single" w:sz="8" w:space="0" w:color="auto"/>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1.2.1. Revise insolvency laws to maintain ranked compensation in case of liquidity</w:t>
            </w:r>
          </w:p>
        </w:tc>
        <w:tc>
          <w:tcPr>
            <w:tcW w:w="2795" w:type="dxa"/>
            <w:tcBorders>
              <w:top w:val="single" w:sz="8" w:space="0" w:color="auto"/>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Revised insolvency laws adopted</w:t>
            </w:r>
          </w:p>
        </w:tc>
        <w:tc>
          <w:tcPr>
            <w:tcW w:w="1350" w:type="dxa"/>
            <w:tcBorders>
              <w:top w:val="single" w:sz="8" w:space="0" w:color="auto"/>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MOJ</w:t>
            </w:r>
          </w:p>
        </w:tc>
        <w:tc>
          <w:tcPr>
            <w:tcW w:w="1660" w:type="dxa"/>
            <w:gridSpan w:val="2"/>
            <w:tcBorders>
              <w:top w:val="single" w:sz="8" w:space="0" w:color="auto"/>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MOF, MOESD, NBG, Business Associations</w:t>
            </w:r>
          </w:p>
        </w:tc>
        <w:tc>
          <w:tcPr>
            <w:tcW w:w="1485" w:type="dxa"/>
            <w:tcBorders>
              <w:top w:val="single" w:sz="8" w:space="0" w:color="auto"/>
              <w:left w:val="nil"/>
              <w:bottom w:val="single" w:sz="4" w:space="0" w:color="auto"/>
              <w:right w:val="single" w:sz="8"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1210"/>
        </w:trPr>
        <w:tc>
          <w:tcPr>
            <w:tcW w:w="13050" w:type="dxa"/>
            <w:vMerge/>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single" w:sz="8" w:space="0" w:color="auto"/>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1.2.2. Develop an outreach plan targeting banks and investors to raise awareness of ranked compensation reforms and support changes to lending habits accordingly</w:t>
            </w:r>
          </w:p>
        </w:tc>
        <w:tc>
          <w:tcPr>
            <w:tcW w:w="2795"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Share of banks and other lenders / investors reporting increased confidence in their ability to realize sufficient returns in the case of borrower insolvency</w:t>
            </w:r>
          </w:p>
        </w:tc>
        <w:tc>
          <w:tcPr>
            <w:tcW w:w="1350"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MOF, MOJ, NBG, Business Associations</w:t>
            </w:r>
          </w:p>
        </w:tc>
        <w:tc>
          <w:tcPr>
            <w:tcW w:w="1485" w:type="dxa"/>
            <w:tcBorders>
              <w:top w:val="nil"/>
              <w:left w:val="nil"/>
              <w:bottom w:val="single" w:sz="4" w:space="0" w:color="auto"/>
              <w:right w:val="single" w:sz="8"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1313"/>
        </w:trPr>
        <w:tc>
          <w:tcPr>
            <w:tcW w:w="13050" w:type="dxa"/>
            <w:vMerge/>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single" w:sz="8" w:space="0" w:color="auto"/>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1.2.3. Conduct an independent (third party) review of the government audit process required to close down liquid businesses to 1) identify opportunities to improve efficiency, and 2) understand and / or validate concerns among entrepreneurs over potential vulnerability to exploitation</w:t>
            </w:r>
          </w:p>
        </w:tc>
        <w:tc>
          <w:tcPr>
            <w:tcW w:w="2795"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Review completed</w:t>
            </w:r>
            <w:r w:rsidRPr="006079BD">
              <w:rPr>
                <w:rFonts w:ascii="Arial" w:hAnsi="Arial" w:cs="Arial"/>
                <w:sz w:val="16"/>
                <w:szCs w:val="22"/>
              </w:rPr>
              <w:br/>
              <w:t>- Results of the review</w:t>
            </w:r>
          </w:p>
        </w:tc>
        <w:tc>
          <w:tcPr>
            <w:tcW w:w="1350"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MOF, MOJ, NBG, Business Associations</w:t>
            </w:r>
          </w:p>
        </w:tc>
        <w:tc>
          <w:tcPr>
            <w:tcW w:w="1485" w:type="dxa"/>
            <w:tcBorders>
              <w:top w:val="nil"/>
              <w:left w:val="nil"/>
              <w:bottom w:val="single" w:sz="4" w:space="0" w:color="auto"/>
              <w:right w:val="single" w:sz="8"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1365"/>
        </w:trPr>
        <w:tc>
          <w:tcPr>
            <w:tcW w:w="13050" w:type="dxa"/>
            <w:vMerge/>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single" w:sz="8" w:space="0" w:color="auto"/>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8"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1.2.4. Develop an action plan based on findings from the review to improve efficiency and address any deficits public trust in the close-down audit process</w:t>
            </w:r>
          </w:p>
        </w:tc>
        <w:tc>
          <w:tcPr>
            <w:tcW w:w="2795" w:type="dxa"/>
            <w:tcBorders>
              <w:top w:val="nil"/>
              <w:left w:val="nil"/>
              <w:bottom w:val="single" w:sz="8"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Plan developed</w:t>
            </w:r>
            <w:r w:rsidRPr="006079BD">
              <w:rPr>
                <w:rFonts w:ascii="Arial" w:hAnsi="Arial" w:cs="Arial"/>
                <w:sz w:val="16"/>
                <w:szCs w:val="22"/>
              </w:rPr>
              <w:br/>
              <w:t>- Reduction in average time to conclude liquid company close-downs</w:t>
            </w:r>
            <w:r w:rsidRPr="006079BD">
              <w:rPr>
                <w:rFonts w:ascii="Arial" w:hAnsi="Arial" w:cs="Arial"/>
                <w:sz w:val="16"/>
                <w:szCs w:val="22"/>
              </w:rPr>
              <w:br/>
              <w:t>- Improvement in public perception of the audit process</w:t>
            </w:r>
          </w:p>
        </w:tc>
        <w:tc>
          <w:tcPr>
            <w:tcW w:w="1350" w:type="dxa"/>
            <w:tcBorders>
              <w:top w:val="nil"/>
              <w:left w:val="nil"/>
              <w:bottom w:val="single" w:sz="8"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w:t>
            </w:r>
          </w:p>
        </w:tc>
        <w:tc>
          <w:tcPr>
            <w:tcW w:w="1660" w:type="dxa"/>
            <w:gridSpan w:val="2"/>
            <w:tcBorders>
              <w:top w:val="nil"/>
              <w:left w:val="nil"/>
              <w:bottom w:val="single" w:sz="8"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MOF, MOJ, NBG, Business Associations</w:t>
            </w:r>
          </w:p>
        </w:tc>
        <w:tc>
          <w:tcPr>
            <w:tcW w:w="1485" w:type="dxa"/>
            <w:tcBorders>
              <w:top w:val="nil"/>
              <w:left w:val="nil"/>
              <w:bottom w:val="single" w:sz="8" w:space="0" w:color="auto"/>
              <w:right w:val="single" w:sz="8"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w:t>
            </w:r>
          </w:p>
        </w:tc>
      </w:tr>
      <w:tr w:rsidR="006079BD" w:rsidRPr="006079BD" w:rsidTr="006079BD">
        <w:trPr>
          <w:gridAfter w:val="1"/>
          <w:wAfter w:w="480" w:type="dxa"/>
          <w:trHeight w:val="1200"/>
        </w:trPr>
        <w:tc>
          <w:tcPr>
            <w:tcW w:w="714" w:type="dxa"/>
            <w:vMerge w:val="restart"/>
            <w:tcBorders>
              <w:top w:val="nil"/>
              <w:left w:val="single" w:sz="8" w:space="0" w:color="auto"/>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1.3</w:t>
            </w:r>
          </w:p>
        </w:tc>
        <w:tc>
          <w:tcPr>
            <w:tcW w:w="1870" w:type="dxa"/>
            <w:vMerge w:val="restart"/>
            <w:tcBorders>
              <w:top w:val="nil"/>
              <w:left w:val="single" w:sz="4" w:space="0" w:color="auto"/>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Optimize legislation regulating investment and lending to expand access to finance for innovation ventures</w:t>
            </w:r>
          </w:p>
        </w:tc>
        <w:tc>
          <w:tcPr>
            <w:tcW w:w="3176"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1.3.1. Finalize and adopt draft Investment Fund Law in order to enable fund equity investments (alternative public funds, private funds) in non-tradable securities by qualified specialists</w:t>
            </w:r>
          </w:p>
        </w:tc>
        <w:tc>
          <w:tcPr>
            <w:tcW w:w="2795"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Investment Fund Law developed and adopted</w:t>
            </w:r>
          </w:p>
        </w:tc>
        <w:tc>
          <w:tcPr>
            <w:tcW w:w="1350"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w:t>
            </w:r>
          </w:p>
        </w:tc>
        <w:tc>
          <w:tcPr>
            <w:tcW w:w="1660" w:type="dxa"/>
            <w:gridSpan w:val="2"/>
            <w:tcBorders>
              <w:top w:val="nil"/>
              <w:left w:val="nil"/>
              <w:bottom w:val="nil"/>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NBG, GITA, PF, Investment Council</w:t>
            </w:r>
          </w:p>
        </w:tc>
        <w:tc>
          <w:tcPr>
            <w:tcW w:w="1485" w:type="dxa"/>
            <w:tcBorders>
              <w:top w:val="nil"/>
              <w:left w:val="nil"/>
              <w:bottom w:val="single" w:sz="4" w:space="0" w:color="auto"/>
              <w:right w:val="single" w:sz="8"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1020"/>
        </w:trPr>
        <w:tc>
          <w:tcPr>
            <w:tcW w:w="13050" w:type="dxa"/>
            <w:vMerge/>
            <w:tcBorders>
              <w:top w:val="nil"/>
              <w:left w:val="single" w:sz="8"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1.3.2. Conduct a public campaign to raise public awareness of new investment fund options the updated laws enable</w:t>
            </w:r>
          </w:p>
        </w:tc>
        <w:tc>
          <w:tcPr>
            <w:tcW w:w="2795"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Level of awareness of Investment Fund Law</w:t>
            </w:r>
          </w:p>
        </w:tc>
        <w:tc>
          <w:tcPr>
            <w:tcW w:w="1350"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br/>
              <w:t>MOESD</w:t>
            </w:r>
          </w:p>
        </w:tc>
        <w:tc>
          <w:tcPr>
            <w:tcW w:w="1660" w:type="dxa"/>
            <w:gridSpan w:val="2"/>
            <w:tcBorders>
              <w:top w:val="single" w:sz="4" w:space="0" w:color="auto"/>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NBG, GITA, PF, Investment Council</w:t>
            </w:r>
          </w:p>
        </w:tc>
        <w:tc>
          <w:tcPr>
            <w:tcW w:w="1485" w:type="dxa"/>
            <w:tcBorders>
              <w:top w:val="nil"/>
              <w:left w:val="nil"/>
              <w:bottom w:val="single" w:sz="4" w:space="0" w:color="auto"/>
              <w:right w:val="single" w:sz="8"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w:t>
            </w:r>
          </w:p>
        </w:tc>
      </w:tr>
      <w:tr w:rsidR="006079BD" w:rsidRPr="006079BD" w:rsidTr="006079BD">
        <w:trPr>
          <w:gridAfter w:val="1"/>
          <w:wAfter w:w="480" w:type="dxa"/>
          <w:trHeight w:val="1020"/>
        </w:trPr>
        <w:tc>
          <w:tcPr>
            <w:tcW w:w="13050" w:type="dxa"/>
            <w:vMerge/>
            <w:tcBorders>
              <w:top w:val="nil"/>
              <w:left w:val="single" w:sz="8"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1.3.3. Create a legal framework to allow equity and debt crowd-funding (building on existing frameworks enabling rewards-based crowdfunding)</w:t>
            </w:r>
          </w:p>
        </w:tc>
        <w:tc>
          <w:tcPr>
            <w:tcW w:w="2795"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xml:space="preserve">- Drafted and adopted legal framework </w:t>
            </w:r>
          </w:p>
        </w:tc>
        <w:tc>
          <w:tcPr>
            <w:tcW w:w="1350"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br/>
              <w:t>MOESD</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NBG, GITA,</w:t>
            </w:r>
            <w:r w:rsidRPr="006079BD">
              <w:rPr>
                <w:rFonts w:ascii="Arial" w:hAnsi="Arial" w:cs="Arial"/>
                <w:sz w:val="16"/>
                <w:szCs w:val="22"/>
              </w:rPr>
              <w:br/>
              <w:t>Investment Council, Business Associations</w:t>
            </w:r>
          </w:p>
        </w:tc>
        <w:tc>
          <w:tcPr>
            <w:tcW w:w="1485" w:type="dxa"/>
            <w:tcBorders>
              <w:top w:val="nil"/>
              <w:left w:val="nil"/>
              <w:bottom w:val="single" w:sz="4" w:space="0" w:color="auto"/>
              <w:right w:val="single" w:sz="8"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w:t>
            </w:r>
          </w:p>
        </w:tc>
      </w:tr>
      <w:tr w:rsidR="006079BD" w:rsidRPr="006079BD" w:rsidTr="006079BD">
        <w:trPr>
          <w:gridAfter w:val="1"/>
          <w:wAfter w:w="480" w:type="dxa"/>
          <w:trHeight w:val="1403"/>
        </w:trPr>
        <w:tc>
          <w:tcPr>
            <w:tcW w:w="13050" w:type="dxa"/>
            <w:vMerge/>
            <w:tcBorders>
              <w:top w:val="nil"/>
              <w:left w:val="single" w:sz="8"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1.3.4. Review regulations governing lending secured with moveable collateral and assess opportunities to improve the viability movable asset-backed loans for banks (e.g., reducing reserve requirements to make moveable asset-backed lending more affordable)</w:t>
            </w:r>
          </w:p>
        </w:tc>
        <w:tc>
          <w:tcPr>
            <w:tcW w:w="2795"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Review and recommendations drafted and adopted</w:t>
            </w:r>
          </w:p>
        </w:tc>
        <w:tc>
          <w:tcPr>
            <w:tcW w:w="1350"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br/>
              <w:t>MOESD</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NBG, GITA,</w:t>
            </w:r>
            <w:r w:rsidRPr="006079BD">
              <w:rPr>
                <w:rFonts w:ascii="Arial" w:hAnsi="Arial" w:cs="Arial"/>
                <w:sz w:val="16"/>
                <w:szCs w:val="22"/>
              </w:rPr>
              <w:br/>
              <w:t>Investment Council, Business Associations</w:t>
            </w:r>
          </w:p>
        </w:tc>
        <w:tc>
          <w:tcPr>
            <w:tcW w:w="1485" w:type="dxa"/>
            <w:tcBorders>
              <w:top w:val="nil"/>
              <w:left w:val="nil"/>
              <w:bottom w:val="single" w:sz="4" w:space="0" w:color="auto"/>
              <w:right w:val="single" w:sz="8"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w:t>
            </w:r>
          </w:p>
        </w:tc>
      </w:tr>
      <w:tr w:rsidR="006079BD" w:rsidRPr="006079BD" w:rsidTr="006079BD">
        <w:trPr>
          <w:gridAfter w:val="1"/>
          <w:wAfter w:w="480" w:type="dxa"/>
          <w:trHeight w:val="505"/>
        </w:trPr>
        <w:tc>
          <w:tcPr>
            <w:tcW w:w="13050" w:type="dxa"/>
            <w:gridSpan w:val="8"/>
            <w:tcBorders>
              <w:top w:val="single" w:sz="8" w:space="0" w:color="auto"/>
              <w:left w:val="single" w:sz="8" w:space="0" w:color="auto"/>
              <w:bottom w:val="single" w:sz="8"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Cs w:val="32"/>
              </w:rPr>
            </w:pPr>
            <w:bookmarkStart w:id="53" w:name="RANGE!B19"/>
            <w:r w:rsidRPr="006079BD">
              <w:rPr>
                <w:rFonts w:ascii="Arial" w:hAnsi="Arial" w:cs="Arial"/>
                <w:szCs w:val="32"/>
              </w:rPr>
              <w:t xml:space="preserve">Adapt procurement processes and standards </w:t>
            </w:r>
            <w:bookmarkEnd w:id="53"/>
          </w:p>
        </w:tc>
      </w:tr>
      <w:tr w:rsidR="006079BD" w:rsidRPr="006079BD" w:rsidTr="006079BD">
        <w:trPr>
          <w:gridAfter w:val="1"/>
          <w:wAfter w:w="480" w:type="dxa"/>
          <w:trHeight w:val="1380"/>
        </w:trPr>
        <w:tc>
          <w:tcPr>
            <w:tcW w:w="714" w:type="dxa"/>
            <w:vMerge w:val="restart"/>
            <w:tcBorders>
              <w:top w:val="nil"/>
              <w:left w:val="single" w:sz="8" w:space="0" w:color="auto"/>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1.4</w:t>
            </w:r>
          </w:p>
        </w:tc>
        <w:tc>
          <w:tcPr>
            <w:tcW w:w="1870" w:type="dxa"/>
            <w:vMerge w:val="restart"/>
            <w:tcBorders>
              <w:top w:val="nil"/>
              <w:left w:val="single" w:sz="4" w:space="0" w:color="auto"/>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Upgrade procurement processes and standards to incentivize procurement of new innovations</w:t>
            </w:r>
          </w:p>
        </w:tc>
        <w:tc>
          <w:tcPr>
            <w:tcW w:w="3176"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1.4.1. Define champions within executive government and the State Procurement Agency to drive adoption of procurement policies to encourage public procurement of innovation</w:t>
            </w:r>
          </w:p>
        </w:tc>
        <w:tc>
          <w:tcPr>
            <w:tcW w:w="2795"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Procurement of Innovation champion identified and function established</w:t>
            </w:r>
          </w:p>
        </w:tc>
        <w:tc>
          <w:tcPr>
            <w:tcW w:w="1350" w:type="dxa"/>
            <w:tcBorders>
              <w:top w:val="nil"/>
              <w:left w:val="nil"/>
              <w:bottom w:val="nil"/>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SPA</w:t>
            </w:r>
          </w:p>
        </w:tc>
        <w:tc>
          <w:tcPr>
            <w:tcW w:w="1660" w:type="dxa"/>
            <w:gridSpan w:val="2"/>
            <w:tcBorders>
              <w:top w:val="nil"/>
              <w:left w:val="nil"/>
              <w:bottom w:val="nil"/>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AOG, MOESD (GITA), MOJ, MOF</w:t>
            </w:r>
          </w:p>
        </w:tc>
        <w:tc>
          <w:tcPr>
            <w:tcW w:w="1485" w:type="dxa"/>
            <w:tcBorders>
              <w:top w:val="nil"/>
              <w:left w:val="nil"/>
              <w:bottom w:val="single" w:sz="4" w:space="0" w:color="auto"/>
              <w:right w:val="single" w:sz="8"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1380"/>
        </w:trPr>
        <w:tc>
          <w:tcPr>
            <w:tcW w:w="13050" w:type="dxa"/>
            <w:vMerge/>
            <w:tcBorders>
              <w:top w:val="nil"/>
              <w:left w:val="single" w:sz="8"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1.4.2. Define an overarching strategy to engage government procurement as a tool to advance innovation</w:t>
            </w:r>
          </w:p>
        </w:tc>
        <w:tc>
          <w:tcPr>
            <w:tcW w:w="2795"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Strategy and action plan developed and adopted</w:t>
            </w:r>
          </w:p>
        </w:tc>
        <w:tc>
          <w:tcPr>
            <w:tcW w:w="1350" w:type="dxa"/>
            <w:tcBorders>
              <w:top w:val="single" w:sz="4" w:space="0" w:color="auto"/>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SPA</w:t>
            </w:r>
          </w:p>
        </w:tc>
        <w:tc>
          <w:tcPr>
            <w:tcW w:w="1660" w:type="dxa"/>
            <w:gridSpan w:val="2"/>
            <w:tcBorders>
              <w:top w:val="single" w:sz="4" w:space="0" w:color="auto"/>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AOG, MOESD (GITA), MOJ, MOF</w:t>
            </w:r>
          </w:p>
        </w:tc>
        <w:tc>
          <w:tcPr>
            <w:tcW w:w="1485" w:type="dxa"/>
            <w:tcBorders>
              <w:top w:val="nil"/>
              <w:left w:val="nil"/>
              <w:bottom w:val="single" w:sz="4" w:space="0" w:color="auto"/>
              <w:right w:val="single" w:sz="8"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1380"/>
        </w:trPr>
        <w:tc>
          <w:tcPr>
            <w:tcW w:w="13050" w:type="dxa"/>
            <w:vMerge/>
            <w:tcBorders>
              <w:top w:val="nil"/>
              <w:left w:val="single" w:sz="8"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1.4.3. Incorporate focus and guidelines on procurement of innovative goods and services into government procurement regulations</w:t>
            </w:r>
          </w:p>
        </w:tc>
        <w:tc>
          <w:tcPr>
            <w:tcW w:w="2795"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Innovation incorporated into regulatory framework</w:t>
            </w:r>
          </w:p>
        </w:tc>
        <w:tc>
          <w:tcPr>
            <w:tcW w:w="1350"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SPA</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AOG, MOESD (GITA), MOJ, MOF</w:t>
            </w:r>
          </w:p>
        </w:tc>
        <w:tc>
          <w:tcPr>
            <w:tcW w:w="1485" w:type="dxa"/>
            <w:tcBorders>
              <w:top w:val="nil"/>
              <w:left w:val="nil"/>
              <w:bottom w:val="single" w:sz="4" w:space="0" w:color="auto"/>
              <w:right w:val="single" w:sz="8"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2580"/>
        </w:trPr>
        <w:tc>
          <w:tcPr>
            <w:tcW w:w="13050" w:type="dxa"/>
            <w:vMerge/>
            <w:tcBorders>
              <w:top w:val="nil"/>
              <w:left w:val="single" w:sz="8"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1.4.4. Introduce government policies requiring market research as an input to specifications development for procurements, based on value or category of procurement</w:t>
            </w:r>
            <w:r w:rsidRPr="006079BD">
              <w:rPr>
                <w:rFonts w:ascii="Arial" w:hAnsi="Arial" w:cs="Arial"/>
                <w:sz w:val="16"/>
                <w:szCs w:val="22"/>
              </w:rPr>
              <w:br/>
            </w:r>
            <w:r w:rsidRPr="006079BD">
              <w:rPr>
                <w:rFonts w:ascii="Arial" w:hAnsi="Arial" w:cs="Arial"/>
                <w:i/>
                <w:iCs/>
                <w:sz w:val="16"/>
                <w:szCs w:val="22"/>
              </w:rPr>
              <w:br/>
              <w:t>Define minimum value or categories in order to avoid redundant or overly-laborious processes for procurement of goods in industries with slow innovation cycles, or small-scale transactions</w:t>
            </w:r>
          </w:p>
        </w:tc>
        <w:tc>
          <w:tcPr>
            <w:tcW w:w="2795"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Policies developed and introduced</w:t>
            </w:r>
          </w:p>
        </w:tc>
        <w:tc>
          <w:tcPr>
            <w:tcW w:w="1350"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SPA</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AOG, MOESD (GITA), MOJ, MOF</w:t>
            </w:r>
          </w:p>
        </w:tc>
        <w:tc>
          <w:tcPr>
            <w:tcW w:w="1485" w:type="dxa"/>
            <w:tcBorders>
              <w:top w:val="nil"/>
              <w:left w:val="nil"/>
              <w:bottom w:val="single" w:sz="4" w:space="0" w:color="auto"/>
              <w:right w:val="single" w:sz="8"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1380"/>
        </w:trPr>
        <w:tc>
          <w:tcPr>
            <w:tcW w:w="13050" w:type="dxa"/>
            <w:vMerge/>
            <w:tcBorders>
              <w:top w:val="nil"/>
              <w:left w:val="single" w:sz="8"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xml:space="preserve">1.4.5. Adapt performance metrics for agency procurement officers to incentivize procurement of new technologies </w:t>
            </w:r>
          </w:p>
        </w:tc>
        <w:tc>
          <w:tcPr>
            <w:tcW w:w="2795"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Share of all government agencies with procurement incentive schemes aligned to the innovation procurement framework</w:t>
            </w:r>
          </w:p>
        </w:tc>
        <w:tc>
          <w:tcPr>
            <w:tcW w:w="1350"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SPA</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AOG, All government agencies</w:t>
            </w:r>
          </w:p>
        </w:tc>
        <w:tc>
          <w:tcPr>
            <w:tcW w:w="1485" w:type="dxa"/>
            <w:tcBorders>
              <w:top w:val="nil"/>
              <w:left w:val="nil"/>
              <w:bottom w:val="single" w:sz="4" w:space="0" w:color="auto"/>
              <w:right w:val="single" w:sz="8"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2020-2021</w:t>
            </w:r>
          </w:p>
        </w:tc>
      </w:tr>
      <w:tr w:rsidR="006079BD" w:rsidRPr="006079BD" w:rsidTr="006079BD">
        <w:trPr>
          <w:gridAfter w:val="1"/>
          <w:wAfter w:w="480" w:type="dxa"/>
          <w:trHeight w:val="1380"/>
        </w:trPr>
        <w:tc>
          <w:tcPr>
            <w:tcW w:w="13050" w:type="dxa"/>
            <w:vMerge/>
            <w:tcBorders>
              <w:top w:val="nil"/>
              <w:left w:val="single" w:sz="8"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xml:space="preserve">1.4.6. Establish an internal government grant program to make financing available to public agencies to test pre-commercial or other innovative solutions prior to formal procurement, including a set of guidelines to support agencies in implementing and accessing the program </w:t>
            </w:r>
          </w:p>
        </w:tc>
        <w:tc>
          <w:tcPr>
            <w:tcW w:w="2795"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Grant program and guidelines established</w:t>
            </w:r>
            <w:r w:rsidRPr="006079BD">
              <w:rPr>
                <w:rFonts w:ascii="Arial" w:hAnsi="Arial" w:cs="Arial"/>
                <w:sz w:val="16"/>
                <w:szCs w:val="22"/>
              </w:rPr>
              <w:br/>
              <w:t>- Number of public agencies that have successfully received innovation procurement grants</w:t>
            </w:r>
          </w:p>
        </w:tc>
        <w:tc>
          <w:tcPr>
            <w:tcW w:w="1350"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SPA</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AOG, All government agencies</w:t>
            </w:r>
          </w:p>
        </w:tc>
        <w:tc>
          <w:tcPr>
            <w:tcW w:w="1485" w:type="dxa"/>
            <w:tcBorders>
              <w:top w:val="nil"/>
              <w:left w:val="nil"/>
              <w:bottom w:val="single" w:sz="4" w:space="0" w:color="auto"/>
              <w:right w:val="single" w:sz="8"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2021-2022</w:t>
            </w:r>
          </w:p>
        </w:tc>
      </w:tr>
      <w:tr w:rsidR="006079BD" w:rsidRPr="006079BD" w:rsidTr="006079BD">
        <w:trPr>
          <w:gridAfter w:val="1"/>
          <w:wAfter w:w="480" w:type="dxa"/>
          <w:trHeight w:val="1380"/>
        </w:trPr>
        <w:tc>
          <w:tcPr>
            <w:tcW w:w="13050" w:type="dxa"/>
            <w:vMerge/>
            <w:tcBorders>
              <w:top w:val="nil"/>
              <w:left w:val="single" w:sz="8"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1.4.7. Design central government guidelines to limit in-house ICT functions from competing directly with private ICT companies on open competitive bids for technology services</w:t>
            </w:r>
          </w:p>
        </w:tc>
        <w:tc>
          <w:tcPr>
            <w:tcW w:w="2795"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Policy on ICT services developed and adopted by government</w:t>
            </w:r>
          </w:p>
        </w:tc>
        <w:tc>
          <w:tcPr>
            <w:tcW w:w="1350"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SPA</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AOG, All government agencies</w:t>
            </w:r>
          </w:p>
        </w:tc>
        <w:tc>
          <w:tcPr>
            <w:tcW w:w="1485" w:type="dxa"/>
            <w:tcBorders>
              <w:top w:val="nil"/>
              <w:left w:val="nil"/>
              <w:bottom w:val="single" w:sz="4" w:space="0" w:color="auto"/>
              <w:right w:val="single" w:sz="8"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1120"/>
        </w:trPr>
        <w:tc>
          <w:tcPr>
            <w:tcW w:w="714" w:type="dxa"/>
            <w:vMerge w:val="restart"/>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bookmarkStart w:id="54" w:name="RANGE!B27"/>
            <w:r w:rsidRPr="006079BD">
              <w:rPr>
                <w:rFonts w:ascii="Arial" w:hAnsi="Arial" w:cs="Arial"/>
                <w:sz w:val="16"/>
                <w:szCs w:val="22"/>
              </w:rPr>
              <w:t>1.5</w:t>
            </w:r>
            <w:bookmarkEnd w:id="54"/>
          </w:p>
        </w:tc>
        <w:tc>
          <w:tcPr>
            <w:tcW w:w="1870" w:type="dxa"/>
            <w:vMerge w:val="restart"/>
            <w:tcBorders>
              <w:top w:val="single" w:sz="8" w:space="0" w:color="auto"/>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Simplify and streamline the process for technology declassification to enable the diffusion of technologies developed for the defense sector with commercial applications</w:t>
            </w:r>
          </w:p>
        </w:tc>
        <w:tc>
          <w:tcPr>
            <w:tcW w:w="3176" w:type="dxa"/>
            <w:tcBorders>
              <w:top w:val="single" w:sz="8" w:space="0" w:color="auto"/>
              <w:left w:val="nil"/>
              <w:bottom w:val="nil"/>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1.5.1. Change classification laws to simplify the commercialization of projects initially deemed classified for security purposes and later identified as have commercial applications</w:t>
            </w:r>
          </w:p>
        </w:tc>
        <w:tc>
          <w:tcPr>
            <w:tcW w:w="2795" w:type="dxa"/>
            <w:tcBorders>
              <w:top w:val="single" w:sz="8" w:space="0" w:color="auto"/>
              <w:left w:val="nil"/>
              <w:bottom w:val="nil"/>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Proposed changes to classification laws adopted</w:t>
            </w:r>
          </w:p>
        </w:tc>
        <w:tc>
          <w:tcPr>
            <w:tcW w:w="1350" w:type="dxa"/>
            <w:tcBorders>
              <w:top w:val="single" w:sz="8" w:space="0" w:color="auto"/>
              <w:left w:val="nil"/>
              <w:bottom w:val="nil"/>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MOD (Delta)</w:t>
            </w:r>
          </w:p>
        </w:tc>
        <w:tc>
          <w:tcPr>
            <w:tcW w:w="1660" w:type="dxa"/>
            <w:gridSpan w:val="2"/>
            <w:tcBorders>
              <w:top w:val="single" w:sz="8" w:space="0" w:color="auto"/>
              <w:left w:val="nil"/>
              <w:bottom w:val="nil"/>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SSC, AOG, MOJ, MOESD (GITA), Sakpatenti</w:t>
            </w:r>
          </w:p>
        </w:tc>
        <w:tc>
          <w:tcPr>
            <w:tcW w:w="1485" w:type="dxa"/>
            <w:tcBorders>
              <w:top w:val="single" w:sz="8" w:space="0" w:color="auto"/>
              <w:left w:val="nil"/>
              <w:bottom w:val="nil"/>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2020-2021</w:t>
            </w:r>
          </w:p>
        </w:tc>
      </w:tr>
      <w:tr w:rsidR="006079BD" w:rsidRPr="006079BD" w:rsidTr="006079BD">
        <w:trPr>
          <w:gridAfter w:val="1"/>
          <w:wAfter w:w="480" w:type="dxa"/>
          <w:trHeight w:val="1120"/>
        </w:trPr>
        <w:tc>
          <w:tcPr>
            <w:tcW w:w="13050" w:type="dxa"/>
            <w:vMerge/>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single" w:sz="8" w:space="0" w:color="auto"/>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single" w:sz="4"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1.5.2. Evaluate internal government capabilities to identify classified technology with potential to be commercialized and facilitate the process without compromising security</w:t>
            </w:r>
          </w:p>
        </w:tc>
        <w:tc>
          <w:tcPr>
            <w:tcW w:w="2795" w:type="dxa"/>
            <w:tcBorders>
              <w:top w:val="single" w:sz="4"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Report on current capabilities and recommendations drafted and adopted</w:t>
            </w:r>
          </w:p>
        </w:tc>
        <w:tc>
          <w:tcPr>
            <w:tcW w:w="1350" w:type="dxa"/>
            <w:tcBorders>
              <w:top w:val="single" w:sz="4"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MOD (Delta)</w:t>
            </w:r>
          </w:p>
        </w:tc>
        <w:tc>
          <w:tcPr>
            <w:tcW w:w="1660" w:type="dxa"/>
            <w:gridSpan w:val="2"/>
            <w:tcBorders>
              <w:top w:val="single" w:sz="4"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SSC, AOG, MOJ, MOESD (GITA), Sakpatenti</w:t>
            </w:r>
          </w:p>
        </w:tc>
        <w:tc>
          <w:tcPr>
            <w:tcW w:w="1485" w:type="dxa"/>
            <w:tcBorders>
              <w:top w:val="single" w:sz="4" w:space="0" w:color="auto"/>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2021</w:t>
            </w:r>
          </w:p>
        </w:tc>
      </w:tr>
      <w:tr w:rsidR="006079BD" w:rsidRPr="006079BD" w:rsidTr="006079BD">
        <w:trPr>
          <w:gridAfter w:val="1"/>
          <w:wAfter w:w="480" w:type="dxa"/>
          <w:trHeight w:val="1545"/>
        </w:trPr>
        <w:tc>
          <w:tcPr>
            <w:tcW w:w="13050" w:type="dxa"/>
            <w:vMerge/>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single" w:sz="8" w:space="0" w:color="auto"/>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1.5.3. Develop and implement a performance improvement plan to enhance relevant agencies' capabilities to responsibly identify and process technologies with commercial applications, based on outcomes of the assessment</w:t>
            </w:r>
          </w:p>
        </w:tc>
        <w:tc>
          <w:tcPr>
            <w:tcW w:w="2795"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Reduction in time required to assess and approve / reject proposals for declassification</w:t>
            </w:r>
            <w:r w:rsidRPr="006079BD">
              <w:rPr>
                <w:rFonts w:ascii="Arial" w:hAnsi="Arial" w:cs="Arial"/>
                <w:sz w:val="16"/>
                <w:szCs w:val="22"/>
              </w:rPr>
              <w:br/>
              <w:t>- Number of technologies assessed for potential declassification</w:t>
            </w:r>
          </w:p>
        </w:tc>
        <w:tc>
          <w:tcPr>
            <w:tcW w:w="1350"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MOD (Delta)</w:t>
            </w:r>
          </w:p>
        </w:tc>
        <w:tc>
          <w:tcPr>
            <w:tcW w:w="1660" w:type="dxa"/>
            <w:gridSpan w:val="2"/>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SSC, AOG, MOJ, MOESD (GITA), Sakpatenti</w:t>
            </w:r>
          </w:p>
        </w:tc>
        <w:tc>
          <w:tcPr>
            <w:tcW w:w="1485" w:type="dxa"/>
            <w:tcBorders>
              <w:top w:val="nil"/>
              <w:left w:val="nil"/>
              <w:bottom w:val="single" w:sz="8"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2022-2023</w:t>
            </w:r>
          </w:p>
        </w:tc>
      </w:tr>
      <w:tr w:rsidR="006079BD" w:rsidRPr="006079BD" w:rsidTr="006079BD">
        <w:trPr>
          <w:gridAfter w:val="1"/>
          <w:wAfter w:w="480" w:type="dxa"/>
          <w:trHeight w:val="630"/>
        </w:trPr>
        <w:tc>
          <w:tcPr>
            <w:tcW w:w="13050" w:type="dxa"/>
            <w:gridSpan w:val="8"/>
            <w:tcBorders>
              <w:top w:val="single" w:sz="8" w:space="0" w:color="auto"/>
              <w:left w:val="single" w:sz="8" w:space="0" w:color="auto"/>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Cs w:val="32"/>
              </w:rPr>
            </w:pPr>
            <w:bookmarkStart w:id="55" w:name="RANGE!B30"/>
            <w:r w:rsidRPr="006079BD">
              <w:rPr>
                <w:rFonts w:ascii="Arial" w:hAnsi="Arial" w:cs="Arial"/>
                <w:szCs w:val="32"/>
              </w:rPr>
              <w:t>Upgrade quality standards</w:t>
            </w:r>
            <w:bookmarkEnd w:id="55"/>
          </w:p>
        </w:tc>
      </w:tr>
      <w:tr w:rsidR="006079BD" w:rsidRPr="006079BD" w:rsidTr="006079BD">
        <w:trPr>
          <w:gridAfter w:val="1"/>
          <w:wAfter w:w="480" w:type="dxa"/>
          <w:trHeight w:val="1365"/>
        </w:trPr>
        <w:tc>
          <w:tcPr>
            <w:tcW w:w="714" w:type="dxa"/>
            <w:vMerge w:val="restart"/>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1.6</w:t>
            </w:r>
          </w:p>
        </w:tc>
        <w:tc>
          <w:tcPr>
            <w:tcW w:w="1870" w:type="dxa"/>
            <w:vMerge w:val="restart"/>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Harmonize local industry quality and performance standards with EU standards</w:t>
            </w: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1.6.1. Conduct a cross-sector assessment to evaluate options to accelerate timeline to harmonize factory and supply chain standards with EU performance standards, targeting full compliance by 2025, including a review of current programs and their impact</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xml:space="preserve">- Evaluation report published </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xml:space="preserve">MOESD </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EU, TACSA, GeoSTM, GAC, NFA, AOG</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1435"/>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1.6.2. Develop an updated plan to harmonize factory and supply chain standards with EU performance standards and timeline for implementation, prioritizing businesses in high value manufacturing, food and beverage production and industrial design for early implementation</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Updated plan developed and adopted by government</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xml:space="preserve">MOESD </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TACSA, GeoSTM, GAC, NFA, AOG</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w:t>
            </w:r>
          </w:p>
        </w:tc>
      </w:tr>
      <w:tr w:rsidR="006079BD" w:rsidRPr="006079BD" w:rsidTr="006079BD">
        <w:trPr>
          <w:gridAfter w:val="1"/>
          <w:wAfter w:w="480" w:type="dxa"/>
          <w:trHeight w:val="1240"/>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1.6.3. Conduct agency-level performance assessment of entities responsible for overseeing standards alignment to assess current performance levels and any deficits in capabilities required to deliver the plan for harmonization</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Performance assessment report developed</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AOG</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 TACSA, GeoSTM, GAC, NFA</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1000"/>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1.6.4. Support agencies responsible for overseeing standards compliance in improving their oversight and enforcement capabilities (including issuing of licenses, penalties, etc.), based an assessment of their baseline capabilities</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Agency performance improvement plans developed and adopted by government</w:t>
            </w:r>
            <w:r w:rsidRPr="006079BD">
              <w:rPr>
                <w:rFonts w:ascii="Arial" w:hAnsi="Arial" w:cs="Arial"/>
                <w:sz w:val="16"/>
                <w:szCs w:val="22"/>
              </w:rPr>
              <w:br/>
              <w:t>- Share of Improvement Plan metrics achieved according to schedule</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AOG</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 TACSA, GeoSTM, GAC, NFA</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2020-2022</w:t>
            </w:r>
          </w:p>
        </w:tc>
      </w:tr>
      <w:tr w:rsidR="006079BD" w:rsidRPr="006079BD" w:rsidTr="006079BD">
        <w:trPr>
          <w:gridAfter w:val="1"/>
          <w:wAfter w:w="480" w:type="dxa"/>
          <w:trHeight w:val="1410"/>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xml:space="preserve">1.6.5. Introduce a financing and capacity-building program to support businesses interested in navigating and adhering to EU standards, targeting priority sectors </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Assessed current programs</w:t>
            </w:r>
            <w:r w:rsidRPr="006079BD">
              <w:rPr>
                <w:rFonts w:ascii="Arial" w:hAnsi="Arial" w:cs="Arial"/>
                <w:sz w:val="16"/>
                <w:szCs w:val="22"/>
              </w:rPr>
              <w:br/>
              <w:t>- New financing and capacity building programs</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 (EG)</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MOF, Business associations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2019-2022</w:t>
            </w:r>
          </w:p>
        </w:tc>
      </w:tr>
      <w:tr w:rsidR="006079BD" w:rsidRPr="006079BD" w:rsidTr="006079BD">
        <w:trPr>
          <w:gridAfter w:val="1"/>
          <w:wAfter w:w="480" w:type="dxa"/>
          <w:trHeight w:val="1410"/>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1.6.6. Implement programs included in the updated harmonization plan (e.g., capacity building for government, business support programs, etc.) and capture progress in an annual report</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Share of all businesses in high value manufacturing, food and beverage and industrial design confirmed compliant with EU standards</w:t>
            </w:r>
            <w:r w:rsidRPr="006079BD">
              <w:rPr>
                <w:rFonts w:ascii="Arial" w:hAnsi="Arial" w:cs="Arial"/>
                <w:sz w:val="16"/>
                <w:szCs w:val="22"/>
              </w:rPr>
              <w:br/>
              <w:t>- Share of all registered businesses confirmed compliant</w:t>
            </w:r>
            <w:r w:rsidRPr="006079BD">
              <w:rPr>
                <w:rFonts w:ascii="Arial" w:hAnsi="Arial" w:cs="Arial"/>
                <w:sz w:val="16"/>
                <w:szCs w:val="22"/>
              </w:rPr>
              <w:br/>
              <w:t xml:space="preserve">- Annual report issued </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 (EG)</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TACSA, GeoSTM, GAC, NFA, AOG</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2020-2025</w:t>
            </w:r>
          </w:p>
        </w:tc>
      </w:tr>
      <w:tr w:rsidR="006079BD" w:rsidRPr="006079BD" w:rsidTr="006079BD">
        <w:trPr>
          <w:gridAfter w:val="1"/>
          <w:wAfter w:w="480" w:type="dxa"/>
          <w:trHeight w:val="3405"/>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1.6.7. Develop a plan to upgrade efforts to combat the flows of counterfeit Georgian products (e.g., wine, spirits) domestically and abroad, focusing on preserving the value of the Georgian brand, based on a review of current efforts</w:t>
            </w:r>
            <w:r w:rsidRPr="006079BD">
              <w:rPr>
                <w:rFonts w:ascii="Arial" w:hAnsi="Arial" w:cs="Arial"/>
                <w:sz w:val="16"/>
                <w:szCs w:val="22"/>
              </w:rPr>
              <w:br/>
            </w:r>
            <w:r w:rsidRPr="006079BD">
              <w:rPr>
                <w:rFonts w:ascii="Arial" w:hAnsi="Arial" w:cs="Arial"/>
                <w:sz w:val="16"/>
                <w:szCs w:val="22"/>
              </w:rPr>
              <w:br/>
            </w:r>
            <w:r w:rsidRPr="006079BD">
              <w:rPr>
                <w:rFonts w:ascii="Arial" w:hAnsi="Arial" w:cs="Arial"/>
                <w:i/>
                <w:iCs/>
                <w:sz w:val="16"/>
                <w:szCs w:val="22"/>
              </w:rPr>
              <w:t>Potential actions to consider:</w:t>
            </w:r>
            <w:r w:rsidRPr="006079BD">
              <w:rPr>
                <w:rFonts w:ascii="Arial" w:hAnsi="Arial" w:cs="Arial"/>
                <w:i/>
                <w:iCs/>
                <w:sz w:val="16"/>
                <w:szCs w:val="22"/>
              </w:rPr>
              <w:br/>
              <w:t>- Establishing a national branding scheme for priority products (e.g., label, secure product ledger with easy traceability, etc.)</w:t>
            </w:r>
            <w:r w:rsidRPr="006079BD">
              <w:rPr>
                <w:rFonts w:ascii="Arial" w:hAnsi="Arial" w:cs="Arial"/>
                <w:i/>
                <w:iCs/>
                <w:sz w:val="16"/>
                <w:szCs w:val="22"/>
              </w:rPr>
              <w:br/>
              <w:t xml:space="preserve">- Strengthen law enforcement through capacity building and investment, working in tandem with neighboring countries </w:t>
            </w:r>
            <w:r w:rsidRPr="006079BD">
              <w:rPr>
                <w:rFonts w:ascii="Arial" w:hAnsi="Arial" w:cs="Arial"/>
                <w:i/>
                <w:iCs/>
                <w:sz w:val="16"/>
                <w:szCs w:val="22"/>
              </w:rPr>
              <w:br/>
              <w:t xml:space="preserve">- Proactively pursue counterfeit cases in neighboring countries with high rates of violations </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Anti-counterfeit plan developed and adopted by government</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 (EG)</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MOF (Investigation Service), MOFA, Sakpatenti</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w:t>
            </w:r>
          </w:p>
        </w:tc>
      </w:tr>
      <w:tr w:rsidR="006079BD" w:rsidRPr="006079BD" w:rsidTr="006079BD">
        <w:trPr>
          <w:gridAfter w:val="1"/>
          <w:wAfter w:w="480" w:type="dxa"/>
          <w:trHeight w:val="1433"/>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1.6.8. Oversee Anti-counterfeit plan implementation and annual progress reporting</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Share of Anti-counterfeit Plan metrics achieved according to schedule</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 (EG)</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MOF (Investigation Service), MOFA, Sakpatenti</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2020-2025</w:t>
            </w:r>
          </w:p>
        </w:tc>
      </w:tr>
      <w:tr w:rsidR="006079BD" w:rsidRPr="006079BD" w:rsidTr="006079BD">
        <w:trPr>
          <w:gridAfter w:val="1"/>
          <w:wAfter w:w="480" w:type="dxa"/>
          <w:trHeight w:val="990"/>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1.6.9. Design and implement a campaign to raise awareness among domestic and international businesses in target markets about what the Government of Georgia is doing to improve quality standards</w:t>
            </w:r>
          </w:p>
        </w:tc>
        <w:tc>
          <w:tcPr>
            <w:tcW w:w="2795"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Campaign plan developed and adopted</w:t>
            </w:r>
            <w:r w:rsidRPr="006079BD">
              <w:rPr>
                <w:rFonts w:ascii="Arial" w:hAnsi="Arial" w:cs="Arial"/>
                <w:sz w:val="16"/>
                <w:szCs w:val="22"/>
              </w:rPr>
              <w:br/>
              <w:t>- Awareness among business leaders in target markets of efforts to raise factory and supply chain quality standards</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 (EG)</w:t>
            </w:r>
          </w:p>
        </w:tc>
        <w:tc>
          <w:tcPr>
            <w:tcW w:w="1660" w:type="dxa"/>
            <w:gridSpan w:val="2"/>
            <w:tcBorders>
              <w:top w:val="nil"/>
              <w:left w:val="nil"/>
              <w:bottom w:val="single" w:sz="8" w:space="0" w:color="auto"/>
              <w:right w:val="single" w:sz="4" w:space="0" w:color="auto"/>
            </w:tcBorders>
            <w:shd w:val="clear" w:color="auto" w:fill="FFFFFF"/>
            <w:noWrap/>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MOFA</w:t>
            </w:r>
          </w:p>
        </w:tc>
        <w:tc>
          <w:tcPr>
            <w:tcW w:w="1485" w:type="dxa"/>
            <w:tcBorders>
              <w:top w:val="nil"/>
              <w:left w:val="nil"/>
              <w:bottom w:val="single" w:sz="8"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2019-2025</w:t>
            </w:r>
          </w:p>
        </w:tc>
      </w:tr>
      <w:tr w:rsidR="006079BD" w:rsidRPr="006079BD" w:rsidTr="006079BD">
        <w:trPr>
          <w:gridAfter w:val="1"/>
          <w:wAfter w:w="480" w:type="dxa"/>
          <w:trHeight w:val="1050"/>
        </w:trPr>
        <w:tc>
          <w:tcPr>
            <w:tcW w:w="714" w:type="dxa"/>
            <w:vMerge w:val="restart"/>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1.7</w:t>
            </w:r>
          </w:p>
        </w:tc>
        <w:tc>
          <w:tcPr>
            <w:tcW w:w="1870" w:type="dxa"/>
            <w:vMerge w:val="restart"/>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Strengthen the Georgian brand for “quality” by increasing the predictability of standards associated with visitor experiences</w:t>
            </w: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1.7.1 Update the tourism strategy to focus on attracting on high value customer flows defined in cooperation with the agencies responsible for investment promotion and economic development</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Amendments to the tourism strategy developed and adopted</w:t>
            </w:r>
          </w:p>
        </w:tc>
        <w:tc>
          <w:tcPr>
            <w:tcW w:w="1350" w:type="dxa"/>
            <w:tcBorders>
              <w:top w:val="single" w:sz="8"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 (GNTA)</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 EG, GITA</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2019-2020</w:t>
            </w:r>
          </w:p>
        </w:tc>
      </w:tr>
      <w:tr w:rsidR="006079BD" w:rsidRPr="006079BD" w:rsidTr="006079BD">
        <w:trPr>
          <w:gridAfter w:val="1"/>
          <w:wAfter w:w="480" w:type="dxa"/>
          <w:trHeight w:val="1050"/>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1.7.2. Define a clear set of industry HSE standards for the tourism industry aligned to EU regulations</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Tourism HSE standards developed and adopted</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 (GNTA)</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Tourism Business Associations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2019-2020</w:t>
            </w:r>
          </w:p>
        </w:tc>
      </w:tr>
      <w:tr w:rsidR="006079BD" w:rsidRPr="006079BD" w:rsidTr="006079BD">
        <w:trPr>
          <w:gridAfter w:val="1"/>
          <w:wAfter w:w="480" w:type="dxa"/>
          <w:trHeight w:val="1050"/>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1.7.3. Establish an oversight mechanism to ensure compliance with tourism industry HSE standards, including financial / technical support for businesses seeking to achieve compliance</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Oversight mechanism established and operational</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 (GNTA)</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Tourism Business Associations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w:t>
            </w:r>
          </w:p>
        </w:tc>
      </w:tr>
      <w:tr w:rsidR="006079BD" w:rsidRPr="006079BD" w:rsidTr="006079BD">
        <w:trPr>
          <w:gridAfter w:val="1"/>
          <w:wAfter w:w="480" w:type="dxa"/>
          <w:trHeight w:val="1485"/>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xml:space="preserve">1.7.4  Expand access to training programs (e.g., hotel staff, etc.) for tourism and hospitality professionals to improve talent consistency, based on an assessment of existing programs and industry demand (e.g., Millennium Challenge Association vocational training programs) </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Number of new programs and enrollment rates</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 (GNTA)</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Tourism Business Associations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2019-2020</w:t>
            </w:r>
          </w:p>
        </w:tc>
      </w:tr>
      <w:tr w:rsidR="006079BD" w:rsidRPr="006079BD" w:rsidTr="006079BD">
        <w:trPr>
          <w:gridAfter w:val="1"/>
          <w:wAfter w:w="480" w:type="dxa"/>
          <w:trHeight w:val="1448"/>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8"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1.7.5. Develop and implement tourism campaigns and supporting marketing around products and industry areas where Georgia has a regional advantage, promoting the Georgian brand for specific high value products (e.g. wine, high value fashion, fine arts)</w:t>
            </w:r>
          </w:p>
        </w:tc>
        <w:tc>
          <w:tcPr>
            <w:tcW w:w="2795"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Strategic Tourism campaigns developed</w:t>
            </w:r>
            <w:r w:rsidRPr="006079BD">
              <w:rPr>
                <w:rFonts w:ascii="Arial" w:hAnsi="Arial" w:cs="Arial"/>
                <w:sz w:val="16"/>
                <w:szCs w:val="22"/>
              </w:rPr>
              <w:br/>
              <w:t>- Number of priority markets reached with campaigns</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 (GNTA)</w:t>
            </w:r>
          </w:p>
        </w:tc>
        <w:tc>
          <w:tcPr>
            <w:tcW w:w="1660" w:type="dxa"/>
            <w:gridSpan w:val="2"/>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Tourism Business Associations, Creative Georgia</w:t>
            </w:r>
          </w:p>
        </w:tc>
        <w:tc>
          <w:tcPr>
            <w:tcW w:w="1485" w:type="dxa"/>
            <w:tcBorders>
              <w:top w:val="nil"/>
              <w:left w:val="nil"/>
              <w:bottom w:val="single" w:sz="8"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2020-2025</w:t>
            </w:r>
          </w:p>
        </w:tc>
      </w:tr>
      <w:tr w:rsidR="006079BD" w:rsidRPr="006079BD" w:rsidTr="006079BD">
        <w:trPr>
          <w:gridAfter w:val="1"/>
          <w:wAfter w:w="480" w:type="dxa"/>
          <w:trHeight w:val="550"/>
        </w:trPr>
        <w:tc>
          <w:tcPr>
            <w:tcW w:w="13050" w:type="dxa"/>
            <w:gridSpan w:val="8"/>
            <w:tcBorders>
              <w:top w:val="single" w:sz="8" w:space="0" w:color="auto"/>
              <w:left w:val="single" w:sz="8" w:space="0" w:color="auto"/>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Cs w:val="32"/>
              </w:rPr>
            </w:pPr>
            <w:bookmarkStart w:id="56" w:name="RANGE!B45"/>
            <w:r w:rsidRPr="006079BD">
              <w:rPr>
                <w:rFonts w:ascii="Arial" w:hAnsi="Arial" w:cs="Arial"/>
                <w:szCs w:val="32"/>
              </w:rPr>
              <w:t>Build business linkages</w:t>
            </w:r>
            <w:bookmarkEnd w:id="56"/>
          </w:p>
        </w:tc>
      </w:tr>
      <w:tr w:rsidR="006079BD" w:rsidRPr="006079BD" w:rsidTr="006079BD">
        <w:trPr>
          <w:gridAfter w:val="1"/>
          <w:wAfter w:w="480" w:type="dxa"/>
          <w:trHeight w:val="3180"/>
        </w:trPr>
        <w:tc>
          <w:tcPr>
            <w:tcW w:w="714" w:type="dxa"/>
            <w:vMerge w:val="restart"/>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1.8</w:t>
            </w:r>
          </w:p>
        </w:tc>
        <w:tc>
          <w:tcPr>
            <w:tcW w:w="1870" w:type="dxa"/>
            <w:vMerge w:val="restart"/>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Enable growth-oriented companies to access the information and capacity-building support to reach external markets</w:t>
            </w: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1.8.1. Define a set of criteria for businesses to qualify for support and make this standard public</w:t>
            </w:r>
            <w:r w:rsidRPr="006079BD">
              <w:rPr>
                <w:rFonts w:ascii="Arial" w:hAnsi="Arial" w:cs="Arial"/>
                <w:sz w:val="16"/>
                <w:szCs w:val="22"/>
              </w:rPr>
              <w:br/>
            </w:r>
            <w:r w:rsidRPr="006079BD">
              <w:rPr>
                <w:rFonts w:ascii="Arial" w:hAnsi="Arial" w:cs="Arial"/>
                <w:i/>
                <w:iCs/>
                <w:sz w:val="16"/>
                <w:szCs w:val="22"/>
              </w:rPr>
              <w:br/>
              <w:t>Potential criteria could include:</w:t>
            </w:r>
            <w:r w:rsidRPr="006079BD">
              <w:rPr>
                <w:rFonts w:ascii="Arial" w:hAnsi="Arial" w:cs="Arial"/>
                <w:i/>
                <w:iCs/>
                <w:sz w:val="16"/>
                <w:szCs w:val="22"/>
              </w:rPr>
              <w:br/>
              <w:t>- Annual or total investment in innovation or R&amp;D</w:t>
            </w:r>
            <w:r w:rsidRPr="006079BD">
              <w:rPr>
                <w:rFonts w:ascii="Arial" w:hAnsi="Arial" w:cs="Arial"/>
                <w:i/>
                <w:iCs/>
                <w:sz w:val="16"/>
                <w:szCs w:val="22"/>
              </w:rPr>
              <w:br/>
              <w:t>- Clear evidence of investments made to reach foreign markets</w:t>
            </w:r>
            <w:r w:rsidRPr="006079BD">
              <w:rPr>
                <w:rFonts w:ascii="Arial" w:hAnsi="Arial" w:cs="Arial"/>
                <w:i/>
                <w:iCs/>
                <w:sz w:val="16"/>
                <w:szCs w:val="22"/>
              </w:rPr>
              <w:br/>
              <w:t>- Number and value of existing global contracts</w:t>
            </w:r>
            <w:r w:rsidRPr="006079BD">
              <w:rPr>
                <w:rFonts w:ascii="Arial" w:hAnsi="Arial" w:cs="Arial"/>
                <w:i/>
                <w:iCs/>
                <w:sz w:val="16"/>
                <w:szCs w:val="22"/>
              </w:rPr>
              <w:br/>
              <w:t>- Minimum number of employees</w:t>
            </w:r>
            <w:r w:rsidRPr="006079BD">
              <w:rPr>
                <w:rFonts w:ascii="Arial" w:hAnsi="Arial" w:cs="Arial"/>
                <w:i/>
                <w:iCs/>
                <w:sz w:val="16"/>
                <w:szCs w:val="22"/>
              </w:rPr>
              <w:br/>
              <w:t>- Minimum annual revenue</w:t>
            </w:r>
            <w:r w:rsidRPr="006079BD">
              <w:rPr>
                <w:rFonts w:ascii="Arial" w:hAnsi="Arial" w:cs="Arial"/>
                <w:i/>
                <w:iCs/>
                <w:sz w:val="16"/>
                <w:szCs w:val="22"/>
              </w:rPr>
              <w:br/>
              <w:t>- Business case for capacity building support</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Criteria established and publicized</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 (EG)</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GITA, MOFA, Business Associations, GCCI, ICC, AmCham, Donors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2019-2020</w:t>
            </w:r>
          </w:p>
        </w:tc>
      </w:tr>
      <w:tr w:rsidR="006079BD" w:rsidRPr="006079BD" w:rsidTr="006079BD">
        <w:trPr>
          <w:gridAfter w:val="1"/>
          <w:wAfter w:w="480" w:type="dxa"/>
          <w:trHeight w:val="1553"/>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1.8.1. Establish regular (e.g., semi-annual) market “tours” / learning programs for select high performing business leaders across industries in target foreign markets focused on helping them gain a general introduction to market opportunities and dynamics</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xml:space="preserve">- Number of participants in market tours </w:t>
            </w:r>
            <w:r w:rsidRPr="006079BD">
              <w:rPr>
                <w:rFonts w:ascii="Arial" w:hAnsi="Arial" w:cs="Arial"/>
                <w:sz w:val="16"/>
                <w:szCs w:val="22"/>
              </w:rPr>
              <w:br/>
              <w:t>- Share of participants who create value-adding business connections through market tours</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 (EG)</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GITA, MOFA, Business Associations, GCCI, ICC, AmCham, Donors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2019-2020</w:t>
            </w:r>
          </w:p>
        </w:tc>
      </w:tr>
      <w:tr w:rsidR="006079BD" w:rsidRPr="006079BD" w:rsidTr="006079BD">
        <w:trPr>
          <w:gridAfter w:val="1"/>
          <w:wAfter w:w="480" w:type="dxa"/>
          <w:trHeight w:val="1208"/>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1.8.2. Set up short-term internship programs for current or rising senior executives in high potential Georgian SMEs to help them gain exposure to global markets, in target foreign markets</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Number of Georgian participants in exchange programs</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 (EG)</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GITA, MOFA, Business Associations, GCCI, ICC, AmCham, Donors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2020-2021</w:t>
            </w:r>
          </w:p>
        </w:tc>
      </w:tr>
      <w:tr w:rsidR="006079BD" w:rsidRPr="006079BD" w:rsidTr="006079BD">
        <w:trPr>
          <w:gridAfter w:val="1"/>
          <w:wAfter w:w="480" w:type="dxa"/>
          <w:trHeight w:val="1283"/>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1.8.3. Evaluate the business case to expand the EBRD SME consultancy program to identify high performing SMEs and help them access consultants who can help them navigate target external markets</w:t>
            </w:r>
          </w:p>
        </w:tc>
        <w:tc>
          <w:tcPr>
            <w:tcW w:w="2795"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Business case report developed and adopted</w:t>
            </w:r>
          </w:p>
        </w:tc>
        <w:tc>
          <w:tcPr>
            <w:tcW w:w="1350"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 (EG)</w:t>
            </w:r>
          </w:p>
        </w:tc>
        <w:tc>
          <w:tcPr>
            <w:tcW w:w="1660" w:type="dxa"/>
            <w:gridSpan w:val="2"/>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EBRD, GITA</w:t>
            </w:r>
          </w:p>
        </w:tc>
        <w:tc>
          <w:tcPr>
            <w:tcW w:w="1485" w:type="dxa"/>
            <w:tcBorders>
              <w:top w:val="nil"/>
              <w:left w:val="nil"/>
              <w:bottom w:val="single" w:sz="8"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975"/>
        </w:trPr>
        <w:tc>
          <w:tcPr>
            <w:tcW w:w="714" w:type="dxa"/>
            <w:vMerge w:val="restart"/>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1.9</w:t>
            </w:r>
          </w:p>
        </w:tc>
        <w:tc>
          <w:tcPr>
            <w:tcW w:w="1870" w:type="dxa"/>
            <w:vMerge w:val="restart"/>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Encourage global companies to procure from and invest in the development of local businesses</w:t>
            </w: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1.9.1. Establish a regular program of industry events to showcase local companies positioned to supply global companies in target sectors, determined based on the profile of new and existing foreign investors</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Number of industry events completed annually</w:t>
            </w:r>
            <w:r w:rsidRPr="006079BD">
              <w:rPr>
                <w:rFonts w:ascii="Arial" w:hAnsi="Arial" w:cs="Arial"/>
                <w:sz w:val="16"/>
                <w:szCs w:val="22"/>
              </w:rPr>
              <w:br/>
              <w:t xml:space="preserve">- Number of foreign and domestic businesses participating in events </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 (EG)</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GITA, MOFA, Business Associations, GCCI, ICC, AmCham</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2019-2020</w:t>
            </w:r>
          </w:p>
        </w:tc>
      </w:tr>
      <w:tr w:rsidR="006079BD" w:rsidRPr="006079BD" w:rsidTr="006079BD">
        <w:trPr>
          <w:gridAfter w:val="1"/>
          <w:wAfter w:w="480" w:type="dxa"/>
          <w:trHeight w:val="1155"/>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1.9.2. Organize business development workshops targeting current and potential local suppliers to global companies, integrating training on how innovation (e.g., product, customer service) can better position them to secure business</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Business development workshops and trainings implemented</w:t>
            </w:r>
            <w:r w:rsidRPr="006079BD">
              <w:rPr>
                <w:rFonts w:ascii="Arial" w:hAnsi="Arial" w:cs="Arial"/>
                <w:sz w:val="16"/>
                <w:szCs w:val="22"/>
              </w:rPr>
              <w:br/>
              <w:t>- Share of participants reporting business improvements and / or new buyer relationships as a result of trainings</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 (EG)</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GITA</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2019-2021</w:t>
            </w:r>
          </w:p>
        </w:tc>
      </w:tr>
      <w:tr w:rsidR="006079BD" w:rsidRPr="006079BD" w:rsidTr="006079BD">
        <w:trPr>
          <w:gridAfter w:val="1"/>
          <w:wAfter w:w="480" w:type="dxa"/>
          <w:trHeight w:val="2880"/>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1.9.3 Produce a study of the viability and benefits of regulatory, tax or other policy incentives to encourage business to procure from local suppliers, particularly SMEs, based on the state of development and needs of specific industry, including a corresponding set of policy recommendations</w:t>
            </w:r>
            <w:r w:rsidRPr="006079BD">
              <w:rPr>
                <w:rFonts w:ascii="Arial" w:hAnsi="Arial" w:cs="Arial"/>
                <w:sz w:val="16"/>
                <w:szCs w:val="22"/>
              </w:rPr>
              <w:br/>
            </w:r>
            <w:r w:rsidRPr="006079BD">
              <w:rPr>
                <w:rFonts w:ascii="Arial" w:hAnsi="Arial" w:cs="Arial"/>
                <w:sz w:val="16"/>
                <w:szCs w:val="22"/>
              </w:rPr>
              <w:br/>
            </w:r>
            <w:r w:rsidRPr="006079BD">
              <w:rPr>
                <w:rFonts w:ascii="Arial" w:hAnsi="Arial" w:cs="Arial"/>
                <w:i/>
                <w:iCs/>
                <w:sz w:val="16"/>
                <w:szCs w:val="22"/>
              </w:rPr>
              <w:t>Policy options to assess (not comprehensive):</w:t>
            </w:r>
            <w:r w:rsidRPr="006079BD">
              <w:rPr>
                <w:rFonts w:ascii="Arial" w:hAnsi="Arial" w:cs="Arial"/>
                <w:i/>
                <w:iCs/>
                <w:sz w:val="16"/>
                <w:szCs w:val="22"/>
              </w:rPr>
              <w:br/>
              <w:t xml:space="preserve">- Local content requirements </w:t>
            </w:r>
            <w:r w:rsidRPr="006079BD">
              <w:rPr>
                <w:rFonts w:ascii="Arial" w:hAnsi="Arial" w:cs="Arial"/>
                <w:i/>
                <w:iCs/>
                <w:sz w:val="16"/>
                <w:szCs w:val="22"/>
              </w:rPr>
              <w:br/>
              <w:t>- Tax deductions or deferments</w:t>
            </w:r>
            <w:r w:rsidRPr="006079BD">
              <w:rPr>
                <w:rFonts w:ascii="Arial" w:hAnsi="Arial" w:cs="Arial"/>
                <w:i/>
                <w:iCs/>
                <w:sz w:val="16"/>
                <w:szCs w:val="22"/>
              </w:rPr>
              <w:br/>
              <w:t>- Labor support and / or subsidies</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Report developed and recommendations adopted</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AOG, GITA, Business Associations, GCCI, AmCham</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1215"/>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1.9.4. Re-orient rural development programs to focus on identifying and supporting a limited set of high performing / high potential local ventures based on industry need and with strong backward linkages to local agricultural producers</w:t>
            </w:r>
          </w:p>
        </w:tc>
        <w:tc>
          <w:tcPr>
            <w:tcW w:w="2795"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High performing local ventures identified</w:t>
            </w:r>
          </w:p>
        </w:tc>
        <w:tc>
          <w:tcPr>
            <w:tcW w:w="1350"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MOA, APMA</w:t>
            </w:r>
          </w:p>
        </w:tc>
        <w:tc>
          <w:tcPr>
            <w:tcW w:w="1660" w:type="dxa"/>
            <w:gridSpan w:val="2"/>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 EG, PF, GCCI, AmCham, Business Associations</w:t>
            </w:r>
          </w:p>
        </w:tc>
        <w:tc>
          <w:tcPr>
            <w:tcW w:w="1485" w:type="dxa"/>
            <w:tcBorders>
              <w:top w:val="nil"/>
              <w:left w:val="nil"/>
              <w:bottom w:val="single" w:sz="8"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2020-2025</w:t>
            </w:r>
          </w:p>
        </w:tc>
      </w:tr>
      <w:tr w:rsidR="006079BD" w:rsidRPr="006079BD" w:rsidTr="006079BD">
        <w:trPr>
          <w:gridAfter w:val="1"/>
          <w:wAfter w:w="480" w:type="dxa"/>
          <w:trHeight w:val="1350"/>
        </w:trPr>
        <w:tc>
          <w:tcPr>
            <w:tcW w:w="714" w:type="dxa"/>
            <w:vMerge w:val="restart"/>
            <w:tcBorders>
              <w:top w:val="nil"/>
              <w:left w:val="single" w:sz="8" w:space="0" w:color="auto"/>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1.10</w:t>
            </w:r>
          </w:p>
        </w:tc>
        <w:tc>
          <w:tcPr>
            <w:tcW w:w="1870" w:type="dxa"/>
            <w:vMerge w:val="restart"/>
            <w:tcBorders>
              <w:top w:val="nil"/>
              <w:left w:val="single" w:sz="4" w:space="0" w:color="auto"/>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Facilitate knowledge exchange and collaboration  (by establishing anchor institutions)</w:t>
            </w:r>
          </w:p>
        </w:tc>
        <w:tc>
          <w:tcPr>
            <w:tcW w:w="3176" w:type="dxa"/>
            <w:tcBorders>
              <w:top w:val="nil"/>
              <w:left w:val="nil"/>
              <w:bottom w:val="nil"/>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1.10.1. Organize an advisory group of business leaders from across design and manufacturing industries to identify opportunities to support and strengthen industry synergies, hosted by EG</w:t>
            </w:r>
          </w:p>
        </w:tc>
        <w:tc>
          <w:tcPr>
            <w:tcW w:w="2795" w:type="dxa"/>
            <w:tcBorders>
              <w:top w:val="nil"/>
              <w:left w:val="nil"/>
              <w:bottom w:val="nil"/>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Advisory group established</w:t>
            </w:r>
            <w:r w:rsidRPr="006079BD">
              <w:rPr>
                <w:rFonts w:ascii="Arial" w:hAnsi="Arial" w:cs="Arial"/>
                <w:sz w:val="16"/>
                <w:szCs w:val="22"/>
              </w:rPr>
              <w:br/>
              <w:t>- Opportunities identified to support industry synergies</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 (EG)</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GITA, PF, Business Associations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1350"/>
        </w:trPr>
        <w:tc>
          <w:tcPr>
            <w:tcW w:w="13050" w:type="dxa"/>
            <w:vMerge/>
            <w:tcBorders>
              <w:top w:val="nil"/>
              <w:left w:val="single" w:sz="8"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single" w:sz="4"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1.10.2. Develop a rural extension program with a local university, global, or EU partner to provide research and hands on learning experiences, working with local food processing and agricultural businesses to define location and focus</w:t>
            </w:r>
          </w:p>
        </w:tc>
        <w:tc>
          <w:tcPr>
            <w:tcW w:w="2795" w:type="dxa"/>
            <w:tcBorders>
              <w:top w:val="single" w:sz="4"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Rural extension program established; number and growth of enterprises participating in programs</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MOA</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MOESCS, MOESD, PF, GITA, Agriculture University of Georgia, Business Associations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2021-2023</w:t>
            </w:r>
          </w:p>
        </w:tc>
      </w:tr>
      <w:tr w:rsidR="006079BD" w:rsidRPr="006079BD" w:rsidTr="006079BD">
        <w:trPr>
          <w:gridAfter w:val="1"/>
          <w:wAfter w:w="480" w:type="dxa"/>
          <w:trHeight w:val="1817"/>
        </w:trPr>
        <w:tc>
          <w:tcPr>
            <w:tcW w:w="13050" w:type="dxa"/>
            <w:vMerge/>
            <w:tcBorders>
              <w:top w:val="nil"/>
              <w:left w:val="single" w:sz="8"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1.10.3. Attract a world class higher education institution in industrial design and production to launch a degree program in Georgia, working with existing local industry and external market leaders to define priority degrees / concentrations</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Industrial design and advanced manufacturing program established; number of graduates and percent of them hired</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MOESCS</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 PF, GITA, Business Associations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2021-2023</w:t>
            </w:r>
          </w:p>
        </w:tc>
      </w:tr>
      <w:tr w:rsidR="006079BD" w:rsidRPr="006079BD" w:rsidTr="006079BD">
        <w:trPr>
          <w:gridAfter w:val="1"/>
          <w:wAfter w:w="480" w:type="dxa"/>
          <w:trHeight w:val="3320"/>
        </w:trPr>
        <w:tc>
          <w:tcPr>
            <w:tcW w:w="13050" w:type="dxa"/>
            <w:vMerge/>
            <w:tcBorders>
              <w:top w:val="nil"/>
              <w:left w:val="single" w:sz="8"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1.10.4. Conduct a survey and series of focus groups with domestic and external industry leaders in food and beverage production and target categories of high value manufacturing to identify other high priority institutions to serve the industry (e.g. testing labs, training institutes, other shared infrastructure, etc.)</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Survey and focus groups conducted</w:t>
            </w:r>
            <w:r w:rsidRPr="006079BD">
              <w:rPr>
                <w:rFonts w:ascii="Arial" w:hAnsi="Arial" w:cs="Arial"/>
                <w:sz w:val="16"/>
                <w:szCs w:val="22"/>
              </w:rPr>
              <w:br/>
              <w:t>- Report defining high priority institutions and descriptions established and adopted</w:t>
            </w:r>
          </w:p>
        </w:tc>
        <w:tc>
          <w:tcPr>
            <w:tcW w:w="1350" w:type="dxa"/>
            <w:tcBorders>
              <w:top w:val="nil"/>
              <w:left w:val="nil"/>
              <w:bottom w:val="single" w:sz="4" w:space="0" w:color="auto"/>
              <w:right w:val="single" w:sz="4" w:space="0" w:color="auto"/>
            </w:tcBorders>
            <w:shd w:val="clear" w:color="auto" w:fill="FFFFFF"/>
            <w:noWrap/>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EG, MOESCS, PF, GITA, GCCI, ICC, AmCham, Business Associations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2023</w:t>
            </w:r>
          </w:p>
        </w:tc>
      </w:tr>
      <w:tr w:rsidR="006079BD" w:rsidRPr="006079BD" w:rsidTr="006079BD">
        <w:trPr>
          <w:gridAfter w:val="1"/>
          <w:wAfter w:w="480" w:type="dxa"/>
          <w:trHeight w:val="439"/>
        </w:trPr>
        <w:tc>
          <w:tcPr>
            <w:tcW w:w="13050" w:type="dxa"/>
            <w:gridSpan w:val="8"/>
            <w:vMerge w:val="restart"/>
            <w:tcBorders>
              <w:top w:val="single" w:sz="8" w:space="0" w:color="auto"/>
              <w:left w:val="single" w:sz="8" w:space="0" w:color="auto"/>
              <w:bottom w:val="single" w:sz="8" w:space="0" w:color="000000"/>
              <w:right w:val="single" w:sz="4" w:space="0" w:color="auto"/>
            </w:tcBorders>
            <w:shd w:val="clear" w:color="auto" w:fill="DDEBF7"/>
            <w:vAlign w:val="center"/>
            <w:hideMark/>
          </w:tcPr>
          <w:p w:rsidR="006079BD" w:rsidRPr="006079BD" w:rsidRDefault="006079BD" w:rsidP="006079BD">
            <w:pPr>
              <w:spacing w:before="0" w:after="0" w:line="240" w:lineRule="auto"/>
              <w:jc w:val="center"/>
              <w:rPr>
                <w:rFonts w:ascii="Arial" w:hAnsi="Arial" w:cs="Arial"/>
                <w:b/>
                <w:bCs/>
                <w:sz w:val="16"/>
                <w:szCs w:val="36"/>
              </w:rPr>
            </w:pPr>
            <w:bookmarkStart w:id="57" w:name="RANGE!B58"/>
            <w:r w:rsidRPr="006079BD">
              <w:rPr>
                <w:rFonts w:ascii="Arial" w:hAnsi="Arial" w:cs="Arial"/>
                <w:b/>
                <w:bCs/>
                <w:sz w:val="22"/>
                <w:szCs w:val="38"/>
              </w:rPr>
              <w:t>Strategic direction 2: Building foundational innovation assets</w:t>
            </w:r>
            <w:bookmarkEnd w:id="57"/>
          </w:p>
        </w:tc>
      </w:tr>
      <w:tr w:rsidR="006079BD" w:rsidRPr="006079BD" w:rsidTr="006079BD">
        <w:trPr>
          <w:gridAfter w:val="1"/>
          <w:wAfter w:w="480" w:type="dxa"/>
          <w:trHeight w:val="450"/>
        </w:trPr>
        <w:tc>
          <w:tcPr>
            <w:tcW w:w="26885" w:type="dxa"/>
            <w:gridSpan w:val="8"/>
            <w:vMerge/>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36"/>
              </w:rPr>
            </w:pPr>
          </w:p>
        </w:tc>
      </w:tr>
      <w:tr w:rsidR="006079BD" w:rsidRPr="006079BD" w:rsidTr="006079BD">
        <w:trPr>
          <w:gridAfter w:val="1"/>
          <w:wAfter w:w="480" w:type="dxa"/>
          <w:trHeight w:val="578"/>
        </w:trPr>
        <w:tc>
          <w:tcPr>
            <w:tcW w:w="13050" w:type="dxa"/>
            <w:gridSpan w:val="8"/>
            <w:tcBorders>
              <w:top w:val="single" w:sz="8" w:space="0" w:color="auto"/>
              <w:left w:val="single" w:sz="8" w:space="0" w:color="auto"/>
              <w:bottom w:val="nil"/>
              <w:right w:val="single" w:sz="4" w:space="0" w:color="auto"/>
            </w:tcBorders>
            <w:vAlign w:val="center"/>
            <w:hideMark/>
          </w:tcPr>
          <w:p w:rsidR="006079BD" w:rsidRPr="006079BD" w:rsidRDefault="006079BD" w:rsidP="006079BD">
            <w:pPr>
              <w:spacing w:before="0" w:after="0" w:line="240" w:lineRule="auto"/>
              <w:jc w:val="center"/>
              <w:rPr>
                <w:rFonts w:ascii="Arial" w:hAnsi="Arial" w:cs="Arial"/>
                <w:szCs w:val="32"/>
              </w:rPr>
            </w:pPr>
            <w:bookmarkStart w:id="58" w:name="RANGE!B60"/>
            <w:r w:rsidRPr="006079BD">
              <w:rPr>
                <w:rFonts w:ascii="Arial" w:hAnsi="Arial" w:cs="Arial"/>
                <w:szCs w:val="32"/>
              </w:rPr>
              <w:t>Prepare the talent pipeline</w:t>
            </w:r>
            <w:bookmarkEnd w:id="58"/>
          </w:p>
        </w:tc>
      </w:tr>
      <w:tr w:rsidR="006079BD" w:rsidRPr="006079BD" w:rsidTr="006079BD">
        <w:trPr>
          <w:gridAfter w:val="1"/>
          <w:wAfter w:w="480" w:type="dxa"/>
          <w:trHeight w:val="1148"/>
        </w:trPr>
        <w:tc>
          <w:tcPr>
            <w:tcW w:w="714" w:type="dxa"/>
            <w:vMerge w:val="restart"/>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2.1</w:t>
            </w:r>
          </w:p>
        </w:tc>
        <w:tc>
          <w:tcPr>
            <w:tcW w:w="1870" w:type="dxa"/>
            <w:vMerge w:val="restart"/>
            <w:tcBorders>
              <w:top w:val="single" w:sz="8" w:space="0" w:color="auto"/>
              <w:left w:val="single" w:sz="4" w:space="0" w:color="auto"/>
              <w:bottom w:val="single" w:sz="8" w:space="0" w:color="000000"/>
              <w:right w:val="single" w:sz="4" w:space="0" w:color="000000"/>
            </w:tcBorders>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Attract students, employees and other unemployed adults into technical and vocational education and training (TVET) programs aligned with industry needs that put them on track to employment</w:t>
            </w:r>
          </w:p>
        </w:tc>
        <w:tc>
          <w:tcPr>
            <w:tcW w:w="3176" w:type="dxa"/>
            <w:tcBorders>
              <w:top w:val="single" w:sz="8"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2.1.1. Update state-sponsored technical and vocational training (TVET) programs and adult learning programs to align with industry needs and clear employment opportunities in high value manufacturing, based on a comprehensive consultation process with industry leaders</w:t>
            </w:r>
          </w:p>
        </w:tc>
        <w:tc>
          <w:tcPr>
            <w:tcW w:w="2795" w:type="dxa"/>
            <w:tcBorders>
              <w:top w:val="single" w:sz="8"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Updated TVET program developed and adopted</w:t>
            </w:r>
            <w:r w:rsidRPr="006079BD">
              <w:rPr>
                <w:rFonts w:ascii="Arial" w:hAnsi="Arial" w:cs="Arial"/>
                <w:sz w:val="16"/>
                <w:szCs w:val="22"/>
              </w:rPr>
              <w:br/>
              <w:t>- All TVET programs have active industry partners committed to hiring graduates</w:t>
            </w:r>
          </w:p>
        </w:tc>
        <w:tc>
          <w:tcPr>
            <w:tcW w:w="1350" w:type="dxa"/>
            <w:tcBorders>
              <w:top w:val="single" w:sz="8"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MOESCS</w:t>
            </w:r>
          </w:p>
        </w:tc>
        <w:tc>
          <w:tcPr>
            <w:tcW w:w="1660" w:type="dxa"/>
            <w:gridSpan w:val="2"/>
            <w:tcBorders>
              <w:top w:val="single" w:sz="8"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EG, MCA, GITA, Business Associations</w:t>
            </w:r>
          </w:p>
        </w:tc>
        <w:tc>
          <w:tcPr>
            <w:tcW w:w="1485" w:type="dxa"/>
            <w:tcBorders>
              <w:top w:val="single" w:sz="8" w:space="0" w:color="auto"/>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2019-2020</w:t>
            </w:r>
          </w:p>
        </w:tc>
      </w:tr>
      <w:tr w:rsidR="006079BD" w:rsidRPr="006079BD" w:rsidTr="006079BD">
        <w:trPr>
          <w:gridAfter w:val="1"/>
          <w:wAfter w:w="480" w:type="dxa"/>
          <w:trHeight w:val="1148"/>
        </w:trPr>
        <w:tc>
          <w:tcPr>
            <w:tcW w:w="13050" w:type="dxa"/>
            <w:vMerge/>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single" w:sz="8" w:space="0" w:color="auto"/>
              <w:left w:val="single" w:sz="4" w:space="0" w:color="auto"/>
              <w:bottom w:val="single" w:sz="8" w:space="0" w:color="000000"/>
              <w:right w:val="single" w:sz="4" w:space="0" w:color="000000"/>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2.1.2. Develop a communication strategy to build awareness of revised TVET offerings and attract students</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Branding and communication strategy developed and adopted</w:t>
            </w:r>
            <w:r w:rsidRPr="006079BD">
              <w:rPr>
                <w:rFonts w:ascii="Arial" w:hAnsi="Arial" w:cs="Arial"/>
                <w:sz w:val="16"/>
                <w:szCs w:val="22"/>
              </w:rPr>
              <w:br/>
              <w:t>- Number of TVET students who report branding and communications campaign factored into their decision to enroll in TVET</w:t>
            </w:r>
          </w:p>
        </w:tc>
        <w:tc>
          <w:tcPr>
            <w:tcW w:w="1350" w:type="dxa"/>
            <w:tcBorders>
              <w:top w:val="single" w:sz="8"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MOESCS</w:t>
            </w:r>
          </w:p>
        </w:tc>
        <w:tc>
          <w:tcPr>
            <w:tcW w:w="1660" w:type="dxa"/>
            <w:gridSpan w:val="2"/>
            <w:tcBorders>
              <w:top w:val="single" w:sz="8"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EG, MCA, GITA, Business Associations</w:t>
            </w:r>
          </w:p>
        </w:tc>
        <w:tc>
          <w:tcPr>
            <w:tcW w:w="1485" w:type="dxa"/>
            <w:tcBorders>
              <w:top w:val="single" w:sz="8" w:space="0" w:color="auto"/>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2019-2020</w:t>
            </w:r>
          </w:p>
        </w:tc>
      </w:tr>
      <w:tr w:rsidR="006079BD" w:rsidRPr="006079BD" w:rsidTr="006079BD">
        <w:trPr>
          <w:gridAfter w:val="1"/>
          <w:wAfter w:w="480" w:type="dxa"/>
          <w:trHeight w:val="1148"/>
        </w:trPr>
        <w:tc>
          <w:tcPr>
            <w:tcW w:w="13050" w:type="dxa"/>
            <w:vMerge/>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single" w:sz="8" w:space="0" w:color="auto"/>
              <w:left w:val="single" w:sz="4" w:space="0" w:color="auto"/>
              <w:bottom w:val="single" w:sz="8" w:space="0" w:color="000000"/>
              <w:right w:val="single" w:sz="4" w:space="0" w:color="000000"/>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2.1.3. Identify businesses partners in target industry areas to co-invest in TVET program upgrading, including increasing access to equipment, field experts, and contributing to content reform</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Number of industry partners</w:t>
            </w:r>
            <w:r w:rsidRPr="006079BD">
              <w:rPr>
                <w:rFonts w:ascii="Arial" w:hAnsi="Arial" w:cs="Arial"/>
                <w:sz w:val="16"/>
                <w:szCs w:val="22"/>
              </w:rPr>
              <w:br/>
              <w:t>- Share of program development and costs covered by private sector industry partners</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MOESCS</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EG, MCA, GITA, Business Associations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2019-2023</w:t>
            </w:r>
          </w:p>
        </w:tc>
      </w:tr>
      <w:tr w:rsidR="006079BD" w:rsidRPr="006079BD" w:rsidTr="006079BD">
        <w:trPr>
          <w:gridAfter w:val="1"/>
          <w:wAfter w:w="480" w:type="dxa"/>
          <w:trHeight w:val="1148"/>
        </w:trPr>
        <w:tc>
          <w:tcPr>
            <w:tcW w:w="13050" w:type="dxa"/>
            <w:vMerge/>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single" w:sz="8" w:space="0" w:color="auto"/>
              <w:left w:val="single" w:sz="4" w:space="0" w:color="auto"/>
              <w:bottom w:val="single" w:sz="8" w:space="0" w:color="000000"/>
              <w:right w:val="single" w:sz="4" w:space="0" w:color="000000"/>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2.1.4. Expand and target Georgia's TVET tuition reimbursement program for students and employers to encourage enrollment in vocational skills programs, particularly among disadvantaged or traditionally marginalized groups (e.g., women, military veterans, disabled, etc.)</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xml:space="preserve"> - Number of students participating in Georgia's TVET tuition reimbursement program</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MOESCS</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EG, MCA, GITA, Business Associations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2019-2023</w:t>
            </w:r>
          </w:p>
        </w:tc>
      </w:tr>
      <w:tr w:rsidR="006079BD" w:rsidRPr="006079BD" w:rsidTr="006079BD">
        <w:trPr>
          <w:gridAfter w:val="1"/>
          <w:wAfter w:w="480" w:type="dxa"/>
          <w:trHeight w:val="3203"/>
        </w:trPr>
        <w:tc>
          <w:tcPr>
            <w:tcW w:w="13050" w:type="dxa"/>
            <w:vMerge/>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single" w:sz="8" w:space="0" w:color="auto"/>
              <w:left w:val="single" w:sz="4" w:space="0" w:color="auto"/>
              <w:bottom w:val="single" w:sz="8" w:space="0" w:color="000000"/>
              <w:right w:val="single" w:sz="4" w:space="0" w:color="000000"/>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2.1.5. Survey students and business leaders to identify programs (other than tuition reimbursement) that are most likely to encourage enrollment in TVET programs and provide recommendations in a summary report</w:t>
            </w:r>
            <w:r w:rsidRPr="006079BD">
              <w:rPr>
                <w:rFonts w:ascii="Arial" w:hAnsi="Arial" w:cs="Arial"/>
                <w:sz w:val="16"/>
                <w:szCs w:val="22"/>
              </w:rPr>
              <w:br/>
            </w:r>
            <w:r w:rsidRPr="006079BD">
              <w:rPr>
                <w:rFonts w:ascii="Arial" w:hAnsi="Arial" w:cs="Arial"/>
                <w:sz w:val="16"/>
                <w:szCs w:val="22"/>
              </w:rPr>
              <w:br/>
            </w:r>
            <w:r w:rsidRPr="006079BD">
              <w:rPr>
                <w:rFonts w:ascii="Arial" w:hAnsi="Arial" w:cs="Arial"/>
                <w:i/>
                <w:iCs/>
                <w:sz w:val="16"/>
                <w:szCs w:val="22"/>
              </w:rPr>
              <w:t>Potential programs include:</w:t>
            </w:r>
            <w:r w:rsidRPr="006079BD">
              <w:rPr>
                <w:rFonts w:ascii="Arial" w:hAnsi="Arial" w:cs="Arial"/>
                <w:i/>
                <w:iCs/>
                <w:sz w:val="16"/>
                <w:szCs w:val="22"/>
              </w:rPr>
              <w:br/>
              <w:t>- Deferment of military service</w:t>
            </w:r>
            <w:r w:rsidRPr="006079BD">
              <w:rPr>
                <w:rFonts w:ascii="Arial" w:hAnsi="Arial" w:cs="Arial"/>
                <w:i/>
                <w:iCs/>
                <w:sz w:val="16"/>
                <w:szCs w:val="22"/>
              </w:rPr>
              <w:br/>
              <w:t>- Job placement programs</w:t>
            </w:r>
            <w:r w:rsidRPr="006079BD">
              <w:rPr>
                <w:rFonts w:ascii="Arial" w:hAnsi="Arial" w:cs="Arial"/>
                <w:i/>
                <w:iCs/>
                <w:sz w:val="16"/>
                <w:szCs w:val="22"/>
              </w:rPr>
              <w:br/>
              <w:t>- Family support subsidies and / or support programs</w:t>
            </w:r>
            <w:r w:rsidRPr="006079BD">
              <w:rPr>
                <w:rFonts w:ascii="Arial" w:hAnsi="Arial" w:cs="Arial"/>
                <w:i/>
                <w:iCs/>
                <w:sz w:val="16"/>
                <w:szCs w:val="22"/>
              </w:rPr>
              <w:br/>
              <w:t>- Process for transferring TVET credits to higher education university degrees</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Report and recommendations developed and adopted</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MOESCS</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EG, MCA, GITA, Business Associations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2019-2023</w:t>
            </w:r>
          </w:p>
        </w:tc>
      </w:tr>
      <w:tr w:rsidR="006079BD" w:rsidRPr="006079BD" w:rsidTr="006079BD">
        <w:trPr>
          <w:gridAfter w:val="1"/>
          <w:wAfter w:w="480" w:type="dxa"/>
          <w:trHeight w:val="1343"/>
        </w:trPr>
        <w:tc>
          <w:tcPr>
            <w:tcW w:w="13050" w:type="dxa"/>
            <w:vMerge/>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single" w:sz="8" w:space="0" w:color="auto"/>
              <w:left w:val="single" w:sz="4" w:space="0" w:color="auto"/>
              <w:bottom w:val="single" w:sz="8" w:space="0" w:color="000000"/>
              <w:right w:val="single" w:sz="4" w:space="0" w:color="000000"/>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nil"/>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2.1.6. Work with universities to define programs that would provide a pathway for students who pursue TVET or temporarily defer higher education to later qualify for university degree programs</w:t>
            </w:r>
          </w:p>
        </w:tc>
        <w:tc>
          <w:tcPr>
            <w:tcW w:w="2795" w:type="dxa"/>
            <w:tcBorders>
              <w:top w:val="nil"/>
              <w:left w:val="nil"/>
              <w:bottom w:val="nil"/>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Programs identified and adopted</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MOESCS</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EG, MCA, GITA, Business Associations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2020-2023</w:t>
            </w:r>
          </w:p>
        </w:tc>
      </w:tr>
      <w:tr w:rsidR="006079BD" w:rsidRPr="006079BD" w:rsidTr="006079BD">
        <w:trPr>
          <w:gridAfter w:val="1"/>
          <w:wAfter w:w="480" w:type="dxa"/>
          <w:trHeight w:val="1485"/>
        </w:trPr>
        <w:tc>
          <w:tcPr>
            <w:tcW w:w="13050" w:type="dxa"/>
            <w:vMerge/>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single" w:sz="8" w:space="0" w:color="auto"/>
              <w:left w:val="single" w:sz="4" w:space="0" w:color="auto"/>
              <w:bottom w:val="single" w:sz="8" w:space="0" w:color="000000"/>
              <w:right w:val="single" w:sz="4" w:space="0" w:color="000000"/>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single" w:sz="4" w:space="0" w:color="auto"/>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2.1.7. Transform existing innovation center infrastructure into multi-use commercial training centers in the regions for specific technical needs which offer businesses an opportunity to contribute instructors and software for digital, ICT, and other technical skill upgrading</w:t>
            </w:r>
          </w:p>
        </w:tc>
        <w:tc>
          <w:tcPr>
            <w:tcW w:w="2795" w:type="dxa"/>
            <w:tcBorders>
              <w:top w:val="single" w:sz="4" w:space="0" w:color="auto"/>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Number of multi-use commercial training centers established</w:t>
            </w:r>
            <w:r w:rsidRPr="006079BD">
              <w:rPr>
                <w:rFonts w:ascii="Arial" w:hAnsi="Arial" w:cs="Arial"/>
                <w:sz w:val="16"/>
                <w:szCs w:val="22"/>
              </w:rPr>
              <w:br/>
              <w:t>- Number of participants in programs offered through centers (relative to max participation)</w:t>
            </w:r>
            <w:r w:rsidRPr="006079BD">
              <w:rPr>
                <w:rFonts w:ascii="Arial" w:hAnsi="Arial" w:cs="Arial"/>
                <w:sz w:val="16"/>
                <w:szCs w:val="22"/>
              </w:rPr>
              <w:br/>
              <w:t>- Number of visitors to centers</w:t>
            </w:r>
          </w:p>
        </w:tc>
        <w:tc>
          <w:tcPr>
            <w:tcW w:w="1350"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w:t>
            </w:r>
          </w:p>
        </w:tc>
        <w:tc>
          <w:tcPr>
            <w:tcW w:w="1660" w:type="dxa"/>
            <w:gridSpan w:val="2"/>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Innovation Center Management, MOESCS, GEN Georgia, PF, EG, MCA, Business Associations</w:t>
            </w:r>
          </w:p>
        </w:tc>
        <w:tc>
          <w:tcPr>
            <w:tcW w:w="1485" w:type="dxa"/>
            <w:tcBorders>
              <w:top w:val="nil"/>
              <w:left w:val="nil"/>
              <w:bottom w:val="single" w:sz="8"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2020-2023</w:t>
            </w:r>
          </w:p>
        </w:tc>
      </w:tr>
      <w:tr w:rsidR="006079BD" w:rsidRPr="006079BD" w:rsidTr="006079BD">
        <w:trPr>
          <w:gridAfter w:val="1"/>
          <w:wAfter w:w="480" w:type="dxa"/>
          <w:trHeight w:val="1148"/>
        </w:trPr>
        <w:tc>
          <w:tcPr>
            <w:tcW w:w="714" w:type="dxa"/>
            <w:vMerge w:val="restart"/>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2.2</w:t>
            </w:r>
          </w:p>
        </w:tc>
        <w:tc>
          <w:tcPr>
            <w:tcW w:w="1870" w:type="dxa"/>
            <w:vMerge w:val="restart"/>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Create access to globally competitive higher education degree programs in high tech industries aligned to domestic industry needs</w:t>
            </w: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2.2.1. Establish partnerships with a limited set of international university programs to offer Georgian students access to world class degree programs in priority high-tech subjects, including advanced manufacturing, industrial design and related technologies</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Number of partnerships established</w:t>
            </w:r>
            <w:r w:rsidRPr="006079BD">
              <w:rPr>
                <w:rFonts w:ascii="Arial" w:hAnsi="Arial" w:cs="Arial"/>
                <w:sz w:val="16"/>
                <w:szCs w:val="22"/>
              </w:rPr>
              <w:br/>
              <w:t>- Number of Georgian student participants</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MOESCS</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2020-2023</w:t>
            </w:r>
          </w:p>
        </w:tc>
      </w:tr>
      <w:tr w:rsidR="006079BD" w:rsidRPr="006079BD" w:rsidTr="006079BD">
        <w:trPr>
          <w:gridAfter w:val="1"/>
          <w:wAfter w:w="480" w:type="dxa"/>
          <w:trHeight w:val="1245"/>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2.2.3. Adapt financing and other incentive schemes to encourage local universities to invest in developing, and driving students into higher education programs tied to leader innovation industries</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Revised financing scheme developed and adopted</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MOESCS</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Universities, MOF</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w:t>
            </w:r>
          </w:p>
        </w:tc>
      </w:tr>
      <w:tr w:rsidR="006079BD" w:rsidRPr="006079BD" w:rsidTr="006079BD">
        <w:trPr>
          <w:gridAfter w:val="1"/>
          <w:wAfter w:w="480" w:type="dxa"/>
          <w:trHeight w:val="1245"/>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2.2.2. Develop mandate for Georgian public universities to acquire international program accreditation in a limited set of priority technical industries (e.g., advanced manufacturing, industrial design, robotics, quantum engineering, etc.)</w:t>
            </w:r>
          </w:p>
        </w:tc>
        <w:tc>
          <w:tcPr>
            <w:tcW w:w="2795"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Mandate developed and adopted</w:t>
            </w:r>
            <w:r w:rsidRPr="006079BD">
              <w:rPr>
                <w:rFonts w:ascii="Arial" w:hAnsi="Arial" w:cs="Arial"/>
                <w:sz w:val="16"/>
                <w:szCs w:val="22"/>
              </w:rPr>
              <w:br/>
              <w:t>- Number of Georgian universities with accredited in fields related to high value manufacturing and industrial design</w:t>
            </w:r>
          </w:p>
        </w:tc>
        <w:tc>
          <w:tcPr>
            <w:tcW w:w="1350"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MOESCS</w:t>
            </w:r>
          </w:p>
        </w:tc>
        <w:tc>
          <w:tcPr>
            <w:tcW w:w="1660" w:type="dxa"/>
            <w:gridSpan w:val="2"/>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Universities</w:t>
            </w:r>
          </w:p>
        </w:tc>
        <w:tc>
          <w:tcPr>
            <w:tcW w:w="1485" w:type="dxa"/>
            <w:tcBorders>
              <w:top w:val="nil"/>
              <w:left w:val="nil"/>
              <w:bottom w:val="single" w:sz="8"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2022</w:t>
            </w:r>
          </w:p>
        </w:tc>
      </w:tr>
      <w:tr w:rsidR="006079BD" w:rsidRPr="006079BD" w:rsidTr="006079BD">
        <w:trPr>
          <w:gridAfter w:val="1"/>
          <w:wAfter w:w="480" w:type="dxa"/>
          <w:trHeight w:val="2648"/>
        </w:trPr>
        <w:tc>
          <w:tcPr>
            <w:tcW w:w="714" w:type="dxa"/>
            <w:vMerge w:val="restart"/>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2.3</w:t>
            </w:r>
          </w:p>
        </w:tc>
        <w:tc>
          <w:tcPr>
            <w:tcW w:w="1870" w:type="dxa"/>
            <w:vMerge w:val="restart"/>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Update primary and secondary education programs to match skills development with industry needs, with a focus on STEAM subjects aligned to the country’s competitive sectors</w:t>
            </w: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2.3.1. Develop and launch a comprehensive program to encourage a pipeline of 'new generation' teachers</w:t>
            </w:r>
            <w:r w:rsidRPr="006079BD">
              <w:rPr>
                <w:rFonts w:ascii="Arial" w:hAnsi="Arial" w:cs="Arial"/>
                <w:sz w:val="16"/>
                <w:szCs w:val="22"/>
              </w:rPr>
              <w:br/>
            </w:r>
            <w:r w:rsidRPr="006079BD">
              <w:rPr>
                <w:rFonts w:ascii="Arial" w:hAnsi="Arial" w:cs="Arial"/>
                <w:sz w:val="16"/>
                <w:szCs w:val="22"/>
              </w:rPr>
              <w:br/>
            </w:r>
            <w:r w:rsidRPr="006079BD">
              <w:rPr>
                <w:rFonts w:ascii="Arial" w:hAnsi="Arial" w:cs="Arial"/>
                <w:i/>
                <w:iCs/>
                <w:sz w:val="16"/>
                <w:szCs w:val="22"/>
              </w:rPr>
              <w:t xml:space="preserve">Potential initiatives may include: </w:t>
            </w:r>
            <w:r w:rsidRPr="006079BD">
              <w:rPr>
                <w:rFonts w:ascii="Arial" w:hAnsi="Arial" w:cs="Arial"/>
                <w:i/>
                <w:iCs/>
                <w:sz w:val="16"/>
                <w:szCs w:val="22"/>
              </w:rPr>
              <w:br/>
              <w:t>- Service programs for high school and college students</w:t>
            </w:r>
            <w:r w:rsidRPr="006079BD">
              <w:rPr>
                <w:rFonts w:ascii="Arial" w:hAnsi="Arial" w:cs="Arial"/>
                <w:i/>
                <w:iCs/>
                <w:sz w:val="16"/>
                <w:szCs w:val="22"/>
              </w:rPr>
              <w:br/>
              <w:t>- Overseas teaching scholarships for high potential students</w:t>
            </w:r>
            <w:r w:rsidRPr="006079BD">
              <w:rPr>
                <w:rFonts w:ascii="Arial" w:hAnsi="Arial" w:cs="Arial"/>
                <w:i/>
                <w:iCs/>
                <w:sz w:val="16"/>
                <w:szCs w:val="22"/>
              </w:rPr>
              <w:br/>
              <w:t>- Visiting teacher programs</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Program developed and adopted</w:t>
            </w:r>
            <w:r w:rsidRPr="006079BD">
              <w:rPr>
                <w:rFonts w:ascii="Arial" w:hAnsi="Arial" w:cs="Arial"/>
                <w:sz w:val="16"/>
                <w:szCs w:val="22"/>
              </w:rPr>
              <w:br/>
              <w:t>- Number of university students pursuing degrees in education</w:t>
            </w:r>
            <w:r w:rsidRPr="006079BD">
              <w:rPr>
                <w:rFonts w:ascii="Arial" w:hAnsi="Arial" w:cs="Arial"/>
                <w:sz w:val="16"/>
                <w:szCs w:val="22"/>
              </w:rPr>
              <w:br/>
              <w:t>- Attitudes among high school and university students towards careers in education</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MOESCS</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Universities, Training Institutions</w:t>
            </w:r>
          </w:p>
        </w:tc>
        <w:tc>
          <w:tcPr>
            <w:tcW w:w="1485" w:type="dxa"/>
            <w:tcBorders>
              <w:top w:val="nil"/>
              <w:left w:val="nil"/>
              <w:bottom w:val="nil"/>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2019-2023</w:t>
            </w:r>
          </w:p>
        </w:tc>
      </w:tr>
      <w:tr w:rsidR="006079BD" w:rsidRPr="006079BD" w:rsidTr="006079BD">
        <w:trPr>
          <w:gridAfter w:val="1"/>
          <w:wAfter w:w="480" w:type="dxa"/>
          <w:trHeight w:val="1410"/>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2.3.2. Institute merit-based compensation scheme that incentivizes qualified teachers to enter the profession and ongoing professional development</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Merit-based scheme developed and adopted</w:t>
            </w:r>
            <w:r w:rsidRPr="006079BD">
              <w:rPr>
                <w:rFonts w:ascii="Arial" w:hAnsi="Arial" w:cs="Arial"/>
                <w:sz w:val="16"/>
                <w:szCs w:val="22"/>
              </w:rPr>
              <w:br/>
              <w:t>- Share of teachers receiving merit-based pay raises</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MOESCS</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Universities, Training Institutions, MCA, MOF</w:t>
            </w:r>
          </w:p>
        </w:tc>
        <w:tc>
          <w:tcPr>
            <w:tcW w:w="1485" w:type="dxa"/>
            <w:tcBorders>
              <w:top w:val="single" w:sz="4" w:space="0" w:color="auto"/>
              <w:left w:val="nil"/>
              <w:bottom w:val="nil"/>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2019-2023</w:t>
            </w:r>
          </w:p>
        </w:tc>
      </w:tr>
      <w:tr w:rsidR="006079BD" w:rsidRPr="006079BD" w:rsidTr="006079BD">
        <w:trPr>
          <w:gridAfter w:val="1"/>
          <w:wAfter w:w="480" w:type="dxa"/>
          <w:trHeight w:val="1065"/>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2.3.3. Work with industry leaders to define a set of curriculum objectives that incorporate digital technologies, collaboration with machines, entrepreneurship, critical thinking and design, for primary, secondary and tertiary education</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Curriculum developed and adopted as the national standard</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MOESCS</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 EG), Universities, MCA, Business Associations</w:t>
            </w:r>
          </w:p>
        </w:tc>
        <w:tc>
          <w:tcPr>
            <w:tcW w:w="1485" w:type="dxa"/>
            <w:tcBorders>
              <w:top w:val="single" w:sz="4" w:space="0" w:color="auto"/>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2019-2023</w:t>
            </w:r>
          </w:p>
        </w:tc>
      </w:tr>
      <w:tr w:rsidR="006079BD" w:rsidRPr="006079BD" w:rsidTr="006079BD">
        <w:trPr>
          <w:gridAfter w:val="1"/>
          <w:wAfter w:w="480" w:type="dxa"/>
          <w:trHeight w:val="1328"/>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2.3.4. Oversee adoption of national technology curriculum objectives across Georgian primary, secondary and tertiary learning institutions</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Share of learning institutions that have incorporated learning objectives as part of standard curriculum</w:t>
            </w:r>
            <w:r w:rsidRPr="006079BD">
              <w:rPr>
                <w:rFonts w:ascii="Arial" w:hAnsi="Arial" w:cs="Arial"/>
                <w:sz w:val="16"/>
                <w:szCs w:val="22"/>
              </w:rPr>
              <w:br/>
              <w:t>- Share of students performing at or above standard against curriculum objective</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MOESCS</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 EG), Creative Georgia, Universities, MCA, Business Associations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2019-2023</w:t>
            </w:r>
          </w:p>
        </w:tc>
      </w:tr>
      <w:tr w:rsidR="006079BD" w:rsidRPr="006079BD" w:rsidTr="006079BD">
        <w:trPr>
          <w:gridAfter w:val="1"/>
          <w:wAfter w:w="480" w:type="dxa"/>
          <w:trHeight w:val="1065"/>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2.3.4. Create universal access to computer technology and smart classroom equipment in public schools (primary, secondary, tertiary) and work with teachers to integrate digital “blended” learning into standard teaching models</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Share of students with access to computer and smart classroom equipment via public schools</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MOESCS</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 EG), Universities, MCA, Business Associations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2019-2023</w:t>
            </w:r>
          </w:p>
        </w:tc>
      </w:tr>
      <w:tr w:rsidR="006079BD" w:rsidRPr="006079BD" w:rsidTr="006079BD">
        <w:trPr>
          <w:gridAfter w:val="1"/>
          <w:wAfter w:w="480" w:type="dxa"/>
          <w:trHeight w:val="2925"/>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xml:space="preserve">2.3.5. Strengthen English and other select foreign language programming with the goal of helping all students achieve basic written and oral fluency upon graduation, focusing on languages aligned to target markets and industries </w:t>
            </w:r>
            <w:r w:rsidRPr="006079BD">
              <w:rPr>
                <w:rFonts w:ascii="Arial" w:hAnsi="Arial" w:cs="Arial"/>
                <w:sz w:val="16"/>
                <w:szCs w:val="22"/>
              </w:rPr>
              <w:br/>
            </w:r>
            <w:r w:rsidRPr="006079BD">
              <w:rPr>
                <w:rFonts w:ascii="Arial" w:hAnsi="Arial" w:cs="Arial"/>
                <w:sz w:val="16"/>
                <w:szCs w:val="22"/>
              </w:rPr>
              <w:br/>
            </w:r>
            <w:r w:rsidRPr="006079BD">
              <w:rPr>
                <w:rFonts w:ascii="Arial" w:hAnsi="Arial" w:cs="Arial"/>
                <w:i/>
                <w:iCs/>
                <w:sz w:val="16"/>
                <w:szCs w:val="22"/>
              </w:rPr>
              <w:t>Potential initiatives could include:</w:t>
            </w:r>
            <w:r w:rsidRPr="006079BD">
              <w:rPr>
                <w:rFonts w:ascii="Arial" w:hAnsi="Arial" w:cs="Arial"/>
                <w:i/>
                <w:iCs/>
                <w:sz w:val="16"/>
                <w:szCs w:val="22"/>
              </w:rPr>
              <w:br/>
              <w:t>- Temporary teaching program for native speakers (e.g., via US Peace Corps, other overseas work platforms)</w:t>
            </w:r>
            <w:r w:rsidRPr="006079BD">
              <w:rPr>
                <w:rFonts w:ascii="Arial" w:hAnsi="Arial" w:cs="Arial"/>
                <w:i/>
                <w:iCs/>
                <w:sz w:val="16"/>
                <w:szCs w:val="22"/>
              </w:rPr>
              <w:br/>
              <w:t>- Sponsorship for language teachers to pursue short-term intensive language immersion courses abroad</w:t>
            </w:r>
            <w:r w:rsidRPr="006079BD">
              <w:rPr>
                <w:rFonts w:ascii="Arial" w:hAnsi="Arial" w:cs="Arial"/>
                <w:i/>
                <w:iCs/>
                <w:sz w:val="16"/>
                <w:szCs w:val="22"/>
              </w:rPr>
              <w:br/>
              <w:t>- Sponsorship for opt-in after-school language immersion programs</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Share  of English teachers passing baseline professional performance standards</w:t>
            </w:r>
            <w:r w:rsidRPr="006079BD">
              <w:rPr>
                <w:rFonts w:ascii="Arial" w:hAnsi="Arial" w:cs="Arial"/>
                <w:sz w:val="16"/>
                <w:szCs w:val="22"/>
              </w:rPr>
              <w:br/>
              <w:t>- Increase in share of students graduating with oral / written fluency in English or another priority language</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MOESCS</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British Council, Peace Corps, MCA</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2019-2023</w:t>
            </w:r>
          </w:p>
        </w:tc>
      </w:tr>
      <w:tr w:rsidR="006079BD" w:rsidRPr="006079BD" w:rsidTr="006079BD">
        <w:trPr>
          <w:gridAfter w:val="1"/>
          <w:wAfter w:w="480" w:type="dxa"/>
          <w:trHeight w:val="1755"/>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2.3.6. Adapt student assessments to prioritize performance on critical thinking, collaboration, applied sciences</w:t>
            </w:r>
          </w:p>
        </w:tc>
        <w:tc>
          <w:tcPr>
            <w:tcW w:w="2795"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Updated national student assessment program developed and adopted</w:t>
            </w:r>
          </w:p>
        </w:tc>
        <w:tc>
          <w:tcPr>
            <w:tcW w:w="1350"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MOESCS</w:t>
            </w:r>
          </w:p>
        </w:tc>
        <w:tc>
          <w:tcPr>
            <w:tcW w:w="1660" w:type="dxa"/>
            <w:gridSpan w:val="2"/>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 EG, Creative Georgia, Universities, MCA, Business Associations</w:t>
            </w:r>
          </w:p>
        </w:tc>
        <w:tc>
          <w:tcPr>
            <w:tcW w:w="1485" w:type="dxa"/>
            <w:tcBorders>
              <w:top w:val="nil"/>
              <w:left w:val="nil"/>
              <w:bottom w:val="single" w:sz="8"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2020-2021</w:t>
            </w:r>
          </w:p>
        </w:tc>
      </w:tr>
      <w:tr w:rsidR="006079BD" w:rsidRPr="006079BD" w:rsidTr="006079BD">
        <w:trPr>
          <w:gridAfter w:val="1"/>
          <w:wAfter w:w="480" w:type="dxa"/>
          <w:trHeight w:val="608"/>
        </w:trPr>
        <w:tc>
          <w:tcPr>
            <w:tcW w:w="13050" w:type="dxa"/>
            <w:gridSpan w:val="8"/>
            <w:tcBorders>
              <w:top w:val="nil"/>
              <w:left w:val="single" w:sz="8" w:space="0" w:color="auto"/>
              <w:bottom w:val="nil"/>
              <w:right w:val="single" w:sz="4" w:space="0" w:color="auto"/>
            </w:tcBorders>
            <w:vAlign w:val="center"/>
            <w:hideMark/>
          </w:tcPr>
          <w:p w:rsidR="006079BD" w:rsidRPr="006079BD" w:rsidRDefault="006079BD" w:rsidP="006079BD">
            <w:pPr>
              <w:spacing w:before="0" w:after="0" w:line="240" w:lineRule="auto"/>
              <w:jc w:val="center"/>
              <w:rPr>
                <w:rFonts w:ascii="Arial" w:hAnsi="Arial" w:cs="Arial"/>
                <w:szCs w:val="32"/>
              </w:rPr>
            </w:pPr>
            <w:bookmarkStart w:id="59" w:name="RANGE!B78"/>
            <w:r w:rsidRPr="006079BD">
              <w:rPr>
                <w:rFonts w:ascii="Arial" w:hAnsi="Arial" w:cs="Arial"/>
                <w:szCs w:val="32"/>
              </w:rPr>
              <w:t>Mainstream digital technology</w:t>
            </w:r>
            <w:bookmarkEnd w:id="59"/>
          </w:p>
        </w:tc>
      </w:tr>
      <w:tr w:rsidR="006079BD" w:rsidRPr="006079BD" w:rsidTr="006079BD">
        <w:trPr>
          <w:gridAfter w:val="1"/>
          <w:wAfter w:w="480" w:type="dxa"/>
          <w:trHeight w:val="1283"/>
        </w:trPr>
        <w:tc>
          <w:tcPr>
            <w:tcW w:w="714" w:type="dxa"/>
            <w:vMerge w:val="restart"/>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2.4</w:t>
            </w:r>
          </w:p>
        </w:tc>
        <w:tc>
          <w:tcPr>
            <w:tcW w:w="1870" w:type="dxa"/>
            <w:vMerge w:val="restart"/>
            <w:tcBorders>
              <w:top w:val="single" w:sz="8" w:space="0" w:color="auto"/>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Advance technology uptake across Georgian society to create a population capable of understanding and applying basic digital information and communications technology (ICT) to enhance productivity</w:t>
            </w:r>
          </w:p>
        </w:tc>
        <w:tc>
          <w:tcPr>
            <w:tcW w:w="3176" w:type="dxa"/>
            <w:tcBorders>
              <w:top w:val="single" w:sz="8"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2.4.1. Define a plan to introduce new public facing e-governance services (e.g., health services, etc.), paired with broad access to basic digital training opportunities, to drive universal uptake up to a baseline level of competency and engagement</w:t>
            </w:r>
          </w:p>
        </w:tc>
        <w:tc>
          <w:tcPr>
            <w:tcW w:w="2795" w:type="dxa"/>
            <w:tcBorders>
              <w:top w:val="single" w:sz="8"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E-governance and training plan established and adopted</w:t>
            </w:r>
          </w:p>
        </w:tc>
        <w:tc>
          <w:tcPr>
            <w:tcW w:w="1350" w:type="dxa"/>
            <w:tcBorders>
              <w:top w:val="single" w:sz="8"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AOG</w:t>
            </w:r>
          </w:p>
        </w:tc>
        <w:tc>
          <w:tcPr>
            <w:tcW w:w="1660" w:type="dxa"/>
            <w:gridSpan w:val="2"/>
            <w:tcBorders>
              <w:top w:val="single" w:sz="8"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DEA, SDA, MOESD (GITA), MOESCS</w:t>
            </w:r>
          </w:p>
        </w:tc>
        <w:tc>
          <w:tcPr>
            <w:tcW w:w="1485" w:type="dxa"/>
            <w:tcBorders>
              <w:top w:val="single" w:sz="8" w:space="0" w:color="auto"/>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1035"/>
        </w:trPr>
        <w:tc>
          <w:tcPr>
            <w:tcW w:w="13050" w:type="dxa"/>
            <w:vMerge/>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single" w:sz="8" w:space="0" w:color="auto"/>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2.4.2. Oversee implementation of e-governance expansion and corresponding public training plan (described in 2.4.1)</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Share of program milestones achieved according to plan</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AOG</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DEA, SDA, MOESD (GITA), MOESCS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2020-2025</w:t>
            </w:r>
          </w:p>
        </w:tc>
      </w:tr>
      <w:tr w:rsidR="006079BD" w:rsidRPr="006079BD" w:rsidTr="006079BD">
        <w:trPr>
          <w:gridAfter w:val="1"/>
          <w:wAfter w:w="480" w:type="dxa"/>
          <w:trHeight w:val="1215"/>
        </w:trPr>
        <w:tc>
          <w:tcPr>
            <w:tcW w:w="13050" w:type="dxa"/>
            <w:vMerge/>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single" w:sz="8" w:space="0" w:color="auto"/>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xml:space="preserve">2.4.3. Expand access to broadband throughout the country and improve the quality of connectivity, including efforts to stimulate supply of and demand for broadband, according to </w:t>
            </w:r>
            <w:r w:rsidRPr="006079BD">
              <w:rPr>
                <w:rFonts w:ascii="Arial" w:hAnsi="Arial" w:cs="Arial"/>
                <w:strike/>
                <w:sz w:val="16"/>
                <w:szCs w:val="22"/>
              </w:rPr>
              <w:t xml:space="preserve">the </w:t>
            </w:r>
            <w:r w:rsidRPr="006079BD">
              <w:rPr>
                <w:rFonts w:ascii="Arial" w:hAnsi="Arial" w:cs="Arial"/>
                <w:sz w:val="16"/>
                <w:szCs w:val="22"/>
              </w:rPr>
              <w:t>National Broadband Development Strategy (NBDS pending adoption)</w:t>
            </w:r>
          </w:p>
        </w:tc>
        <w:tc>
          <w:tcPr>
            <w:tcW w:w="2795"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Achievement of broadband objectives established through the  National Broadband Development Strategy (NBDS pending adoption)</w:t>
            </w:r>
          </w:p>
        </w:tc>
        <w:tc>
          <w:tcPr>
            <w:tcW w:w="1350"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w:t>
            </w:r>
          </w:p>
        </w:tc>
        <w:tc>
          <w:tcPr>
            <w:tcW w:w="1660" w:type="dxa"/>
            <w:gridSpan w:val="2"/>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GNCC, WB</w:t>
            </w:r>
          </w:p>
        </w:tc>
        <w:tc>
          <w:tcPr>
            <w:tcW w:w="1485" w:type="dxa"/>
            <w:tcBorders>
              <w:top w:val="nil"/>
              <w:left w:val="nil"/>
              <w:bottom w:val="single" w:sz="8"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2019-2025</w:t>
            </w:r>
          </w:p>
        </w:tc>
      </w:tr>
      <w:tr w:rsidR="006079BD" w:rsidRPr="006079BD" w:rsidTr="006079BD">
        <w:trPr>
          <w:gridAfter w:val="1"/>
          <w:wAfter w:w="480" w:type="dxa"/>
          <w:trHeight w:val="1005"/>
        </w:trPr>
        <w:tc>
          <w:tcPr>
            <w:tcW w:w="714" w:type="dxa"/>
            <w:vMerge w:val="restart"/>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2.5</w:t>
            </w:r>
          </w:p>
        </w:tc>
        <w:tc>
          <w:tcPr>
            <w:tcW w:w="1870" w:type="dxa"/>
            <w:vMerge w:val="restart"/>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Support local ICT industry development by alleviating workforce bottlenecks</w:t>
            </w: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2.5.1. Develop transitional training programs to upskill the existing ICT workforce and create a clear path from university programs into ICT careers, building on existing models operated by members of the ICT industry</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Number of program participants</w:t>
            </w:r>
            <w:r w:rsidRPr="006079BD">
              <w:rPr>
                <w:rFonts w:ascii="Arial" w:hAnsi="Arial" w:cs="Arial"/>
                <w:sz w:val="16"/>
                <w:szCs w:val="22"/>
              </w:rPr>
              <w:br/>
              <w:t>- Number of businesses co-investing in program development and delivery</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ICT Cluster, MOESCS, Business Associations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2019-2020</w:t>
            </w:r>
          </w:p>
        </w:tc>
      </w:tr>
      <w:tr w:rsidR="006079BD" w:rsidRPr="006079BD" w:rsidTr="006079BD">
        <w:trPr>
          <w:gridAfter w:val="1"/>
          <w:wAfter w:w="480" w:type="dxa"/>
          <w:trHeight w:val="1185"/>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2.5.2. Develop a targeted scholarship program to provide high-performing high school and university-age students with an interest in entrepreneurial / innovation-oriented career paths in ICT to pursue training abroad</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Number of scholarships available</w:t>
            </w:r>
            <w:r w:rsidRPr="006079BD">
              <w:rPr>
                <w:rFonts w:ascii="Arial" w:hAnsi="Arial" w:cs="Arial"/>
                <w:sz w:val="16"/>
                <w:szCs w:val="22"/>
              </w:rPr>
              <w:br/>
              <w:t>- Success rate of participating students in obtaining ICT jobs in Georgia</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MOESCS</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ICT Cluster, MOESD, Business Associations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2020-2022</w:t>
            </w:r>
          </w:p>
        </w:tc>
      </w:tr>
      <w:tr w:rsidR="006079BD" w:rsidRPr="006079BD" w:rsidTr="006079BD">
        <w:trPr>
          <w:gridAfter w:val="1"/>
          <w:wAfter w:w="480" w:type="dxa"/>
          <w:trHeight w:val="1080"/>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2.5.3. Develop a digital talent sourcing platform to help Georgian companies attract talent from regional neighbors with strong ICT sectors to meet existing workforce needs</w:t>
            </w:r>
          </w:p>
        </w:tc>
        <w:tc>
          <w:tcPr>
            <w:tcW w:w="2795"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Platform established and operational</w:t>
            </w:r>
            <w:r w:rsidRPr="006079BD">
              <w:rPr>
                <w:rFonts w:ascii="Arial" w:hAnsi="Arial" w:cs="Arial"/>
                <w:sz w:val="16"/>
                <w:szCs w:val="22"/>
              </w:rPr>
              <w:br/>
              <w:t>- Number of businesses successfully recruiting and retaining ICT employees from target countries</w:t>
            </w:r>
          </w:p>
        </w:tc>
        <w:tc>
          <w:tcPr>
            <w:tcW w:w="1350"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w:t>
            </w:r>
          </w:p>
        </w:tc>
        <w:tc>
          <w:tcPr>
            <w:tcW w:w="1660" w:type="dxa"/>
            <w:gridSpan w:val="2"/>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ICT Cluster, MOESCS, Business Associations</w:t>
            </w:r>
          </w:p>
        </w:tc>
        <w:tc>
          <w:tcPr>
            <w:tcW w:w="1485" w:type="dxa"/>
            <w:tcBorders>
              <w:top w:val="nil"/>
              <w:left w:val="nil"/>
              <w:bottom w:val="single" w:sz="8"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2022-2025</w:t>
            </w:r>
          </w:p>
        </w:tc>
      </w:tr>
      <w:tr w:rsidR="006079BD" w:rsidRPr="006079BD" w:rsidTr="006079BD">
        <w:trPr>
          <w:gridAfter w:val="1"/>
          <w:wAfter w:w="480" w:type="dxa"/>
          <w:trHeight w:val="3353"/>
        </w:trPr>
        <w:tc>
          <w:tcPr>
            <w:tcW w:w="714" w:type="dxa"/>
            <w:vMerge w:val="restart"/>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2.6</w:t>
            </w:r>
          </w:p>
        </w:tc>
        <w:tc>
          <w:tcPr>
            <w:tcW w:w="1870" w:type="dxa"/>
            <w:vMerge w:val="restart"/>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Engage government digital innovation initiatives to model technology use cases, support business uptake and serve the broader innovation agenda</w:t>
            </w: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2.6.1. Filter and prioritize government innovation initiatives based on their ability to contribute to the country's broader innovation and economic development agenda</w:t>
            </w:r>
            <w:r w:rsidRPr="006079BD">
              <w:rPr>
                <w:rFonts w:ascii="Arial" w:hAnsi="Arial" w:cs="Arial"/>
                <w:sz w:val="16"/>
                <w:szCs w:val="22"/>
              </w:rPr>
              <w:br/>
            </w:r>
            <w:r w:rsidRPr="006079BD">
              <w:rPr>
                <w:rFonts w:ascii="Arial" w:hAnsi="Arial" w:cs="Arial"/>
                <w:sz w:val="16"/>
                <w:szCs w:val="22"/>
              </w:rPr>
              <w:br/>
            </w:r>
            <w:r w:rsidRPr="006079BD">
              <w:rPr>
                <w:rFonts w:ascii="Arial" w:hAnsi="Arial" w:cs="Arial"/>
                <w:i/>
                <w:iCs/>
                <w:sz w:val="16"/>
                <w:szCs w:val="22"/>
              </w:rPr>
              <w:t xml:space="preserve">Suggested criteria include: </w:t>
            </w:r>
            <w:r w:rsidRPr="006079BD">
              <w:rPr>
                <w:rFonts w:ascii="Arial" w:hAnsi="Arial" w:cs="Arial"/>
                <w:i/>
                <w:iCs/>
                <w:sz w:val="16"/>
                <w:szCs w:val="22"/>
              </w:rPr>
              <w:br/>
              <w:t>- Potential to improve the overall business environment</w:t>
            </w:r>
            <w:r w:rsidRPr="006079BD">
              <w:rPr>
                <w:rFonts w:ascii="Arial" w:hAnsi="Arial" w:cs="Arial"/>
                <w:i/>
                <w:iCs/>
                <w:sz w:val="16"/>
                <w:szCs w:val="22"/>
              </w:rPr>
              <w:br/>
              <w:t>- Potential for social impact</w:t>
            </w:r>
            <w:r w:rsidRPr="006079BD">
              <w:rPr>
                <w:rFonts w:ascii="Arial" w:hAnsi="Arial" w:cs="Arial"/>
                <w:i/>
                <w:iCs/>
                <w:sz w:val="16"/>
                <w:szCs w:val="22"/>
              </w:rPr>
              <w:br/>
              <w:t>- Potential for regional and global differentiation</w:t>
            </w:r>
            <w:r w:rsidRPr="006079BD">
              <w:rPr>
                <w:rFonts w:ascii="Arial" w:hAnsi="Arial" w:cs="Arial"/>
                <w:i/>
                <w:iCs/>
                <w:sz w:val="16"/>
                <w:szCs w:val="22"/>
              </w:rPr>
              <w:br/>
              <w:t>- Potential to pioneer and solve domestic / global business challenges</w:t>
            </w:r>
            <w:r w:rsidRPr="006079BD">
              <w:rPr>
                <w:rFonts w:ascii="Arial" w:hAnsi="Arial" w:cs="Arial"/>
                <w:i/>
                <w:iCs/>
                <w:sz w:val="16"/>
                <w:szCs w:val="22"/>
              </w:rPr>
              <w:br/>
              <w:t>- Transferability to the private sector</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Share of programs assessed based on criteria</w:t>
            </w:r>
            <w:r w:rsidRPr="006079BD">
              <w:rPr>
                <w:rFonts w:ascii="Arial" w:hAnsi="Arial" w:cs="Arial"/>
                <w:sz w:val="16"/>
                <w:szCs w:val="22"/>
              </w:rPr>
              <w:br/>
              <w:t>- Updated centralized government innovation agenda established and adopted</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 EG)</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AOG, Business Associations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900"/>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2.6.2. Establish or appoint central agency or unit to define a vision for government innovation, oversee its implementation and serve as the main point of contact for external partners</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Central oversight unit established and operational</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 EG)</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AOG, All government agencies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1410"/>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2.6.3. Establish regular platforms (e.g., conferences, webinars, interactive website) to showcase how government innovations and ICT to the private sector, to drive knowledge exchange and government-to-business technology transfer</w:t>
            </w:r>
          </w:p>
        </w:tc>
        <w:tc>
          <w:tcPr>
            <w:tcW w:w="2795"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Platforms and programs developed and adopted</w:t>
            </w:r>
            <w:r w:rsidRPr="006079BD">
              <w:rPr>
                <w:rFonts w:ascii="Arial" w:hAnsi="Arial" w:cs="Arial"/>
                <w:sz w:val="16"/>
                <w:szCs w:val="22"/>
              </w:rPr>
              <w:br/>
              <w:t>- Number of individuals and businesses engaging with platforms</w:t>
            </w:r>
          </w:p>
        </w:tc>
        <w:tc>
          <w:tcPr>
            <w:tcW w:w="1350"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(EG, GITA)</w:t>
            </w:r>
          </w:p>
        </w:tc>
        <w:tc>
          <w:tcPr>
            <w:tcW w:w="1660" w:type="dxa"/>
            <w:gridSpan w:val="2"/>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AOG, Business Associations, Government innovation unit</w:t>
            </w:r>
          </w:p>
        </w:tc>
        <w:tc>
          <w:tcPr>
            <w:tcW w:w="1485" w:type="dxa"/>
            <w:tcBorders>
              <w:top w:val="nil"/>
              <w:left w:val="nil"/>
              <w:bottom w:val="single" w:sz="8"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2020-2025</w:t>
            </w:r>
          </w:p>
        </w:tc>
      </w:tr>
      <w:tr w:rsidR="006079BD" w:rsidRPr="006079BD" w:rsidTr="006079BD">
        <w:trPr>
          <w:gridAfter w:val="1"/>
          <w:wAfter w:w="480" w:type="dxa"/>
          <w:trHeight w:val="630"/>
        </w:trPr>
        <w:tc>
          <w:tcPr>
            <w:tcW w:w="13050" w:type="dxa"/>
            <w:gridSpan w:val="8"/>
            <w:tcBorders>
              <w:top w:val="nil"/>
              <w:left w:val="single" w:sz="8" w:space="0" w:color="auto"/>
              <w:bottom w:val="nil"/>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32"/>
              </w:rPr>
            </w:pPr>
            <w:bookmarkStart w:id="60" w:name="RANGE!B88"/>
            <w:r w:rsidRPr="006079BD">
              <w:rPr>
                <w:rFonts w:ascii="Arial" w:hAnsi="Arial" w:cs="Arial"/>
                <w:szCs w:val="32"/>
              </w:rPr>
              <w:t>Expand access to finance</w:t>
            </w:r>
            <w:bookmarkEnd w:id="60"/>
          </w:p>
        </w:tc>
      </w:tr>
      <w:tr w:rsidR="006079BD" w:rsidRPr="006079BD" w:rsidTr="006079BD">
        <w:trPr>
          <w:gridAfter w:val="1"/>
          <w:wAfter w:w="480" w:type="dxa"/>
          <w:trHeight w:val="1043"/>
        </w:trPr>
        <w:tc>
          <w:tcPr>
            <w:tcW w:w="714" w:type="dxa"/>
            <w:vMerge w:val="restart"/>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2.7</w:t>
            </w:r>
          </w:p>
        </w:tc>
        <w:tc>
          <w:tcPr>
            <w:tcW w:w="1870" w:type="dxa"/>
            <w:vMerge w:val="restart"/>
            <w:tcBorders>
              <w:top w:val="single" w:sz="8" w:space="0" w:color="auto"/>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Increase access to affordable debt financing for growth-stage businesses to invest in innovation projects, overall business expansion and productivity enhancements</w:t>
            </w:r>
          </w:p>
        </w:tc>
        <w:tc>
          <w:tcPr>
            <w:tcW w:w="3176" w:type="dxa"/>
            <w:tcBorders>
              <w:top w:val="single" w:sz="8"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2.7.1. Assess demand and resources to expand Enterprise Georgia’s programs to cover the cost of interest for SMEs taking on debt for expansion, technology upgrades and innovation projects, including a robust program analysis to enhance program strategy and execution</w:t>
            </w:r>
          </w:p>
        </w:tc>
        <w:tc>
          <w:tcPr>
            <w:tcW w:w="2795" w:type="dxa"/>
            <w:tcBorders>
              <w:top w:val="single" w:sz="8"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Baseline assessment conducted</w:t>
            </w:r>
            <w:r w:rsidRPr="006079BD">
              <w:rPr>
                <w:rFonts w:ascii="Arial" w:hAnsi="Arial" w:cs="Arial"/>
                <w:sz w:val="16"/>
                <w:szCs w:val="22"/>
              </w:rPr>
              <w:br/>
              <w:t>- Program adapted according to findings</w:t>
            </w:r>
          </w:p>
        </w:tc>
        <w:tc>
          <w:tcPr>
            <w:tcW w:w="1350" w:type="dxa"/>
            <w:tcBorders>
              <w:top w:val="single" w:sz="8"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(EG)</w:t>
            </w:r>
          </w:p>
        </w:tc>
        <w:tc>
          <w:tcPr>
            <w:tcW w:w="1660" w:type="dxa"/>
            <w:gridSpan w:val="2"/>
            <w:tcBorders>
              <w:top w:val="single" w:sz="8"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Private Banks, Donors</w:t>
            </w:r>
          </w:p>
        </w:tc>
        <w:tc>
          <w:tcPr>
            <w:tcW w:w="1485" w:type="dxa"/>
            <w:tcBorders>
              <w:top w:val="single" w:sz="8" w:space="0" w:color="auto"/>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2019-2021</w:t>
            </w:r>
          </w:p>
        </w:tc>
      </w:tr>
      <w:tr w:rsidR="006079BD" w:rsidRPr="006079BD" w:rsidTr="006079BD">
        <w:trPr>
          <w:gridAfter w:val="1"/>
          <w:wAfter w:w="480" w:type="dxa"/>
          <w:trHeight w:val="3435"/>
        </w:trPr>
        <w:tc>
          <w:tcPr>
            <w:tcW w:w="13050" w:type="dxa"/>
            <w:vMerge/>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single" w:sz="8" w:space="0" w:color="auto"/>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2.7.2. Develop and pilot affordable financing tools for innovation-focused projects in cooperation with private banks, based on a comprehensive consultation with small, medium and other growth-stage enterprises to define appropriate tools</w:t>
            </w:r>
            <w:r w:rsidRPr="006079BD">
              <w:rPr>
                <w:rFonts w:ascii="Arial" w:hAnsi="Arial" w:cs="Arial"/>
                <w:sz w:val="16"/>
                <w:szCs w:val="22"/>
              </w:rPr>
              <w:br/>
            </w:r>
            <w:r w:rsidRPr="006079BD">
              <w:rPr>
                <w:rFonts w:ascii="Arial" w:hAnsi="Arial" w:cs="Arial"/>
                <w:sz w:val="16"/>
                <w:szCs w:val="22"/>
              </w:rPr>
              <w:br/>
            </w:r>
            <w:r w:rsidRPr="006079BD">
              <w:rPr>
                <w:rFonts w:ascii="Arial" w:hAnsi="Arial" w:cs="Arial"/>
                <w:i/>
                <w:iCs/>
                <w:sz w:val="16"/>
                <w:szCs w:val="22"/>
              </w:rPr>
              <w:t>Potential products could include:</w:t>
            </w:r>
            <w:r w:rsidRPr="006079BD">
              <w:rPr>
                <w:rFonts w:ascii="Arial" w:hAnsi="Arial" w:cs="Arial"/>
                <w:i/>
                <w:iCs/>
                <w:sz w:val="16"/>
                <w:szCs w:val="22"/>
              </w:rPr>
              <w:br/>
              <w:t>- Government-backed guarantee for low-interest loans to qualified innovation ventures to start-ups, SMEs and large enterprises (e.g., working capital, equipment financing, term loans, etc.)</w:t>
            </w:r>
            <w:r w:rsidRPr="006079BD">
              <w:rPr>
                <w:rFonts w:ascii="Arial" w:hAnsi="Arial" w:cs="Arial"/>
                <w:i/>
                <w:iCs/>
                <w:sz w:val="16"/>
                <w:szCs w:val="22"/>
              </w:rPr>
              <w:br/>
              <w:t>- Revenue-based repayment loan products</w:t>
            </w:r>
            <w:r w:rsidRPr="006079BD">
              <w:rPr>
                <w:rFonts w:ascii="Arial" w:hAnsi="Arial" w:cs="Arial"/>
                <w:i/>
                <w:iCs/>
                <w:sz w:val="16"/>
                <w:szCs w:val="22"/>
              </w:rPr>
              <w:br/>
              <w:t>- Loans secured with alternative forms of movable collateral (e.g., invoices / account receivables, equipment, inventory, etc.)</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Financing mechanisms (2-3) defined and piloted</w:t>
            </w:r>
            <w:r w:rsidRPr="006079BD">
              <w:rPr>
                <w:rFonts w:ascii="Arial" w:hAnsi="Arial" w:cs="Arial"/>
                <w:sz w:val="16"/>
                <w:szCs w:val="22"/>
              </w:rPr>
              <w:br/>
              <w:t>- Report on pilot results and recommendation implementations developed and adopted</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(EG)</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GITA, PF, Private Banks, Fintech / financing companies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2020-2022</w:t>
            </w:r>
          </w:p>
        </w:tc>
      </w:tr>
      <w:tr w:rsidR="006079BD" w:rsidRPr="006079BD" w:rsidTr="006079BD">
        <w:trPr>
          <w:gridAfter w:val="1"/>
          <w:wAfter w:w="480" w:type="dxa"/>
          <w:trHeight w:val="1755"/>
        </w:trPr>
        <w:tc>
          <w:tcPr>
            <w:tcW w:w="13050" w:type="dxa"/>
            <w:vMerge/>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single" w:sz="8" w:space="0" w:color="auto"/>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nil"/>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2.7.3. Develop and deliver regular a blended learning (offline courses with supporting online training) to train businesses in fundamentals of business plan development and financial accounting, using innovation centers as locations for periodic in—person / offline training)</w:t>
            </w:r>
          </w:p>
        </w:tc>
        <w:tc>
          <w:tcPr>
            <w:tcW w:w="2795" w:type="dxa"/>
            <w:tcBorders>
              <w:top w:val="nil"/>
              <w:left w:val="nil"/>
              <w:bottom w:val="nil"/>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Number of companies demonstrating proficiency through exit assessment</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(EG)</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GITA,  PF, Private Banks, Fintech / financing companies</w:t>
            </w:r>
          </w:p>
        </w:tc>
        <w:tc>
          <w:tcPr>
            <w:tcW w:w="1485" w:type="dxa"/>
            <w:tcBorders>
              <w:top w:val="nil"/>
              <w:left w:val="nil"/>
              <w:bottom w:val="nil"/>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2020-2022</w:t>
            </w:r>
          </w:p>
        </w:tc>
      </w:tr>
      <w:tr w:rsidR="006079BD" w:rsidRPr="006079BD" w:rsidTr="006079BD">
        <w:trPr>
          <w:gridAfter w:val="1"/>
          <w:wAfter w:w="480" w:type="dxa"/>
          <w:trHeight w:val="1185"/>
        </w:trPr>
        <w:tc>
          <w:tcPr>
            <w:tcW w:w="13050" w:type="dxa"/>
            <w:vMerge/>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single" w:sz="8" w:space="0" w:color="auto"/>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single" w:sz="4" w:space="0" w:color="auto"/>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2.7.4. Conduct an assessment of opportunities and the business case to expand competition in the credit market to drive innovation around access to affordable financial products (e.g. open banking policies).</w:t>
            </w:r>
          </w:p>
        </w:tc>
        <w:tc>
          <w:tcPr>
            <w:tcW w:w="2795" w:type="dxa"/>
            <w:tcBorders>
              <w:top w:val="single" w:sz="4" w:space="0" w:color="auto"/>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Report and recommendations developed and adopted</w:t>
            </w:r>
          </w:p>
        </w:tc>
        <w:tc>
          <w:tcPr>
            <w:tcW w:w="1350"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w:t>
            </w:r>
          </w:p>
        </w:tc>
        <w:tc>
          <w:tcPr>
            <w:tcW w:w="1660" w:type="dxa"/>
            <w:gridSpan w:val="2"/>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MOF, NBG, Private banks, Business Associations</w:t>
            </w:r>
          </w:p>
        </w:tc>
        <w:tc>
          <w:tcPr>
            <w:tcW w:w="1485" w:type="dxa"/>
            <w:tcBorders>
              <w:top w:val="single" w:sz="4" w:space="0" w:color="auto"/>
              <w:left w:val="nil"/>
              <w:bottom w:val="single" w:sz="8"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2020-2022</w:t>
            </w:r>
          </w:p>
        </w:tc>
      </w:tr>
      <w:tr w:rsidR="006079BD" w:rsidRPr="006079BD" w:rsidTr="006079BD">
        <w:trPr>
          <w:gridAfter w:val="1"/>
          <w:wAfter w:w="480" w:type="dxa"/>
          <w:trHeight w:val="990"/>
        </w:trPr>
        <w:tc>
          <w:tcPr>
            <w:tcW w:w="714" w:type="dxa"/>
            <w:vMerge w:val="restart"/>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2.8</w:t>
            </w:r>
          </w:p>
        </w:tc>
        <w:tc>
          <w:tcPr>
            <w:tcW w:w="1870" w:type="dxa"/>
            <w:vMerge w:val="restart"/>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Stimulate the local market for private equity, long-term debt instruments and other tradable securities</w:t>
            </w: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2.8.1. Establish a cross-sector private equity advisory group with official status to guide and champion the introduction of private equity and long-term debt instruments in the Georgian market, hosted under EG</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Advisory group established</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EG, PF, Private equity advisory group</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1208"/>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xml:space="preserve">2.8.2. Appoint an individual or unit to serve as the main point of contact and source of information on options for private equity financing in Georgia, for domestic or foreign investors interested in equity investing in Georgia </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xml:space="preserve"> - Qualified expert unit established and accessible to public</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EG, PF, Private equity advisory group</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1838"/>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2.8.3. Provide training programs (or access to foreign programs) for current and potential providers of private equity financing (e.g., fund managers, financial intermediaries, potential angel investors, etc.) on products and implementation strategies to introduce private equity into the Georgian market</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Training programs developed and delivered</w:t>
            </w:r>
            <w:r w:rsidRPr="006079BD">
              <w:rPr>
                <w:rFonts w:ascii="Arial" w:hAnsi="Arial" w:cs="Arial"/>
                <w:sz w:val="16"/>
                <w:szCs w:val="22"/>
              </w:rPr>
              <w:br/>
              <w:t>- Number of participants reporting new initiatives to expand equity financing offerings within their institutions or independently</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EG, PF, Private equity advisory group</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2019-2020</w:t>
            </w:r>
          </w:p>
        </w:tc>
      </w:tr>
      <w:tr w:rsidR="006079BD" w:rsidRPr="006079BD" w:rsidTr="006079BD">
        <w:trPr>
          <w:gridAfter w:val="1"/>
          <w:wAfter w:w="480" w:type="dxa"/>
          <w:trHeight w:val="1853"/>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2.8.4. Evaluate the business case for establishing a government-sponsored fund to co-finance / issue partial guarantees for equity investments to attract external venture capital and private equity funds to Georgia</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Report and recommendations developed and adopted</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EG, PF, Private equity advisory group</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w:t>
            </w:r>
          </w:p>
        </w:tc>
      </w:tr>
      <w:tr w:rsidR="006079BD" w:rsidRPr="006079BD" w:rsidTr="006079BD">
        <w:trPr>
          <w:gridAfter w:val="1"/>
          <w:wAfter w:w="480" w:type="dxa"/>
          <w:trHeight w:val="2828"/>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nil"/>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2.8.5. Establish an incentives package to encourage equity investors in the Georgian market</w:t>
            </w:r>
            <w:r w:rsidRPr="006079BD">
              <w:rPr>
                <w:rFonts w:ascii="Arial" w:hAnsi="Arial" w:cs="Arial"/>
                <w:sz w:val="16"/>
                <w:szCs w:val="22"/>
              </w:rPr>
              <w:br/>
            </w:r>
            <w:r w:rsidRPr="006079BD">
              <w:rPr>
                <w:rFonts w:ascii="Arial" w:hAnsi="Arial" w:cs="Arial"/>
                <w:sz w:val="16"/>
                <w:szCs w:val="22"/>
              </w:rPr>
              <w:br/>
            </w:r>
            <w:r w:rsidRPr="006079BD">
              <w:rPr>
                <w:rFonts w:ascii="Arial" w:hAnsi="Arial" w:cs="Arial"/>
                <w:i/>
                <w:iCs/>
                <w:sz w:val="16"/>
                <w:szCs w:val="22"/>
              </w:rPr>
              <w:t>Potential benefits could include:</w:t>
            </w:r>
            <w:r w:rsidRPr="006079BD">
              <w:rPr>
                <w:rFonts w:ascii="Arial" w:hAnsi="Arial" w:cs="Arial"/>
                <w:i/>
                <w:iCs/>
                <w:sz w:val="16"/>
                <w:szCs w:val="22"/>
              </w:rPr>
              <w:br/>
              <w:t>- Exemption from income taxes on investment dividends</w:t>
            </w:r>
            <w:r w:rsidRPr="006079BD">
              <w:rPr>
                <w:rFonts w:ascii="Arial" w:hAnsi="Arial" w:cs="Arial"/>
                <w:i/>
                <w:iCs/>
                <w:sz w:val="16"/>
                <w:szCs w:val="22"/>
              </w:rPr>
              <w:br/>
              <w:t>- Risk capital compensation (e.g., share of investment value up to a certain total value reimbursed by the government)</w:t>
            </w:r>
            <w:r w:rsidRPr="006079BD">
              <w:rPr>
                <w:rFonts w:ascii="Arial" w:hAnsi="Arial" w:cs="Arial"/>
                <w:i/>
                <w:iCs/>
                <w:sz w:val="16"/>
                <w:szCs w:val="22"/>
              </w:rPr>
              <w:br/>
              <w:t>- Temporary exemption from income taxes for private equity firms that incorporate in Georgia</w:t>
            </w:r>
          </w:p>
        </w:tc>
        <w:tc>
          <w:tcPr>
            <w:tcW w:w="2795" w:type="dxa"/>
            <w:tcBorders>
              <w:top w:val="nil"/>
              <w:left w:val="nil"/>
              <w:bottom w:val="nil"/>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Benefits package and supporting institutions established and publicized</w:t>
            </w:r>
            <w:r w:rsidRPr="006079BD">
              <w:rPr>
                <w:rFonts w:ascii="Arial" w:hAnsi="Arial" w:cs="Arial"/>
                <w:sz w:val="16"/>
                <w:szCs w:val="22"/>
              </w:rPr>
              <w:br/>
              <w:t xml:space="preserve">- Number of domestic and foreign investors taking advantage of investor benefits </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EG, PF, Private equity advisory group</w:t>
            </w:r>
          </w:p>
        </w:tc>
        <w:tc>
          <w:tcPr>
            <w:tcW w:w="1485" w:type="dxa"/>
            <w:tcBorders>
              <w:top w:val="nil"/>
              <w:left w:val="nil"/>
              <w:bottom w:val="nil"/>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2021-2022</w:t>
            </w:r>
          </w:p>
        </w:tc>
      </w:tr>
      <w:tr w:rsidR="006079BD" w:rsidRPr="006079BD" w:rsidTr="006079BD">
        <w:trPr>
          <w:gridAfter w:val="1"/>
          <w:wAfter w:w="480" w:type="dxa"/>
          <w:trHeight w:val="1853"/>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single" w:sz="4" w:space="0" w:color="auto"/>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2.8.6. Assess strategies to strengthen the market for tradable securities and define a national strategy correspondingly</w:t>
            </w:r>
          </w:p>
        </w:tc>
        <w:tc>
          <w:tcPr>
            <w:tcW w:w="2795" w:type="dxa"/>
            <w:tcBorders>
              <w:top w:val="single" w:sz="4" w:space="0" w:color="auto"/>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National strategy to enhance market liquidity developed and adopted</w:t>
            </w:r>
          </w:p>
        </w:tc>
        <w:tc>
          <w:tcPr>
            <w:tcW w:w="1350"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w:t>
            </w:r>
          </w:p>
        </w:tc>
        <w:tc>
          <w:tcPr>
            <w:tcW w:w="1660" w:type="dxa"/>
            <w:gridSpan w:val="2"/>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 xml:space="preserve">EG, MOF, NBG, MOJ, Private equity advisory group </w:t>
            </w:r>
          </w:p>
        </w:tc>
        <w:tc>
          <w:tcPr>
            <w:tcW w:w="1485" w:type="dxa"/>
            <w:tcBorders>
              <w:top w:val="single" w:sz="4" w:space="0" w:color="auto"/>
              <w:left w:val="nil"/>
              <w:bottom w:val="single" w:sz="8"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2021-2022</w:t>
            </w:r>
          </w:p>
        </w:tc>
      </w:tr>
      <w:tr w:rsidR="006079BD" w:rsidRPr="006079BD" w:rsidTr="006079BD">
        <w:trPr>
          <w:gridAfter w:val="1"/>
          <w:wAfter w:w="480" w:type="dxa"/>
          <w:trHeight w:val="1448"/>
        </w:trPr>
        <w:tc>
          <w:tcPr>
            <w:tcW w:w="714" w:type="dxa"/>
            <w:vMerge w:val="restart"/>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2.9</w:t>
            </w:r>
          </w:p>
        </w:tc>
        <w:tc>
          <w:tcPr>
            <w:tcW w:w="1870" w:type="dxa"/>
            <w:vMerge w:val="restart"/>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Enhance the capability of growth-oriented businesses to access finance for early stage ventures</w:t>
            </w: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2.9.1. Develop and deliver training programs for early and growth stage businesses that are potential recipients of private equity finance to build their capacity to receive and manage financing</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Number of participants in training programs</w:t>
            </w:r>
            <w:r w:rsidRPr="006079BD">
              <w:rPr>
                <w:rFonts w:ascii="Arial" w:hAnsi="Arial" w:cs="Arial"/>
                <w:sz w:val="16"/>
                <w:szCs w:val="22"/>
              </w:rPr>
              <w:br/>
              <w:t>- Share of participants engaged with new potential financiers as a result of the training</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EG, PF, Business Associations, Start-up Associations, Chambers of Commerce</w:t>
            </w:r>
          </w:p>
        </w:tc>
        <w:tc>
          <w:tcPr>
            <w:tcW w:w="1485" w:type="dxa"/>
            <w:tcBorders>
              <w:top w:val="nil"/>
              <w:left w:val="nil"/>
              <w:bottom w:val="single" w:sz="4" w:space="0" w:color="auto"/>
              <w:right w:val="single" w:sz="8"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2019-2022</w:t>
            </w:r>
          </w:p>
        </w:tc>
      </w:tr>
      <w:tr w:rsidR="006079BD" w:rsidRPr="006079BD" w:rsidTr="006079BD">
        <w:trPr>
          <w:gridAfter w:val="1"/>
          <w:wAfter w:w="480" w:type="dxa"/>
          <w:trHeight w:val="1448"/>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2.9.2. Launch and sponsor networking program to increase frequency of exchange between growth-stage companies seeking investment and potential investors</w:t>
            </w:r>
          </w:p>
        </w:tc>
        <w:tc>
          <w:tcPr>
            <w:tcW w:w="2795"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Networking program developed and launched</w:t>
            </w:r>
            <w:r w:rsidRPr="006079BD">
              <w:rPr>
                <w:rFonts w:ascii="Arial" w:hAnsi="Arial" w:cs="Arial"/>
                <w:sz w:val="16"/>
                <w:szCs w:val="22"/>
              </w:rPr>
              <w:br/>
              <w:t>- Number of start-up and investor participants reporting potential investment leads developed through program</w:t>
            </w:r>
          </w:p>
        </w:tc>
        <w:tc>
          <w:tcPr>
            <w:tcW w:w="1350"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w:t>
            </w:r>
          </w:p>
        </w:tc>
        <w:tc>
          <w:tcPr>
            <w:tcW w:w="1660" w:type="dxa"/>
            <w:gridSpan w:val="2"/>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EG, PF, Business Associations, Start-up Associations, Chambers of Commerce</w:t>
            </w:r>
          </w:p>
        </w:tc>
        <w:tc>
          <w:tcPr>
            <w:tcW w:w="1485" w:type="dxa"/>
            <w:tcBorders>
              <w:top w:val="nil"/>
              <w:left w:val="nil"/>
              <w:bottom w:val="single" w:sz="8"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360"/>
        </w:trPr>
        <w:tc>
          <w:tcPr>
            <w:tcW w:w="13050" w:type="dxa"/>
            <w:gridSpan w:val="8"/>
            <w:tcBorders>
              <w:top w:val="nil"/>
              <w:left w:val="single" w:sz="8" w:space="0" w:color="auto"/>
              <w:bottom w:val="nil"/>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32"/>
              </w:rPr>
            </w:pPr>
            <w:bookmarkStart w:id="61" w:name="RANGE!B101"/>
            <w:r w:rsidRPr="006079BD">
              <w:rPr>
                <w:rFonts w:ascii="Arial" w:hAnsi="Arial" w:cs="Arial"/>
                <w:szCs w:val="32"/>
              </w:rPr>
              <w:t>Enable entrepreneurs and spinoffs</w:t>
            </w:r>
            <w:bookmarkEnd w:id="61"/>
          </w:p>
        </w:tc>
      </w:tr>
      <w:tr w:rsidR="006079BD" w:rsidRPr="006079BD" w:rsidTr="006079BD">
        <w:trPr>
          <w:gridAfter w:val="1"/>
          <w:wAfter w:w="480" w:type="dxa"/>
          <w:trHeight w:val="1343"/>
        </w:trPr>
        <w:tc>
          <w:tcPr>
            <w:tcW w:w="714" w:type="dxa"/>
            <w:vMerge w:val="restart"/>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2.10</w:t>
            </w:r>
          </w:p>
        </w:tc>
        <w:tc>
          <w:tcPr>
            <w:tcW w:w="1870" w:type="dxa"/>
            <w:vMerge w:val="restart"/>
            <w:tcBorders>
              <w:top w:val="single" w:sz="8" w:space="0" w:color="auto"/>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Create access to mentorship and support programs for growth-oriented innovative entrepreneurs</w:t>
            </w:r>
          </w:p>
        </w:tc>
        <w:tc>
          <w:tcPr>
            <w:tcW w:w="3176" w:type="dxa"/>
            <w:tcBorders>
              <w:top w:val="single" w:sz="8"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2.10.1. Identify and engage business leaders and entrepreneurs in established markets to serve as “stand-by” mentors to local entrepreneurs and facilitate match-making process</w:t>
            </w:r>
          </w:p>
        </w:tc>
        <w:tc>
          <w:tcPr>
            <w:tcW w:w="2795" w:type="dxa"/>
            <w:tcBorders>
              <w:top w:val="single" w:sz="8" w:space="0" w:color="auto"/>
              <w:left w:val="nil"/>
              <w:bottom w:val="single" w:sz="4" w:space="0" w:color="auto"/>
              <w:right w:val="nil"/>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Mentors Network and platform for collaboration launched</w:t>
            </w:r>
          </w:p>
        </w:tc>
        <w:tc>
          <w:tcPr>
            <w:tcW w:w="1350" w:type="dxa"/>
            <w:tcBorders>
              <w:top w:val="single" w:sz="8" w:space="0" w:color="auto"/>
              <w:left w:val="single" w:sz="4" w:space="0" w:color="auto"/>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w:t>
            </w:r>
          </w:p>
        </w:tc>
        <w:tc>
          <w:tcPr>
            <w:tcW w:w="1660" w:type="dxa"/>
            <w:gridSpan w:val="2"/>
            <w:tcBorders>
              <w:top w:val="single" w:sz="8"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EG, Business Associations, Startup Associations, GEN Georgia</w:t>
            </w:r>
          </w:p>
        </w:tc>
        <w:tc>
          <w:tcPr>
            <w:tcW w:w="1485" w:type="dxa"/>
            <w:tcBorders>
              <w:top w:val="single" w:sz="8" w:space="0" w:color="auto"/>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2019-2021</w:t>
            </w:r>
          </w:p>
        </w:tc>
      </w:tr>
      <w:tr w:rsidR="006079BD" w:rsidRPr="006079BD" w:rsidTr="006079BD">
        <w:trPr>
          <w:gridAfter w:val="1"/>
          <w:wAfter w:w="480" w:type="dxa"/>
          <w:trHeight w:val="1808"/>
        </w:trPr>
        <w:tc>
          <w:tcPr>
            <w:tcW w:w="13050" w:type="dxa"/>
            <w:vMerge/>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single" w:sz="8" w:space="0" w:color="auto"/>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2.10.2. Establish relationships with a select set of incubator and accelerator programs in target markets (e.g., Germany, Israel, USA, UK) to create access for qualified local entrepreneurs at discounted / subsidized costs</w:t>
            </w:r>
          </w:p>
        </w:tc>
        <w:tc>
          <w:tcPr>
            <w:tcW w:w="2795" w:type="dxa"/>
            <w:tcBorders>
              <w:top w:val="nil"/>
              <w:left w:val="nil"/>
              <w:bottom w:val="single" w:sz="8" w:space="0" w:color="auto"/>
              <w:right w:val="nil"/>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Incubator &amp; accelerator programs in target markets established</w:t>
            </w:r>
            <w:r w:rsidRPr="006079BD">
              <w:rPr>
                <w:rFonts w:ascii="Arial" w:hAnsi="Arial" w:cs="Arial"/>
                <w:sz w:val="16"/>
                <w:szCs w:val="22"/>
              </w:rPr>
              <w:br/>
              <w:t>- Number of Georgian participants</w:t>
            </w:r>
          </w:p>
        </w:tc>
        <w:tc>
          <w:tcPr>
            <w:tcW w:w="1350" w:type="dxa"/>
            <w:tcBorders>
              <w:top w:val="nil"/>
              <w:left w:val="single" w:sz="4" w:space="0" w:color="auto"/>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w:t>
            </w:r>
          </w:p>
        </w:tc>
        <w:tc>
          <w:tcPr>
            <w:tcW w:w="1660" w:type="dxa"/>
            <w:gridSpan w:val="2"/>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EG, MOFA (Diplomatic Corps), Business Associations, Startup Associations, GEN Georgia</w:t>
            </w:r>
          </w:p>
        </w:tc>
        <w:tc>
          <w:tcPr>
            <w:tcW w:w="1485" w:type="dxa"/>
            <w:tcBorders>
              <w:top w:val="nil"/>
              <w:left w:val="nil"/>
              <w:bottom w:val="single" w:sz="8"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2019-2021</w:t>
            </w:r>
          </w:p>
        </w:tc>
      </w:tr>
      <w:tr w:rsidR="006079BD" w:rsidRPr="006079BD" w:rsidTr="006079BD">
        <w:trPr>
          <w:gridAfter w:val="1"/>
          <w:wAfter w:w="480" w:type="dxa"/>
          <w:trHeight w:val="1523"/>
        </w:trPr>
        <w:tc>
          <w:tcPr>
            <w:tcW w:w="714" w:type="dxa"/>
            <w:vMerge w:val="restart"/>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2.11</w:t>
            </w:r>
          </w:p>
        </w:tc>
        <w:tc>
          <w:tcPr>
            <w:tcW w:w="1870" w:type="dxa"/>
            <w:vMerge w:val="restart"/>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Strengthen local entrepreneur networks and communities</w:t>
            </w: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2.11.1. Develop and sponsor a program of periodic (e.g., semi-annual, annual) collective experiences abroad for select entrepreneurs, innovators, business leaders, and advocates of the innovation community to expand global market knowledge, increase exposure to functional entrepreneurial ecosystems and strengthen comradery</w:t>
            </w:r>
          </w:p>
        </w:tc>
        <w:tc>
          <w:tcPr>
            <w:tcW w:w="2795" w:type="dxa"/>
            <w:tcBorders>
              <w:top w:val="nil"/>
              <w:left w:val="nil"/>
              <w:bottom w:val="single" w:sz="4" w:space="0" w:color="auto"/>
              <w:right w:val="nil"/>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Community building experiences delivered</w:t>
            </w:r>
            <w:r w:rsidRPr="006079BD">
              <w:rPr>
                <w:rFonts w:ascii="Arial" w:hAnsi="Arial" w:cs="Arial"/>
                <w:sz w:val="16"/>
                <w:szCs w:val="22"/>
              </w:rPr>
              <w:br/>
              <w:t>- Number of participants that develop strong networks that directly contribute to business outcomes as a result of program</w:t>
            </w:r>
          </w:p>
        </w:tc>
        <w:tc>
          <w:tcPr>
            <w:tcW w:w="1350" w:type="dxa"/>
            <w:tcBorders>
              <w:top w:val="nil"/>
              <w:left w:val="single" w:sz="4" w:space="0" w:color="auto"/>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EG, MOFA (Diplomatic Corps), Business Associations, Startup Associations, GEN Georgia</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2019-2020</w:t>
            </w:r>
          </w:p>
        </w:tc>
      </w:tr>
      <w:tr w:rsidR="006079BD" w:rsidRPr="006079BD" w:rsidTr="006079BD">
        <w:trPr>
          <w:gridAfter w:val="1"/>
          <w:wAfter w:w="480" w:type="dxa"/>
          <w:trHeight w:val="1695"/>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nil"/>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2.11.2. Establish "resident innovation entrepreneur" status, whereby non-Georgian / expat entrepreneurs building innovative companies who meet a limited set of criteria - such as incorporate in and commit to managing their business from Georgia for a minimum number of years (e.g., 3-5) - are able to qualify for national entrepreneurship / SME / innovation programs, through an application process</w:t>
            </w:r>
          </w:p>
        </w:tc>
        <w:tc>
          <w:tcPr>
            <w:tcW w:w="2795" w:type="dxa"/>
            <w:tcBorders>
              <w:top w:val="nil"/>
              <w:left w:val="nil"/>
              <w:bottom w:val="single" w:sz="4" w:space="0" w:color="auto"/>
              <w:right w:val="nil"/>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"Resident innovation entrepreneur" status established</w:t>
            </w:r>
          </w:p>
        </w:tc>
        <w:tc>
          <w:tcPr>
            <w:tcW w:w="1350" w:type="dxa"/>
            <w:tcBorders>
              <w:top w:val="nil"/>
              <w:left w:val="single" w:sz="4" w:space="0" w:color="auto"/>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EG, MOFA (Diplomatic Corps), Business Associations, Startup Associations, GEN Georgia</w:t>
            </w:r>
          </w:p>
        </w:tc>
        <w:tc>
          <w:tcPr>
            <w:tcW w:w="1485" w:type="dxa"/>
            <w:tcBorders>
              <w:top w:val="nil"/>
              <w:left w:val="nil"/>
              <w:bottom w:val="nil"/>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1688"/>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single" w:sz="4"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2.11.3. Promote "resident innovation entrepreneur" status and entitled benefits in regional markets (e.g., Armenia, Azerbaijan, Ukraine, Turkey, etc.) and target global markets (e.g., Germany, Israel), creating targeted campaigns for each</w:t>
            </w:r>
          </w:p>
        </w:tc>
        <w:tc>
          <w:tcPr>
            <w:tcW w:w="2795" w:type="dxa"/>
            <w:tcBorders>
              <w:top w:val="nil"/>
              <w:left w:val="nil"/>
              <w:bottom w:val="single" w:sz="4" w:space="0" w:color="auto"/>
              <w:right w:val="nil"/>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xml:space="preserve">- Number of "resident innovation entrepreneurs" </w:t>
            </w:r>
          </w:p>
        </w:tc>
        <w:tc>
          <w:tcPr>
            <w:tcW w:w="1350" w:type="dxa"/>
            <w:tcBorders>
              <w:top w:val="nil"/>
              <w:left w:val="single" w:sz="4" w:space="0" w:color="auto"/>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EG, MOFA (Diplomatic Corps), Business Associations, Startup Associations, GEN Georgia</w:t>
            </w:r>
          </w:p>
        </w:tc>
        <w:tc>
          <w:tcPr>
            <w:tcW w:w="1485" w:type="dxa"/>
            <w:tcBorders>
              <w:top w:val="single" w:sz="4" w:space="0" w:color="auto"/>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2020-2021</w:t>
            </w:r>
          </w:p>
        </w:tc>
      </w:tr>
      <w:tr w:rsidR="006079BD" w:rsidRPr="006079BD" w:rsidTr="006079BD">
        <w:trPr>
          <w:gridAfter w:val="1"/>
          <w:wAfter w:w="480" w:type="dxa"/>
          <w:trHeight w:val="1688"/>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nil"/>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2.11.4. Create a function within GITA responsible for managing and curating the experience of high-potential foreign entrepreneurs arriving in Georgia, with a focus on ensuring these entrepreneurs are aware of local networks and support available to them and streamling the process to access them</w:t>
            </w:r>
          </w:p>
        </w:tc>
        <w:tc>
          <w:tcPr>
            <w:tcW w:w="2795" w:type="dxa"/>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"Onboarding" function established</w:t>
            </w:r>
            <w:r w:rsidRPr="006079BD">
              <w:rPr>
                <w:rFonts w:ascii="Arial" w:hAnsi="Arial" w:cs="Arial"/>
                <w:sz w:val="16"/>
                <w:szCs w:val="22"/>
              </w:rPr>
              <w:br/>
              <w:t>- Number of foreigners participating in programs to support high-growth entrepreneurs in Georgia</w:t>
            </w:r>
          </w:p>
        </w:tc>
        <w:tc>
          <w:tcPr>
            <w:tcW w:w="1350" w:type="dxa"/>
            <w:tcBorders>
              <w:top w:val="nil"/>
              <w:left w:val="single" w:sz="4" w:space="0" w:color="auto"/>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EG, MOFA (Diplomatic Corps), Business Associations, Startup Associations, GEN Georgia</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2020-2021</w:t>
            </w:r>
          </w:p>
        </w:tc>
      </w:tr>
      <w:tr w:rsidR="006079BD" w:rsidRPr="006079BD" w:rsidTr="006079BD">
        <w:trPr>
          <w:gridAfter w:val="1"/>
          <w:wAfter w:w="480" w:type="dxa"/>
          <w:trHeight w:val="1628"/>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single" w:sz="4" w:space="0" w:color="auto"/>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2.11.5. Create funding pool for entrepreneurship community and networking initiatives and events that can be accessed through an application and / or competitive process</w:t>
            </w:r>
          </w:p>
        </w:tc>
        <w:tc>
          <w:tcPr>
            <w:tcW w:w="2795" w:type="dxa"/>
            <w:tcBorders>
              <w:top w:val="single" w:sz="4" w:space="0" w:color="auto"/>
              <w:left w:val="nil"/>
              <w:bottom w:val="single" w:sz="8" w:space="0" w:color="auto"/>
              <w:right w:val="nil"/>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Funding pool created</w:t>
            </w:r>
            <w:r w:rsidRPr="006079BD">
              <w:rPr>
                <w:rFonts w:ascii="Arial" w:hAnsi="Arial" w:cs="Arial"/>
                <w:sz w:val="16"/>
                <w:szCs w:val="22"/>
              </w:rPr>
              <w:br/>
              <w:t>- Number of initiatives supported through funds</w:t>
            </w:r>
          </w:p>
        </w:tc>
        <w:tc>
          <w:tcPr>
            <w:tcW w:w="1350" w:type="dxa"/>
            <w:tcBorders>
              <w:top w:val="nil"/>
              <w:left w:val="single" w:sz="4" w:space="0" w:color="auto"/>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w:t>
            </w:r>
          </w:p>
        </w:tc>
        <w:tc>
          <w:tcPr>
            <w:tcW w:w="1660" w:type="dxa"/>
            <w:gridSpan w:val="2"/>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EG, Business Associations, Startup Associations, GEN Georgia</w:t>
            </w:r>
          </w:p>
        </w:tc>
        <w:tc>
          <w:tcPr>
            <w:tcW w:w="1485" w:type="dxa"/>
            <w:tcBorders>
              <w:top w:val="nil"/>
              <w:left w:val="nil"/>
              <w:bottom w:val="single" w:sz="8"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1808"/>
        </w:trPr>
        <w:tc>
          <w:tcPr>
            <w:tcW w:w="714" w:type="dxa"/>
            <w:vMerge w:val="restart"/>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2.12</w:t>
            </w:r>
          </w:p>
        </w:tc>
        <w:tc>
          <w:tcPr>
            <w:tcW w:w="1870" w:type="dxa"/>
            <w:vMerge w:val="restart"/>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Create access to financing products tailored for early stage businesses that drive innovation and excellence</w:t>
            </w: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2.12.1. Expand revolving microfinancing grants to be up to US$5,000</w:t>
            </w:r>
          </w:p>
        </w:tc>
        <w:tc>
          <w:tcPr>
            <w:tcW w:w="2795" w:type="dxa"/>
            <w:tcBorders>
              <w:top w:val="nil"/>
              <w:left w:val="nil"/>
              <w:bottom w:val="single" w:sz="4" w:space="0" w:color="auto"/>
              <w:right w:val="nil"/>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Grant program revised</w:t>
            </w:r>
            <w:r w:rsidRPr="006079BD">
              <w:rPr>
                <w:rFonts w:ascii="Arial" w:hAnsi="Arial" w:cs="Arial"/>
                <w:sz w:val="16"/>
                <w:szCs w:val="22"/>
              </w:rPr>
              <w:br/>
              <w:t>- Number and quality of grant applications</w:t>
            </w:r>
          </w:p>
        </w:tc>
        <w:tc>
          <w:tcPr>
            <w:tcW w:w="1350" w:type="dxa"/>
            <w:tcBorders>
              <w:top w:val="nil"/>
              <w:left w:val="single" w:sz="4" w:space="0" w:color="auto"/>
              <w:bottom w:val="nil"/>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w:t>
            </w:r>
          </w:p>
        </w:tc>
        <w:tc>
          <w:tcPr>
            <w:tcW w:w="1660" w:type="dxa"/>
            <w:gridSpan w:val="2"/>
            <w:tcBorders>
              <w:top w:val="nil"/>
              <w:left w:val="nil"/>
              <w:bottom w:val="nil"/>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WB, Start-up Associations</w:t>
            </w:r>
          </w:p>
        </w:tc>
        <w:tc>
          <w:tcPr>
            <w:tcW w:w="1485" w:type="dxa"/>
            <w:tcBorders>
              <w:top w:val="nil"/>
              <w:left w:val="nil"/>
              <w:bottom w:val="nil"/>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1808"/>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nil"/>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2.12.2. Adjust criteria for US$40,000 10% matching grant program to increase emhasis on how projects offer novel ways to serve a clear consumer market, and eliminate minimum quota for grants disbursed annually (awards should be based on clear acheivement of quality standards)</w:t>
            </w:r>
          </w:p>
        </w:tc>
        <w:tc>
          <w:tcPr>
            <w:tcW w:w="2795" w:type="dxa"/>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Project assessment criteria revised</w:t>
            </w:r>
            <w:r w:rsidRPr="006079BD">
              <w:rPr>
                <w:rFonts w:ascii="Arial" w:hAnsi="Arial" w:cs="Arial"/>
                <w:sz w:val="16"/>
                <w:szCs w:val="22"/>
              </w:rPr>
              <w:br/>
              <w:t>- Share of grant recipients whose projects achieve their intended objectives (defined based on the project)</w:t>
            </w:r>
          </w:p>
        </w:tc>
        <w:tc>
          <w:tcPr>
            <w:tcW w:w="1350" w:type="dxa"/>
            <w:tcBorders>
              <w:top w:val="single" w:sz="4" w:space="0" w:color="auto"/>
              <w:left w:val="single" w:sz="4" w:space="0" w:color="auto"/>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w:t>
            </w:r>
          </w:p>
        </w:tc>
        <w:tc>
          <w:tcPr>
            <w:tcW w:w="1660" w:type="dxa"/>
            <w:gridSpan w:val="2"/>
            <w:tcBorders>
              <w:top w:val="single" w:sz="4"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WB, Start-up Associations</w:t>
            </w:r>
          </w:p>
        </w:tc>
        <w:tc>
          <w:tcPr>
            <w:tcW w:w="1485" w:type="dxa"/>
            <w:tcBorders>
              <w:top w:val="single" w:sz="4" w:space="0" w:color="auto"/>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1155"/>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single" w:sz="4" w:space="0" w:color="auto"/>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2.12.2. Develop and launch a flexible range, mid-tier (~US$50,000 – 250,000) matching grant financing mechanism available to innovative entrepreneurs who successfully raise capital</w:t>
            </w:r>
          </w:p>
        </w:tc>
        <w:tc>
          <w:tcPr>
            <w:tcW w:w="2795" w:type="dxa"/>
            <w:tcBorders>
              <w:top w:val="single" w:sz="4" w:space="0" w:color="auto"/>
              <w:left w:val="nil"/>
              <w:bottom w:val="single" w:sz="8" w:space="0" w:color="auto"/>
              <w:right w:val="nil"/>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Matching grant platform established and operational</w:t>
            </w:r>
            <w:r w:rsidRPr="006079BD">
              <w:rPr>
                <w:rFonts w:ascii="Arial" w:hAnsi="Arial" w:cs="Arial"/>
                <w:sz w:val="16"/>
                <w:szCs w:val="22"/>
              </w:rPr>
              <w:br/>
              <w:t>- Number and quality of grant applications</w:t>
            </w:r>
          </w:p>
        </w:tc>
        <w:tc>
          <w:tcPr>
            <w:tcW w:w="1350" w:type="dxa"/>
            <w:tcBorders>
              <w:top w:val="nil"/>
              <w:left w:val="single" w:sz="4" w:space="0" w:color="auto"/>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w:t>
            </w:r>
          </w:p>
        </w:tc>
        <w:tc>
          <w:tcPr>
            <w:tcW w:w="1660" w:type="dxa"/>
            <w:gridSpan w:val="2"/>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WB, Start-up Associations</w:t>
            </w:r>
          </w:p>
        </w:tc>
        <w:tc>
          <w:tcPr>
            <w:tcW w:w="1485" w:type="dxa"/>
            <w:tcBorders>
              <w:top w:val="nil"/>
              <w:left w:val="nil"/>
              <w:bottom w:val="single" w:sz="8"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1080"/>
        </w:trPr>
        <w:tc>
          <w:tcPr>
            <w:tcW w:w="714" w:type="dxa"/>
            <w:vMerge w:val="restart"/>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2.13</w:t>
            </w:r>
          </w:p>
        </w:tc>
        <w:tc>
          <w:tcPr>
            <w:tcW w:w="1870" w:type="dxa"/>
            <w:vMerge w:val="restart"/>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jc w:val="center"/>
              <w:rPr>
                <w:rFonts w:ascii="Arial" w:hAnsi="Arial" w:cs="Arial"/>
                <w:b/>
                <w:bCs/>
                <w:sz w:val="16"/>
                <w:szCs w:val="22"/>
              </w:rPr>
            </w:pPr>
            <w:r w:rsidRPr="006079BD">
              <w:rPr>
                <w:rFonts w:ascii="Arial" w:hAnsi="Arial" w:cs="Arial"/>
                <w:b/>
                <w:bCs/>
                <w:sz w:val="16"/>
                <w:szCs w:val="22"/>
              </w:rPr>
              <w:t xml:space="preserve">Promote a culture that celebrates entrepreneurship and innovation </w:t>
            </w: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xml:space="preserve">2.13.1. Create a fund (housed within GITA or another existing agency) to support public events and campaigns promoting entrepreneurs and intrapreneurs across industries, as well as intersections with the creative industries and fine arts </w:t>
            </w:r>
          </w:p>
        </w:tc>
        <w:tc>
          <w:tcPr>
            <w:tcW w:w="2795" w:type="dxa"/>
            <w:tcBorders>
              <w:top w:val="nil"/>
              <w:left w:val="nil"/>
              <w:bottom w:val="single" w:sz="4" w:space="0" w:color="auto"/>
              <w:right w:val="nil"/>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Fund established</w:t>
            </w:r>
            <w:r w:rsidRPr="006079BD">
              <w:rPr>
                <w:rFonts w:ascii="Arial" w:hAnsi="Arial" w:cs="Arial"/>
                <w:sz w:val="16"/>
                <w:szCs w:val="22"/>
              </w:rPr>
              <w:br/>
              <w:t>- Total number of attendees / participants at fund-sponsored events</w:t>
            </w:r>
          </w:p>
        </w:tc>
        <w:tc>
          <w:tcPr>
            <w:tcW w:w="1350" w:type="dxa"/>
            <w:tcBorders>
              <w:top w:val="nil"/>
              <w:left w:val="single" w:sz="4" w:space="0" w:color="auto"/>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 Creative Georgia</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MOESCS, EG</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2019-2022</w:t>
            </w:r>
          </w:p>
        </w:tc>
      </w:tr>
      <w:tr w:rsidR="006079BD" w:rsidRPr="006079BD" w:rsidTr="006079BD">
        <w:trPr>
          <w:gridAfter w:val="1"/>
          <w:wAfter w:w="480" w:type="dxa"/>
          <w:trHeight w:val="1193"/>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2.13.2. Develop and Integrate regular innovation-focused entrepreneurial learning experiences into public education at the primary and secondary school levels, building on existing science innovation competitions and entrepreneurial education pilot programs</w:t>
            </w:r>
          </w:p>
        </w:tc>
        <w:tc>
          <w:tcPr>
            <w:tcW w:w="2795" w:type="dxa"/>
            <w:tcBorders>
              <w:top w:val="nil"/>
              <w:left w:val="nil"/>
              <w:bottom w:val="single" w:sz="4" w:space="0" w:color="auto"/>
              <w:right w:val="nil"/>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Share of children in public primary and secondary schools participating in innovation-focused entrepreneurial experiences</w:t>
            </w:r>
          </w:p>
        </w:tc>
        <w:tc>
          <w:tcPr>
            <w:tcW w:w="1350" w:type="dxa"/>
            <w:tcBorders>
              <w:top w:val="nil"/>
              <w:left w:val="single" w:sz="4" w:space="0" w:color="auto"/>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MOESCS, Creative Georgia</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2020-2022</w:t>
            </w:r>
          </w:p>
        </w:tc>
      </w:tr>
      <w:tr w:rsidR="006079BD" w:rsidRPr="006079BD" w:rsidTr="006079BD">
        <w:trPr>
          <w:gridAfter w:val="1"/>
          <w:wAfter w:w="480" w:type="dxa"/>
          <w:trHeight w:val="1095"/>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nil"/>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xml:space="preserve">2.13.3. Integrate innovation / entrepreneurship infrastructure in Tbilisi - dedicated "innovation spaces" (e.g., Techpark)- in trafficked public spaces to make it more readily accessible and visible to the Georgian public </w:t>
            </w:r>
          </w:p>
        </w:tc>
        <w:tc>
          <w:tcPr>
            <w:tcW w:w="2795" w:type="dxa"/>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Share of Tbilisi residents (and visitors) who have seen and / or visited innovation spaces</w:t>
            </w:r>
          </w:p>
        </w:tc>
        <w:tc>
          <w:tcPr>
            <w:tcW w:w="1350" w:type="dxa"/>
            <w:tcBorders>
              <w:top w:val="nil"/>
              <w:left w:val="single" w:sz="4" w:space="0" w:color="auto"/>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MOESCS, Creative Georgia</w:t>
            </w:r>
          </w:p>
        </w:tc>
        <w:tc>
          <w:tcPr>
            <w:tcW w:w="1485" w:type="dxa"/>
            <w:tcBorders>
              <w:top w:val="nil"/>
              <w:left w:val="nil"/>
              <w:bottom w:val="nil"/>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2020-2022</w:t>
            </w:r>
          </w:p>
        </w:tc>
      </w:tr>
      <w:tr w:rsidR="006079BD" w:rsidRPr="006079BD" w:rsidTr="006079BD">
        <w:trPr>
          <w:gridAfter w:val="1"/>
          <w:wAfter w:w="480" w:type="dxa"/>
          <w:trHeight w:val="1095"/>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single" w:sz="4" w:space="0" w:color="auto"/>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2.13.4. Promote and invest in the expansion of public innovation spaces (e.g., co-working centers, fablabs) as needed on the basis of measurable demand from the private sector</w:t>
            </w:r>
          </w:p>
        </w:tc>
        <w:tc>
          <w:tcPr>
            <w:tcW w:w="2795" w:type="dxa"/>
            <w:tcBorders>
              <w:top w:val="single" w:sz="4" w:space="0" w:color="auto"/>
              <w:left w:val="nil"/>
              <w:bottom w:val="single" w:sz="8" w:space="0" w:color="auto"/>
              <w:right w:val="nil"/>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Utilization rate of public innovation spaces</w:t>
            </w:r>
          </w:p>
        </w:tc>
        <w:tc>
          <w:tcPr>
            <w:tcW w:w="1350" w:type="dxa"/>
            <w:tcBorders>
              <w:top w:val="nil"/>
              <w:left w:val="single" w:sz="4" w:space="0" w:color="auto"/>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w:t>
            </w:r>
          </w:p>
        </w:tc>
        <w:tc>
          <w:tcPr>
            <w:tcW w:w="1660" w:type="dxa"/>
            <w:gridSpan w:val="2"/>
            <w:tcBorders>
              <w:top w:val="nil"/>
              <w:left w:val="nil"/>
              <w:bottom w:val="single" w:sz="8"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MOESCS, Creative Georgia</w:t>
            </w:r>
          </w:p>
        </w:tc>
        <w:tc>
          <w:tcPr>
            <w:tcW w:w="1485" w:type="dxa"/>
            <w:tcBorders>
              <w:top w:val="single" w:sz="4" w:space="0" w:color="auto"/>
              <w:left w:val="nil"/>
              <w:bottom w:val="single" w:sz="8"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2021-2025</w:t>
            </w:r>
          </w:p>
        </w:tc>
      </w:tr>
      <w:tr w:rsidR="006079BD" w:rsidRPr="006079BD" w:rsidTr="006079BD">
        <w:trPr>
          <w:gridAfter w:val="1"/>
          <w:wAfter w:w="480" w:type="dxa"/>
          <w:trHeight w:val="1095"/>
        </w:trPr>
        <w:tc>
          <w:tcPr>
            <w:tcW w:w="714" w:type="dxa"/>
            <w:vMerge w:val="restart"/>
            <w:tcBorders>
              <w:top w:val="nil"/>
              <w:left w:val="single" w:sz="8" w:space="0" w:color="auto"/>
              <w:bottom w:val="single" w:sz="8" w:space="0" w:color="000000"/>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2.14</w:t>
            </w:r>
          </w:p>
        </w:tc>
        <w:tc>
          <w:tcPr>
            <w:tcW w:w="1870" w:type="dxa"/>
            <w:vMerge w:val="restart"/>
            <w:tcBorders>
              <w:top w:val="nil"/>
              <w:left w:val="single" w:sz="4" w:space="0" w:color="auto"/>
              <w:bottom w:val="single" w:sz="8" w:space="0" w:color="000000"/>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b/>
                <w:bCs/>
                <w:sz w:val="16"/>
                <w:szCs w:val="22"/>
              </w:rPr>
            </w:pPr>
            <w:r w:rsidRPr="006079BD">
              <w:rPr>
                <w:rFonts w:ascii="Arial" w:hAnsi="Arial" w:cs="Arial"/>
                <w:b/>
                <w:bCs/>
                <w:sz w:val="16"/>
                <w:szCs w:val="22"/>
              </w:rPr>
              <w:t>Promote Georgia as a global platform for innovation in target external markets</w:t>
            </w:r>
          </w:p>
        </w:tc>
        <w:tc>
          <w:tcPr>
            <w:tcW w:w="3176" w:type="dxa"/>
            <w:tcBorders>
              <w:top w:val="nil"/>
              <w:left w:val="nil"/>
              <w:bottom w:val="nil"/>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2.14.1. Develop a targeted branding and marketing strategy to promote Georgia as a center / platform for innovation in priority markets</w:t>
            </w:r>
          </w:p>
        </w:tc>
        <w:tc>
          <w:tcPr>
            <w:tcW w:w="2795" w:type="dxa"/>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Branding and marketing strategy developed</w:t>
            </w:r>
          </w:p>
        </w:tc>
        <w:tc>
          <w:tcPr>
            <w:tcW w:w="1350" w:type="dxa"/>
            <w:tcBorders>
              <w:top w:val="nil"/>
              <w:left w:val="single" w:sz="4" w:space="0" w:color="auto"/>
              <w:bottom w:val="nil"/>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w:t>
            </w:r>
          </w:p>
        </w:tc>
        <w:tc>
          <w:tcPr>
            <w:tcW w:w="1660" w:type="dxa"/>
            <w:gridSpan w:val="2"/>
            <w:tcBorders>
              <w:top w:val="nil"/>
              <w:left w:val="nil"/>
              <w:bottom w:val="nil"/>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MOESCS, Creative Georgia</w:t>
            </w:r>
          </w:p>
        </w:tc>
        <w:tc>
          <w:tcPr>
            <w:tcW w:w="1485" w:type="dxa"/>
            <w:tcBorders>
              <w:top w:val="nil"/>
              <w:left w:val="nil"/>
              <w:bottom w:val="nil"/>
              <w:right w:val="single" w:sz="8"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1095"/>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single" w:sz="4" w:space="0" w:color="auto"/>
              <w:left w:val="nil"/>
              <w:bottom w:val="single" w:sz="8"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2.14.2. Roll out branding and marketing strategy and oversee implementation</w:t>
            </w:r>
          </w:p>
        </w:tc>
        <w:tc>
          <w:tcPr>
            <w:tcW w:w="2795" w:type="dxa"/>
            <w:tcBorders>
              <w:top w:val="single" w:sz="4" w:space="0" w:color="auto"/>
              <w:left w:val="nil"/>
              <w:bottom w:val="single" w:sz="8"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Share of entrepreneurs and business leaders in target markets with a positive attitude towards Georgia as a platform for innovation</w:t>
            </w:r>
          </w:p>
        </w:tc>
        <w:tc>
          <w:tcPr>
            <w:tcW w:w="1350" w:type="dxa"/>
            <w:tcBorders>
              <w:top w:val="single" w:sz="4" w:space="0" w:color="auto"/>
              <w:left w:val="nil"/>
              <w:bottom w:val="single" w:sz="8"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w:t>
            </w:r>
          </w:p>
        </w:tc>
        <w:tc>
          <w:tcPr>
            <w:tcW w:w="1660" w:type="dxa"/>
            <w:gridSpan w:val="2"/>
            <w:tcBorders>
              <w:top w:val="single" w:sz="4" w:space="0" w:color="auto"/>
              <w:left w:val="nil"/>
              <w:bottom w:val="single" w:sz="8"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MOESCS, Creative Georgia</w:t>
            </w:r>
          </w:p>
        </w:tc>
        <w:tc>
          <w:tcPr>
            <w:tcW w:w="1485" w:type="dxa"/>
            <w:tcBorders>
              <w:top w:val="single" w:sz="4" w:space="0" w:color="auto"/>
              <w:left w:val="nil"/>
              <w:bottom w:val="single" w:sz="8" w:space="0" w:color="auto"/>
              <w:right w:val="single" w:sz="8"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2020-2025</w:t>
            </w:r>
          </w:p>
        </w:tc>
      </w:tr>
      <w:tr w:rsidR="006079BD" w:rsidRPr="006079BD" w:rsidTr="006079BD">
        <w:trPr>
          <w:gridAfter w:val="1"/>
          <w:wAfter w:w="480" w:type="dxa"/>
          <w:trHeight w:val="488"/>
        </w:trPr>
        <w:tc>
          <w:tcPr>
            <w:tcW w:w="13050" w:type="dxa"/>
            <w:gridSpan w:val="8"/>
            <w:tcBorders>
              <w:top w:val="nil"/>
              <w:left w:val="single" w:sz="8" w:space="0" w:color="auto"/>
              <w:bottom w:val="nil"/>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32"/>
              </w:rPr>
            </w:pPr>
            <w:bookmarkStart w:id="62" w:name="RANGE!B118"/>
            <w:r w:rsidRPr="006079BD">
              <w:rPr>
                <w:rFonts w:ascii="Arial" w:hAnsi="Arial" w:cs="Arial"/>
                <w:szCs w:val="32"/>
              </w:rPr>
              <w:t>Create access to research</w:t>
            </w:r>
            <w:bookmarkEnd w:id="62"/>
          </w:p>
        </w:tc>
      </w:tr>
      <w:tr w:rsidR="006079BD" w:rsidRPr="006079BD" w:rsidTr="006079BD">
        <w:trPr>
          <w:gridAfter w:val="1"/>
          <w:wAfter w:w="480" w:type="dxa"/>
          <w:trHeight w:val="1140"/>
        </w:trPr>
        <w:tc>
          <w:tcPr>
            <w:tcW w:w="714" w:type="dxa"/>
            <w:vMerge w:val="restart"/>
            <w:tcBorders>
              <w:top w:val="single" w:sz="8" w:space="0" w:color="auto"/>
              <w:left w:val="single" w:sz="8" w:space="0" w:color="auto"/>
              <w:bottom w:val="single" w:sz="8" w:space="0" w:color="000000"/>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2.15</w:t>
            </w:r>
          </w:p>
        </w:tc>
        <w:tc>
          <w:tcPr>
            <w:tcW w:w="1870" w:type="dxa"/>
            <w:vMerge w:val="restart"/>
            <w:tcBorders>
              <w:top w:val="single" w:sz="8" w:space="0" w:color="auto"/>
              <w:left w:val="single" w:sz="4" w:space="0" w:color="auto"/>
              <w:bottom w:val="single" w:sz="8" w:space="0" w:color="000000"/>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Focus research priorities on a limited set of objectives aligned to competitive industry needs and Horizon 2020 objectives</w:t>
            </w:r>
          </w:p>
        </w:tc>
        <w:tc>
          <w:tcPr>
            <w:tcW w:w="3176" w:type="dxa"/>
            <w:tcBorders>
              <w:top w:val="single" w:sz="8" w:space="0" w:color="auto"/>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2.15.1. Filter and prioritize funding areas in applied sciences supporting target industries, aligned with EU Horizon 2020 focus areas and having strong industry interest and support</w:t>
            </w:r>
          </w:p>
        </w:tc>
        <w:tc>
          <w:tcPr>
            <w:tcW w:w="2795" w:type="dxa"/>
            <w:tcBorders>
              <w:top w:val="single" w:sz="8" w:space="0" w:color="auto"/>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Filtering process complete</w:t>
            </w:r>
            <w:r w:rsidRPr="006079BD">
              <w:rPr>
                <w:rFonts w:ascii="Arial" w:hAnsi="Arial" w:cs="Arial"/>
                <w:sz w:val="16"/>
                <w:szCs w:val="22"/>
              </w:rPr>
              <w:br/>
              <w:t>- Revised limited set of priority research areas developed and adopted</w:t>
            </w:r>
          </w:p>
        </w:tc>
        <w:tc>
          <w:tcPr>
            <w:tcW w:w="1350" w:type="dxa"/>
            <w:tcBorders>
              <w:top w:val="single" w:sz="8" w:space="0" w:color="auto"/>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Rustaveli Foundation</w:t>
            </w:r>
          </w:p>
        </w:tc>
        <w:tc>
          <w:tcPr>
            <w:tcW w:w="1660" w:type="dxa"/>
            <w:gridSpan w:val="2"/>
            <w:tcBorders>
              <w:top w:val="single" w:sz="8" w:space="0" w:color="auto"/>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RIC, MOESCS, MOESD (GITA, EG), Academy of Sciences</w:t>
            </w:r>
          </w:p>
        </w:tc>
        <w:tc>
          <w:tcPr>
            <w:tcW w:w="1485" w:type="dxa"/>
            <w:tcBorders>
              <w:top w:val="single" w:sz="8" w:space="0" w:color="auto"/>
              <w:left w:val="nil"/>
              <w:bottom w:val="single" w:sz="4" w:space="0" w:color="auto"/>
              <w:right w:val="single" w:sz="8"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1088"/>
        </w:trPr>
        <w:tc>
          <w:tcPr>
            <w:tcW w:w="13050" w:type="dxa"/>
            <w:vMerge/>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single" w:sz="8" w:space="0" w:color="auto"/>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8"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2.15.2. Adapt project call and select criteria to give preference to projects with investment match by a private sector partner and business-academic research collaboration</w:t>
            </w:r>
          </w:p>
        </w:tc>
        <w:tc>
          <w:tcPr>
            <w:tcW w:w="2795" w:type="dxa"/>
            <w:tcBorders>
              <w:top w:val="nil"/>
              <w:left w:val="nil"/>
              <w:bottom w:val="single" w:sz="8"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Revised project call and selection criteria</w:t>
            </w:r>
            <w:r w:rsidRPr="006079BD">
              <w:rPr>
                <w:rFonts w:ascii="Arial" w:hAnsi="Arial" w:cs="Arial"/>
                <w:sz w:val="16"/>
                <w:szCs w:val="22"/>
              </w:rPr>
              <w:br/>
              <w:t>- Number of applications featuring joint public-private investments</w:t>
            </w:r>
          </w:p>
        </w:tc>
        <w:tc>
          <w:tcPr>
            <w:tcW w:w="1350" w:type="dxa"/>
            <w:tcBorders>
              <w:top w:val="nil"/>
              <w:left w:val="nil"/>
              <w:bottom w:val="single" w:sz="8"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Rustaveli Foundation</w:t>
            </w:r>
          </w:p>
        </w:tc>
        <w:tc>
          <w:tcPr>
            <w:tcW w:w="1660" w:type="dxa"/>
            <w:gridSpan w:val="2"/>
            <w:tcBorders>
              <w:top w:val="nil"/>
              <w:left w:val="nil"/>
              <w:bottom w:val="single" w:sz="8"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RIC, MOESCS, MOESD (GITA, EG), Academy of Sciences</w:t>
            </w:r>
          </w:p>
        </w:tc>
        <w:tc>
          <w:tcPr>
            <w:tcW w:w="1485" w:type="dxa"/>
            <w:tcBorders>
              <w:top w:val="nil"/>
              <w:left w:val="nil"/>
              <w:bottom w:val="single" w:sz="8" w:space="0" w:color="auto"/>
              <w:right w:val="single" w:sz="8"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1440"/>
        </w:trPr>
        <w:tc>
          <w:tcPr>
            <w:tcW w:w="714" w:type="dxa"/>
            <w:vMerge w:val="restart"/>
            <w:tcBorders>
              <w:top w:val="nil"/>
              <w:left w:val="single" w:sz="8" w:space="0" w:color="auto"/>
              <w:bottom w:val="single" w:sz="8" w:space="0" w:color="000000"/>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2.16</w:t>
            </w:r>
          </w:p>
        </w:tc>
        <w:tc>
          <w:tcPr>
            <w:tcW w:w="1870" w:type="dxa"/>
            <w:vMerge w:val="restart"/>
            <w:tcBorders>
              <w:top w:val="nil"/>
              <w:left w:val="single" w:sz="4" w:space="0" w:color="auto"/>
              <w:bottom w:val="single" w:sz="8" w:space="0" w:color="000000"/>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Strengthen and expand partnerships with external research institutions</w:t>
            </w:r>
          </w:p>
        </w:tc>
        <w:tc>
          <w:tcPr>
            <w:tcW w:w="3176"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2.16.1. Evaluate and filter current research partnerships sponsored through the Rustaveli Foundation and other publicly funded research centers (e.g., public university programs, etc.) to align partnership portfolio with Georgia's broader economic and innovation strategy</w:t>
            </w:r>
          </w:p>
        </w:tc>
        <w:tc>
          <w:tcPr>
            <w:tcW w:w="2795"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Filtering process completed</w:t>
            </w:r>
            <w:r w:rsidRPr="006079BD">
              <w:rPr>
                <w:rFonts w:ascii="Arial" w:hAnsi="Arial" w:cs="Arial"/>
                <w:sz w:val="16"/>
                <w:szCs w:val="22"/>
              </w:rPr>
              <w:br/>
              <w:t>- Prioritized list of partnerships and corresponding objectives developed and adopted</w:t>
            </w:r>
          </w:p>
        </w:tc>
        <w:tc>
          <w:tcPr>
            <w:tcW w:w="1350"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Rustaveli Foundation</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RIC, MOESCS, MOESD (GITA, EG), Academy of Sciences</w:t>
            </w:r>
          </w:p>
        </w:tc>
        <w:tc>
          <w:tcPr>
            <w:tcW w:w="1485" w:type="dxa"/>
            <w:tcBorders>
              <w:top w:val="nil"/>
              <w:left w:val="nil"/>
              <w:bottom w:val="single" w:sz="4" w:space="0" w:color="auto"/>
              <w:right w:val="single" w:sz="8"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w:t>
            </w:r>
          </w:p>
        </w:tc>
      </w:tr>
      <w:tr w:rsidR="006079BD" w:rsidRPr="006079BD" w:rsidTr="006079BD">
        <w:trPr>
          <w:gridAfter w:val="1"/>
          <w:wAfter w:w="480" w:type="dxa"/>
          <w:trHeight w:val="1313"/>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8"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2.16.2. Define a research partnership strategy and associated action plan focused on creating access to world class research centers aligned with globally competitive industries, working in collaboration with industry</w:t>
            </w:r>
          </w:p>
        </w:tc>
        <w:tc>
          <w:tcPr>
            <w:tcW w:w="2795" w:type="dxa"/>
            <w:tcBorders>
              <w:top w:val="nil"/>
              <w:left w:val="nil"/>
              <w:bottom w:val="single" w:sz="8"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Research partnership strategy developed and adopted</w:t>
            </w:r>
          </w:p>
        </w:tc>
        <w:tc>
          <w:tcPr>
            <w:tcW w:w="1350" w:type="dxa"/>
            <w:tcBorders>
              <w:top w:val="nil"/>
              <w:left w:val="nil"/>
              <w:bottom w:val="single" w:sz="8"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Rustaveli Foundation</w:t>
            </w:r>
          </w:p>
        </w:tc>
        <w:tc>
          <w:tcPr>
            <w:tcW w:w="1660" w:type="dxa"/>
            <w:gridSpan w:val="2"/>
            <w:tcBorders>
              <w:top w:val="nil"/>
              <w:left w:val="nil"/>
              <w:bottom w:val="single" w:sz="8"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RIC, MOESCS, MOESD (GITA, EG), Academy of Sciences</w:t>
            </w:r>
          </w:p>
        </w:tc>
        <w:tc>
          <w:tcPr>
            <w:tcW w:w="1485" w:type="dxa"/>
            <w:tcBorders>
              <w:top w:val="nil"/>
              <w:left w:val="nil"/>
              <w:bottom w:val="single" w:sz="8" w:space="0" w:color="auto"/>
              <w:right w:val="single" w:sz="8"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w:t>
            </w:r>
          </w:p>
        </w:tc>
      </w:tr>
      <w:tr w:rsidR="006079BD" w:rsidRPr="006079BD" w:rsidTr="006079BD">
        <w:trPr>
          <w:gridAfter w:val="1"/>
          <w:wAfter w:w="480" w:type="dxa"/>
          <w:trHeight w:val="1035"/>
        </w:trPr>
        <w:tc>
          <w:tcPr>
            <w:tcW w:w="714" w:type="dxa"/>
            <w:vMerge w:val="restart"/>
            <w:tcBorders>
              <w:top w:val="nil"/>
              <w:left w:val="single" w:sz="8" w:space="0" w:color="auto"/>
              <w:bottom w:val="single" w:sz="8" w:space="0" w:color="000000"/>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2.17</w:t>
            </w:r>
          </w:p>
        </w:tc>
        <w:tc>
          <w:tcPr>
            <w:tcW w:w="1870" w:type="dxa"/>
            <w:vMerge w:val="restart"/>
            <w:tcBorders>
              <w:top w:val="nil"/>
              <w:left w:val="single" w:sz="4" w:space="0" w:color="auto"/>
              <w:bottom w:val="single" w:sz="8" w:space="0" w:color="000000"/>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Create an enabling environment for cross-sector collaboration in research</w:t>
            </w:r>
          </w:p>
        </w:tc>
        <w:tc>
          <w:tcPr>
            <w:tcW w:w="3176"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xml:space="preserve">2.17.1. Adapt laws to make it possible for government funding to be directed to joint research efforts with the private sector </w:t>
            </w:r>
          </w:p>
        </w:tc>
        <w:tc>
          <w:tcPr>
            <w:tcW w:w="2795"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Legal amendments adopted</w:t>
            </w:r>
          </w:p>
        </w:tc>
        <w:tc>
          <w:tcPr>
            <w:tcW w:w="1350"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Rustaveli Foundation</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MOESCS, MOESD, RIC, MOJ</w:t>
            </w:r>
          </w:p>
        </w:tc>
        <w:tc>
          <w:tcPr>
            <w:tcW w:w="1485" w:type="dxa"/>
            <w:tcBorders>
              <w:top w:val="nil"/>
              <w:left w:val="nil"/>
              <w:bottom w:val="single" w:sz="4" w:space="0" w:color="auto"/>
              <w:right w:val="single" w:sz="8"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2019-2020</w:t>
            </w:r>
          </w:p>
        </w:tc>
      </w:tr>
      <w:tr w:rsidR="006079BD" w:rsidRPr="006079BD" w:rsidTr="006079BD">
        <w:trPr>
          <w:gridAfter w:val="1"/>
          <w:wAfter w:w="480" w:type="dxa"/>
          <w:trHeight w:val="1298"/>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2.17.2. Implement voucher program for innovation collaboration building on EU / OECD models (e.g., 4,000-5,000 euro vouchers for prototyping, researching, etc.), which can initially be used for business-business joint research projects, as well as business-university / research center collaborations</w:t>
            </w:r>
          </w:p>
        </w:tc>
        <w:tc>
          <w:tcPr>
            <w:tcW w:w="2795"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Voucher program established</w:t>
            </w:r>
            <w:r w:rsidRPr="006079BD">
              <w:rPr>
                <w:rFonts w:ascii="Arial" w:hAnsi="Arial" w:cs="Arial"/>
                <w:sz w:val="16"/>
                <w:szCs w:val="22"/>
              </w:rPr>
              <w:br/>
              <w:t>- Number of vouchers issued resulting in new innovation research collaborations</w:t>
            </w:r>
          </w:p>
        </w:tc>
        <w:tc>
          <w:tcPr>
            <w:tcW w:w="1350"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RIC, MOESCS, EG, Rustaveli Foundation, Academy of Sciences</w:t>
            </w:r>
          </w:p>
        </w:tc>
        <w:tc>
          <w:tcPr>
            <w:tcW w:w="1485" w:type="dxa"/>
            <w:tcBorders>
              <w:top w:val="nil"/>
              <w:left w:val="nil"/>
              <w:bottom w:val="single" w:sz="4" w:space="0" w:color="auto"/>
              <w:right w:val="single" w:sz="8"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2021-2022</w:t>
            </w:r>
          </w:p>
        </w:tc>
      </w:tr>
      <w:tr w:rsidR="006079BD" w:rsidRPr="006079BD" w:rsidTr="006079BD">
        <w:trPr>
          <w:gridAfter w:val="1"/>
          <w:wAfter w:w="480" w:type="dxa"/>
          <w:trHeight w:val="1553"/>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bookmarkStart w:id="63" w:name="RANGE!E125"/>
            <w:r w:rsidRPr="006079BD">
              <w:rPr>
                <w:rFonts w:ascii="Arial" w:hAnsi="Arial" w:cs="Arial"/>
                <w:sz w:val="16"/>
                <w:szCs w:val="22"/>
              </w:rPr>
              <w:t>2.17.3. Set up specialized public-private research ("competence") centers in agronomy, food and beverage production; wine production; and industrial design and manufacturing; development should be dependent on co-financing from the private sector, and tied to apprenticeship or job preparation program</w:t>
            </w:r>
            <w:bookmarkEnd w:id="63"/>
          </w:p>
        </w:tc>
        <w:tc>
          <w:tcPr>
            <w:tcW w:w="2795"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Number of co-financed research centers</w:t>
            </w:r>
          </w:p>
        </w:tc>
        <w:tc>
          <w:tcPr>
            <w:tcW w:w="1350" w:type="dxa"/>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RIC, MOESCS, EG, Rustaveli Foundation, Academy of Sciences</w:t>
            </w:r>
          </w:p>
        </w:tc>
        <w:tc>
          <w:tcPr>
            <w:tcW w:w="1485" w:type="dxa"/>
            <w:tcBorders>
              <w:top w:val="nil"/>
              <w:left w:val="nil"/>
              <w:bottom w:val="single" w:sz="4" w:space="0" w:color="auto"/>
              <w:right w:val="single" w:sz="8"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2022-2025</w:t>
            </w:r>
          </w:p>
        </w:tc>
      </w:tr>
      <w:tr w:rsidR="006079BD" w:rsidRPr="006079BD" w:rsidTr="006079BD">
        <w:trPr>
          <w:gridAfter w:val="1"/>
          <w:wAfter w:w="480" w:type="dxa"/>
          <w:trHeight w:val="1350"/>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8"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2.17.4. Adapt and scale incentives for business-research collaborations as research capability focuses and develops</w:t>
            </w:r>
          </w:p>
        </w:tc>
        <w:tc>
          <w:tcPr>
            <w:tcW w:w="2795" w:type="dxa"/>
            <w:tcBorders>
              <w:top w:val="nil"/>
              <w:left w:val="nil"/>
              <w:bottom w:val="single" w:sz="8"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Change in annual growth of public-private research collaborations</w:t>
            </w:r>
          </w:p>
        </w:tc>
        <w:tc>
          <w:tcPr>
            <w:tcW w:w="1350" w:type="dxa"/>
            <w:tcBorders>
              <w:top w:val="nil"/>
              <w:left w:val="nil"/>
              <w:bottom w:val="single" w:sz="8"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(GITA)</w:t>
            </w:r>
          </w:p>
        </w:tc>
        <w:tc>
          <w:tcPr>
            <w:tcW w:w="1660" w:type="dxa"/>
            <w:gridSpan w:val="2"/>
            <w:tcBorders>
              <w:top w:val="nil"/>
              <w:left w:val="nil"/>
              <w:bottom w:val="single" w:sz="8"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RIC, MOESCS, EG, Rustaveli Foundation, Academy of Sciences</w:t>
            </w:r>
          </w:p>
        </w:tc>
        <w:tc>
          <w:tcPr>
            <w:tcW w:w="1485" w:type="dxa"/>
            <w:tcBorders>
              <w:top w:val="nil"/>
              <w:left w:val="nil"/>
              <w:bottom w:val="single" w:sz="8" w:space="0" w:color="auto"/>
              <w:right w:val="single" w:sz="8"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2022-2025</w:t>
            </w:r>
          </w:p>
        </w:tc>
      </w:tr>
      <w:tr w:rsidR="006079BD" w:rsidRPr="006079BD" w:rsidTr="006079BD">
        <w:trPr>
          <w:gridAfter w:val="1"/>
          <w:wAfter w:w="480" w:type="dxa"/>
          <w:trHeight w:val="2790"/>
        </w:trPr>
        <w:tc>
          <w:tcPr>
            <w:tcW w:w="714" w:type="dxa"/>
            <w:vMerge w:val="restart"/>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2.18</w:t>
            </w:r>
          </w:p>
        </w:tc>
        <w:tc>
          <w:tcPr>
            <w:tcW w:w="1870" w:type="dxa"/>
            <w:vMerge w:val="restart"/>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Develop career pathways in research to encourage the growth of a new generation of scientists</w:t>
            </w: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2.18.1. Establish a rotational program for young Georgian researchers and scientists in partnership with prioritized international research institutions to access and learn from leading researchers</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Program established</w:t>
            </w:r>
            <w:r w:rsidRPr="006079BD">
              <w:rPr>
                <w:rFonts w:ascii="Arial" w:hAnsi="Arial" w:cs="Arial"/>
                <w:sz w:val="16"/>
                <w:szCs w:val="22"/>
              </w:rPr>
              <w:br/>
              <w:t>- Number of participating Georgian scientists / researchers</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Rustaveli Foundation</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MOESCS, MOESD (GITA), Universities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2021-2023</w:t>
            </w:r>
          </w:p>
        </w:tc>
      </w:tr>
      <w:tr w:rsidR="006079BD" w:rsidRPr="006079BD" w:rsidTr="006079BD">
        <w:trPr>
          <w:gridAfter w:val="1"/>
          <w:wAfter w:w="480" w:type="dxa"/>
          <w:trHeight w:val="1762"/>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2.18.2. Establish a limited number of fellowships with prioritized leading EU research universities for aspiring Georgian researchers, to foster mentorship and gain practical experience in research, teaching, applying for funding, etc.</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Number of fellowship programs established</w:t>
            </w:r>
            <w:r w:rsidRPr="006079BD">
              <w:rPr>
                <w:rFonts w:ascii="Arial" w:hAnsi="Arial" w:cs="Arial"/>
                <w:sz w:val="16"/>
                <w:szCs w:val="22"/>
              </w:rPr>
              <w:br/>
              <w:t>- Number of participating Georgian researchers</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Rustaveli Foundation</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MOESCS, MOESD (GITA), Universities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2022-2024</w:t>
            </w:r>
          </w:p>
        </w:tc>
      </w:tr>
      <w:tr w:rsidR="006079BD" w:rsidRPr="006079BD" w:rsidTr="006079BD">
        <w:trPr>
          <w:gridAfter w:val="1"/>
          <w:wAfter w:w="480" w:type="dxa"/>
          <w:trHeight w:val="1168"/>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2.18.3. Create a training and support program to assist young researchers apply for and access EU Horizon 2020 funding</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Training program established</w:t>
            </w:r>
            <w:r w:rsidRPr="006079BD">
              <w:rPr>
                <w:rFonts w:ascii="Arial" w:hAnsi="Arial" w:cs="Arial"/>
                <w:sz w:val="16"/>
                <w:szCs w:val="22"/>
              </w:rPr>
              <w:br/>
              <w:t>- Number of program participants</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Rustaveli Foundation</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MOESCS, MOESD (GITA), Universities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2022-2024</w:t>
            </w:r>
          </w:p>
        </w:tc>
      </w:tr>
      <w:tr w:rsidR="006079BD" w:rsidRPr="006079BD" w:rsidTr="006079BD">
        <w:trPr>
          <w:gridAfter w:val="1"/>
          <w:wAfter w:w="480" w:type="dxa"/>
          <w:trHeight w:val="1852"/>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xml:space="preserve">2.18.4. Define and establish public-private co-sponsored primarily domestic PhD scholarships / grant programs to attract students into these fields in partnership with universities and companies in target industries </w:t>
            </w:r>
          </w:p>
        </w:tc>
        <w:tc>
          <w:tcPr>
            <w:tcW w:w="2795"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Number of created scholarships</w:t>
            </w:r>
          </w:p>
        </w:tc>
        <w:tc>
          <w:tcPr>
            <w:tcW w:w="1350"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Rustaveli Foundation</w:t>
            </w:r>
          </w:p>
        </w:tc>
        <w:tc>
          <w:tcPr>
            <w:tcW w:w="1660" w:type="dxa"/>
            <w:gridSpan w:val="2"/>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MOESCS, Universities</w:t>
            </w:r>
          </w:p>
        </w:tc>
        <w:tc>
          <w:tcPr>
            <w:tcW w:w="1485" w:type="dxa"/>
            <w:tcBorders>
              <w:top w:val="nil"/>
              <w:left w:val="nil"/>
              <w:bottom w:val="single" w:sz="8"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2020-2022</w:t>
            </w:r>
          </w:p>
        </w:tc>
      </w:tr>
      <w:tr w:rsidR="006079BD" w:rsidRPr="006079BD" w:rsidTr="006079BD">
        <w:trPr>
          <w:gridAfter w:val="1"/>
          <w:wAfter w:w="480" w:type="dxa"/>
          <w:trHeight w:val="439"/>
        </w:trPr>
        <w:tc>
          <w:tcPr>
            <w:tcW w:w="13050" w:type="dxa"/>
            <w:gridSpan w:val="8"/>
            <w:vMerge w:val="restart"/>
            <w:tcBorders>
              <w:top w:val="nil"/>
              <w:left w:val="single" w:sz="8" w:space="0" w:color="auto"/>
              <w:bottom w:val="single" w:sz="4" w:space="0" w:color="auto"/>
              <w:right w:val="single" w:sz="4" w:space="0" w:color="auto"/>
            </w:tcBorders>
            <w:shd w:val="clear" w:color="auto" w:fill="DDEBF7"/>
            <w:vAlign w:val="center"/>
            <w:hideMark/>
          </w:tcPr>
          <w:p w:rsidR="006079BD" w:rsidRPr="006079BD" w:rsidRDefault="006079BD" w:rsidP="006079BD">
            <w:pPr>
              <w:spacing w:before="0" w:after="0" w:line="240" w:lineRule="auto"/>
              <w:jc w:val="center"/>
              <w:rPr>
                <w:rFonts w:ascii="Arial" w:hAnsi="Arial" w:cs="Arial"/>
                <w:b/>
                <w:bCs/>
                <w:sz w:val="16"/>
                <w:szCs w:val="36"/>
              </w:rPr>
            </w:pPr>
            <w:bookmarkStart w:id="64" w:name="RANGE!B131"/>
            <w:r w:rsidRPr="006079BD">
              <w:rPr>
                <w:rFonts w:ascii="Arial" w:hAnsi="Arial" w:cs="Arial"/>
                <w:b/>
                <w:bCs/>
                <w:sz w:val="22"/>
                <w:szCs w:val="38"/>
              </w:rPr>
              <w:t>Strategic direction 3: Attracting catalytic foreign direct investment</w:t>
            </w:r>
            <w:bookmarkEnd w:id="64"/>
          </w:p>
        </w:tc>
      </w:tr>
      <w:tr w:rsidR="006079BD" w:rsidRPr="006079BD" w:rsidTr="006079BD">
        <w:trPr>
          <w:gridAfter w:val="1"/>
          <w:wAfter w:w="480" w:type="dxa"/>
          <w:trHeight w:val="450"/>
        </w:trPr>
        <w:tc>
          <w:tcPr>
            <w:tcW w:w="26885" w:type="dxa"/>
            <w:gridSpan w:val="8"/>
            <w:vMerge/>
            <w:tcBorders>
              <w:top w:val="nil"/>
              <w:left w:val="single" w:sz="8"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36"/>
              </w:rPr>
            </w:pPr>
          </w:p>
        </w:tc>
      </w:tr>
      <w:tr w:rsidR="006079BD" w:rsidRPr="006079BD" w:rsidTr="006079BD">
        <w:trPr>
          <w:gridAfter w:val="1"/>
          <w:wAfter w:w="480" w:type="dxa"/>
          <w:trHeight w:val="563"/>
        </w:trPr>
        <w:tc>
          <w:tcPr>
            <w:tcW w:w="13050" w:type="dxa"/>
            <w:gridSpan w:val="8"/>
            <w:tcBorders>
              <w:top w:val="single" w:sz="4" w:space="0" w:color="auto"/>
              <w:left w:val="single" w:sz="8" w:space="0" w:color="auto"/>
              <w:bottom w:val="nil"/>
              <w:right w:val="single" w:sz="4" w:space="0" w:color="auto"/>
            </w:tcBorders>
            <w:vAlign w:val="center"/>
            <w:hideMark/>
          </w:tcPr>
          <w:p w:rsidR="006079BD" w:rsidRPr="006079BD" w:rsidRDefault="006079BD" w:rsidP="006079BD">
            <w:pPr>
              <w:spacing w:before="0" w:after="0" w:line="240" w:lineRule="auto"/>
              <w:jc w:val="center"/>
              <w:rPr>
                <w:rFonts w:ascii="Arial" w:hAnsi="Arial" w:cs="Arial"/>
                <w:szCs w:val="32"/>
              </w:rPr>
            </w:pPr>
            <w:bookmarkStart w:id="65" w:name="RANGE!B133"/>
            <w:r w:rsidRPr="006079BD">
              <w:rPr>
                <w:rFonts w:ascii="Arial" w:hAnsi="Arial" w:cs="Arial"/>
                <w:szCs w:val="32"/>
              </w:rPr>
              <w:t>Build a world-class investment attraction capability</w:t>
            </w:r>
            <w:bookmarkEnd w:id="65"/>
          </w:p>
        </w:tc>
      </w:tr>
      <w:tr w:rsidR="006079BD" w:rsidRPr="006079BD" w:rsidTr="006079BD">
        <w:trPr>
          <w:gridAfter w:val="1"/>
          <w:wAfter w:w="480" w:type="dxa"/>
          <w:trHeight w:val="3660"/>
        </w:trPr>
        <w:tc>
          <w:tcPr>
            <w:tcW w:w="714" w:type="dxa"/>
            <w:vMerge w:val="restart"/>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3.1.</w:t>
            </w:r>
          </w:p>
        </w:tc>
        <w:tc>
          <w:tcPr>
            <w:tcW w:w="1870" w:type="dxa"/>
            <w:vMerge w:val="restart"/>
            <w:tcBorders>
              <w:top w:val="single" w:sz="8" w:space="0" w:color="auto"/>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Recruit world-class investment attraction leadership team and supporting staff</w:t>
            </w:r>
          </w:p>
        </w:tc>
        <w:tc>
          <w:tcPr>
            <w:tcW w:w="3176" w:type="dxa"/>
            <w:tcBorders>
              <w:top w:val="single" w:sz="8"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3.1.1. Recruit a highly qualified, motivated executive director and deputy executive (Georgian national or foreign expats) to lead the investment attraction function</w:t>
            </w:r>
            <w:r w:rsidRPr="006079BD">
              <w:rPr>
                <w:rFonts w:ascii="Arial" w:hAnsi="Arial" w:cs="Arial"/>
                <w:sz w:val="16"/>
                <w:szCs w:val="22"/>
              </w:rPr>
              <w:br/>
              <w:t xml:space="preserve"> </w:t>
            </w:r>
            <w:r w:rsidRPr="006079BD">
              <w:rPr>
                <w:rFonts w:ascii="Arial" w:hAnsi="Arial" w:cs="Arial"/>
                <w:sz w:val="16"/>
                <w:szCs w:val="22"/>
              </w:rPr>
              <w:br/>
            </w:r>
            <w:r w:rsidRPr="006079BD">
              <w:rPr>
                <w:rFonts w:ascii="Arial" w:hAnsi="Arial" w:cs="Arial"/>
                <w:i/>
                <w:iCs/>
                <w:sz w:val="16"/>
                <w:szCs w:val="22"/>
              </w:rPr>
              <w:t>Candidate should the following among key attributes:</w:t>
            </w:r>
            <w:r w:rsidRPr="006079BD">
              <w:rPr>
                <w:rFonts w:ascii="Arial" w:hAnsi="Arial" w:cs="Arial"/>
                <w:i/>
                <w:iCs/>
                <w:sz w:val="16"/>
                <w:szCs w:val="22"/>
              </w:rPr>
              <w:br/>
              <w:t>- Proven capabilities in building global business partnerships, building collaborative cross-agency partnerships and developing and executing global investment deals</w:t>
            </w:r>
            <w:r w:rsidRPr="006079BD">
              <w:rPr>
                <w:rFonts w:ascii="Arial" w:hAnsi="Arial" w:cs="Arial"/>
                <w:i/>
                <w:iCs/>
                <w:sz w:val="16"/>
                <w:szCs w:val="22"/>
              </w:rPr>
              <w:br/>
              <w:t>- Experience in investment promotion</w:t>
            </w:r>
            <w:r w:rsidRPr="006079BD">
              <w:rPr>
                <w:rFonts w:ascii="Arial" w:hAnsi="Arial" w:cs="Arial"/>
                <w:i/>
                <w:iCs/>
                <w:sz w:val="16"/>
                <w:szCs w:val="22"/>
              </w:rPr>
              <w:br/>
              <w:t>- Experience leading organizations through growth and transformation periods</w:t>
            </w:r>
            <w:r w:rsidRPr="006079BD">
              <w:rPr>
                <w:rFonts w:ascii="Arial" w:hAnsi="Arial" w:cs="Arial"/>
                <w:i/>
                <w:iCs/>
                <w:sz w:val="16"/>
                <w:szCs w:val="22"/>
              </w:rPr>
              <w:br/>
              <w:t>- Private sector and public office executive experience</w:t>
            </w:r>
            <w:r w:rsidRPr="006079BD">
              <w:rPr>
                <w:rFonts w:ascii="Arial" w:hAnsi="Arial" w:cs="Arial"/>
                <w:i/>
                <w:iCs/>
                <w:sz w:val="16"/>
                <w:szCs w:val="22"/>
              </w:rPr>
              <w:br/>
              <w:t>- Strong business acumen and market orientation</w:t>
            </w:r>
            <w:r w:rsidRPr="006079BD">
              <w:rPr>
                <w:rFonts w:ascii="Arial" w:hAnsi="Arial" w:cs="Arial"/>
                <w:i/>
                <w:iCs/>
                <w:sz w:val="16"/>
                <w:szCs w:val="22"/>
              </w:rPr>
              <w:br/>
              <w:t>- Demonstrated relationships with businesses in target global markets</w:t>
            </w:r>
          </w:p>
        </w:tc>
        <w:tc>
          <w:tcPr>
            <w:tcW w:w="2795" w:type="dxa"/>
            <w:tcBorders>
              <w:top w:val="single" w:sz="8"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Qualified professional hired and started in post</w:t>
            </w:r>
          </w:p>
        </w:tc>
        <w:tc>
          <w:tcPr>
            <w:tcW w:w="1350" w:type="dxa"/>
            <w:tcBorders>
              <w:top w:val="single" w:sz="8"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br/>
              <w:t>MOESD</w:t>
            </w:r>
          </w:p>
        </w:tc>
        <w:tc>
          <w:tcPr>
            <w:tcW w:w="1660" w:type="dxa"/>
            <w:gridSpan w:val="2"/>
            <w:tcBorders>
              <w:top w:val="single" w:sz="8"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AOG, EG, GITA, PF, MOESCS, Business Associations</w:t>
            </w:r>
          </w:p>
        </w:tc>
        <w:tc>
          <w:tcPr>
            <w:tcW w:w="1485" w:type="dxa"/>
            <w:tcBorders>
              <w:top w:val="single" w:sz="8" w:space="0" w:color="auto"/>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1418"/>
        </w:trPr>
        <w:tc>
          <w:tcPr>
            <w:tcW w:w="13050" w:type="dxa"/>
            <w:vMerge/>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single" w:sz="8" w:space="0" w:color="auto"/>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3.1.2. Define salary and benefits packages that are competitive with global executive functions and able to attract and retain top talent, pursuing legal exemptions or moving functions outside of government to the private sector as required</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Investment agency compensation package defined and adopted</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xml:space="preserve">Investment Attraction function </w:t>
            </w:r>
            <w:r w:rsidRPr="006079BD">
              <w:rPr>
                <w:rFonts w:ascii="Arial" w:hAnsi="Arial" w:cs="Arial"/>
                <w:i/>
                <w:iCs/>
                <w:sz w:val="16"/>
                <w:szCs w:val="12"/>
              </w:rPr>
              <w:t>(pending establishment)</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AOG, MOESD (EG, GITA), PF, MOESCS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1673"/>
        </w:trPr>
        <w:tc>
          <w:tcPr>
            <w:tcW w:w="13050" w:type="dxa"/>
            <w:vMerge/>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single" w:sz="8" w:space="0" w:color="auto"/>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3.1.3. Under the executive’s leadership, define human capital and talent requirements across the organization and establish a talent framework</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Talent framework established</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xml:space="preserve">Investment Attraction function </w:t>
            </w:r>
            <w:r w:rsidRPr="006079BD">
              <w:rPr>
                <w:rFonts w:ascii="Arial" w:hAnsi="Arial" w:cs="Arial"/>
                <w:i/>
                <w:iCs/>
                <w:sz w:val="16"/>
                <w:szCs w:val="12"/>
              </w:rPr>
              <w:t>(pending establishment)</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AOG, MOESD (EG, GITA), PF, MOESCS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1395"/>
        </w:trPr>
        <w:tc>
          <w:tcPr>
            <w:tcW w:w="13050" w:type="dxa"/>
            <w:vMerge/>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single" w:sz="8" w:space="0" w:color="auto"/>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3.1.4. Assess current staff capabilities against the framework, identify weaknesses and gaps, and recruit, hire, transition staff as needed</w:t>
            </w:r>
          </w:p>
        </w:tc>
        <w:tc>
          <w:tcPr>
            <w:tcW w:w="2795" w:type="dxa"/>
            <w:tcBorders>
              <w:top w:val="nil"/>
              <w:left w:val="nil"/>
              <w:bottom w:val="single" w:sz="4" w:space="0" w:color="auto"/>
              <w:right w:val="single" w:sz="4" w:space="0" w:color="auto"/>
            </w:tcBorders>
            <w:noWrap/>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Organization fully staffed meeting framework standards</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xml:space="preserve">Investment Attraction function </w:t>
            </w:r>
            <w:r w:rsidRPr="006079BD">
              <w:rPr>
                <w:rFonts w:ascii="Arial" w:hAnsi="Arial" w:cs="Arial"/>
                <w:i/>
                <w:iCs/>
                <w:sz w:val="16"/>
                <w:szCs w:val="12"/>
              </w:rPr>
              <w:t>(pending establishment)</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AOG, MOESD (EG, GITA), PF, MOESCS</w:t>
            </w:r>
          </w:p>
        </w:tc>
        <w:tc>
          <w:tcPr>
            <w:tcW w:w="1485" w:type="dxa"/>
            <w:tcBorders>
              <w:top w:val="nil"/>
              <w:left w:val="nil"/>
              <w:bottom w:val="single" w:sz="4" w:space="0" w:color="auto"/>
              <w:right w:val="single" w:sz="8" w:space="0" w:color="auto"/>
            </w:tcBorders>
            <w:noWrap/>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2019-2020</w:t>
            </w:r>
          </w:p>
        </w:tc>
      </w:tr>
      <w:tr w:rsidR="006079BD" w:rsidRPr="006079BD" w:rsidTr="006079BD">
        <w:trPr>
          <w:gridAfter w:val="1"/>
          <w:wAfter w:w="480" w:type="dxa"/>
          <w:trHeight w:val="2123"/>
        </w:trPr>
        <w:tc>
          <w:tcPr>
            <w:tcW w:w="13050" w:type="dxa"/>
            <w:vMerge/>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single" w:sz="8" w:space="0" w:color="auto"/>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3.1.4. Establish a Board of Directors that includes key public sector officials, domestic business leaders and other Georgian and foreign national experts capable of contributing value to the agency’s mission and operations (e.g., linkages in key markets, leadership / expert experience in investment promotion, oversight over government functions affecting investments such as tax authority, etc.)</w:t>
            </w:r>
          </w:p>
        </w:tc>
        <w:tc>
          <w:tcPr>
            <w:tcW w:w="2795"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Board established and operations commenced</w:t>
            </w:r>
          </w:p>
        </w:tc>
        <w:tc>
          <w:tcPr>
            <w:tcW w:w="1350"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xml:space="preserve">Investment Attraction function </w:t>
            </w:r>
            <w:r w:rsidRPr="006079BD">
              <w:rPr>
                <w:rFonts w:ascii="Arial" w:hAnsi="Arial" w:cs="Arial"/>
                <w:i/>
                <w:iCs/>
                <w:sz w:val="16"/>
                <w:szCs w:val="12"/>
              </w:rPr>
              <w:t>(pending establishment)</w:t>
            </w:r>
          </w:p>
        </w:tc>
        <w:tc>
          <w:tcPr>
            <w:tcW w:w="1660" w:type="dxa"/>
            <w:gridSpan w:val="2"/>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AOG, MOESD (EG, GITA), PF, MOESCS</w:t>
            </w:r>
          </w:p>
        </w:tc>
        <w:tc>
          <w:tcPr>
            <w:tcW w:w="1485" w:type="dxa"/>
            <w:tcBorders>
              <w:top w:val="nil"/>
              <w:left w:val="nil"/>
              <w:bottom w:val="single" w:sz="8"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1538"/>
        </w:trPr>
        <w:tc>
          <w:tcPr>
            <w:tcW w:w="714" w:type="dxa"/>
            <w:vMerge w:val="restart"/>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3.2.</w:t>
            </w:r>
          </w:p>
        </w:tc>
        <w:tc>
          <w:tcPr>
            <w:tcW w:w="1870" w:type="dxa"/>
            <w:vMerge w:val="restart"/>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 xml:space="preserve">Optimize the organizational structure to align with priority functions  </w:t>
            </w: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bookmarkStart w:id="66" w:name="RANGE!E139"/>
            <w:r w:rsidRPr="006079BD">
              <w:rPr>
                <w:rFonts w:ascii="Arial" w:hAnsi="Arial" w:cs="Arial"/>
                <w:sz w:val="16"/>
                <w:szCs w:val="22"/>
              </w:rPr>
              <w:t>3.2.1.Validate the business case for reclassifying the investment attraction agency as an independent, quasi-public entity separate from Enterprise Georgia, against alternatives keeping it independent but fully within government, or in its current status within Enterprise Georgia</w:t>
            </w:r>
            <w:bookmarkEnd w:id="66"/>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Report on the business case for reclassification developed and adopted</w:t>
            </w:r>
            <w:r w:rsidRPr="006079BD">
              <w:rPr>
                <w:rFonts w:ascii="Arial" w:hAnsi="Arial" w:cs="Arial"/>
                <w:sz w:val="16"/>
                <w:szCs w:val="22"/>
              </w:rPr>
              <w:br/>
              <w:t>- Institution status defined</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AOG</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AOG, MOESD (EG, GITA), PF, MOESCS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5033"/>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3.2.2. Define a targeted investment attraction strategy, aligned to the core tenants of Georgia's national innovation and broader economic development strategies</w:t>
            </w:r>
            <w:r w:rsidRPr="006079BD">
              <w:rPr>
                <w:rFonts w:ascii="Arial" w:hAnsi="Arial" w:cs="Arial"/>
                <w:sz w:val="16"/>
                <w:szCs w:val="22"/>
              </w:rPr>
              <w:br/>
            </w:r>
            <w:r w:rsidRPr="006079BD">
              <w:rPr>
                <w:rFonts w:ascii="Arial" w:hAnsi="Arial" w:cs="Arial"/>
                <w:i/>
                <w:iCs/>
                <w:sz w:val="16"/>
                <w:szCs w:val="22"/>
              </w:rPr>
              <w:br/>
              <w:t>Strategy should include and define the following:</w:t>
            </w:r>
            <w:r w:rsidRPr="006079BD">
              <w:rPr>
                <w:rFonts w:ascii="Arial" w:hAnsi="Arial" w:cs="Arial"/>
                <w:i/>
                <w:iCs/>
                <w:sz w:val="16"/>
                <w:szCs w:val="22"/>
              </w:rPr>
              <w:br/>
              <w:t>- Industry focus on high value manufacturing, food and beverage processing and industrial design</w:t>
            </w:r>
            <w:r w:rsidRPr="006079BD">
              <w:rPr>
                <w:rFonts w:ascii="Arial" w:hAnsi="Arial" w:cs="Arial"/>
                <w:i/>
                <w:iCs/>
                <w:sz w:val="16"/>
                <w:szCs w:val="22"/>
              </w:rPr>
              <w:br/>
              <w:t>- Where the strategy will focus, both in terms of where the function will seek to attract investment domestically, and also where it will prioritize attracting investment from abroad: e.g., target markets / geographies, investor groups, sub-industries, parts of the value chain, etc.</w:t>
            </w:r>
            <w:r w:rsidRPr="006079BD">
              <w:rPr>
                <w:rFonts w:ascii="Arial" w:hAnsi="Arial" w:cs="Arial"/>
                <w:i/>
                <w:iCs/>
                <w:sz w:val="16"/>
                <w:szCs w:val="22"/>
              </w:rPr>
              <w:br/>
              <w:t>- A clear thesis on how the agency will succeed in attracting investment from / into these areas</w:t>
            </w:r>
            <w:r w:rsidRPr="006079BD">
              <w:rPr>
                <w:rFonts w:ascii="Arial" w:hAnsi="Arial" w:cs="Arial"/>
                <w:i/>
                <w:iCs/>
                <w:sz w:val="16"/>
                <w:szCs w:val="22"/>
              </w:rPr>
              <w:br/>
              <w:t>- What capabilities the agency must have to succeed: e.g., overseas presence, language and technical expertise, agility in responding to investor needs, etc.</w:t>
            </w:r>
            <w:r w:rsidRPr="006079BD">
              <w:rPr>
                <w:rFonts w:ascii="Arial" w:hAnsi="Arial" w:cs="Arial"/>
                <w:i/>
                <w:iCs/>
                <w:sz w:val="16"/>
                <w:szCs w:val="22"/>
              </w:rPr>
              <w:br/>
              <w:t>- How the Function will be organized to support these capabilities: e.g., organizational structure, priority procedures and processes, etc.</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Investment strategy developed and adopted</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xml:space="preserve">Investment Attraction function </w:t>
            </w:r>
            <w:r w:rsidRPr="006079BD">
              <w:rPr>
                <w:rFonts w:ascii="Arial" w:hAnsi="Arial" w:cs="Arial"/>
                <w:i/>
                <w:iCs/>
                <w:sz w:val="16"/>
                <w:szCs w:val="12"/>
              </w:rPr>
              <w:t>(pending establishment)</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AOG, MOESD (EG, GITA), PF, MOESCS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w:t>
            </w:r>
          </w:p>
        </w:tc>
      </w:tr>
      <w:tr w:rsidR="006079BD" w:rsidRPr="006079BD" w:rsidTr="006079BD">
        <w:trPr>
          <w:gridAfter w:val="1"/>
          <w:wAfter w:w="480" w:type="dxa"/>
          <w:trHeight w:val="3300"/>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3.2.3. Under the executive’s leadership and in consultation, define an optimal organizational structure to deliver core functions</w:t>
            </w:r>
            <w:r w:rsidRPr="006079BD">
              <w:rPr>
                <w:rFonts w:ascii="Arial" w:hAnsi="Arial" w:cs="Arial"/>
                <w:sz w:val="16"/>
                <w:szCs w:val="22"/>
              </w:rPr>
              <w:br/>
            </w:r>
            <w:r w:rsidRPr="006079BD">
              <w:rPr>
                <w:rFonts w:ascii="Arial" w:hAnsi="Arial" w:cs="Arial"/>
                <w:sz w:val="16"/>
                <w:szCs w:val="22"/>
              </w:rPr>
              <w:br/>
            </w:r>
            <w:r w:rsidRPr="006079BD">
              <w:rPr>
                <w:rFonts w:ascii="Arial" w:hAnsi="Arial" w:cs="Arial"/>
                <w:i/>
                <w:iCs/>
                <w:sz w:val="16"/>
                <w:szCs w:val="22"/>
              </w:rPr>
              <w:t>Core functions should include the following:</w:t>
            </w:r>
            <w:r w:rsidRPr="006079BD">
              <w:rPr>
                <w:rFonts w:ascii="Arial" w:hAnsi="Arial" w:cs="Arial"/>
                <w:i/>
                <w:iCs/>
                <w:sz w:val="16"/>
                <w:szCs w:val="22"/>
              </w:rPr>
              <w:br/>
              <w:t>- Strategy</w:t>
            </w:r>
            <w:r w:rsidRPr="006079BD">
              <w:rPr>
                <w:rFonts w:ascii="Arial" w:hAnsi="Arial" w:cs="Arial"/>
                <w:i/>
                <w:iCs/>
                <w:sz w:val="16"/>
                <w:szCs w:val="22"/>
              </w:rPr>
              <w:br/>
              <w:t>- Marketing</w:t>
            </w:r>
            <w:r w:rsidRPr="006079BD">
              <w:rPr>
                <w:rFonts w:ascii="Arial" w:hAnsi="Arial" w:cs="Arial"/>
                <w:i/>
                <w:iCs/>
                <w:sz w:val="16"/>
                <w:szCs w:val="22"/>
              </w:rPr>
              <w:br/>
              <w:t>- Investor targeting</w:t>
            </w:r>
            <w:r w:rsidRPr="006079BD">
              <w:rPr>
                <w:rFonts w:ascii="Arial" w:hAnsi="Arial" w:cs="Arial"/>
                <w:i/>
                <w:iCs/>
                <w:sz w:val="16"/>
                <w:szCs w:val="22"/>
              </w:rPr>
              <w:br/>
              <w:t>- Investment advising (focusing on priority competitive industries)</w:t>
            </w:r>
            <w:r w:rsidRPr="006079BD">
              <w:rPr>
                <w:rFonts w:ascii="Arial" w:hAnsi="Arial" w:cs="Arial"/>
                <w:i/>
                <w:iCs/>
                <w:sz w:val="16"/>
                <w:szCs w:val="22"/>
              </w:rPr>
              <w:br/>
              <w:t xml:space="preserve">- After care (supporting investors following deal execution) </w:t>
            </w:r>
            <w:r w:rsidRPr="006079BD">
              <w:rPr>
                <w:rFonts w:ascii="Arial" w:hAnsi="Arial" w:cs="Arial"/>
                <w:i/>
                <w:iCs/>
                <w:sz w:val="16"/>
                <w:szCs w:val="22"/>
              </w:rPr>
              <w:br/>
              <w:t>- Policy advising / advocacy</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Organizational structure developed and adopted</w:t>
            </w:r>
            <w:r w:rsidRPr="006079BD">
              <w:rPr>
                <w:rFonts w:ascii="Arial" w:hAnsi="Arial" w:cs="Arial"/>
                <w:sz w:val="16"/>
                <w:szCs w:val="22"/>
              </w:rPr>
              <w:br/>
              <w:t>- Performance metrics established for each function</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xml:space="preserve">Investment Attraction function </w:t>
            </w:r>
            <w:r w:rsidRPr="006079BD">
              <w:rPr>
                <w:rFonts w:ascii="Arial" w:hAnsi="Arial" w:cs="Arial"/>
                <w:i/>
                <w:iCs/>
                <w:sz w:val="16"/>
                <w:szCs w:val="12"/>
              </w:rPr>
              <w:t>(pending establishment)</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AOG, MOESD, EG, GITA, PF, MOESCS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w:t>
            </w:r>
          </w:p>
        </w:tc>
      </w:tr>
      <w:tr w:rsidR="006079BD" w:rsidRPr="006079BD" w:rsidTr="006079BD">
        <w:trPr>
          <w:gridAfter w:val="1"/>
          <w:wAfter w:w="480" w:type="dxa"/>
          <w:trHeight w:val="2260"/>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3.2.4. Adapt policies, procedures and regulations to allocate the following authorities to the investment attraction agency, based on a thorough review of how these authorities are allocated and executed at present:</w:t>
            </w:r>
            <w:r w:rsidRPr="006079BD">
              <w:rPr>
                <w:rFonts w:ascii="Arial" w:hAnsi="Arial" w:cs="Arial"/>
                <w:sz w:val="16"/>
                <w:szCs w:val="22"/>
              </w:rPr>
              <w:br/>
              <w:t>- Approve investment applications</w:t>
            </w:r>
            <w:r w:rsidRPr="006079BD">
              <w:rPr>
                <w:rFonts w:ascii="Arial" w:hAnsi="Arial" w:cs="Arial"/>
                <w:sz w:val="16"/>
                <w:szCs w:val="22"/>
              </w:rPr>
              <w:br/>
              <w:t>- Grant investment licenses</w:t>
            </w:r>
            <w:r w:rsidRPr="006079BD">
              <w:rPr>
                <w:rFonts w:ascii="Arial" w:hAnsi="Arial" w:cs="Arial"/>
                <w:sz w:val="16"/>
                <w:szCs w:val="22"/>
              </w:rPr>
              <w:br/>
              <w:t>- Coordinate investment plans</w:t>
            </w:r>
            <w:r w:rsidRPr="006079BD">
              <w:rPr>
                <w:rFonts w:ascii="Arial" w:hAnsi="Arial" w:cs="Arial"/>
                <w:sz w:val="16"/>
                <w:szCs w:val="22"/>
              </w:rPr>
              <w:br/>
              <w:t>- Promote investment</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Comprehensive manual of policies and procedures for the agency developed and adopted</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xml:space="preserve">Investment Attraction function </w:t>
            </w:r>
            <w:r w:rsidRPr="006079BD">
              <w:rPr>
                <w:rFonts w:ascii="Arial" w:hAnsi="Arial" w:cs="Arial"/>
                <w:i/>
                <w:iCs/>
                <w:sz w:val="16"/>
                <w:szCs w:val="12"/>
              </w:rPr>
              <w:t>(pending establishment)</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AOG, MOESD (EG, GITA), PF, MOESCS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w:t>
            </w:r>
          </w:p>
        </w:tc>
      </w:tr>
      <w:tr w:rsidR="006079BD" w:rsidRPr="006079BD" w:rsidTr="006079BD">
        <w:trPr>
          <w:gridAfter w:val="1"/>
          <w:wAfter w:w="480" w:type="dxa"/>
          <w:trHeight w:val="1328"/>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3.2.5. Develop a comprehensive, attractive and easily navigable web platform to promote investment opportunities and help external users navigate agency services</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Platform developed and operational</w:t>
            </w:r>
            <w:r w:rsidRPr="006079BD">
              <w:rPr>
                <w:rFonts w:ascii="Arial" w:hAnsi="Arial" w:cs="Arial"/>
                <w:sz w:val="16"/>
                <w:szCs w:val="22"/>
              </w:rPr>
              <w:br/>
              <w:t>- Trends in web analytics (e.g., number of visits, duration on page, conversions to action, etc.)</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xml:space="preserve">Investment Attraction function </w:t>
            </w:r>
            <w:r w:rsidRPr="006079BD">
              <w:rPr>
                <w:rFonts w:ascii="Arial" w:hAnsi="Arial" w:cs="Arial"/>
                <w:i/>
                <w:iCs/>
                <w:sz w:val="16"/>
                <w:szCs w:val="12"/>
              </w:rPr>
              <w:t>(pending establishment)</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AOG, MOESD (EG, GITA), PF, MOESCS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w:t>
            </w:r>
          </w:p>
        </w:tc>
      </w:tr>
      <w:tr w:rsidR="006079BD" w:rsidRPr="006079BD" w:rsidTr="006079BD">
        <w:trPr>
          <w:gridAfter w:val="1"/>
          <w:wAfter w:w="480" w:type="dxa"/>
          <w:trHeight w:val="1375"/>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3.2.6. Upgrade agency technical infrastructure (e.g., knowledge management platforms, etc.) to support new operating structure</w:t>
            </w:r>
          </w:p>
        </w:tc>
        <w:tc>
          <w:tcPr>
            <w:tcW w:w="2795"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Agency has full enabling technical infrastructure in place</w:t>
            </w:r>
            <w:r w:rsidRPr="006079BD">
              <w:rPr>
                <w:rFonts w:ascii="Arial" w:hAnsi="Arial" w:cs="Arial"/>
                <w:sz w:val="16"/>
                <w:szCs w:val="22"/>
              </w:rPr>
              <w:br/>
              <w:t>- Employees report satisfaction with technical infrastructure</w:t>
            </w:r>
            <w:r w:rsidRPr="006079BD">
              <w:rPr>
                <w:rFonts w:ascii="Arial" w:hAnsi="Arial" w:cs="Arial"/>
                <w:sz w:val="16"/>
                <w:szCs w:val="22"/>
              </w:rPr>
              <w:br/>
              <w:t>- Reduction in time and steps required to complete basic operational functions</w:t>
            </w:r>
          </w:p>
        </w:tc>
        <w:tc>
          <w:tcPr>
            <w:tcW w:w="1350"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xml:space="preserve">Investment Attraction function </w:t>
            </w:r>
            <w:r w:rsidRPr="006079BD">
              <w:rPr>
                <w:rFonts w:ascii="Arial" w:hAnsi="Arial" w:cs="Arial"/>
                <w:i/>
                <w:iCs/>
                <w:sz w:val="16"/>
                <w:szCs w:val="12"/>
              </w:rPr>
              <w:t>(pending establishment)</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AOG, MOESD (EG, GITA), PF, MOESCS</w:t>
            </w:r>
          </w:p>
        </w:tc>
        <w:tc>
          <w:tcPr>
            <w:tcW w:w="1485" w:type="dxa"/>
            <w:tcBorders>
              <w:top w:val="nil"/>
              <w:left w:val="nil"/>
              <w:bottom w:val="single" w:sz="8"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2019-2020</w:t>
            </w:r>
          </w:p>
        </w:tc>
      </w:tr>
      <w:tr w:rsidR="006079BD" w:rsidRPr="006079BD" w:rsidTr="006079BD">
        <w:trPr>
          <w:gridAfter w:val="1"/>
          <w:wAfter w:w="480" w:type="dxa"/>
          <w:trHeight w:val="840"/>
        </w:trPr>
        <w:tc>
          <w:tcPr>
            <w:tcW w:w="714" w:type="dxa"/>
            <w:vMerge w:val="restart"/>
            <w:tcBorders>
              <w:top w:val="nil"/>
              <w:left w:val="single" w:sz="8" w:space="0" w:color="auto"/>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3.3.</w:t>
            </w:r>
          </w:p>
        </w:tc>
        <w:tc>
          <w:tcPr>
            <w:tcW w:w="1870" w:type="dxa"/>
            <w:vMerge w:val="restart"/>
            <w:tcBorders>
              <w:top w:val="nil"/>
              <w:left w:val="single" w:sz="4" w:space="0" w:color="auto"/>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Strengthen linkages with domestic businesses and government</w:t>
            </w: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3.3.1. Identify Georgia’s highest potential and growth oriented companies within and supporting high value manufacturing, food and beverage processing and industrial design</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List of companies defined</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w:t>
            </w:r>
          </w:p>
        </w:tc>
        <w:tc>
          <w:tcPr>
            <w:tcW w:w="1660" w:type="dxa"/>
            <w:gridSpan w:val="2"/>
            <w:tcBorders>
              <w:top w:val="single" w:sz="8"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Business Associations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2019-2020</w:t>
            </w:r>
          </w:p>
        </w:tc>
      </w:tr>
      <w:tr w:rsidR="006079BD" w:rsidRPr="006079BD" w:rsidTr="006079BD">
        <w:trPr>
          <w:gridAfter w:val="1"/>
          <w:wAfter w:w="480" w:type="dxa"/>
          <w:trHeight w:val="2485"/>
        </w:trPr>
        <w:tc>
          <w:tcPr>
            <w:tcW w:w="13050" w:type="dxa"/>
            <w:vMerge/>
            <w:tcBorders>
              <w:top w:val="nil"/>
              <w:left w:val="single" w:sz="8"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xml:space="preserve">3.3.2. Develop platforms to manage relationships with and gather regular feedback on business and investment environment from leaders of identified businesses </w:t>
            </w:r>
            <w:r w:rsidRPr="006079BD">
              <w:rPr>
                <w:rFonts w:ascii="Arial" w:hAnsi="Arial" w:cs="Arial"/>
                <w:sz w:val="16"/>
                <w:szCs w:val="22"/>
              </w:rPr>
              <w:br/>
            </w:r>
            <w:r w:rsidRPr="006079BD">
              <w:rPr>
                <w:rFonts w:ascii="Arial" w:hAnsi="Arial" w:cs="Arial"/>
                <w:sz w:val="16"/>
                <w:szCs w:val="22"/>
              </w:rPr>
              <w:br/>
            </w:r>
            <w:r w:rsidRPr="006079BD">
              <w:rPr>
                <w:rFonts w:ascii="Arial" w:hAnsi="Arial" w:cs="Arial"/>
                <w:i/>
                <w:iCs/>
                <w:sz w:val="16"/>
                <w:szCs w:val="22"/>
              </w:rPr>
              <w:t>Potential platforms may include:</w:t>
            </w:r>
            <w:r w:rsidRPr="006079BD">
              <w:rPr>
                <w:rFonts w:ascii="Arial" w:hAnsi="Arial" w:cs="Arial"/>
                <w:i/>
                <w:iCs/>
                <w:sz w:val="16"/>
                <w:szCs w:val="22"/>
              </w:rPr>
              <w:br/>
              <w:t>- Inviting them to participate in an advisory council</w:t>
            </w:r>
            <w:r w:rsidRPr="006079BD">
              <w:rPr>
                <w:rFonts w:ascii="Arial" w:hAnsi="Arial" w:cs="Arial"/>
                <w:i/>
                <w:iCs/>
                <w:sz w:val="16"/>
                <w:szCs w:val="22"/>
              </w:rPr>
              <w:br/>
              <w:t>- Regular networking events</w:t>
            </w:r>
            <w:r w:rsidRPr="006079BD">
              <w:rPr>
                <w:rFonts w:ascii="Arial" w:hAnsi="Arial" w:cs="Arial"/>
                <w:i/>
                <w:iCs/>
                <w:sz w:val="16"/>
                <w:szCs w:val="22"/>
              </w:rPr>
              <w:br/>
              <w:t>- Assigning individual IAF staff to manage specific relationships a regular cadence for them to report out informal feedback</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IAF receives regular, quality feedback and input from target businesses that effectively influences activities</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xml:space="preserve">Investment Attraction function </w:t>
            </w:r>
            <w:r w:rsidRPr="006079BD">
              <w:rPr>
                <w:rFonts w:ascii="Arial" w:hAnsi="Arial" w:cs="Arial"/>
                <w:i/>
                <w:iCs/>
                <w:sz w:val="16"/>
                <w:szCs w:val="12"/>
              </w:rPr>
              <w:t>(pending establishment)</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AOG, MOESD (EG, GITA), PF, MOESCS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2019-2022</w:t>
            </w:r>
          </w:p>
        </w:tc>
      </w:tr>
      <w:tr w:rsidR="006079BD" w:rsidRPr="006079BD" w:rsidTr="006079BD">
        <w:trPr>
          <w:gridAfter w:val="1"/>
          <w:wAfter w:w="480" w:type="dxa"/>
          <w:trHeight w:val="1420"/>
        </w:trPr>
        <w:tc>
          <w:tcPr>
            <w:tcW w:w="13050" w:type="dxa"/>
            <w:vMerge/>
            <w:tcBorders>
              <w:top w:val="nil"/>
              <w:left w:val="single" w:sz="8"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3.3.3. Support high potential businesses that are potential vehicles for investment attraction in accessing support and resources for initiatives that can enhance their attractiveness to investors</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Number of businesses receiving support</w:t>
            </w:r>
            <w:r w:rsidRPr="006079BD">
              <w:rPr>
                <w:rFonts w:ascii="Arial" w:hAnsi="Arial" w:cs="Arial"/>
                <w:sz w:val="16"/>
                <w:szCs w:val="22"/>
              </w:rPr>
              <w:br/>
              <w:t>- Number of businesses that have successfully upgraded investment attractiveness</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xml:space="preserve">Investment Attraction function </w:t>
            </w:r>
            <w:r w:rsidRPr="006079BD">
              <w:rPr>
                <w:rFonts w:ascii="Arial" w:hAnsi="Arial" w:cs="Arial"/>
                <w:i/>
                <w:iCs/>
                <w:sz w:val="16"/>
                <w:szCs w:val="12"/>
              </w:rPr>
              <w:t>(pending establishment)</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AOG, MOESD (EG, GITA), PF, MOESCS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2020-2022</w:t>
            </w:r>
          </w:p>
        </w:tc>
      </w:tr>
      <w:tr w:rsidR="006079BD" w:rsidRPr="006079BD" w:rsidTr="006079BD">
        <w:trPr>
          <w:gridAfter w:val="1"/>
          <w:wAfter w:w="480" w:type="dxa"/>
          <w:trHeight w:val="1420"/>
        </w:trPr>
        <w:tc>
          <w:tcPr>
            <w:tcW w:w="13050" w:type="dxa"/>
            <w:vMerge/>
            <w:tcBorders>
              <w:top w:val="nil"/>
              <w:left w:val="single" w:sz="8"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3.3.4. Identify policy and / or other asset gaps in the domestic market that inhibit investment into competitive industries and advocate across government for reforms and / or investment to alleviate these barriers</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Report on policy and market gaps and challenges developed and adopted</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xml:space="preserve">Investment Attraction function </w:t>
            </w:r>
            <w:r w:rsidRPr="006079BD">
              <w:rPr>
                <w:rFonts w:ascii="Arial" w:hAnsi="Arial" w:cs="Arial"/>
                <w:i/>
                <w:iCs/>
                <w:sz w:val="16"/>
                <w:szCs w:val="12"/>
              </w:rPr>
              <w:t>(pending establishment)</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AOG, MOESD (EG, GITA), PF, MOESCS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w:t>
            </w:r>
          </w:p>
        </w:tc>
      </w:tr>
      <w:tr w:rsidR="006079BD" w:rsidRPr="006079BD" w:rsidTr="006079BD">
        <w:trPr>
          <w:gridAfter w:val="1"/>
          <w:wAfter w:w="480" w:type="dxa"/>
          <w:trHeight w:val="1035"/>
        </w:trPr>
        <w:tc>
          <w:tcPr>
            <w:tcW w:w="13050" w:type="dxa"/>
            <w:vMerge/>
            <w:tcBorders>
              <w:top w:val="nil"/>
              <w:left w:val="single" w:sz="8"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4" w:space="0" w:color="auto"/>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nil"/>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3.3.5. Establish and oversee the implementation of a policy advocacy and reform strategy and action plan to address gaps and challenges identified</w:t>
            </w:r>
          </w:p>
        </w:tc>
        <w:tc>
          <w:tcPr>
            <w:tcW w:w="2795" w:type="dxa"/>
            <w:tcBorders>
              <w:top w:val="nil"/>
              <w:left w:val="nil"/>
              <w:bottom w:val="nil"/>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Strategy and action plan developed and adopted</w:t>
            </w:r>
            <w:r w:rsidRPr="006079BD">
              <w:rPr>
                <w:rFonts w:ascii="Arial" w:hAnsi="Arial" w:cs="Arial"/>
                <w:sz w:val="16"/>
                <w:szCs w:val="22"/>
              </w:rPr>
              <w:br/>
              <w:t>- Number of priority policy reform items the IAF is actively pursuing</w:t>
            </w:r>
          </w:p>
        </w:tc>
        <w:tc>
          <w:tcPr>
            <w:tcW w:w="1350" w:type="dxa"/>
            <w:tcBorders>
              <w:top w:val="nil"/>
              <w:left w:val="nil"/>
              <w:bottom w:val="nil"/>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xml:space="preserve">Investment Attraction function </w:t>
            </w:r>
            <w:r w:rsidRPr="006079BD">
              <w:rPr>
                <w:rFonts w:ascii="Arial" w:hAnsi="Arial" w:cs="Arial"/>
                <w:i/>
                <w:iCs/>
                <w:sz w:val="16"/>
                <w:szCs w:val="12"/>
              </w:rPr>
              <w:t>(pending establishment)</w:t>
            </w:r>
          </w:p>
        </w:tc>
        <w:tc>
          <w:tcPr>
            <w:tcW w:w="1660" w:type="dxa"/>
            <w:gridSpan w:val="2"/>
            <w:tcBorders>
              <w:top w:val="nil"/>
              <w:left w:val="nil"/>
              <w:bottom w:val="nil"/>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AOG, MOESD (EG, GITA), PF, MOESCS</w:t>
            </w:r>
          </w:p>
        </w:tc>
        <w:tc>
          <w:tcPr>
            <w:tcW w:w="1485" w:type="dxa"/>
            <w:tcBorders>
              <w:top w:val="nil"/>
              <w:left w:val="nil"/>
              <w:bottom w:val="nil"/>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2021-2025</w:t>
            </w:r>
          </w:p>
        </w:tc>
      </w:tr>
      <w:tr w:rsidR="006079BD" w:rsidRPr="006079BD" w:rsidTr="006079BD">
        <w:trPr>
          <w:gridAfter w:val="1"/>
          <w:wAfter w:w="480" w:type="dxa"/>
          <w:trHeight w:val="805"/>
        </w:trPr>
        <w:tc>
          <w:tcPr>
            <w:tcW w:w="714" w:type="dxa"/>
            <w:vMerge w:val="restart"/>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3.4.</w:t>
            </w:r>
          </w:p>
        </w:tc>
        <w:tc>
          <w:tcPr>
            <w:tcW w:w="1870" w:type="dxa"/>
            <w:vMerge w:val="restart"/>
            <w:tcBorders>
              <w:top w:val="single" w:sz="8" w:space="0" w:color="auto"/>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Build overseas presence and representation in target markets</w:t>
            </w:r>
          </w:p>
        </w:tc>
        <w:tc>
          <w:tcPr>
            <w:tcW w:w="3176" w:type="dxa"/>
            <w:tcBorders>
              <w:top w:val="single" w:sz="8"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3.4.1. Based on markets prioritized in the agency strategy, define a set of markets to focus on bolstering investment attraction collaboration and capabilities</w:t>
            </w:r>
          </w:p>
        </w:tc>
        <w:tc>
          <w:tcPr>
            <w:tcW w:w="2795" w:type="dxa"/>
            <w:tcBorders>
              <w:top w:val="single" w:sz="8"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The set is defined and communicated within the pool</w:t>
            </w:r>
          </w:p>
        </w:tc>
        <w:tc>
          <w:tcPr>
            <w:tcW w:w="1350" w:type="dxa"/>
            <w:tcBorders>
              <w:top w:val="single" w:sz="8"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xml:space="preserve">Investment Attraction function </w:t>
            </w:r>
            <w:r w:rsidRPr="006079BD">
              <w:rPr>
                <w:rFonts w:ascii="Arial" w:hAnsi="Arial" w:cs="Arial"/>
                <w:i/>
                <w:iCs/>
                <w:sz w:val="16"/>
                <w:szCs w:val="12"/>
              </w:rPr>
              <w:t>(pending establishment)</w:t>
            </w:r>
          </w:p>
        </w:tc>
        <w:tc>
          <w:tcPr>
            <w:tcW w:w="1660" w:type="dxa"/>
            <w:gridSpan w:val="2"/>
            <w:tcBorders>
              <w:top w:val="single" w:sz="8"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AOG, MOESD (EG, GITA), PF</w:t>
            </w:r>
          </w:p>
        </w:tc>
        <w:tc>
          <w:tcPr>
            <w:tcW w:w="1485" w:type="dxa"/>
            <w:tcBorders>
              <w:top w:val="single" w:sz="8" w:space="0" w:color="auto"/>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2745"/>
        </w:trPr>
        <w:tc>
          <w:tcPr>
            <w:tcW w:w="13050" w:type="dxa"/>
            <w:vMerge/>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single" w:sz="8" w:space="0" w:color="auto"/>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3.4.2. Develop a framework for collaboration with foreign attaches based in overseas markets to support investment attraction</w:t>
            </w:r>
            <w:r w:rsidRPr="006079BD">
              <w:rPr>
                <w:rFonts w:ascii="Arial" w:hAnsi="Arial" w:cs="Arial"/>
                <w:i/>
                <w:iCs/>
                <w:sz w:val="16"/>
                <w:szCs w:val="22"/>
              </w:rPr>
              <w:t xml:space="preserve"> </w:t>
            </w:r>
            <w:r w:rsidRPr="006079BD">
              <w:rPr>
                <w:rFonts w:ascii="Arial" w:hAnsi="Arial" w:cs="Arial"/>
                <w:i/>
                <w:iCs/>
                <w:sz w:val="16"/>
                <w:szCs w:val="22"/>
              </w:rPr>
              <w:br/>
            </w:r>
            <w:r w:rsidRPr="006079BD">
              <w:rPr>
                <w:rFonts w:ascii="Arial" w:hAnsi="Arial" w:cs="Arial"/>
                <w:i/>
                <w:iCs/>
                <w:sz w:val="16"/>
                <w:szCs w:val="22"/>
              </w:rPr>
              <w:br/>
              <w:t>Framework should incorporate the following principles:</w:t>
            </w:r>
            <w:r w:rsidRPr="006079BD">
              <w:rPr>
                <w:rFonts w:ascii="Arial" w:hAnsi="Arial" w:cs="Arial"/>
                <w:i/>
                <w:iCs/>
                <w:sz w:val="16"/>
                <w:szCs w:val="22"/>
              </w:rPr>
              <w:br/>
              <w:t>-  Regular exchange on investment pipeline development and priorities</w:t>
            </w:r>
            <w:r w:rsidRPr="006079BD">
              <w:rPr>
                <w:rFonts w:ascii="Arial" w:hAnsi="Arial" w:cs="Arial"/>
                <w:i/>
                <w:iCs/>
                <w:sz w:val="16"/>
                <w:szCs w:val="22"/>
              </w:rPr>
              <w:br/>
              <w:t>- Collaboration in relationship cultivation and development</w:t>
            </w:r>
            <w:r w:rsidRPr="006079BD">
              <w:rPr>
                <w:rFonts w:ascii="Arial" w:hAnsi="Arial" w:cs="Arial"/>
                <w:i/>
                <w:iCs/>
                <w:sz w:val="16"/>
                <w:szCs w:val="22"/>
              </w:rPr>
              <w:br/>
              <w:t>- Coordination on decision-making that affects investment attraction and / or the viability of deals</w:t>
            </w:r>
            <w:r w:rsidRPr="006079BD">
              <w:rPr>
                <w:rFonts w:ascii="Arial" w:hAnsi="Arial" w:cs="Arial"/>
                <w:i/>
                <w:iCs/>
                <w:sz w:val="16"/>
                <w:szCs w:val="22"/>
              </w:rPr>
              <w:br/>
              <w:t>- Clearly defined roles during deal development and transaction negotiations</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Collaboration framework developed and adopted</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xml:space="preserve">Investment Attraction function </w:t>
            </w:r>
            <w:r w:rsidRPr="006079BD">
              <w:rPr>
                <w:rFonts w:ascii="Arial" w:hAnsi="Arial" w:cs="Arial"/>
                <w:i/>
                <w:iCs/>
                <w:sz w:val="16"/>
                <w:szCs w:val="12"/>
              </w:rPr>
              <w:t>(pending establishment)</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MOFA, MOESD (EG, GITA), PF</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w:t>
            </w:r>
          </w:p>
        </w:tc>
      </w:tr>
      <w:tr w:rsidR="006079BD" w:rsidRPr="006079BD" w:rsidTr="006079BD">
        <w:trPr>
          <w:gridAfter w:val="1"/>
          <w:wAfter w:w="480" w:type="dxa"/>
          <w:trHeight w:val="1315"/>
        </w:trPr>
        <w:tc>
          <w:tcPr>
            <w:tcW w:w="13050" w:type="dxa"/>
            <w:vMerge/>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single" w:sz="8" w:space="0" w:color="auto"/>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3.4.3. Develop and undertake a training program to build attaché knowledge of investment promotion, the agency strategy and how to work with agency leaders to further Georgia’s investment promotion agenda</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xml:space="preserve">- Share of foreign attaches who have successfully completed trainings in target markets, out of total </w:t>
            </w:r>
            <w:r w:rsidRPr="006079BD">
              <w:rPr>
                <w:rFonts w:ascii="Arial" w:hAnsi="Arial" w:cs="Arial"/>
                <w:sz w:val="16"/>
                <w:szCs w:val="22"/>
              </w:rPr>
              <w:br/>
              <w:t>- Number of investment attraction opportunities sourced through foreign attaches</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xml:space="preserve">Investment Attraction function </w:t>
            </w:r>
            <w:r w:rsidRPr="006079BD">
              <w:rPr>
                <w:rFonts w:ascii="Arial" w:hAnsi="Arial" w:cs="Arial"/>
                <w:i/>
                <w:iCs/>
                <w:sz w:val="16"/>
                <w:szCs w:val="12"/>
              </w:rPr>
              <w:t>(pending establishment)</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MOFA, MOESD (EG, GITA), PF</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2020-2023</w:t>
            </w:r>
          </w:p>
        </w:tc>
      </w:tr>
      <w:tr w:rsidR="006079BD" w:rsidRPr="006079BD" w:rsidTr="006079BD">
        <w:trPr>
          <w:gridAfter w:val="1"/>
          <w:wAfter w:w="480" w:type="dxa"/>
          <w:trHeight w:val="1315"/>
        </w:trPr>
        <w:tc>
          <w:tcPr>
            <w:tcW w:w="13050" w:type="dxa"/>
            <w:vMerge/>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single" w:sz="8" w:space="0" w:color="auto"/>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3.4.4. Identify and engage Georgian diaspora members holding leadership positions in business communities and target companies in priority markets, using direct personal outreach, networking and other events in their home markets</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List of target diaspora identified</w:t>
            </w:r>
            <w:r w:rsidRPr="006079BD">
              <w:rPr>
                <w:rFonts w:ascii="Arial" w:hAnsi="Arial" w:cs="Arial"/>
                <w:sz w:val="16"/>
                <w:szCs w:val="22"/>
              </w:rPr>
              <w:br/>
              <w:t>- Number of "touch points" (e.g., communications, attendance at events, etc.) with each target individual annually</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xml:space="preserve">Investment Attraction function </w:t>
            </w:r>
            <w:r w:rsidRPr="006079BD">
              <w:rPr>
                <w:rFonts w:ascii="Arial" w:hAnsi="Arial" w:cs="Arial"/>
                <w:i/>
                <w:iCs/>
                <w:sz w:val="16"/>
                <w:szCs w:val="12"/>
              </w:rPr>
              <w:t>(pending establishment)</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MOFA, MOESD (EG, GITA), PF</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2020-2023</w:t>
            </w:r>
          </w:p>
        </w:tc>
      </w:tr>
      <w:tr w:rsidR="006079BD" w:rsidRPr="006079BD" w:rsidTr="006079BD">
        <w:trPr>
          <w:gridAfter w:val="1"/>
          <w:wAfter w:w="480" w:type="dxa"/>
          <w:trHeight w:val="1315"/>
        </w:trPr>
        <w:tc>
          <w:tcPr>
            <w:tcW w:w="13050" w:type="dxa"/>
            <w:vMerge/>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single" w:sz="8" w:space="0" w:color="auto"/>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3.4.5 Evaluate the business case for setting up a limited number of permanent investment agency offices in priority markets</w:t>
            </w:r>
          </w:p>
        </w:tc>
        <w:tc>
          <w:tcPr>
            <w:tcW w:w="2795"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Business case and recommendations developed and adopted</w:t>
            </w:r>
          </w:p>
        </w:tc>
        <w:tc>
          <w:tcPr>
            <w:tcW w:w="1350"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xml:space="preserve">Investment Attraction function </w:t>
            </w:r>
            <w:r w:rsidRPr="006079BD">
              <w:rPr>
                <w:rFonts w:ascii="Arial" w:hAnsi="Arial" w:cs="Arial"/>
                <w:i/>
                <w:iCs/>
                <w:sz w:val="16"/>
                <w:szCs w:val="12"/>
              </w:rPr>
              <w:t>(pending establishment)</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MOFA, MOESD (EG, GITA), PF</w:t>
            </w:r>
          </w:p>
        </w:tc>
        <w:tc>
          <w:tcPr>
            <w:tcW w:w="1485" w:type="dxa"/>
            <w:tcBorders>
              <w:top w:val="nil"/>
              <w:left w:val="nil"/>
              <w:bottom w:val="single" w:sz="8"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2020-2021</w:t>
            </w:r>
          </w:p>
        </w:tc>
      </w:tr>
      <w:tr w:rsidR="006079BD" w:rsidRPr="006079BD" w:rsidTr="006079BD">
        <w:trPr>
          <w:gridAfter w:val="1"/>
          <w:wAfter w:w="480" w:type="dxa"/>
          <w:trHeight w:val="1315"/>
        </w:trPr>
        <w:tc>
          <w:tcPr>
            <w:tcW w:w="714" w:type="dxa"/>
            <w:vMerge w:val="restart"/>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3.5.</w:t>
            </w:r>
          </w:p>
        </w:tc>
        <w:tc>
          <w:tcPr>
            <w:tcW w:w="1870" w:type="dxa"/>
            <w:vMerge w:val="restart"/>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Embed tools and mechanisms to ensure long-term performance management</w:t>
            </w: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3.5.1. Define a clear, limited set of agency-level goals for performance and make these targets available publicly</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Targets defined and adopted</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xml:space="preserve">Investment Attraction function </w:t>
            </w:r>
            <w:r w:rsidRPr="006079BD">
              <w:rPr>
                <w:rFonts w:ascii="Arial" w:hAnsi="Arial" w:cs="Arial"/>
                <w:i/>
                <w:iCs/>
                <w:sz w:val="16"/>
                <w:szCs w:val="12"/>
              </w:rPr>
              <w:t>(pending establishment)</w:t>
            </w:r>
          </w:p>
        </w:tc>
        <w:tc>
          <w:tcPr>
            <w:tcW w:w="1660" w:type="dxa"/>
            <w:gridSpan w:val="2"/>
            <w:tcBorders>
              <w:top w:val="single" w:sz="8"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 AOG</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2019-2020</w:t>
            </w:r>
          </w:p>
        </w:tc>
      </w:tr>
      <w:tr w:rsidR="006079BD" w:rsidRPr="006079BD" w:rsidTr="006079BD">
        <w:trPr>
          <w:gridAfter w:val="1"/>
          <w:wAfter w:w="480" w:type="dxa"/>
          <w:trHeight w:val="1315"/>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3.5.2. Establish a regular (annual / semi-annual) performance review cycle, providing transparent analysis and reporting of performance against targets</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Performance cycle procedures and standards established and in place</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xml:space="preserve">Investment Attraction function </w:t>
            </w:r>
            <w:r w:rsidRPr="006079BD">
              <w:rPr>
                <w:rFonts w:ascii="Arial" w:hAnsi="Arial" w:cs="Arial"/>
                <w:i/>
                <w:iCs/>
                <w:sz w:val="16"/>
                <w:szCs w:val="12"/>
              </w:rPr>
              <w:t>(pending establishment)</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 AOG</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w:t>
            </w:r>
          </w:p>
        </w:tc>
      </w:tr>
      <w:tr w:rsidR="006079BD" w:rsidRPr="006079BD" w:rsidTr="006079BD">
        <w:trPr>
          <w:gridAfter w:val="1"/>
          <w:wAfter w:w="480" w:type="dxa"/>
          <w:trHeight w:val="1315"/>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3.5.3. Issue an annual performance report, made available to the public through the agency’s website</w:t>
            </w:r>
          </w:p>
        </w:tc>
        <w:tc>
          <w:tcPr>
            <w:tcW w:w="2795"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Process for annual reporting established</w:t>
            </w:r>
            <w:r w:rsidRPr="006079BD">
              <w:rPr>
                <w:rFonts w:ascii="Arial" w:hAnsi="Arial" w:cs="Arial"/>
                <w:sz w:val="16"/>
                <w:szCs w:val="22"/>
              </w:rPr>
              <w:br/>
              <w:t>- First performance report issued</w:t>
            </w:r>
          </w:p>
        </w:tc>
        <w:tc>
          <w:tcPr>
            <w:tcW w:w="1350"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xml:space="preserve">Investment Attraction function </w:t>
            </w:r>
            <w:r w:rsidRPr="006079BD">
              <w:rPr>
                <w:rFonts w:ascii="Arial" w:hAnsi="Arial" w:cs="Arial"/>
                <w:i/>
                <w:iCs/>
                <w:sz w:val="16"/>
                <w:szCs w:val="12"/>
              </w:rPr>
              <w:t>(pending establishment)</w:t>
            </w:r>
          </w:p>
        </w:tc>
        <w:tc>
          <w:tcPr>
            <w:tcW w:w="1660" w:type="dxa"/>
            <w:gridSpan w:val="2"/>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 AOG</w:t>
            </w:r>
          </w:p>
        </w:tc>
        <w:tc>
          <w:tcPr>
            <w:tcW w:w="1485" w:type="dxa"/>
            <w:tcBorders>
              <w:top w:val="nil"/>
              <w:left w:val="nil"/>
              <w:bottom w:val="single" w:sz="8"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w:t>
            </w:r>
          </w:p>
        </w:tc>
      </w:tr>
      <w:tr w:rsidR="006079BD" w:rsidRPr="006079BD" w:rsidTr="006079BD">
        <w:trPr>
          <w:gridAfter w:val="1"/>
          <w:wAfter w:w="480" w:type="dxa"/>
          <w:trHeight w:val="600"/>
        </w:trPr>
        <w:tc>
          <w:tcPr>
            <w:tcW w:w="13050" w:type="dxa"/>
            <w:gridSpan w:val="8"/>
            <w:tcBorders>
              <w:top w:val="single" w:sz="8" w:space="0" w:color="auto"/>
              <w:left w:val="single" w:sz="8" w:space="0" w:color="auto"/>
              <w:bottom w:val="nil"/>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8"/>
                <w:szCs w:val="32"/>
              </w:rPr>
            </w:pPr>
            <w:bookmarkStart w:id="67" w:name="RANGE!B158"/>
            <w:r w:rsidRPr="006079BD">
              <w:rPr>
                <w:rFonts w:ascii="Arial" w:hAnsi="Arial" w:cs="Arial"/>
                <w:szCs w:val="32"/>
              </w:rPr>
              <w:t>Rapidly upskill workforce segments</w:t>
            </w:r>
            <w:bookmarkEnd w:id="67"/>
          </w:p>
        </w:tc>
      </w:tr>
      <w:tr w:rsidR="006079BD" w:rsidRPr="006079BD" w:rsidTr="006079BD">
        <w:trPr>
          <w:gridAfter w:val="1"/>
          <w:wAfter w:w="480" w:type="dxa"/>
          <w:trHeight w:val="1776"/>
        </w:trPr>
        <w:tc>
          <w:tcPr>
            <w:tcW w:w="714" w:type="dxa"/>
            <w:tcBorders>
              <w:top w:val="single" w:sz="8" w:space="0" w:color="auto"/>
              <w:left w:val="single" w:sz="8" w:space="0" w:color="auto"/>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3.6.</w:t>
            </w:r>
          </w:p>
        </w:tc>
        <w:tc>
          <w:tcPr>
            <w:tcW w:w="1870" w:type="dxa"/>
            <w:tcBorders>
              <w:top w:val="single" w:sz="8" w:space="0" w:color="auto"/>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Launch a targeted program to create a pipeline of qualified workers in manufacturing, food and beverage production and agronomy</w:t>
            </w:r>
          </w:p>
        </w:tc>
        <w:tc>
          <w:tcPr>
            <w:tcW w:w="3176" w:type="dxa"/>
            <w:tcBorders>
              <w:top w:val="single" w:sz="8" w:space="0" w:color="auto"/>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3.6.1. Develop a targeted outreach program to attract unemployed underemployed or other potentially qualified workers to participate in TVET programs in manufacturing, agronomy, and food and beverage production (programs established under action 2.1.1)</w:t>
            </w:r>
          </w:p>
        </w:tc>
        <w:tc>
          <w:tcPr>
            <w:tcW w:w="2795" w:type="dxa"/>
            <w:tcBorders>
              <w:top w:val="single" w:sz="8" w:space="0" w:color="auto"/>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Number of students enrolled as a share of total available seats</w:t>
            </w:r>
          </w:p>
        </w:tc>
        <w:tc>
          <w:tcPr>
            <w:tcW w:w="1350" w:type="dxa"/>
            <w:tcBorders>
              <w:top w:val="single" w:sz="8" w:space="0" w:color="auto"/>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(EG)</w:t>
            </w:r>
          </w:p>
        </w:tc>
        <w:tc>
          <w:tcPr>
            <w:tcW w:w="1660" w:type="dxa"/>
            <w:gridSpan w:val="2"/>
            <w:tcBorders>
              <w:top w:val="single" w:sz="8" w:space="0" w:color="auto"/>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MOESCS, MCA, GITA, Business Associations</w:t>
            </w:r>
          </w:p>
        </w:tc>
        <w:tc>
          <w:tcPr>
            <w:tcW w:w="1485" w:type="dxa"/>
            <w:tcBorders>
              <w:top w:val="single" w:sz="8" w:space="0" w:color="auto"/>
              <w:left w:val="nil"/>
              <w:bottom w:val="single" w:sz="8"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2020</w:t>
            </w:r>
          </w:p>
        </w:tc>
      </w:tr>
      <w:tr w:rsidR="006079BD" w:rsidRPr="006079BD" w:rsidTr="006079BD">
        <w:trPr>
          <w:gridAfter w:val="1"/>
          <w:wAfter w:w="480" w:type="dxa"/>
          <w:trHeight w:val="1195"/>
        </w:trPr>
        <w:tc>
          <w:tcPr>
            <w:tcW w:w="714" w:type="dxa"/>
            <w:vMerge w:val="restart"/>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3.7.</w:t>
            </w:r>
          </w:p>
        </w:tc>
        <w:tc>
          <w:tcPr>
            <w:tcW w:w="1870" w:type="dxa"/>
            <w:vMerge w:val="restart"/>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Develop platforms to source Georgians to fill executive and other leadership roles in target industries</w:t>
            </w: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3.7.1. Develop a talent sourcing platform, targeting the Georgian diaspora, that is accessible to domestic and foreign companies planning to invest in Georgia and looking to fill management and executive roles</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Platform developed and operational</w:t>
            </w:r>
            <w:r w:rsidRPr="006079BD">
              <w:rPr>
                <w:rFonts w:ascii="Arial" w:hAnsi="Arial" w:cs="Arial"/>
                <w:sz w:val="16"/>
                <w:szCs w:val="22"/>
              </w:rPr>
              <w:br/>
              <w:t>- Number of Georgian diaspora participating on the platform</w:t>
            </w:r>
            <w:r w:rsidRPr="006079BD">
              <w:rPr>
                <w:rFonts w:ascii="Arial" w:hAnsi="Arial" w:cs="Arial"/>
                <w:sz w:val="16"/>
                <w:szCs w:val="22"/>
              </w:rPr>
              <w:br/>
              <w:t>- Number of businesses using the platform to source candidates</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(EG)</w:t>
            </w:r>
          </w:p>
        </w:tc>
        <w:tc>
          <w:tcPr>
            <w:tcW w:w="1660" w:type="dxa"/>
            <w:gridSpan w:val="2"/>
            <w:tcBorders>
              <w:top w:val="nil"/>
              <w:left w:val="nil"/>
              <w:bottom w:val="single" w:sz="4" w:space="0" w:color="auto"/>
              <w:right w:val="single" w:sz="4" w:space="0" w:color="auto"/>
            </w:tcBorders>
            <w:shd w:val="clear" w:color="auto" w:fill="FFFFFF"/>
            <w:noWrap/>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MFA, MOESD, GITA</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2021-2022</w:t>
            </w:r>
          </w:p>
        </w:tc>
      </w:tr>
      <w:tr w:rsidR="006079BD" w:rsidRPr="006079BD" w:rsidTr="006079BD">
        <w:trPr>
          <w:gridAfter w:val="1"/>
          <w:wAfter w:w="480" w:type="dxa"/>
          <w:trHeight w:val="1195"/>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3.7.2 Survey local businesses in high value manufacturing and industrial design to understand what format a state-sponsored internship program would encourage them to participate</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Report summarizing survey findings and recommendations developed and adopted</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(EG)</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MOESCS, MCA, GITA, Business Associations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2021-2022</w:t>
            </w:r>
          </w:p>
        </w:tc>
      </w:tr>
      <w:tr w:rsidR="006079BD" w:rsidRPr="006079BD" w:rsidTr="006079BD">
        <w:trPr>
          <w:gridAfter w:val="1"/>
          <w:wAfter w:w="480" w:type="dxa"/>
          <w:trHeight w:val="1375"/>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3.7.3.  Establish internship and / or other on-the-job learning opportunities in high value manufacturing and industrial design in cooperation with businesses and employers, incorporating survey findings to optimize participation</w:t>
            </w:r>
          </w:p>
        </w:tc>
        <w:tc>
          <w:tcPr>
            <w:tcW w:w="2795"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Number of individuals enrolled in internships</w:t>
            </w:r>
            <w:r w:rsidRPr="006079BD">
              <w:rPr>
                <w:rFonts w:ascii="Arial" w:hAnsi="Arial" w:cs="Arial"/>
                <w:sz w:val="16"/>
                <w:szCs w:val="22"/>
              </w:rPr>
              <w:br/>
              <w:t>- Number of businesses participating in program and receiving interns</w:t>
            </w:r>
          </w:p>
        </w:tc>
        <w:tc>
          <w:tcPr>
            <w:tcW w:w="1350"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(EG)</w:t>
            </w:r>
          </w:p>
        </w:tc>
        <w:tc>
          <w:tcPr>
            <w:tcW w:w="1660" w:type="dxa"/>
            <w:gridSpan w:val="2"/>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MOESCS, MCA, GITA, Business Associations</w:t>
            </w:r>
          </w:p>
        </w:tc>
        <w:tc>
          <w:tcPr>
            <w:tcW w:w="1485" w:type="dxa"/>
            <w:tcBorders>
              <w:top w:val="nil"/>
              <w:left w:val="nil"/>
              <w:bottom w:val="single" w:sz="8"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2020-2023</w:t>
            </w:r>
          </w:p>
        </w:tc>
      </w:tr>
      <w:tr w:rsidR="006079BD" w:rsidRPr="006079BD" w:rsidTr="006079BD">
        <w:trPr>
          <w:gridAfter w:val="1"/>
          <w:wAfter w:w="480" w:type="dxa"/>
          <w:trHeight w:val="525"/>
        </w:trPr>
        <w:tc>
          <w:tcPr>
            <w:tcW w:w="13050" w:type="dxa"/>
            <w:gridSpan w:val="8"/>
            <w:tcBorders>
              <w:top w:val="nil"/>
              <w:left w:val="single" w:sz="8" w:space="0" w:color="auto"/>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8"/>
                <w:szCs w:val="32"/>
              </w:rPr>
            </w:pPr>
            <w:bookmarkStart w:id="68" w:name="RANGE!B163"/>
            <w:r w:rsidRPr="006079BD">
              <w:rPr>
                <w:rFonts w:ascii="Arial" w:hAnsi="Arial" w:cs="Arial"/>
                <w:szCs w:val="32"/>
              </w:rPr>
              <w:t>Strengthen strategic infrastructure</w:t>
            </w:r>
            <w:bookmarkEnd w:id="68"/>
          </w:p>
        </w:tc>
      </w:tr>
      <w:tr w:rsidR="006079BD" w:rsidRPr="006079BD" w:rsidTr="006079BD">
        <w:trPr>
          <w:gridAfter w:val="1"/>
          <w:wAfter w:w="480" w:type="dxa"/>
          <w:trHeight w:val="1748"/>
        </w:trPr>
        <w:tc>
          <w:tcPr>
            <w:tcW w:w="714" w:type="dxa"/>
            <w:vMerge w:val="restart"/>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3.8.</w:t>
            </w:r>
          </w:p>
        </w:tc>
        <w:tc>
          <w:tcPr>
            <w:tcW w:w="1870" w:type="dxa"/>
            <w:vMerge w:val="restart"/>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Enhance Georgia’s foundational logistics capabilities with a focus on improving performance on timeliness, reliability and traceability of local services</w:t>
            </w: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3.8.1. Define a limited set of critical transport routes for high value manufacturing and prioritize those for developing local infrastructure critical to enabling quality logistics services that facilitate reliability and traceability</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Report summarizing routes developed and adopted</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MRDI, LTA, PF, Anaklia Port Company, MTA, GCAA, Georgia Railway, MOIA, MOF, Business Associations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1748"/>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3.8.2. Ensure identified routes and associated requirements are incorporated and prioritized in Georgia's national logistics strategy and planning</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Routes incorporated into strategic planning</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MRDI, LTA,  PF, Anaklia Port Company, MTA, GCAA, Georgia Railway, MOIA, MOF, Business Associations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w:t>
            </w:r>
          </w:p>
        </w:tc>
      </w:tr>
      <w:tr w:rsidR="006079BD" w:rsidRPr="006079BD" w:rsidTr="006079BD">
        <w:trPr>
          <w:gridAfter w:val="1"/>
          <w:wAfter w:w="480" w:type="dxa"/>
          <w:trHeight w:val="1748"/>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3.8.3. Attract one or more experienced world class logistics providers (FDI) to design and develop quality, foundational services, targeting key ports of entry and priority routes</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Logistics company(-ies) identified</w:t>
            </w:r>
            <w:r w:rsidRPr="006079BD">
              <w:rPr>
                <w:rFonts w:ascii="Arial" w:hAnsi="Arial" w:cs="Arial"/>
                <w:sz w:val="16"/>
                <w:szCs w:val="22"/>
              </w:rPr>
              <w:br/>
              <w:t>- Collaboration agreement / investment contract agreed upon and finalized by all parties</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MRDI, LTA,  PF, Anaklia Port Company, MTA, GCAA, Georgia Railway, MOIA,  Associations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2019-2022</w:t>
            </w:r>
          </w:p>
        </w:tc>
      </w:tr>
      <w:tr w:rsidR="006079BD" w:rsidRPr="006079BD" w:rsidTr="006079BD">
        <w:trPr>
          <w:gridAfter w:val="1"/>
          <w:wAfter w:w="480" w:type="dxa"/>
          <w:trHeight w:val="5820"/>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3.8.4. Work with neighboring countries to streamline customs processes between Georgia, to enhance predictability around the timeliness of the movement of goods</w:t>
            </w:r>
          </w:p>
        </w:tc>
        <w:tc>
          <w:tcPr>
            <w:tcW w:w="2795"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xml:space="preserve">- Countries agree to a coordination framework </w:t>
            </w:r>
            <w:r w:rsidRPr="006079BD">
              <w:rPr>
                <w:rFonts w:ascii="Arial" w:hAnsi="Arial" w:cs="Arial"/>
                <w:sz w:val="16"/>
                <w:szCs w:val="22"/>
              </w:rPr>
              <w:br/>
              <w:t>- Increase in Logistics Performance Index sub-scores for Customs, Timelineness and International Shipments</w:t>
            </w:r>
          </w:p>
        </w:tc>
        <w:tc>
          <w:tcPr>
            <w:tcW w:w="1350"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w:t>
            </w:r>
          </w:p>
        </w:tc>
        <w:tc>
          <w:tcPr>
            <w:tcW w:w="1660" w:type="dxa"/>
            <w:gridSpan w:val="2"/>
            <w:tcBorders>
              <w:top w:val="nil"/>
              <w:left w:val="nil"/>
              <w:bottom w:val="single" w:sz="8"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MRDI, LTA,  PF, Anaklia Port Company, MTA, GCAA, Georgia Railway, MOIA,  Associations</w:t>
            </w:r>
          </w:p>
        </w:tc>
        <w:tc>
          <w:tcPr>
            <w:tcW w:w="1485" w:type="dxa"/>
            <w:tcBorders>
              <w:top w:val="nil"/>
              <w:left w:val="nil"/>
              <w:bottom w:val="single" w:sz="8"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2019-2025</w:t>
            </w:r>
          </w:p>
        </w:tc>
      </w:tr>
      <w:tr w:rsidR="006079BD" w:rsidRPr="006079BD" w:rsidTr="006079BD">
        <w:trPr>
          <w:gridAfter w:val="1"/>
          <w:wAfter w:w="480" w:type="dxa"/>
          <w:trHeight w:val="1427"/>
        </w:trPr>
        <w:tc>
          <w:tcPr>
            <w:tcW w:w="714" w:type="dxa"/>
            <w:vMerge w:val="restart"/>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3.9.</w:t>
            </w:r>
          </w:p>
        </w:tc>
        <w:tc>
          <w:tcPr>
            <w:tcW w:w="1870" w:type="dxa"/>
            <w:vMerge w:val="restart"/>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Develop specialized logistics capabilities to serve target industries (e.g., cold chain, secured warehousing)</w:t>
            </w: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3.9.1. Survey local businesses in high value manufacturing (e.g., pharmaceuticals) and food and beverage to confirm priority categories of value added services to be located in Georgia – initial priorities should include cold chain infrastructure and secured warehousing</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Priority list of services developed and adopted</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MRDI, LTA,  PF, Anaklia Port Company, MTA, GCAA, Georgia Railway, MOIA,  Associations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1427"/>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xml:space="preserve">3.9.2. Structure public-private investment opportunities to develop segmented warehouses to meet specialized consumer and product needs for high value industries, tailored to specific regions’ industry makeup </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Number of new warehouses completed</w:t>
            </w:r>
            <w:r w:rsidRPr="006079BD">
              <w:rPr>
                <w:rFonts w:ascii="Arial" w:hAnsi="Arial" w:cs="Arial"/>
                <w:sz w:val="16"/>
                <w:szCs w:val="22"/>
              </w:rPr>
              <w:br/>
              <w:t xml:space="preserve">- Average warehouse % utilization </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w:t>
            </w:r>
          </w:p>
        </w:tc>
        <w:tc>
          <w:tcPr>
            <w:tcW w:w="1660" w:type="dxa"/>
            <w:gridSpan w:val="2"/>
            <w:tcBorders>
              <w:top w:val="nil"/>
              <w:left w:val="nil"/>
              <w:bottom w:val="single" w:sz="4"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MRDI, LTA,  PF, Anaklia Port Company, MTA, GCAA, Georgia Railway, MOIA,  Associations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2020-2023</w:t>
            </w:r>
          </w:p>
        </w:tc>
      </w:tr>
      <w:tr w:rsidR="006079BD" w:rsidRPr="006079BD" w:rsidTr="006079BD">
        <w:trPr>
          <w:gridAfter w:val="1"/>
          <w:wAfter w:w="480" w:type="dxa"/>
          <w:trHeight w:val="1427"/>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3.9.3. Establish and promote uptake of baseline performance standards for the transport and logistics industry, with a focus on aligning performance with common EU standards (e.g., permitting, environmental impact / vehicle emissions, road safety, heavy-load licensing, etc.)</w:t>
            </w:r>
          </w:p>
        </w:tc>
        <w:tc>
          <w:tcPr>
            <w:tcW w:w="2795"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xml:space="preserve">- Standards framework established and adopted </w:t>
            </w:r>
            <w:r w:rsidRPr="006079BD">
              <w:rPr>
                <w:rFonts w:ascii="Arial" w:hAnsi="Arial" w:cs="Arial"/>
                <w:sz w:val="16"/>
                <w:szCs w:val="22"/>
              </w:rPr>
              <w:br/>
              <w:t>- Overall Logistics Performance Index score</w:t>
            </w:r>
          </w:p>
        </w:tc>
        <w:tc>
          <w:tcPr>
            <w:tcW w:w="1350"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w:t>
            </w:r>
          </w:p>
        </w:tc>
        <w:tc>
          <w:tcPr>
            <w:tcW w:w="1660" w:type="dxa"/>
            <w:gridSpan w:val="2"/>
            <w:tcBorders>
              <w:top w:val="nil"/>
              <w:left w:val="nil"/>
              <w:bottom w:val="single" w:sz="8" w:space="0" w:color="auto"/>
              <w:right w:val="single" w:sz="4" w:space="0" w:color="auto"/>
            </w:tcBorders>
            <w:shd w:val="clear" w:color="auto" w:fill="FFFFFF"/>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MRDI, LTA,  PF, Anaklia Port Company, MTA, GCAA, Georgia Railway, MOIA,  Associations</w:t>
            </w:r>
          </w:p>
        </w:tc>
        <w:tc>
          <w:tcPr>
            <w:tcW w:w="1485" w:type="dxa"/>
            <w:tcBorders>
              <w:top w:val="nil"/>
              <w:left w:val="nil"/>
              <w:bottom w:val="single" w:sz="8"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2020-2025</w:t>
            </w:r>
          </w:p>
        </w:tc>
      </w:tr>
      <w:tr w:rsidR="006079BD" w:rsidRPr="006079BD" w:rsidTr="006079BD">
        <w:trPr>
          <w:gridAfter w:val="1"/>
          <w:wAfter w:w="480" w:type="dxa"/>
          <w:trHeight w:val="623"/>
        </w:trPr>
        <w:tc>
          <w:tcPr>
            <w:tcW w:w="13050" w:type="dxa"/>
            <w:gridSpan w:val="8"/>
            <w:tcBorders>
              <w:top w:val="single" w:sz="8" w:space="0" w:color="auto"/>
              <w:left w:val="single" w:sz="8" w:space="0" w:color="auto"/>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8"/>
                <w:szCs w:val="32"/>
              </w:rPr>
            </w:pPr>
            <w:bookmarkStart w:id="69" w:name="RANGE!B171"/>
            <w:r w:rsidRPr="006079BD">
              <w:rPr>
                <w:rFonts w:ascii="Arial" w:hAnsi="Arial" w:cs="Arial"/>
                <w:szCs w:val="32"/>
              </w:rPr>
              <w:t>Secure early catalytic investments</w:t>
            </w:r>
            <w:bookmarkEnd w:id="69"/>
          </w:p>
        </w:tc>
      </w:tr>
      <w:tr w:rsidR="006079BD" w:rsidRPr="006079BD" w:rsidTr="006079BD">
        <w:trPr>
          <w:gridAfter w:val="1"/>
          <w:wAfter w:w="480" w:type="dxa"/>
          <w:trHeight w:val="1690"/>
        </w:trPr>
        <w:tc>
          <w:tcPr>
            <w:tcW w:w="714" w:type="dxa"/>
            <w:vMerge w:val="restart"/>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3.10.</w:t>
            </w:r>
          </w:p>
        </w:tc>
        <w:tc>
          <w:tcPr>
            <w:tcW w:w="1870" w:type="dxa"/>
            <w:vMerge w:val="restart"/>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Attract anchor businesses to locate production capabilities in Georgia that put the country on a path towards more sophisticated categories of production</w:t>
            </w: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3.10.1. Define (or update if already developed) a short list of priority markets based on high value manufacturing, food production and industrial design priorities, existing trade and investment relationships and concentrations of diaspora communities</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Priority market list defined and adopted</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xml:space="preserve">Investment Attraction function </w:t>
            </w:r>
            <w:r w:rsidRPr="006079BD">
              <w:rPr>
                <w:rFonts w:ascii="Arial" w:hAnsi="Arial" w:cs="Arial"/>
                <w:i/>
                <w:iCs/>
                <w:sz w:val="16"/>
                <w:szCs w:val="12"/>
              </w:rPr>
              <w:t>(pending establishment)</w:t>
            </w:r>
          </w:p>
        </w:tc>
        <w:tc>
          <w:tcPr>
            <w:tcW w:w="1660" w:type="dxa"/>
            <w:gridSpan w:val="2"/>
            <w:tcBorders>
              <w:top w:val="nil"/>
              <w:left w:val="nil"/>
              <w:bottom w:val="nil"/>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xml:space="preserve">MOESD (EG, GITA), PF </w:t>
            </w:r>
            <w:r w:rsidRPr="006079BD">
              <w:rPr>
                <w:rFonts w:ascii="Arial" w:hAnsi="Arial" w:cs="Arial"/>
                <w:sz w:val="16"/>
                <w:szCs w:val="22"/>
              </w:rPr>
              <w:br/>
            </w:r>
            <w:r w:rsidRPr="006079BD">
              <w:rPr>
                <w:rFonts w:ascii="Arial" w:hAnsi="Arial" w:cs="Arial"/>
                <w:i/>
                <w:iCs/>
                <w:sz w:val="16"/>
                <w:szCs w:val="12"/>
              </w:rPr>
              <w:t>(other agencies as needed)</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1420"/>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3.10.2. Pursue a short-list of high potential opportunities for investment attraction into Georgia based on a preliminary market scan and demand analysis, focusing on target European markets</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Number of potential investment deals in the pipeline</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xml:space="preserve">Investment Attraction function </w:t>
            </w:r>
            <w:r w:rsidRPr="006079BD">
              <w:rPr>
                <w:rFonts w:ascii="Arial" w:hAnsi="Arial" w:cs="Arial"/>
                <w:i/>
                <w:iCs/>
                <w:sz w:val="16"/>
                <w:szCs w:val="12"/>
              </w:rPr>
              <w:t>(pending establishment)</w:t>
            </w:r>
          </w:p>
        </w:tc>
        <w:tc>
          <w:tcPr>
            <w:tcW w:w="1660" w:type="dxa"/>
            <w:gridSpan w:val="2"/>
            <w:tcBorders>
              <w:top w:val="single" w:sz="4"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xml:space="preserve">MOESD (EG, GITA), PF </w:t>
            </w:r>
            <w:r w:rsidRPr="006079BD">
              <w:rPr>
                <w:rFonts w:ascii="Arial" w:hAnsi="Arial" w:cs="Arial"/>
                <w:sz w:val="16"/>
                <w:szCs w:val="22"/>
              </w:rPr>
              <w:br/>
            </w:r>
            <w:r w:rsidRPr="006079BD">
              <w:rPr>
                <w:rFonts w:ascii="Arial" w:hAnsi="Arial" w:cs="Arial"/>
                <w:i/>
                <w:iCs/>
                <w:sz w:val="16"/>
                <w:szCs w:val="12"/>
              </w:rPr>
              <w:t>(other agencies as needed)</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2019-2020</w:t>
            </w:r>
          </w:p>
        </w:tc>
      </w:tr>
      <w:tr w:rsidR="006079BD" w:rsidRPr="006079BD" w:rsidTr="006079BD">
        <w:trPr>
          <w:gridAfter w:val="1"/>
          <w:wAfter w:w="480" w:type="dxa"/>
          <w:trHeight w:val="1150"/>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3.10.3. Develop tailored plans to "convert" high priority investment opportunities and allocate human and financial resources accordingly to deliver plan</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Priority investment "conversion" plans developed, adopted and sufficiently resourced</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xml:space="preserve">Investment Attraction function </w:t>
            </w:r>
            <w:r w:rsidRPr="006079BD">
              <w:rPr>
                <w:rFonts w:ascii="Arial" w:hAnsi="Arial" w:cs="Arial"/>
                <w:i/>
                <w:iCs/>
                <w:sz w:val="16"/>
                <w:szCs w:val="12"/>
              </w:rPr>
              <w:t>(pending establishment)</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xml:space="preserve">MOESD (EG, GITA), PF </w:t>
            </w:r>
            <w:r w:rsidRPr="006079BD">
              <w:rPr>
                <w:rFonts w:ascii="Arial" w:hAnsi="Arial" w:cs="Arial"/>
                <w:sz w:val="16"/>
                <w:szCs w:val="22"/>
              </w:rPr>
              <w:br/>
            </w:r>
            <w:r w:rsidRPr="006079BD">
              <w:rPr>
                <w:rFonts w:ascii="Arial" w:hAnsi="Arial" w:cs="Arial"/>
                <w:i/>
                <w:iCs/>
                <w:sz w:val="16"/>
                <w:szCs w:val="12"/>
              </w:rPr>
              <w:t>(other agencies as needed)</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2020-2022</w:t>
            </w:r>
          </w:p>
        </w:tc>
      </w:tr>
      <w:tr w:rsidR="006079BD" w:rsidRPr="006079BD" w:rsidTr="006079BD">
        <w:trPr>
          <w:gridAfter w:val="1"/>
          <w:wAfter w:w="480" w:type="dxa"/>
          <w:trHeight w:val="1030"/>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3.10.4. Define tailored package of benefits (e.g., taxes, land allocations, infrastructure commitments, etc.) to secure priority investments, based on investor requirements and broader government and community development priorities</w:t>
            </w:r>
          </w:p>
        </w:tc>
        <w:tc>
          <w:tcPr>
            <w:tcW w:w="2795"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Number of investments closed</w:t>
            </w:r>
          </w:p>
        </w:tc>
        <w:tc>
          <w:tcPr>
            <w:tcW w:w="1350"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xml:space="preserve">Investment Attraction function </w:t>
            </w:r>
            <w:r w:rsidRPr="006079BD">
              <w:rPr>
                <w:rFonts w:ascii="Arial" w:hAnsi="Arial" w:cs="Arial"/>
                <w:i/>
                <w:iCs/>
                <w:sz w:val="16"/>
                <w:szCs w:val="12"/>
              </w:rPr>
              <w:t>(pending establishment)</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xml:space="preserve">MOESD (EG, GITA), PF </w:t>
            </w:r>
            <w:r w:rsidRPr="006079BD">
              <w:rPr>
                <w:rFonts w:ascii="Arial" w:hAnsi="Arial" w:cs="Arial"/>
                <w:sz w:val="16"/>
                <w:szCs w:val="22"/>
              </w:rPr>
              <w:br/>
            </w:r>
            <w:r w:rsidRPr="006079BD">
              <w:rPr>
                <w:rFonts w:ascii="Arial" w:hAnsi="Arial" w:cs="Arial"/>
                <w:i/>
                <w:iCs/>
                <w:sz w:val="16"/>
                <w:szCs w:val="12"/>
              </w:rPr>
              <w:t>(other agencies as needed)</w:t>
            </w:r>
          </w:p>
        </w:tc>
        <w:tc>
          <w:tcPr>
            <w:tcW w:w="1485" w:type="dxa"/>
            <w:tcBorders>
              <w:top w:val="nil"/>
              <w:left w:val="nil"/>
              <w:bottom w:val="single" w:sz="8"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2023-2025</w:t>
            </w:r>
          </w:p>
        </w:tc>
      </w:tr>
      <w:tr w:rsidR="006079BD" w:rsidRPr="006079BD" w:rsidTr="006079BD">
        <w:trPr>
          <w:gridAfter w:val="1"/>
          <w:wAfter w:w="480" w:type="dxa"/>
          <w:trHeight w:val="505"/>
        </w:trPr>
        <w:tc>
          <w:tcPr>
            <w:tcW w:w="13050" w:type="dxa"/>
            <w:gridSpan w:val="8"/>
            <w:tcBorders>
              <w:top w:val="single" w:sz="8" w:space="0" w:color="auto"/>
              <w:left w:val="single" w:sz="8" w:space="0" w:color="auto"/>
              <w:bottom w:val="single" w:sz="8" w:space="0" w:color="auto"/>
              <w:right w:val="single" w:sz="4" w:space="0" w:color="auto"/>
            </w:tcBorders>
            <w:shd w:val="clear" w:color="auto" w:fill="DDEBF7"/>
            <w:vAlign w:val="center"/>
            <w:hideMark/>
          </w:tcPr>
          <w:p w:rsidR="006079BD" w:rsidRPr="006079BD" w:rsidRDefault="006079BD" w:rsidP="006079BD">
            <w:pPr>
              <w:spacing w:before="0" w:after="0" w:line="240" w:lineRule="auto"/>
              <w:jc w:val="center"/>
              <w:rPr>
                <w:rFonts w:ascii="Arial" w:hAnsi="Arial" w:cs="Arial"/>
                <w:b/>
                <w:bCs/>
                <w:sz w:val="16"/>
                <w:szCs w:val="36"/>
              </w:rPr>
            </w:pPr>
            <w:bookmarkStart w:id="70" w:name="RANGE!B176"/>
            <w:r w:rsidRPr="006079BD">
              <w:rPr>
                <w:rFonts w:ascii="Arial" w:hAnsi="Arial" w:cs="Arial"/>
                <w:b/>
                <w:bCs/>
                <w:sz w:val="22"/>
                <w:szCs w:val="38"/>
              </w:rPr>
              <w:t>Strategic direction 4. Innovation system maintenance and navigation</w:t>
            </w:r>
            <w:bookmarkEnd w:id="70"/>
          </w:p>
        </w:tc>
      </w:tr>
      <w:tr w:rsidR="006079BD" w:rsidRPr="006079BD" w:rsidTr="006079BD">
        <w:trPr>
          <w:gridAfter w:val="1"/>
          <w:wAfter w:w="480" w:type="dxa"/>
          <w:trHeight w:val="533"/>
        </w:trPr>
        <w:tc>
          <w:tcPr>
            <w:tcW w:w="13050" w:type="dxa"/>
            <w:gridSpan w:val="8"/>
            <w:tcBorders>
              <w:top w:val="single" w:sz="8" w:space="0" w:color="auto"/>
              <w:left w:val="single" w:sz="8" w:space="0" w:color="auto"/>
              <w:bottom w:val="nil"/>
              <w:right w:val="single" w:sz="4" w:space="0" w:color="auto"/>
            </w:tcBorders>
            <w:vAlign w:val="center"/>
            <w:hideMark/>
          </w:tcPr>
          <w:p w:rsidR="006079BD" w:rsidRPr="006079BD" w:rsidRDefault="006079BD" w:rsidP="006079BD">
            <w:pPr>
              <w:spacing w:before="0" w:after="0" w:line="240" w:lineRule="auto"/>
              <w:jc w:val="center"/>
              <w:rPr>
                <w:rFonts w:ascii="Arial" w:hAnsi="Arial" w:cs="Arial"/>
                <w:szCs w:val="32"/>
              </w:rPr>
            </w:pPr>
            <w:bookmarkStart w:id="71" w:name="RANGE!B177"/>
            <w:r w:rsidRPr="006079BD">
              <w:rPr>
                <w:rFonts w:ascii="Arial" w:hAnsi="Arial" w:cs="Arial"/>
                <w:szCs w:val="32"/>
              </w:rPr>
              <w:t xml:space="preserve">Enhance agility and responsiveness in innovation governance </w:t>
            </w:r>
            <w:bookmarkEnd w:id="71"/>
          </w:p>
        </w:tc>
      </w:tr>
      <w:tr w:rsidR="006079BD" w:rsidRPr="006079BD" w:rsidTr="006079BD">
        <w:trPr>
          <w:gridAfter w:val="1"/>
          <w:wAfter w:w="480" w:type="dxa"/>
          <w:trHeight w:val="1367"/>
        </w:trPr>
        <w:tc>
          <w:tcPr>
            <w:tcW w:w="714" w:type="dxa"/>
            <w:vMerge w:val="restart"/>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4.1.</w:t>
            </w:r>
          </w:p>
        </w:tc>
        <w:tc>
          <w:tcPr>
            <w:tcW w:w="1870" w:type="dxa"/>
            <w:vMerge w:val="restart"/>
            <w:tcBorders>
              <w:top w:val="single" w:sz="8" w:space="0" w:color="auto"/>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Establish a system to govern Georgia’s innovation ecosystem that is agile and adaptive to evolving business and technology requirements</w:t>
            </w:r>
          </w:p>
        </w:tc>
        <w:tc>
          <w:tcPr>
            <w:tcW w:w="3176" w:type="dxa"/>
            <w:tcBorders>
              <w:top w:val="single" w:sz="8"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4.1.1. Define a steward of the innovation legal system (e.g. GITA), responsible for maintaining holistic view of its strengths and pain points relative to other countries and the needs of business, and playing a leadership role in designing and advocating for reforms</w:t>
            </w:r>
          </w:p>
        </w:tc>
        <w:tc>
          <w:tcPr>
            <w:tcW w:w="2795" w:type="dxa"/>
            <w:tcBorders>
              <w:top w:val="single" w:sz="8"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Agency established with clear role and function</w:t>
            </w:r>
          </w:p>
        </w:tc>
        <w:tc>
          <w:tcPr>
            <w:tcW w:w="1350" w:type="dxa"/>
            <w:tcBorders>
              <w:top w:val="single" w:sz="8" w:space="0" w:color="auto"/>
              <w:left w:val="nil"/>
              <w:bottom w:val="nil"/>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MOESCS</w:t>
            </w:r>
          </w:p>
        </w:tc>
        <w:tc>
          <w:tcPr>
            <w:tcW w:w="1660" w:type="dxa"/>
            <w:gridSpan w:val="2"/>
            <w:tcBorders>
              <w:top w:val="single" w:sz="8" w:space="0" w:color="auto"/>
              <w:left w:val="nil"/>
              <w:bottom w:val="nil"/>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AOG, GITA, EG, Rustaveli Foundation, Academy of Science, GITA, Business Associations</w:t>
            </w:r>
          </w:p>
        </w:tc>
        <w:tc>
          <w:tcPr>
            <w:tcW w:w="1485" w:type="dxa"/>
            <w:tcBorders>
              <w:top w:val="single" w:sz="8" w:space="0" w:color="auto"/>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2019</w:t>
            </w:r>
          </w:p>
        </w:tc>
      </w:tr>
      <w:tr w:rsidR="006079BD" w:rsidRPr="006079BD" w:rsidTr="006079BD">
        <w:trPr>
          <w:gridAfter w:val="1"/>
          <w:wAfter w:w="480" w:type="dxa"/>
          <w:trHeight w:val="1367"/>
        </w:trPr>
        <w:tc>
          <w:tcPr>
            <w:tcW w:w="13050" w:type="dxa"/>
            <w:vMerge/>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single" w:sz="8" w:space="0" w:color="auto"/>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bookmarkStart w:id="72" w:name="RANGE!E179"/>
            <w:r w:rsidRPr="006079BD">
              <w:rPr>
                <w:rFonts w:ascii="Arial" w:hAnsi="Arial" w:cs="Arial"/>
                <w:sz w:val="16"/>
                <w:szCs w:val="22"/>
              </w:rPr>
              <w:t>4.1.2. Determine whether the Research and Innovation Council (RIC) should remain, or define an alternative central decision-making body and deputy committees, to make informed and timely cross-sector / cross-agency decisions</w:t>
            </w:r>
            <w:bookmarkEnd w:id="72"/>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RIC or alternate decision-making body appointed</w:t>
            </w:r>
          </w:p>
        </w:tc>
        <w:tc>
          <w:tcPr>
            <w:tcW w:w="1350" w:type="dxa"/>
            <w:tcBorders>
              <w:top w:val="single" w:sz="4"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MOESCS</w:t>
            </w:r>
          </w:p>
        </w:tc>
        <w:tc>
          <w:tcPr>
            <w:tcW w:w="1660" w:type="dxa"/>
            <w:gridSpan w:val="2"/>
            <w:tcBorders>
              <w:top w:val="single" w:sz="4" w:space="0" w:color="auto"/>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AOG, GITA, EG, Rustaveli Foundation, Academy of Science, GITA, Business Associations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2019-2020</w:t>
            </w:r>
          </w:p>
        </w:tc>
      </w:tr>
      <w:tr w:rsidR="006079BD" w:rsidRPr="006079BD" w:rsidTr="006079BD">
        <w:trPr>
          <w:gridAfter w:val="1"/>
          <w:wAfter w:w="480" w:type="dxa"/>
          <w:trHeight w:val="1367"/>
        </w:trPr>
        <w:tc>
          <w:tcPr>
            <w:tcW w:w="13050" w:type="dxa"/>
            <w:vMerge/>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single" w:sz="8" w:space="0" w:color="auto"/>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4.1.3. Re-structure the RIC - or alternative decision-making body - to include a senior executive-level governing body, and a series of topical committees run by mid-senior-level advisors to the executive body that meet at least quarterly, or as needed</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New operating structure for the RIC / decision-making body developed and adopted</w:t>
            </w:r>
            <w:r w:rsidRPr="006079BD">
              <w:rPr>
                <w:rFonts w:ascii="Arial" w:hAnsi="Arial" w:cs="Arial"/>
                <w:sz w:val="16"/>
                <w:szCs w:val="22"/>
              </w:rPr>
              <w:br/>
              <w:t>- Committees and respective participants established</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MOESCS</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AOG, GITA, EG, Rustaveli Foundation, Academy of Science, GITA, Business Associations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2019</w:t>
            </w:r>
          </w:p>
        </w:tc>
      </w:tr>
      <w:tr w:rsidR="006079BD" w:rsidRPr="006079BD" w:rsidTr="006079BD">
        <w:trPr>
          <w:gridAfter w:val="1"/>
          <w:wAfter w:w="480" w:type="dxa"/>
          <w:trHeight w:val="1367"/>
        </w:trPr>
        <w:tc>
          <w:tcPr>
            <w:tcW w:w="13050" w:type="dxa"/>
            <w:vMerge/>
            <w:tcBorders>
              <w:top w:val="single" w:sz="8" w:space="0" w:color="auto"/>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single" w:sz="8" w:space="0" w:color="auto"/>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8"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4.1.4. Establish a clear set of goals and metrics, performance standards, and transparent reporting processes to hold the central body accountable to the broader government and Georgian public and encourage outcomes</w:t>
            </w:r>
          </w:p>
        </w:tc>
        <w:tc>
          <w:tcPr>
            <w:tcW w:w="2795" w:type="dxa"/>
            <w:tcBorders>
              <w:top w:val="nil"/>
              <w:left w:val="nil"/>
              <w:bottom w:val="single" w:sz="8" w:space="0" w:color="auto"/>
              <w:right w:val="single" w:sz="4" w:space="0" w:color="auto"/>
            </w:tcBorders>
            <w:shd w:val="clear" w:color="auto" w:fill="FFFFFF"/>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Performance framework and reporting procedures developed and adopted</w:t>
            </w:r>
          </w:p>
        </w:tc>
        <w:tc>
          <w:tcPr>
            <w:tcW w:w="1350"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MOESD, MOESCS</w:t>
            </w:r>
          </w:p>
        </w:tc>
        <w:tc>
          <w:tcPr>
            <w:tcW w:w="1660" w:type="dxa"/>
            <w:gridSpan w:val="2"/>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AOG, GITA, EG, Rustaveli Foundation, Academy of Science, GITA, Business Associations</w:t>
            </w:r>
          </w:p>
        </w:tc>
        <w:tc>
          <w:tcPr>
            <w:tcW w:w="1485" w:type="dxa"/>
            <w:tcBorders>
              <w:top w:val="nil"/>
              <w:left w:val="nil"/>
              <w:bottom w:val="single" w:sz="8"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2019</w:t>
            </w:r>
          </w:p>
        </w:tc>
      </w:tr>
      <w:tr w:rsidR="006079BD" w:rsidRPr="006079BD" w:rsidTr="006079BD">
        <w:trPr>
          <w:gridAfter w:val="1"/>
          <w:wAfter w:w="480" w:type="dxa"/>
          <w:trHeight w:val="1217"/>
        </w:trPr>
        <w:tc>
          <w:tcPr>
            <w:tcW w:w="714" w:type="dxa"/>
            <w:vMerge w:val="restart"/>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4.2.</w:t>
            </w:r>
          </w:p>
        </w:tc>
        <w:tc>
          <w:tcPr>
            <w:tcW w:w="1870" w:type="dxa"/>
            <w:vMerge w:val="restart"/>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Increase the regularity of public-private dialogue and cooperation across government on innovation and related business function</w:t>
            </w: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4.2.1. Facilitate basic business or commercial training opportunities for public sector employees in front-line roles, potentially including externships, support for enrollment in mini / executive MBA programs, classroom training programs, etc.</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Training opportunities available for government employees</w:t>
            </w:r>
            <w:r w:rsidRPr="006079BD">
              <w:rPr>
                <w:rFonts w:ascii="Arial" w:hAnsi="Arial" w:cs="Arial"/>
                <w:sz w:val="16"/>
                <w:szCs w:val="22"/>
              </w:rPr>
              <w:br/>
              <w:t>- Success / completion rate of employees identified to participate</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AOG</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All government agencies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2021-2025</w:t>
            </w:r>
          </w:p>
        </w:tc>
      </w:tr>
      <w:tr w:rsidR="006079BD" w:rsidRPr="006079BD" w:rsidTr="006079BD">
        <w:trPr>
          <w:gridAfter w:val="1"/>
          <w:wAfter w:w="480" w:type="dxa"/>
          <w:trHeight w:val="1217"/>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4.2.2. Define a cross-government recruitment strategy that incorporates hiring high performing private sector leaders into strategic public sector roles, particularly that require frequent cross-sector communication</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Share of government employees in roles engaging the private sector with private sector experience</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AOG</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All government agencies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2019</w:t>
            </w:r>
          </w:p>
        </w:tc>
      </w:tr>
      <w:tr w:rsidR="006079BD" w:rsidRPr="006079BD" w:rsidTr="006079BD">
        <w:trPr>
          <w:gridAfter w:val="1"/>
          <w:wAfter w:w="480" w:type="dxa"/>
          <w:trHeight w:val="1217"/>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4.2.3. Hold workshops for businesses interested in serving government clients to learn basics of government priorities and procedures and ways companies can adapt their business models to serve public agencies more competitively</w:t>
            </w:r>
          </w:p>
        </w:tc>
        <w:tc>
          <w:tcPr>
            <w:tcW w:w="2795"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Number of participating businesses</w:t>
            </w:r>
          </w:p>
        </w:tc>
        <w:tc>
          <w:tcPr>
            <w:tcW w:w="1350"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AOG</w:t>
            </w:r>
          </w:p>
        </w:tc>
        <w:tc>
          <w:tcPr>
            <w:tcW w:w="1660" w:type="dxa"/>
            <w:gridSpan w:val="2"/>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All government agencies</w:t>
            </w:r>
          </w:p>
        </w:tc>
        <w:tc>
          <w:tcPr>
            <w:tcW w:w="1485" w:type="dxa"/>
            <w:tcBorders>
              <w:top w:val="nil"/>
              <w:left w:val="nil"/>
              <w:bottom w:val="single" w:sz="8"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color w:val="000000"/>
                <w:sz w:val="16"/>
                <w:szCs w:val="22"/>
              </w:rPr>
            </w:pPr>
            <w:r w:rsidRPr="006079BD">
              <w:rPr>
                <w:rFonts w:ascii="Arial" w:hAnsi="Arial" w:cs="Arial"/>
                <w:color w:val="000000"/>
                <w:sz w:val="16"/>
                <w:szCs w:val="22"/>
              </w:rPr>
              <w:t>2020-2023</w:t>
            </w:r>
          </w:p>
        </w:tc>
      </w:tr>
      <w:tr w:rsidR="006079BD" w:rsidRPr="006079BD" w:rsidTr="006079BD">
        <w:trPr>
          <w:gridAfter w:val="1"/>
          <w:wAfter w:w="480" w:type="dxa"/>
          <w:trHeight w:val="480"/>
        </w:trPr>
        <w:tc>
          <w:tcPr>
            <w:tcW w:w="13050" w:type="dxa"/>
            <w:gridSpan w:val="8"/>
            <w:tcBorders>
              <w:top w:val="nil"/>
              <w:left w:val="single" w:sz="8" w:space="0" w:color="auto"/>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32"/>
              </w:rPr>
            </w:pPr>
            <w:bookmarkStart w:id="73" w:name="RANGE!B185"/>
            <w:r w:rsidRPr="006079BD">
              <w:rPr>
                <w:rFonts w:ascii="Arial" w:hAnsi="Arial" w:cs="Arial"/>
                <w:szCs w:val="32"/>
              </w:rPr>
              <w:t>Improve ease of navigation</w:t>
            </w:r>
            <w:bookmarkEnd w:id="73"/>
          </w:p>
        </w:tc>
      </w:tr>
      <w:tr w:rsidR="006079BD" w:rsidRPr="006079BD" w:rsidTr="006079BD">
        <w:trPr>
          <w:gridAfter w:val="1"/>
          <w:wAfter w:w="480" w:type="dxa"/>
          <w:trHeight w:val="1553"/>
        </w:trPr>
        <w:tc>
          <w:tcPr>
            <w:tcW w:w="714" w:type="dxa"/>
            <w:vMerge w:val="restart"/>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4.3.</w:t>
            </w:r>
          </w:p>
        </w:tc>
        <w:tc>
          <w:tcPr>
            <w:tcW w:w="1870" w:type="dxa"/>
            <w:vMerge w:val="restart"/>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40" w:lineRule="auto"/>
              <w:rPr>
                <w:rFonts w:ascii="Arial" w:hAnsi="Arial" w:cs="Arial"/>
                <w:b/>
                <w:bCs/>
                <w:sz w:val="16"/>
                <w:szCs w:val="22"/>
              </w:rPr>
            </w:pPr>
            <w:r w:rsidRPr="006079BD">
              <w:rPr>
                <w:rFonts w:ascii="Arial" w:hAnsi="Arial" w:cs="Arial"/>
                <w:b/>
                <w:bCs/>
                <w:sz w:val="16"/>
                <w:szCs w:val="22"/>
              </w:rPr>
              <w:t>Make Georgia’s innovation resources easy to navigate for investors, businesses and other engaged stakeholders</w:t>
            </w: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4.3.1. Identify and empower a unit within government to serve as the primary point of contact (POC) for innovation serving entrepreneurs, businesses (SME - large), and investors (e.g. GITA), with the core function of helping stakeholders access the resources necessary to do so from within Georgia</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Unit identified with role / functions established</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AOG</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RIC, MOESCS, MOESD (GITA, EG), PF, Business Associations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930"/>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4.3.2. Develop unit operating model, including necessary capabilities to perform POC function</w:t>
            </w:r>
          </w:p>
        </w:tc>
        <w:tc>
          <w:tcPr>
            <w:tcW w:w="2795"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Operating model established and operational</w:t>
            </w:r>
          </w:p>
        </w:tc>
        <w:tc>
          <w:tcPr>
            <w:tcW w:w="1350" w:type="dxa"/>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 (GITA)</w:t>
            </w:r>
          </w:p>
        </w:tc>
        <w:tc>
          <w:tcPr>
            <w:tcW w:w="1660" w:type="dxa"/>
            <w:gridSpan w:val="2"/>
            <w:tcBorders>
              <w:top w:val="nil"/>
              <w:left w:val="nil"/>
              <w:bottom w:val="single" w:sz="4"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RIC, MOESD, EG, PF, Business Associations</w:t>
            </w:r>
          </w:p>
        </w:tc>
        <w:tc>
          <w:tcPr>
            <w:tcW w:w="1485" w:type="dxa"/>
            <w:tcBorders>
              <w:top w:val="nil"/>
              <w:left w:val="nil"/>
              <w:bottom w:val="single" w:sz="4"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w:t>
            </w:r>
          </w:p>
        </w:tc>
      </w:tr>
      <w:tr w:rsidR="006079BD" w:rsidRPr="006079BD" w:rsidTr="006079BD">
        <w:trPr>
          <w:gridAfter w:val="1"/>
          <w:wAfter w:w="480" w:type="dxa"/>
          <w:trHeight w:val="1245"/>
        </w:trPr>
        <w:tc>
          <w:tcPr>
            <w:tcW w:w="13050" w:type="dxa"/>
            <w:vMerge/>
            <w:tcBorders>
              <w:top w:val="nil"/>
              <w:left w:val="single" w:sz="8"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sz w:val="16"/>
                <w:szCs w:val="22"/>
              </w:rPr>
            </w:pPr>
          </w:p>
        </w:tc>
        <w:tc>
          <w:tcPr>
            <w:tcW w:w="1870" w:type="dxa"/>
            <w:vMerge/>
            <w:tcBorders>
              <w:top w:val="nil"/>
              <w:left w:val="single" w:sz="4" w:space="0" w:color="auto"/>
              <w:bottom w:val="single" w:sz="8" w:space="0" w:color="000000"/>
              <w:right w:val="single" w:sz="4" w:space="0" w:color="auto"/>
            </w:tcBorders>
            <w:vAlign w:val="center"/>
            <w:hideMark/>
          </w:tcPr>
          <w:p w:rsidR="006079BD" w:rsidRPr="006079BD" w:rsidRDefault="006079BD" w:rsidP="006079BD">
            <w:pPr>
              <w:spacing w:before="0" w:after="0" w:line="256" w:lineRule="auto"/>
              <w:rPr>
                <w:rFonts w:ascii="Arial" w:hAnsi="Arial" w:cs="Arial"/>
                <w:b/>
                <w:bCs/>
                <w:sz w:val="16"/>
                <w:szCs w:val="22"/>
              </w:rPr>
            </w:pPr>
          </w:p>
        </w:tc>
        <w:tc>
          <w:tcPr>
            <w:tcW w:w="3176"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4.3.3. Build a web platform that 1) clearly articulates Georgia’s national innovation agenda and objectives, and 2) provides a central point of access to Georgia’s innovation assets and programs that can help businesses independently explore and access resources</w:t>
            </w:r>
          </w:p>
        </w:tc>
        <w:tc>
          <w:tcPr>
            <w:tcW w:w="2795"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Web platform developed and operational</w:t>
            </w:r>
            <w:r w:rsidRPr="006079BD">
              <w:rPr>
                <w:rFonts w:ascii="Arial" w:hAnsi="Arial" w:cs="Arial"/>
                <w:sz w:val="16"/>
                <w:szCs w:val="22"/>
              </w:rPr>
              <w:br/>
              <w:t>- Web traffic metrics (e.g., number of site impressions, time on site, etc.)</w:t>
            </w:r>
          </w:p>
        </w:tc>
        <w:tc>
          <w:tcPr>
            <w:tcW w:w="1350" w:type="dxa"/>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MOESD (GITA)</w:t>
            </w:r>
          </w:p>
        </w:tc>
        <w:tc>
          <w:tcPr>
            <w:tcW w:w="1660" w:type="dxa"/>
            <w:gridSpan w:val="2"/>
            <w:tcBorders>
              <w:top w:val="nil"/>
              <w:left w:val="nil"/>
              <w:bottom w:val="single" w:sz="8" w:space="0" w:color="auto"/>
              <w:right w:val="single" w:sz="4"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RIC, MOESD, EG, PF, Business Associations</w:t>
            </w:r>
          </w:p>
        </w:tc>
        <w:tc>
          <w:tcPr>
            <w:tcW w:w="1485" w:type="dxa"/>
            <w:tcBorders>
              <w:top w:val="nil"/>
              <w:left w:val="nil"/>
              <w:bottom w:val="single" w:sz="8" w:space="0" w:color="auto"/>
              <w:right w:val="single" w:sz="8" w:space="0" w:color="auto"/>
            </w:tcBorders>
            <w:vAlign w:val="center"/>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2019-2020</w:t>
            </w:r>
          </w:p>
        </w:tc>
      </w:tr>
      <w:tr w:rsidR="006079BD" w:rsidRPr="006079BD" w:rsidTr="006079BD">
        <w:trPr>
          <w:gridAfter w:val="1"/>
          <w:wAfter w:w="480" w:type="dxa"/>
          <w:trHeight w:val="315"/>
        </w:trPr>
        <w:tc>
          <w:tcPr>
            <w:tcW w:w="714" w:type="dxa"/>
            <w:noWrap/>
            <w:vAlign w:val="bottom"/>
            <w:hideMark/>
          </w:tcPr>
          <w:p w:rsidR="006079BD" w:rsidRPr="006079BD" w:rsidRDefault="006079BD" w:rsidP="006079BD">
            <w:pPr>
              <w:spacing w:before="0" w:after="160" w:line="256" w:lineRule="auto"/>
              <w:rPr>
                <w:rFonts w:ascii="Calibri" w:eastAsia="Calibri" w:hAnsi="Calibri"/>
                <w:sz w:val="22"/>
                <w:szCs w:val="22"/>
              </w:rPr>
            </w:pPr>
          </w:p>
        </w:tc>
        <w:tc>
          <w:tcPr>
            <w:tcW w:w="1870" w:type="dxa"/>
            <w:noWrap/>
            <w:vAlign w:val="bottom"/>
            <w:hideMark/>
          </w:tcPr>
          <w:p w:rsidR="006079BD" w:rsidRPr="006079BD" w:rsidRDefault="006079BD" w:rsidP="006079BD">
            <w:pPr>
              <w:spacing w:before="0" w:after="0" w:line="256" w:lineRule="auto"/>
              <w:rPr>
                <w:rFonts w:ascii="Calibri" w:eastAsia="Calibri" w:hAnsi="Calibri"/>
                <w:szCs w:val="20"/>
              </w:rPr>
            </w:pPr>
          </w:p>
        </w:tc>
        <w:tc>
          <w:tcPr>
            <w:tcW w:w="3176" w:type="dxa"/>
            <w:noWrap/>
            <w:vAlign w:val="bottom"/>
            <w:hideMark/>
          </w:tcPr>
          <w:p w:rsidR="006079BD" w:rsidRPr="006079BD" w:rsidRDefault="006079BD" w:rsidP="006079BD">
            <w:pPr>
              <w:spacing w:before="0" w:after="0" w:line="256" w:lineRule="auto"/>
              <w:rPr>
                <w:rFonts w:ascii="Calibri" w:eastAsia="Calibri" w:hAnsi="Calibri"/>
                <w:szCs w:val="20"/>
              </w:rPr>
            </w:pPr>
          </w:p>
        </w:tc>
        <w:tc>
          <w:tcPr>
            <w:tcW w:w="2795" w:type="dxa"/>
            <w:noWrap/>
            <w:vAlign w:val="bottom"/>
            <w:hideMark/>
          </w:tcPr>
          <w:p w:rsidR="006079BD" w:rsidRPr="006079BD" w:rsidRDefault="006079BD" w:rsidP="006079BD">
            <w:pPr>
              <w:spacing w:before="0" w:after="0" w:line="256" w:lineRule="auto"/>
              <w:rPr>
                <w:rFonts w:ascii="Calibri" w:eastAsia="Calibri" w:hAnsi="Calibri"/>
                <w:szCs w:val="20"/>
              </w:rPr>
            </w:pPr>
          </w:p>
        </w:tc>
        <w:tc>
          <w:tcPr>
            <w:tcW w:w="1350" w:type="dxa"/>
            <w:vAlign w:val="bottom"/>
            <w:hideMark/>
          </w:tcPr>
          <w:p w:rsidR="006079BD" w:rsidRPr="006079BD" w:rsidRDefault="006079BD" w:rsidP="006079BD">
            <w:pPr>
              <w:spacing w:before="0" w:after="0" w:line="256" w:lineRule="auto"/>
              <w:rPr>
                <w:rFonts w:ascii="Calibri" w:eastAsia="Calibri" w:hAnsi="Calibri"/>
                <w:szCs w:val="20"/>
              </w:rPr>
            </w:pPr>
          </w:p>
        </w:tc>
        <w:tc>
          <w:tcPr>
            <w:tcW w:w="1660" w:type="dxa"/>
            <w:gridSpan w:val="2"/>
            <w:noWrap/>
            <w:vAlign w:val="bottom"/>
            <w:hideMark/>
          </w:tcPr>
          <w:p w:rsidR="006079BD" w:rsidRPr="006079BD" w:rsidRDefault="006079BD" w:rsidP="006079BD">
            <w:pPr>
              <w:spacing w:before="0" w:after="0" w:line="256" w:lineRule="auto"/>
              <w:rPr>
                <w:rFonts w:ascii="Calibri" w:eastAsia="Calibri" w:hAnsi="Calibri"/>
                <w:szCs w:val="20"/>
              </w:rPr>
            </w:pPr>
          </w:p>
        </w:tc>
        <w:tc>
          <w:tcPr>
            <w:tcW w:w="1485" w:type="dxa"/>
            <w:noWrap/>
            <w:vAlign w:val="bottom"/>
            <w:hideMark/>
          </w:tcPr>
          <w:p w:rsidR="006079BD" w:rsidRPr="006079BD" w:rsidRDefault="006079BD" w:rsidP="006079BD">
            <w:pPr>
              <w:spacing w:before="0" w:after="0" w:line="256" w:lineRule="auto"/>
              <w:rPr>
                <w:rFonts w:ascii="Calibri" w:eastAsia="Calibri" w:hAnsi="Calibri"/>
                <w:szCs w:val="20"/>
              </w:rPr>
            </w:pPr>
          </w:p>
        </w:tc>
      </w:tr>
      <w:tr w:rsidR="006079BD" w:rsidRPr="006079BD" w:rsidTr="006079BD">
        <w:trPr>
          <w:gridAfter w:val="1"/>
          <w:wAfter w:w="480" w:type="dxa"/>
          <w:trHeight w:val="315"/>
        </w:trPr>
        <w:tc>
          <w:tcPr>
            <w:tcW w:w="714" w:type="dxa"/>
            <w:shd w:val="clear" w:color="auto" w:fill="FFFFFF"/>
            <w:noWrap/>
            <w:vAlign w:val="bottom"/>
            <w:hideMark/>
          </w:tcPr>
          <w:p w:rsidR="006079BD" w:rsidRPr="006079BD" w:rsidRDefault="006079BD" w:rsidP="006079BD">
            <w:pPr>
              <w:spacing w:before="0" w:after="0" w:line="240" w:lineRule="auto"/>
              <w:rPr>
                <w:rFonts w:ascii="Arial" w:hAnsi="Arial" w:cs="Arial"/>
                <w:b/>
                <w:bCs/>
                <w:i/>
                <w:iCs/>
                <w:sz w:val="16"/>
                <w:szCs w:val="22"/>
              </w:rPr>
            </w:pPr>
            <w:r w:rsidRPr="006079BD">
              <w:rPr>
                <w:rFonts w:ascii="Arial" w:hAnsi="Arial" w:cs="Arial"/>
                <w:b/>
                <w:bCs/>
                <w:i/>
                <w:iCs/>
                <w:sz w:val="16"/>
                <w:szCs w:val="22"/>
              </w:rPr>
              <w:t>Notes:</w:t>
            </w:r>
          </w:p>
        </w:tc>
        <w:tc>
          <w:tcPr>
            <w:tcW w:w="1870" w:type="dxa"/>
            <w:shd w:val="clear" w:color="auto" w:fill="FFFFFF"/>
            <w:noWrap/>
            <w:vAlign w:val="bottom"/>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w:t>
            </w:r>
          </w:p>
        </w:tc>
        <w:tc>
          <w:tcPr>
            <w:tcW w:w="3176" w:type="dxa"/>
            <w:shd w:val="clear" w:color="auto" w:fill="FFFFFF"/>
            <w:noWrap/>
            <w:vAlign w:val="bottom"/>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w:t>
            </w:r>
          </w:p>
        </w:tc>
        <w:tc>
          <w:tcPr>
            <w:tcW w:w="2795" w:type="dxa"/>
            <w:shd w:val="clear" w:color="auto" w:fill="FFFFFF"/>
            <w:noWrap/>
            <w:vAlign w:val="bottom"/>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w:t>
            </w:r>
          </w:p>
        </w:tc>
        <w:tc>
          <w:tcPr>
            <w:tcW w:w="1350" w:type="dxa"/>
            <w:shd w:val="clear" w:color="auto" w:fill="FFFFFF"/>
            <w:vAlign w:val="bottom"/>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w:t>
            </w:r>
          </w:p>
        </w:tc>
        <w:tc>
          <w:tcPr>
            <w:tcW w:w="1660" w:type="dxa"/>
            <w:gridSpan w:val="2"/>
            <w:shd w:val="clear" w:color="auto" w:fill="FFFFFF"/>
            <w:noWrap/>
            <w:vAlign w:val="bottom"/>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w:t>
            </w:r>
          </w:p>
        </w:tc>
        <w:tc>
          <w:tcPr>
            <w:tcW w:w="1485" w:type="dxa"/>
            <w:shd w:val="clear" w:color="auto" w:fill="FFFFFF"/>
            <w:noWrap/>
            <w:vAlign w:val="bottom"/>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w:t>
            </w:r>
          </w:p>
        </w:tc>
      </w:tr>
      <w:tr w:rsidR="006079BD" w:rsidRPr="006079BD" w:rsidTr="006079BD">
        <w:trPr>
          <w:trHeight w:val="63"/>
        </w:trPr>
        <w:tc>
          <w:tcPr>
            <w:tcW w:w="8555" w:type="dxa"/>
            <w:gridSpan w:val="4"/>
            <w:shd w:val="clear" w:color="auto" w:fill="FFFFFF"/>
            <w:noWrap/>
            <w:vAlign w:val="center"/>
            <w:hideMark/>
          </w:tcPr>
          <w:p w:rsidR="006079BD" w:rsidRPr="006079BD" w:rsidRDefault="006079BD" w:rsidP="006079BD">
            <w:pPr>
              <w:spacing w:before="0" w:after="0" w:line="240" w:lineRule="auto"/>
              <w:rPr>
                <w:rFonts w:ascii="Arial" w:hAnsi="Arial" w:cs="Arial"/>
                <w:i/>
                <w:iCs/>
                <w:sz w:val="16"/>
                <w:szCs w:val="22"/>
              </w:rPr>
            </w:pPr>
            <w:bookmarkStart w:id="74" w:name="RANGE!B191"/>
            <w:r w:rsidRPr="006079BD">
              <w:rPr>
                <w:rFonts w:ascii="Arial" w:hAnsi="Arial" w:cs="Arial"/>
                <w:i/>
                <w:iCs/>
                <w:sz w:val="16"/>
                <w:szCs w:val="22"/>
              </w:rPr>
              <w:t>1. Where RIC is listed, it is assumed that this would be replaced with whatever innovation council is established in the case that RIC is dissolved</w:t>
            </w:r>
            <w:bookmarkEnd w:id="74"/>
          </w:p>
        </w:tc>
        <w:tc>
          <w:tcPr>
            <w:tcW w:w="1350" w:type="dxa"/>
            <w:shd w:val="clear" w:color="auto" w:fill="FFFFFF"/>
            <w:noWrap/>
            <w:vAlign w:val="bottom"/>
            <w:hideMark/>
          </w:tcPr>
          <w:p w:rsidR="006079BD" w:rsidRPr="006079BD" w:rsidRDefault="006079BD" w:rsidP="006079BD">
            <w:pPr>
              <w:spacing w:before="0" w:after="0" w:line="240" w:lineRule="auto"/>
              <w:rPr>
                <w:rFonts w:ascii="Arial" w:hAnsi="Arial" w:cs="Arial"/>
                <w:sz w:val="16"/>
                <w:szCs w:val="22"/>
              </w:rPr>
            </w:pPr>
            <w:r w:rsidRPr="006079BD">
              <w:rPr>
                <w:rFonts w:ascii="Arial" w:hAnsi="Arial" w:cs="Arial"/>
                <w:sz w:val="16"/>
                <w:szCs w:val="22"/>
              </w:rPr>
              <w:t> </w:t>
            </w:r>
          </w:p>
        </w:tc>
        <w:tc>
          <w:tcPr>
            <w:tcW w:w="1660" w:type="dxa"/>
            <w:gridSpan w:val="2"/>
            <w:shd w:val="clear" w:color="auto" w:fill="FFFFFF"/>
            <w:vAlign w:val="bottom"/>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w:t>
            </w:r>
          </w:p>
        </w:tc>
        <w:tc>
          <w:tcPr>
            <w:tcW w:w="1485" w:type="dxa"/>
            <w:shd w:val="clear" w:color="auto" w:fill="FFFFFF"/>
            <w:noWrap/>
            <w:vAlign w:val="bottom"/>
            <w:hideMark/>
          </w:tcPr>
          <w:p w:rsidR="006079BD" w:rsidRPr="006079BD" w:rsidRDefault="006079BD" w:rsidP="006079BD">
            <w:pPr>
              <w:spacing w:before="0" w:after="0" w:line="240" w:lineRule="auto"/>
              <w:jc w:val="center"/>
              <w:rPr>
                <w:rFonts w:ascii="Arial" w:hAnsi="Arial" w:cs="Arial"/>
                <w:sz w:val="18"/>
                <w:szCs w:val="22"/>
              </w:rPr>
            </w:pPr>
            <w:r w:rsidRPr="006079BD">
              <w:rPr>
                <w:rFonts w:ascii="Arial" w:hAnsi="Arial" w:cs="Arial"/>
                <w:sz w:val="18"/>
                <w:szCs w:val="22"/>
              </w:rPr>
              <w:t> </w:t>
            </w:r>
          </w:p>
        </w:tc>
        <w:tc>
          <w:tcPr>
            <w:tcW w:w="480" w:type="dxa"/>
            <w:shd w:val="clear" w:color="auto" w:fill="FFFFFF"/>
            <w:noWrap/>
            <w:vAlign w:val="bottom"/>
            <w:hideMark/>
          </w:tcPr>
          <w:p w:rsidR="006079BD" w:rsidRPr="006079BD" w:rsidRDefault="006079BD" w:rsidP="006079BD">
            <w:pPr>
              <w:spacing w:before="0" w:after="0" w:line="240" w:lineRule="auto"/>
              <w:jc w:val="center"/>
              <w:rPr>
                <w:rFonts w:ascii="Arial" w:hAnsi="Arial" w:cs="Arial"/>
                <w:sz w:val="18"/>
                <w:szCs w:val="22"/>
              </w:rPr>
            </w:pPr>
            <w:r w:rsidRPr="006079BD">
              <w:rPr>
                <w:rFonts w:ascii="Arial" w:hAnsi="Arial" w:cs="Arial"/>
                <w:sz w:val="18"/>
                <w:szCs w:val="22"/>
              </w:rPr>
              <w:t> </w:t>
            </w:r>
          </w:p>
        </w:tc>
      </w:tr>
      <w:tr w:rsidR="006079BD" w:rsidRPr="006079BD" w:rsidTr="006079BD">
        <w:trPr>
          <w:trHeight w:val="315"/>
        </w:trPr>
        <w:tc>
          <w:tcPr>
            <w:tcW w:w="9905" w:type="dxa"/>
            <w:gridSpan w:val="5"/>
            <w:shd w:val="clear" w:color="auto" w:fill="FFFFFF"/>
            <w:noWrap/>
            <w:vAlign w:val="center"/>
            <w:hideMark/>
          </w:tcPr>
          <w:p w:rsidR="006079BD" w:rsidRPr="006079BD" w:rsidRDefault="006079BD" w:rsidP="006079BD">
            <w:pPr>
              <w:spacing w:before="0" w:after="0" w:line="240" w:lineRule="auto"/>
              <w:rPr>
                <w:rFonts w:ascii="Arial" w:hAnsi="Arial" w:cs="Arial"/>
                <w:i/>
                <w:iCs/>
                <w:sz w:val="16"/>
                <w:szCs w:val="22"/>
              </w:rPr>
            </w:pPr>
            <w:bookmarkStart w:id="75" w:name="RANGE!B192"/>
            <w:r w:rsidRPr="006079BD">
              <w:rPr>
                <w:rFonts w:ascii="Arial" w:hAnsi="Arial" w:cs="Arial"/>
                <w:i/>
                <w:iCs/>
                <w:sz w:val="16"/>
                <w:szCs w:val="22"/>
              </w:rPr>
              <w:t>2. Where actions relate to a recurring program, the years represent the period for program development and launch and not the program delivery period - program delivery is presumed ongoing</w:t>
            </w:r>
            <w:bookmarkEnd w:id="75"/>
          </w:p>
        </w:tc>
        <w:tc>
          <w:tcPr>
            <w:tcW w:w="1646" w:type="dxa"/>
            <w:shd w:val="clear" w:color="auto" w:fill="FFFFFF"/>
            <w:vAlign w:val="bottom"/>
            <w:hideMark/>
          </w:tcPr>
          <w:p w:rsidR="006079BD" w:rsidRPr="006079BD" w:rsidRDefault="006079BD" w:rsidP="006079BD">
            <w:pPr>
              <w:spacing w:before="0" w:after="0" w:line="240" w:lineRule="auto"/>
              <w:jc w:val="center"/>
              <w:rPr>
                <w:rFonts w:ascii="Arial" w:hAnsi="Arial" w:cs="Arial"/>
                <w:sz w:val="16"/>
                <w:szCs w:val="22"/>
              </w:rPr>
            </w:pPr>
            <w:r w:rsidRPr="006079BD">
              <w:rPr>
                <w:rFonts w:ascii="Arial" w:hAnsi="Arial" w:cs="Arial"/>
                <w:sz w:val="16"/>
                <w:szCs w:val="22"/>
              </w:rPr>
              <w:t> </w:t>
            </w:r>
          </w:p>
        </w:tc>
        <w:tc>
          <w:tcPr>
            <w:tcW w:w="1499" w:type="dxa"/>
            <w:gridSpan w:val="2"/>
            <w:shd w:val="clear" w:color="auto" w:fill="FFFFFF"/>
            <w:noWrap/>
            <w:vAlign w:val="bottom"/>
            <w:hideMark/>
          </w:tcPr>
          <w:p w:rsidR="006079BD" w:rsidRPr="006079BD" w:rsidRDefault="006079BD" w:rsidP="006079BD">
            <w:pPr>
              <w:spacing w:before="0" w:after="0" w:line="240" w:lineRule="auto"/>
              <w:jc w:val="center"/>
              <w:rPr>
                <w:rFonts w:ascii="Arial" w:hAnsi="Arial" w:cs="Arial"/>
                <w:sz w:val="18"/>
                <w:szCs w:val="22"/>
              </w:rPr>
            </w:pPr>
            <w:r w:rsidRPr="006079BD">
              <w:rPr>
                <w:rFonts w:ascii="Arial" w:hAnsi="Arial" w:cs="Arial"/>
                <w:sz w:val="18"/>
                <w:szCs w:val="22"/>
              </w:rPr>
              <w:t> </w:t>
            </w:r>
          </w:p>
        </w:tc>
        <w:tc>
          <w:tcPr>
            <w:tcW w:w="480" w:type="dxa"/>
            <w:shd w:val="clear" w:color="auto" w:fill="FFFFFF"/>
            <w:noWrap/>
            <w:vAlign w:val="bottom"/>
            <w:hideMark/>
          </w:tcPr>
          <w:p w:rsidR="006079BD" w:rsidRPr="006079BD" w:rsidRDefault="006079BD" w:rsidP="006079BD">
            <w:pPr>
              <w:spacing w:before="0" w:after="0" w:line="240" w:lineRule="auto"/>
              <w:jc w:val="center"/>
              <w:rPr>
                <w:rFonts w:ascii="Arial" w:hAnsi="Arial" w:cs="Arial"/>
                <w:sz w:val="18"/>
                <w:szCs w:val="22"/>
              </w:rPr>
            </w:pPr>
            <w:r w:rsidRPr="006079BD">
              <w:rPr>
                <w:rFonts w:ascii="Arial" w:hAnsi="Arial" w:cs="Arial"/>
                <w:sz w:val="18"/>
                <w:szCs w:val="22"/>
              </w:rPr>
              <w:t> </w:t>
            </w:r>
          </w:p>
        </w:tc>
      </w:tr>
    </w:tbl>
    <w:p w:rsidR="006079BD" w:rsidRPr="006079BD" w:rsidRDefault="006079BD" w:rsidP="006079BD">
      <w:pPr>
        <w:spacing w:line="240" w:lineRule="auto"/>
        <w:rPr>
          <w:rFonts w:ascii="Arial" w:hAnsi="Arial" w:cs="Arial"/>
          <w:sz w:val="16"/>
        </w:rPr>
      </w:pPr>
    </w:p>
    <w:p w:rsidR="00F73192" w:rsidRPr="004137BD" w:rsidRDefault="00F73192" w:rsidP="00826B2C">
      <w:pPr>
        <w:rPr>
          <w:i/>
        </w:rPr>
      </w:pPr>
    </w:p>
    <w:p w:rsidR="004137BD" w:rsidRPr="00BE71D9" w:rsidRDefault="004137BD" w:rsidP="00BE71D9">
      <w:pPr>
        <w:spacing w:line="240" w:lineRule="auto"/>
        <w:sectPr w:rsidR="004137BD" w:rsidRPr="00BE71D9" w:rsidSect="00826B2C">
          <w:pgSz w:w="16834" w:h="11909" w:orient="landscape" w:code="9"/>
          <w:pgMar w:top="1080" w:right="1858" w:bottom="1019" w:left="1440" w:header="720" w:footer="720" w:gutter="0"/>
          <w:cols w:space="720"/>
          <w:docGrid w:linePitch="360"/>
        </w:sectPr>
      </w:pPr>
    </w:p>
    <w:p w:rsidR="000F3839" w:rsidRDefault="006E38A1">
      <w:r>
        <w:rPr>
          <w:noProof/>
        </w:rPr>
        <mc:AlternateContent>
          <mc:Choice Requires="wps">
            <w:drawing>
              <wp:anchor distT="0" distB="0" distL="114300" distR="114300" simplePos="0" relativeHeight="251662848" behindDoc="0" locked="0" layoutInCell="1" allowOverlap="1">
                <wp:simplePos x="0" y="0"/>
                <wp:positionH relativeFrom="column">
                  <wp:posOffset>-914400</wp:posOffset>
                </wp:positionH>
                <wp:positionV relativeFrom="paragraph">
                  <wp:posOffset>-1179830</wp:posOffset>
                </wp:positionV>
                <wp:extent cx="7562215" cy="7528560"/>
                <wp:effectExtent l="0" t="1270" r="635" b="444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752856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B2C" w:rsidRDefault="00826B2C">
                            <w:pPr>
                              <w:pStyle w:val="CoverFooter"/>
                            </w:pPr>
                          </w:p>
                        </w:txbxContent>
                      </wps:txbx>
                      <wps:bodyPr rot="0" vert="horz" wrap="square" lIns="91440" tIns="411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2" type="#_x0000_t202" style="position:absolute;margin-left:-1in;margin-top:-92.9pt;width:595.45pt;height:592.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" fillcolor="#ddd" stroked="f">
                <v:textbox inset=",324pt">
                  <w:txbxContent>
                    <w:p w:rsidR="00826B2C" w:rsidRDefault="00826B2C">
                      <w:pPr>
                        <w:pStyle w:val="CoverFooter"/>
                      </w:pPr>
                    </w:p>
                  </w:txbxContent>
                </v:textbox>
              </v:shap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-913765</wp:posOffset>
                </wp:positionH>
                <wp:positionV relativeFrom="paragraph">
                  <wp:posOffset>6259830</wp:posOffset>
                </wp:positionV>
                <wp:extent cx="7562215" cy="3262630"/>
                <wp:effectExtent l="635" t="1905" r="0" b="254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3262630"/>
                        </a:xfrm>
                        <a:prstGeom prst="rect">
                          <a:avLst/>
                        </a:prstGeom>
                        <a:solidFill>
                          <a:srgbClr val="C2113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B2C" w:rsidRDefault="00826B2C" w:rsidP="00152D4E">
                            <w:pPr>
                              <w:jc w:val="center"/>
                              <w:rPr>
                                <w:b/>
                                <w:bCs/>
                                <w:color w:val="FFFFFF"/>
                                <w:sz w:val="28"/>
                              </w:rPr>
                            </w:pPr>
                            <w:r>
                              <w:rPr>
                                <w:b/>
                                <w:bCs/>
                                <w:color w:val="FFFFFF"/>
                                <w:sz w:val="28"/>
                              </w:rPr>
                              <w:t>USAID Governing for Growth (G4G) in Georgia</w:t>
                            </w:r>
                          </w:p>
                          <w:p w:rsidR="00826B2C" w:rsidRDefault="00826B2C" w:rsidP="00152D4E">
                            <w:pPr>
                              <w:jc w:val="center"/>
                              <w:rPr>
                                <w:b/>
                                <w:bCs/>
                                <w:color w:val="FFFFFF"/>
                                <w:sz w:val="28"/>
                              </w:rPr>
                            </w:pPr>
                            <w:r>
                              <w:rPr>
                                <w:b/>
                                <w:bCs/>
                                <w:color w:val="FFFFFF"/>
                                <w:sz w:val="28"/>
                              </w:rPr>
                              <w:t>Deloitte Consulting Overseas Projects LLP</w:t>
                            </w:r>
                          </w:p>
                          <w:p w:rsidR="00826B2C" w:rsidRDefault="00826B2C" w:rsidP="00152D4E">
                            <w:pPr>
                              <w:jc w:val="center"/>
                              <w:rPr>
                                <w:b/>
                                <w:bCs/>
                                <w:color w:val="FFFFFF"/>
                                <w:sz w:val="28"/>
                              </w:rPr>
                            </w:pPr>
                            <w:r>
                              <w:rPr>
                                <w:b/>
                                <w:bCs/>
                                <w:color w:val="FFFFFF"/>
                                <w:sz w:val="28"/>
                              </w:rPr>
                              <w:t>Address: 5 L. Mikeladze st., 0162, Tbilisi</w:t>
                            </w:r>
                          </w:p>
                          <w:p w:rsidR="00826B2C" w:rsidRPr="00D4301E" w:rsidRDefault="00826B2C" w:rsidP="00D4301E">
                            <w:pPr>
                              <w:jc w:val="center"/>
                              <w:rPr>
                                <w:b/>
                                <w:bCs/>
                                <w:color w:val="FFFFFF"/>
                                <w:sz w:val="28"/>
                              </w:rPr>
                            </w:pPr>
                            <w:r>
                              <w:rPr>
                                <w:b/>
                                <w:bCs/>
                                <w:color w:val="FFFFFF"/>
                                <w:sz w:val="28"/>
                              </w:rPr>
                              <w:t>Phone: +995 322 240115 / 16</w:t>
                            </w:r>
                          </w:p>
                          <w:p w:rsidR="00826B2C" w:rsidRPr="000B69C3" w:rsidRDefault="00826B2C" w:rsidP="00152D4E">
                            <w:pPr>
                              <w:jc w:val="center"/>
                              <w:rPr>
                                <w:bCs/>
                                <w:color w:val="FFFFFF"/>
                                <w:sz w:val="28"/>
                              </w:rPr>
                            </w:pPr>
                            <w:r>
                              <w:rPr>
                                <w:b/>
                                <w:bCs/>
                                <w:color w:val="FFFFFF"/>
                                <w:sz w:val="28"/>
                              </w:rPr>
                              <w:t>E-mail: info@g4g.ge</w:t>
                            </w:r>
                          </w:p>
                        </w:txbxContent>
                      </wps:txbx>
                      <wps:bodyPr rot="0" vert="horz" wrap="square" lIns="91440" tIns="91440" rIns="91440" bIns="9144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3" type="#_x0000_t202" style="position:absolute;margin-left:-71.95pt;margin-top:492.9pt;width:595.45pt;height:256.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" fillcolor="#c2113a" stroked="f">
                <v:textbox inset=",7.2pt,,7.2pt">
                  <w:txbxContent>
                    <w:p w:rsidR="00826B2C" w:rsidRDefault="00826B2C" w:rsidP="00152D4E">
                      <w:pPr>
                        <w:jc w:val="center"/>
                        <w:rPr>
                          <w:b/>
                          <w:bCs/>
                          <w:color w:val="FFFFFF"/>
                          <w:sz w:val="28"/>
                        </w:rPr>
                      </w:pPr>
                      <w:r>
                        <w:rPr>
                          <w:b/>
                          <w:bCs/>
                          <w:color w:val="FFFFFF"/>
                          <w:sz w:val="28"/>
                        </w:rPr>
                        <w:t>USAID Governing for Growth (G4G) in Georgia</w:t>
                      </w:r>
                    </w:p>
                    <w:p w:rsidR="00826B2C" w:rsidRDefault="00826B2C" w:rsidP="00152D4E">
                      <w:pPr>
                        <w:jc w:val="center"/>
                        <w:rPr>
                          <w:b/>
                          <w:bCs/>
                          <w:color w:val="FFFFFF"/>
                          <w:sz w:val="28"/>
                        </w:rPr>
                      </w:pPr>
                      <w:r>
                        <w:rPr>
                          <w:b/>
                          <w:bCs/>
                          <w:color w:val="FFFFFF"/>
                          <w:sz w:val="28"/>
                        </w:rPr>
                        <w:t>Deloitte Consulting Overseas Projects LLP</w:t>
                      </w:r>
                    </w:p>
                    <w:p w:rsidR="00826B2C" w:rsidRDefault="00826B2C" w:rsidP="00152D4E">
                      <w:pPr>
                        <w:jc w:val="center"/>
                        <w:rPr>
                          <w:b/>
                          <w:bCs/>
                          <w:color w:val="FFFFFF"/>
                          <w:sz w:val="28"/>
                        </w:rPr>
                      </w:pPr>
                      <w:r>
                        <w:rPr>
                          <w:b/>
                          <w:bCs/>
                          <w:color w:val="FFFFFF"/>
                          <w:sz w:val="28"/>
                        </w:rPr>
                        <w:t>Address: 5 L. Mikeladze st., 0162, Tbilisi</w:t>
                      </w:r>
                    </w:p>
                    <w:p w:rsidR="00826B2C" w:rsidRPr="00D4301E" w:rsidRDefault="00826B2C" w:rsidP="00D4301E">
                      <w:pPr>
                        <w:jc w:val="center"/>
                        <w:rPr>
                          <w:b/>
                          <w:bCs/>
                          <w:color w:val="FFFFFF"/>
                          <w:sz w:val="28"/>
                        </w:rPr>
                      </w:pPr>
                      <w:r>
                        <w:rPr>
                          <w:b/>
                          <w:bCs/>
                          <w:color w:val="FFFFFF"/>
                          <w:sz w:val="28"/>
                        </w:rPr>
                        <w:t>Phone: +995 322 240115 / 16</w:t>
                      </w:r>
                    </w:p>
                    <w:p w:rsidR="00826B2C" w:rsidRPr="000B69C3" w:rsidRDefault="00826B2C" w:rsidP="00152D4E">
                      <w:pPr>
                        <w:jc w:val="center"/>
                        <w:rPr>
                          <w:bCs/>
                          <w:color w:val="FFFFFF"/>
                          <w:sz w:val="28"/>
                        </w:rPr>
                      </w:pPr>
                      <w:r>
                        <w:rPr>
                          <w:b/>
                          <w:bCs/>
                          <w:color w:val="FFFFFF"/>
                          <w:sz w:val="28"/>
                        </w:rPr>
                        <w:t>E-mail: info@g4g.ge</w:t>
                      </w:r>
                    </w:p>
                  </w:txbxContent>
                </v:textbox>
              </v:shape>
            </w:pict>
          </mc:Fallback>
        </mc:AlternateContent>
      </w:r>
    </w:p>
    <w:sectPr w:rsidR="000F3839" w:rsidSect="00364844">
      <w:footerReference w:type="default" r:id="rId27"/>
      <w:pgSz w:w="11909" w:h="16834" w:code="9"/>
      <w:pgMar w:top="1858"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C21" w:rsidRDefault="00014C21">
      <w:r>
        <w:separator/>
      </w:r>
    </w:p>
  </w:endnote>
  <w:endnote w:type="continuationSeparator" w:id="0">
    <w:p w:rsidR="00014C21" w:rsidRDefault="00014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B2C" w:rsidRPr="00E94119" w:rsidRDefault="00826B2C" w:rsidP="00E94119">
    <w:pPr>
      <w:pStyle w:val="Footer"/>
      <w:tabs>
        <w:tab w:val="clear" w:pos="8640"/>
        <w:tab w:val="right" w:pos="9000"/>
      </w:tabs>
    </w:pPr>
    <w:r>
      <w:t>USAID | GOVERNING FOR GROWTH (G4G) IN GEORGIA</w:t>
    </w:r>
    <w:r>
      <w:rPr>
        <w:noProof/>
      </w:rPr>
      <w:br/>
    </w:r>
    <w:sdt>
      <w:sdtPr>
        <w:alias w:val="Title"/>
        <w:tag w:val=""/>
        <w:id w:val="-106585094"/>
        <w:dataBinding w:prefixMappings="xmlns:ns0='http://purl.org/dc/elements/1.1/' xmlns:ns1='http://schemas.openxmlformats.org/package/2006/metadata/core-properties' " w:xpath="/ns1:coreProperties[1]/ns0:title[1]" w:storeItemID="{6C3C8BC8-F283-45AE-878A-BAB7291924A1}"/>
        <w:text/>
      </w:sdtPr>
      <w:sdtEndPr/>
      <w:sdtContent>
        <w:r>
          <w:t>Georgia innovation Strategy &amp; recommendations</w:t>
        </w:r>
      </w:sdtContent>
    </w:sdt>
    <w:r>
      <w:tab/>
    </w:r>
    <w:r>
      <w:fldChar w:fldCharType="begin"/>
    </w:r>
    <w:r>
      <w:instrText xml:space="preserve"> PAGE   \* MERGEFORMAT </w:instrText>
    </w:r>
    <w:r>
      <w:fldChar w:fldCharType="separate"/>
    </w:r>
    <w:r w:rsidR="00CB0A6B">
      <w:rPr>
        <w:noProof/>
      </w:rPr>
      <w:t>23</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B2C" w:rsidRDefault="00826B2C">
    <w:pPr>
      <w:pStyle w:val="Footer"/>
      <w:tabs>
        <w:tab w:val="clear" w:pos="8640"/>
        <w:tab w:val="right" w:pos="900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C21" w:rsidRDefault="00014C21">
      <w:r>
        <w:separator/>
      </w:r>
    </w:p>
  </w:footnote>
  <w:footnote w:type="continuationSeparator" w:id="0">
    <w:p w:rsidR="00014C21" w:rsidRDefault="00014C21">
      <w:r>
        <w:continuationSeparator/>
      </w:r>
    </w:p>
  </w:footnote>
  <w:footnote w:id="1">
    <w:p w:rsidR="00826B2C" w:rsidRPr="00654F2B" w:rsidRDefault="00826B2C" w:rsidP="00647EEB">
      <w:pPr>
        <w:pStyle w:val="FootnoteText"/>
        <w:rPr>
          <w:rFonts w:cstheme="minorHAnsi"/>
          <w:sz w:val="14"/>
          <w:szCs w:val="14"/>
        </w:rPr>
      </w:pPr>
      <w:r w:rsidRPr="00654F2B">
        <w:rPr>
          <w:rStyle w:val="FootnoteReference"/>
          <w:rFonts w:cstheme="minorHAnsi"/>
          <w:sz w:val="14"/>
          <w:szCs w:val="14"/>
        </w:rPr>
        <w:footnoteRef/>
      </w:r>
      <w:r w:rsidRPr="00654F2B">
        <w:rPr>
          <w:rFonts w:cstheme="minorHAnsi"/>
          <w:sz w:val="14"/>
          <w:szCs w:val="14"/>
        </w:rPr>
        <w:t xml:space="preserve"> Deloitte analysis based on World Bank Databank data</w:t>
      </w:r>
    </w:p>
  </w:footnote>
  <w:footnote w:id="2">
    <w:p w:rsidR="00826B2C" w:rsidRPr="00654F2B" w:rsidRDefault="00826B2C" w:rsidP="00647EEB">
      <w:pPr>
        <w:pStyle w:val="FootnoteText"/>
        <w:rPr>
          <w:rFonts w:cstheme="minorHAnsi"/>
          <w:sz w:val="14"/>
          <w:szCs w:val="14"/>
        </w:rPr>
      </w:pPr>
      <w:r w:rsidRPr="00654F2B">
        <w:rPr>
          <w:rStyle w:val="FootnoteReference"/>
          <w:rFonts w:cstheme="minorHAnsi"/>
          <w:sz w:val="14"/>
          <w:szCs w:val="14"/>
        </w:rPr>
        <w:footnoteRef/>
      </w:r>
      <w:r w:rsidRPr="00654F2B">
        <w:rPr>
          <w:rFonts w:cstheme="minorHAnsi"/>
          <w:sz w:val="14"/>
          <w:szCs w:val="14"/>
        </w:rPr>
        <w:t xml:space="preserve"> World Bank. </w:t>
      </w:r>
      <w:r w:rsidRPr="00654F2B">
        <w:rPr>
          <w:rFonts w:cstheme="minorHAnsi"/>
          <w:i/>
          <w:sz w:val="14"/>
          <w:szCs w:val="14"/>
        </w:rPr>
        <w:t xml:space="preserve">From Reformer to Performer. </w:t>
      </w:r>
      <w:r w:rsidRPr="00654F2B">
        <w:rPr>
          <w:rFonts w:cstheme="minorHAnsi"/>
          <w:sz w:val="14"/>
          <w:szCs w:val="14"/>
        </w:rPr>
        <w:t xml:space="preserve">2018 </w:t>
      </w:r>
    </w:p>
  </w:footnote>
  <w:footnote w:id="3">
    <w:p w:rsidR="00826B2C" w:rsidRDefault="00826B2C">
      <w:pPr>
        <w:pStyle w:val="FootnoteText"/>
      </w:pPr>
      <w:r>
        <w:rPr>
          <w:rStyle w:val="FootnoteReference"/>
        </w:rPr>
        <w:footnoteRef/>
      </w:r>
      <w:r>
        <w:t xml:space="preserve"> </w:t>
      </w:r>
      <w:r>
        <w:rPr>
          <w:rFonts w:cstheme="minorHAnsi"/>
          <w:color w:val="000000" w:themeColor="text1"/>
        </w:rPr>
        <w:t xml:space="preserve">See graphic below and </w:t>
      </w:r>
      <w:r w:rsidRPr="00647EEB">
        <w:rPr>
          <w:rFonts w:cstheme="minorHAnsi"/>
          <w:color w:val="000000" w:themeColor="text1"/>
        </w:rPr>
        <w:t>main report for data and details</w:t>
      </w:r>
    </w:p>
  </w:footnote>
  <w:footnote w:id="4">
    <w:p w:rsidR="00826B2C" w:rsidRPr="00654F2B" w:rsidRDefault="00826B2C" w:rsidP="00647EEB">
      <w:pPr>
        <w:pStyle w:val="FootnoteText"/>
        <w:rPr>
          <w:rFonts w:cstheme="minorHAnsi"/>
          <w:sz w:val="14"/>
          <w:szCs w:val="14"/>
        </w:rPr>
      </w:pPr>
      <w:r w:rsidRPr="00654F2B">
        <w:rPr>
          <w:rStyle w:val="FootnoteReference"/>
          <w:rFonts w:cstheme="minorHAnsi"/>
          <w:sz w:val="14"/>
          <w:szCs w:val="14"/>
        </w:rPr>
        <w:footnoteRef/>
      </w:r>
      <w:r w:rsidRPr="00654F2B">
        <w:rPr>
          <w:rFonts w:cstheme="minorHAnsi"/>
          <w:sz w:val="14"/>
          <w:szCs w:val="14"/>
        </w:rPr>
        <w:t xml:space="preserve"> Spinoffs are business units evolved out of internal innovations deemed able to produce value outside the parent company and thus converted into independent firms. In addition to creating new employment opportunities, they support local diversification and encourage entrepreneurial culture. Major companies including the vehicle brand Ferrari and industrials producer Alcoa are both examples of spinoffs that have transformed into leading global brands.</w:t>
      </w:r>
    </w:p>
  </w:footnote>
  <w:footnote w:id="5">
    <w:p w:rsidR="00826B2C" w:rsidRPr="00654F2B" w:rsidRDefault="00826B2C" w:rsidP="00D70F7A">
      <w:pPr>
        <w:pStyle w:val="FootnoteText"/>
        <w:rPr>
          <w:rFonts w:cstheme="minorHAnsi"/>
          <w:sz w:val="14"/>
          <w:szCs w:val="14"/>
        </w:rPr>
      </w:pPr>
      <w:r w:rsidRPr="00654F2B">
        <w:rPr>
          <w:rStyle w:val="FootnoteReference"/>
          <w:rFonts w:cstheme="minorHAnsi"/>
          <w:sz w:val="14"/>
          <w:szCs w:val="14"/>
        </w:rPr>
        <w:footnoteRef/>
      </w:r>
      <w:r w:rsidRPr="00654F2B">
        <w:rPr>
          <w:rFonts w:cstheme="minorHAnsi"/>
          <w:sz w:val="14"/>
          <w:szCs w:val="14"/>
        </w:rPr>
        <w:t xml:space="preserve"> Deloitte analysis based on World Bank Databank data</w:t>
      </w:r>
    </w:p>
  </w:footnote>
  <w:footnote w:id="6">
    <w:p w:rsidR="00826B2C" w:rsidRPr="00654F2B" w:rsidRDefault="00826B2C" w:rsidP="00D70F7A">
      <w:pPr>
        <w:pStyle w:val="FootnoteText"/>
        <w:rPr>
          <w:sz w:val="14"/>
          <w:szCs w:val="14"/>
        </w:rPr>
      </w:pPr>
      <w:r w:rsidRPr="00654F2B">
        <w:rPr>
          <w:rStyle w:val="FootnoteReference"/>
          <w:sz w:val="14"/>
          <w:szCs w:val="14"/>
        </w:rPr>
        <w:footnoteRef/>
      </w:r>
      <w:r w:rsidRPr="00654F2B">
        <w:rPr>
          <w:sz w:val="14"/>
          <w:szCs w:val="14"/>
        </w:rPr>
        <w:t xml:space="preserve"> Georgia Ministry of Economy and Sustainable Development.</w:t>
      </w:r>
      <w:r w:rsidRPr="00654F2B">
        <w:rPr>
          <w:i/>
          <w:sz w:val="14"/>
          <w:szCs w:val="14"/>
        </w:rPr>
        <w:t xml:space="preserve"> Economic Outlook</w:t>
      </w:r>
      <w:r w:rsidRPr="00654F2B">
        <w:rPr>
          <w:sz w:val="14"/>
          <w:szCs w:val="14"/>
        </w:rPr>
        <w:t>. 2018.</w:t>
      </w:r>
    </w:p>
  </w:footnote>
  <w:footnote w:id="7">
    <w:p w:rsidR="00826B2C" w:rsidRPr="00654F2B" w:rsidRDefault="00826B2C" w:rsidP="00D70F7A">
      <w:pPr>
        <w:pStyle w:val="FootnoteText"/>
        <w:rPr>
          <w:rFonts w:cstheme="minorHAnsi"/>
          <w:sz w:val="14"/>
          <w:szCs w:val="14"/>
        </w:rPr>
      </w:pPr>
      <w:r w:rsidRPr="00654F2B">
        <w:rPr>
          <w:rStyle w:val="FootnoteReference"/>
          <w:rFonts w:cstheme="minorHAnsi"/>
          <w:sz w:val="14"/>
          <w:szCs w:val="14"/>
        </w:rPr>
        <w:footnoteRef/>
      </w:r>
      <w:r w:rsidRPr="00654F2B">
        <w:rPr>
          <w:rFonts w:cstheme="minorHAnsi"/>
          <w:sz w:val="14"/>
          <w:szCs w:val="14"/>
        </w:rPr>
        <w:t xml:space="preserve"> World Bank. </w:t>
      </w:r>
      <w:r w:rsidRPr="00654F2B">
        <w:rPr>
          <w:rFonts w:cstheme="minorHAnsi"/>
          <w:i/>
          <w:sz w:val="14"/>
          <w:szCs w:val="14"/>
        </w:rPr>
        <w:t xml:space="preserve">From Reformer to Performer. </w:t>
      </w:r>
      <w:r w:rsidRPr="00654F2B">
        <w:rPr>
          <w:rFonts w:cstheme="minorHAnsi"/>
          <w:sz w:val="14"/>
          <w:szCs w:val="14"/>
        </w:rPr>
        <w:t xml:space="preserve">2018 </w:t>
      </w:r>
    </w:p>
  </w:footnote>
  <w:footnote w:id="8">
    <w:p w:rsidR="00826B2C" w:rsidRPr="00654F2B" w:rsidRDefault="00826B2C" w:rsidP="00D70F7A">
      <w:pPr>
        <w:pStyle w:val="FootnoteText"/>
        <w:rPr>
          <w:rFonts w:cstheme="minorHAnsi"/>
          <w:sz w:val="14"/>
          <w:szCs w:val="14"/>
        </w:rPr>
      </w:pPr>
      <w:r w:rsidRPr="00654F2B">
        <w:rPr>
          <w:rStyle w:val="FootnoteReference"/>
          <w:rFonts w:cstheme="minorHAnsi"/>
          <w:sz w:val="14"/>
          <w:szCs w:val="14"/>
        </w:rPr>
        <w:footnoteRef/>
      </w:r>
      <w:r w:rsidRPr="00654F2B">
        <w:rPr>
          <w:rFonts w:cstheme="minorHAnsi"/>
          <w:sz w:val="14"/>
          <w:szCs w:val="14"/>
        </w:rPr>
        <w:t xml:space="preserve"> Raynor, Michael. </w:t>
      </w:r>
      <w:r w:rsidRPr="00654F2B">
        <w:rPr>
          <w:rFonts w:cstheme="minorHAnsi"/>
          <w:i/>
          <w:sz w:val="14"/>
          <w:szCs w:val="14"/>
        </w:rPr>
        <w:t>Introducing perspectives on innovation</w:t>
      </w:r>
      <w:r w:rsidRPr="00654F2B">
        <w:rPr>
          <w:rFonts w:cstheme="minorHAnsi"/>
          <w:sz w:val="14"/>
          <w:szCs w:val="14"/>
        </w:rPr>
        <w:t>. Deloitte Insights, 13 April 2013, &lt;https://www2.deloitte.com/insights/us/en/topics/innovation/introducing-on-innovation.html&gt;</w:t>
      </w:r>
    </w:p>
  </w:footnote>
  <w:footnote w:id="9">
    <w:p w:rsidR="00826B2C" w:rsidRPr="00654F2B" w:rsidRDefault="00826B2C" w:rsidP="00D70F7A">
      <w:pPr>
        <w:pStyle w:val="FootnoteText"/>
        <w:rPr>
          <w:rFonts w:cstheme="minorHAnsi"/>
          <w:i/>
          <w:sz w:val="14"/>
          <w:szCs w:val="14"/>
        </w:rPr>
      </w:pPr>
      <w:r w:rsidRPr="00654F2B">
        <w:rPr>
          <w:rStyle w:val="FootnoteReference"/>
          <w:rFonts w:cstheme="minorHAnsi"/>
          <w:sz w:val="14"/>
          <w:szCs w:val="14"/>
        </w:rPr>
        <w:footnoteRef/>
      </w:r>
      <w:r w:rsidRPr="00654F2B">
        <w:rPr>
          <w:rFonts w:cstheme="minorHAnsi"/>
          <w:sz w:val="14"/>
          <w:szCs w:val="14"/>
        </w:rPr>
        <w:t xml:space="preserve"> Adapted from: Porter, Michael. </w:t>
      </w:r>
      <w:r w:rsidRPr="00654F2B">
        <w:rPr>
          <w:rFonts w:cstheme="minorHAnsi"/>
          <w:i/>
          <w:sz w:val="14"/>
          <w:szCs w:val="14"/>
        </w:rPr>
        <w:t xml:space="preserve">The Competitiveness of Nations. </w:t>
      </w:r>
      <w:r w:rsidRPr="00654F2B">
        <w:rPr>
          <w:rFonts w:cstheme="minorHAnsi"/>
          <w:sz w:val="14"/>
          <w:szCs w:val="14"/>
        </w:rPr>
        <w:t>1990</w:t>
      </w:r>
    </w:p>
  </w:footnote>
  <w:footnote w:id="10">
    <w:p w:rsidR="00826B2C" w:rsidRPr="00654F2B" w:rsidRDefault="00826B2C" w:rsidP="00D70F7A">
      <w:pPr>
        <w:pStyle w:val="FootnoteText"/>
        <w:rPr>
          <w:rFonts w:cstheme="minorHAnsi"/>
          <w:sz w:val="14"/>
          <w:szCs w:val="14"/>
        </w:rPr>
      </w:pPr>
      <w:r w:rsidRPr="00654F2B">
        <w:rPr>
          <w:rStyle w:val="FootnoteReference"/>
          <w:rFonts w:cstheme="minorHAnsi"/>
          <w:sz w:val="14"/>
          <w:szCs w:val="14"/>
        </w:rPr>
        <w:footnoteRef/>
      </w:r>
      <w:r w:rsidRPr="00654F2B">
        <w:rPr>
          <w:rFonts w:cstheme="minorHAnsi"/>
          <w:sz w:val="14"/>
          <w:szCs w:val="14"/>
        </w:rPr>
        <w:t xml:space="preserve"> Tradable industries bring new money into the economy from outside in exchange for an outgoing product or service, thereby introducing the competition, growth opportunities, and resources required for innovation and long-term growth. Non-tradable industries, by contrast, almost exclusively serve the local domestic market and lack incentives to respond to competitive dynamics. Whether an industry is non-tradable or tradable often depends on the sector. Some industries such as real estate or wholesale and resale trade are generally always untradeable; others however may vary based on the differentiated advantages of the economy.</w:t>
      </w:r>
    </w:p>
  </w:footnote>
  <w:footnote w:id="11">
    <w:p w:rsidR="00826B2C" w:rsidRPr="007F5DE8" w:rsidRDefault="00826B2C" w:rsidP="00CB64E6">
      <w:pPr>
        <w:pStyle w:val="FootnoteText"/>
        <w:rPr>
          <w:sz w:val="14"/>
          <w:szCs w:val="14"/>
        </w:rPr>
      </w:pPr>
      <w:r w:rsidRPr="007F5DE8">
        <w:rPr>
          <w:rStyle w:val="FootnoteReference"/>
          <w:sz w:val="14"/>
          <w:szCs w:val="14"/>
        </w:rPr>
        <w:footnoteRef/>
      </w:r>
      <w:r w:rsidRPr="007F5DE8">
        <w:rPr>
          <w:sz w:val="14"/>
          <w:szCs w:val="14"/>
        </w:rPr>
        <w:t xml:space="preserve"> As of July 2017, 35 of CERN’s 100 researchers were of Georgian origin. Source: Georgian Journal, “15 Georgian scientists working in world’s leading laboratories and universities.” 2017.</w:t>
      </w:r>
    </w:p>
  </w:footnote>
  <w:footnote w:id="12">
    <w:p w:rsidR="00826B2C" w:rsidRPr="00654F2B" w:rsidRDefault="00826B2C" w:rsidP="00CB64E6">
      <w:pPr>
        <w:pStyle w:val="FootnoteText"/>
        <w:rPr>
          <w:sz w:val="14"/>
          <w:szCs w:val="14"/>
        </w:rPr>
      </w:pPr>
      <w:r w:rsidRPr="00654F2B">
        <w:rPr>
          <w:rStyle w:val="FootnoteReference"/>
          <w:sz w:val="14"/>
          <w:szCs w:val="14"/>
        </w:rPr>
        <w:footnoteRef/>
      </w:r>
      <w:r w:rsidRPr="00654F2B">
        <w:rPr>
          <w:sz w:val="14"/>
          <w:szCs w:val="14"/>
        </w:rPr>
        <w:t xml:space="preserve"> Forbes. </w:t>
      </w:r>
      <w:r w:rsidRPr="00654F2B">
        <w:rPr>
          <w:i/>
          <w:sz w:val="14"/>
          <w:szCs w:val="14"/>
        </w:rPr>
        <w:t>OECD Names Georgia as a Model Country for Supporting Small and Medium Enterprises</w:t>
      </w:r>
      <w:r w:rsidRPr="00654F2B">
        <w:rPr>
          <w:sz w:val="14"/>
          <w:szCs w:val="14"/>
        </w:rPr>
        <w:t>. 2018</w:t>
      </w:r>
    </w:p>
  </w:footnote>
  <w:footnote w:id="13">
    <w:p w:rsidR="00826B2C" w:rsidRPr="00654F2B" w:rsidRDefault="00826B2C" w:rsidP="00CB64E6">
      <w:pPr>
        <w:pStyle w:val="FootnoteText"/>
        <w:rPr>
          <w:sz w:val="14"/>
          <w:szCs w:val="14"/>
        </w:rPr>
      </w:pPr>
      <w:r w:rsidRPr="00654F2B">
        <w:rPr>
          <w:rStyle w:val="FootnoteReference"/>
          <w:sz w:val="14"/>
          <w:szCs w:val="14"/>
        </w:rPr>
        <w:footnoteRef/>
      </w:r>
      <w:r w:rsidRPr="00654F2B">
        <w:rPr>
          <w:sz w:val="14"/>
          <w:szCs w:val="14"/>
        </w:rPr>
        <w:t xml:space="preserve"> Global Innovation Index, 2018</w:t>
      </w:r>
    </w:p>
  </w:footnote>
  <w:footnote w:id="14">
    <w:p w:rsidR="00826B2C" w:rsidRPr="00654F2B" w:rsidRDefault="00826B2C" w:rsidP="00CB64E6">
      <w:pPr>
        <w:pStyle w:val="FootnoteText"/>
        <w:rPr>
          <w:rFonts w:cstheme="minorHAnsi"/>
          <w:sz w:val="14"/>
          <w:szCs w:val="14"/>
        </w:rPr>
      </w:pPr>
      <w:r w:rsidRPr="00654F2B">
        <w:rPr>
          <w:rStyle w:val="FootnoteReference"/>
          <w:rFonts w:cstheme="minorHAnsi"/>
          <w:sz w:val="14"/>
          <w:szCs w:val="14"/>
        </w:rPr>
        <w:footnoteRef/>
      </w:r>
      <w:r w:rsidRPr="00654F2B">
        <w:rPr>
          <w:rFonts w:cstheme="minorHAnsi"/>
          <w:sz w:val="14"/>
          <w:szCs w:val="14"/>
        </w:rPr>
        <w:t xml:space="preserve"> World Bank Group</w:t>
      </w:r>
      <w:r w:rsidRPr="00654F2B">
        <w:rPr>
          <w:rFonts w:cstheme="minorHAnsi"/>
          <w:i/>
          <w:sz w:val="14"/>
          <w:szCs w:val="14"/>
        </w:rPr>
        <w:t>. Ease of Doing Business Report.</w:t>
      </w:r>
      <w:r w:rsidRPr="00654F2B">
        <w:rPr>
          <w:rFonts w:cstheme="minorHAnsi"/>
          <w:sz w:val="14"/>
          <w:szCs w:val="14"/>
        </w:rPr>
        <w:t xml:space="preserve"> 2019.</w:t>
      </w:r>
    </w:p>
  </w:footnote>
  <w:footnote w:id="15">
    <w:p w:rsidR="00826B2C" w:rsidRPr="00654F2B" w:rsidRDefault="00826B2C" w:rsidP="00CB64E6">
      <w:pPr>
        <w:pStyle w:val="FootnoteText"/>
        <w:rPr>
          <w:rFonts w:cstheme="minorHAnsi"/>
          <w:sz w:val="14"/>
          <w:szCs w:val="14"/>
        </w:rPr>
      </w:pPr>
      <w:r w:rsidRPr="00654F2B">
        <w:rPr>
          <w:rStyle w:val="FootnoteReference"/>
          <w:rFonts w:cstheme="minorHAnsi"/>
          <w:sz w:val="14"/>
          <w:szCs w:val="14"/>
        </w:rPr>
        <w:footnoteRef/>
      </w:r>
      <w:r w:rsidRPr="00654F2B">
        <w:rPr>
          <w:rFonts w:cstheme="minorHAnsi"/>
          <w:sz w:val="14"/>
          <w:szCs w:val="14"/>
        </w:rPr>
        <w:t xml:space="preserve"> Transparency International. </w:t>
      </w:r>
      <w:r w:rsidRPr="00654F2B">
        <w:rPr>
          <w:rFonts w:cstheme="minorHAnsi"/>
          <w:i/>
          <w:sz w:val="14"/>
          <w:szCs w:val="14"/>
        </w:rPr>
        <w:t>Corruption Perceptions Index.</w:t>
      </w:r>
      <w:r w:rsidRPr="00654F2B">
        <w:rPr>
          <w:rFonts w:cstheme="minorHAnsi"/>
          <w:sz w:val="14"/>
          <w:szCs w:val="14"/>
        </w:rPr>
        <w:t xml:space="preserve"> 2017</w:t>
      </w:r>
    </w:p>
  </w:footnote>
  <w:footnote w:id="16">
    <w:p w:rsidR="00826B2C" w:rsidRPr="00654F2B" w:rsidRDefault="00826B2C" w:rsidP="00CB64E6">
      <w:pPr>
        <w:pStyle w:val="FootnoteText"/>
        <w:rPr>
          <w:rFonts w:cstheme="minorHAnsi"/>
          <w:sz w:val="14"/>
          <w:szCs w:val="14"/>
        </w:rPr>
      </w:pPr>
      <w:r w:rsidRPr="00654F2B">
        <w:rPr>
          <w:rStyle w:val="FootnoteReference"/>
          <w:rFonts w:cstheme="minorHAnsi"/>
          <w:sz w:val="14"/>
          <w:szCs w:val="14"/>
        </w:rPr>
        <w:footnoteRef/>
      </w:r>
      <w:r w:rsidRPr="00654F2B">
        <w:rPr>
          <w:rFonts w:cstheme="minorHAnsi"/>
          <w:sz w:val="14"/>
          <w:szCs w:val="14"/>
        </w:rPr>
        <w:t xml:space="preserve"> Georgia = 176.8%; ECA average = 344.3%; Source: World Bank. </w:t>
      </w:r>
      <w:r w:rsidRPr="00654F2B">
        <w:rPr>
          <w:rFonts w:cstheme="minorHAnsi"/>
          <w:i/>
          <w:sz w:val="14"/>
          <w:szCs w:val="14"/>
        </w:rPr>
        <w:t xml:space="preserve">Ease of Doing Business Report. </w:t>
      </w:r>
      <w:r w:rsidRPr="00654F2B">
        <w:rPr>
          <w:rFonts w:cstheme="minorHAnsi"/>
          <w:sz w:val="14"/>
          <w:szCs w:val="14"/>
        </w:rPr>
        <w:t>2018.</w:t>
      </w:r>
    </w:p>
  </w:footnote>
  <w:footnote w:id="17">
    <w:p w:rsidR="00826B2C" w:rsidRPr="00654F2B" w:rsidRDefault="00826B2C" w:rsidP="00CB64E6">
      <w:pPr>
        <w:pStyle w:val="FootnoteText"/>
        <w:rPr>
          <w:rFonts w:cstheme="minorHAnsi"/>
          <w:sz w:val="14"/>
          <w:szCs w:val="14"/>
        </w:rPr>
      </w:pPr>
      <w:r w:rsidRPr="00654F2B">
        <w:rPr>
          <w:rStyle w:val="FootnoteReference"/>
          <w:rFonts w:cstheme="minorHAnsi"/>
          <w:sz w:val="14"/>
          <w:szCs w:val="14"/>
        </w:rPr>
        <w:footnoteRef/>
      </w:r>
      <w:r w:rsidRPr="00654F2B">
        <w:rPr>
          <w:rFonts w:cstheme="minorHAnsi"/>
          <w:sz w:val="14"/>
          <w:szCs w:val="14"/>
        </w:rPr>
        <w:t xml:space="preserve"> Deloitte analysis based on Comtrade statistics</w:t>
      </w:r>
    </w:p>
  </w:footnote>
  <w:footnote w:id="18">
    <w:p w:rsidR="00826B2C" w:rsidRPr="00654F2B" w:rsidRDefault="00826B2C" w:rsidP="00CB64E6">
      <w:pPr>
        <w:pStyle w:val="FootnoteText"/>
        <w:rPr>
          <w:rFonts w:cstheme="minorHAnsi"/>
          <w:sz w:val="14"/>
          <w:szCs w:val="14"/>
        </w:rPr>
      </w:pPr>
      <w:r w:rsidRPr="00654F2B">
        <w:rPr>
          <w:rStyle w:val="FootnoteReference"/>
          <w:rFonts w:cstheme="minorHAnsi"/>
          <w:sz w:val="14"/>
          <w:szCs w:val="14"/>
        </w:rPr>
        <w:footnoteRef/>
      </w:r>
      <w:r w:rsidRPr="00654F2B">
        <w:rPr>
          <w:rFonts w:cstheme="minorHAnsi"/>
          <w:sz w:val="14"/>
          <w:szCs w:val="14"/>
        </w:rPr>
        <w:t xml:space="preserve"> Deloitte analysis based on Georgia Ministry of Finance statistics on GDP at current prices</w:t>
      </w:r>
    </w:p>
  </w:footnote>
  <w:footnote w:id="19">
    <w:p w:rsidR="00826B2C" w:rsidRPr="00654F2B" w:rsidRDefault="00826B2C" w:rsidP="00CB64E6">
      <w:pPr>
        <w:pStyle w:val="FootnoteText"/>
        <w:rPr>
          <w:sz w:val="14"/>
          <w:szCs w:val="14"/>
        </w:rPr>
      </w:pPr>
      <w:r w:rsidRPr="00654F2B">
        <w:rPr>
          <w:rStyle w:val="FootnoteReference"/>
          <w:sz w:val="14"/>
          <w:szCs w:val="14"/>
        </w:rPr>
        <w:footnoteRef/>
      </w:r>
      <w:r w:rsidRPr="00654F2B">
        <w:rPr>
          <w:sz w:val="14"/>
          <w:szCs w:val="14"/>
        </w:rPr>
        <w:t xml:space="preserve"> Geostat. 2017</w:t>
      </w:r>
    </w:p>
  </w:footnote>
  <w:footnote w:id="20">
    <w:p w:rsidR="00826B2C" w:rsidRPr="00654F2B" w:rsidRDefault="00826B2C" w:rsidP="00CB64E6">
      <w:pPr>
        <w:pStyle w:val="FootnoteText"/>
        <w:rPr>
          <w:sz w:val="14"/>
          <w:szCs w:val="14"/>
        </w:rPr>
      </w:pPr>
      <w:r w:rsidRPr="00654F2B">
        <w:rPr>
          <w:rStyle w:val="FootnoteReference"/>
          <w:sz w:val="14"/>
          <w:szCs w:val="14"/>
        </w:rPr>
        <w:footnoteRef/>
      </w:r>
      <w:r w:rsidRPr="00654F2B">
        <w:rPr>
          <w:sz w:val="14"/>
          <w:szCs w:val="14"/>
        </w:rPr>
        <w:t xml:space="preserve"> Source: industry interviews</w:t>
      </w:r>
    </w:p>
  </w:footnote>
  <w:footnote w:id="21">
    <w:p w:rsidR="00826B2C" w:rsidRPr="00654F2B" w:rsidRDefault="00826B2C" w:rsidP="00CB64E6">
      <w:pPr>
        <w:pStyle w:val="FootnoteText"/>
        <w:rPr>
          <w:rFonts w:cstheme="minorHAnsi"/>
          <w:sz w:val="14"/>
          <w:szCs w:val="14"/>
        </w:rPr>
      </w:pPr>
      <w:r w:rsidRPr="00654F2B">
        <w:rPr>
          <w:rStyle w:val="FootnoteReference"/>
          <w:rFonts w:cstheme="minorHAnsi"/>
          <w:sz w:val="14"/>
          <w:szCs w:val="14"/>
        </w:rPr>
        <w:footnoteRef/>
      </w:r>
      <w:r w:rsidRPr="00654F2B">
        <w:rPr>
          <w:rFonts w:cstheme="minorHAnsi"/>
          <w:sz w:val="14"/>
          <w:szCs w:val="14"/>
        </w:rPr>
        <w:t xml:space="preserve"> See the “Recommendations” section for a detailed description of specific recommended actions</w:t>
      </w:r>
    </w:p>
  </w:footnote>
  <w:footnote w:id="22">
    <w:p w:rsidR="00826B2C" w:rsidRPr="00654F2B" w:rsidRDefault="00826B2C" w:rsidP="00CB64E6">
      <w:pPr>
        <w:pStyle w:val="FootnoteText"/>
        <w:rPr>
          <w:rFonts w:cstheme="minorHAnsi"/>
          <w:sz w:val="14"/>
          <w:szCs w:val="14"/>
        </w:rPr>
      </w:pPr>
      <w:r w:rsidRPr="00654F2B">
        <w:rPr>
          <w:rStyle w:val="FootnoteReference"/>
          <w:rFonts w:cstheme="minorHAnsi"/>
          <w:sz w:val="14"/>
          <w:szCs w:val="14"/>
        </w:rPr>
        <w:footnoteRef/>
      </w:r>
      <w:r w:rsidRPr="00654F2B">
        <w:rPr>
          <w:rFonts w:cstheme="minorHAnsi"/>
          <w:sz w:val="14"/>
          <w:szCs w:val="14"/>
        </w:rPr>
        <w:t xml:space="preserve"> Deloitte analysis based on World Bank Databank data</w:t>
      </w:r>
    </w:p>
  </w:footnote>
  <w:footnote w:id="23">
    <w:p w:rsidR="00826B2C" w:rsidRPr="00654F2B" w:rsidRDefault="00826B2C" w:rsidP="00CB64E6">
      <w:pPr>
        <w:pStyle w:val="FootnoteText"/>
        <w:rPr>
          <w:rFonts w:cstheme="minorHAnsi"/>
          <w:sz w:val="14"/>
          <w:szCs w:val="14"/>
        </w:rPr>
      </w:pPr>
      <w:r w:rsidRPr="00654F2B">
        <w:rPr>
          <w:rStyle w:val="FootnoteReference"/>
          <w:rFonts w:cstheme="minorHAnsi"/>
          <w:sz w:val="14"/>
          <w:szCs w:val="14"/>
        </w:rPr>
        <w:footnoteRef/>
      </w:r>
      <w:r w:rsidRPr="00654F2B">
        <w:rPr>
          <w:rFonts w:cstheme="minorHAnsi"/>
          <w:sz w:val="14"/>
          <w:szCs w:val="14"/>
        </w:rPr>
        <w:t xml:space="preserve"> ibid</w:t>
      </w:r>
    </w:p>
  </w:footnote>
  <w:footnote w:id="24">
    <w:p w:rsidR="00826B2C" w:rsidRPr="00654F2B" w:rsidRDefault="00826B2C" w:rsidP="00CB64E6">
      <w:pPr>
        <w:pStyle w:val="FootnoteText"/>
        <w:rPr>
          <w:rFonts w:cstheme="minorHAnsi"/>
          <w:sz w:val="14"/>
          <w:szCs w:val="14"/>
        </w:rPr>
      </w:pPr>
      <w:r w:rsidRPr="00654F2B">
        <w:rPr>
          <w:rStyle w:val="FootnoteReference"/>
          <w:rFonts w:cstheme="minorHAnsi"/>
          <w:sz w:val="14"/>
          <w:szCs w:val="14"/>
        </w:rPr>
        <w:footnoteRef/>
      </w:r>
      <w:r w:rsidRPr="00654F2B">
        <w:rPr>
          <w:rFonts w:cstheme="minorHAnsi"/>
          <w:sz w:val="14"/>
          <w:szCs w:val="14"/>
        </w:rPr>
        <w:t xml:space="preserve"> ibid</w:t>
      </w:r>
    </w:p>
  </w:footnote>
  <w:footnote w:id="25">
    <w:p w:rsidR="00826B2C" w:rsidRPr="00654F2B" w:rsidRDefault="00826B2C" w:rsidP="00CB64E6">
      <w:pPr>
        <w:pStyle w:val="FootnoteText"/>
        <w:rPr>
          <w:rFonts w:cstheme="minorHAnsi"/>
          <w:sz w:val="14"/>
          <w:szCs w:val="14"/>
        </w:rPr>
      </w:pPr>
      <w:r w:rsidRPr="00654F2B">
        <w:rPr>
          <w:rStyle w:val="FootnoteReference"/>
          <w:rFonts w:cstheme="minorHAnsi"/>
          <w:sz w:val="14"/>
          <w:szCs w:val="14"/>
        </w:rPr>
        <w:footnoteRef/>
      </w:r>
      <w:r w:rsidRPr="00654F2B">
        <w:rPr>
          <w:rFonts w:cstheme="minorHAnsi"/>
          <w:sz w:val="14"/>
          <w:szCs w:val="14"/>
        </w:rPr>
        <w:t xml:space="preserve"> Spinoffs are business units evolved out of internal innovations deemed able to produce value outside the parent company and thus converted into independent firms. In addition to creating new employment opportunities, they support local diversification and encourage entrepreneurial culture. Major companies including the vehicle brand Ferrari and industrials producer Alcoa are both examples of spinoffs that have transformed into leading global brands.</w:t>
      </w:r>
    </w:p>
  </w:footnote>
  <w:footnote w:id="26">
    <w:p w:rsidR="00826B2C" w:rsidRPr="00654F2B" w:rsidRDefault="00826B2C" w:rsidP="002B2455">
      <w:pPr>
        <w:pStyle w:val="FootnoteText"/>
        <w:rPr>
          <w:sz w:val="14"/>
          <w:szCs w:val="14"/>
        </w:rPr>
      </w:pPr>
      <w:r w:rsidRPr="00654F2B">
        <w:rPr>
          <w:rStyle w:val="FootnoteReference"/>
          <w:sz w:val="14"/>
          <w:szCs w:val="14"/>
        </w:rPr>
        <w:footnoteRef/>
      </w:r>
      <w:r w:rsidRPr="00654F2B">
        <w:rPr>
          <w:sz w:val="14"/>
          <w:szCs w:val="14"/>
        </w:rPr>
        <w:t xml:space="preserve"> See “Monitoring &amp; Evaluation” for corresponding metrics for each indicator listed</w:t>
      </w:r>
    </w:p>
  </w:footnote>
  <w:footnote w:id="27">
    <w:p w:rsidR="00826B2C" w:rsidRPr="00654F2B" w:rsidRDefault="00826B2C" w:rsidP="002B2455">
      <w:pPr>
        <w:pStyle w:val="FootnoteText"/>
        <w:rPr>
          <w:sz w:val="14"/>
          <w:szCs w:val="14"/>
        </w:rPr>
      </w:pPr>
      <w:r w:rsidRPr="00654F2B">
        <w:rPr>
          <w:rStyle w:val="FootnoteReference"/>
          <w:sz w:val="14"/>
          <w:szCs w:val="14"/>
        </w:rPr>
        <w:footnoteRef/>
      </w:r>
      <w:r w:rsidRPr="00654F2B">
        <w:rPr>
          <w:sz w:val="14"/>
          <w:szCs w:val="14"/>
        </w:rPr>
        <w:t xml:space="preserve"> World Bank. </w:t>
      </w:r>
      <w:r w:rsidRPr="00654F2B">
        <w:rPr>
          <w:i/>
          <w:sz w:val="14"/>
          <w:szCs w:val="14"/>
        </w:rPr>
        <w:t>From Reformer to Performer.</w:t>
      </w:r>
      <w:r w:rsidRPr="00654F2B">
        <w:rPr>
          <w:sz w:val="14"/>
          <w:szCs w:val="14"/>
        </w:rPr>
        <w:t xml:space="preserve"> 2018</w:t>
      </w:r>
    </w:p>
  </w:footnote>
  <w:footnote w:id="28">
    <w:p w:rsidR="00826B2C" w:rsidRPr="00654F2B" w:rsidRDefault="00826B2C" w:rsidP="002B2455">
      <w:pPr>
        <w:pStyle w:val="FootnoteText"/>
        <w:rPr>
          <w:sz w:val="14"/>
          <w:szCs w:val="14"/>
        </w:rPr>
      </w:pPr>
      <w:r w:rsidRPr="00654F2B">
        <w:rPr>
          <w:rStyle w:val="FootnoteReference"/>
          <w:sz w:val="14"/>
          <w:szCs w:val="14"/>
        </w:rPr>
        <w:footnoteRef/>
      </w:r>
      <w:r w:rsidRPr="00654F2B">
        <w:rPr>
          <w:sz w:val="14"/>
          <w:szCs w:val="14"/>
        </w:rPr>
        <w:t xml:space="preserve"> Based on interviews with industry practitioners</w:t>
      </w:r>
    </w:p>
  </w:footnote>
  <w:footnote w:id="29">
    <w:p w:rsidR="00826B2C" w:rsidRPr="00654F2B" w:rsidRDefault="00826B2C" w:rsidP="002B2455">
      <w:pPr>
        <w:pStyle w:val="FootnoteText"/>
        <w:rPr>
          <w:rFonts w:cstheme="minorHAnsi"/>
          <w:sz w:val="14"/>
          <w:szCs w:val="14"/>
        </w:rPr>
      </w:pPr>
      <w:r w:rsidRPr="00654F2B">
        <w:rPr>
          <w:rStyle w:val="FootnoteReference"/>
          <w:rFonts w:cstheme="minorHAnsi"/>
          <w:sz w:val="14"/>
          <w:szCs w:val="14"/>
        </w:rPr>
        <w:footnoteRef/>
      </w:r>
      <w:r w:rsidRPr="00654F2B">
        <w:rPr>
          <w:rFonts w:cstheme="minorHAnsi"/>
          <w:sz w:val="14"/>
          <w:szCs w:val="14"/>
        </w:rPr>
        <w:t xml:space="preserve"> This may include: strengthening national branding scheme, helping local companies with their branding schemes, working with target countries on enforcement efforts, etc.</w:t>
      </w:r>
    </w:p>
  </w:footnote>
  <w:footnote w:id="30">
    <w:p w:rsidR="00826B2C" w:rsidRPr="00654F2B" w:rsidRDefault="00826B2C" w:rsidP="002B2455">
      <w:pPr>
        <w:pStyle w:val="FootnoteText"/>
        <w:rPr>
          <w:rFonts w:cstheme="minorHAnsi"/>
          <w:sz w:val="14"/>
          <w:szCs w:val="14"/>
        </w:rPr>
      </w:pPr>
      <w:r w:rsidRPr="00654F2B">
        <w:rPr>
          <w:rStyle w:val="FootnoteReference"/>
          <w:rFonts w:cstheme="minorHAnsi"/>
          <w:sz w:val="14"/>
          <w:szCs w:val="14"/>
        </w:rPr>
        <w:footnoteRef/>
      </w:r>
      <w:r w:rsidRPr="00654F2B">
        <w:rPr>
          <w:rFonts w:cstheme="minorHAnsi"/>
          <w:sz w:val="14"/>
          <w:szCs w:val="14"/>
        </w:rPr>
        <w:t xml:space="preserve"> This may include: seeking co-investment from leading companies in the hospitality industry in Georgia to attract a globally recognized higher education and vocational program to the country, complemented by global exchange programs for high qualified individuals; or alternatively supporting companies to host in-house programs</w:t>
      </w:r>
    </w:p>
  </w:footnote>
  <w:footnote w:id="31">
    <w:p w:rsidR="00826B2C" w:rsidRPr="00654F2B" w:rsidRDefault="00826B2C" w:rsidP="002B2455">
      <w:pPr>
        <w:spacing w:after="60"/>
        <w:rPr>
          <w:rFonts w:cstheme="minorHAnsi"/>
          <w:sz w:val="14"/>
          <w:szCs w:val="14"/>
        </w:rPr>
      </w:pPr>
      <w:r w:rsidRPr="00654F2B">
        <w:rPr>
          <w:rStyle w:val="FootnoteReference"/>
          <w:rFonts w:cstheme="minorHAnsi"/>
          <w:sz w:val="14"/>
          <w:szCs w:val="14"/>
        </w:rPr>
        <w:footnoteRef/>
      </w:r>
      <w:r w:rsidRPr="00654F2B">
        <w:rPr>
          <w:rFonts w:cstheme="minorHAnsi"/>
          <w:sz w:val="14"/>
          <w:szCs w:val="14"/>
        </w:rPr>
        <w:t xml:space="preserve"> This may include: programs offering targeted financial and technical support to companies interested in developing offerings in this space in cooperation with donors.</w:t>
      </w:r>
    </w:p>
    <w:p w:rsidR="00826B2C" w:rsidRPr="00654F2B" w:rsidRDefault="00826B2C" w:rsidP="002B2455">
      <w:pPr>
        <w:pStyle w:val="FootnoteText"/>
        <w:rPr>
          <w:rFonts w:cstheme="minorHAnsi"/>
          <w:sz w:val="14"/>
          <w:szCs w:val="14"/>
        </w:rPr>
      </w:pPr>
    </w:p>
  </w:footnote>
  <w:footnote w:id="32">
    <w:p w:rsidR="00826B2C" w:rsidRPr="00654F2B" w:rsidRDefault="00826B2C" w:rsidP="002B2455">
      <w:pPr>
        <w:pStyle w:val="FootnoteText"/>
        <w:rPr>
          <w:rFonts w:cstheme="minorHAnsi"/>
          <w:sz w:val="14"/>
          <w:szCs w:val="14"/>
        </w:rPr>
      </w:pPr>
      <w:r w:rsidRPr="00654F2B">
        <w:rPr>
          <w:rStyle w:val="FootnoteReference"/>
          <w:rFonts w:cstheme="minorHAnsi"/>
          <w:sz w:val="14"/>
          <w:szCs w:val="14"/>
        </w:rPr>
        <w:footnoteRef/>
      </w:r>
      <w:r w:rsidRPr="00654F2B">
        <w:rPr>
          <w:rFonts w:cstheme="minorHAnsi"/>
          <w:sz w:val="14"/>
          <w:szCs w:val="14"/>
        </w:rPr>
        <w:t xml:space="preserve"> Explore the possibility of a fund to finance skills-development with private sector financing. Potential models include: Singapore Skills Development Fund requiring companies to contribute 1% gross salary; Ireland labor Market Activation Fund</w:t>
      </w:r>
    </w:p>
  </w:footnote>
  <w:footnote w:id="33">
    <w:p w:rsidR="00826B2C" w:rsidRPr="00654F2B" w:rsidRDefault="00826B2C" w:rsidP="002B2455">
      <w:pPr>
        <w:pStyle w:val="FootnoteText"/>
        <w:rPr>
          <w:rFonts w:cstheme="minorHAnsi"/>
          <w:sz w:val="14"/>
          <w:szCs w:val="14"/>
        </w:rPr>
      </w:pPr>
      <w:r w:rsidRPr="00654F2B">
        <w:rPr>
          <w:rStyle w:val="FootnoteReference"/>
          <w:rFonts w:cstheme="minorHAnsi"/>
          <w:sz w:val="14"/>
          <w:szCs w:val="14"/>
        </w:rPr>
        <w:footnoteRef/>
      </w:r>
      <w:r w:rsidRPr="00654F2B">
        <w:rPr>
          <w:rFonts w:cstheme="minorHAnsi"/>
          <w:sz w:val="14"/>
          <w:szCs w:val="14"/>
        </w:rPr>
        <w:t xml:space="preserve"> Adapted from World Bank Broadband Strategy – pending formal adoption</w:t>
      </w:r>
    </w:p>
  </w:footnote>
  <w:footnote w:id="34">
    <w:p w:rsidR="00826B2C" w:rsidRPr="00654F2B" w:rsidRDefault="00826B2C" w:rsidP="002B2455">
      <w:pPr>
        <w:pStyle w:val="FootnoteText"/>
        <w:rPr>
          <w:rFonts w:cstheme="minorHAnsi"/>
          <w:sz w:val="14"/>
          <w:szCs w:val="14"/>
        </w:rPr>
      </w:pPr>
      <w:r w:rsidRPr="00654F2B">
        <w:rPr>
          <w:rStyle w:val="FootnoteReference"/>
          <w:rFonts w:cstheme="minorHAnsi"/>
          <w:sz w:val="14"/>
          <w:szCs w:val="14"/>
        </w:rPr>
        <w:footnoteRef/>
      </w:r>
      <w:r w:rsidRPr="00654F2B">
        <w:rPr>
          <w:rFonts w:cstheme="minorHAnsi"/>
          <w:sz w:val="14"/>
          <w:szCs w:val="14"/>
        </w:rPr>
        <w:t xml:space="preserve"> Supporting competition in the credit sector was a pillar of Israel’s transition to capital markets, among other countries. See source: OECD. “Israel: Review of the Financial System”. 2011 </w:t>
      </w:r>
      <w:hyperlink r:id="rId1" w:history="1">
        <w:r w:rsidRPr="00654F2B">
          <w:rPr>
            <w:rStyle w:val="Hyperlink"/>
            <w:rFonts w:cstheme="minorHAnsi"/>
            <w:sz w:val="14"/>
            <w:szCs w:val="14"/>
          </w:rPr>
          <w:t>https://www.oecd.org/finance/financial-markets/49497958.pdf</w:t>
        </w:r>
      </w:hyperlink>
      <w:r w:rsidRPr="00654F2B">
        <w:rPr>
          <w:rFonts w:cstheme="minorHAnsi"/>
          <w:sz w:val="14"/>
          <w:szCs w:val="14"/>
        </w:rPr>
        <w:t xml:space="preserve"> </w:t>
      </w:r>
    </w:p>
  </w:footnote>
  <w:footnote w:id="35">
    <w:p w:rsidR="00826B2C" w:rsidRPr="00654F2B" w:rsidRDefault="00826B2C" w:rsidP="002B2455">
      <w:pPr>
        <w:pStyle w:val="FootnoteText"/>
        <w:rPr>
          <w:sz w:val="14"/>
          <w:szCs w:val="14"/>
        </w:rPr>
      </w:pPr>
      <w:r w:rsidRPr="00654F2B">
        <w:rPr>
          <w:rStyle w:val="FootnoteReference"/>
          <w:sz w:val="14"/>
          <w:szCs w:val="14"/>
        </w:rPr>
        <w:footnoteRef/>
      </w:r>
      <w:r w:rsidRPr="00654F2B">
        <w:rPr>
          <w:sz w:val="14"/>
          <w:szCs w:val="14"/>
        </w:rPr>
        <w:t xml:space="preserve"> Israel presents a viable reference model – the country recently instituted a set of policies to encourage competition in the financial sector, including an “open banking” policy and other steps to ease the transfer of information between banks, as well as policies to enable new bank and non-bank entrants. Source: Bank of Israel. “Competition and the changes in competition in the Israeli banking system.” 2018. </w:t>
      </w:r>
      <w:hyperlink r:id="rId2" w:history="1">
        <w:r w:rsidRPr="00654F2B">
          <w:rPr>
            <w:rStyle w:val="Hyperlink"/>
            <w:sz w:val="14"/>
            <w:szCs w:val="14"/>
          </w:rPr>
          <w:t>https://www.boi.org.il/en/NewsAndPublications/PressReleases/Pages/21-5-18-Competition.aspx</w:t>
        </w:r>
      </w:hyperlink>
      <w:r w:rsidRPr="00654F2B">
        <w:rPr>
          <w:sz w:val="14"/>
          <w:szCs w:val="14"/>
        </w:rPr>
        <w:t xml:space="preserve"> </w:t>
      </w:r>
    </w:p>
  </w:footnote>
  <w:footnote w:id="36">
    <w:p w:rsidR="00826B2C" w:rsidRPr="00654F2B" w:rsidRDefault="00826B2C" w:rsidP="002B2455">
      <w:pPr>
        <w:pStyle w:val="FootnoteText"/>
        <w:rPr>
          <w:rFonts w:cstheme="minorHAnsi"/>
          <w:sz w:val="14"/>
          <w:szCs w:val="14"/>
        </w:rPr>
      </w:pPr>
      <w:r w:rsidRPr="00654F2B">
        <w:rPr>
          <w:rStyle w:val="FootnoteReference"/>
          <w:rFonts w:cstheme="minorHAnsi"/>
          <w:sz w:val="14"/>
          <w:szCs w:val="14"/>
        </w:rPr>
        <w:footnoteRef/>
      </w:r>
      <w:r w:rsidRPr="00654F2B">
        <w:rPr>
          <w:rFonts w:cstheme="minorHAnsi"/>
          <w:sz w:val="14"/>
          <w:szCs w:val="14"/>
        </w:rPr>
        <w:t xml:space="preserve"> Possible models to adapt and / or emulate include Israeli Yozma program and Singapore VC programs</w:t>
      </w:r>
    </w:p>
  </w:footnote>
  <w:footnote w:id="37">
    <w:p w:rsidR="00826B2C" w:rsidRPr="00654F2B" w:rsidRDefault="00826B2C" w:rsidP="002B2455">
      <w:pPr>
        <w:pStyle w:val="FootnoteText"/>
        <w:rPr>
          <w:sz w:val="14"/>
          <w:szCs w:val="14"/>
        </w:rPr>
      </w:pPr>
      <w:r w:rsidRPr="00654F2B">
        <w:rPr>
          <w:rStyle w:val="FootnoteReference"/>
          <w:sz w:val="14"/>
          <w:szCs w:val="14"/>
        </w:rPr>
        <w:footnoteRef/>
      </w:r>
      <w:r w:rsidRPr="00654F2B">
        <w:rPr>
          <w:sz w:val="14"/>
          <w:szCs w:val="14"/>
        </w:rPr>
        <w:t xml:space="preserve"> </w:t>
      </w:r>
      <w:r w:rsidRPr="00654F2B">
        <w:rPr>
          <w:rFonts w:cstheme="minorHAnsi"/>
          <w:sz w:val="14"/>
          <w:szCs w:val="14"/>
        </w:rPr>
        <w:t>Possible models to adapt and / or emulate include Australia’s “Landing</w:t>
      </w:r>
      <w:r w:rsidRPr="00654F2B">
        <w:rPr>
          <w:sz w:val="14"/>
          <w:szCs w:val="14"/>
        </w:rPr>
        <w:t xml:space="preserve"> Pads for Australians Scaling Globally” program</w:t>
      </w:r>
    </w:p>
  </w:footnote>
  <w:footnote w:id="38">
    <w:p w:rsidR="00826B2C" w:rsidRPr="00654F2B" w:rsidRDefault="00826B2C" w:rsidP="002B2455">
      <w:pPr>
        <w:pStyle w:val="FootnoteText"/>
        <w:rPr>
          <w:rFonts w:cstheme="minorHAnsi"/>
          <w:sz w:val="14"/>
          <w:szCs w:val="14"/>
        </w:rPr>
      </w:pPr>
      <w:r w:rsidRPr="00654F2B">
        <w:rPr>
          <w:rStyle w:val="FootnoteReference"/>
          <w:rFonts w:cstheme="minorHAnsi"/>
          <w:sz w:val="14"/>
          <w:szCs w:val="14"/>
        </w:rPr>
        <w:footnoteRef/>
      </w:r>
      <w:r w:rsidRPr="00654F2B">
        <w:rPr>
          <w:rFonts w:cstheme="minorHAnsi"/>
          <w:sz w:val="14"/>
          <w:szCs w:val="14"/>
        </w:rPr>
        <w:t xml:space="preserve"> Competence Centers outlined and defined in European Commission, “Specific Support to Georgia – Horizon 2020 Policy Support Facility,” 2018: “A competence centre (CC) is a clustering and collaborative tool, designed in a way that actors from diverse knowledge supply and demand sectors are motivated to cooperate on development and application of marketable solutions and outputs (products). CCs enable companies to absorb research, in particular those companies with limited own R&amp;D resources. CCs help them improving R&amp;D capacity, acquiring and marketing innovations. Moreover, CCs support collaborative projects between different partners (SMEs, big companies and public research organizations)”.</w:t>
      </w:r>
    </w:p>
  </w:footnote>
  <w:footnote w:id="39">
    <w:p w:rsidR="00826B2C" w:rsidRPr="00654F2B" w:rsidRDefault="00826B2C" w:rsidP="002B2455">
      <w:pPr>
        <w:pStyle w:val="FootnoteText"/>
        <w:rPr>
          <w:rFonts w:cstheme="minorHAnsi"/>
          <w:sz w:val="14"/>
          <w:szCs w:val="14"/>
        </w:rPr>
      </w:pPr>
      <w:r w:rsidRPr="00654F2B">
        <w:rPr>
          <w:rStyle w:val="FootnoteReference"/>
          <w:rFonts w:cstheme="minorHAnsi"/>
          <w:sz w:val="14"/>
          <w:szCs w:val="14"/>
        </w:rPr>
        <w:footnoteRef/>
      </w:r>
      <w:r w:rsidRPr="00654F2B">
        <w:rPr>
          <w:rFonts w:cstheme="minorHAnsi"/>
          <w:sz w:val="14"/>
          <w:szCs w:val="14"/>
        </w:rPr>
        <w:t xml:space="preserve"> “Quasi-public” corporations are a type of corporation backed by a part of government and has a public mandate. Corporates are privately owned and operated, but generally have partial to full government funding. </w:t>
      </w:r>
    </w:p>
  </w:footnote>
  <w:footnote w:id="40">
    <w:p w:rsidR="00826B2C" w:rsidRPr="00654F2B" w:rsidRDefault="00826B2C" w:rsidP="002B2455">
      <w:pPr>
        <w:pStyle w:val="FootnoteText"/>
        <w:rPr>
          <w:sz w:val="14"/>
          <w:szCs w:val="14"/>
        </w:rPr>
      </w:pPr>
      <w:r w:rsidRPr="00654F2B">
        <w:rPr>
          <w:rStyle w:val="FootnoteReference"/>
          <w:sz w:val="14"/>
          <w:szCs w:val="14"/>
        </w:rPr>
        <w:footnoteRef/>
      </w:r>
      <w:r w:rsidRPr="00654F2B">
        <w:rPr>
          <w:sz w:val="14"/>
          <w:szCs w:val="14"/>
        </w:rPr>
        <w:t xml:space="preserve"> Foreign investment attraction entities are commonly public, or a blend of public and private, often referred to as “quasi-government”, “quasi-public”, or “semi-state”. According to UNCTAD, approximately 80% of investment attraction agencies are public, while 20% are quasi-government entities. In most cases these blended entities are autonomous of government, but operate with substantial, if not total government funding. Examples of quasi-government investment attraction agencies include IDA Ireland, the Uganda Investment Authority, Azerbaijan Export and Investment Promotion Foundation (AZPROMO), PROCOLOMBIA (Colombia), among others. Source: UNCTAD, </w:t>
      </w:r>
      <w:r w:rsidRPr="00654F2B">
        <w:rPr>
          <w:i/>
          <w:sz w:val="14"/>
          <w:szCs w:val="14"/>
        </w:rPr>
        <w:t>The World Of Investment Promotion At A Glance</w:t>
      </w:r>
      <w:r w:rsidRPr="00654F2B">
        <w:rPr>
          <w:sz w:val="14"/>
          <w:szCs w:val="14"/>
        </w:rPr>
        <w:t>, 2001. https://unctad.org/en/Docs/poiteipcd3.en.pdf.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B2C" w:rsidRDefault="00826B2C" w:rsidP="007814E0">
    <w:pPr>
      <w:pStyle w:val="Header"/>
      <w:tabs>
        <w:tab w:val="clear" w:pos="4320"/>
        <w:tab w:val="clear" w:pos="8640"/>
        <w:tab w:val="center" w:pos="4514"/>
      </w:tabs>
    </w:pPr>
    <w:r>
      <w:rPr>
        <w:noProof/>
      </w:rPr>
      <w:drawing>
        <wp:anchor distT="0" distB="0" distL="114300" distR="114300" simplePos="0" relativeHeight="251658240" behindDoc="1" locked="0" layoutInCell="1" allowOverlap="1" wp14:anchorId="75BD8110" wp14:editId="020D3EF9">
          <wp:simplePos x="0" y="0"/>
          <wp:positionH relativeFrom="column">
            <wp:posOffset>4962525</wp:posOffset>
          </wp:positionH>
          <wp:positionV relativeFrom="paragraph">
            <wp:posOffset>-247650</wp:posOffset>
          </wp:positionV>
          <wp:extent cx="1333500" cy="488950"/>
          <wp:effectExtent l="0" t="0" r="0" b="6350"/>
          <wp:wrapThrough wrapText="bothSides">
            <wp:wrapPolygon edited="0">
              <wp:start x="9566" y="0"/>
              <wp:lineTo x="2469" y="842"/>
              <wp:lineTo x="0" y="4208"/>
              <wp:lineTo x="0" y="14306"/>
              <wp:lineTo x="1543" y="19356"/>
              <wp:lineTo x="1851" y="21039"/>
              <wp:lineTo x="11109" y="21039"/>
              <wp:lineTo x="19131" y="15990"/>
              <wp:lineTo x="18823" y="14306"/>
              <wp:lineTo x="21291" y="5891"/>
              <wp:lineTo x="20674" y="4208"/>
              <wp:lineTo x="11109" y="0"/>
              <wp:lineTo x="9566" y="0"/>
            </wp:wrapPolygon>
          </wp:wrapThrough>
          <wp:docPr id="9" name="Picture 9" descr="C:\Users\NAME1\Desktop\logo-new-typograph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ME1\Desktop\logo-new-typograph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3500" cy="488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97966CE" wp14:editId="2169DFDA">
          <wp:simplePos x="0" y="0"/>
          <wp:positionH relativeFrom="column">
            <wp:posOffset>-361950</wp:posOffset>
          </wp:positionH>
          <wp:positionV relativeFrom="paragraph">
            <wp:posOffset>-247650</wp:posOffset>
          </wp:positionV>
          <wp:extent cx="4019550" cy="544830"/>
          <wp:effectExtent l="0" t="0" r="0" b="7620"/>
          <wp:wrapThrough wrapText="bothSides">
            <wp:wrapPolygon edited="0">
              <wp:start x="0" y="0"/>
              <wp:lineTo x="0" y="21147"/>
              <wp:lineTo x="21498" y="21147"/>
              <wp:lineTo x="21498" y="0"/>
              <wp:lineTo x="0" y="0"/>
            </wp:wrapPolygon>
          </wp:wrapThrough>
          <wp:docPr id="11" name="Picture 11" descr="C:\Users\g4g_27\Desktop\Logos\USAID -Georgia-logo\Lockup_GEORGIA_RGB_HIGH.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4g_27\Desktop\Logos\USAID -Georgia-logo\Lockup_GEORGIA_RGB_HIGH.bm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019550" cy="54483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B2C" w:rsidRDefault="00826B2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4719"/>
    <w:multiLevelType w:val="hybridMultilevel"/>
    <w:tmpl w:val="93BE5C76"/>
    <w:lvl w:ilvl="0" w:tplc="031ED540">
      <w:start w:val="1"/>
      <w:numFmt w:val="bullet"/>
      <w:pStyle w:val="TableBullets"/>
      <w:lvlText w:val=""/>
      <w:lvlJc w:val="left"/>
      <w:pPr>
        <w:ind w:left="450" w:hanging="360"/>
      </w:pPr>
      <w:rPr>
        <w:rFonts w:ascii="Wingdings" w:hAnsi="Wingdings" w:hint="default"/>
        <w:color w:val="000000"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64E97"/>
    <w:multiLevelType w:val="hybridMultilevel"/>
    <w:tmpl w:val="DD547FE4"/>
    <w:lvl w:ilvl="0" w:tplc="CB44A5D2">
      <w:start w:val="2"/>
      <w:numFmt w:val="decimal"/>
      <w:pStyle w:val="Heading2"/>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92A47"/>
    <w:multiLevelType w:val="multilevel"/>
    <w:tmpl w:val="5EEE624A"/>
    <w:lvl w:ilvl="0">
      <w:start w:val="1"/>
      <w:numFmt w:val="upperRoman"/>
      <w:lvlText w:val="%1."/>
      <w:lvlJc w:val="left"/>
      <w:pPr>
        <w:ind w:left="0" w:firstLine="0"/>
      </w:pPr>
      <w:rPr>
        <w:rFonts w:hint="default"/>
        <w:b/>
        <w:i w:val="0"/>
        <w:sz w:val="36"/>
        <w:szCs w:val="28"/>
      </w:rPr>
    </w:lvl>
    <w:lvl w:ilvl="1">
      <w:start w:val="1"/>
      <w:numFmt w:val="upperLetter"/>
      <w:lvlText w:val="%2."/>
      <w:lvlJc w:val="left"/>
      <w:pPr>
        <w:ind w:left="360" w:firstLine="0"/>
      </w:pPr>
      <w:rPr>
        <w:rFonts w:hint="default"/>
        <w:color w:val="00206C"/>
        <w:sz w:val="28"/>
        <w:szCs w:val="28"/>
      </w:rPr>
    </w:lvl>
    <w:lvl w:ilvl="2">
      <w:start w:val="1"/>
      <w:numFmt w:val="decimal"/>
      <w:lvlText w:val="%3."/>
      <w:lvlJc w:val="left"/>
      <w:pPr>
        <w:ind w:left="720" w:firstLine="0"/>
      </w:pPr>
      <w:rPr>
        <w:rFonts w:hint="default"/>
        <w:sz w:val="20"/>
        <w:szCs w:val="24"/>
      </w:rPr>
    </w:lvl>
    <w:lvl w:ilvl="3">
      <w:start w:val="1"/>
      <w:numFmt w:val="lowerLetter"/>
      <w:lvlText w:val="%4)"/>
      <w:lvlJc w:val="left"/>
      <w:pPr>
        <w:ind w:left="1080" w:firstLine="0"/>
      </w:pPr>
      <w:rPr>
        <w:rFonts w:hint="default"/>
        <w:b/>
        <w:color w:val="002A6C"/>
        <w:sz w:val="24"/>
        <w:szCs w:val="24"/>
      </w:rPr>
    </w:lvl>
    <w:lvl w:ilvl="4">
      <w:start w:val="1"/>
      <w:numFmt w:val="decimal"/>
      <w:lvlText w:val="(%5)"/>
      <w:lvlJc w:val="left"/>
      <w:pPr>
        <w:ind w:left="1440" w:firstLine="0"/>
      </w:pPr>
      <w:rPr>
        <w:rFonts w:hint="default"/>
        <w:b/>
        <w:color w:val="002A6C"/>
        <w:sz w:val="24"/>
        <w:szCs w:val="24"/>
      </w:rPr>
    </w:lvl>
    <w:lvl w:ilvl="5">
      <w:start w:val="1"/>
      <w:numFmt w:val="lowerLetter"/>
      <w:pStyle w:val="Heading6"/>
      <w:lvlText w:val="(%6)"/>
      <w:lvlJc w:val="left"/>
      <w:pPr>
        <w:ind w:left="1800" w:firstLine="0"/>
      </w:pPr>
      <w:rPr>
        <w:rFonts w:hint="default"/>
      </w:rPr>
    </w:lvl>
    <w:lvl w:ilvl="6">
      <w:start w:val="1"/>
      <w:numFmt w:val="lowerRoman"/>
      <w:pStyle w:val="Heading7"/>
      <w:lvlText w:val="(%7)"/>
      <w:lvlJc w:val="left"/>
      <w:pPr>
        <w:ind w:left="2160" w:firstLine="0"/>
      </w:pPr>
      <w:rPr>
        <w:rFonts w:hint="default"/>
      </w:rPr>
    </w:lvl>
    <w:lvl w:ilvl="7">
      <w:start w:val="1"/>
      <w:numFmt w:val="lowerLetter"/>
      <w:pStyle w:val="Heading8"/>
      <w:lvlText w:val="(%8)"/>
      <w:lvlJc w:val="left"/>
      <w:pPr>
        <w:ind w:left="2520" w:firstLine="0"/>
      </w:pPr>
      <w:rPr>
        <w:rFonts w:hint="default"/>
      </w:rPr>
    </w:lvl>
    <w:lvl w:ilvl="8">
      <w:start w:val="1"/>
      <w:numFmt w:val="lowerRoman"/>
      <w:pStyle w:val="Heading9"/>
      <w:lvlText w:val="(%9)"/>
      <w:lvlJc w:val="left"/>
      <w:pPr>
        <w:ind w:left="2880" w:firstLine="0"/>
      </w:pPr>
      <w:rPr>
        <w:rFonts w:hint="default"/>
      </w:rPr>
    </w:lvl>
  </w:abstractNum>
  <w:abstractNum w:abstractNumId="3" w15:restartNumberingAfterBreak="0">
    <w:nsid w:val="048C1FB8"/>
    <w:multiLevelType w:val="hybridMultilevel"/>
    <w:tmpl w:val="1598A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640108"/>
    <w:multiLevelType w:val="hybridMultilevel"/>
    <w:tmpl w:val="684A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F3227"/>
    <w:multiLevelType w:val="hybridMultilevel"/>
    <w:tmpl w:val="417817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C7902"/>
    <w:multiLevelType w:val="hybridMultilevel"/>
    <w:tmpl w:val="0C1AB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15EB6"/>
    <w:multiLevelType w:val="hybridMultilevel"/>
    <w:tmpl w:val="842A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338F0"/>
    <w:multiLevelType w:val="hybridMultilevel"/>
    <w:tmpl w:val="1D68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E28D0"/>
    <w:multiLevelType w:val="hybridMultilevel"/>
    <w:tmpl w:val="D8140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6B0AB7"/>
    <w:multiLevelType w:val="hybridMultilevel"/>
    <w:tmpl w:val="D52E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327035"/>
    <w:multiLevelType w:val="hybridMultilevel"/>
    <w:tmpl w:val="D8862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BF350F"/>
    <w:multiLevelType w:val="hybridMultilevel"/>
    <w:tmpl w:val="5B80C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C6473C"/>
    <w:multiLevelType w:val="hybridMultilevel"/>
    <w:tmpl w:val="32FE8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2B2943"/>
    <w:multiLevelType w:val="hybridMultilevel"/>
    <w:tmpl w:val="63EE3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E61B93"/>
    <w:multiLevelType w:val="hybridMultilevel"/>
    <w:tmpl w:val="3DA69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51251B"/>
    <w:multiLevelType w:val="hybridMultilevel"/>
    <w:tmpl w:val="8DACA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CA7296"/>
    <w:multiLevelType w:val="hybridMultilevel"/>
    <w:tmpl w:val="7A00DB7A"/>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8" w15:restartNumberingAfterBreak="0">
    <w:nsid w:val="3BE7503E"/>
    <w:multiLevelType w:val="hybridMultilevel"/>
    <w:tmpl w:val="61846F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EAB66E1"/>
    <w:multiLevelType w:val="hybridMultilevel"/>
    <w:tmpl w:val="2BF0F1CA"/>
    <w:lvl w:ilvl="0" w:tplc="734EF4F4">
      <w:start w:val="1"/>
      <w:numFmt w:val="upperLetter"/>
      <w:pStyle w:val="AppendicesChapt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1F2CC2"/>
    <w:multiLevelType w:val="hybridMultilevel"/>
    <w:tmpl w:val="C0482584"/>
    <w:lvl w:ilvl="0" w:tplc="5A1422A2">
      <w:start w:val="1"/>
      <w:numFmt w:val="bullet"/>
      <w:pStyle w:val="ListBullet"/>
      <w:lvlText w:val=""/>
      <w:lvlJc w:val="left"/>
      <w:pPr>
        <w:ind w:left="720" w:hanging="360"/>
      </w:pPr>
      <w:rPr>
        <w:rFonts w:ascii="Wingdings" w:hAnsi="Wingdings" w:hint="default"/>
        <w:color w:val="000000"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5E6459"/>
    <w:multiLevelType w:val="hybridMultilevel"/>
    <w:tmpl w:val="D736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467C81"/>
    <w:multiLevelType w:val="hybridMultilevel"/>
    <w:tmpl w:val="8DF67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C54705"/>
    <w:multiLevelType w:val="hybridMultilevel"/>
    <w:tmpl w:val="7744F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EF6409"/>
    <w:multiLevelType w:val="multilevel"/>
    <w:tmpl w:val="D77EBAB6"/>
    <w:lvl w:ilvl="0">
      <w:start w:val="1"/>
      <w:numFmt w:val="bullet"/>
      <w:pStyle w:val="TextBoxBullets"/>
      <w:lvlText w:val=""/>
      <w:lvlJc w:val="left"/>
      <w:pPr>
        <w:ind w:left="360" w:hanging="144"/>
      </w:pPr>
      <w:rPr>
        <w:rFonts w:ascii="Wingdings" w:hAnsi="Wingdings" w:hint="default"/>
      </w:rPr>
    </w:lvl>
    <w:lvl w:ilvl="1">
      <w:start w:val="1"/>
      <w:numFmt w:val="bullet"/>
      <w:pStyle w:val="TextBoxBullet2"/>
      <w:lvlText w:val="-"/>
      <w:lvlJc w:val="left"/>
      <w:pPr>
        <w:ind w:left="576" w:hanging="144"/>
      </w:pPr>
      <w:rPr>
        <w:rFonts w:ascii="Calibri" w:hAnsi="Calibri" w:hint="default"/>
        <w:b/>
        <w:i w:val="0"/>
        <w:color w:val="auto"/>
      </w:rPr>
    </w:lvl>
    <w:lvl w:ilvl="2">
      <w:start w:val="1"/>
      <w:numFmt w:val="bullet"/>
      <w:lvlText w:val=""/>
      <w:lvlJc w:val="left"/>
      <w:pPr>
        <w:ind w:left="792" w:hanging="144"/>
      </w:pPr>
      <w:rPr>
        <w:rFonts w:ascii="Wingdings" w:hAnsi="Wingdings" w:hint="default"/>
      </w:rPr>
    </w:lvl>
    <w:lvl w:ilvl="3">
      <w:start w:val="1"/>
      <w:numFmt w:val="bullet"/>
      <w:lvlText w:val=""/>
      <w:lvlJc w:val="left"/>
      <w:pPr>
        <w:ind w:left="1008" w:hanging="144"/>
      </w:pPr>
      <w:rPr>
        <w:rFonts w:ascii="Symbol" w:hAnsi="Symbol" w:hint="default"/>
      </w:rPr>
    </w:lvl>
    <w:lvl w:ilvl="4">
      <w:start w:val="1"/>
      <w:numFmt w:val="bullet"/>
      <w:lvlText w:val="o"/>
      <w:lvlJc w:val="left"/>
      <w:pPr>
        <w:ind w:left="1224" w:hanging="144"/>
      </w:pPr>
      <w:rPr>
        <w:rFonts w:ascii="Courier New" w:hAnsi="Courier New" w:cs="Courier New" w:hint="default"/>
      </w:rPr>
    </w:lvl>
    <w:lvl w:ilvl="5">
      <w:start w:val="1"/>
      <w:numFmt w:val="bullet"/>
      <w:lvlText w:val=""/>
      <w:lvlJc w:val="left"/>
      <w:pPr>
        <w:ind w:left="1440" w:hanging="144"/>
      </w:pPr>
      <w:rPr>
        <w:rFonts w:ascii="Wingdings" w:hAnsi="Wingdings" w:hint="default"/>
      </w:rPr>
    </w:lvl>
    <w:lvl w:ilvl="6">
      <w:start w:val="1"/>
      <w:numFmt w:val="bullet"/>
      <w:lvlText w:val=""/>
      <w:lvlJc w:val="left"/>
      <w:pPr>
        <w:ind w:left="1656" w:hanging="144"/>
      </w:pPr>
      <w:rPr>
        <w:rFonts w:ascii="Symbol" w:hAnsi="Symbol" w:hint="default"/>
      </w:rPr>
    </w:lvl>
    <w:lvl w:ilvl="7">
      <w:start w:val="1"/>
      <w:numFmt w:val="bullet"/>
      <w:lvlText w:val="o"/>
      <w:lvlJc w:val="left"/>
      <w:pPr>
        <w:ind w:left="1872" w:hanging="144"/>
      </w:pPr>
      <w:rPr>
        <w:rFonts w:ascii="Courier New" w:hAnsi="Courier New" w:cs="Courier New" w:hint="default"/>
      </w:rPr>
    </w:lvl>
    <w:lvl w:ilvl="8">
      <w:start w:val="1"/>
      <w:numFmt w:val="bullet"/>
      <w:lvlText w:val=""/>
      <w:lvlJc w:val="left"/>
      <w:pPr>
        <w:ind w:left="2088" w:hanging="144"/>
      </w:pPr>
      <w:rPr>
        <w:rFonts w:ascii="Wingdings" w:hAnsi="Wingdings" w:hint="default"/>
      </w:rPr>
    </w:lvl>
  </w:abstractNum>
  <w:abstractNum w:abstractNumId="25" w15:restartNumberingAfterBreak="0">
    <w:nsid w:val="52BE0939"/>
    <w:multiLevelType w:val="hybridMultilevel"/>
    <w:tmpl w:val="F690B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E23B1B"/>
    <w:multiLevelType w:val="hybridMultilevel"/>
    <w:tmpl w:val="71100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DFD0891"/>
    <w:multiLevelType w:val="hybridMultilevel"/>
    <w:tmpl w:val="9F2AAA22"/>
    <w:lvl w:ilvl="0" w:tplc="56D6B1D4">
      <w:start w:val="1"/>
      <w:numFmt w:val="decimal"/>
      <w:pStyle w:val="Heading3"/>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526F6F"/>
    <w:multiLevelType w:val="hybridMultilevel"/>
    <w:tmpl w:val="A698B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747CE"/>
    <w:multiLevelType w:val="hybridMultilevel"/>
    <w:tmpl w:val="C9EA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9E1956"/>
    <w:multiLevelType w:val="hybridMultilevel"/>
    <w:tmpl w:val="4058C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77626"/>
    <w:multiLevelType w:val="hybridMultilevel"/>
    <w:tmpl w:val="1DEC60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0A5FF4"/>
    <w:multiLevelType w:val="multilevel"/>
    <w:tmpl w:val="1FEAD420"/>
    <w:lvl w:ilvl="0">
      <w:start w:val="1"/>
      <w:numFmt w:val="upperLetter"/>
      <w:lvlText w:val="Annex %1"/>
      <w:lvlJc w:val="left"/>
      <w:pPr>
        <w:ind w:left="360" w:hanging="360"/>
      </w:pPr>
      <w:rPr>
        <w:rFonts w:hint="default"/>
      </w:rPr>
    </w:lvl>
    <w:lvl w:ilvl="1">
      <w:start w:val="1"/>
      <w:numFmt w:val="decimal"/>
      <w:pStyle w:val="AnnexH1"/>
      <w:lvlText w:val="%1.%2"/>
      <w:lvlJc w:val="left"/>
      <w:pPr>
        <w:ind w:left="360" w:hanging="360"/>
      </w:pPr>
      <w:rPr>
        <w:rFonts w:hint="default"/>
      </w:rPr>
    </w:lvl>
    <w:lvl w:ilvl="2">
      <w:start w:val="1"/>
      <w:numFmt w:val="decimal"/>
      <w:pStyle w:val="AnnexHeading2"/>
      <w:lvlText w:val="%1.%2.%3"/>
      <w:lvlJc w:val="left"/>
      <w:pPr>
        <w:ind w:left="720" w:hanging="72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33" w15:restartNumberingAfterBreak="0">
    <w:nsid w:val="689C6CC1"/>
    <w:multiLevelType w:val="hybridMultilevel"/>
    <w:tmpl w:val="E5AA2CAE"/>
    <w:lvl w:ilvl="0" w:tplc="047E9F68">
      <w:numFmt w:val="bullet"/>
      <w:pStyle w:val="BulletUpcomingEvent"/>
      <w:lvlText w:val=""/>
      <w:lvlJc w:val="left"/>
      <w:pPr>
        <w:ind w:left="720" w:hanging="360"/>
      </w:pPr>
      <w:rPr>
        <w:rFonts w:ascii="Symbol" w:eastAsia="Times New Roman" w:hAnsi="Symbol" w:hint="default"/>
        <w:b w:val="0"/>
        <w:color w:val="222222"/>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0F2007"/>
    <w:multiLevelType w:val="hybridMultilevel"/>
    <w:tmpl w:val="B83A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03018B"/>
    <w:multiLevelType w:val="multilevel"/>
    <w:tmpl w:val="8AA8F4B2"/>
    <w:lvl w:ilvl="0">
      <w:start w:val="1"/>
      <w:numFmt w:val="bullet"/>
      <w:lvlText w:val=""/>
      <w:lvlJc w:val="left"/>
      <w:pPr>
        <w:ind w:left="720" w:hanging="360"/>
      </w:pPr>
      <w:rPr>
        <w:rFonts w:ascii="Wingdings" w:hAnsi="Wingdings" w:hint="default"/>
        <w:color w:val="000000" w:themeColor="text2"/>
      </w:rPr>
    </w:lvl>
    <w:lvl w:ilvl="1">
      <w:start w:val="1"/>
      <w:numFmt w:val="bullet"/>
      <w:pStyle w:val="ListBullet2"/>
      <w:lvlText w:val="-"/>
      <w:lvlJc w:val="left"/>
      <w:pPr>
        <w:ind w:left="1080" w:hanging="360"/>
      </w:pPr>
      <w:rPr>
        <w:rFonts w:ascii="Arial Bold" w:hAnsi="Arial Bold" w:hint="default"/>
        <w:b/>
        <w:i w:val="0"/>
        <w:color w:val="000000" w:themeColor="text2"/>
      </w:rPr>
    </w:lvl>
    <w:lvl w:ilvl="2">
      <w:start w:val="1"/>
      <w:numFmt w:val="bullet"/>
      <w:lvlText w:val="~"/>
      <w:lvlJc w:val="left"/>
      <w:pPr>
        <w:ind w:left="1440" w:hanging="360"/>
      </w:pPr>
      <w:rPr>
        <w:rFonts w:asciiTheme="minorHAnsi" w:hAnsiTheme="minorHAnsi" w:cs="Times New Roman" w:hint="default"/>
        <w:b w:val="0"/>
        <w:i w:val="0"/>
        <w:sz w:val="18"/>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w:abstractNumId="36" w15:restartNumberingAfterBreak="0">
    <w:nsid w:val="7CEC2D66"/>
    <w:multiLevelType w:val="hybridMultilevel"/>
    <w:tmpl w:val="9822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57088E"/>
    <w:multiLevelType w:val="hybridMultilevel"/>
    <w:tmpl w:val="0FDA7464"/>
    <w:lvl w:ilvl="0" w:tplc="B6241E84">
      <w:start w:val="1"/>
      <w:numFmt w:val="decimal"/>
      <w:pStyle w:val="Heading1"/>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3"/>
  </w:num>
  <w:num w:numId="3">
    <w:abstractNumId w:val="19"/>
  </w:num>
  <w:num w:numId="4">
    <w:abstractNumId w:val="35"/>
  </w:num>
  <w:num w:numId="5">
    <w:abstractNumId w:val="20"/>
  </w:num>
  <w:num w:numId="6">
    <w:abstractNumId w:val="24"/>
  </w:num>
  <w:num w:numId="7">
    <w:abstractNumId w:val="32"/>
  </w:num>
  <w:num w:numId="8">
    <w:abstractNumId w:val="2"/>
    <w:lvlOverride w:ilvl="0">
      <w:lvl w:ilvl="0">
        <w:start w:val="1"/>
        <w:numFmt w:val="upperRoman"/>
        <w:lvlText w:val="%1."/>
        <w:lvlJc w:val="left"/>
        <w:pPr>
          <w:ind w:left="0" w:firstLine="0"/>
        </w:pPr>
        <w:rPr>
          <w:rFonts w:asciiTheme="majorHAnsi" w:hAnsiTheme="majorHAnsi" w:hint="default"/>
          <w:b/>
          <w:i w:val="0"/>
          <w:sz w:val="44"/>
          <w:szCs w:val="28"/>
        </w:rPr>
      </w:lvl>
    </w:lvlOverride>
    <w:lvlOverride w:ilvl="1">
      <w:lvl w:ilvl="1">
        <w:start w:val="1"/>
        <w:numFmt w:val="upperLetter"/>
        <w:lvlText w:val="%2."/>
        <w:lvlJc w:val="left"/>
        <w:pPr>
          <w:ind w:left="180" w:firstLine="0"/>
        </w:pPr>
        <w:rPr>
          <w:rFonts w:hint="default"/>
          <w:color w:val="00206C"/>
          <w:sz w:val="36"/>
          <w:szCs w:val="28"/>
        </w:rPr>
      </w:lvl>
    </w:lvlOverride>
    <w:lvlOverride w:ilvl="2">
      <w:lvl w:ilvl="2">
        <w:start w:val="1"/>
        <w:numFmt w:val="decimal"/>
        <w:lvlText w:val="%3."/>
        <w:lvlJc w:val="left"/>
        <w:pPr>
          <w:ind w:left="720" w:firstLine="0"/>
        </w:pPr>
        <w:rPr>
          <w:rFonts w:hint="default"/>
          <w:sz w:val="20"/>
          <w:szCs w:val="24"/>
        </w:rPr>
      </w:lvl>
    </w:lvlOverride>
    <w:lvlOverride w:ilvl="3">
      <w:lvl w:ilvl="3">
        <w:start w:val="1"/>
        <w:numFmt w:val="lowerLetter"/>
        <w:lvlText w:val="%4)"/>
        <w:lvlJc w:val="left"/>
        <w:pPr>
          <w:ind w:left="1080" w:firstLine="0"/>
        </w:pPr>
        <w:rPr>
          <w:rFonts w:hint="default"/>
          <w:b/>
          <w:color w:val="002A6C"/>
          <w:sz w:val="24"/>
          <w:szCs w:val="24"/>
        </w:rPr>
      </w:lvl>
    </w:lvlOverride>
    <w:lvlOverride w:ilvl="4">
      <w:lvl w:ilvl="4">
        <w:start w:val="1"/>
        <w:numFmt w:val="decimal"/>
        <w:lvlText w:val="(%5)"/>
        <w:lvlJc w:val="left"/>
        <w:pPr>
          <w:ind w:left="1440" w:firstLine="0"/>
        </w:pPr>
        <w:rPr>
          <w:rFonts w:hint="default"/>
          <w:b/>
          <w:color w:val="002A6C"/>
          <w:sz w:val="24"/>
          <w:szCs w:val="24"/>
        </w:rPr>
      </w:lvl>
    </w:lvlOverride>
    <w:lvlOverride w:ilvl="5">
      <w:lvl w:ilvl="5">
        <w:start w:val="1"/>
        <w:numFmt w:val="lowerLetter"/>
        <w:pStyle w:val="Heading6"/>
        <w:lvlText w:val="(%6)"/>
        <w:lvlJc w:val="left"/>
        <w:pPr>
          <w:ind w:left="1800" w:firstLine="0"/>
        </w:pPr>
        <w:rPr>
          <w:rFonts w:hint="default"/>
        </w:rPr>
      </w:lvl>
    </w:lvlOverride>
    <w:lvlOverride w:ilvl="6">
      <w:lvl w:ilvl="6">
        <w:start w:val="1"/>
        <w:numFmt w:val="lowerRoman"/>
        <w:pStyle w:val="Heading7"/>
        <w:lvlText w:val="(%7)"/>
        <w:lvlJc w:val="left"/>
        <w:pPr>
          <w:ind w:left="2160" w:firstLine="0"/>
        </w:pPr>
        <w:rPr>
          <w:rFonts w:hint="default"/>
        </w:rPr>
      </w:lvl>
    </w:lvlOverride>
    <w:lvlOverride w:ilvl="7">
      <w:lvl w:ilvl="7">
        <w:start w:val="1"/>
        <w:numFmt w:val="lowerLetter"/>
        <w:pStyle w:val="Heading8"/>
        <w:lvlText w:val="(%8)"/>
        <w:lvlJc w:val="left"/>
        <w:pPr>
          <w:ind w:left="2520" w:firstLine="0"/>
        </w:pPr>
        <w:rPr>
          <w:rFonts w:hint="default"/>
        </w:rPr>
      </w:lvl>
    </w:lvlOverride>
    <w:lvlOverride w:ilvl="8">
      <w:lvl w:ilvl="8">
        <w:start w:val="1"/>
        <w:numFmt w:val="lowerRoman"/>
        <w:pStyle w:val="Heading9"/>
        <w:lvlText w:val="(%9)"/>
        <w:lvlJc w:val="left"/>
        <w:pPr>
          <w:ind w:left="2880" w:firstLine="0"/>
        </w:pPr>
        <w:rPr>
          <w:rFonts w:hint="default"/>
        </w:rPr>
      </w:lvl>
    </w:lvlOverride>
  </w:num>
  <w:num w:numId="9">
    <w:abstractNumId w:val="37"/>
  </w:num>
  <w:num w:numId="10">
    <w:abstractNumId w:val="27"/>
  </w:num>
  <w:num w:numId="11">
    <w:abstractNumId w:val="28"/>
  </w:num>
  <w:num w:numId="12">
    <w:abstractNumId w:val="25"/>
  </w:num>
  <w:num w:numId="13">
    <w:abstractNumId w:val="11"/>
  </w:num>
  <w:num w:numId="14">
    <w:abstractNumId w:val="4"/>
  </w:num>
  <w:num w:numId="15">
    <w:abstractNumId w:val="31"/>
  </w:num>
  <w:num w:numId="16">
    <w:abstractNumId w:val="14"/>
  </w:num>
  <w:num w:numId="17">
    <w:abstractNumId w:val="29"/>
  </w:num>
  <w:num w:numId="18">
    <w:abstractNumId w:val="22"/>
  </w:num>
  <w:num w:numId="19">
    <w:abstractNumId w:val="36"/>
  </w:num>
  <w:num w:numId="20">
    <w:abstractNumId w:val="15"/>
  </w:num>
  <w:num w:numId="21">
    <w:abstractNumId w:val="21"/>
  </w:num>
  <w:num w:numId="22">
    <w:abstractNumId w:val="13"/>
  </w:num>
  <w:num w:numId="23">
    <w:abstractNumId w:val="7"/>
  </w:num>
  <w:num w:numId="24">
    <w:abstractNumId w:val="26"/>
  </w:num>
  <w:num w:numId="25">
    <w:abstractNumId w:val="18"/>
  </w:num>
  <w:num w:numId="26">
    <w:abstractNumId w:val="3"/>
  </w:num>
  <w:num w:numId="27">
    <w:abstractNumId w:val="12"/>
  </w:num>
  <w:num w:numId="28">
    <w:abstractNumId w:val="34"/>
  </w:num>
  <w:num w:numId="29">
    <w:abstractNumId w:val="16"/>
  </w:num>
  <w:num w:numId="30">
    <w:abstractNumId w:val="23"/>
  </w:num>
  <w:num w:numId="31">
    <w:abstractNumId w:val="17"/>
  </w:num>
  <w:num w:numId="32">
    <w:abstractNumId w:val="9"/>
  </w:num>
  <w:num w:numId="33">
    <w:abstractNumId w:val="10"/>
  </w:num>
  <w:num w:numId="34">
    <w:abstractNumId w:val="6"/>
  </w:num>
  <w:num w:numId="35">
    <w:abstractNumId w:val="1"/>
  </w:num>
  <w:num w:numId="36">
    <w:abstractNumId w:val="30"/>
  </w:num>
  <w:num w:numId="37">
    <w:abstractNumId w:val="8"/>
  </w:num>
  <w:num w:numId="38">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87"/>
  <w:drawingGridVerticalSpacing w:val="187"/>
  <w:displayHorizontalDrawingGridEvery w:val="3"/>
  <w:displayVerticalDrawingGridEvery w:val="6"/>
  <w:doNotUseMarginsForDrawingGridOrigin/>
  <w:drawingGridHorizontalOrigin w:val="1440"/>
  <w:drawingGridVerticalOrigin w:val="2880"/>
  <w:noPunctuationKerning/>
  <w:characterSpacingControl w:val="doNotCompress"/>
  <w:hdrShapeDefaults>
    <o:shapedefaults v:ext="edit" spidmax="2049">
      <o:colormru v:ext="edit" colors="#002a6c,#666,#c2113a,#ddd,#336799,#9dbfe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B91"/>
    <w:rsid w:val="00002560"/>
    <w:rsid w:val="00014479"/>
    <w:rsid w:val="00014C21"/>
    <w:rsid w:val="00016CA5"/>
    <w:rsid w:val="000344A2"/>
    <w:rsid w:val="00034B4E"/>
    <w:rsid w:val="00035DA9"/>
    <w:rsid w:val="00040F5E"/>
    <w:rsid w:val="00041B5B"/>
    <w:rsid w:val="0004684B"/>
    <w:rsid w:val="000512BD"/>
    <w:rsid w:val="00051C60"/>
    <w:rsid w:val="00051F75"/>
    <w:rsid w:val="00056CB4"/>
    <w:rsid w:val="0006121D"/>
    <w:rsid w:val="00061942"/>
    <w:rsid w:val="0007582A"/>
    <w:rsid w:val="00082E08"/>
    <w:rsid w:val="00084872"/>
    <w:rsid w:val="00094FE5"/>
    <w:rsid w:val="00096A84"/>
    <w:rsid w:val="000A0E2A"/>
    <w:rsid w:val="000A6E6C"/>
    <w:rsid w:val="000B22DE"/>
    <w:rsid w:val="000B307A"/>
    <w:rsid w:val="000B69C3"/>
    <w:rsid w:val="000C4FA7"/>
    <w:rsid w:val="000F3839"/>
    <w:rsid w:val="000F4C4D"/>
    <w:rsid w:val="000F6247"/>
    <w:rsid w:val="00106596"/>
    <w:rsid w:val="00112FD6"/>
    <w:rsid w:val="0012588B"/>
    <w:rsid w:val="00127275"/>
    <w:rsid w:val="001352DD"/>
    <w:rsid w:val="00142CD0"/>
    <w:rsid w:val="00147FCF"/>
    <w:rsid w:val="00152D4E"/>
    <w:rsid w:val="001628D3"/>
    <w:rsid w:val="00164CDA"/>
    <w:rsid w:val="00172918"/>
    <w:rsid w:val="001741C0"/>
    <w:rsid w:val="001855E4"/>
    <w:rsid w:val="00185EE1"/>
    <w:rsid w:val="001A0A5A"/>
    <w:rsid w:val="001A2E19"/>
    <w:rsid w:val="001A3F4F"/>
    <w:rsid w:val="001A7CDF"/>
    <w:rsid w:val="001A7FB4"/>
    <w:rsid w:val="001B4B2B"/>
    <w:rsid w:val="001B7D47"/>
    <w:rsid w:val="001C5D5E"/>
    <w:rsid w:val="001D258C"/>
    <w:rsid w:val="001E45F5"/>
    <w:rsid w:val="001E4C02"/>
    <w:rsid w:val="00200F2E"/>
    <w:rsid w:val="0020322F"/>
    <w:rsid w:val="00205ACA"/>
    <w:rsid w:val="00207969"/>
    <w:rsid w:val="002079DA"/>
    <w:rsid w:val="002100ED"/>
    <w:rsid w:val="002126B1"/>
    <w:rsid w:val="00222C05"/>
    <w:rsid w:val="0022507B"/>
    <w:rsid w:val="00226CAA"/>
    <w:rsid w:val="00227A89"/>
    <w:rsid w:val="002323B2"/>
    <w:rsid w:val="00233A71"/>
    <w:rsid w:val="002539ED"/>
    <w:rsid w:val="002630E1"/>
    <w:rsid w:val="00266208"/>
    <w:rsid w:val="002667C2"/>
    <w:rsid w:val="00277E18"/>
    <w:rsid w:val="00283D9D"/>
    <w:rsid w:val="002844BE"/>
    <w:rsid w:val="00286ACB"/>
    <w:rsid w:val="0029298F"/>
    <w:rsid w:val="00292B9E"/>
    <w:rsid w:val="002932F1"/>
    <w:rsid w:val="002A4038"/>
    <w:rsid w:val="002A5DDE"/>
    <w:rsid w:val="002B2455"/>
    <w:rsid w:val="002B509A"/>
    <w:rsid w:val="002B7182"/>
    <w:rsid w:val="002B7BAC"/>
    <w:rsid w:val="002C0240"/>
    <w:rsid w:val="002C4CD1"/>
    <w:rsid w:val="002C6C9B"/>
    <w:rsid w:val="002D5526"/>
    <w:rsid w:val="002D6B00"/>
    <w:rsid w:val="002E23F3"/>
    <w:rsid w:val="002E3799"/>
    <w:rsid w:val="002F101E"/>
    <w:rsid w:val="002F3194"/>
    <w:rsid w:val="00307828"/>
    <w:rsid w:val="00322D7C"/>
    <w:rsid w:val="00330074"/>
    <w:rsid w:val="003316C1"/>
    <w:rsid w:val="00341E7C"/>
    <w:rsid w:val="003470E4"/>
    <w:rsid w:val="003527AB"/>
    <w:rsid w:val="00356F5D"/>
    <w:rsid w:val="003621F1"/>
    <w:rsid w:val="00364844"/>
    <w:rsid w:val="00371D79"/>
    <w:rsid w:val="003726CA"/>
    <w:rsid w:val="00374AD8"/>
    <w:rsid w:val="003757CB"/>
    <w:rsid w:val="00375B26"/>
    <w:rsid w:val="00376A50"/>
    <w:rsid w:val="00382256"/>
    <w:rsid w:val="00387BD3"/>
    <w:rsid w:val="003956AA"/>
    <w:rsid w:val="003A031E"/>
    <w:rsid w:val="003A31AB"/>
    <w:rsid w:val="003A5C21"/>
    <w:rsid w:val="003D027B"/>
    <w:rsid w:val="003D3CCE"/>
    <w:rsid w:val="003D6507"/>
    <w:rsid w:val="003E7209"/>
    <w:rsid w:val="003F359B"/>
    <w:rsid w:val="00402C27"/>
    <w:rsid w:val="00411843"/>
    <w:rsid w:val="004137BD"/>
    <w:rsid w:val="00420E3D"/>
    <w:rsid w:val="004350AC"/>
    <w:rsid w:val="00437EE3"/>
    <w:rsid w:val="004411CB"/>
    <w:rsid w:val="00442D0B"/>
    <w:rsid w:val="00442E3C"/>
    <w:rsid w:val="0045492C"/>
    <w:rsid w:val="00455A23"/>
    <w:rsid w:val="00455F32"/>
    <w:rsid w:val="00470275"/>
    <w:rsid w:val="00471D6C"/>
    <w:rsid w:val="0048319A"/>
    <w:rsid w:val="00492873"/>
    <w:rsid w:val="004970CD"/>
    <w:rsid w:val="004B15E9"/>
    <w:rsid w:val="004B3956"/>
    <w:rsid w:val="004B6219"/>
    <w:rsid w:val="004C0CA1"/>
    <w:rsid w:val="004C78C8"/>
    <w:rsid w:val="004E0806"/>
    <w:rsid w:val="004E1127"/>
    <w:rsid w:val="004E141E"/>
    <w:rsid w:val="004E37D9"/>
    <w:rsid w:val="004E4A0A"/>
    <w:rsid w:val="004E4E00"/>
    <w:rsid w:val="004E703A"/>
    <w:rsid w:val="004F07CD"/>
    <w:rsid w:val="004F1EF7"/>
    <w:rsid w:val="004F63FE"/>
    <w:rsid w:val="004F6F45"/>
    <w:rsid w:val="004F766D"/>
    <w:rsid w:val="00510D87"/>
    <w:rsid w:val="00521922"/>
    <w:rsid w:val="00523643"/>
    <w:rsid w:val="00542D8D"/>
    <w:rsid w:val="005526ED"/>
    <w:rsid w:val="00556A38"/>
    <w:rsid w:val="00562E5D"/>
    <w:rsid w:val="00565B6D"/>
    <w:rsid w:val="00567D74"/>
    <w:rsid w:val="00571763"/>
    <w:rsid w:val="00573099"/>
    <w:rsid w:val="00584203"/>
    <w:rsid w:val="0058679B"/>
    <w:rsid w:val="005930C2"/>
    <w:rsid w:val="00594117"/>
    <w:rsid w:val="005A5FB1"/>
    <w:rsid w:val="005C2F83"/>
    <w:rsid w:val="005C6449"/>
    <w:rsid w:val="005C6454"/>
    <w:rsid w:val="005D4361"/>
    <w:rsid w:val="005D5A33"/>
    <w:rsid w:val="005E7A18"/>
    <w:rsid w:val="006018A8"/>
    <w:rsid w:val="0060285B"/>
    <w:rsid w:val="0060516E"/>
    <w:rsid w:val="006079BD"/>
    <w:rsid w:val="0061442B"/>
    <w:rsid w:val="00625FAF"/>
    <w:rsid w:val="00632217"/>
    <w:rsid w:val="0064355B"/>
    <w:rsid w:val="00647397"/>
    <w:rsid w:val="00647EEB"/>
    <w:rsid w:val="00650828"/>
    <w:rsid w:val="00660D32"/>
    <w:rsid w:val="00666A86"/>
    <w:rsid w:val="006720A7"/>
    <w:rsid w:val="00676AFE"/>
    <w:rsid w:val="006815E5"/>
    <w:rsid w:val="006818DA"/>
    <w:rsid w:val="00693C89"/>
    <w:rsid w:val="006B06F7"/>
    <w:rsid w:val="006B6505"/>
    <w:rsid w:val="006C7554"/>
    <w:rsid w:val="006D4FE8"/>
    <w:rsid w:val="006E38A1"/>
    <w:rsid w:val="006F0F47"/>
    <w:rsid w:val="006F167E"/>
    <w:rsid w:val="006F529A"/>
    <w:rsid w:val="006F7C2A"/>
    <w:rsid w:val="007002DC"/>
    <w:rsid w:val="00701F67"/>
    <w:rsid w:val="007030DA"/>
    <w:rsid w:val="007072BA"/>
    <w:rsid w:val="00713C9C"/>
    <w:rsid w:val="007215A0"/>
    <w:rsid w:val="00737016"/>
    <w:rsid w:val="00743522"/>
    <w:rsid w:val="00744C53"/>
    <w:rsid w:val="00745C03"/>
    <w:rsid w:val="00746E67"/>
    <w:rsid w:val="00754AE8"/>
    <w:rsid w:val="007604C6"/>
    <w:rsid w:val="00773CD9"/>
    <w:rsid w:val="00776A9A"/>
    <w:rsid w:val="00777043"/>
    <w:rsid w:val="007773A4"/>
    <w:rsid w:val="007814E0"/>
    <w:rsid w:val="00785409"/>
    <w:rsid w:val="00786F6A"/>
    <w:rsid w:val="00790D07"/>
    <w:rsid w:val="007936F8"/>
    <w:rsid w:val="007A3425"/>
    <w:rsid w:val="007B5814"/>
    <w:rsid w:val="007C01D7"/>
    <w:rsid w:val="007C1C0C"/>
    <w:rsid w:val="007C7E10"/>
    <w:rsid w:val="007D3530"/>
    <w:rsid w:val="007D49EC"/>
    <w:rsid w:val="007E3898"/>
    <w:rsid w:val="00805AF4"/>
    <w:rsid w:val="00807D0E"/>
    <w:rsid w:val="008105BD"/>
    <w:rsid w:val="00812EF4"/>
    <w:rsid w:val="008162D2"/>
    <w:rsid w:val="00822AFA"/>
    <w:rsid w:val="00825EF2"/>
    <w:rsid w:val="00826421"/>
    <w:rsid w:val="00826B2C"/>
    <w:rsid w:val="008358BA"/>
    <w:rsid w:val="00840CCE"/>
    <w:rsid w:val="00841793"/>
    <w:rsid w:val="008443EC"/>
    <w:rsid w:val="008454B3"/>
    <w:rsid w:val="00851A40"/>
    <w:rsid w:val="0085319A"/>
    <w:rsid w:val="00856EF0"/>
    <w:rsid w:val="0086032E"/>
    <w:rsid w:val="00865C6C"/>
    <w:rsid w:val="008713BD"/>
    <w:rsid w:val="00871714"/>
    <w:rsid w:val="0088254B"/>
    <w:rsid w:val="00893605"/>
    <w:rsid w:val="00893C9F"/>
    <w:rsid w:val="008A13FA"/>
    <w:rsid w:val="008A2E78"/>
    <w:rsid w:val="008A4DE8"/>
    <w:rsid w:val="008A7070"/>
    <w:rsid w:val="008B631E"/>
    <w:rsid w:val="008B64CF"/>
    <w:rsid w:val="008B7F12"/>
    <w:rsid w:val="008C19E7"/>
    <w:rsid w:val="008C40FA"/>
    <w:rsid w:val="008E2AA9"/>
    <w:rsid w:val="008E4F9B"/>
    <w:rsid w:val="008E50A7"/>
    <w:rsid w:val="008E5F45"/>
    <w:rsid w:val="008F6045"/>
    <w:rsid w:val="00900E54"/>
    <w:rsid w:val="0090144C"/>
    <w:rsid w:val="0090610B"/>
    <w:rsid w:val="00907DDB"/>
    <w:rsid w:val="00910D46"/>
    <w:rsid w:val="009244D3"/>
    <w:rsid w:val="00926E45"/>
    <w:rsid w:val="00934D88"/>
    <w:rsid w:val="00936827"/>
    <w:rsid w:val="00937757"/>
    <w:rsid w:val="009464B6"/>
    <w:rsid w:val="0095698B"/>
    <w:rsid w:val="0097649E"/>
    <w:rsid w:val="0098021F"/>
    <w:rsid w:val="0098265E"/>
    <w:rsid w:val="009841D6"/>
    <w:rsid w:val="0098670D"/>
    <w:rsid w:val="009A1910"/>
    <w:rsid w:val="009A285E"/>
    <w:rsid w:val="009A6D3D"/>
    <w:rsid w:val="009B3E34"/>
    <w:rsid w:val="009B4A3C"/>
    <w:rsid w:val="009B6515"/>
    <w:rsid w:val="009C4B93"/>
    <w:rsid w:val="009D074E"/>
    <w:rsid w:val="009D4D29"/>
    <w:rsid w:val="009D5286"/>
    <w:rsid w:val="009E238C"/>
    <w:rsid w:val="009E4B15"/>
    <w:rsid w:val="009F07CF"/>
    <w:rsid w:val="009F152F"/>
    <w:rsid w:val="00A025EE"/>
    <w:rsid w:val="00A05B4C"/>
    <w:rsid w:val="00A1044F"/>
    <w:rsid w:val="00A16B91"/>
    <w:rsid w:val="00A247DE"/>
    <w:rsid w:val="00A353D8"/>
    <w:rsid w:val="00A42F52"/>
    <w:rsid w:val="00A53883"/>
    <w:rsid w:val="00A63488"/>
    <w:rsid w:val="00A65BD2"/>
    <w:rsid w:val="00A76ED9"/>
    <w:rsid w:val="00A920F4"/>
    <w:rsid w:val="00A9570D"/>
    <w:rsid w:val="00AA47BB"/>
    <w:rsid w:val="00AB7D18"/>
    <w:rsid w:val="00AC00DE"/>
    <w:rsid w:val="00AC0987"/>
    <w:rsid w:val="00AC1093"/>
    <w:rsid w:val="00AC4007"/>
    <w:rsid w:val="00AC4E7D"/>
    <w:rsid w:val="00AD0E4E"/>
    <w:rsid w:val="00AE26C3"/>
    <w:rsid w:val="00AF3431"/>
    <w:rsid w:val="00AF39BA"/>
    <w:rsid w:val="00AF6FE8"/>
    <w:rsid w:val="00AF7FBA"/>
    <w:rsid w:val="00B01E18"/>
    <w:rsid w:val="00B022F3"/>
    <w:rsid w:val="00B12E69"/>
    <w:rsid w:val="00B140D3"/>
    <w:rsid w:val="00B1628C"/>
    <w:rsid w:val="00B20488"/>
    <w:rsid w:val="00B24513"/>
    <w:rsid w:val="00B34DBC"/>
    <w:rsid w:val="00B36027"/>
    <w:rsid w:val="00B37A5B"/>
    <w:rsid w:val="00B455A6"/>
    <w:rsid w:val="00B50EE5"/>
    <w:rsid w:val="00B510FB"/>
    <w:rsid w:val="00B63CF0"/>
    <w:rsid w:val="00B66C49"/>
    <w:rsid w:val="00B73EAA"/>
    <w:rsid w:val="00B74FF5"/>
    <w:rsid w:val="00B763E0"/>
    <w:rsid w:val="00B81C69"/>
    <w:rsid w:val="00B858AF"/>
    <w:rsid w:val="00B95A25"/>
    <w:rsid w:val="00BA5CC8"/>
    <w:rsid w:val="00BA62CB"/>
    <w:rsid w:val="00BB1089"/>
    <w:rsid w:val="00BB44AE"/>
    <w:rsid w:val="00BB4852"/>
    <w:rsid w:val="00BB76E5"/>
    <w:rsid w:val="00BB7DBB"/>
    <w:rsid w:val="00BC04D2"/>
    <w:rsid w:val="00BC05A6"/>
    <w:rsid w:val="00BC202C"/>
    <w:rsid w:val="00BC5136"/>
    <w:rsid w:val="00BD2DA2"/>
    <w:rsid w:val="00BD3F46"/>
    <w:rsid w:val="00BD4530"/>
    <w:rsid w:val="00BE2756"/>
    <w:rsid w:val="00BE71D9"/>
    <w:rsid w:val="00BF20D2"/>
    <w:rsid w:val="00C0651C"/>
    <w:rsid w:val="00C111E5"/>
    <w:rsid w:val="00C118C5"/>
    <w:rsid w:val="00C16A41"/>
    <w:rsid w:val="00C17107"/>
    <w:rsid w:val="00C20C2B"/>
    <w:rsid w:val="00C305F2"/>
    <w:rsid w:val="00C33201"/>
    <w:rsid w:val="00C33334"/>
    <w:rsid w:val="00C37FF4"/>
    <w:rsid w:val="00C51857"/>
    <w:rsid w:val="00C51E82"/>
    <w:rsid w:val="00C61804"/>
    <w:rsid w:val="00C70C40"/>
    <w:rsid w:val="00C71C1C"/>
    <w:rsid w:val="00C724BD"/>
    <w:rsid w:val="00C85BC2"/>
    <w:rsid w:val="00C87D97"/>
    <w:rsid w:val="00C908DE"/>
    <w:rsid w:val="00C93B6D"/>
    <w:rsid w:val="00C96E88"/>
    <w:rsid w:val="00CB0A6B"/>
    <w:rsid w:val="00CB3324"/>
    <w:rsid w:val="00CB4AE1"/>
    <w:rsid w:val="00CB64E6"/>
    <w:rsid w:val="00CC3D32"/>
    <w:rsid w:val="00CC514D"/>
    <w:rsid w:val="00CC53A1"/>
    <w:rsid w:val="00CD3817"/>
    <w:rsid w:val="00CD79B5"/>
    <w:rsid w:val="00CE1AD1"/>
    <w:rsid w:val="00CE3314"/>
    <w:rsid w:val="00CE6344"/>
    <w:rsid w:val="00CF6373"/>
    <w:rsid w:val="00CF6BCE"/>
    <w:rsid w:val="00D00067"/>
    <w:rsid w:val="00D02AA1"/>
    <w:rsid w:val="00D134F0"/>
    <w:rsid w:val="00D15106"/>
    <w:rsid w:val="00D22ED8"/>
    <w:rsid w:val="00D2733E"/>
    <w:rsid w:val="00D3774E"/>
    <w:rsid w:val="00D4301E"/>
    <w:rsid w:val="00D45F3E"/>
    <w:rsid w:val="00D51432"/>
    <w:rsid w:val="00D532A3"/>
    <w:rsid w:val="00D5559B"/>
    <w:rsid w:val="00D6141D"/>
    <w:rsid w:val="00D70F7A"/>
    <w:rsid w:val="00D9095E"/>
    <w:rsid w:val="00D91439"/>
    <w:rsid w:val="00D91885"/>
    <w:rsid w:val="00D94693"/>
    <w:rsid w:val="00DA0FFB"/>
    <w:rsid w:val="00DA1FF0"/>
    <w:rsid w:val="00DA419C"/>
    <w:rsid w:val="00DB0774"/>
    <w:rsid w:val="00DB79B0"/>
    <w:rsid w:val="00DC0114"/>
    <w:rsid w:val="00DC4CF3"/>
    <w:rsid w:val="00DC5846"/>
    <w:rsid w:val="00DC6E41"/>
    <w:rsid w:val="00DC7BFD"/>
    <w:rsid w:val="00DD139F"/>
    <w:rsid w:val="00DD19BB"/>
    <w:rsid w:val="00DE1185"/>
    <w:rsid w:val="00DE2A49"/>
    <w:rsid w:val="00DE4CEA"/>
    <w:rsid w:val="00DF1C57"/>
    <w:rsid w:val="00DF55DE"/>
    <w:rsid w:val="00DF6390"/>
    <w:rsid w:val="00E05096"/>
    <w:rsid w:val="00E11CA4"/>
    <w:rsid w:val="00E1568B"/>
    <w:rsid w:val="00E17485"/>
    <w:rsid w:val="00E2436F"/>
    <w:rsid w:val="00E248D6"/>
    <w:rsid w:val="00E24A9B"/>
    <w:rsid w:val="00E30412"/>
    <w:rsid w:val="00E42990"/>
    <w:rsid w:val="00E42F40"/>
    <w:rsid w:val="00E45C5C"/>
    <w:rsid w:val="00E50B32"/>
    <w:rsid w:val="00E513A5"/>
    <w:rsid w:val="00E557A1"/>
    <w:rsid w:val="00E570CB"/>
    <w:rsid w:val="00E64DBB"/>
    <w:rsid w:val="00E7138C"/>
    <w:rsid w:val="00E72F4E"/>
    <w:rsid w:val="00E81656"/>
    <w:rsid w:val="00E87E13"/>
    <w:rsid w:val="00E918E1"/>
    <w:rsid w:val="00E94119"/>
    <w:rsid w:val="00E9420C"/>
    <w:rsid w:val="00E953D8"/>
    <w:rsid w:val="00E97459"/>
    <w:rsid w:val="00E97468"/>
    <w:rsid w:val="00EA107C"/>
    <w:rsid w:val="00EA63AB"/>
    <w:rsid w:val="00EB1259"/>
    <w:rsid w:val="00EB16DE"/>
    <w:rsid w:val="00EB7D01"/>
    <w:rsid w:val="00EC25FF"/>
    <w:rsid w:val="00EC5F83"/>
    <w:rsid w:val="00ED154B"/>
    <w:rsid w:val="00ED5966"/>
    <w:rsid w:val="00ED712F"/>
    <w:rsid w:val="00F10230"/>
    <w:rsid w:val="00F109A8"/>
    <w:rsid w:val="00F25C0B"/>
    <w:rsid w:val="00F273FA"/>
    <w:rsid w:val="00F34724"/>
    <w:rsid w:val="00F3639D"/>
    <w:rsid w:val="00F40BE3"/>
    <w:rsid w:val="00F51EEC"/>
    <w:rsid w:val="00F70D56"/>
    <w:rsid w:val="00F71193"/>
    <w:rsid w:val="00F73192"/>
    <w:rsid w:val="00F80848"/>
    <w:rsid w:val="00F93278"/>
    <w:rsid w:val="00FA2608"/>
    <w:rsid w:val="00FB7A44"/>
    <w:rsid w:val="00FC6130"/>
    <w:rsid w:val="00FD30B2"/>
    <w:rsid w:val="00FD7B6A"/>
    <w:rsid w:val="00FE0D08"/>
    <w:rsid w:val="00FF143A"/>
    <w:rsid w:val="00FF1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2a6c,#666,#c2113a,#ddd,#336799,#9dbfe5"/>
    </o:shapedefaults>
    <o:shapelayout v:ext="edit">
      <o:idmap v:ext="edit" data="1"/>
    </o:shapelayout>
  </w:shapeDefaults>
  <w:decimalSymbol w:val="."/>
  <w:listSeparator w:val=","/>
  <w15:docId w15:val="{85FD6DF5-7918-4FAD-9770-F0046C94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B4C"/>
    <w:pPr>
      <w:spacing w:before="120" w:after="120" w:line="269" w:lineRule="auto"/>
    </w:pPr>
    <w:rPr>
      <w:rFonts w:asciiTheme="minorHAnsi" w:hAnsiTheme="minorHAnsi"/>
      <w:szCs w:val="24"/>
    </w:rPr>
  </w:style>
  <w:style w:type="paragraph" w:styleId="Heading1">
    <w:name w:val="heading 1"/>
    <w:basedOn w:val="Normal"/>
    <w:next w:val="Normal"/>
    <w:link w:val="Heading1Char"/>
    <w:qFormat/>
    <w:rsid w:val="00D91885"/>
    <w:pPr>
      <w:keepNext/>
      <w:keepLines/>
      <w:pageBreakBefore/>
      <w:numPr>
        <w:numId w:val="9"/>
      </w:numPr>
      <w:spacing w:before="240" w:line="240" w:lineRule="auto"/>
      <w:outlineLvl w:val="0"/>
    </w:pPr>
    <w:rPr>
      <w:rFonts w:asciiTheme="majorHAnsi" w:hAnsiTheme="majorHAnsi"/>
      <w:b/>
      <w:caps/>
      <w:color w:val="002A6C" w:themeColor="accent1"/>
      <w:sz w:val="36"/>
      <w:szCs w:val="44"/>
    </w:rPr>
  </w:style>
  <w:style w:type="paragraph" w:styleId="Heading2">
    <w:name w:val="heading 2"/>
    <w:basedOn w:val="Normal"/>
    <w:next w:val="Normal"/>
    <w:link w:val="Heading2Char"/>
    <w:autoRedefine/>
    <w:qFormat/>
    <w:rsid w:val="002126B1"/>
    <w:pPr>
      <w:keepNext/>
      <w:numPr>
        <w:numId w:val="35"/>
      </w:numPr>
      <w:spacing w:before="240" w:line="240" w:lineRule="auto"/>
      <w:outlineLvl w:val="1"/>
    </w:pPr>
    <w:rPr>
      <w:rFonts w:asciiTheme="majorHAnsi" w:hAnsiTheme="majorHAnsi"/>
      <w:b/>
      <w:caps/>
      <w:color w:val="002A6C" w:themeColor="accent1"/>
      <w:sz w:val="28"/>
    </w:rPr>
  </w:style>
  <w:style w:type="paragraph" w:styleId="Heading3">
    <w:name w:val="heading 3"/>
    <w:basedOn w:val="Normal"/>
    <w:next w:val="Normal"/>
    <w:link w:val="Heading3Char"/>
    <w:qFormat/>
    <w:rsid w:val="00ED712F"/>
    <w:pPr>
      <w:keepNext/>
      <w:numPr>
        <w:numId w:val="10"/>
      </w:numPr>
      <w:autoSpaceDE w:val="0"/>
      <w:autoSpaceDN w:val="0"/>
      <w:adjustRightInd w:val="0"/>
      <w:spacing w:before="240" w:line="240" w:lineRule="auto"/>
      <w:ind w:left="360"/>
      <w:outlineLvl w:val="2"/>
    </w:pPr>
    <w:rPr>
      <w:rFonts w:asciiTheme="majorHAnsi" w:hAnsiTheme="majorHAnsi"/>
      <w:b/>
      <w:caps/>
      <w:color w:val="002060"/>
      <w:sz w:val="24"/>
    </w:rPr>
  </w:style>
  <w:style w:type="paragraph" w:styleId="Heading4">
    <w:name w:val="heading 4"/>
    <w:basedOn w:val="Heading3"/>
    <w:next w:val="Normal"/>
    <w:link w:val="Heading4Char"/>
    <w:qFormat/>
    <w:rsid w:val="00ED712F"/>
    <w:pPr>
      <w:numPr>
        <w:numId w:val="0"/>
      </w:numPr>
      <w:outlineLvl w:val="3"/>
    </w:pPr>
    <w:rPr>
      <w:rFonts w:asciiTheme="minorHAnsi" w:hAnsiTheme="minorHAnsi"/>
      <w:sz w:val="20"/>
    </w:rPr>
  </w:style>
  <w:style w:type="paragraph" w:styleId="Heading5">
    <w:name w:val="heading 5"/>
    <w:basedOn w:val="Normal"/>
    <w:next w:val="Normal"/>
    <w:link w:val="Heading5Char"/>
    <w:rsid w:val="00EA63AB"/>
    <w:pPr>
      <w:keepNext/>
      <w:autoSpaceDE w:val="0"/>
      <w:autoSpaceDN w:val="0"/>
      <w:adjustRightInd w:val="0"/>
      <w:spacing w:before="240" w:line="240" w:lineRule="auto"/>
      <w:outlineLvl w:val="4"/>
    </w:pPr>
    <w:rPr>
      <w:rFonts w:asciiTheme="majorHAnsi" w:hAnsiTheme="majorHAnsi"/>
      <w:b/>
      <w:i/>
      <w:color w:val="002A6C" w:themeColor="accent1"/>
    </w:rPr>
  </w:style>
  <w:style w:type="paragraph" w:styleId="Heading6">
    <w:name w:val="heading 6"/>
    <w:basedOn w:val="Normal"/>
    <w:next w:val="Normal"/>
    <w:link w:val="Heading6Char"/>
    <w:qFormat/>
    <w:rsid w:val="0097649E"/>
    <w:pPr>
      <w:keepNext/>
      <w:keepLines/>
      <w:numPr>
        <w:ilvl w:val="5"/>
        <w:numId w:val="8"/>
      </w:numPr>
      <w:spacing w:before="240"/>
      <w:outlineLvl w:val="5"/>
    </w:pPr>
    <w:rPr>
      <w:rFonts w:cs="Arial"/>
      <w:bCs/>
      <w:i/>
      <w:color w:val="002A6C" w:themeColor="accent1"/>
    </w:rPr>
  </w:style>
  <w:style w:type="paragraph" w:styleId="Heading7">
    <w:name w:val="heading 7"/>
    <w:basedOn w:val="Normal"/>
    <w:next w:val="Normal"/>
    <w:qFormat/>
    <w:rsid w:val="0097649E"/>
    <w:pPr>
      <w:numPr>
        <w:ilvl w:val="6"/>
        <w:numId w:val="8"/>
      </w:numPr>
      <w:spacing w:before="240"/>
      <w:outlineLvl w:val="6"/>
    </w:pPr>
  </w:style>
  <w:style w:type="paragraph" w:styleId="Heading8">
    <w:name w:val="heading 8"/>
    <w:basedOn w:val="Normal"/>
    <w:next w:val="Normal"/>
    <w:qFormat/>
    <w:rsid w:val="0097649E"/>
    <w:pPr>
      <w:numPr>
        <w:ilvl w:val="7"/>
        <w:numId w:val="8"/>
      </w:numPr>
      <w:spacing w:before="240"/>
      <w:outlineLvl w:val="7"/>
    </w:pPr>
    <w:rPr>
      <w:i/>
    </w:rPr>
  </w:style>
  <w:style w:type="paragraph" w:styleId="Heading9">
    <w:name w:val="heading 9"/>
    <w:basedOn w:val="Normal"/>
    <w:next w:val="Normal"/>
    <w:qFormat/>
    <w:rsid w:val="0097649E"/>
    <w:pPr>
      <w:numPr>
        <w:ilvl w:val="8"/>
        <w:numId w:val="8"/>
      </w:numPr>
      <w:spacing w:before="24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1885"/>
    <w:rPr>
      <w:rFonts w:asciiTheme="majorHAnsi" w:hAnsiTheme="majorHAnsi"/>
      <w:b/>
      <w:caps/>
      <w:color w:val="002A6C" w:themeColor="accent1"/>
      <w:sz w:val="36"/>
      <w:szCs w:val="44"/>
    </w:rPr>
  </w:style>
  <w:style w:type="character" w:customStyle="1" w:styleId="Heading2Char">
    <w:name w:val="Heading 2 Char"/>
    <w:basedOn w:val="DefaultParagraphFont"/>
    <w:link w:val="Heading2"/>
    <w:rsid w:val="002126B1"/>
    <w:rPr>
      <w:rFonts w:asciiTheme="majorHAnsi" w:hAnsiTheme="majorHAnsi"/>
      <w:b/>
      <w:caps/>
      <w:color w:val="002A6C" w:themeColor="accent1"/>
      <w:sz w:val="28"/>
      <w:szCs w:val="24"/>
    </w:rPr>
  </w:style>
  <w:style w:type="character" w:customStyle="1" w:styleId="Heading3Char">
    <w:name w:val="Heading 3 Char"/>
    <w:basedOn w:val="DefaultParagraphFont"/>
    <w:link w:val="Heading3"/>
    <w:rsid w:val="00ED712F"/>
    <w:rPr>
      <w:rFonts w:asciiTheme="majorHAnsi" w:hAnsiTheme="majorHAnsi"/>
      <w:b/>
      <w:caps/>
      <w:color w:val="002060"/>
      <w:sz w:val="24"/>
      <w:szCs w:val="24"/>
    </w:rPr>
  </w:style>
  <w:style w:type="character" w:customStyle="1" w:styleId="Heading4Char">
    <w:name w:val="Heading 4 Char"/>
    <w:basedOn w:val="DefaultParagraphFont"/>
    <w:link w:val="Heading4"/>
    <w:rsid w:val="00185EE1"/>
    <w:rPr>
      <w:rFonts w:asciiTheme="minorHAnsi" w:hAnsiTheme="minorHAnsi"/>
      <w:b/>
      <w:caps/>
      <w:color w:val="002060"/>
      <w:szCs w:val="24"/>
    </w:rPr>
  </w:style>
  <w:style w:type="character" w:customStyle="1" w:styleId="Heading5Char">
    <w:name w:val="Heading 5 Char"/>
    <w:basedOn w:val="DefaultParagraphFont"/>
    <w:link w:val="Heading5"/>
    <w:rsid w:val="00EA63AB"/>
    <w:rPr>
      <w:rFonts w:asciiTheme="majorHAnsi" w:hAnsiTheme="majorHAnsi"/>
      <w:b/>
      <w:i/>
      <w:color w:val="002A6C" w:themeColor="accent1"/>
      <w:szCs w:val="24"/>
    </w:rPr>
  </w:style>
  <w:style w:type="character" w:customStyle="1" w:styleId="Heading6Char">
    <w:name w:val="Heading 6 Char"/>
    <w:basedOn w:val="DefaultParagraphFont"/>
    <w:link w:val="Heading6"/>
    <w:rsid w:val="00B66C49"/>
    <w:rPr>
      <w:rFonts w:asciiTheme="minorHAnsi" w:hAnsiTheme="minorHAnsi" w:cs="Arial"/>
      <w:bCs/>
      <w:i/>
      <w:color w:val="002A6C" w:themeColor="accent1"/>
      <w:szCs w:val="24"/>
    </w:rPr>
  </w:style>
  <w:style w:type="paragraph" w:customStyle="1" w:styleId="CoverTitle">
    <w:name w:val="Cover Title"/>
    <w:basedOn w:val="Normal"/>
    <w:next w:val="CoverSubtitle"/>
    <w:rsid w:val="007C7E10"/>
    <w:pPr>
      <w:ind w:left="1440" w:right="1440"/>
    </w:pPr>
    <w:rPr>
      <w:b/>
      <w:caps/>
      <w:color w:val="FFFFFF"/>
      <w:sz w:val="60"/>
      <w:szCs w:val="20"/>
    </w:rPr>
  </w:style>
  <w:style w:type="paragraph" w:customStyle="1" w:styleId="CoverSubtitle">
    <w:name w:val="Cover Subtitle"/>
    <w:basedOn w:val="Normal"/>
    <w:rsid w:val="007C7E10"/>
    <w:pPr>
      <w:ind w:left="1440" w:right="1440"/>
    </w:pPr>
    <w:rPr>
      <w:caps/>
      <w:color w:val="FFFFFF"/>
      <w:sz w:val="30"/>
      <w:szCs w:val="20"/>
    </w:rPr>
  </w:style>
  <w:style w:type="paragraph" w:customStyle="1" w:styleId="CoverFooter">
    <w:name w:val="Cover Footer"/>
    <w:basedOn w:val="Normal"/>
    <w:rsid w:val="00402C27"/>
    <w:pPr>
      <w:spacing w:line="240" w:lineRule="auto"/>
      <w:ind w:left="1440" w:right="1440"/>
    </w:pPr>
    <w:rPr>
      <w:color w:val="FFFFFF"/>
    </w:rPr>
  </w:style>
  <w:style w:type="paragraph" w:styleId="Header">
    <w:name w:val="header"/>
    <w:basedOn w:val="Normal"/>
    <w:rsid w:val="00364844"/>
    <w:pPr>
      <w:tabs>
        <w:tab w:val="center" w:pos="4320"/>
        <w:tab w:val="right" w:pos="8640"/>
      </w:tabs>
    </w:pPr>
  </w:style>
  <w:style w:type="paragraph" w:styleId="Footer">
    <w:name w:val="footer"/>
    <w:basedOn w:val="Normal"/>
    <w:link w:val="FooterChar"/>
    <w:uiPriority w:val="99"/>
    <w:rsid w:val="00142CD0"/>
    <w:pPr>
      <w:tabs>
        <w:tab w:val="right" w:pos="8640"/>
      </w:tabs>
      <w:spacing w:after="60" w:line="240" w:lineRule="auto"/>
    </w:pPr>
    <w:rPr>
      <w:sz w:val="16"/>
    </w:rPr>
  </w:style>
  <w:style w:type="character" w:customStyle="1" w:styleId="FooterChar">
    <w:name w:val="Footer Char"/>
    <w:basedOn w:val="DefaultParagraphFont"/>
    <w:link w:val="Footer"/>
    <w:uiPriority w:val="99"/>
    <w:rsid w:val="00142CD0"/>
    <w:rPr>
      <w:rFonts w:asciiTheme="minorHAnsi" w:hAnsiTheme="minorHAnsi"/>
      <w:sz w:val="16"/>
      <w:szCs w:val="24"/>
    </w:rPr>
  </w:style>
  <w:style w:type="paragraph" w:customStyle="1" w:styleId="PullQuoteTextReverse">
    <w:name w:val="Pull Quote Text Reverse"/>
    <w:basedOn w:val="PullQuoteText"/>
    <w:qFormat/>
    <w:rsid w:val="00D2733E"/>
    <w:rPr>
      <w:color w:val="FFFFFF" w:themeColor="background1"/>
    </w:rPr>
  </w:style>
  <w:style w:type="paragraph" w:customStyle="1" w:styleId="PullQuoteText">
    <w:name w:val="Pull Quote Text"/>
    <w:basedOn w:val="Normal"/>
    <w:rsid w:val="00035DA9"/>
    <w:pPr>
      <w:spacing w:line="360" w:lineRule="exact"/>
    </w:pPr>
    <w:rPr>
      <w:rFonts w:ascii="Arial Bold" w:hAnsi="Arial Bold"/>
      <w:b/>
    </w:rPr>
  </w:style>
  <w:style w:type="paragraph" w:customStyle="1" w:styleId="TitlePageTitle">
    <w:name w:val="TitlePage Title"/>
    <w:basedOn w:val="CoverTitle"/>
    <w:next w:val="TitlePageSubtitle"/>
    <w:rsid w:val="00F51EEC"/>
    <w:pPr>
      <w:ind w:left="0"/>
    </w:pPr>
    <w:rPr>
      <w:color w:val="000000"/>
      <w:sz w:val="56"/>
    </w:rPr>
  </w:style>
  <w:style w:type="paragraph" w:customStyle="1" w:styleId="TitlePageSubtitle">
    <w:name w:val="TitlePage Subtitle"/>
    <w:basedOn w:val="CoverSubtitle"/>
    <w:rsid w:val="00492873"/>
    <w:pPr>
      <w:ind w:left="0"/>
    </w:pPr>
    <w:rPr>
      <w:color w:val="000000"/>
    </w:rPr>
  </w:style>
  <w:style w:type="paragraph" w:styleId="ListBullet">
    <w:name w:val="List Bullet"/>
    <w:basedOn w:val="Normal"/>
    <w:link w:val="ListBulletChar"/>
    <w:rsid w:val="008B7F12"/>
    <w:pPr>
      <w:numPr>
        <w:numId w:val="5"/>
      </w:numPr>
    </w:pPr>
    <w:rPr>
      <w:rFonts w:ascii="Arial" w:hAnsi="Arial"/>
    </w:rPr>
  </w:style>
  <w:style w:type="character" w:customStyle="1" w:styleId="ListBulletChar">
    <w:name w:val="List Bullet Char"/>
    <w:link w:val="ListBullet"/>
    <w:rsid w:val="008B7F12"/>
    <w:rPr>
      <w:rFonts w:ascii="Arial" w:hAnsi="Arial"/>
      <w:szCs w:val="24"/>
    </w:rPr>
  </w:style>
  <w:style w:type="paragraph" w:customStyle="1" w:styleId="SectionHeader">
    <w:name w:val="Section Header"/>
    <w:basedOn w:val="Normal"/>
    <w:next w:val="Normal"/>
    <w:link w:val="SectionHeaderChar"/>
    <w:rsid w:val="006C7554"/>
    <w:pPr>
      <w:pageBreakBefore/>
      <w:spacing w:after="240"/>
    </w:pPr>
    <w:rPr>
      <w:rFonts w:asciiTheme="majorHAnsi" w:hAnsiTheme="majorHAnsi"/>
      <w:b/>
      <w:caps/>
      <w:color w:val="002A6C" w:themeColor="accent1"/>
    </w:rPr>
  </w:style>
  <w:style w:type="character" w:customStyle="1" w:styleId="SectionHeaderChar">
    <w:name w:val="Section Header Char"/>
    <w:basedOn w:val="DefaultParagraphFont"/>
    <w:link w:val="SectionHeader"/>
    <w:rsid w:val="006C7554"/>
    <w:rPr>
      <w:rFonts w:asciiTheme="majorHAnsi" w:hAnsiTheme="majorHAnsi"/>
      <w:b/>
      <w:caps/>
      <w:color w:val="002A6C" w:themeColor="accent1"/>
      <w:szCs w:val="24"/>
    </w:rPr>
  </w:style>
  <w:style w:type="paragraph" w:styleId="ListBullet2">
    <w:name w:val="List Bullet 2"/>
    <w:basedOn w:val="Normal"/>
    <w:rsid w:val="009244D3"/>
    <w:pPr>
      <w:numPr>
        <w:ilvl w:val="1"/>
        <w:numId w:val="4"/>
      </w:numPr>
    </w:pPr>
  </w:style>
  <w:style w:type="paragraph" w:styleId="Caption">
    <w:name w:val="caption"/>
    <w:basedOn w:val="TableTitle"/>
    <w:next w:val="Normal"/>
    <w:uiPriority w:val="35"/>
    <w:unhideWhenUsed/>
    <w:qFormat/>
    <w:rsid w:val="000B22DE"/>
    <w:pPr>
      <w:keepLines/>
      <w:spacing w:before="240" w:after="120" w:line="240" w:lineRule="auto"/>
      <w:jc w:val="center"/>
    </w:pPr>
    <w:rPr>
      <w:rFonts w:asciiTheme="minorHAnsi" w:hAnsiTheme="minorHAnsi"/>
    </w:rPr>
  </w:style>
  <w:style w:type="paragraph" w:customStyle="1" w:styleId="TableTitle">
    <w:name w:val="Table Title"/>
    <w:basedOn w:val="Normal"/>
    <w:rsid w:val="00094FE5"/>
    <w:pPr>
      <w:keepNext/>
      <w:spacing w:after="0"/>
    </w:pPr>
    <w:rPr>
      <w:rFonts w:ascii="Arial Bold" w:hAnsi="Arial Bold"/>
      <w:b/>
      <w:sz w:val="18"/>
    </w:rPr>
  </w:style>
  <w:style w:type="table" w:customStyle="1" w:styleId="USAIDTable">
    <w:name w:val="USAID Table"/>
    <w:basedOn w:val="TableNormal"/>
    <w:uiPriority w:val="99"/>
    <w:qFormat/>
    <w:rsid w:val="00AC4E7D"/>
    <w:pPr>
      <w:spacing w:before="60" w:after="60"/>
    </w:pPr>
    <w:rPr>
      <w:rFonts w:ascii="Arial" w:hAnsi="Arial"/>
    </w:rPr>
    <w:tblPr>
      <w:tblStyleRowBandSize w:val="1"/>
      <w:jc w:val="center"/>
      <w:tblBorders>
        <w:insideH w:val="single" w:sz="4" w:space="0" w:color="000000" w:themeColor="text2"/>
        <w:insideV w:val="single" w:sz="4" w:space="0" w:color="000000" w:themeColor="text2"/>
      </w:tblBorders>
      <w:tblCellMar>
        <w:left w:w="115" w:type="dxa"/>
        <w:right w:w="115" w:type="dxa"/>
      </w:tblCellMar>
    </w:tblPr>
    <w:trPr>
      <w:jc w:val="center"/>
    </w:trPr>
    <w:tblStylePr w:type="firstRow">
      <w:tblPr/>
      <w:tcPr>
        <w:tcBorders>
          <w:top w:val="single" w:sz="18" w:space="0" w:color="000000" w:themeColor="text2"/>
          <w:bottom w:val="single" w:sz="18" w:space="0" w:color="000000" w:themeColor="text2"/>
        </w:tcBorders>
      </w:tcPr>
    </w:tblStylePr>
    <w:tblStylePr w:type="lastRow">
      <w:tblPr/>
      <w:tcPr>
        <w:tcBorders>
          <w:top w:val="single" w:sz="18" w:space="0" w:color="000000" w:themeColor="text2"/>
          <w:bottom w:val="single" w:sz="18" w:space="0" w:color="000000" w:themeColor="text2"/>
        </w:tcBorders>
      </w:tcPr>
    </w:tblStylePr>
    <w:tblStylePr w:type="firstCol">
      <w:tblPr/>
      <w:tcPr>
        <w:shd w:val="clear" w:color="auto" w:fill="808080" w:themeFill="background2"/>
      </w:tcPr>
    </w:tblStylePr>
    <w:tblStylePr w:type="band1Horz">
      <w:tblPr/>
      <w:tcPr>
        <w:shd w:val="clear" w:color="auto" w:fill="D9D9D9" w:themeFill="background1" w:themeFillShade="D9"/>
      </w:tcPr>
    </w:tblStylePr>
  </w:style>
  <w:style w:type="character" w:styleId="Hyperlink">
    <w:name w:val="Hyperlink"/>
    <w:basedOn w:val="DefaultParagraphFont"/>
    <w:uiPriority w:val="99"/>
    <w:rsid w:val="00364844"/>
    <w:rPr>
      <w:color w:val="0000FF"/>
      <w:u w:val="single"/>
    </w:rPr>
  </w:style>
  <w:style w:type="paragraph" w:styleId="FootnoteText">
    <w:name w:val="footnote text"/>
    <w:basedOn w:val="Normal"/>
    <w:link w:val="FootnoteTextChar"/>
    <w:uiPriority w:val="99"/>
    <w:rsid w:val="00F70D56"/>
    <w:pPr>
      <w:keepLines/>
      <w:spacing w:before="60" w:after="60" w:line="240" w:lineRule="auto"/>
    </w:pPr>
    <w:rPr>
      <w:rFonts w:ascii="Arial" w:hAnsi="Arial"/>
      <w:sz w:val="16"/>
      <w:szCs w:val="20"/>
    </w:rPr>
  </w:style>
  <w:style w:type="character" w:customStyle="1" w:styleId="FootnoteTextChar">
    <w:name w:val="Footnote Text Char"/>
    <w:basedOn w:val="DefaultParagraphFont"/>
    <w:link w:val="FootnoteText"/>
    <w:uiPriority w:val="99"/>
    <w:rsid w:val="00F70D56"/>
    <w:rPr>
      <w:rFonts w:ascii="Arial" w:hAnsi="Arial"/>
      <w:sz w:val="16"/>
    </w:rPr>
  </w:style>
  <w:style w:type="paragraph" w:styleId="BalloonText">
    <w:name w:val="Balloon Text"/>
    <w:basedOn w:val="Normal"/>
    <w:link w:val="BalloonTextChar"/>
    <w:rsid w:val="00E50B32"/>
    <w:pPr>
      <w:spacing w:after="0"/>
    </w:pPr>
    <w:rPr>
      <w:rFonts w:ascii="Tahoma" w:hAnsi="Tahoma" w:cs="Tahoma"/>
      <w:sz w:val="16"/>
      <w:szCs w:val="16"/>
    </w:rPr>
  </w:style>
  <w:style w:type="character" w:customStyle="1" w:styleId="BalloonTextChar">
    <w:name w:val="Balloon Text Char"/>
    <w:basedOn w:val="DefaultParagraphFont"/>
    <w:link w:val="BalloonText"/>
    <w:rsid w:val="00E50B32"/>
    <w:rPr>
      <w:rFonts w:ascii="Tahoma" w:hAnsi="Tahoma" w:cs="Tahoma"/>
      <w:sz w:val="16"/>
      <w:szCs w:val="16"/>
    </w:rPr>
  </w:style>
  <w:style w:type="character" w:styleId="FootnoteReference">
    <w:name w:val="footnote reference"/>
    <w:basedOn w:val="DefaultParagraphFont"/>
    <w:uiPriority w:val="99"/>
    <w:semiHidden/>
    <w:rsid w:val="00364844"/>
    <w:rPr>
      <w:vertAlign w:val="superscript"/>
    </w:rPr>
  </w:style>
  <w:style w:type="paragraph" w:styleId="TOC1">
    <w:name w:val="toc 1"/>
    <w:basedOn w:val="Normal"/>
    <w:next w:val="Normal"/>
    <w:autoRedefine/>
    <w:uiPriority w:val="39"/>
    <w:qFormat/>
    <w:rsid w:val="0022507B"/>
    <w:pPr>
      <w:tabs>
        <w:tab w:val="right" w:leader="dot" w:pos="9000"/>
      </w:tabs>
      <w:spacing w:line="360" w:lineRule="auto"/>
      <w:ind w:left="547" w:right="29" w:hanging="547"/>
    </w:pPr>
    <w:rPr>
      <w:rFonts w:ascii="Arial Bold" w:hAnsi="Arial Bold" w:cs="Arial"/>
      <w:b/>
      <w:bCs/>
      <w:caps/>
      <w:noProof/>
    </w:rPr>
  </w:style>
  <w:style w:type="paragraph" w:styleId="TOC2">
    <w:name w:val="toc 2"/>
    <w:basedOn w:val="Normal"/>
    <w:next w:val="Normal"/>
    <w:uiPriority w:val="39"/>
    <w:qFormat/>
    <w:rsid w:val="006018A8"/>
    <w:pPr>
      <w:tabs>
        <w:tab w:val="left" w:pos="1080"/>
        <w:tab w:val="right" w:leader="dot" w:pos="9000"/>
      </w:tabs>
      <w:spacing w:after="40"/>
      <w:ind w:left="900" w:right="29" w:hanging="360"/>
    </w:pPr>
    <w:rPr>
      <w:rFonts w:eastAsiaTheme="minorEastAsia" w:cstheme="minorBidi"/>
      <w:noProof/>
      <w:szCs w:val="22"/>
    </w:rPr>
  </w:style>
  <w:style w:type="paragraph" w:styleId="TOC3">
    <w:name w:val="toc 3"/>
    <w:basedOn w:val="Normal"/>
    <w:next w:val="Normal"/>
    <w:uiPriority w:val="39"/>
    <w:qFormat/>
    <w:rsid w:val="00094FE5"/>
    <w:pPr>
      <w:tabs>
        <w:tab w:val="left" w:pos="1440"/>
        <w:tab w:val="right" w:leader="dot" w:pos="9000"/>
      </w:tabs>
      <w:ind w:left="1440" w:right="1008" w:hanging="360"/>
      <w:contextualSpacing/>
    </w:pPr>
    <w:rPr>
      <w:rFonts w:eastAsiaTheme="minorEastAsia" w:cstheme="minorBidi"/>
      <w:noProof/>
      <w:szCs w:val="22"/>
    </w:rPr>
  </w:style>
  <w:style w:type="paragraph" w:styleId="TOC4">
    <w:name w:val="toc 4"/>
    <w:basedOn w:val="Normal"/>
    <w:next w:val="Normal"/>
    <w:autoRedefine/>
    <w:semiHidden/>
    <w:rsid w:val="00364844"/>
    <w:pPr>
      <w:tabs>
        <w:tab w:val="left" w:pos="4320"/>
        <w:tab w:val="right" w:leader="dot" w:pos="9360"/>
      </w:tabs>
      <w:spacing w:after="0"/>
      <w:ind w:left="4320" w:hanging="720"/>
    </w:pPr>
    <w:rPr>
      <w:rFonts w:cs="Arial"/>
      <w:noProof/>
      <w:szCs w:val="18"/>
    </w:rPr>
  </w:style>
  <w:style w:type="paragraph" w:customStyle="1" w:styleId="TOCHeader">
    <w:name w:val="TOC Header"/>
    <w:basedOn w:val="Normal"/>
    <w:rsid w:val="006C7554"/>
    <w:rPr>
      <w:rFonts w:asciiTheme="majorHAnsi" w:hAnsiTheme="majorHAnsi"/>
      <w:b/>
      <w:caps/>
      <w:color w:val="002A6C" w:themeColor="accent1"/>
      <w:sz w:val="48"/>
    </w:rPr>
  </w:style>
  <w:style w:type="paragraph" w:customStyle="1" w:styleId="TableSubTitle">
    <w:name w:val="Table SubTitle"/>
    <w:basedOn w:val="Normal"/>
    <w:rsid w:val="00364844"/>
    <w:rPr>
      <w:rFonts w:ascii="Arial Bold" w:hAnsi="Arial Bold"/>
      <w:b/>
    </w:rPr>
  </w:style>
  <w:style w:type="paragraph" w:customStyle="1" w:styleId="TableHeader">
    <w:name w:val="Table Header"/>
    <w:basedOn w:val="Normal"/>
    <w:rsid w:val="00094FE5"/>
    <w:pPr>
      <w:keepNext/>
      <w:spacing w:before="60" w:after="60" w:line="240" w:lineRule="auto"/>
    </w:pPr>
    <w:rPr>
      <w:rFonts w:ascii="Arial Bold" w:hAnsi="Arial Bold"/>
      <w:b/>
      <w:sz w:val="18"/>
    </w:rPr>
  </w:style>
  <w:style w:type="paragraph" w:customStyle="1" w:styleId="TableText">
    <w:name w:val="Table Text"/>
    <w:basedOn w:val="Normal"/>
    <w:link w:val="TableTextChar"/>
    <w:qFormat/>
    <w:rsid w:val="00565B6D"/>
    <w:pPr>
      <w:autoSpaceDE w:val="0"/>
      <w:autoSpaceDN w:val="0"/>
      <w:adjustRightInd w:val="0"/>
      <w:spacing w:before="60" w:after="60" w:line="240" w:lineRule="auto"/>
    </w:pPr>
    <w:rPr>
      <w:sz w:val="18"/>
    </w:rPr>
  </w:style>
  <w:style w:type="character" w:customStyle="1" w:styleId="TableTextChar">
    <w:name w:val="Table Text Char"/>
    <w:basedOn w:val="DefaultParagraphFont"/>
    <w:link w:val="TableText"/>
    <w:locked/>
    <w:rsid w:val="00565B6D"/>
    <w:rPr>
      <w:rFonts w:ascii="Arial" w:hAnsi="Arial"/>
      <w:sz w:val="18"/>
      <w:szCs w:val="24"/>
    </w:rPr>
  </w:style>
  <w:style w:type="paragraph" w:customStyle="1" w:styleId="Appendix">
    <w:name w:val="Appendix"/>
    <w:basedOn w:val="Heading1"/>
    <w:link w:val="AppendixChar"/>
    <w:qFormat/>
    <w:rsid w:val="004E4A0A"/>
    <w:pPr>
      <w:suppressAutoHyphens/>
      <w:ind w:left="0" w:firstLine="0"/>
    </w:pPr>
  </w:style>
  <w:style w:type="character" w:customStyle="1" w:styleId="AppendixChar">
    <w:name w:val="Appendix Char"/>
    <w:basedOn w:val="DefaultParagraphFont"/>
    <w:link w:val="Appendix"/>
    <w:rsid w:val="004E4A0A"/>
    <w:rPr>
      <w:rFonts w:asciiTheme="majorHAnsi" w:hAnsiTheme="majorHAnsi"/>
      <w:b/>
      <w:caps/>
      <w:color w:val="002A6C" w:themeColor="accent1"/>
      <w:sz w:val="36"/>
      <w:szCs w:val="44"/>
    </w:rPr>
  </w:style>
  <w:style w:type="paragraph" w:customStyle="1" w:styleId="Heading0">
    <w:name w:val="Heading 0"/>
    <w:basedOn w:val="TOCHeader"/>
    <w:next w:val="Normal"/>
    <w:rsid w:val="00C0651C"/>
  </w:style>
  <w:style w:type="table" w:styleId="TableGrid">
    <w:name w:val="Table Grid"/>
    <w:basedOn w:val="TableNormal"/>
    <w:uiPriority w:val="39"/>
    <w:rsid w:val="005930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Bullets">
    <w:name w:val="Table Bullets"/>
    <w:basedOn w:val="TableText"/>
    <w:link w:val="TableBulletsChar"/>
    <w:qFormat/>
    <w:rsid w:val="007215A0"/>
    <w:pPr>
      <w:numPr>
        <w:numId w:val="1"/>
      </w:numPr>
    </w:pPr>
  </w:style>
  <w:style w:type="character" w:customStyle="1" w:styleId="TableBulletsChar">
    <w:name w:val="Table Bullets Char"/>
    <w:basedOn w:val="DefaultParagraphFont"/>
    <w:link w:val="TableBullets"/>
    <w:rsid w:val="007215A0"/>
    <w:rPr>
      <w:rFonts w:asciiTheme="minorHAnsi" w:hAnsiTheme="minorHAnsi"/>
      <w:sz w:val="18"/>
      <w:szCs w:val="24"/>
    </w:rPr>
  </w:style>
  <w:style w:type="paragraph" w:customStyle="1" w:styleId="TableFooter">
    <w:name w:val="Table Footer"/>
    <w:basedOn w:val="Normal"/>
    <w:link w:val="TableFooterChar"/>
    <w:qFormat/>
    <w:rsid w:val="002B7182"/>
    <w:pPr>
      <w:spacing w:before="60"/>
    </w:pPr>
    <w:rPr>
      <w:i/>
      <w:sz w:val="16"/>
    </w:rPr>
  </w:style>
  <w:style w:type="character" w:customStyle="1" w:styleId="TableFooterChar">
    <w:name w:val="Table Footer Char"/>
    <w:basedOn w:val="DefaultParagraphFont"/>
    <w:link w:val="TableFooter"/>
    <w:rsid w:val="002B7182"/>
    <w:rPr>
      <w:rFonts w:ascii="Arial" w:hAnsi="Arial"/>
      <w:i/>
      <w:sz w:val="16"/>
      <w:szCs w:val="24"/>
    </w:rPr>
  </w:style>
  <w:style w:type="table" w:customStyle="1" w:styleId="InvisibleTable">
    <w:name w:val="Invisible Table"/>
    <w:basedOn w:val="TableNormal"/>
    <w:uiPriority w:val="99"/>
    <w:qFormat/>
    <w:rsid w:val="004B3956"/>
    <w:rPr>
      <w:rFonts w:asciiTheme="minorHAnsi" w:hAnsiTheme="minorHAnsi"/>
    </w:rPr>
    <w:tblPr>
      <w:tblCellMar>
        <w:left w:w="0" w:type="dxa"/>
        <w:right w:w="0" w:type="dxa"/>
      </w:tblCellMar>
    </w:tblPr>
    <w:trPr>
      <w:cantSplit/>
    </w:trPr>
    <w:tblStylePr w:type="firstCol">
      <w:rPr>
        <w:rFonts w:asciiTheme="minorHAnsi" w:hAnsiTheme="minorHAnsi"/>
        <w:b/>
      </w:rPr>
    </w:tblStylePr>
  </w:style>
  <w:style w:type="paragraph" w:customStyle="1" w:styleId="GraphicFooter">
    <w:name w:val="Graphic Footer"/>
    <w:basedOn w:val="TableFooter"/>
    <w:qFormat/>
    <w:rsid w:val="008162D2"/>
    <w:pPr>
      <w:contextualSpacing/>
    </w:pPr>
  </w:style>
  <w:style w:type="paragraph" w:customStyle="1" w:styleId="TableSubheader">
    <w:name w:val="Table Subheader"/>
    <w:basedOn w:val="TableText"/>
    <w:qFormat/>
    <w:rsid w:val="002D6B00"/>
    <w:rPr>
      <w:b/>
      <w:bCs/>
      <w:i/>
      <w:color w:val="FFFFFF" w:themeColor="background1"/>
    </w:rPr>
  </w:style>
  <w:style w:type="paragraph" w:customStyle="1" w:styleId="TextBoxText">
    <w:name w:val="Text Box Text"/>
    <w:basedOn w:val="Normal"/>
    <w:link w:val="TextBoxTextChar"/>
    <w:qFormat/>
    <w:rsid w:val="00142CD0"/>
    <w:pPr>
      <w:spacing w:before="80" w:after="80"/>
    </w:pPr>
    <w:rPr>
      <w:sz w:val="16"/>
    </w:rPr>
  </w:style>
  <w:style w:type="character" w:customStyle="1" w:styleId="TextBoxTextChar">
    <w:name w:val="Text Box Text Char"/>
    <w:basedOn w:val="DefaultParagraphFont"/>
    <w:link w:val="TextBoxText"/>
    <w:rsid w:val="00142CD0"/>
    <w:rPr>
      <w:rFonts w:asciiTheme="minorHAnsi" w:hAnsiTheme="minorHAnsi"/>
      <w:sz w:val="16"/>
      <w:szCs w:val="24"/>
    </w:rPr>
  </w:style>
  <w:style w:type="table" w:customStyle="1" w:styleId="TextBox1">
    <w:name w:val="Text Box 1"/>
    <w:basedOn w:val="TableNormal"/>
    <w:uiPriority w:val="99"/>
    <w:qFormat/>
    <w:rsid w:val="0060285B"/>
    <w:rPr>
      <w:rFonts w:asciiTheme="minorHAnsi" w:hAnsiTheme="minorHAnsi"/>
      <w:sz w:val="18"/>
    </w:rPr>
    <w:tblPr>
      <w:jc w:val="right"/>
      <w:tblBorders>
        <w:bottom w:val="single" w:sz="24" w:space="0" w:color="808080" w:themeColor="background1" w:themeShade="80"/>
        <w:right w:val="single" w:sz="24" w:space="0" w:color="808080" w:themeColor="background1" w:themeShade="80"/>
      </w:tblBorders>
      <w:tblCellMar>
        <w:top w:w="130" w:type="dxa"/>
        <w:left w:w="72" w:type="dxa"/>
        <w:bottom w:w="130" w:type="dxa"/>
        <w:right w:w="72" w:type="dxa"/>
      </w:tblCellMar>
    </w:tblPr>
    <w:trPr>
      <w:jc w:val="right"/>
    </w:trPr>
    <w:tcPr>
      <w:shd w:val="clear" w:color="auto" w:fill="808080" w:themeFill="background2"/>
    </w:tcPr>
    <w:tblStylePr w:type="firstRow">
      <w:tblPr>
        <w:jc w:val="left"/>
        <w:tblCellMar>
          <w:top w:w="14" w:type="dxa"/>
          <w:left w:w="14" w:type="dxa"/>
          <w:bottom w:w="14" w:type="dxa"/>
          <w:right w:w="14" w:type="dxa"/>
        </w:tblCellMar>
      </w:tblPr>
      <w:trPr>
        <w:jc w:val="left"/>
      </w:trPr>
      <w:tcPr>
        <w:tcBorders>
          <w:top w:val="nil"/>
          <w:left w:val="nil"/>
          <w:bottom w:val="nil"/>
          <w:right w:val="nil"/>
          <w:insideH w:val="nil"/>
          <w:insideV w:val="nil"/>
          <w:tl2br w:val="nil"/>
          <w:tr2bl w:val="nil"/>
        </w:tcBorders>
        <w:shd w:val="clear" w:color="auto" w:fill="FFFFFF" w:themeFill="background1"/>
      </w:tcPr>
    </w:tblStylePr>
  </w:style>
  <w:style w:type="paragraph" w:styleId="TableofFigures">
    <w:name w:val="table of figures"/>
    <w:basedOn w:val="Normal"/>
    <w:next w:val="Normal"/>
    <w:uiPriority w:val="99"/>
    <w:rsid w:val="00B140D3"/>
    <w:pPr>
      <w:spacing w:before="60" w:after="60"/>
      <w:ind w:left="936" w:hanging="936"/>
    </w:pPr>
    <w:rPr>
      <w:sz w:val="18"/>
    </w:rPr>
  </w:style>
  <w:style w:type="paragraph" w:customStyle="1" w:styleId="TextBoxBullets">
    <w:name w:val="Text Box Bullets"/>
    <w:basedOn w:val="TextBoxText"/>
    <w:qFormat/>
    <w:rsid w:val="00584203"/>
    <w:pPr>
      <w:numPr>
        <w:numId w:val="6"/>
      </w:numPr>
      <w:spacing w:before="60" w:after="60"/>
    </w:pPr>
  </w:style>
  <w:style w:type="paragraph" w:customStyle="1" w:styleId="RecommendationBoxHeader">
    <w:name w:val="Recommendation Box Header"/>
    <w:basedOn w:val="Normal"/>
    <w:link w:val="RecommendationBoxHeaderChar"/>
    <w:qFormat/>
    <w:rsid w:val="003F359B"/>
    <w:pPr>
      <w:jc w:val="center"/>
    </w:pPr>
    <w:rPr>
      <w:b/>
      <w:color w:val="FFFFFF" w:themeColor="background1"/>
    </w:rPr>
  </w:style>
  <w:style w:type="character" w:customStyle="1" w:styleId="RecommendationBoxHeaderChar">
    <w:name w:val="Recommendation Box Header Char"/>
    <w:basedOn w:val="DefaultParagraphFont"/>
    <w:link w:val="RecommendationBoxHeader"/>
    <w:rsid w:val="003F359B"/>
    <w:rPr>
      <w:rFonts w:ascii="Arial" w:hAnsi="Arial"/>
      <w:b/>
      <w:color w:val="FFFFFF" w:themeColor="background1"/>
      <w:sz w:val="22"/>
      <w:szCs w:val="24"/>
    </w:rPr>
  </w:style>
  <w:style w:type="paragraph" w:customStyle="1" w:styleId="RecommendationBoxBullets">
    <w:name w:val="Recommendation Box Bullets"/>
    <w:basedOn w:val="ListBullet"/>
    <w:qFormat/>
    <w:rsid w:val="00CD79B5"/>
    <w:pPr>
      <w:ind w:left="900"/>
    </w:pPr>
    <w:rPr>
      <w:color w:val="FFFFFF" w:themeColor="background1"/>
    </w:rPr>
  </w:style>
  <w:style w:type="paragraph" w:customStyle="1" w:styleId="RecommendationBoxText">
    <w:name w:val="Recommendation Box Text"/>
    <w:basedOn w:val="Normal"/>
    <w:link w:val="RecommendationBoxTextChar"/>
    <w:qFormat/>
    <w:rsid w:val="003F359B"/>
    <w:rPr>
      <w:color w:val="FFFFFF" w:themeColor="background1"/>
    </w:rPr>
  </w:style>
  <w:style w:type="character" w:customStyle="1" w:styleId="RecommendationBoxTextChar">
    <w:name w:val="Recommendation Box Text Char"/>
    <w:basedOn w:val="DefaultParagraphFont"/>
    <w:link w:val="RecommendationBoxText"/>
    <w:rsid w:val="003F359B"/>
    <w:rPr>
      <w:rFonts w:ascii="Arial" w:hAnsi="Arial"/>
      <w:color w:val="FFFFFF" w:themeColor="background1"/>
      <w:sz w:val="22"/>
      <w:szCs w:val="24"/>
    </w:rPr>
  </w:style>
  <w:style w:type="table" w:customStyle="1" w:styleId="RecommendationBox">
    <w:name w:val="Recommendation Box"/>
    <w:basedOn w:val="TableNormal"/>
    <w:uiPriority w:val="99"/>
    <w:qFormat/>
    <w:rsid w:val="00E2436F"/>
    <w:rPr>
      <w:rFonts w:ascii="Arial" w:hAnsi="Arial"/>
      <w:sz w:val="22"/>
    </w:rPr>
    <w:tblPr>
      <w:jc w:val="center"/>
      <w:tblCellMar>
        <w:left w:w="216" w:type="dxa"/>
        <w:right w:w="216" w:type="dxa"/>
      </w:tblCellMar>
    </w:tblPr>
    <w:trPr>
      <w:cantSplit/>
      <w:jc w:val="center"/>
    </w:trPr>
    <w:tcPr>
      <w:shd w:val="clear" w:color="auto" w:fill="000000" w:themeFill="text2"/>
    </w:tcPr>
  </w:style>
  <w:style w:type="paragraph" w:customStyle="1" w:styleId="TextBoxHeader">
    <w:name w:val="Text Box Header"/>
    <w:basedOn w:val="TextBoxText"/>
    <w:qFormat/>
    <w:rsid w:val="00C305F2"/>
    <w:pPr>
      <w:keepNext/>
      <w:keepLines/>
    </w:pPr>
    <w:rPr>
      <w:b/>
      <w:color w:val="002A6C" w:themeColor="accent1"/>
      <w:sz w:val="18"/>
    </w:rPr>
  </w:style>
  <w:style w:type="table" w:customStyle="1" w:styleId="LearnbyDoingBox">
    <w:name w:val="Learn by Doing Box"/>
    <w:basedOn w:val="TableNormal"/>
    <w:uiPriority w:val="99"/>
    <w:qFormat/>
    <w:rsid w:val="00785409"/>
    <w:rPr>
      <w:rFonts w:ascii="Arial" w:hAnsi="Arial"/>
      <w:color w:val="FFFFFF" w:themeColor="background1"/>
    </w:rPr>
    <w:tblPr>
      <w:tblBorders>
        <w:bottom w:val="single" w:sz="18" w:space="0" w:color="auto"/>
        <w:right w:val="single" w:sz="18" w:space="0" w:color="auto"/>
      </w:tblBorders>
      <w:tblCellMar>
        <w:top w:w="115" w:type="dxa"/>
        <w:left w:w="115" w:type="dxa"/>
        <w:bottom w:w="115" w:type="dxa"/>
        <w:right w:w="115" w:type="dxa"/>
      </w:tblCellMar>
    </w:tblPr>
    <w:tcPr>
      <w:shd w:val="clear" w:color="auto" w:fill="C2113A" w:themeFill="accent2"/>
    </w:tcPr>
  </w:style>
  <w:style w:type="paragraph" w:customStyle="1" w:styleId="AnnexH1">
    <w:name w:val="Annex H1"/>
    <w:basedOn w:val="Heading1"/>
    <w:next w:val="Normal"/>
    <w:link w:val="AnnexH1Char"/>
    <w:qFormat/>
    <w:rsid w:val="00AB7D18"/>
    <w:pPr>
      <w:pageBreakBefore w:val="0"/>
      <w:numPr>
        <w:ilvl w:val="1"/>
        <w:numId w:val="7"/>
      </w:numPr>
    </w:pPr>
    <w:rPr>
      <w:sz w:val="28"/>
    </w:rPr>
  </w:style>
  <w:style w:type="character" w:customStyle="1" w:styleId="AnnexH1Char">
    <w:name w:val="Annex H1 Char"/>
    <w:basedOn w:val="Heading1Char"/>
    <w:link w:val="AnnexH1"/>
    <w:rsid w:val="00AB7D18"/>
    <w:rPr>
      <w:rFonts w:asciiTheme="majorHAnsi" w:hAnsiTheme="majorHAnsi"/>
      <w:b/>
      <w:caps/>
      <w:color w:val="002A6C" w:themeColor="accent1"/>
      <w:sz w:val="28"/>
      <w:szCs w:val="44"/>
    </w:rPr>
  </w:style>
  <w:style w:type="paragraph" w:customStyle="1" w:styleId="AcronymTable">
    <w:name w:val="Acronym Table"/>
    <w:basedOn w:val="Normal"/>
    <w:qFormat/>
    <w:rsid w:val="00BF20D2"/>
    <w:pPr>
      <w:spacing w:before="60" w:after="60" w:line="240" w:lineRule="auto"/>
    </w:pPr>
    <w:rPr>
      <w:rFonts w:cs="Arial"/>
      <w:sz w:val="18"/>
      <w:szCs w:val="20"/>
    </w:rPr>
  </w:style>
  <w:style w:type="character" w:styleId="PlaceholderText">
    <w:name w:val="Placeholder Text"/>
    <w:basedOn w:val="DefaultParagraphFont"/>
    <w:uiPriority w:val="99"/>
    <w:semiHidden/>
    <w:rsid w:val="00B1628C"/>
    <w:rPr>
      <w:color w:val="808080"/>
    </w:rPr>
  </w:style>
  <w:style w:type="paragraph" w:customStyle="1" w:styleId="BODYTEXT1">
    <w:name w:val="BODY TEXT 1"/>
    <w:basedOn w:val="Normal"/>
    <w:link w:val="BODYTEXT1Char"/>
    <w:uiPriority w:val="99"/>
    <w:rsid w:val="000B69C3"/>
    <w:pPr>
      <w:spacing w:after="160" w:line="280" w:lineRule="exact"/>
      <w:jc w:val="both"/>
    </w:pPr>
    <w:rPr>
      <w:color w:val="000000"/>
    </w:rPr>
  </w:style>
  <w:style w:type="character" w:customStyle="1" w:styleId="BODYTEXT1Char">
    <w:name w:val="BODY TEXT 1 Char"/>
    <w:basedOn w:val="DefaultParagraphFont"/>
    <w:link w:val="BODYTEXT1"/>
    <w:uiPriority w:val="99"/>
    <w:rsid w:val="000B69C3"/>
    <w:rPr>
      <w:rFonts w:ascii="Arial" w:hAnsi="Arial"/>
      <w:color w:val="000000"/>
      <w:sz w:val="22"/>
      <w:szCs w:val="24"/>
    </w:rPr>
  </w:style>
  <w:style w:type="paragraph" w:customStyle="1" w:styleId="AnnexHeading2">
    <w:name w:val="Annex Heading 2"/>
    <w:basedOn w:val="Normal"/>
    <w:next w:val="Normal"/>
    <w:qFormat/>
    <w:rsid w:val="005C6449"/>
    <w:pPr>
      <w:keepNext/>
      <w:keepLines/>
      <w:numPr>
        <w:ilvl w:val="2"/>
        <w:numId w:val="7"/>
      </w:numPr>
    </w:pPr>
    <w:rPr>
      <w:rFonts w:ascii="Arial Bold" w:hAnsi="Arial Bold"/>
      <w:b/>
      <w:caps/>
      <w:color w:val="000000" w:themeColor="text2"/>
      <w:sz w:val="28"/>
    </w:rPr>
  </w:style>
  <w:style w:type="paragraph" w:styleId="TOCHeading">
    <w:name w:val="TOC Heading"/>
    <w:basedOn w:val="Heading1"/>
    <w:next w:val="Normal"/>
    <w:uiPriority w:val="39"/>
    <w:unhideWhenUsed/>
    <w:qFormat/>
    <w:rsid w:val="00C71C1C"/>
    <w:pPr>
      <w:spacing w:before="480" w:after="0" w:line="276" w:lineRule="auto"/>
      <w:ind w:left="0" w:firstLine="0"/>
      <w:outlineLvl w:val="9"/>
    </w:pPr>
    <w:rPr>
      <w:rFonts w:eastAsiaTheme="majorEastAsia" w:cstheme="majorBidi"/>
      <w:bCs/>
      <w:color w:val="001F50" w:themeColor="accent1" w:themeShade="BF"/>
      <w:sz w:val="48"/>
      <w:szCs w:val="24"/>
      <w:lang w:eastAsia="ja-JP"/>
    </w:rPr>
  </w:style>
  <w:style w:type="paragraph" w:customStyle="1" w:styleId="OpeningQuotation">
    <w:name w:val="Opening Quotation"/>
    <w:basedOn w:val="Normal"/>
    <w:qFormat/>
    <w:rsid w:val="00FF15B7"/>
    <w:pPr>
      <w:ind w:left="720" w:right="1800"/>
      <w:contextualSpacing/>
    </w:pPr>
    <w:rPr>
      <w:i/>
    </w:rPr>
  </w:style>
  <w:style w:type="table" w:customStyle="1" w:styleId="Simpletable">
    <w:name w:val="Simple table"/>
    <w:basedOn w:val="TableNormal"/>
    <w:uiPriority w:val="99"/>
    <w:rsid w:val="00B763E0"/>
    <w:rPr>
      <w:rFonts w:asciiTheme="minorHAnsi" w:eastAsiaTheme="minorHAnsi" w:hAnsiTheme="minorHAnsi" w:cstheme="minorBidi"/>
      <w:sz w:val="22"/>
      <w:szCs w:val="22"/>
    </w:rPr>
    <w:tblPr>
      <w:tblBorders>
        <w:top w:val="single" w:sz="8" w:space="0" w:color="auto"/>
        <w:bottom w:val="single" w:sz="8" w:space="0" w:color="auto"/>
        <w:insideH w:val="single" w:sz="8" w:space="0" w:color="auto"/>
        <w:insideV w:val="single" w:sz="8" w:space="0" w:color="auto"/>
      </w:tblBorders>
    </w:tblPr>
    <w:trPr>
      <w:cantSplit/>
    </w:trPr>
    <w:tblStylePr w:type="firstRow">
      <w:rPr>
        <w:b/>
      </w:rPr>
      <w:tblPr/>
      <w:trPr>
        <w:cantSplit w:val="0"/>
        <w:tblHeader/>
      </w:trPr>
      <w:tcPr>
        <w:tcBorders>
          <w:top w:val="single" w:sz="18" w:space="0" w:color="auto"/>
          <w:bottom w:val="single" w:sz="18" w:space="0" w:color="auto"/>
        </w:tcBorders>
      </w:tcPr>
    </w:tblStylePr>
    <w:tblStylePr w:type="lastRow">
      <w:tblPr/>
      <w:tcPr>
        <w:tcBorders>
          <w:bottom w:val="single" w:sz="18" w:space="0" w:color="auto"/>
        </w:tcBorders>
      </w:tcPr>
    </w:tblStylePr>
  </w:style>
  <w:style w:type="table" w:customStyle="1" w:styleId="OutputsTable">
    <w:name w:val="Outputs Table"/>
    <w:basedOn w:val="TableNormal"/>
    <w:uiPriority w:val="99"/>
    <w:rsid w:val="00D94693"/>
    <w:rPr>
      <w:rFonts w:asciiTheme="minorHAnsi" w:eastAsiaTheme="minorHAnsi" w:hAnsiTheme="minorHAnsi" w:cstheme="minorBidi"/>
      <w:sz w:val="18"/>
      <w:szCs w:val="22"/>
    </w:rPr>
    <w:tblPr>
      <w:tblBorders>
        <w:bottom w:val="single" w:sz="18" w:space="0" w:color="002A6C" w:themeColor="accent1"/>
        <w:insideH w:val="single" w:sz="4" w:space="0" w:color="002A6C" w:themeColor="accent1"/>
        <w:insideV w:val="single" w:sz="4" w:space="0" w:color="002A6C" w:themeColor="accent1"/>
      </w:tblBorders>
    </w:tblPr>
    <w:trPr>
      <w:cantSplit/>
    </w:trPr>
    <w:tblStylePr w:type="firstRow">
      <w:pPr>
        <w:keepNext/>
        <w:wordWrap/>
        <w:jc w:val="left"/>
      </w:pPr>
      <w:rPr>
        <w:b/>
      </w:rPr>
      <w:tblPr/>
      <w:tcPr>
        <w:tcBorders>
          <w:top w:val="single" w:sz="18" w:space="0" w:color="002A6C" w:themeColor="accent1"/>
          <w:bottom w:val="single" w:sz="18" w:space="0" w:color="002A6C" w:themeColor="accent1"/>
        </w:tcBorders>
      </w:tcPr>
    </w:tblStylePr>
    <w:tblStylePr w:type="lastRow">
      <w:tblPr/>
      <w:tcPr>
        <w:tcBorders>
          <w:top w:val="single" w:sz="18" w:space="0" w:color="002A6C" w:themeColor="accent1"/>
          <w:bottom w:val="single" w:sz="18" w:space="0" w:color="002A6C" w:themeColor="accent1"/>
        </w:tcBorders>
      </w:tcPr>
    </w:tblStylePr>
  </w:style>
  <w:style w:type="paragraph" w:styleId="ListParagraph">
    <w:name w:val="List Paragraph"/>
    <w:basedOn w:val="Normal"/>
    <w:link w:val="ListParagraphChar"/>
    <w:uiPriority w:val="34"/>
    <w:qFormat/>
    <w:rsid w:val="0061442B"/>
    <w:pPr>
      <w:autoSpaceDE w:val="0"/>
      <w:autoSpaceDN w:val="0"/>
      <w:adjustRightInd w:val="0"/>
      <w:ind w:left="720" w:hanging="360"/>
    </w:pPr>
    <w:rPr>
      <w:color w:val="002060"/>
      <w:sz w:val="28"/>
    </w:rPr>
  </w:style>
  <w:style w:type="character" w:customStyle="1" w:styleId="ListParagraphChar">
    <w:name w:val="List Paragraph Char"/>
    <w:basedOn w:val="DefaultParagraphFont"/>
    <w:link w:val="ListParagraph"/>
    <w:uiPriority w:val="34"/>
    <w:rsid w:val="0061442B"/>
    <w:rPr>
      <w:rFonts w:asciiTheme="minorHAnsi" w:hAnsiTheme="minorHAnsi"/>
      <w:color w:val="002060"/>
      <w:sz w:val="28"/>
      <w:szCs w:val="24"/>
    </w:rPr>
  </w:style>
  <w:style w:type="paragraph" w:customStyle="1" w:styleId="ActivityHeader">
    <w:name w:val="Activity Header"/>
    <w:basedOn w:val="Normal"/>
    <w:qFormat/>
    <w:rsid w:val="00330074"/>
    <w:pPr>
      <w:keepNext/>
    </w:pPr>
    <w:rPr>
      <w:rFonts w:eastAsiaTheme="minorHAnsi"/>
      <w:b/>
      <w:i/>
    </w:rPr>
  </w:style>
  <w:style w:type="paragraph" w:customStyle="1" w:styleId="BulletUpcomingEvent">
    <w:name w:val="Bullet Upcoming Event"/>
    <w:basedOn w:val="Normal"/>
    <w:qFormat/>
    <w:rsid w:val="00330074"/>
    <w:pPr>
      <w:numPr>
        <w:numId w:val="2"/>
      </w:numPr>
      <w:tabs>
        <w:tab w:val="left" w:pos="840"/>
      </w:tabs>
    </w:pPr>
    <w:rPr>
      <w:rFonts w:ascii="Arial" w:eastAsia="Arial" w:hAnsi="Arial" w:cs="Arial"/>
      <w:spacing w:val="-4"/>
      <w:szCs w:val="20"/>
    </w:rPr>
  </w:style>
  <w:style w:type="paragraph" w:customStyle="1" w:styleId="TitlePageDisclaimerHeader">
    <w:name w:val="TitlePage Disclaimer Header"/>
    <w:basedOn w:val="Normal"/>
    <w:qFormat/>
    <w:rsid w:val="0012588B"/>
    <w:pPr>
      <w:spacing w:before="1680"/>
      <w:contextualSpacing/>
    </w:pPr>
    <w:rPr>
      <w:caps/>
    </w:rPr>
  </w:style>
  <w:style w:type="paragraph" w:customStyle="1" w:styleId="TitlePageDisclaimerBody">
    <w:name w:val="Title Page Disclaimer Body"/>
    <w:basedOn w:val="TitlePageDisclaimerHeader"/>
    <w:qFormat/>
    <w:rsid w:val="00A05B4C"/>
    <w:pPr>
      <w:spacing w:before="120"/>
    </w:pPr>
    <w:rPr>
      <w:caps w:val="0"/>
      <w:sz w:val="18"/>
    </w:rPr>
  </w:style>
  <w:style w:type="character" w:customStyle="1" w:styleId="GanttChartReference">
    <w:name w:val="Gantt Chart Reference"/>
    <w:aliases w:val="Heading"/>
    <w:basedOn w:val="DefaultParagraphFont"/>
    <w:uiPriority w:val="1"/>
    <w:qFormat/>
    <w:rsid w:val="002C0240"/>
    <w:rPr>
      <w:sz w:val="16"/>
    </w:rPr>
  </w:style>
  <w:style w:type="table" w:customStyle="1" w:styleId="TextBox">
    <w:name w:val="Text Box"/>
    <w:basedOn w:val="TableNormal"/>
    <w:uiPriority w:val="99"/>
    <w:qFormat/>
    <w:rsid w:val="00455A23"/>
    <w:rPr>
      <w:rFonts w:ascii="Arial" w:hAnsi="Arial"/>
    </w:rPr>
    <w:tblPr>
      <w:tblBorders>
        <w:bottom w:val="single" w:sz="18" w:space="0" w:color="auto"/>
        <w:right w:val="single" w:sz="18" w:space="0" w:color="auto"/>
      </w:tblBorders>
      <w:tblCellMar>
        <w:top w:w="115" w:type="dxa"/>
        <w:left w:w="216" w:type="dxa"/>
        <w:right w:w="216" w:type="dxa"/>
      </w:tblCellMar>
    </w:tblPr>
    <w:tcPr>
      <w:shd w:val="clear" w:color="auto" w:fill="9DBFE5" w:themeFill="accent3"/>
    </w:tcPr>
  </w:style>
  <w:style w:type="paragraph" w:customStyle="1" w:styleId="TextBoxBullet2">
    <w:name w:val="Text Box Bullet 2"/>
    <w:basedOn w:val="TextBoxBullets"/>
    <w:qFormat/>
    <w:rsid w:val="00E17485"/>
    <w:pPr>
      <w:numPr>
        <w:ilvl w:val="1"/>
      </w:numPr>
    </w:pPr>
  </w:style>
  <w:style w:type="paragraph" w:customStyle="1" w:styleId="SmallHeadingFormatOnly">
    <w:name w:val="Small Heading (Format Only)"/>
    <w:basedOn w:val="Normal"/>
    <w:next w:val="Normal"/>
    <w:link w:val="SmallHeadingFormatOnlyChar"/>
    <w:qFormat/>
    <w:rsid w:val="004E37D9"/>
    <w:pPr>
      <w:keepNext/>
      <w:spacing w:before="240"/>
    </w:pPr>
    <w:rPr>
      <w:b/>
      <w:caps/>
      <w:color w:val="002A6C" w:themeColor="accent1"/>
    </w:rPr>
  </w:style>
  <w:style w:type="character" w:customStyle="1" w:styleId="SmallHeadingFormatOnlyChar">
    <w:name w:val="Small Heading (Format Only) Char"/>
    <w:basedOn w:val="DefaultParagraphFont"/>
    <w:link w:val="SmallHeadingFormatOnly"/>
    <w:rsid w:val="004E37D9"/>
    <w:rPr>
      <w:rFonts w:asciiTheme="minorHAnsi" w:hAnsiTheme="minorHAnsi"/>
      <w:b/>
      <w:caps/>
      <w:color w:val="002A6C" w:themeColor="accent1"/>
      <w:szCs w:val="24"/>
    </w:rPr>
  </w:style>
  <w:style w:type="paragraph" w:customStyle="1" w:styleId="AppendicesChapterList">
    <w:name w:val="Appendices Chapter List"/>
    <w:basedOn w:val="ListParagraph"/>
    <w:qFormat/>
    <w:rsid w:val="00142CD0"/>
    <w:pPr>
      <w:numPr>
        <w:numId w:val="3"/>
      </w:numPr>
    </w:pPr>
    <w:rPr>
      <w:caps/>
      <w:color w:val="002A6C" w:themeColor="accent1"/>
    </w:rPr>
  </w:style>
  <w:style w:type="paragraph" w:customStyle="1" w:styleId="SmallSubheadingFormatOnly">
    <w:name w:val="Small Subheading (Format Only)"/>
    <w:basedOn w:val="SmallHeadingFormatOnly"/>
    <w:next w:val="Normal"/>
    <w:qFormat/>
    <w:rsid w:val="00B510FB"/>
    <w:rPr>
      <w:rFonts w:asciiTheme="majorHAnsi" w:hAnsiTheme="majorHAnsi"/>
      <w:i/>
      <w:color w:val="0D6BFF" w:themeColor="accent1" w:themeTint="99"/>
      <w:sz w:val="18"/>
    </w:rPr>
  </w:style>
  <w:style w:type="paragraph" w:customStyle="1" w:styleId="TableFootnote">
    <w:name w:val="Table Footnote"/>
    <w:basedOn w:val="Normal"/>
    <w:qFormat/>
    <w:rsid w:val="0098021F"/>
    <w:pPr>
      <w:ind w:left="180"/>
    </w:pPr>
    <w:rPr>
      <w:i/>
      <w:sz w:val="16"/>
      <w:szCs w:val="16"/>
    </w:rPr>
  </w:style>
  <w:style w:type="paragraph" w:customStyle="1" w:styleId="TableInternalSubtitle">
    <w:name w:val="Table Internal Subtitle"/>
    <w:basedOn w:val="TableText"/>
    <w:qFormat/>
    <w:rsid w:val="00094FE5"/>
    <w:pPr>
      <w:keepNext/>
      <w:spacing w:before="160"/>
    </w:pPr>
    <w:rPr>
      <w:b/>
      <w:i/>
    </w:rPr>
  </w:style>
  <w:style w:type="paragraph" w:customStyle="1" w:styleId="Subheading3">
    <w:name w:val="Subheading 3"/>
    <w:basedOn w:val="Normal"/>
    <w:qFormat/>
    <w:rsid w:val="00094FE5"/>
    <w:pPr>
      <w:spacing w:before="200"/>
      <w:jc w:val="both"/>
    </w:pPr>
    <w:rPr>
      <w:rFonts w:ascii="Arial" w:hAnsi="Arial"/>
      <w:caps/>
      <w:color w:val="002A6C"/>
      <w:sz w:val="24"/>
    </w:rPr>
  </w:style>
  <w:style w:type="paragraph" w:customStyle="1" w:styleId="IndentQuote">
    <w:name w:val="Indent Quote"/>
    <w:basedOn w:val="Normal"/>
    <w:qFormat/>
    <w:rsid w:val="00A42F52"/>
    <w:pPr>
      <w:ind w:left="360" w:right="389"/>
    </w:pPr>
    <w:rPr>
      <w:sz w:val="18"/>
      <w:szCs w:val="22"/>
    </w:rPr>
  </w:style>
  <w:style w:type="paragraph" w:customStyle="1" w:styleId="Annex">
    <w:name w:val="Annex"/>
    <w:basedOn w:val="Heading1"/>
    <w:link w:val="AnnexChar"/>
    <w:qFormat/>
    <w:rsid w:val="009E238C"/>
    <w:pPr>
      <w:numPr>
        <w:numId w:val="0"/>
      </w:numPr>
      <w:suppressAutoHyphens/>
    </w:pPr>
  </w:style>
  <w:style w:type="character" w:customStyle="1" w:styleId="AnnexChar">
    <w:name w:val="Annex Char"/>
    <w:basedOn w:val="DefaultParagraphFont"/>
    <w:link w:val="Annex"/>
    <w:rsid w:val="009E238C"/>
    <w:rPr>
      <w:rFonts w:asciiTheme="majorHAnsi" w:hAnsiTheme="majorHAnsi"/>
      <w:b/>
      <w:caps/>
      <w:color w:val="002A6C" w:themeColor="accent1"/>
      <w:sz w:val="36"/>
      <w:szCs w:val="44"/>
    </w:rPr>
  </w:style>
  <w:style w:type="table" w:styleId="MediumShading1-Accent4">
    <w:name w:val="Medium Shading 1 Accent 4"/>
    <w:basedOn w:val="TableNormal"/>
    <w:uiPriority w:val="63"/>
    <w:rsid w:val="00292B9E"/>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tblBorders>
    </w:tblPr>
    <w:tblStylePr w:type="firstRow">
      <w:pPr>
        <w:spacing w:before="0" w:after="0" w:line="240" w:lineRule="auto"/>
      </w:pPr>
      <w:rPr>
        <w:b/>
        <w:bCs/>
        <w:color w:val="FFFFFF" w:themeColor="background1"/>
      </w:rPr>
      <w:tblPr/>
      <w:tcPr>
        <w:tc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shd w:val="clear" w:color="auto" w:fill="666666" w:themeFill="accent4"/>
      </w:tcPr>
    </w:tblStylePr>
    <w:tblStylePr w:type="lastRow">
      <w:pPr>
        <w:spacing w:before="0" w:after="0" w:line="240" w:lineRule="auto"/>
      </w:pPr>
      <w:rPr>
        <w:b/>
        <w:bCs/>
      </w:rPr>
      <w:tblPr/>
      <w:tcPr>
        <w:tcBorders>
          <w:top w:val="double" w:sz="6"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4" w:themeFillTint="3F"/>
      </w:tcPr>
    </w:tblStylePr>
    <w:tblStylePr w:type="band1Horz">
      <w:tblPr/>
      <w:tcPr>
        <w:tcBorders>
          <w:insideH w:val="nil"/>
          <w:insideV w:val="nil"/>
        </w:tcBorders>
        <w:shd w:val="clear" w:color="auto" w:fill="D9D9D9" w:themeFill="accent4"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292B9E"/>
    <w:tblPr>
      <w:tblStyleRowBandSize w:val="1"/>
      <w:tblStyleColBandSize w:val="1"/>
      <w:tblBorders>
        <w:top w:val="single" w:sz="8" w:space="0" w:color="DDDDDD" w:themeColor="accent5"/>
        <w:left w:val="single" w:sz="8" w:space="0" w:color="DDDDDD" w:themeColor="accent5"/>
        <w:bottom w:val="single" w:sz="8" w:space="0" w:color="DDDDDD" w:themeColor="accent5"/>
        <w:right w:val="single" w:sz="8" w:space="0" w:color="DDDDDD" w:themeColor="accent5"/>
        <w:insideH w:val="single" w:sz="8" w:space="0" w:color="DDDDDD" w:themeColor="accent5"/>
        <w:insideV w:val="single" w:sz="8" w:space="0" w:color="DDDDD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5"/>
          <w:left w:val="single" w:sz="8" w:space="0" w:color="DDDDDD" w:themeColor="accent5"/>
          <w:bottom w:val="single" w:sz="18" w:space="0" w:color="DDDDDD" w:themeColor="accent5"/>
          <w:right w:val="single" w:sz="8" w:space="0" w:color="DDDDDD" w:themeColor="accent5"/>
          <w:insideH w:val="nil"/>
          <w:insideV w:val="single" w:sz="8" w:space="0" w:color="DDDDD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5"/>
          <w:left w:val="single" w:sz="8" w:space="0" w:color="DDDDDD" w:themeColor="accent5"/>
          <w:bottom w:val="single" w:sz="8" w:space="0" w:color="DDDDDD" w:themeColor="accent5"/>
          <w:right w:val="single" w:sz="8" w:space="0" w:color="DDDDDD" w:themeColor="accent5"/>
          <w:insideH w:val="nil"/>
          <w:insideV w:val="single" w:sz="8" w:space="0" w:color="DDDDD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5"/>
          <w:left w:val="single" w:sz="8" w:space="0" w:color="DDDDDD" w:themeColor="accent5"/>
          <w:bottom w:val="single" w:sz="8" w:space="0" w:color="DDDDDD" w:themeColor="accent5"/>
          <w:right w:val="single" w:sz="8" w:space="0" w:color="DDDDDD" w:themeColor="accent5"/>
        </w:tcBorders>
      </w:tcPr>
    </w:tblStylePr>
    <w:tblStylePr w:type="band1Vert">
      <w:tblPr/>
      <w:tcPr>
        <w:tcBorders>
          <w:top w:val="single" w:sz="8" w:space="0" w:color="DDDDDD" w:themeColor="accent5"/>
          <w:left w:val="single" w:sz="8" w:space="0" w:color="DDDDDD" w:themeColor="accent5"/>
          <w:bottom w:val="single" w:sz="8" w:space="0" w:color="DDDDDD" w:themeColor="accent5"/>
          <w:right w:val="single" w:sz="8" w:space="0" w:color="DDDDDD" w:themeColor="accent5"/>
        </w:tcBorders>
        <w:shd w:val="clear" w:color="auto" w:fill="F6F6F6" w:themeFill="accent5" w:themeFillTint="3F"/>
      </w:tcPr>
    </w:tblStylePr>
    <w:tblStylePr w:type="band1Horz">
      <w:tblPr/>
      <w:tcPr>
        <w:tcBorders>
          <w:top w:val="single" w:sz="8" w:space="0" w:color="DDDDDD" w:themeColor="accent5"/>
          <w:left w:val="single" w:sz="8" w:space="0" w:color="DDDDDD" w:themeColor="accent5"/>
          <w:bottom w:val="single" w:sz="8" w:space="0" w:color="DDDDDD" w:themeColor="accent5"/>
          <w:right w:val="single" w:sz="8" w:space="0" w:color="DDDDDD" w:themeColor="accent5"/>
          <w:insideV w:val="single" w:sz="8" w:space="0" w:color="DDDDDD" w:themeColor="accent5"/>
        </w:tcBorders>
        <w:shd w:val="clear" w:color="auto" w:fill="F6F6F6" w:themeFill="accent5" w:themeFillTint="3F"/>
      </w:tcPr>
    </w:tblStylePr>
    <w:tblStylePr w:type="band2Horz">
      <w:tblPr/>
      <w:tcPr>
        <w:tcBorders>
          <w:top w:val="single" w:sz="8" w:space="0" w:color="DDDDDD" w:themeColor="accent5"/>
          <w:left w:val="single" w:sz="8" w:space="0" w:color="DDDDDD" w:themeColor="accent5"/>
          <w:bottom w:val="single" w:sz="8" w:space="0" w:color="DDDDDD" w:themeColor="accent5"/>
          <w:right w:val="single" w:sz="8" w:space="0" w:color="DDDDDD" w:themeColor="accent5"/>
          <w:insideV w:val="single" w:sz="8" w:space="0" w:color="DDDDDD" w:themeColor="accent5"/>
        </w:tcBorders>
      </w:tcPr>
    </w:tblStylePr>
  </w:style>
  <w:style w:type="table" w:styleId="LightShading">
    <w:name w:val="Light Shading"/>
    <w:basedOn w:val="TableNormal"/>
    <w:uiPriority w:val="60"/>
    <w:rsid w:val="00292B9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61442B"/>
    <w:rPr>
      <w:color w:val="4C4C4C" w:themeColor="accent4" w:themeShade="BF"/>
    </w:rPr>
    <w:tblPr>
      <w:tblStyleRowBandSize w:val="1"/>
      <w:tblStyleColBandSize w:val="1"/>
      <w:tblBorders>
        <w:top w:val="single" w:sz="8" w:space="0" w:color="666666" w:themeColor="accent4"/>
        <w:bottom w:val="single" w:sz="8" w:space="0" w:color="666666" w:themeColor="accent4"/>
      </w:tblBorders>
    </w:tblPr>
    <w:tblStylePr w:type="fir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la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left w:val="nil"/>
          <w:right w:val="nil"/>
          <w:insideH w:val="nil"/>
          <w:insideV w:val="nil"/>
        </w:tcBorders>
        <w:shd w:val="clear" w:color="auto" w:fill="D9D9D9" w:themeFill="accent4" w:themeFillTint="3F"/>
      </w:tcPr>
    </w:tblStylePr>
  </w:style>
  <w:style w:type="paragraph" w:styleId="NoSpacing">
    <w:name w:val="No Spacing"/>
    <w:uiPriority w:val="1"/>
    <w:qFormat/>
    <w:rsid w:val="00647EEB"/>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437EE3"/>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EE3"/>
    <w:rPr>
      <w:rFonts w:asciiTheme="majorHAnsi" w:eastAsiaTheme="majorEastAsia" w:hAnsiTheme="majorHAnsi" w:cstheme="majorBidi"/>
      <w:spacing w:val="-10"/>
      <w:kern w:val="28"/>
      <w:sz w:val="56"/>
      <w:szCs w:val="56"/>
    </w:rPr>
  </w:style>
  <w:style w:type="numbering" w:customStyle="1" w:styleId="NoList1">
    <w:name w:val="No List1"/>
    <w:next w:val="NoList"/>
    <w:uiPriority w:val="99"/>
    <w:semiHidden/>
    <w:unhideWhenUsed/>
    <w:rsid w:val="006079BD"/>
  </w:style>
  <w:style w:type="character" w:styleId="FollowedHyperlink">
    <w:name w:val="FollowedHyperlink"/>
    <w:basedOn w:val="DefaultParagraphFont"/>
    <w:uiPriority w:val="99"/>
    <w:semiHidden/>
    <w:unhideWhenUsed/>
    <w:rsid w:val="006079BD"/>
    <w:rPr>
      <w:color w:val="954F72"/>
      <w:u w:val="single"/>
    </w:rPr>
  </w:style>
  <w:style w:type="paragraph" w:customStyle="1" w:styleId="msonormal0">
    <w:name w:val="msonormal"/>
    <w:basedOn w:val="Normal"/>
    <w:rsid w:val="006079BD"/>
    <w:pPr>
      <w:spacing w:before="100" w:beforeAutospacing="1" w:after="100" w:afterAutospacing="1" w:line="240" w:lineRule="auto"/>
    </w:pPr>
    <w:rPr>
      <w:rFonts w:ascii="Times New Roman" w:hAnsi="Times New Roman"/>
      <w:sz w:val="24"/>
    </w:rPr>
  </w:style>
  <w:style w:type="paragraph" w:customStyle="1" w:styleId="font5">
    <w:name w:val="font5"/>
    <w:basedOn w:val="Normal"/>
    <w:rsid w:val="006079BD"/>
    <w:pPr>
      <w:spacing w:before="100" w:beforeAutospacing="1" w:after="100" w:afterAutospacing="1" w:line="240" w:lineRule="auto"/>
    </w:pPr>
    <w:rPr>
      <w:rFonts w:ascii="Calibri" w:hAnsi="Calibri" w:cs="Calibri"/>
      <w:sz w:val="22"/>
      <w:szCs w:val="22"/>
    </w:rPr>
  </w:style>
  <w:style w:type="paragraph" w:customStyle="1" w:styleId="font6">
    <w:name w:val="font6"/>
    <w:basedOn w:val="Normal"/>
    <w:rsid w:val="006079BD"/>
    <w:pPr>
      <w:spacing w:before="100" w:beforeAutospacing="1" w:after="100" w:afterAutospacing="1" w:line="240" w:lineRule="auto"/>
    </w:pPr>
    <w:rPr>
      <w:rFonts w:ascii="Calibri" w:hAnsi="Calibri" w:cs="Calibri"/>
      <w:sz w:val="22"/>
      <w:szCs w:val="22"/>
    </w:rPr>
  </w:style>
  <w:style w:type="paragraph" w:customStyle="1" w:styleId="font7">
    <w:name w:val="font7"/>
    <w:basedOn w:val="Normal"/>
    <w:rsid w:val="006079BD"/>
    <w:pPr>
      <w:spacing w:before="100" w:beforeAutospacing="1" w:after="100" w:afterAutospacing="1" w:line="240" w:lineRule="auto"/>
    </w:pPr>
    <w:rPr>
      <w:rFonts w:ascii="Calibri" w:hAnsi="Calibri" w:cs="Calibri"/>
      <w:i/>
      <w:iCs/>
      <w:sz w:val="22"/>
      <w:szCs w:val="22"/>
    </w:rPr>
  </w:style>
  <w:style w:type="paragraph" w:customStyle="1" w:styleId="font8">
    <w:name w:val="font8"/>
    <w:basedOn w:val="Normal"/>
    <w:rsid w:val="006079BD"/>
    <w:pPr>
      <w:spacing w:before="100" w:beforeAutospacing="1" w:after="100" w:afterAutospacing="1" w:line="240" w:lineRule="auto"/>
    </w:pPr>
    <w:rPr>
      <w:rFonts w:ascii="Calibri" w:hAnsi="Calibri" w:cs="Calibri"/>
      <w:i/>
      <w:iCs/>
      <w:sz w:val="22"/>
      <w:szCs w:val="22"/>
    </w:rPr>
  </w:style>
  <w:style w:type="paragraph" w:customStyle="1" w:styleId="font9">
    <w:name w:val="font9"/>
    <w:basedOn w:val="Normal"/>
    <w:rsid w:val="006079BD"/>
    <w:pPr>
      <w:spacing w:before="100" w:beforeAutospacing="1" w:after="100" w:afterAutospacing="1" w:line="240" w:lineRule="auto"/>
    </w:pPr>
    <w:rPr>
      <w:rFonts w:ascii="Calibri" w:hAnsi="Calibri" w:cs="Calibri"/>
      <w:i/>
      <w:iCs/>
      <w:sz w:val="12"/>
      <w:szCs w:val="12"/>
    </w:rPr>
  </w:style>
  <w:style w:type="paragraph" w:customStyle="1" w:styleId="xl66">
    <w:name w:val="xl66"/>
    <w:basedOn w:val="Normal"/>
    <w:rsid w:val="006079BD"/>
    <w:pPr>
      <w:spacing w:before="100" w:beforeAutospacing="1" w:after="100" w:afterAutospacing="1" w:line="240" w:lineRule="auto"/>
    </w:pPr>
    <w:rPr>
      <w:rFonts w:ascii="Calibri" w:hAnsi="Calibri" w:cs="Calibri"/>
      <w:sz w:val="24"/>
    </w:rPr>
  </w:style>
  <w:style w:type="paragraph" w:customStyle="1" w:styleId="xl67">
    <w:name w:val="xl67"/>
    <w:basedOn w:val="Normal"/>
    <w:rsid w:val="006079BD"/>
    <w:pPr>
      <w:spacing w:before="100" w:beforeAutospacing="1" w:after="100" w:afterAutospacing="1" w:line="240" w:lineRule="auto"/>
      <w:jc w:val="center"/>
    </w:pPr>
    <w:rPr>
      <w:rFonts w:ascii="Calibri" w:hAnsi="Calibri" w:cs="Calibri"/>
      <w:sz w:val="24"/>
    </w:rPr>
  </w:style>
  <w:style w:type="paragraph" w:customStyle="1" w:styleId="xl68">
    <w:name w:val="xl68"/>
    <w:basedOn w:val="Normal"/>
    <w:rsid w:val="00607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rPr>
  </w:style>
  <w:style w:type="paragraph" w:customStyle="1" w:styleId="xl69">
    <w:name w:val="xl69"/>
    <w:basedOn w:val="Normal"/>
    <w:rsid w:val="006079BD"/>
    <w:pPr>
      <w:spacing w:before="100" w:beforeAutospacing="1" w:after="100" w:afterAutospacing="1" w:line="240" w:lineRule="auto"/>
      <w:jc w:val="center"/>
    </w:pPr>
    <w:rPr>
      <w:rFonts w:ascii="Calibri" w:hAnsi="Calibri" w:cs="Calibri"/>
      <w:sz w:val="24"/>
    </w:rPr>
  </w:style>
  <w:style w:type="paragraph" w:customStyle="1" w:styleId="xl70">
    <w:name w:val="xl70"/>
    <w:basedOn w:val="Normal"/>
    <w:rsid w:val="006079BD"/>
    <w:pPr>
      <w:pBdr>
        <w:left w:val="single" w:sz="4" w:space="0" w:color="auto"/>
        <w:bottom w:val="single" w:sz="8" w:space="0" w:color="auto"/>
        <w:right w:val="single" w:sz="4" w:space="0" w:color="auto"/>
      </w:pBdr>
      <w:spacing w:before="100" w:beforeAutospacing="1" w:after="100" w:afterAutospacing="1" w:line="240" w:lineRule="auto"/>
    </w:pPr>
    <w:rPr>
      <w:rFonts w:ascii="Calibri" w:hAnsi="Calibri" w:cs="Calibri"/>
      <w:sz w:val="24"/>
    </w:rPr>
  </w:style>
  <w:style w:type="paragraph" w:customStyle="1" w:styleId="xl71">
    <w:name w:val="xl71"/>
    <w:basedOn w:val="Normal"/>
    <w:rsid w:val="006079B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rPr>
  </w:style>
  <w:style w:type="paragraph" w:customStyle="1" w:styleId="xl72">
    <w:name w:val="xl72"/>
    <w:basedOn w:val="Normal"/>
    <w:rsid w:val="00607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rPr>
  </w:style>
  <w:style w:type="paragraph" w:customStyle="1" w:styleId="xl73">
    <w:name w:val="xl73"/>
    <w:basedOn w:val="Normal"/>
    <w:rsid w:val="006079B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hAnsi="Calibri" w:cs="Calibri"/>
      <w:sz w:val="24"/>
    </w:rPr>
  </w:style>
  <w:style w:type="paragraph" w:customStyle="1" w:styleId="xl74">
    <w:name w:val="xl74"/>
    <w:basedOn w:val="Normal"/>
    <w:rsid w:val="006079BD"/>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rPr>
  </w:style>
  <w:style w:type="paragraph" w:customStyle="1" w:styleId="xl75">
    <w:name w:val="xl75"/>
    <w:basedOn w:val="Normal"/>
    <w:rsid w:val="006079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hAnsi="Calibri" w:cs="Calibri"/>
      <w:sz w:val="24"/>
    </w:rPr>
  </w:style>
  <w:style w:type="paragraph" w:customStyle="1" w:styleId="xl76">
    <w:name w:val="xl76"/>
    <w:basedOn w:val="Normal"/>
    <w:rsid w:val="006079BD"/>
    <w:pPr>
      <w:shd w:val="clear" w:color="auto" w:fill="FFFFFF"/>
      <w:spacing w:before="100" w:beforeAutospacing="1" w:after="100" w:afterAutospacing="1" w:line="240" w:lineRule="auto"/>
    </w:pPr>
    <w:rPr>
      <w:rFonts w:ascii="Calibri" w:hAnsi="Calibri" w:cs="Calibri"/>
      <w:b/>
      <w:bCs/>
      <w:sz w:val="24"/>
    </w:rPr>
  </w:style>
  <w:style w:type="paragraph" w:customStyle="1" w:styleId="xl77">
    <w:name w:val="xl77"/>
    <w:basedOn w:val="Normal"/>
    <w:rsid w:val="006079BD"/>
    <w:pPr>
      <w:shd w:val="clear" w:color="auto" w:fill="FFFFFF"/>
      <w:spacing w:before="100" w:beforeAutospacing="1" w:after="100" w:afterAutospacing="1" w:line="240" w:lineRule="auto"/>
      <w:jc w:val="center"/>
    </w:pPr>
    <w:rPr>
      <w:rFonts w:ascii="Calibri" w:hAnsi="Calibri" w:cs="Calibri"/>
      <w:sz w:val="24"/>
    </w:rPr>
  </w:style>
  <w:style w:type="paragraph" w:customStyle="1" w:styleId="xl78">
    <w:name w:val="xl78"/>
    <w:basedOn w:val="Normal"/>
    <w:rsid w:val="006079BD"/>
    <w:pPr>
      <w:shd w:val="clear" w:color="auto" w:fill="FFFFFF"/>
      <w:spacing w:before="100" w:beforeAutospacing="1" w:after="100" w:afterAutospacing="1" w:line="240" w:lineRule="auto"/>
      <w:jc w:val="center"/>
    </w:pPr>
    <w:rPr>
      <w:rFonts w:ascii="Calibri" w:hAnsi="Calibri" w:cs="Calibri"/>
      <w:sz w:val="24"/>
    </w:rPr>
  </w:style>
  <w:style w:type="paragraph" w:customStyle="1" w:styleId="xl79">
    <w:name w:val="xl79"/>
    <w:basedOn w:val="Normal"/>
    <w:rsid w:val="006079BD"/>
    <w:pPr>
      <w:shd w:val="clear" w:color="auto" w:fill="FFFFFF"/>
      <w:spacing w:before="100" w:beforeAutospacing="1" w:after="100" w:afterAutospacing="1" w:line="240" w:lineRule="auto"/>
    </w:pPr>
    <w:rPr>
      <w:rFonts w:ascii="Calibri" w:hAnsi="Calibri" w:cs="Calibri"/>
      <w:i/>
      <w:iCs/>
      <w:sz w:val="24"/>
    </w:rPr>
  </w:style>
  <w:style w:type="paragraph" w:customStyle="1" w:styleId="xl80">
    <w:name w:val="xl80"/>
    <w:basedOn w:val="Normal"/>
    <w:rsid w:val="006079B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hAnsi="Calibri" w:cs="Calibri"/>
      <w:b/>
      <w:bCs/>
      <w:sz w:val="24"/>
    </w:rPr>
  </w:style>
  <w:style w:type="paragraph" w:customStyle="1" w:styleId="xl81">
    <w:name w:val="xl81"/>
    <w:basedOn w:val="Normal"/>
    <w:rsid w:val="006079B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hAnsi="Calibri" w:cs="Calibri"/>
      <w:b/>
      <w:bCs/>
      <w:sz w:val="24"/>
    </w:rPr>
  </w:style>
  <w:style w:type="paragraph" w:customStyle="1" w:styleId="xl82">
    <w:name w:val="xl82"/>
    <w:basedOn w:val="Normal"/>
    <w:rsid w:val="006079B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24"/>
    </w:rPr>
  </w:style>
  <w:style w:type="paragraph" w:customStyle="1" w:styleId="xl83">
    <w:name w:val="xl83"/>
    <w:basedOn w:val="Normal"/>
    <w:rsid w:val="006079B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hAnsi="Calibri" w:cs="Calibri"/>
      <w:sz w:val="24"/>
    </w:rPr>
  </w:style>
  <w:style w:type="paragraph" w:customStyle="1" w:styleId="xl84">
    <w:name w:val="xl84"/>
    <w:basedOn w:val="Normal"/>
    <w:rsid w:val="00607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24"/>
    </w:rPr>
  </w:style>
  <w:style w:type="paragraph" w:customStyle="1" w:styleId="xl85">
    <w:name w:val="xl85"/>
    <w:basedOn w:val="Normal"/>
    <w:rsid w:val="006079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hAnsi="Calibri" w:cs="Calibri"/>
      <w:sz w:val="24"/>
    </w:rPr>
  </w:style>
  <w:style w:type="paragraph" w:customStyle="1" w:styleId="xl86">
    <w:name w:val="xl86"/>
    <w:basedOn w:val="Normal"/>
    <w:rsid w:val="006079B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hAnsi="Calibri" w:cs="Calibri"/>
      <w:sz w:val="24"/>
    </w:rPr>
  </w:style>
  <w:style w:type="paragraph" w:customStyle="1" w:styleId="xl87">
    <w:name w:val="xl87"/>
    <w:basedOn w:val="Normal"/>
    <w:rsid w:val="006079B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hAnsi="Calibri" w:cs="Calibri"/>
      <w:sz w:val="24"/>
    </w:rPr>
  </w:style>
  <w:style w:type="paragraph" w:customStyle="1" w:styleId="xl88">
    <w:name w:val="xl88"/>
    <w:basedOn w:val="Normal"/>
    <w:rsid w:val="006079BD"/>
    <w:pPr>
      <w:pBdr>
        <w:top w:val="single" w:sz="8" w:space="0" w:color="auto"/>
        <w:left w:val="single" w:sz="4" w:space="0" w:color="auto"/>
        <w:right w:val="single" w:sz="4" w:space="0" w:color="auto"/>
      </w:pBdr>
      <w:spacing w:before="100" w:beforeAutospacing="1" w:after="100" w:afterAutospacing="1" w:line="240" w:lineRule="auto"/>
      <w:jc w:val="center"/>
    </w:pPr>
    <w:rPr>
      <w:rFonts w:ascii="Calibri" w:hAnsi="Calibri" w:cs="Calibri"/>
      <w:sz w:val="24"/>
    </w:rPr>
  </w:style>
  <w:style w:type="paragraph" w:customStyle="1" w:styleId="xl89">
    <w:name w:val="xl89"/>
    <w:basedOn w:val="Normal"/>
    <w:rsid w:val="006079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90">
    <w:name w:val="xl90"/>
    <w:basedOn w:val="Normal"/>
    <w:rsid w:val="006079BD"/>
    <w:pPr>
      <w:pBdr>
        <w:left w:val="single" w:sz="4" w:space="0" w:color="auto"/>
        <w:bottom w:val="single" w:sz="4" w:space="0" w:color="auto"/>
        <w:right w:val="single" w:sz="8" w:space="0" w:color="auto"/>
      </w:pBdr>
      <w:spacing w:before="100" w:beforeAutospacing="1" w:after="100" w:afterAutospacing="1" w:line="240" w:lineRule="auto"/>
      <w:jc w:val="center"/>
    </w:pPr>
    <w:rPr>
      <w:rFonts w:ascii="Calibri" w:hAnsi="Calibri" w:cs="Calibri"/>
      <w:sz w:val="24"/>
    </w:rPr>
  </w:style>
  <w:style w:type="paragraph" w:customStyle="1" w:styleId="xl91">
    <w:name w:val="xl91"/>
    <w:basedOn w:val="Normal"/>
    <w:rsid w:val="006079B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24"/>
    </w:rPr>
  </w:style>
  <w:style w:type="paragraph" w:customStyle="1" w:styleId="xl92">
    <w:name w:val="xl92"/>
    <w:basedOn w:val="Normal"/>
    <w:rsid w:val="006079BD"/>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93">
    <w:name w:val="xl93"/>
    <w:basedOn w:val="Normal"/>
    <w:rsid w:val="006079BD"/>
    <w:pPr>
      <w:pBdr>
        <w:top w:val="single" w:sz="8" w:space="0" w:color="auto"/>
        <w:left w:val="single" w:sz="4" w:space="0" w:color="auto"/>
        <w:right w:val="single" w:sz="4" w:space="0" w:color="auto"/>
      </w:pBdr>
      <w:spacing w:before="100" w:beforeAutospacing="1" w:after="100" w:afterAutospacing="1" w:line="240" w:lineRule="auto"/>
    </w:pPr>
    <w:rPr>
      <w:rFonts w:ascii="Calibri" w:hAnsi="Calibri" w:cs="Calibri"/>
      <w:sz w:val="24"/>
    </w:rPr>
  </w:style>
  <w:style w:type="paragraph" w:customStyle="1" w:styleId="xl94">
    <w:name w:val="xl94"/>
    <w:basedOn w:val="Normal"/>
    <w:rsid w:val="006079BD"/>
    <w:pPr>
      <w:pBdr>
        <w:top w:val="single" w:sz="8" w:space="0" w:color="auto"/>
        <w:left w:val="single" w:sz="4" w:space="0" w:color="auto"/>
        <w:right w:val="single" w:sz="8" w:space="0" w:color="auto"/>
      </w:pBdr>
      <w:spacing w:before="100" w:beforeAutospacing="1" w:after="100" w:afterAutospacing="1" w:line="240" w:lineRule="auto"/>
      <w:jc w:val="center"/>
    </w:pPr>
    <w:rPr>
      <w:rFonts w:ascii="Calibri" w:hAnsi="Calibri" w:cs="Calibri"/>
      <w:sz w:val="24"/>
    </w:rPr>
  </w:style>
  <w:style w:type="paragraph" w:customStyle="1" w:styleId="xl95">
    <w:name w:val="xl95"/>
    <w:basedOn w:val="Normal"/>
    <w:rsid w:val="006079BD"/>
    <w:pPr>
      <w:pBdr>
        <w:left w:val="single" w:sz="4" w:space="0" w:color="auto"/>
        <w:bottom w:val="single" w:sz="8" w:space="0" w:color="auto"/>
        <w:right w:val="single" w:sz="4" w:space="0" w:color="auto"/>
      </w:pBdr>
      <w:spacing w:before="100" w:beforeAutospacing="1" w:after="100" w:afterAutospacing="1" w:line="240" w:lineRule="auto"/>
      <w:jc w:val="center"/>
    </w:pPr>
    <w:rPr>
      <w:rFonts w:ascii="Calibri" w:hAnsi="Calibri" w:cs="Calibri"/>
      <w:sz w:val="24"/>
    </w:rPr>
  </w:style>
  <w:style w:type="paragraph" w:customStyle="1" w:styleId="xl96">
    <w:name w:val="xl96"/>
    <w:basedOn w:val="Normal"/>
    <w:rsid w:val="006079B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97">
    <w:name w:val="xl97"/>
    <w:basedOn w:val="Normal"/>
    <w:rsid w:val="006079B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Calibri" w:hAnsi="Calibri" w:cs="Calibri"/>
      <w:sz w:val="24"/>
    </w:rPr>
  </w:style>
  <w:style w:type="paragraph" w:customStyle="1" w:styleId="xl98">
    <w:name w:val="xl98"/>
    <w:basedOn w:val="Normal"/>
    <w:rsid w:val="006079BD"/>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99">
    <w:name w:val="xl99"/>
    <w:basedOn w:val="Normal"/>
    <w:rsid w:val="006079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100">
    <w:name w:val="xl100"/>
    <w:basedOn w:val="Normal"/>
    <w:rsid w:val="006079B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hAnsi="Calibri" w:cs="Calibri"/>
      <w:sz w:val="24"/>
    </w:rPr>
  </w:style>
  <w:style w:type="paragraph" w:customStyle="1" w:styleId="xl101">
    <w:name w:val="xl101"/>
    <w:basedOn w:val="Normal"/>
    <w:rsid w:val="006079BD"/>
    <w:pPr>
      <w:spacing w:before="100" w:beforeAutospacing="1" w:after="100" w:afterAutospacing="1" w:line="240" w:lineRule="auto"/>
    </w:pPr>
    <w:rPr>
      <w:rFonts w:ascii="Calibri" w:hAnsi="Calibri" w:cs="Calibri"/>
      <w:sz w:val="24"/>
    </w:rPr>
  </w:style>
  <w:style w:type="paragraph" w:customStyle="1" w:styleId="xl102">
    <w:name w:val="xl102"/>
    <w:basedOn w:val="Normal"/>
    <w:rsid w:val="006079BD"/>
    <w:pPr>
      <w:pBdr>
        <w:top w:val="single" w:sz="4" w:space="0" w:color="auto"/>
        <w:left w:val="single" w:sz="4" w:space="0" w:color="auto"/>
        <w:right w:val="single" w:sz="4" w:space="0" w:color="auto"/>
      </w:pBdr>
      <w:spacing w:before="100" w:beforeAutospacing="1" w:after="100" w:afterAutospacing="1" w:line="240" w:lineRule="auto"/>
    </w:pPr>
    <w:rPr>
      <w:rFonts w:ascii="Calibri" w:hAnsi="Calibri" w:cs="Calibri"/>
      <w:sz w:val="24"/>
    </w:rPr>
  </w:style>
  <w:style w:type="paragraph" w:customStyle="1" w:styleId="xl103">
    <w:name w:val="xl103"/>
    <w:basedOn w:val="Normal"/>
    <w:rsid w:val="006079BD"/>
    <w:pPr>
      <w:pBdr>
        <w:top w:val="single" w:sz="4" w:space="0" w:color="auto"/>
        <w:left w:val="single" w:sz="4" w:space="0" w:color="auto"/>
        <w:right w:val="single" w:sz="4" w:space="0" w:color="auto"/>
      </w:pBdr>
      <w:spacing w:before="100" w:beforeAutospacing="1" w:after="100" w:afterAutospacing="1" w:line="240" w:lineRule="auto"/>
    </w:pPr>
    <w:rPr>
      <w:rFonts w:ascii="Calibri" w:hAnsi="Calibri" w:cs="Calibri"/>
      <w:sz w:val="24"/>
    </w:rPr>
  </w:style>
  <w:style w:type="paragraph" w:customStyle="1" w:styleId="xl104">
    <w:name w:val="xl104"/>
    <w:basedOn w:val="Normal"/>
    <w:rsid w:val="006079BD"/>
    <w:pPr>
      <w:pBdr>
        <w:top w:val="single" w:sz="4" w:space="0" w:color="auto"/>
        <w:left w:val="single" w:sz="4" w:space="0" w:color="auto"/>
        <w:right w:val="single" w:sz="8" w:space="0" w:color="auto"/>
      </w:pBdr>
      <w:spacing w:before="100" w:beforeAutospacing="1" w:after="100" w:afterAutospacing="1" w:line="240" w:lineRule="auto"/>
      <w:jc w:val="center"/>
    </w:pPr>
    <w:rPr>
      <w:rFonts w:ascii="Calibri" w:hAnsi="Calibri" w:cs="Calibri"/>
      <w:sz w:val="24"/>
    </w:rPr>
  </w:style>
  <w:style w:type="paragraph" w:customStyle="1" w:styleId="xl105">
    <w:name w:val="xl105"/>
    <w:basedOn w:val="Normal"/>
    <w:rsid w:val="006079BD"/>
    <w:pPr>
      <w:pBdr>
        <w:left w:val="single" w:sz="4" w:space="0" w:color="auto"/>
        <w:right w:val="single" w:sz="4" w:space="0" w:color="auto"/>
      </w:pBdr>
      <w:spacing w:before="100" w:beforeAutospacing="1" w:after="100" w:afterAutospacing="1" w:line="240" w:lineRule="auto"/>
    </w:pPr>
    <w:rPr>
      <w:rFonts w:ascii="Calibri" w:hAnsi="Calibri" w:cs="Calibri"/>
      <w:sz w:val="24"/>
    </w:rPr>
  </w:style>
  <w:style w:type="paragraph" w:customStyle="1" w:styleId="xl106">
    <w:name w:val="xl106"/>
    <w:basedOn w:val="Normal"/>
    <w:rsid w:val="006079BD"/>
    <w:pPr>
      <w:pBdr>
        <w:top w:val="single" w:sz="4" w:space="0" w:color="auto"/>
        <w:left w:val="single" w:sz="4" w:space="0" w:color="auto"/>
        <w:bottom w:val="single" w:sz="4" w:space="0" w:color="auto"/>
      </w:pBdr>
      <w:spacing w:before="100" w:beforeAutospacing="1" w:after="100" w:afterAutospacing="1" w:line="240" w:lineRule="auto"/>
    </w:pPr>
    <w:rPr>
      <w:rFonts w:ascii="Calibri" w:hAnsi="Calibri" w:cs="Calibri"/>
      <w:sz w:val="24"/>
    </w:rPr>
  </w:style>
  <w:style w:type="paragraph" w:customStyle="1" w:styleId="xl107">
    <w:name w:val="xl107"/>
    <w:basedOn w:val="Normal"/>
    <w:rsid w:val="006079B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Calibri" w:hAnsi="Calibri" w:cs="Calibri"/>
      <w:sz w:val="24"/>
    </w:rPr>
  </w:style>
  <w:style w:type="paragraph" w:customStyle="1" w:styleId="xl108">
    <w:name w:val="xl108"/>
    <w:basedOn w:val="Normal"/>
    <w:rsid w:val="006079B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Calibri" w:hAnsi="Calibri" w:cs="Calibri"/>
      <w:b/>
      <w:bCs/>
      <w:sz w:val="24"/>
    </w:rPr>
  </w:style>
  <w:style w:type="paragraph" w:customStyle="1" w:styleId="xl109">
    <w:name w:val="xl109"/>
    <w:basedOn w:val="Normal"/>
    <w:rsid w:val="006079B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Calibri" w:hAnsi="Calibri" w:cs="Calibri"/>
      <w:sz w:val="24"/>
    </w:rPr>
  </w:style>
  <w:style w:type="paragraph" w:customStyle="1" w:styleId="xl110">
    <w:name w:val="xl110"/>
    <w:basedOn w:val="Normal"/>
    <w:rsid w:val="006079B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Calibri" w:hAnsi="Calibri" w:cs="Calibri"/>
      <w:sz w:val="24"/>
    </w:rPr>
  </w:style>
  <w:style w:type="paragraph" w:customStyle="1" w:styleId="xl111">
    <w:name w:val="xl111"/>
    <w:basedOn w:val="Normal"/>
    <w:rsid w:val="006079B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112">
    <w:name w:val="xl112"/>
    <w:basedOn w:val="Normal"/>
    <w:rsid w:val="006079BD"/>
    <w:pPr>
      <w:shd w:val="clear" w:color="auto" w:fill="FFFFFF"/>
      <w:spacing w:before="100" w:beforeAutospacing="1" w:after="100" w:afterAutospacing="1" w:line="240" w:lineRule="auto"/>
    </w:pPr>
    <w:rPr>
      <w:rFonts w:ascii="Calibri" w:hAnsi="Calibri" w:cs="Calibri"/>
      <w:b/>
      <w:bCs/>
      <w:i/>
      <w:iCs/>
      <w:sz w:val="24"/>
    </w:rPr>
  </w:style>
  <w:style w:type="paragraph" w:customStyle="1" w:styleId="xl113">
    <w:name w:val="xl113"/>
    <w:basedOn w:val="Normal"/>
    <w:rsid w:val="006079BD"/>
    <w:pPr>
      <w:shd w:val="clear" w:color="auto" w:fill="FFFFFF"/>
      <w:spacing w:before="100" w:beforeAutospacing="1" w:after="100" w:afterAutospacing="1" w:line="240" w:lineRule="auto"/>
    </w:pPr>
    <w:rPr>
      <w:rFonts w:ascii="Calibri" w:hAnsi="Calibri" w:cs="Calibri"/>
      <w:sz w:val="24"/>
    </w:rPr>
  </w:style>
  <w:style w:type="paragraph" w:customStyle="1" w:styleId="xl114">
    <w:name w:val="xl114"/>
    <w:basedOn w:val="Normal"/>
    <w:rsid w:val="006079BD"/>
    <w:pPr>
      <w:pBdr>
        <w:left w:val="single" w:sz="4" w:space="0" w:color="auto"/>
        <w:bottom w:val="single" w:sz="8" w:space="0" w:color="auto"/>
        <w:right w:val="single" w:sz="4" w:space="0" w:color="auto"/>
      </w:pBdr>
      <w:spacing w:before="100" w:beforeAutospacing="1" w:after="100" w:afterAutospacing="1" w:line="240" w:lineRule="auto"/>
    </w:pPr>
    <w:rPr>
      <w:rFonts w:ascii="Calibri" w:hAnsi="Calibri" w:cs="Calibri"/>
      <w:sz w:val="24"/>
    </w:rPr>
  </w:style>
  <w:style w:type="paragraph" w:customStyle="1" w:styleId="xl115">
    <w:name w:val="xl115"/>
    <w:basedOn w:val="Normal"/>
    <w:rsid w:val="006079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116">
    <w:name w:val="xl116"/>
    <w:basedOn w:val="Normal"/>
    <w:rsid w:val="00607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rPr>
  </w:style>
  <w:style w:type="paragraph" w:customStyle="1" w:styleId="xl117">
    <w:name w:val="xl117"/>
    <w:basedOn w:val="Normal"/>
    <w:rsid w:val="006079BD"/>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hAnsi="Calibri" w:cs="Calibri"/>
      <w:sz w:val="24"/>
    </w:rPr>
  </w:style>
  <w:style w:type="paragraph" w:customStyle="1" w:styleId="xl118">
    <w:name w:val="xl118"/>
    <w:basedOn w:val="Normal"/>
    <w:rsid w:val="006079BD"/>
    <w:pPr>
      <w:pBdr>
        <w:top w:val="single" w:sz="4" w:space="0" w:color="auto"/>
        <w:bottom w:val="single" w:sz="4" w:space="0" w:color="auto"/>
        <w:right w:val="single" w:sz="8" w:space="0" w:color="auto"/>
      </w:pBdr>
      <w:spacing w:before="100" w:beforeAutospacing="1" w:after="100" w:afterAutospacing="1" w:line="240" w:lineRule="auto"/>
      <w:jc w:val="center"/>
    </w:pPr>
    <w:rPr>
      <w:rFonts w:ascii="Calibri" w:hAnsi="Calibri" w:cs="Calibri"/>
      <w:sz w:val="24"/>
    </w:rPr>
  </w:style>
  <w:style w:type="paragraph" w:customStyle="1" w:styleId="xl119">
    <w:name w:val="xl119"/>
    <w:basedOn w:val="Normal"/>
    <w:rsid w:val="006079BD"/>
    <w:pPr>
      <w:pBdr>
        <w:top w:val="single" w:sz="4" w:space="0" w:color="auto"/>
        <w:bottom w:val="single" w:sz="8" w:space="0" w:color="auto"/>
        <w:right w:val="single" w:sz="8" w:space="0" w:color="auto"/>
      </w:pBdr>
      <w:spacing w:before="100" w:beforeAutospacing="1" w:after="100" w:afterAutospacing="1" w:line="240" w:lineRule="auto"/>
      <w:jc w:val="center"/>
    </w:pPr>
    <w:rPr>
      <w:rFonts w:ascii="Calibri" w:hAnsi="Calibri" w:cs="Calibri"/>
      <w:sz w:val="24"/>
    </w:rPr>
  </w:style>
  <w:style w:type="paragraph" w:customStyle="1" w:styleId="xl120">
    <w:name w:val="xl120"/>
    <w:basedOn w:val="Normal"/>
    <w:rsid w:val="006079BD"/>
    <w:pPr>
      <w:pBdr>
        <w:top w:val="single" w:sz="8" w:space="0" w:color="auto"/>
        <w:right w:val="single" w:sz="8" w:space="0" w:color="auto"/>
      </w:pBdr>
      <w:spacing w:before="100" w:beforeAutospacing="1" w:after="100" w:afterAutospacing="1" w:line="240" w:lineRule="auto"/>
      <w:jc w:val="center"/>
    </w:pPr>
    <w:rPr>
      <w:rFonts w:ascii="Calibri" w:hAnsi="Calibri" w:cs="Calibri"/>
      <w:sz w:val="24"/>
    </w:rPr>
  </w:style>
  <w:style w:type="paragraph" w:customStyle="1" w:styleId="xl121">
    <w:name w:val="xl121"/>
    <w:basedOn w:val="Normal"/>
    <w:rsid w:val="006079BD"/>
    <w:pPr>
      <w:pBdr>
        <w:top w:val="single" w:sz="4" w:space="0" w:color="auto"/>
        <w:right w:val="single" w:sz="8" w:space="0" w:color="auto"/>
      </w:pBdr>
      <w:spacing w:before="100" w:beforeAutospacing="1" w:after="100" w:afterAutospacing="1" w:line="240" w:lineRule="auto"/>
      <w:jc w:val="center"/>
    </w:pPr>
    <w:rPr>
      <w:rFonts w:ascii="Calibri" w:hAnsi="Calibri" w:cs="Calibri"/>
      <w:sz w:val="24"/>
    </w:rPr>
  </w:style>
  <w:style w:type="paragraph" w:customStyle="1" w:styleId="xl122">
    <w:name w:val="xl122"/>
    <w:basedOn w:val="Normal"/>
    <w:rsid w:val="006079BD"/>
    <w:pPr>
      <w:pBdr>
        <w:bottom w:val="single" w:sz="4" w:space="0" w:color="auto"/>
        <w:right w:val="single" w:sz="8" w:space="0" w:color="auto"/>
      </w:pBdr>
      <w:spacing w:before="100" w:beforeAutospacing="1" w:after="100" w:afterAutospacing="1" w:line="240" w:lineRule="auto"/>
      <w:jc w:val="center"/>
    </w:pPr>
    <w:rPr>
      <w:rFonts w:ascii="Calibri" w:hAnsi="Calibri" w:cs="Calibri"/>
      <w:sz w:val="24"/>
    </w:rPr>
  </w:style>
  <w:style w:type="paragraph" w:customStyle="1" w:styleId="xl123">
    <w:name w:val="xl123"/>
    <w:basedOn w:val="Normal"/>
    <w:rsid w:val="006079BD"/>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124">
    <w:name w:val="xl124"/>
    <w:basedOn w:val="Normal"/>
    <w:rsid w:val="006079BD"/>
    <w:pPr>
      <w:pBdr>
        <w:top w:val="single" w:sz="8" w:space="0" w:color="auto"/>
        <w:left w:val="single" w:sz="4" w:space="0" w:color="auto"/>
        <w:bottom w:val="single" w:sz="4" w:space="0" w:color="auto"/>
      </w:pBdr>
      <w:spacing w:before="100" w:beforeAutospacing="1" w:after="100" w:afterAutospacing="1" w:line="240" w:lineRule="auto"/>
    </w:pPr>
    <w:rPr>
      <w:rFonts w:ascii="Calibri" w:hAnsi="Calibri" w:cs="Calibri"/>
      <w:sz w:val="24"/>
    </w:rPr>
  </w:style>
  <w:style w:type="paragraph" w:customStyle="1" w:styleId="xl125">
    <w:name w:val="xl125"/>
    <w:basedOn w:val="Normal"/>
    <w:rsid w:val="006079BD"/>
    <w:pPr>
      <w:pBdr>
        <w:top w:val="single" w:sz="4" w:space="0" w:color="auto"/>
        <w:left w:val="single" w:sz="4" w:space="0" w:color="auto"/>
        <w:bottom w:val="single" w:sz="8" w:space="0" w:color="auto"/>
      </w:pBdr>
      <w:spacing w:before="100" w:beforeAutospacing="1" w:after="100" w:afterAutospacing="1" w:line="240" w:lineRule="auto"/>
    </w:pPr>
    <w:rPr>
      <w:rFonts w:ascii="Calibri" w:hAnsi="Calibri" w:cs="Calibri"/>
      <w:sz w:val="24"/>
    </w:rPr>
  </w:style>
  <w:style w:type="paragraph" w:customStyle="1" w:styleId="xl126">
    <w:name w:val="xl126"/>
    <w:basedOn w:val="Normal"/>
    <w:rsid w:val="006079BD"/>
    <w:pPr>
      <w:pBdr>
        <w:top w:val="single" w:sz="4" w:space="0" w:color="auto"/>
        <w:left w:val="single" w:sz="4" w:space="0" w:color="auto"/>
      </w:pBdr>
      <w:spacing w:before="100" w:beforeAutospacing="1" w:after="100" w:afterAutospacing="1" w:line="240" w:lineRule="auto"/>
    </w:pPr>
    <w:rPr>
      <w:rFonts w:ascii="Calibri" w:hAnsi="Calibri" w:cs="Calibri"/>
      <w:sz w:val="24"/>
    </w:rPr>
  </w:style>
  <w:style w:type="paragraph" w:customStyle="1" w:styleId="xl127">
    <w:name w:val="xl127"/>
    <w:basedOn w:val="Normal"/>
    <w:rsid w:val="006079BD"/>
    <w:pPr>
      <w:pBdr>
        <w:right w:val="single" w:sz="8" w:space="0" w:color="auto"/>
      </w:pBdr>
      <w:spacing w:before="100" w:beforeAutospacing="1" w:after="100" w:afterAutospacing="1" w:line="240" w:lineRule="auto"/>
      <w:jc w:val="center"/>
    </w:pPr>
    <w:rPr>
      <w:rFonts w:ascii="Calibri" w:hAnsi="Calibri" w:cs="Calibri"/>
      <w:sz w:val="24"/>
    </w:rPr>
  </w:style>
  <w:style w:type="paragraph" w:customStyle="1" w:styleId="xl128">
    <w:name w:val="xl128"/>
    <w:basedOn w:val="Normal"/>
    <w:rsid w:val="00607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24"/>
    </w:rPr>
  </w:style>
  <w:style w:type="paragraph" w:customStyle="1" w:styleId="xl129">
    <w:name w:val="xl129"/>
    <w:basedOn w:val="Normal"/>
    <w:rsid w:val="006079B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24"/>
    </w:rPr>
  </w:style>
  <w:style w:type="paragraph" w:customStyle="1" w:styleId="xl130">
    <w:name w:val="xl130"/>
    <w:basedOn w:val="Normal"/>
    <w:rsid w:val="006079B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hAnsi="Calibri" w:cs="Calibri"/>
      <w:sz w:val="24"/>
    </w:rPr>
  </w:style>
  <w:style w:type="paragraph" w:customStyle="1" w:styleId="xl131">
    <w:name w:val="xl131"/>
    <w:basedOn w:val="Normal"/>
    <w:rsid w:val="006079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hAnsi="Calibri" w:cs="Calibri"/>
      <w:sz w:val="24"/>
    </w:rPr>
  </w:style>
  <w:style w:type="paragraph" w:customStyle="1" w:styleId="xl132">
    <w:name w:val="xl132"/>
    <w:basedOn w:val="Normal"/>
    <w:rsid w:val="006079B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hAnsi="Calibri" w:cs="Calibri"/>
      <w:sz w:val="24"/>
    </w:rPr>
  </w:style>
  <w:style w:type="paragraph" w:customStyle="1" w:styleId="xl133">
    <w:name w:val="xl133"/>
    <w:basedOn w:val="Normal"/>
    <w:rsid w:val="006079B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hAnsi="Calibri" w:cs="Calibri"/>
      <w:sz w:val="24"/>
    </w:rPr>
  </w:style>
  <w:style w:type="paragraph" w:customStyle="1" w:styleId="xl134">
    <w:name w:val="xl134"/>
    <w:basedOn w:val="Normal"/>
    <w:rsid w:val="006079B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Calibri" w:hAnsi="Calibri" w:cs="Calibri"/>
      <w:sz w:val="24"/>
    </w:rPr>
  </w:style>
  <w:style w:type="paragraph" w:customStyle="1" w:styleId="xl135">
    <w:name w:val="xl135"/>
    <w:basedOn w:val="Normal"/>
    <w:rsid w:val="006079BD"/>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136">
    <w:name w:val="xl136"/>
    <w:basedOn w:val="Normal"/>
    <w:rsid w:val="006079B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hAnsi="Calibri" w:cs="Calibri"/>
      <w:sz w:val="24"/>
    </w:rPr>
  </w:style>
  <w:style w:type="paragraph" w:customStyle="1" w:styleId="xl137">
    <w:name w:val="xl137"/>
    <w:basedOn w:val="Normal"/>
    <w:rsid w:val="006079B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hAnsi="Calibri" w:cs="Calibri"/>
      <w:sz w:val="24"/>
    </w:rPr>
  </w:style>
  <w:style w:type="paragraph" w:customStyle="1" w:styleId="xl138">
    <w:name w:val="xl138"/>
    <w:basedOn w:val="Normal"/>
    <w:rsid w:val="006079B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24"/>
    </w:rPr>
  </w:style>
  <w:style w:type="paragraph" w:customStyle="1" w:styleId="xl139">
    <w:name w:val="xl139"/>
    <w:basedOn w:val="Normal"/>
    <w:rsid w:val="006079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140">
    <w:name w:val="xl140"/>
    <w:basedOn w:val="Normal"/>
    <w:rsid w:val="006079B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141">
    <w:name w:val="xl141"/>
    <w:basedOn w:val="Normal"/>
    <w:rsid w:val="006079BD"/>
    <w:pPr>
      <w:pBdr>
        <w:top w:val="single" w:sz="8" w:space="0" w:color="auto"/>
        <w:left w:val="single" w:sz="4" w:space="0" w:color="auto"/>
        <w:right w:val="single" w:sz="4" w:space="0" w:color="auto"/>
      </w:pBdr>
      <w:spacing w:before="100" w:beforeAutospacing="1" w:after="100" w:afterAutospacing="1" w:line="240" w:lineRule="auto"/>
      <w:jc w:val="center"/>
    </w:pPr>
    <w:rPr>
      <w:rFonts w:ascii="Calibri" w:hAnsi="Calibri" w:cs="Calibri"/>
      <w:sz w:val="24"/>
    </w:rPr>
  </w:style>
  <w:style w:type="paragraph" w:customStyle="1" w:styleId="xl142">
    <w:name w:val="xl142"/>
    <w:basedOn w:val="Normal"/>
    <w:rsid w:val="006079BD"/>
    <w:pPr>
      <w:pBdr>
        <w:left w:val="single" w:sz="4" w:space="0" w:color="auto"/>
        <w:bottom w:val="single" w:sz="4" w:space="0" w:color="auto"/>
        <w:right w:val="single" w:sz="8" w:space="0" w:color="auto"/>
      </w:pBdr>
      <w:spacing w:before="100" w:beforeAutospacing="1" w:after="100" w:afterAutospacing="1" w:line="240" w:lineRule="auto"/>
      <w:jc w:val="center"/>
    </w:pPr>
    <w:rPr>
      <w:rFonts w:ascii="Calibri" w:hAnsi="Calibri" w:cs="Calibri"/>
      <w:sz w:val="24"/>
    </w:rPr>
  </w:style>
  <w:style w:type="paragraph" w:customStyle="1" w:styleId="xl143">
    <w:name w:val="xl143"/>
    <w:basedOn w:val="Normal"/>
    <w:rsid w:val="006079BD"/>
    <w:pPr>
      <w:pBdr>
        <w:left w:val="single" w:sz="4" w:space="0" w:color="auto"/>
      </w:pBdr>
      <w:spacing w:before="100" w:beforeAutospacing="1" w:after="100" w:afterAutospacing="1" w:line="240" w:lineRule="auto"/>
    </w:pPr>
    <w:rPr>
      <w:rFonts w:ascii="Calibri" w:hAnsi="Calibri" w:cs="Calibri"/>
      <w:sz w:val="24"/>
    </w:rPr>
  </w:style>
  <w:style w:type="paragraph" w:customStyle="1" w:styleId="xl144">
    <w:name w:val="xl144"/>
    <w:basedOn w:val="Normal"/>
    <w:rsid w:val="006079BD"/>
    <w:pPr>
      <w:pBdr>
        <w:top w:val="single" w:sz="8" w:space="0" w:color="auto"/>
        <w:left w:val="single" w:sz="4" w:space="0" w:color="auto"/>
        <w:right w:val="single" w:sz="4" w:space="0" w:color="auto"/>
      </w:pBdr>
      <w:shd w:val="clear" w:color="auto" w:fill="FFFFFF"/>
      <w:spacing w:before="100" w:beforeAutospacing="1" w:after="100" w:afterAutospacing="1" w:line="240" w:lineRule="auto"/>
    </w:pPr>
    <w:rPr>
      <w:rFonts w:ascii="Calibri" w:hAnsi="Calibri" w:cs="Calibri"/>
      <w:sz w:val="24"/>
    </w:rPr>
  </w:style>
  <w:style w:type="paragraph" w:customStyle="1" w:styleId="xl145">
    <w:name w:val="xl145"/>
    <w:basedOn w:val="Normal"/>
    <w:rsid w:val="006079BD"/>
    <w:pPr>
      <w:pBdr>
        <w:top w:val="single" w:sz="8" w:space="0" w:color="auto"/>
        <w:left w:val="single" w:sz="4" w:space="0" w:color="auto"/>
        <w:right w:val="single" w:sz="4" w:space="0" w:color="auto"/>
      </w:pBdr>
      <w:shd w:val="clear" w:color="auto" w:fill="FFFFFF"/>
      <w:spacing w:before="100" w:beforeAutospacing="1" w:after="100" w:afterAutospacing="1" w:line="240" w:lineRule="auto"/>
    </w:pPr>
    <w:rPr>
      <w:rFonts w:ascii="Calibri" w:hAnsi="Calibri" w:cs="Calibri"/>
      <w:sz w:val="24"/>
    </w:rPr>
  </w:style>
  <w:style w:type="paragraph" w:customStyle="1" w:styleId="xl146">
    <w:name w:val="xl146"/>
    <w:basedOn w:val="Normal"/>
    <w:rsid w:val="006079BD"/>
    <w:pPr>
      <w:pBdr>
        <w:top w:val="single" w:sz="8" w:space="0" w:color="auto"/>
        <w:left w:val="single" w:sz="4" w:space="0" w:color="auto"/>
      </w:pBdr>
      <w:shd w:val="clear" w:color="auto" w:fill="FFFFFF"/>
      <w:spacing w:before="100" w:beforeAutospacing="1" w:after="100" w:afterAutospacing="1" w:line="240" w:lineRule="auto"/>
    </w:pPr>
    <w:rPr>
      <w:rFonts w:ascii="Calibri" w:hAnsi="Calibri" w:cs="Calibri"/>
      <w:sz w:val="24"/>
    </w:rPr>
  </w:style>
  <w:style w:type="paragraph" w:customStyle="1" w:styleId="xl147">
    <w:name w:val="xl147"/>
    <w:basedOn w:val="Normal"/>
    <w:rsid w:val="006079BD"/>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148">
    <w:name w:val="xl148"/>
    <w:basedOn w:val="Normal"/>
    <w:rsid w:val="006079BD"/>
    <w:pPr>
      <w:pBdr>
        <w:top w:val="single" w:sz="8" w:space="0" w:color="auto"/>
        <w:right w:val="single" w:sz="8"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149">
    <w:name w:val="xl149"/>
    <w:basedOn w:val="Normal"/>
    <w:rsid w:val="006079BD"/>
    <w:pPr>
      <w:pBdr>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Calibri" w:hAnsi="Calibri" w:cs="Calibri"/>
      <w:sz w:val="24"/>
    </w:rPr>
  </w:style>
  <w:style w:type="paragraph" w:customStyle="1" w:styleId="xl150">
    <w:name w:val="xl150"/>
    <w:basedOn w:val="Normal"/>
    <w:rsid w:val="006079B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Calibri" w:hAnsi="Calibri" w:cs="Calibri"/>
      <w:sz w:val="24"/>
    </w:rPr>
  </w:style>
  <w:style w:type="paragraph" w:customStyle="1" w:styleId="xl151">
    <w:name w:val="xl151"/>
    <w:basedOn w:val="Normal"/>
    <w:rsid w:val="006079B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152">
    <w:name w:val="xl152"/>
    <w:basedOn w:val="Normal"/>
    <w:rsid w:val="006079BD"/>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153">
    <w:name w:val="xl153"/>
    <w:basedOn w:val="Normal"/>
    <w:rsid w:val="006079BD"/>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hAnsi="Calibri" w:cs="Calibri"/>
      <w:sz w:val="24"/>
    </w:rPr>
  </w:style>
  <w:style w:type="paragraph" w:customStyle="1" w:styleId="xl154">
    <w:name w:val="xl154"/>
    <w:basedOn w:val="Normal"/>
    <w:rsid w:val="006079BD"/>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155">
    <w:name w:val="xl155"/>
    <w:basedOn w:val="Normal"/>
    <w:rsid w:val="006079BD"/>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156">
    <w:name w:val="xl156"/>
    <w:basedOn w:val="Normal"/>
    <w:rsid w:val="006079BD"/>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hAnsi="Calibri" w:cs="Calibri"/>
      <w:sz w:val="24"/>
    </w:rPr>
  </w:style>
  <w:style w:type="paragraph" w:customStyle="1" w:styleId="xl157">
    <w:name w:val="xl157"/>
    <w:basedOn w:val="Normal"/>
    <w:rsid w:val="006079BD"/>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158">
    <w:name w:val="xl158"/>
    <w:basedOn w:val="Normal"/>
    <w:rsid w:val="006079BD"/>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159">
    <w:name w:val="xl159"/>
    <w:basedOn w:val="Normal"/>
    <w:rsid w:val="006079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hAnsi="Calibri" w:cs="Calibri"/>
      <w:sz w:val="24"/>
    </w:rPr>
  </w:style>
  <w:style w:type="paragraph" w:customStyle="1" w:styleId="xl160">
    <w:name w:val="xl160"/>
    <w:basedOn w:val="Normal"/>
    <w:rsid w:val="006079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161">
    <w:name w:val="xl161"/>
    <w:basedOn w:val="Normal"/>
    <w:rsid w:val="006079BD"/>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162">
    <w:name w:val="xl162"/>
    <w:basedOn w:val="Normal"/>
    <w:rsid w:val="006079BD"/>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163">
    <w:name w:val="xl163"/>
    <w:basedOn w:val="Normal"/>
    <w:rsid w:val="006079BD"/>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hAnsi="Calibri" w:cs="Calibri"/>
      <w:sz w:val="24"/>
    </w:rPr>
  </w:style>
  <w:style w:type="paragraph" w:customStyle="1" w:styleId="xl164">
    <w:name w:val="xl164"/>
    <w:basedOn w:val="Normal"/>
    <w:rsid w:val="006079BD"/>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hAnsi="Calibri" w:cs="Calibri"/>
      <w:sz w:val="24"/>
    </w:rPr>
  </w:style>
  <w:style w:type="paragraph" w:customStyle="1" w:styleId="xl165">
    <w:name w:val="xl165"/>
    <w:basedOn w:val="Normal"/>
    <w:rsid w:val="006079B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166">
    <w:name w:val="xl166"/>
    <w:basedOn w:val="Normal"/>
    <w:rsid w:val="006079BD"/>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167">
    <w:name w:val="xl167"/>
    <w:basedOn w:val="Normal"/>
    <w:rsid w:val="006079BD"/>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168">
    <w:name w:val="xl168"/>
    <w:basedOn w:val="Normal"/>
    <w:rsid w:val="006079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169">
    <w:name w:val="xl169"/>
    <w:basedOn w:val="Normal"/>
    <w:rsid w:val="006079BD"/>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170">
    <w:name w:val="xl170"/>
    <w:basedOn w:val="Normal"/>
    <w:rsid w:val="006079BD"/>
    <w:pPr>
      <w:pBdr>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171">
    <w:name w:val="xl171"/>
    <w:basedOn w:val="Normal"/>
    <w:rsid w:val="006079BD"/>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ascii="Calibri" w:hAnsi="Calibri" w:cs="Calibri"/>
      <w:b/>
      <w:bCs/>
      <w:sz w:val="24"/>
    </w:rPr>
  </w:style>
  <w:style w:type="paragraph" w:customStyle="1" w:styleId="xl172">
    <w:name w:val="xl172"/>
    <w:basedOn w:val="Normal"/>
    <w:rsid w:val="006079BD"/>
    <w:pPr>
      <w:pBdr>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Calibri" w:hAnsi="Calibri" w:cs="Calibri"/>
      <w:b/>
      <w:bCs/>
      <w:sz w:val="24"/>
    </w:rPr>
  </w:style>
  <w:style w:type="paragraph" w:customStyle="1" w:styleId="xl173">
    <w:name w:val="xl173"/>
    <w:basedOn w:val="Normal"/>
    <w:rsid w:val="006079BD"/>
    <w:pPr>
      <w:pBdr>
        <w:top w:val="single" w:sz="4" w:space="0" w:color="auto"/>
        <w:left w:val="single" w:sz="8" w:space="0" w:color="auto"/>
        <w:right w:val="single" w:sz="4" w:space="0" w:color="auto"/>
      </w:pBdr>
      <w:spacing w:before="100" w:beforeAutospacing="1" w:after="100" w:afterAutospacing="1" w:line="240" w:lineRule="auto"/>
      <w:jc w:val="center"/>
    </w:pPr>
    <w:rPr>
      <w:rFonts w:ascii="Calibri" w:hAnsi="Calibri" w:cs="Calibri"/>
      <w:sz w:val="32"/>
      <w:szCs w:val="32"/>
    </w:rPr>
  </w:style>
  <w:style w:type="paragraph" w:customStyle="1" w:styleId="xl174">
    <w:name w:val="xl174"/>
    <w:basedOn w:val="Normal"/>
    <w:rsid w:val="006079BD"/>
    <w:pPr>
      <w:pBdr>
        <w:top w:val="single" w:sz="4" w:space="0" w:color="auto"/>
        <w:left w:val="single" w:sz="4" w:space="0" w:color="auto"/>
        <w:right w:val="single" w:sz="4" w:space="0" w:color="auto"/>
      </w:pBdr>
      <w:spacing w:before="100" w:beforeAutospacing="1" w:after="100" w:afterAutospacing="1" w:line="240" w:lineRule="auto"/>
    </w:pPr>
    <w:rPr>
      <w:rFonts w:ascii="Calibri" w:hAnsi="Calibri" w:cs="Calibri"/>
      <w:sz w:val="24"/>
    </w:rPr>
  </w:style>
  <w:style w:type="paragraph" w:customStyle="1" w:styleId="xl175">
    <w:name w:val="xl175"/>
    <w:basedOn w:val="Normal"/>
    <w:rsid w:val="006079BD"/>
    <w:pPr>
      <w:pBdr>
        <w:top w:val="single" w:sz="4" w:space="0" w:color="auto"/>
        <w:left w:val="single" w:sz="4" w:space="0" w:color="auto"/>
        <w:right w:val="single" w:sz="8" w:space="0" w:color="auto"/>
      </w:pBdr>
      <w:spacing w:before="100" w:beforeAutospacing="1" w:after="100" w:afterAutospacing="1" w:line="240" w:lineRule="auto"/>
    </w:pPr>
    <w:rPr>
      <w:rFonts w:ascii="Calibri" w:hAnsi="Calibri" w:cs="Calibri"/>
      <w:sz w:val="24"/>
    </w:rPr>
  </w:style>
  <w:style w:type="paragraph" w:customStyle="1" w:styleId="xl176">
    <w:name w:val="xl176"/>
    <w:basedOn w:val="Normal"/>
    <w:rsid w:val="006079BD"/>
    <w:pPr>
      <w:pBdr>
        <w:left w:val="single" w:sz="8" w:space="0" w:color="auto"/>
        <w:bottom w:val="single" w:sz="4" w:space="0" w:color="auto"/>
        <w:right w:val="single" w:sz="4" w:space="0" w:color="auto"/>
      </w:pBdr>
      <w:shd w:val="clear" w:color="auto" w:fill="DDEBF7"/>
      <w:spacing w:before="100" w:beforeAutospacing="1" w:after="100" w:afterAutospacing="1" w:line="240" w:lineRule="auto"/>
      <w:jc w:val="center"/>
    </w:pPr>
    <w:rPr>
      <w:rFonts w:ascii="Calibri" w:hAnsi="Calibri" w:cs="Calibri"/>
      <w:b/>
      <w:bCs/>
      <w:sz w:val="36"/>
      <w:szCs w:val="36"/>
    </w:rPr>
  </w:style>
  <w:style w:type="paragraph" w:customStyle="1" w:styleId="xl177">
    <w:name w:val="xl177"/>
    <w:basedOn w:val="Normal"/>
    <w:rsid w:val="006079BD"/>
    <w:pPr>
      <w:pBdr>
        <w:left w:val="single" w:sz="4" w:space="0" w:color="auto"/>
        <w:bottom w:val="single" w:sz="4" w:space="0" w:color="auto"/>
        <w:right w:val="single" w:sz="4" w:space="0" w:color="auto"/>
      </w:pBdr>
      <w:shd w:val="clear" w:color="auto" w:fill="DDEBF7"/>
      <w:spacing w:before="100" w:beforeAutospacing="1" w:after="100" w:afterAutospacing="1" w:line="240" w:lineRule="auto"/>
    </w:pPr>
    <w:rPr>
      <w:rFonts w:ascii="Calibri" w:hAnsi="Calibri" w:cs="Calibri"/>
      <w:sz w:val="24"/>
    </w:rPr>
  </w:style>
  <w:style w:type="paragraph" w:customStyle="1" w:styleId="xl178">
    <w:name w:val="xl178"/>
    <w:basedOn w:val="Normal"/>
    <w:rsid w:val="006079BD"/>
    <w:pPr>
      <w:pBdr>
        <w:left w:val="single" w:sz="4" w:space="0" w:color="auto"/>
        <w:bottom w:val="single" w:sz="4" w:space="0" w:color="auto"/>
        <w:right w:val="single" w:sz="8" w:space="0" w:color="auto"/>
      </w:pBdr>
      <w:shd w:val="clear" w:color="auto" w:fill="DDEBF7"/>
      <w:spacing w:before="100" w:beforeAutospacing="1" w:after="100" w:afterAutospacing="1" w:line="240" w:lineRule="auto"/>
    </w:pPr>
    <w:rPr>
      <w:rFonts w:ascii="Calibri" w:hAnsi="Calibri" w:cs="Calibri"/>
      <w:sz w:val="24"/>
    </w:rPr>
  </w:style>
  <w:style w:type="paragraph" w:customStyle="1" w:styleId="xl179">
    <w:name w:val="xl179"/>
    <w:basedOn w:val="Normal"/>
    <w:rsid w:val="006079BD"/>
    <w:pPr>
      <w:pBdr>
        <w:top w:val="single" w:sz="4" w:space="0" w:color="auto"/>
        <w:left w:val="single" w:sz="8" w:space="0" w:color="auto"/>
        <w:bottom w:val="single" w:sz="4" w:space="0" w:color="auto"/>
        <w:right w:val="single" w:sz="4" w:space="0" w:color="auto"/>
      </w:pBdr>
      <w:shd w:val="clear" w:color="auto" w:fill="DDEBF7"/>
      <w:spacing w:before="100" w:beforeAutospacing="1" w:after="100" w:afterAutospacing="1" w:line="240" w:lineRule="auto"/>
    </w:pPr>
    <w:rPr>
      <w:rFonts w:ascii="Calibri" w:hAnsi="Calibri" w:cs="Calibri"/>
      <w:sz w:val="24"/>
    </w:rPr>
  </w:style>
  <w:style w:type="paragraph" w:customStyle="1" w:styleId="xl180">
    <w:name w:val="xl180"/>
    <w:basedOn w:val="Normal"/>
    <w:rsid w:val="006079BD"/>
    <w:pPr>
      <w:pBdr>
        <w:top w:val="single" w:sz="4" w:space="0" w:color="auto"/>
        <w:left w:val="single" w:sz="4" w:space="0" w:color="auto"/>
        <w:bottom w:val="single" w:sz="4" w:space="0" w:color="auto"/>
        <w:right w:val="single" w:sz="4" w:space="0" w:color="auto"/>
      </w:pBdr>
      <w:shd w:val="clear" w:color="auto" w:fill="DDEBF7"/>
      <w:spacing w:before="100" w:beforeAutospacing="1" w:after="100" w:afterAutospacing="1" w:line="240" w:lineRule="auto"/>
    </w:pPr>
    <w:rPr>
      <w:rFonts w:ascii="Calibri" w:hAnsi="Calibri" w:cs="Calibri"/>
      <w:sz w:val="24"/>
    </w:rPr>
  </w:style>
  <w:style w:type="paragraph" w:customStyle="1" w:styleId="xl181">
    <w:name w:val="xl181"/>
    <w:basedOn w:val="Normal"/>
    <w:rsid w:val="006079BD"/>
    <w:pPr>
      <w:pBdr>
        <w:top w:val="single" w:sz="4" w:space="0" w:color="auto"/>
        <w:left w:val="single" w:sz="4" w:space="0" w:color="auto"/>
        <w:bottom w:val="single" w:sz="4" w:space="0" w:color="auto"/>
        <w:right w:val="single" w:sz="8" w:space="0" w:color="auto"/>
      </w:pBdr>
      <w:shd w:val="clear" w:color="auto" w:fill="DDEBF7"/>
      <w:spacing w:before="100" w:beforeAutospacing="1" w:after="100" w:afterAutospacing="1" w:line="240" w:lineRule="auto"/>
    </w:pPr>
    <w:rPr>
      <w:rFonts w:ascii="Calibri" w:hAnsi="Calibri" w:cs="Calibri"/>
      <w:sz w:val="24"/>
    </w:rPr>
  </w:style>
  <w:style w:type="paragraph" w:customStyle="1" w:styleId="xl182">
    <w:name w:val="xl182"/>
    <w:basedOn w:val="Normal"/>
    <w:rsid w:val="006079BD"/>
    <w:pPr>
      <w:pBdr>
        <w:top w:val="single" w:sz="8" w:space="0" w:color="auto"/>
        <w:left w:val="single" w:sz="4" w:space="0" w:color="auto"/>
        <w:right w:val="single" w:sz="4" w:space="0" w:color="auto"/>
      </w:pBdr>
      <w:spacing w:before="100" w:beforeAutospacing="1" w:after="100" w:afterAutospacing="1" w:line="240" w:lineRule="auto"/>
    </w:pPr>
    <w:rPr>
      <w:rFonts w:ascii="Calibri" w:hAnsi="Calibri" w:cs="Calibri"/>
      <w:sz w:val="24"/>
    </w:rPr>
  </w:style>
  <w:style w:type="paragraph" w:customStyle="1" w:styleId="xl183">
    <w:name w:val="xl183"/>
    <w:basedOn w:val="Normal"/>
    <w:rsid w:val="006079BD"/>
    <w:pPr>
      <w:pBdr>
        <w:left w:val="single" w:sz="4" w:space="0" w:color="auto"/>
        <w:right w:val="single" w:sz="4" w:space="0" w:color="auto"/>
      </w:pBdr>
      <w:spacing w:before="100" w:beforeAutospacing="1" w:after="100" w:afterAutospacing="1" w:line="240" w:lineRule="auto"/>
    </w:pPr>
    <w:rPr>
      <w:rFonts w:ascii="Calibri" w:hAnsi="Calibri" w:cs="Calibri"/>
      <w:sz w:val="24"/>
    </w:rPr>
  </w:style>
  <w:style w:type="paragraph" w:customStyle="1" w:styleId="xl184">
    <w:name w:val="xl184"/>
    <w:basedOn w:val="Normal"/>
    <w:rsid w:val="006079BD"/>
    <w:pPr>
      <w:pBdr>
        <w:top w:val="single" w:sz="8" w:space="0" w:color="auto"/>
        <w:left w:val="single" w:sz="8" w:space="0" w:color="auto"/>
        <w:right w:val="single" w:sz="4" w:space="0" w:color="auto"/>
      </w:pBdr>
      <w:spacing w:before="100" w:beforeAutospacing="1" w:after="100" w:afterAutospacing="1" w:line="240" w:lineRule="auto"/>
      <w:jc w:val="center"/>
    </w:pPr>
    <w:rPr>
      <w:rFonts w:ascii="Calibri" w:hAnsi="Calibri" w:cs="Calibri"/>
      <w:sz w:val="32"/>
      <w:szCs w:val="32"/>
    </w:rPr>
  </w:style>
  <w:style w:type="paragraph" w:customStyle="1" w:styleId="xl185">
    <w:name w:val="xl185"/>
    <w:basedOn w:val="Normal"/>
    <w:rsid w:val="006079BD"/>
    <w:pPr>
      <w:pBdr>
        <w:top w:val="single" w:sz="8" w:space="0" w:color="auto"/>
        <w:left w:val="single" w:sz="4" w:space="0" w:color="auto"/>
        <w:right w:val="single" w:sz="4" w:space="0" w:color="auto"/>
      </w:pBdr>
      <w:spacing w:before="100" w:beforeAutospacing="1" w:after="100" w:afterAutospacing="1" w:line="240" w:lineRule="auto"/>
    </w:pPr>
    <w:rPr>
      <w:rFonts w:ascii="Calibri" w:hAnsi="Calibri" w:cs="Calibri"/>
      <w:sz w:val="24"/>
    </w:rPr>
  </w:style>
  <w:style w:type="paragraph" w:customStyle="1" w:styleId="xl186">
    <w:name w:val="xl186"/>
    <w:basedOn w:val="Normal"/>
    <w:rsid w:val="006079BD"/>
    <w:pPr>
      <w:pBdr>
        <w:top w:val="single" w:sz="8" w:space="0" w:color="auto"/>
        <w:left w:val="single" w:sz="4" w:space="0" w:color="auto"/>
        <w:right w:val="single" w:sz="8" w:space="0" w:color="auto"/>
      </w:pBdr>
      <w:spacing w:before="100" w:beforeAutospacing="1" w:after="100" w:afterAutospacing="1" w:line="240" w:lineRule="auto"/>
    </w:pPr>
    <w:rPr>
      <w:rFonts w:ascii="Calibri" w:hAnsi="Calibri" w:cs="Calibri"/>
      <w:sz w:val="24"/>
    </w:rPr>
  </w:style>
  <w:style w:type="paragraph" w:customStyle="1" w:styleId="xl187">
    <w:name w:val="xl187"/>
    <w:basedOn w:val="Normal"/>
    <w:rsid w:val="006079B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Calibri" w:hAnsi="Calibri" w:cs="Calibri"/>
      <w:sz w:val="32"/>
      <w:szCs w:val="32"/>
    </w:rPr>
  </w:style>
  <w:style w:type="paragraph" w:customStyle="1" w:styleId="xl188">
    <w:name w:val="xl188"/>
    <w:basedOn w:val="Normal"/>
    <w:rsid w:val="006079B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Calibri" w:hAnsi="Calibri" w:cs="Calibri"/>
      <w:sz w:val="24"/>
    </w:rPr>
  </w:style>
  <w:style w:type="paragraph" w:customStyle="1" w:styleId="xl189">
    <w:name w:val="xl189"/>
    <w:basedOn w:val="Normal"/>
    <w:rsid w:val="006079B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Calibri" w:hAnsi="Calibri" w:cs="Calibri"/>
      <w:sz w:val="24"/>
    </w:rPr>
  </w:style>
  <w:style w:type="paragraph" w:customStyle="1" w:styleId="xl190">
    <w:name w:val="xl190"/>
    <w:basedOn w:val="Normal"/>
    <w:rsid w:val="006079B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24"/>
    </w:rPr>
  </w:style>
  <w:style w:type="paragraph" w:customStyle="1" w:styleId="xl191">
    <w:name w:val="xl191"/>
    <w:basedOn w:val="Normal"/>
    <w:rsid w:val="006079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24"/>
    </w:rPr>
  </w:style>
  <w:style w:type="paragraph" w:customStyle="1" w:styleId="xl192">
    <w:name w:val="xl192"/>
    <w:basedOn w:val="Normal"/>
    <w:rsid w:val="006079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24"/>
    </w:rPr>
  </w:style>
  <w:style w:type="paragraph" w:customStyle="1" w:styleId="xl193">
    <w:name w:val="xl193"/>
    <w:basedOn w:val="Normal"/>
    <w:rsid w:val="006079B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Calibri" w:hAnsi="Calibri" w:cs="Calibri"/>
      <w:sz w:val="24"/>
    </w:rPr>
  </w:style>
  <w:style w:type="paragraph" w:customStyle="1" w:styleId="xl194">
    <w:name w:val="xl194"/>
    <w:basedOn w:val="Normal"/>
    <w:rsid w:val="006079B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sz w:val="24"/>
    </w:rPr>
  </w:style>
  <w:style w:type="paragraph" w:customStyle="1" w:styleId="xl195">
    <w:name w:val="xl195"/>
    <w:basedOn w:val="Normal"/>
    <w:rsid w:val="00607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sz w:val="24"/>
    </w:rPr>
  </w:style>
  <w:style w:type="paragraph" w:customStyle="1" w:styleId="xl196">
    <w:name w:val="xl196"/>
    <w:basedOn w:val="Normal"/>
    <w:rsid w:val="00607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rPr>
  </w:style>
  <w:style w:type="paragraph" w:customStyle="1" w:styleId="xl197">
    <w:name w:val="xl197"/>
    <w:basedOn w:val="Normal"/>
    <w:rsid w:val="006079B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hAnsi="Calibri" w:cs="Calibri"/>
      <w:sz w:val="24"/>
    </w:rPr>
  </w:style>
  <w:style w:type="paragraph" w:customStyle="1" w:styleId="xl198">
    <w:name w:val="xl198"/>
    <w:basedOn w:val="Normal"/>
    <w:rsid w:val="006079B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sz w:val="24"/>
    </w:rPr>
  </w:style>
  <w:style w:type="paragraph" w:customStyle="1" w:styleId="xl199">
    <w:name w:val="xl199"/>
    <w:basedOn w:val="Normal"/>
    <w:rsid w:val="00607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rPr>
  </w:style>
  <w:style w:type="paragraph" w:customStyle="1" w:styleId="xl200">
    <w:name w:val="xl200"/>
    <w:basedOn w:val="Normal"/>
    <w:rsid w:val="006079B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hAnsi="Calibri" w:cs="Calibri"/>
      <w:sz w:val="24"/>
    </w:rPr>
  </w:style>
  <w:style w:type="paragraph" w:customStyle="1" w:styleId="xl201">
    <w:name w:val="xl201"/>
    <w:basedOn w:val="Normal"/>
    <w:rsid w:val="006079BD"/>
    <w:pPr>
      <w:pBdr>
        <w:left w:val="single" w:sz="8" w:space="0" w:color="auto"/>
        <w:bottom w:val="single" w:sz="8" w:space="0" w:color="auto"/>
        <w:right w:val="single" w:sz="4" w:space="0" w:color="auto"/>
      </w:pBdr>
      <w:spacing w:before="100" w:beforeAutospacing="1" w:after="100" w:afterAutospacing="1" w:line="240" w:lineRule="auto"/>
      <w:jc w:val="center"/>
    </w:pPr>
    <w:rPr>
      <w:rFonts w:ascii="Calibri" w:hAnsi="Calibri" w:cs="Calibri"/>
      <w:sz w:val="32"/>
      <w:szCs w:val="32"/>
    </w:rPr>
  </w:style>
  <w:style w:type="paragraph" w:customStyle="1" w:styleId="xl202">
    <w:name w:val="xl202"/>
    <w:basedOn w:val="Normal"/>
    <w:rsid w:val="006079BD"/>
    <w:pPr>
      <w:pBdr>
        <w:left w:val="single" w:sz="4" w:space="0" w:color="auto"/>
        <w:bottom w:val="single" w:sz="8" w:space="0" w:color="auto"/>
        <w:right w:val="single" w:sz="4" w:space="0" w:color="auto"/>
      </w:pBdr>
      <w:spacing w:before="100" w:beforeAutospacing="1" w:after="100" w:afterAutospacing="1" w:line="240" w:lineRule="auto"/>
    </w:pPr>
    <w:rPr>
      <w:rFonts w:ascii="Calibri" w:hAnsi="Calibri" w:cs="Calibri"/>
      <w:sz w:val="24"/>
    </w:rPr>
  </w:style>
  <w:style w:type="paragraph" w:customStyle="1" w:styleId="xl203">
    <w:name w:val="xl203"/>
    <w:basedOn w:val="Normal"/>
    <w:rsid w:val="006079BD"/>
    <w:pPr>
      <w:pBdr>
        <w:left w:val="single" w:sz="4" w:space="0" w:color="auto"/>
        <w:bottom w:val="single" w:sz="8" w:space="0" w:color="auto"/>
        <w:right w:val="single" w:sz="8" w:space="0" w:color="auto"/>
      </w:pBdr>
      <w:spacing w:before="100" w:beforeAutospacing="1" w:after="100" w:afterAutospacing="1" w:line="240" w:lineRule="auto"/>
    </w:pPr>
    <w:rPr>
      <w:rFonts w:ascii="Calibri" w:hAnsi="Calibri" w:cs="Calibri"/>
      <w:sz w:val="24"/>
    </w:rPr>
  </w:style>
  <w:style w:type="paragraph" w:customStyle="1" w:styleId="xl204">
    <w:name w:val="xl204"/>
    <w:basedOn w:val="Normal"/>
    <w:rsid w:val="006079BD"/>
    <w:pPr>
      <w:pBdr>
        <w:top w:val="single" w:sz="8" w:space="0" w:color="auto"/>
        <w:left w:val="single" w:sz="8" w:space="0" w:color="auto"/>
        <w:bottom w:val="single" w:sz="4" w:space="0" w:color="auto"/>
        <w:right w:val="single" w:sz="4" w:space="0" w:color="auto"/>
      </w:pBdr>
      <w:shd w:val="clear" w:color="auto" w:fill="DDEBF7"/>
      <w:spacing w:before="100" w:beforeAutospacing="1" w:after="100" w:afterAutospacing="1" w:line="240" w:lineRule="auto"/>
      <w:jc w:val="center"/>
    </w:pPr>
    <w:rPr>
      <w:rFonts w:ascii="Calibri" w:hAnsi="Calibri" w:cs="Calibri"/>
      <w:b/>
      <w:bCs/>
      <w:sz w:val="36"/>
      <w:szCs w:val="36"/>
    </w:rPr>
  </w:style>
  <w:style w:type="paragraph" w:customStyle="1" w:styleId="xl205">
    <w:name w:val="xl205"/>
    <w:basedOn w:val="Normal"/>
    <w:rsid w:val="006079BD"/>
    <w:pPr>
      <w:pBdr>
        <w:top w:val="single" w:sz="8" w:space="0" w:color="auto"/>
        <w:left w:val="single" w:sz="4" w:space="0" w:color="auto"/>
        <w:bottom w:val="single" w:sz="4" w:space="0" w:color="auto"/>
        <w:right w:val="single" w:sz="4" w:space="0" w:color="auto"/>
      </w:pBdr>
      <w:shd w:val="clear" w:color="auto" w:fill="DDEBF7"/>
      <w:spacing w:before="100" w:beforeAutospacing="1" w:after="100" w:afterAutospacing="1" w:line="240" w:lineRule="auto"/>
    </w:pPr>
    <w:rPr>
      <w:rFonts w:ascii="Calibri" w:hAnsi="Calibri" w:cs="Calibri"/>
      <w:sz w:val="24"/>
    </w:rPr>
  </w:style>
  <w:style w:type="paragraph" w:customStyle="1" w:styleId="xl206">
    <w:name w:val="xl206"/>
    <w:basedOn w:val="Normal"/>
    <w:rsid w:val="006079BD"/>
    <w:pPr>
      <w:pBdr>
        <w:top w:val="single" w:sz="8" w:space="0" w:color="auto"/>
        <w:left w:val="single" w:sz="4" w:space="0" w:color="auto"/>
        <w:bottom w:val="single" w:sz="4" w:space="0" w:color="auto"/>
        <w:right w:val="single" w:sz="8" w:space="0" w:color="auto"/>
      </w:pBdr>
      <w:shd w:val="clear" w:color="auto" w:fill="DDEBF7"/>
      <w:spacing w:before="100" w:beforeAutospacing="1" w:after="100" w:afterAutospacing="1" w:line="240" w:lineRule="auto"/>
    </w:pPr>
    <w:rPr>
      <w:rFonts w:ascii="Calibri" w:hAnsi="Calibri" w:cs="Calibri"/>
      <w:sz w:val="24"/>
    </w:rPr>
  </w:style>
  <w:style w:type="paragraph" w:customStyle="1" w:styleId="xl207">
    <w:name w:val="xl207"/>
    <w:basedOn w:val="Normal"/>
    <w:rsid w:val="006079BD"/>
    <w:pPr>
      <w:pBdr>
        <w:top w:val="single" w:sz="4" w:space="0" w:color="auto"/>
        <w:left w:val="single" w:sz="8" w:space="0" w:color="auto"/>
        <w:bottom w:val="single" w:sz="8" w:space="0" w:color="auto"/>
        <w:right w:val="single" w:sz="4" w:space="0" w:color="auto"/>
      </w:pBdr>
      <w:shd w:val="clear" w:color="auto" w:fill="DDEBF7"/>
      <w:spacing w:before="100" w:beforeAutospacing="1" w:after="100" w:afterAutospacing="1" w:line="240" w:lineRule="auto"/>
    </w:pPr>
    <w:rPr>
      <w:rFonts w:ascii="Calibri" w:hAnsi="Calibri" w:cs="Calibri"/>
      <w:sz w:val="24"/>
    </w:rPr>
  </w:style>
  <w:style w:type="paragraph" w:customStyle="1" w:styleId="xl208">
    <w:name w:val="xl208"/>
    <w:basedOn w:val="Normal"/>
    <w:rsid w:val="006079BD"/>
    <w:pPr>
      <w:pBdr>
        <w:top w:val="single" w:sz="4" w:space="0" w:color="auto"/>
        <w:left w:val="single" w:sz="4" w:space="0" w:color="auto"/>
        <w:bottom w:val="single" w:sz="8" w:space="0" w:color="auto"/>
        <w:right w:val="single" w:sz="4" w:space="0" w:color="auto"/>
      </w:pBdr>
      <w:shd w:val="clear" w:color="auto" w:fill="DDEBF7"/>
      <w:spacing w:before="100" w:beforeAutospacing="1" w:after="100" w:afterAutospacing="1" w:line="240" w:lineRule="auto"/>
    </w:pPr>
    <w:rPr>
      <w:rFonts w:ascii="Calibri" w:hAnsi="Calibri" w:cs="Calibri"/>
      <w:sz w:val="24"/>
    </w:rPr>
  </w:style>
  <w:style w:type="paragraph" w:customStyle="1" w:styleId="xl209">
    <w:name w:val="xl209"/>
    <w:basedOn w:val="Normal"/>
    <w:rsid w:val="006079BD"/>
    <w:pPr>
      <w:pBdr>
        <w:top w:val="single" w:sz="4" w:space="0" w:color="auto"/>
        <w:left w:val="single" w:sz="4" w:space="0" w:color="auto"/>
        <w:bottom w:val="single" w:sz="8" w:space="0" w:color="auto"/>
        <w:right w:val="single" w:sz="8" w:space="0" w:color="auto"/>
      </w:pBdr>
      <w:shd w:val="clear" w:color="auto" w:fill="DDEBF7"/>
      <w:spacing w:before="100" w:beforeAutospacing="1" w:after="100" w:afterAutospacing="1" w:line="240" w:lineRule="auto"/>
    </w:pPr>
    <w:rPr>
      <w:rFonts w:ascii="Calibri" w:hAnsi="Calibri" w:cs="Calibri"/>
      <w:sz w:val="24"/>
    </w:rPr>
  </w:style>
  <w:style w:type="paragraph" w:customStyle="1" w:styleId="xl210">
    <w:name w:val="xl210"/>
    <w:basedOn w:val="Normal"/>
    <w:rsid w:val="006079BD"/>
    <w:pPr>
      <w:pBdr>
        <w:left w:val="single" w:sz="8" w:space="0" w:color="auto"/>
        <w:right w:val="single" w:sz="4" w:space="0" w:color="auto"/>
      </w:pBdr>
      <w:spacing w:before="100" w:beforeAutospacing="1" w:after="100" w:afterAutospacing="1" w:line="240" w:lineRule="auto"/>
      <w:jc w:val="center"/>
    </w:pPr>
    <w:rPr>
      <w:rFonts w:ascii="Calibri" w:hAnsi="Calibri" w:cs="Calibri"/>
      <w:sz w:val="24"/>
    </w:rPr>
  </w:style>
  <w:style w:type="paragraph" w:customStyle="1" w:styleId="xl211">
    <w:name w:val="xl211"/>
    <w:basedOn w:val="Normal"/>
    <w:rsid w:val="006079BD"/>
    <w:pPr>
      <w:pBdr>
        <w:left w:val="single" w:sz="8" w:space="0" w:color="auto"/>
        <w:right w:val="single" w:sz="4" w:space="0" w:color="auto"/>
      </w:pBdr>
      <w:shd w:val="clear" w:color="auto" w:fill="FFFFFF"/>
      <w:spacing w:before="100" w:beforeAutospacing="1" w:after="100" w:afterAutospacing="1" w:line="240" w:lineRule="auto"/>
      <w:jc w:val="center"/>
    </w:pPr>
    <w:rPr>
      <w:rFonts w:ascii="Calibri" w:hAnsi="Calibri" w:cs="Calibri"/>
      <w:sz w:val="32"/>
      <w:szCs w:val="32"/>
    </w:rPr>
  </w:style>
  <w:style w:type="paragraph" w:customStyle="1" w:styleId="xl212">
    <w:name w:val="xl212"/>
    <w:basedOn w:val="Normal"/>
    <w:rsid w:val="006079BD"/>
    <w:pPr>
      <w:pBdr>
        <w:left w:val="single" w:sz="4" w:space="0" w:color="auto"/>
        <w:right w:val="single" w:sz="4" w:space="0" w:color="auto"/>
      </w:pBdr>
      <w:shd w:val="clear" w:color="auto" w:fill="FFFFFF"/>
      <w:spacing w:before="100" w:beforeAutospacing="1" w:after="100" w:afterAutospacing="1" w:line="240" w:lineRule="auto"/>
    </w:pPr>
    <w:rPr>
      <w:rFonts w:ascii="Calibri" w:hAnsi="Calibri" w:cs="Calibri"/>
      <w:sz w:val="24"/>
    </w:rPr>
  </w:style>
  <w:style w:type="paragraph" w:customStyle="1" w:styleId="xl213">
    <w:name w:val="xl213"/>
    <w:basedOn w:val="Normal"/>
    <w:rsid w:val="006079BD"/>
    <w:pPr>
      <w:pBdr>
        <w:left w:val="single" w:sz="4" w:space="0" w:color="auto"/>
        <w:right w:val="single" w:sz="8" w:space="0" w:color="auto"/>
      </w:pBdr>
      <w:shd w:val="clear" w:color="auto" w:fill="FFFFFF"/>
      <w:spacing w:before="100" w:beforeAutospacing="1" w:after="100" w:afterAutospacing="1" w:line="240" w:lineRule="auto"/>
    </w:pPr>
    <w:rPr>
      <w:rFonts w:ascii="Calibri" w:hAnsi="Calibri" w:cs="Calibri"/>
      <w:sz w:val="24"/>
    </w:rPr>
  </w:style>
  <w:style w:type="paragraph" w:customStyle="1" w:styleId="xl214">
    <w:name w:val="xl214"/>
    <w:basedOn w:val="Normal"/>
    <w:rsid w:val="006079BD"/>
    <w:pPr>
      <w:pBdr>
        <w:left w:val="single" w:sz="8" w:space="0" w:color="auto"/>
        <w:right w:val="single" w:sz="4" w:space="0" w:color="auto"/>
      </w:pBdr>
      <w:spacing w:before="100" w:beforeAutospacing="1" w:after="100" w:afterAutospacing="1" w:line="240" w:lineRule="auto"/>
      <w:jc w:val="center"/>
    </w:pPr>
    <w:rPr>
      <w:rFonts w:ascii="Calibri" w:hAnsi="Calibri" w:cs="Calibri"/>
      <w:sz w:val="32"/>
      <w:szCs w:val="32"/>
    </w:rPr>
  </w:style>
  <w:style w:type="paragraph" w:customStyle="1" w:styleId="xl215">
    <w:name w:val="xl215"/>
    <w:basedOn w:val="Normal"/>
    <w:rsid w:val="006079BD"/>
    <w:pPr>
      <w:pBdr>
        <w:left w:val="single" w:sz="4" w:space="0" w:color="auto"/>
        <w:right w:val="single" w:sz="4" w:space="0" w:color="auto"/>
      </w:pBdr>
      <w:spacing w:before="100" w:beforeAutospacing="1" w:after="100" w:afterAutospacing="1" w:line="240" w:lineRule="auto"/>
    </w:pPr>
    <w:rPr>
      <w:rFonts w:ascii="Calibri" w:hAnsi="Calibri" w:cs="Calibri"/>
      <w:sz w:val="32"/>
      <w:szCs w:val="32"/>
    </w:rPr>
  </w:style>
  <w:style w:type="paragraph" w:customStyle="1" w:styleId="xl216">
    <w:name w:val="xl216"/>
    <w:basedOn w:val="Normal"/>
    <w:rsid w:val="006079BD"/>
    <w:pPr>
      <w:pBdr>
        <w:left w:val="single" w:sz="4" w:space="0" w:color="auto"/>
        <w:right w:val="single" w:sz="8" w:space="0" w:color="auto"/>
      </w:pBdr>
      <w:spacing w:before="100" w:beforeAutospacing="1" w:after="100" w:afterAutospacing="1" w:line="240" w:lineRule="auto"/>
    </w:pPr>
    <w:rPr>
      <w:rFonts w:ascii="Calibri" w:hAnsi="Calibri" w:cs="Calibri"/>
      <w:sz w:val="32"/>
      <w:szCs w:val="32"/>
    </w:rPr>
  </w:style>
  <w:style w:type="paragraph" w:customStyle="1" w:styleId="xl217">
    <w:name w:val="xl217"/>
    <w:basedOn w:val="Normal"/>
    <w:rsid w:val="006079BD"/>
    <w:pPr>
      <w:pBdr>
        <w:top w:val="single" w:sz="4" w:space="0" w:color="auto"/>
        <w:left w:val="single" w:sz="8" w:space="0" w:color="auto"/>
        <w:right w:val="single" w:sz="4" w:space="0" w:color="auto"/>
      </w:pBdr>
      <w:spacing w:before="100" w:beforeAutospacing="1" w:after="100" w:afterAutospacing="1" w:line="240" w:lineRule="auto"/>
      <w:jc w:val="center"/>
    </w:pPr>
    <w:rPr>
      <w:rFonts w:ascii="Calibri" w:hAnsi="Calibri" w:cs="Calibri"/>
      <w:sz w:val="24"/>
    </w:rPr>
  </w:style>
  <w:style w:type="paragraph" w:customStyle="1" w:styleId="xl218">
    <w:name w:val="xl218"/>
    <w:basedOn w:val="Normal"/>
    <w:rsid w:val="006079B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24"/>
    </w:rPr>
  </w:style>
  <w:style w:type="paragraph" w:customStyle="1" w:styleId="xl219">
    <w:name w:val="xl219"/>
    <w:basedOn w:val="Normal"/>
    <w:rsid w:val="006079BD"/>
    <w:pPr>
      <w:pBdr>
        <w:left w:val="single" w:sz="4" w:space="0" w:color="auto"/>
        <w:right w:val="single" w:sz="4" w:space="0" w:color="auto"/>
      </w:pBdr>
      <w:spacing w:before="100" w:beforeAutospacing="1" w:after="100" w:afterAutospacing="1" w:line="240" w:lineRule="auto"/>
    </w:pPr>
    <w:rPr>
      <w:rFonts w:ascii="Calibri" w:hAnsi="Calibri" w:cs="Calibri"/>
      <w:sz w:val="24"/>
    </w:rPr>
  </w:style>
  <w:style w:type="paragraph" w:customStyle="1" w:styleId="xl220">
    <w:name w:val="xl220"/>
    <w:basedOn w:val="Normal"/>
    <w:rsid w:val="006079BD"/>
    <w:pPr>
      <w:pBdr>
        <w:left w:val="single" w:sz="4" w:space="0" w:color="auto"/>
        <w:right w:val="single" w:sz="8" w:space="0" w:color="auto"/>
      </w:pBdr>
      <w:spacing w:before="100" w:beforeAutospacing="1" w:after="100" w:afterAutospacing="1" w:line="240" w:lineRule="auto"/>
    </w:pPr>
    <w:rPr>
      <w:rFonts w:ascii="Calibri" w:hAnsi="Calibri" w:cs="Calibri"/>
      <w:sz w:val="24"/>
    </w:rPr>
  </w:style>
  <w:style w:type="paragraph" w:customStyle="1" w:styleId="xl221">
    <w:name w:val="xl221"/>
    <w:basedOn w:val="Normal"/>
    <w:rsid w:val="006079BD"/>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sz w:val="24"/>
    </w:rPr>
  </w:style>
  <w:style w:type="paragraph" w:customStyle="1" w:styleId="xl222">
    <w:name w:val="xl222"/>
    <w:basedOn w:val="Normal"/>
    <w:rsid w:val="006079BD"/>
    <w:pPr>
      <w:pBdr>
        <w:left w:val="single" w:sz="8"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24"/>
    </w:rPr>
  </w:style>
  <w:style w:type="paragraph" w:customStyle="1" w:styleId="xl223">
    <w:name w:val="xl223"/>
    <w:basedOn w:val="Normal"/>
    <w:rsid w:val="006079BD"/>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hAnsi="Calibri" w:cs="Calibri"/>
      <w:b/>
      <w:bCs/>
      <w:sz w:val="24"/>
    </w:rPr>
  </w:style>
  <w:style w:type="paragraph" w:customStyle="1" w:styleId="xl224">
    <w:name w:val="xl224"/>
    <w:basedOn w:val="Normal"/>
    <w:rsid w:val="006079BD"/>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hAnsi="Calibri" w:cs="Calibri"/>
      <w:b/>
      <w:bCs/>
      <w:sz w:val="24"/>
    </w:rPr>
  </w:style>
  <w:style w:type="paragraph" w:customStyle="1" w:styleId="xl225">
    <w:name w:val="xl225"/>
    <w:basedOn w:val="Normal"/>
    <w:rsid w:val="006079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hAnsi="Calibri" w:cs="Calibri"/>
      <w:sz w:val="24"/>
    </w:rPr>
  </w:style>
  <w:style w:type="paragraph" w:customStyle="1" w:styleId="xl226">
    <w:name w:val="xl226"/>
    <w:basedOn w:val="Normal"/>
    <w:rsid w:val="006079B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Calibri" w:hAnsi="Calibri" w:cs="Calibri"/>
      <w:sz w:val="24"/>
    </w:rPr>
  </w:style>
  <w:style w:type="paragraph" w:customStyle="1" w:styleId="xl227">
    <w:name w:val="xl227"/>
    <w:basedOn w:val="Normal"/>
    <w:rsid w:val="006079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hAnsi="Calibri" w:cs="Calibri"/>
      <w:sz w:val="24"/>
    </w:rPr>
  </w:style>
  <w:style w:type="paragraph" w:customStyle="1" w:styleId="xl228">
    <w:name w:val="xl228"/>
    <w:basedOn w:val="Normal"/>
    <w:rsid w:val="006079BD"/>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229">
    <w:name w:val="xl229"/>
    <w:basedOn w:val="Normal"/>
    <w:rsid w:val="006079BD"/>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230">
    <w:name w:val="xl230"/>
    <w:basedOn w:val="Normal"/>
    <w:rsid w:val="006079BD"/>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231">
    <w:name w:val="xl231"/>
    <w:basedOn w:val="Normal"/>
    <w:rsid w:val="006079BD"/>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232">
    <w:name w:val="xl232"/>
    <w:basedOn w:val="Normal"/>
    <w:rsid w:val="006079BD"/>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233">
    <w:name w:val="xl233"/>
    <w:basedOn w:val="Normal"/>
    <w:rsid w:val="006079BD"/>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234">
    <w:name w:val="xl234"/>
    <w:basedOn w:val="Normal"/>
    <w:rsid w:val="006079BD"/>
    <w:pPr>
      <w:pBdr>
        <w:left w:val="single" w:sz="4" w:space="0" w:color="auto"/>
        <w:right w:val="single" w:sz="4" w:space="0" w:color="auto"/>
      </w:pBdr>
      <w:spacing w:before="100" w:beforeAutospacing="1" w:after="100" w:afterAutospacing="1" w:line="240" w:lineRule="auto"/>
    </w:pPr>
    <w:rPr>
      <w:rFonts w:ascii="Calibri" w:hAnsi="Calibri" w:cs="Calibri"/>
      <w:b/>
      <w:bCs/>
      <w:sz w:val="24"/>
    </w:rPr>
  </w:style>
  <w:style w:type="paragraph" w:customStyle="1" w:styleId="xl235">
    <w:name w:val="xl235"/>
    <w:basedOn w:val="Normal"/>
    <w:rsid w:val="006079BD"/>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sz w:val="24"/>
    </w:rPr>
  </w:style>
  <w:style w:type="paragraph" w:customStyle="1" w:styleId="xl236">
    <w:name w:val="xl236"/>
    <w:basedOn w:val="Normal"/>
    <w:rsid w:val="00607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sz w:val="24"/>
    </w:rPr>
  </w:style>
  <w:style w:type="paragraph" w:customStyle="1" w:styleId="xl237">
    <w:name w:val="xl237"/>
    <w:basedOn w:val="Normal"/>
    <w:rsid w:val="006079B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rPr>
  </w:style>
  <w:style w:type="paragraph" w:customStyle="1" w:styleId="xl238">
    <w:name w:val="xl238"/>
    <w:basedOn w:val="Normal"/>
    <w:rsid w:val="006079B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hAnsi="Calibri" w:cs="Calibri"/>
      <w:sz w:val="24"/>
    </w:rPr>
  </w:style>
  <w:style w:type="paragraph" w:customStyle="1" w:styleId="xl239">
    <w:name w:val="xl239"/>
    <w:basedOn w:val="Normal"/>
    <w:rsid w:val="006079BD"/>
    <w:pPr>
      <w:pBdr>
        <w:left w:val="single" w:sz="8"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24"/>
    </w:rPr>
  </w:style>
  <w:style w:type="paragraph" w:customStyle="1" w:styleId="xl240">
    <w:name w:val="xl240"/>
    <w:basedOn w:val="Normal"/>
    <w:rsid w:val="006079BD"/>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hAnsi="Calibri" w:cs="Calibri"/>
      <w:b/>
      <w:bCs/>
      <w:sz w:val="24"/>
    </w:rPr>
  </w:style>
  <w:style w:type="paragraph" w:customStyle="1" w:styleId="xl241">
    <w:name w:val="xl241"/>
    <w:basedOn w:val="Normal"/>
    <w:rsid w:val="006079B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Calibri" w:hAnsi="Calibri" w:cs="Calibri"/>
      <w:sz w:val="24"/>
    </w:rPr>
  </w:style>
  <w:style w:type="paragraph" w:customStyle="1" w:styleId="xl242">
    <w:name w:val="xl242"/>
    <w:basedOn w:val="Normal"/>
    <w:rsid w:val="006079BD"/>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hAnsi="Calibri" w:cs="Calibri"/>
      <w:b/>
      <w:bCs/>
      <w:sz w:val="24"/>
    </w:rPr>
  </w:style>
  <w:style w:type="paragraph" w:customStyle="1" w:styleId="xl243">
    <w:name w:val="xl243"/>
    <w:basedOn w:val="Normal"/>
    <w:rsid w:val="006079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hAnsi="Calibri" w:cs="Calibri"/>
      <w:b/>
      <w:bCs/>
      <w:sz w:val="24"/>
    </w:rPr>
  </w:style>
  <w:style w:type="paragraph" w:customStyle="1" w:styleId="xl244">
    <w:name w:val="xl244"/>
    <w:basedOn w:val="Normal"/>
    <w:rsid w:val="006079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hAnsi="Calibri" w:cs="Calibri"/>
      <w:sz w:val="24"/>
    </w:rPr>
  </w:style>
  <w:style w:type="paragraph" w:customStyle="1" w:styleId="xl245">
    <w:name w:val="xl245"/>
    <w:basedOn w:val="Normal"/>
    <w:rsid w:val="006079B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Calibri" w:hAnsi="Calibri" w:cs="Calibri"/>
      <w:sz w:val="24"/>
    </w:rPr>
  </w:style>
  <w:style w:type="paragraph" w:customStyle="1" w:styleId="xl246">
    <w:name w:val="xl246"/>
    <w:basedOn w:val="Normal"/>
    <w:rsid w:val="006079BD"/>
    <w:pPr>
      <w:pBdr>
        <w:left w:val="single" w:sz="4" w:space="0" w:color="auto"/>
        <w:right w:val="single" w:sz="4" w:space="0" w:color="auto"/>
      </w:pBdr>
      <w:shd w:val="clear" w:color="auto" w:fill="FFFFFF"/>
      <w:spacing w:before="100" w:beforeAutospacing="1" w:after="100" w:afterAutospacing="1" w:line="240" w:lineRule="auto"/>
    </w:pPr>
    <w:rPr>
      <w:rFonts w:ascii="Calibri" w:hAnsi="Calibri" w:cs="Calibri"/>
      <w:sz w:val="24"/>
    </w:rPr>
  </w:style>
  <w:style w:type="paragraph" w:customStyle="1" w:styleId="xl247">
    <w:name w:val="xl247"/>
    <w:basedOn w:val="Normal"/>
    <w:rsid w:val="006079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hAnsi="Calibri" w:cs="Calibri"/>
      <w:sz w:val="24"/>
    </w:rPr>
  </w:style>
  <w:style w:type="paragraph" w:customStyle="1" w:styleId="xl248">
    <w:name w:val="xl248"/>
    <w:basedOn w:val="Normal"/>
    <w:rsid w:val="006079BD"/>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249">
    <w:name w:val="xl249"/>
    <w:basedOn w:val="Normal"/>
    <w:rsid w:val="006079BD"/>
    <w:pPr>
      <w:pBdr>
        <w:top w:val="single" w:sz="8" w:space="0" w:color="auto"/>
        <w:left w:val="single" w:sz="8" w:space="0" w:color="auto"/>
        <w:bottom w:val="single" w:sz="8" w:space="0" w:color="auto"/>
        <w:right w:val="single" w:sz="4" w:space="0" w:color="auto"/>
      </w:pBdr>
      <w:shd w:val="clear" w:color="auto" w:fill="DEEBF6"/>
      <w:spacing w:before="100" w:beforeAutospacing="1" w:after="100" w:afterAutospacing="1" w:line="240" w:lineRule="auto"/>
      <w:jc w:val="center"/>
    </w:pPr>
    <w:rPr>
      <w:rFonts w:ascii="Calibri" w:hAnsi="Calibri" w:cs="Calibri"/>
      <w:b/>
      <w:bCs/>
      <w:sz w:val="38"/>
      <w:szCs w:val="38"/>
    </w:rPr>
  </w:style>
  <w:style w:type="paragraph" w:customStyle="1" w:styleId="xl250">
    <w:name w:val="xl250"/>
    <w:basedOn w:val="Normal"/>
    <w:rsid w:val="006079BD"/>
    <w:pPr>
      <w:pBdr>
        <w:top w:val="single" w:sz="8" w:space="0" w:color="auto"/>
        <w:left w:val="single" w:sz="4" w:space="0" w:color="auto"/>
        <w:bottom w:val="single" w:sz="4" w:space="0" w:color="auto"/>
      </w:pBdr>
      <w:spacing w:before="100" w:beforeAutospacing="1" w:after="100" w:afterAutospacing="1" w:line="240" w:lineRule="auto"/>
    </w:pPr>
    <w:rPr>
      <w:rFonts w:ascii="Calibri" w:hAnsi="Calibri" w:cs="Calibri"/>
      <w:b/>
      <w:bCs/>
      <w:sz w:val="24"/>
    </w:rPr>
  </w:style>
  <w:style w:type="paragraph" w:customStyle="1" w:styleId="xl251">
    <w:name w:val="xl251"/>
    <w:basedOn w:val="Normal"/>
    <w:rsid w:val="006079BD"/>
    <w:pPr>
      <w:pBdr>
        <w:top w:val="single" w:sz="4" w:space="0" w:color="auto"/>
        <w:left w:val="single" w:sz="4" w:space="0" w:color="auto"/>
        <w:bottom w:val="single" w:sz="4" w:space="0" w:color="auto"/>
      </w:pBdr>
      <w:spacing w:before="100" w:beforeAutospacing="1" w:after="100" w:afterAutospacing="1" w:line="240" w:lineRule="auto"/>
    </w:pPr>
    <w:rPr>
      <w:rFonts w:ascii="Calibri" w:hAnsi="Calibri" w:cs="Calibri"/>
      <w:sz w:val="24"/>
    </w:rPr>
  </w:style>
  <w:style w:type="paragraph" w:customStyle="1" w:styleId="xl252">
    <w:name w:val="xl252"/>
    <w:basedOn w:val="Normal"/>
    <w:rsid w:val="006079BD"/>
    <w:pPr>
      <w:pBdr>
        <w:top w:val="single" w:sz="4" w:space="0" w:color="auto"/>
        <w:left w:val="single" w:sz="4" w:space="0" w:color="auto"/>
      </w:pBdr>
      <w:spacing w:before="100" w:beforeAutospacing="1" w:after="100" w:afterAutospacing="1" w:line="240" w:lineRule="auto"/>
    </w:pPr>
    <w:rPr>
      <w:rFonts w:ascii="Calibri" w:hAnsi="Calibri" w:cs="Calibri"/>
      <w:sz w:val="24"/>
    </w:rPr>
  </w:style>
  <w:style w:type="paragraph" w:customStyle="1" w:styleId="xl253">
    <w:name w:val="xl253"/>
    <w:basedOn w:val="Normal"/>
    <w:rsid w:val="006079BD"/>
    <w:pPr>
      <w:pBdr>
        <w:top w:val="single" w:sz="8" w:space="0" w:color="auto"/>
        <w:left w:val="single" w:sz="4" w:space="0" w:color="auto"/>
        <w:right w:val="single" w:sz="4" w:space="0" w:color="auto"/>
      </w:pBdr>
      <w:spacing w:before="100" w:beforeAutospacing="1" w:after="100" w:afterAutospacing="1" w:line="240" w:lineRule="auto"/>
    </w:pPr>
    <w:rPr>
      <w:rFonts w:ascii="Calibri" w:hAnsi="Calibri" w:cs="Calibri"/>
      <w:b/>
      <w:bCs/>
      <w:sz w:val="24"/>
    </w:rPr>
  </w:style>
  <w:style w:type="paragraph" w:customStyle="1" w:styleId="xl254">
    <w:name w:val="xl254"/>
    <w:basedOn w:val="Normal"/>
    <w:rsid w:val="006079BD"/>
    <w:pPr>
      <w:pBdr>
        <w:left w:val="single" w:sz="4" w:space="0" w:color="auto"/>
        <w:right w:val="single" w:sz="4" w:space="0" w:color="auto"/>
      </w:pBdr>
      <w:spacing w:before="100" w:beforeAutospacing="1" w:after="100" w:afterAutospacing="1" w:line="240" w:lineRule="auto"/>
    </w:pPr>
    <w:rPr>
      <w:rFonts w:ascii="Calibri" w:hAnsi="Calibri" w:cs="Calibri"/>
      <w:b/>
      <w:bCs/>
      <w:sz w:val="24"/>
    </w:rPr>
  </w:style>
  <w:style w:type="paragraph" w:customStyle="1" w:styleId="xl255">
    <w:name w:val="xl255"/>
    <w:basedOn w:val="Normal"/>
    <w:rsid w:val="006079BD"/>
    <w:pPr>
      <w:pBdr>
        <w:left w:val="single" w:sz="4" w:space="0" w:color="auto"/>
        <w:bottom w:val="single" w:sz="8" w:space="0" w:color="auto"/>
        <w:right w:val="single" w:sz="4" w:space="0" w:color="auto"/>
      </w:pBdr>
      <w:spacing w:before="100" w:beforeAutospacing="1" w:after="100" w:afterAutospacing="1" w:line="240" w:lineRule="auto"/>
    </w:pPr>
    <w:rPr>
      <w:rFonts w:ascii="Calibri" w:hAnsi="Calibri" w:cs="Calibri"/>
      <w:b/>
      <w:bCs/>
      <w:sz w:val="24"/>
    </w:rPr>
  </w:style>
  <w:style w:type="paragraph" w:customStyle="1" w:styleId="xl256">
    <w:name w:val="xl256"/>
    <w:basedOn w:val="Normal"/>
    <w:rsid w:val="006079BD"/>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Calibri" w:hAnsi="Calibri" w:cs="Calibri"/>
      <w:sz w:val="32"/>
      <w:szCs w:val="32"/>
    </w:rPr>
  </w:style>
  <w:style w:type="paragraph" w:customStyle="1" w:styleId="xl257">
    <w:name w:val="xl257"/>
    <w:basedOn w:val="Normal"/>
    <w:rsid w:val="006079BD"/>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Calibri" w:hAnsi="Calibri" w:cs="Calibri"/>
      <w:sz w:val="32"/>
      <w:szCs w:val="32"/>
    </w:rPr>
  </w:style>
  <w:style w:type="paragraph" w:customStyle="1" w:styleId="xl258">
    <w:name w:val="xl258"/>
    <w:basedOn w:val="Normal"/>
    <w:rsid w:val="006079BD"/>
    <w:pPr>
      <w:pBdr>
        <w:top w:val="single" w:sz="8"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pPr>
    <w:rPr>
      <w:rFonts w:ascii="Calibri" w:hAnsi="Calibri" w:cs="Calibri"/>
      <w:sz w:val="32"/>
      <w:szCs w:val="32"/>
    </w:rPr>
  </w:style>
  <w:style w:type="paragraph" w:customStyle="1" w:styleId="xl259">
    <w:name w:val="xl259"/>
    <w:basedOn w:val="Normal"/>
    <w:rsid w:val="006079BD"/>
    <w:pPr>
      <w:spacing w:before="100" w:beforeAutospacing="1" w:after="100" w:afterAutospacing="1" w:line="240" w:lineRule="auto"/>
      <w:jc w:val="center"/>
    </w:pPr>
    <w:rPr>
      <w:rFonts w:ascii="Calibri" w:hAnsi="Calibri" w:cs="Calibri"/>
      <w:b/>
      <w:bCs/>
      <w:sz w:val="48"/>
      <w:szCs w:val="48"/>
    </w:rPr>
  </w:style>
  <w:style w:type="paragraph" w:customStyle="1" w:styleId="xl260">
    <w:name w:val="xl260"/>
    <w:basedOn w:val="Normal"/>
    <w:rsid w:val="006079BD"/>
    <w:pPr>
      <w:pBdr>
        <w:top w:val="single" w:sz="8" w:space="0" w:color="auto"/>
        <w:left w:val="single" w:sz="4" w:space="0" w:color="auto"/>
        <w:right w:val="single" w:sz="4" w:space="0" w:color="auto"/>
      </w:pBdr>
      <w:spacing w:before="100" w:beforeAutospacing="1" w:after="100" w:afterAutospacing="1" w:line="240" w:lineRule="auto"/>
      <w:jc w:val="center"/>
    </w:pPr>
    <w:rPr>
      <w:rFonts w:ascii="Calibri" w:hAnsi="Calibri" w:cs="Calibri"/>
      <w:b/>
      <w:bCs/>
      <w:sz w:val="24"/>
    </w:rPr>
  </w:style>
  <w:style w:type="paragraph" w:customStyle="1" w:styleId="xl261">
    <w:name w:val="xl261"/>
    <w:basedOn w:val="Normal"/>
    <w:rsid w:val="006079BD"/>
    <w:pPr>
      <w:pBdr>
        <w:left w:val="single" w:sz="4" w:space="0" w:color="auto"/>
        <w:right w:val="single" w:sz="4" w:space="0" w:color="auto"/>
      </w:pBdr>
      <w:spacing w:before="100" w:beforeAutospacing="1" w:after="100" w:afterAutospacing="1" w:line="240" w:lineRule="auto"/>
      <w:jc w:val="center"/>
    </w:pPr>
    <w:rPr>
      <w:rFonts w:ascii="Calibri" w:hAnsi="Calibri" w:cs="Calibri"/>
      <w:b/>
      <w:bCs/>
      <w:sz w:val="24"/>
    </w:rPr>
  </w:style>
  <w:style w:type="paragraph" w:customStyle="1" w:styleId="xl262">
    <w:name w:val="xl262"/>
    <w:basedOn w:val="Normal"/>
    <w:rsid w:val="006079BD"/>
    <w:pPr>
      <w:pBdr>
        <w:left w:val="single" w:sz="4" w:space="0" w:color="auto"/>
        <w:bottom w:val="single" w:sz="8" w:space="0" w:color="auto"/>
        <w:right w:val="single" w:sz="4" w:space="0" w:color="auto"/>
      </w:pBdr>
      <w:spacing w:before="100" w:beforeAutospacing="1" w:after="100" w:afterAutospacing="1" w:line="240" w:lineRule="auto"/>
      <w:jc w:val="center"/>
    </w:pPr>
    <w:rPr>
      <w:rFonts w:ascii="Calibri" w:hAnsi="Calibri" w:cs="Calibri"/>
      <w:b/>
      <w:bCs/>
      <w:sz w:val="24"/>
    </w:rPr>
  </w:style>
  <w:style w:type="paragraph" w:customStyle="1" w:styleId="xl263">
    <w:name w:val="xl263"/>
    <w:basedOn w:val="Normal"/>
    <w:rsid w:val="006079BD"/>
    <w:pPr>
      <w:pBdr>
        <w:top w:val="single" w:sz="8" w:space="0" w:color="auto"/>
        <w:left w:val="single" w:sz="8" w:space="0" w:color="auto"/>
        <w:right w:val="single" w:sz="4" w:space="0" w:color="auto"/>
      </w:pBdr>
      <w:spacing w:before="100" w:beforeAutospacing="1" w:after="100" w:afterAutospacing="1" w:line="240" w:lineRule="auto"/>
      <w:jc w:val="center"/>
    </w:pPr>
    <w:rPr>
      <w:rFonts w:ascii="Calibri" w:hAnsi="Calibri" w:cs="Calibri"/>
      <w:sz w:val="24"/>
    </w:rPr>
  </w:style>
  <w:style w:type="paragraph" w:customStyle="1" w:styleId="xl264">
    <w:name w:val="xl264"/>
    <w:basedOn w:val="Normal"/>
    <w:rsid w:val="006079BD"/>
    <w:pPr>
      <w:pBdr>
        <w:left w:val="single" w:sz="8" w:space="0" w:color="auto"/>
        <w:bottom w:val="single" w:sz="8" w:space="0" w:color="auto"/>
        <w:right w:val="single" w:sz="4" w:space="0" w:color="auto"/>
      </w:pBdr>
      <w:spacing w:before="100" w:beforeAutospacing="1" w:after="100" w:afterAutospacing="1" w:line="240" w:lineRule="auto"/>
      <w:jc w:val="center"/>
    </w:pPr>
    <w:rPr>
      <w:rFonts w:ascii="Calibri" w:hAnsi="Calibri" w:cs="Calibri"/>
      <w:sz w:val="24"/>
    </w:rPr>
  </w:style>
  <w:style w:type="paragraph" w:customStyle="1" w:styleId="xl265">
    <w:name w:val="xl265"/>
    <w:basedOn w:val="Normal"/>
    <w:rsid w:val="006079B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Calibri" w:hAnsi="Calibri" w:cs="Calibri"/>
      <w:b/>
      <w:bCs/>
      <w:sz w:val="24"/>
    </w:rPr>
  </w:style>
  <w:style w:type="paragraph" w:customStyle="1" w:styleId="xl266">
    <w:name w:val="xl266"/>
    <w:basedOn w:val="Normal"/>
    <w:rsid w:val="006079B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Calibri" w:hAnsi="Calibri" w:cs="Calibri"/>
      <w:b/>
      <w:bCs/>
      <w:sz w:val="24"/>
    </w:rPr>
  </w:style>
  <w:style w:type="paragraph" w:customStyle="1" w:styleId="xl267">
    <w:name w:val="xl267"/>
    <w:basedOn w:val="Normal"/>
    <w:rsid w:val="006079BD"/>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Calibri" w:hAnsi="Calibri" w:cs="Calibri"/>
      <w:sz w:val="24"/>
    </w:rPr>
  </w:style>
  <w:style w:type="paragraph" w:customStyle="1" w:styleId="xl268">
    <w:name w:val="xl268"/>
    <w:basedOn w:val="Normal"/>
    <w:rsid w:val="006079BD"/>
    <w:pPr>
      <w:pBdr>
        <w:top w:val="single" w:sz="8" w:space="0" w:color="auto"/>
        <w:left w:val="single" w:sz="8" w:space="0" w:color="auto"/>
        <w:bottom w:val="single" w:sz="8" w:space="0" w:color="auto"/>
        <w:right w:val="single" w:sz="4" w:space="0" w:color="auto"/>
      </w:pBdr>
      <w:shd w:val="clear" w:color="auto" w:fill="DDEBF7"/>
      <w:spacing w:before="100" w:beforeAutospacing="1" w:after="100" w:afterAutospacing="1" w:line="240" w:lineRule="auto"/>
      <w:jc w:val="center"/>
    </w:pPr>
    <w:rPr>
      <w:rFonts w:ascii="Calibri" w:hAnsi="Calibri" w:cs="Calibri"/>
      <w:b/>
      <w:bCs/>
      <w:sz w:val="36"/>
      <w:szCs w:val="36"/>
    </w:rPr>
  </w:style>
  <w:style w:type="paragraph" w:customStyle="1" w:styleId="xl269">
    <w:name w:val="xl269"/>
    <w:basedOn w:val="Normal"/>
    <w:rsid w:val="006079BD"/>
    <w:pPr>
      <w:pBdr>
        <w:top w:val="single" w:sz="8" w:space="0" w:color="auto"/>
        <w:left w:val="single" w:sz="4" w:space="0" w:color="auto"/>
        <w:bottom w:val="single" w:sz="8" w:space="0" w:color="auto"/>
        <w:right w:val="single" w:sz="4" w:space="0" w:color="auto"/>
      </w:pBdr>
      <w:shd w:val="clear" w:color="auto" w:fill="DDEBF7"/>
      <w:spacing w:before="100" w:beforeAutospacing="1" w:after="100" w:afterAutospacing="1" w:line="240" w:lineRule="auto"/>
    </w:pPr>
    <w:rPr>
      <w:rFonts w:ascii="Calibri" w:hAnsi="Calibri" w:cs="Calibri"/>
      <w:sz w:val="24"/>
    </w:rPr>
  </w:style>
  <w:style w:type="paragraph" w:customStyle="1" w:styleId="xl270">
    <w:name w:val="xl270"/>
    <w:basedOn w:val="Normal"/>
    <w:rsid w:val="006079BD"/>
    <w:pPr>
      <w:pBdr>
        <w:top w:val="single" w:sz="8" w:space="0" w:color="auto"/>
        <w:left w:val="single" w:sz="4" w:space="0" w:color="auto"/>
        <w:bottom w:val="single" w:sz="8" w:space="0" w:color="auto"/>
        <w:right w:val="single" w:sz="8" w:space="0" w:color="auto"/>
      </w:pBdr>
      <w:shd w:val="clear" w:color="auto" w:fill="DDEBF7"/>
      <w:spacing w:before="100" w:beforeAutospacing="1" w:after="100" w:afterAutospacing="1" w:line="240" w:lineRule="auto"/>
    </w:pPr>
    <w:rPr>
      <w:rFonts w:ascii="Calibri" w:hAnsi="Calibri" w:cs="Calibri"/>
      <w:sz w:val="24"/>
    </w:rPr>
  </w:style>
  <w:style w:type="paragraph" w:customStyle="1" w:styleId="xl271">
    <w:name w:val="xl271"/>
    <w:basedOn w:val="Normal"/>
    <w:rsid w:val="006079BD"/>
    <w:pPr>
      <w:pBdr>
        <w:left w:val="single" w:sz="4" w:space="0" w:color="auto"/>
        <w:bottom w:val="single" w:sz="4" w:space="0" w:color="auto"/>
      </w:pBdr>
      <w:spacing w:before="100" w:beforeAutospacing="1" w:after="100" w:afterAutospacing="1" w:line="240" w:lineRule="auto"/>
    </w:pPr>
    <w:rPr>
      <w:rFonts w:ascii="Calibri" w:hAnsi="Calibri" w:cs="Calibr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446651">
      <w:bodyDiv w:val="1"/>
      <w:marLeft w:val="0"/>
      <w:marRight w:val="0"/>
      <w:marTop w:val="0"/>
      <w:marBottom w:val="0"/>
      <w:divBdr>
        <w:top w:val="none" w:sz="0" w:space="0" w:color="auto"/>
        <w:left w:val="none" w:sz="0" w:space="0" w:color="auto"/>
        <w:bottom w:val="none" w:sz="0" w:space="0" w:color="auto"/>
        <w:right w:val="none" w:sz="0" w:space="0" w:color="auto"/>
      </w:divBdr>
    </w:div>
    <w:div w:id="941111004">
      <w:bodyDiv w:val="1"/>
      <w:marLeft w:val="0"/>
      <w:marRight w:val="0"/>
      <w:marTop w:val="0"/>
      <w:marBottom w:val="0"/>
      <w:divBdr>
        <w:top w:val="none" w:sz="0" w:space="0" w:color="auto"/>
        <w:left w:val="none" w:sz="0" w:space="0" w:color="auto"/>
        <w:bottom w:val="none" w:sz="0" w:space="0" w:color="auto"/>
        <w:right w:val="none" w:sz="0" w:space="0" w:color="auto"/>
      </w:divBdr>
    </w:div>
    <w:div w:id="953437051">
      <w:bodyDiv w:val="1"/>
      <w:marLeft w:val="0"/>
      <w:marRight w:val="0"/>
      <w:marTop w:val="0"/>
      <w:marBottom w:val="0"/>
      <w:divBdr>
        <w:top w:val="none" w:sz="0" w:space="0" w:color="auto"/>
        <w:left w:val="none" w:sz="0" w:space="0" w:color="auto"/>
        <w:bottom w:val="none" w:sz="0" w:space="0" w:color="auto"/>
        <w:right w:val="none" w:sz="0" w:space="0" w:color="auto"/>
      </w:divBdr>
    </w:div>
    <w:div w:id="1507406759">
      <w:bodyDiv w:val="1"/>
      <w:marLeft w:val="0"/>
      <w:marRight w:val="0"/>
      <w:marTop w:val="0"/>
      <w:marBottom w:val="0"/>
      <w:divBdr>
        <w:top w:val="none" w:sz="0" w:space="0" w:color="auto"/>
        <w:left w:val="none" w:sz="0" w:space="0" w:color="auto"/>
        <w:bottom w:val="none" w:sz="0" w:space="0" w:color="auto"/>
        <w:right w:val="none" w:sz="0" w:space="0" w:color="auto"/>
      </w:divBdr>
    </w:div>
    <w:div w:id="1619869810">
      <w:bodyDiv w:val="1"/>
      <w:marLeft w:val="0"/>
      <w:marRight w:val="0"/>
      <w:marTop w:val="0"/>
      <w:marBottom w:val="0"/>
      <w:divBdr>
        <w:top w:val="none" w:sz="0" w:space="0" w:color="auto"/>
        <w:left w:val="none" w:sz="0" w:space="0" w:color="auto"/>
        <w:bottom w:val="none" w:sz="0" w:space="0" w:color="auto"/>
        <w:right w:val="none" w:sz="0" w:space="0" w:color="auto"/>
      </w:divBdr>
    </w:div>
    <w:div w:id="165251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1.wmf"/><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80.wmf"/><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image" Target="media/image13.wmf"/><Relationship Id="rId5" Type="http://schemas.openxmlformats.org/officeDocument/2006/relationships/settings" Target="settings.xml"/><Relationship Id="rId15" Type="http://schemas.openxmlformats.org/officeDocument/2006/relationships/image" Target="media/image70.emf"/><Relationship Id="rId23" Type="http://schemas.openxmlformats.org/officeDocument/2006/relationships/image" Target="media/image12.wmf"/><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90.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7.emf"/><Relationship Id="rId22" Type="http://schemas.openxmlformats.org/officeDocument/2006/relationships/image" Target="media/image110.wmf"/><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oi.org.il/en/NewsAndPublications/PressReleases/Pages/21-5-18-Competition.aspx" TargetMode="External"/><Relationship Id="rId1" Type="http://schemas.openxmlformats.org/officeDocument/2006/relationships/hyperlink" Target="https://www.oecd.org/finance/financial-markets/49497958.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4G_30\Desktop\DraftTemplatesforCoverTitlePages\Technical%20Deliverable%20Report.dotx" TargetMode="External"/></Relationships>
</file>

<file path=word/theme/theme1.xml><?xml version="1.0" encoding="utf-8"?>
<a:theme xmlns:a="http://schemas.openxmlformats.org/drawingml/2006/main" name="USAID Theme">
  <a:themeElements>
    <a:clrScheme name="USAID Palette">
      <a:dk1>
        <a:srgbClr val="000000"/>
      </a:dk1>
      <a:lt1>
        <a:srgbClr val="FFFFFF"/>
      </a:lt1>
      <a:dk2>
        <a:srgbClr val="000000"/>
      </a:dk2>
      <a:lt2>
        <a:srgbClr val="808080"/>
      </a:lt2>
      <a:accent1>
        <a:srgbClr val="002A6C"/>
      </a:accent1>
      <a:accent2>
        <a:srgbClr val="C2113A"/>
      </a:accent2>
      <a:accent3>
        <a:srgbClr val="9DBFE5"/>
      </a:accent3>
      <a:accent4>
        <a:srgbClr val="666666"/>
      </a:accent4>
      <a:accent5>
        <a:srgbClr val="DDDDDD"/>
      </a:accent5>
      <a:accent6>
        <a:srgbClr val="3C8A2E"/>
      </a:accent6>
      <a:hlink>
        <a:srgbClr val="80CCCC"/>
      </a:hlink>
      <a:folHlink>
        <a:srgbClr val="4066B2"/>
      </a:folHlink>
    </a:clrScheme>
    <a:fontScheme name="USAI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1A40F9-3D5E-4842-A019-60CE9AD93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Deliverable Report</Template>
  <TotalTime>1</TotalTime>
  <Pages>24</Pages>
  <Words>31430</Words>
  <Characters>179152</Characters>
  <Application>Microsoft Office Word</Application>
  <DocSecurity>0</DocSecurity>
  <Lines>1492</Lines>
  <Paragraphs>420</Paragraphs>
  <ScaleCrop>false</ScaleCrop>
  <HeadingPairs>
    <vt:vector size="2" baseType="variant">
      <vt:variant>
        <vt:lpstr>Title</vt:lpstr>
      </vt:variant>
      <vt:variant>
        <vt:i4>1</vt:i4>
      </vt:variant>
    </vt:vector>
  </HeadingPairs>
  <TitlesOfParts>
    <vt:vector size="1" baseType="lpstr">
      <vt:lpstr>Georgia innovation Strategy &amp; recommendations</vt:lpstr>
    </vt:vector>
  </TitlesOfParts>
  <Manager>USAID Governing for Growth (G4G) in Georgia;DELOITTE CONSULTING OVERSEAS PROJECTS LLC</Manager>
  <Company>USAID Governing for Growth (G4G) in Georgia</Company>
  <LinksUpToDate>false</LinksUpToDate>
  <CharactersWithSpaces>210162</CharactersWithSpaces>
  <SharedDoc>false</SharedDoc>
  <HLinks>
    <vt:vector size="36" baseType="variant">
      <vt:variant>
        <vt:i4>1507376</vt:i4>
      </vt:variant>
      <vt:variant>
        <vt:i4>26</vt:i4>
      </vt:variant>
      <vt:variant>
        <vt:i4>0</vt:i4>
      </vt:variant>
      <vt:variant>
        <vt:i4>5</vt:i4>
      </vt:variant>
      <vt:variant>
        <vt:lpwstr/>
      </vt:variant>
      <vt:variant>
        <vt:lpwstr>_Toc121550570</vt:lpwstr>
      </vt:variant>
      <vt:variant>
        <vt:i4>1441840</vt:i4>
      </vt:variant>
      <vt:variant>
        <vt:i4>20</vt:i4>
      </vt:variant>
      <vt:variant>
        <vt:i4>0</vt:i4>
      </vt:variant>
      <vt:variant>
        <vt:i4>5</vt:i4>
      </vt:variant>
      <vt:variant>
        <vt:lpwstr/>
      </vt:variant>
      <vt:variant>
        <vt:lpwstr>_Toc121550569</vt:lpwstr>
      </vt:variant>
      <vt:variant>
        <vt:i4>1441840</vt:i4>
      </vt:variant>
      <vt:variant>
        <vt:i4>14</vt:i4>
      </vt:variant>
      <vt:variant>
        <vt:i4>0</vt:i4>
      </vt:variant>
      <vt:variant>
        <vt:i4>5</vt:i4>
      </vt:variant>
      <vt:variant>
        <vt:lpwstr/>
      </vt:variant>
      <vt:variant>
        <vt:lpwstr>_Toc121550568</vt:lpwstr>
      </vt:variant>
      <vt:variant>
        <vt:i4>1441840</vt:i4>
      </vt:variant>
      <vt:variant>
        <vt:i4>8</vt:i4>
      </vt:variant>
      <vt:variant>
        <vt:i4>0</vt:i4>
      </vt:variant>
      <vt:variant>
        <vt:i4>5</vt:i4>
      </vt:variant>
      <vt:variant>
        <vt:lpwstr/>
      </vt:variant>
      <vt:variant>
        <vt:lpwstr>_Toc121550567</vt:lpwstr>
      </vt:variant>
      <vt:variant>
        <vt:i4>1441840</vt:i4>
      </vt:variant>
      <vt:variant>
        <vt:i4>2</vt:i4>
      </vt:variant>
      <vt:variant>
        <vt:i4>0</vt:i4>
      </vt:variant>
      <vt:variant>
        <vt:i4>5</vt:i4>
      </vt:variant>
      <vt:variant>
        <vt:lpwstr/>
      </vt:variant>
      <vt:variant>
        <vt:lpwstr>_Toc121550566</vt:lpwstr>
      </vt:variant>
      <vt:variant>
        <vt:i4>4259860</vt:i4>
      </vt:variant>
      <vt:variant>
        <vt:i4>0</vt:i4>
      </vt:variant>
      <vt:variant>
        <vt:i4>0</vt:i4>
      </vt:variant>
      <vt:variant>
        <vt:i4>5</vt:i4>
      </vt:variant>
      <vt:variant>
        <vt:lpwstr>http://www.sabeq-jordan.org/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innovation Strategy &amp; recommendations</dc:title>
  <dc:creator>G4G_30</dc:creator>
  <dc:description>DELOITTE CONSULTING OVERSEAS PROJECTS LLC</dc:description>
  <cp:lastModifiedBy>Ani Vashakmadze</cp:lastModifiedBy>
  <cp:revision>2</cp:revision>
  <cp:lastPrinted>2016-01-13T10:44:00Z</cp:lastPrinted>
  <dcterms:created xsi:type="dcterms:W3CDTF">2019-02-15T08:28:00Z</dcterms:created>
  <dcterms:modified xsi:type="dcterms:W3CDTF">2019-02-15T08:28:00Z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USAID Governing for Growth Project</vt:lpwstr>
  </property>
  <property fmtid="{D5CDD505-2E9C-101B-9397-08002B2CF9AE}" pid="3" name="Contract">
    <vt:lpwstr>AID-114-C-14-00007 </vt:lpwstr>
  </property>
  <property fmtid="{D5CDD505-2E9C-101B-9397-08002B2CF9AE}" pid="4" name="Client">
    <vt:lpwstr>USAID | Georgia</vt:lpwstr>
  </property>
</Properties>
</file>