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omments.xml" ContentType="application/vnd.openxmlformats-officedocument.wordprocessingml.comment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11F26" w14:textId="77777777" w:rsidR="00CE4B72" w:rsidRDefault="003B24B5" w:rsidP="003B24B5">
      <w:pPr>
        <w:rPr>
          <w:rFonts w:ascii="Sylfaen" w:hAnsi="Sylfaen"/>
          <w:lang w:val="ka-GE"/>
        </w:rPr>
      </w:pPr>
      <w:r>
        <w:rPr>
          <w:rFonts w:ascii="Sylfaen" w:hAnsi="Sylfaen"/>
          <w:lang w:val="ka-GE"/>
        </w:rPr>
        <w:t>საყოველთაო ჯანდაცვის პროგრამა - 5 წელი თქვენი ჯანმრთელობის სამსახურში</w:t>
      </w:r>
    </w:p>
    <w:p w14:paraId="1DF4DE88" w14:textId="77777777" w:rsidR="003B24B5" w:rsidRDefault="003B24B5" w:rsidP="003B24B5">
      <w:pPr>
        <w:pStyle w:val="ListParagraph"/>
        <w:numPr>
          <w:ilvl w:val="0"/>
          <w:numId w:val="2"/>
        </w:numPr>
        <w:rPr>
          <w:rFonts w:ascii="Sylfaen" w:hAnsi="Sylfaen"/>
          <w:lang w:val="ka-GE"/>
        </w:rPr>
      </w:pPr>
      <w:r>
        <w:rPr>
          <w:rFonts w:ascii="Sylfaen" w:hAnsi="Sylfaen"/>
          <w:lang w:val="ka-GE"/>
        </w:rPr>
        <w:t>საყოველთაო ჯანდაცვის პროგრამის მოკლე აღწერა</w:t>
      </w:r>
    </w:p>
    <w:p w14:paraId="5609C645" w14:textId="77777777" w:rsidR="003B24B5" w:rsidRPr="003B24B5" w:rsidRDefault="003B24B5" w:rsidP="003B24B5">
      <w:pPr>
        <w:pStyle w:val="ListParagraph"/>
        <w:numPr>
          <w:ilvl w:val="0"/>
          <w:numId w:val="3"/>
        </w:numPr>
        <w:rPr>
          <w:rFonts w:ascii="Sylfaen" w:hAnsi="Sylfaen"/>
          <w:lang w:val="ka-GE"/>
        </w:rPr>
      </w:pPr>
      <w:r>
        <w:rPr>
          <w:rFonts w:ascii="Sylfaen" w:eastAsia="Sylfaen" w:hAnsi="Sylfaen"/>
          <w:u w:color="FF0000"/>
          <w:lang w:val="ka-GE"/>
        </w:rPr>
        <w:t xml:space="preserve">2012 წლის ბოლოსთვის </w:t>
      </w:r>
      <w:r w:rsidRPr="00216DFF">
        <w:rPr>
          <w:rFonts w:ascii="Sylfaen" w:eastAsia="Sylfaen" w:hAnsi="Sylfaen"/>
          <w:u w:color="FF0000"/>
          <w:lang w:val="ka-GE"/>
        </w:rPr>
        <w:t>სახელმწიფო სამედიცინო დაზღვევ</w:t>
      </w:r>
      <w:r>
        <w:rPr>
          <w:rFonts w:ascii="Sylfaen" w:eastAsia="Sylfaen" w:hAnsi="Sylfaen"/>
          <w:u w:color="FF0000"/>
          <w:lang w:val="ka-GE"/>
        </w:rPr>
        <w:t>ამ მოიცვა</w:t>
      </w:r>
      <w:r w:rsidRPr="00216DFF">
        <w:rPr>
          <w:rFonts w:ascii="Sylfaen" w:eastAsia="Sylfaen" w:hAnsi="Sylfaen"/>
          <w:u w:color="FF0000"/>
          <w:lang w:val="ka-GE"/>
        </w:rPr>
        <w:t xml:space="preserve"> 1.</w:t>
      </w:r>
      <w:r>
        <w:rPr>
          <w:rFonts w:ascii="Sylfaen" w:eastAsia="Sylfaen" w:hAnsi="Sylfaen"/>
          <w:u w:color="FF0000"/>
          <w:lang w:val="ka-GE"/>
        </w:rPr>
        <w:t>6</w:t>
      </w:r>
      <w:r w:rsidRPr="00216DFF">
        <w:rPr>
          <w:rFonts w:ascii="Sylfaen" w:eastAsia="Sylfaen" w:hAnsi="Sylfaen"/>
          <w:u w:color="FF0000"/>
          <w:lang w:val="ka-GE"/>
        </w:rPr>
        <w:t xml:space="preserve"> მლნ </w:t>
      </w:r>
      <w:r>
        <w:rPr>
          <w:rFonts w:ascii="Sylfaen" w:eastAsia="Sylfaen" w:hAnsi="Sylfaen"/>
          <w:u w:color="FF0000"/>
          <w:lang w:val="ka-GE"/>
        </w:rPr>
        <w:t>ადამიანი</w:t>
      </w:r>
    </w:p>
    <w:p w14:paraId="50082E1D" w14:textId="77777777" w:rsidR="003B24B5" w:rsidRPr="003B24B5" w:rsidRDefault="003B24B5" w:rsidP="003B24B5">
      <w:pPr>
        <w:ind w:left="360"/>
        <w:rPr>
          <w:rFonts w:ascii="Sylfaen" w:hAnsi="Sylfaen"/>
          <w:lang w:val="ka-GE"/>
        </w:rPr>
      </w:pPr>
      <w:r w:rsidRPr="008344C6">
        <w:rPr>
          <w:rFonts w:ascii="Sylfaen" w:hAnsi="Sylfaen"/>
          <w:b/>
          <w:lang w:val="ka-GE"/>
        </w:rPr>
        <w:t>დაზღვევის სახელმწიფო პროგრამებით მოსარგებლე ბენეფიციართა რაოდენობა ცალკეული პროგრამის მიხედვით, 2012 წლის დეკემბერი</w:t>
      </w:r>
    </w:p>
    <w:p w14:paraId="64DE01B3" w14:textId="77777777" w:rsidR="003B24B5" w:rsidRPr="003B24B5" w:rsidRDefault="003B24B5" w:rsidP="003B24B5">
      <w:pPr>
        <w:rPr>
          <w:rFonts w:ascii="Sylfaen" w:eastAsia="Sylfaen" w:hAnsi="Sylfaen"/>
          <w:u w:color="FF0000"/>
          <w:lang w:val="ka-GE"/>
        </w:rPr>
      </w:pPr>
      <w:r>
        <w:rPr>
          <w:rFonts w:ascii="Sylfaen" w:eastAsia="Sylfaen" w:hAnsi="Sylfaen"/>
          <w:noProof/>
          <w:u w:color="FF0000"/>
        </w:rPr>
        <w:drawing>
          <wp:inline distT="0" distB="0" distL="0" distR="0" wp14:anchorId="3F8ADFD6" wp14:editId="4DB9F0AE">
            <wp:extent cx="6038491" cy="2924355"/>
            <wp:effectExtent l="0" t="0" r="1968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F410D6" w14:textId="77777777" w:rsidR="003B24B5" w:rsidRDefault="003B24B5" w:rsidP="003B24B5">
      <w:pPr>
        <w:jc w:val="both"/>
        <w:rPr>
          <w:rFonts w:ascii="Sylfaen" w:eastAsia="Sylfaen" w:hAnsi="Sylfaen"/>
          <w:u w:color="FF0000"/>
          <w:lang w:val="ka-GE"/>
        </w:rPr>
      </w:pPr>
      <w:r>
        <w:rPr>
          <w:rFonts w:ascii="Sylfaen" w:eastAsia="Sylfaen" w:hAnsi="Sylfaen"/>
          <w:u w:color="FF0000"/>
          <w:lang w:val="ka-GE"/>
        </w:rPr>
        <w:t xml:space="preserve">სოციალური მომსახურების სააგენტო: </w:t>
      </w:r>
      <w:hyperlink r:id="rId7" w:history="1">
        <w:r w:rsidRPr="00142B8E">
          <w:rPr>
            <w:rStyle w:val="Hyperlink"/>
            <w:rFonts w:ascii="Sylfaen" w:eastAsia="Sylfaen" w:hAnsi="Sylfaen"/>
            <w:u w:color="FF0000"/>
            <w:lang w:val="ka-GE"/>
          </w:rPr>
          <w:t>http://ssa.gov.ge/index.php?lang_id=GEO&amp;sec_id=750</w:t>
        </w:r>
      </w:hyperlink>
    </w:p>
    <w:p w14:paraId="3536AF4B" w14:textId="77777777" w:rsidR="003B24B5" w:rsidRDefault="003B24B5" w:rsidP="003B24B5">
      <w:pPr>
        <w:jc w:val="both"/>
        <w:rPr>
          <w:rFonts w:ascii="Sylfaen" w:eastAsia="Sylfaen" w:hAnsi="Sylfaen"/>
          <w:u w:color="FF0000"/>
          <w:lang w:val="ka-GE"/>
        </w:rPr>
      </w:pPr>
    </w:p>
    <w:p w14:paraId="0DEFAA03" w14:textId="77777777" w:rsidR="003B24B5" w:rsidRDefault="003B24B5" w:rsidP="003B24B5">
      <w:pPr>
        <w:rPr>
          <w:rFonts w:ascii="Sylfaen" w:hAnsi="Sylfaen"/>
          <w:noProof/>
          <w:lang w:val="ka-GE"/>
        </w:rPr>
      </w:pPr>
      <w:r w:rsidRPr="009B2354">
        <w:rPr>
          <w:rFonts w:ascii="Sylfaen" w:hAnsi="Sylfaen"/>
        </w:rPr>
        <w:t xml:space="preserve">2007 </w:t>
      </w:r>
      <w:proofErr w:type="spellStart"/>
      <w:r w:rsidRPr="009B2354">
        <w:rPr>
          <w:rFonts w:ascii="Sylfaen" w:hAnsi="Sylfaen"/>
        </w:rPr>
        <w:t>წელს</w:t>
      </w:r>
      <w:proofErr w:type="spellEnd"/>
      <w:r w:rsidRPr="009B2354">
        <w:rPr>
          <w:rFonts w:ascii="Sylfaen" w:hAnsi="Sylfaen"/>
        </w:rPr>
        <w:t xml:space="preserve">  </w:t>
      </w:r>
      <w:r w:rsidRPr="009B2354">
        <w:rPr>
          <w:rFonts w:ascii="Sylfaen" w:hAnsi="Sylfaen"/>
          <w:noProof/>
        </w:rPr>
        <w:t>მოსახლეობის</w:t>
      </w:r>
      <w:r w:rsidRPr="009B2354">
        <w:rPr>
          <w:rFonts w:ascii="Sylfaen" w:hAnsi="Sylfaen"/>
        </w:rPr>
        <w:t xml:space="preserve"> </w:t>
      </w:r>
      <w:proofErr w:type="spellStart"/>
      <w:r w:rsidRPr="009B2354">
        <w:rPr>
          <w:rFonts w:ascii="Sylfaen" w:hAnsi="Sylfaen"/>
        </w:rPr>
        <w:t>მხოლოდ</w:t>
      </w:r>
      <w:proofErr w:type="spellEnd"/>
      <w:r w:rsidRPr="009B2354">
        <w:rPr>
          <w:rFonts w:ascii="Sylfaen" w:hAnsi="Sylfaen"/>
        </w:rPr>
        <w:t xml:space="preserve"> 6% </w:t>
      </w:r>
      <w:proofErr w:type="spellStart"/>
      <w:r w:rsidRPr="009B2354">
        <w:rPr>
          <w:rFonts w:ascii="Sylfaen" w:hAnsi="Sylfaen"/>
        </w:rPr>
        <w:t>იყო</w:t>
      </w:r>
      <w:proofErr w:type="spellEnd"/>
      <w:r w:rsidRPr="009B2354">
        <w:rPr>
          <w:rFonts w:ascii="Sylfaen" w:hAnsi="Sylfaen"/>
        </w:rPr>
        <w:t xml:space="preserve"> </w:t>
      </w:r>
      <w:proofErr w:type="spellStart"/>
      <w:r w:rsidRPr="009B2354">
        <w:rPr>
          <w:rFonts w:ascii="Sylfaen" w:hAnsi="Sylfaen"/>
        </w:rPr>
        <w:t>მოცული</w:t>
      </w:r>
      <w:proofErr w:type="spellEnd"/>
      <w:r w:rsidRPr="009B2354">
        <w:rPr>
          <w:rFonts w:ascii="Sylfaen" w:hAnsi="Sylfaen"/>
        </w:rPr>
        <w:t xml:space="preserve"> </w:t>
      </w:r>
      <w:proofErr w:type="spellStart"/>
      <w:r w:rsidRPr="009B2354">
        <w:rPr>
          <w:rFonts w:ascii="Sylfaen" w:hAnsi="Sylfaen"/>
        </w:rPr>
        <w:t>ჯანმრთელობის</w:t>
      </w:r>
      <w:proofErr w:type="spellEnd"/>
      <w:r w:rsidRPr="009B2354">
        <w:rPr>
          <w:rFonts w:ascii="Sylfaen" w:hAnsi="Sylfaen"/>
        </w:rPr>
        <w:t xml:space="preserve"> </w:t>
      </w:r>
      <w:proofErr w:type="spellStart"/>
      <w:r w:rsidRPr="009B2354">
        <w:rPr>
          <w:rFonts w:ascii="Sylfaen" w:hAnsi="Sylfaen"/>
        </w:rPr>
        <w:t>დაზღვევის</w:t>
      </w:r>
      <w:proofErr w:type="spellEnd"/>
      <w:r w:rsidRPr="009B2354">
        <w:rPr>
          <w:rFonts w:ascii="Sylfaen" w:hAnsi="Sylfaen"/>
        </w:rPr>
        <w:t xml:space="preserve"> </w:t>
      </w:r>
      <w:r w:rsidRPr="009B2354">
        <w:rPr>
          <w:rFonts w:ascii="Sylfaen" w:hAnsi="Sylfaen"/>
          <w:noProof/>
        </w:rPr>
        <w:t>ამა თუ იმ ფორმით, ხოლო 2012 წლისთვის უკვე დაზღვეული</w:t>
      </w:r>
      <w:r>
        <w:rPr>
          <w:rFonts w:ascii="Sylfaen" w:hAnsi="Sylfaen"/>
          <w:noProof/>
        </w:rPr>
        <w:t xml:space="preserve"> </w:t>
      </w:r>
      <w:r>
        <w:rPr>
          <w:rFonts w:ascii="Sylfaen" w:hAnsi="Sylfaen"/>
          <w:noProof/>
          <w:lang w:val="ka-GE"/>
        </w:rPr>
        <w:t>იყო</w:t>
      </w:r>
      <w:r w:rsidRPr="009B2354">
        <w:rPr>
          <w:rFonts w:ascii="Sylfaen" w:hAnsi="Sylfaen"/>
          <w:noProof/>
        </w:rPr>
        <w:t xml:space="preserve"> საქართველოს ყოველი მეორე მოქალაქე და დაზღვეულთა 75% სახელმწიფო სადაზღვევო პროგრამებითაა მოცული</w:t>
      </w:r>
    </w:p>
    <w:p w14:paraId="3E59FFCB" w14:textId="77777777" w:rsidR="003B24B5" w:rsidRDefault="003B24B5" w:rsidP="003B24B5">
      <w:pPr>
        <w:rPr>
          <w:rFonts w:ascii="Sylfaen" w:hAnsi="Sylfaen"/>
          <w:lang w:val="ka-GE"/>
        </w:rPr>
      </w:pPr>
      <w:r w:rsidRPr="009B2354">
        <w:rPr>
          <w:rFonts w:ascii="Sylfaen" w:hAnsi="Sylfaen" w:cs="Calibri"/>
          <w:noProof/>
          <w:color w:val="221E1F"/>
        </w:rPr>
        <w:drawing>
          <wp:inline distT="0" distB="0" distL="0" distR="0" wp14:anchorId="7153182D" wp14:editId="1BD375CE">
            <wp:extent cx="6038491" cy="2242868"/>
            <wp:effectExtent l="0" t="0" r="19685" b="24130"/>
            <wp:docPr id="2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B6EC42" w14:textId="77777777" w:rsidR="003B24B5" w:rsidRPr="009B2354" w:rsidRDefault="003B24B5" w:rsidP="003B24B5">
      <w:pPr>
        <w:spacing w:after="0"/>
        <w:rPr>
          <w:rFonts w:ascii="Sylfaen" w:hAnsi="Sylfaen"/>
          <w:i/>
          <w:noProof/>
          <w:sz w:val="18"/>
          <w:szCs w:val="18"/>
        </w:rPr>
      </w:pPr>
      <w:r w:rsidRPr="009B2354">
        <w:rPr>
          <w:rFonts w:ascii="Sylfaen" w:hAnsi="Sylfaen"/>
          <w:i/>
          <w:noProof/>
          <w:sz w:val="18"/>
          <w:szCs w:val="18"/>
        </w:rPr>
        <w:t xml:space="preserve">სსიპ „სოციალური მომსახურების სააგენტო“, საქართველოს ეროვნული ბანკი </w:t>
      </w:r>
    </w:p>
    <w:p w14:paraId="0D926DD5" w14:textId="77777777" w:rsidR="00CB1384" w:rsidRDefault="00CB1384" w:rsidP="00CB1384">
      <w:pPr>
        <w:pStyle w:val="ListParagraph"/>
        <w:numPr>
          <w:ilvl w:val="0"/>
          <w:numId w:val="3"/>
        </w:numPr>
        <w:jc w:val="both"/>
        <w:rPr>
          <w:rFonts w:ascii="Sylfaen" w:hAnsi="Sylfaen"/>
          <w:lang w:val="ka-GE"/>
        </w:rPr>
      </w:pPr>
      <w:r w:rsidRPr="00CB1384">
        <w:rPr>
          <w:lang w:val="ka-GE"/>
        </w:rPr>
        <w:lastRenderedPageBreak/>
        <w:t xml:space="preserve">2013 </w:t>
      </w:r>
      <w:r w:rsidRPr="00CB1384">
        <w:rPr>
          <w:rFonts w:ascii="Sylfaen" w:hAnsi="Sylfaen" w:cs="Sylfaen"/>
          <w:lang w:val="ka-GE"/>
        </w:rPr>
        <w:t>წლის</w:t>
      </w:r>
      <w:r w:rsidRPr="00CB1384">
        <w:rPr>
          <w:lang w:val="ka-GE"/>
        </w:rPr>
        <w:t xml:space="preserve"> </w:t>
      </w:r>
      <w:r w:rsidRPr="00CB1384">
        <w:rPr>
          <w:rFonts w:ascii="Sylfaen" w:hAnsi="Sylfaen" w:cs="Sylfaen"/>
          <w:lang w:val="ka-GE"/>
        </w:rPr>
        <w:t>თებერვალში</w:t>
      </w:r>
      <w:r w:rsidRPr="00CB1384">
        <w:rPr>
          <w:lang w:val="ka-GE"/>
        </w:rPr>
        <w:t xml:space="preserve"> </w:t>
      </w:r>
      <w:r w:rsidRPr="00CB1384">
        <w:rPr>
          <w:rFonts w:ascii="Sylfaen" w:hAnsi="Sylfaen" w:cs="Sylfaen"/>
          <w:lang w:val="ka-GE"/>
        </w:rPr>
        <w:t>საყოველთაო</w:t>
      </w:r>
      <w:r w:rsidRPr="00CB1384">
        <w:rPr>
          <w:lang w:val="ka-GE"/>
        </w:rPr>
        <w:t xml:space="preserve"> </w:t>
      </w:r>
      <w:r w:rsidRPr="00CB1384">
        <w:rPr>
          <w:rFonts w:ascii="Sylfaen" w:hAnsi="Sylfaen" w:cs="Sylfaen"/>
          <w:lang w:val="ka-GE"/>
        </w:rPr>
        <w:t>ჯანდაცვის</w:t>
      </w:r>
      <w:r w:rsidRPr="00CB1384">
        <w:rPr>
          <w:lang w:val="ka-GE"/>
        </w:rPr>
        <w:t xml:space="preserve"> </w:t>
      </w:r>
      <w:r w:rsidRPr="00CB1384">
        <w:rPr>
          <w:rFonts w:ascii="Sylfaen" w:hAnsi="Sylfaen" w:cs="Sylfaen"/>
          <w:lang w:val="ka-GE"/>
        </w:rPr>
        <w:t>პროგრამის</w:t>
      </w:r>
      <w:r w:rsidRPr="00CB1384">
        <w:rPr>
          <w:lang w:val="ka-GE"/>
        </w:rPr>
        <w:t xml:space="preserve"> </w:t>
      </w:r>
      <w:r w:rsidRPr="00CB1384">
        <w:rPr>
          <w:rFonts w:ascii="Sylfaen" w:hAnsi="Sylfaen" w:cs="Sylfaen"/>
          <w:lang w:val="ka-GE"/>
        </w:rPr>
        <w:t>ამოქმედებამ</w:t>
      </w:r>
      <w:r w:rsidRPr="00CB1384">
        <w:rPr>
          <w:lang w:val="ka-GE"/>
        </w:rPr>
        <w:t xml:space="preserve"> </w:t>
      </w:r>
      <w:r w:rsidRPr="00CB1384">
        <w:rPr>
          <w:rFonts w:ascii="Sylfaen" w:eastAsia="Calibri" w:hAnsi="Sylfaen" w:cs="Sylfaen"/>
          <w:lang w:val="ka-GE"/>
        </w:rPr>
        <w:t>სათავე</w:t>
      </w:r>
      <w:r w:rsidRPr="00CB1384">
        <w:rPr>
          <w:rFonts w:eastAsia="Calibri" w:cstheme="minorHAnsi"/>
          <w:lang w:val="ka-GE"/>
        </w:rPr>
        <w:t xml:space="preserve"> </w:t>
      </w:r>
      <w:r w:rsidRPr="00CB1384">
        <w:rPr>
          <w:rFonts w:ascii="Sylfaen" w:eastAsia="Calibri" w:hAnsi="Sylfaen" w:cs="Sylfaen"/>
          <w:lang w:val="ka-GE"/>
        </w:rPr>
        <w:t>დაუდო</w:t>
      </w:r>
      <w:r w:rsidRPr="00CB1384">
        <w:rPr>
          <w:rFonts w:eastAsia="Calibri" w:cstheme="minorHAnsi"/>
          <w:lang w:val="ka-GE"/>
        </w:rPr>
        <w:t xml:space="preserve"> </w:t>
      </w:r>
      <w:r w:rsidRPr="00CB1384">
        <w:rPr>
          <w:rFonts w:ascii="Sylfaen" w:eastAsia="Calibri" w:hAnsi="Sylfaen" w:cs="Sylfaen"/>
          <w:lang w:val="ka-GE"/>
        </w:rPr>
        <w:t>საქართველოს</w:t>
      </w:r>
      <w:r w:rsidRPr="00CB1384">
        <w:rPr>
          <w:rFonts w:eastAsia="Calibri" w:cstheme="minorHAnsi"/>
          <w:lang w:val="ka-GE"/>
        </w:rPr>
        <w:t xml:space="preserve"> </w:t>
      </w:r>
      <w:r w:rsidRPr="00CB1384">
        <w:rPr>
          <w:rFonts w:ascii="Sylfaen" w:eastAsia="Calibri" w:hAnsi="Sylfaen" w:cs="Sylfaen"/>
          <w:lang w:val="ka-GE"/>
        </w:rPr>
        <w:t>ყველა</w:t>
      </w:r>
      <w:r w:rsidRPr="00CB1384">
        <w:rPr>
          <w:rFonts w:eastAsia="Calibri" w:cstheme="minorHAnsi"/>
          <w:lang w:val="ka-GE"/>
        </w:rPr>
        <w:t xml:space="preserve"> </w:t>
      </w:r>
      <w:r w:rsidRPr="00CB1384">
        <w:rPr>
          <w:rFonts w:ascii="Sylfaen" w:eastAsia="Calibri" w:hAnsi="Sylfaen" w:cs="Sylfaen"/>
          <w:lang w:val="ka-GE"/>
        </w:rPr>
        <w:t>მოქალაქისთვის</w:t>
      </w:r>
      <w:r w:rsidRPr="00CB1384">
        <w:rPr>
          <w:rFonts w:eastAsia="Calibri" w:cstheme="minorHAnsi"/>
          <w:lang w:val="ka-GE"/>
        </w:rPr>
        <w:t xml:space="preserve"> </w:t>
      </w:r>
      <w:r w:rsidRPr="00CB1384">
        <w:rPr>
          <w:rFonts w:ascii="Sylfaen" w:eastAsia="Calibri" w:hAnsi="Sylfaen" w:cs="Sylfaen"/>
          <w:lang w:val="ka-GE"/>
        </w:rPr>
        <w:t>სახელმწიფოს</w:t>
      </w:r>
      <w:r w:rsidRPr="00CB1384">
        <w:rPr>
          <w:rFonts w:eastAsia="Calibri" w:cstheme="minorHAnsi"/>
          <w:lang w:val="ka-GE"/>
        </w:rPr>
        <w:t xml:space="preserve"> </w:t>
      </w:r>
      <w:r w:rsidRPr="00CB1384">
        <w:rPr>
          <w:rFonts w:ascii="Sylfaen" w:eastAsia="Calibri" w:hAnsi="Sylfaen" w:cstheme="minorHAnsi"/>
          <w:lang w:val="ka-GE"/>
        </w:rPr>
        <w:t xml:space="preserve">მიერ ან წინასწარი გადახდის სქემებით </w:t>
      </w:r>
      <w:r w:rsidRPr="00CB1384">
        <w:rPr>
          <w:rFonts w:ascii="Sylfaen" w:eastAsia="Calibri" w:hAnsi="Sylfaen" w:cs="Sylfaen"/>
          <w:lang w:val="ka-GE"/>
        </w:rPr>
        <w:t>დაფინანსებული</w:t>
      </w:r>
      <w:r w:rsidRPr="00CB1384">
        <w:rPr>
          <w:rFonts w:eastAsia="Calibri" w:cstheme="minorHAnsi"/>
          <w:lang w:val="ka-GE"/>
        </w:rPr>
        <w:t xml:space="preserve"> </w:t>
      </w:r>
      <w:r w:rsidRPr="00CB1384">
        <w:rPr>
          <w:rFonts w:ascii="Sylfaen" w:eastAsia="Calibri" w:hAnsi="Sylfaen" w:cs="Sylfaen"/>
          <w:lang w:val="ka-GE"/>
        </w:rPr>
        <w:t>სამედიცინო</w:t>
      </w:r>
      <w:r w:rsidRPr="00CB1384">
        <w:rPr>
          <w:rFonts w:eastAsia="Calibri" w:cstheme="minorHAnsi"/>
          <w:lang w:val="ka-GE"/>
        </w:rPr>
        <w:t xml:space="preserve"> </w:t>
      </w:r>
      <w:r w:rsidRPr="00CB1384">
        <w:rPr>
          <w:rFonts w:ascii="Sylfaen" w:eastAsia="Calibri" w:hAnsi="Sylfaen" w:cs="Sylfaen"/>
          <w:lang w:val="ka-GE"/>
        </w:rPr>
        <w:t>მომსახურებით</w:t>
      </w:r>
      <w:r w:rsidRPr="00CB1384">
        <w:rPr>
          <w:rFonts w:eastAsia="Calibri" w:cstheme="minorHAnsi"/>
          <w:lang w:val="ka-GE"/>
        </w:rPr>
        <w:t xml:space="preserve"> </w:t>
      </w:r>
      <w:r w:rsidRPr="00CB1384">
        <w:rPr>
          <w:rFonts w:ascii="Sylfaen" w:eastAsia="Calibri" w:hAnsi="Sylfaen" w:cs="Sylfaen"/>
          <w:lang w:val="ka-GE"/>
        </w:rPr>
        <w:t>უნივერსალურ</w:t>
      </w:r>
      <w:r w:rsidRPr="00CB1384">
        <w:rPr>
          <w:rFonts w:eastAsia="Calibri" w:cstheme="minorHAnsi"/>
          <w:lang w:val="ka-GE"/>
        </w:rPr>
        <w:t xml:space="preserve"> </w:t>
      </w:r>
      <w:r w:rsidRPr="00CB1384">
        <w:rPr>
          <w:rFonts w:ascii="Sylfaen" w:eastAsia="Calibri" w:hAnsi="Sylfaen" w:cs="Sylfaen"/>
          <w:lang w:val="ka-GE"/>
        </w:rPr>
        <w:t xml:space="preserve">მოცვას </w:t>
      </w:r>
      <w:r w:rsidRPr="00CB1384">
        <w:rPr>
          <w:rFonts w:ascii="Sylfaen" w:hAnsi="Sylfaen"/>
          <w:lang w:val="ka-GE"/>
        </w:rPr>
        <w:t xml:space="preserve">(29.5% - 2010 წელს,  40% - 2012 წელს, 100% - 2014 წლისთვის (ჯანდაცვის სერვისებით სარგებლობისა და დანახარჯების კვლევა 2014)). </w:t>
      </w:r>
    </w:p>
    <w:p w14:paraId="458C2D4A" w14:textId="77777777" w:rsidR="00EA59AD" w:rsidRDefault="00EA59AD" w:rsidP="00EA59AD">
      <w:pPr>
        <w:pStyle w:val="ListParagraph"/>
        <w:jc w:val="both"/>
        <w:rPr>
          <w:rFonts w:ascii="Sylfaen" w:hAnsi="Sylfaen"/>
          <w:lang w:val="ka-GE"/>
        </w:rPr>
      </w:pPr>
    </w:p>
    <w:p w14:paraId="2DB25078" w14:textId="77777777" w:rsidR="00EA59AD" w:rsidRPr="00EA59AD" w:rsidRDefault="00EA59AD" w:rsidP="00EA59AD">
      <w:pPr>
        <w:pStyle w:val="ListParagraph"/>
        <w:numPr>
          <w:ilvl w:val="0"/>
          <w:numId w:val="3"/>
        </w:numPr>
        <w:jc w:val="both"/>
        <w:rPr>
          <w:rFonts w:ascii="Sylfaen" w:eastAsia="Times New Roman" w:hAnsi="Sylfaen"/>
          <w:lang w:val="ka-GE"/>
        </w:rPr>
      </w:pPr>
      <w:r w:rsidRPr="00EA59AD">
        <w:rPr>
          <w:rFonts w:ascii="Sylfaen" w:eastAsia="Times New Roman" w:hAnsi="Sylfaen"/>
          <w:b/>
          <w:bCs/>
          <w:lang w:val="ka-GE"/>
        </w:rPr>
        <w:t>საყოველთაო ჯანდაცვა - სოციალურად ორიენტირებული პოლიტიკური პლატფორმა</w:t>
      </w:r>
      <w:r>
        <w:rPr>
          <w:rFonts w:ascii="Sylfaen" w:eastAsia="Times New Roman" w:hAnsi="Sylfaen"/>
          <w:b/>
          <w:bCs/>
          <w:lang w:val="ka-GE"/>
        </w:rPr>
        <w:t xml:space="preserve">. </w:t>
      </w:r>
    </w:p>
    <w:p w14:paraId="2CC5C43E" w14:textId="77777777" w:rsidR="00EA59AD" w:rsidRDefault="00EA59AD" w:rsidP="00EA59AD">
      <w:pPr>
        <w:pStyle w:val="ListParagraph"/>
        <w:rPr>
          <w:rFonts w:ascii="Sylfaen" w:eastAsia="Times New Roman" w:hAnsi="Sylfaen"/>
          <w:lang w:val="ka-GE"/>
        </w:rPr>
      </w:pPr>
    </w:p>
    <w:p w14:paraId="3A063E4A" w14:textId="77777777" w:rsidR="00535C94" w:rsidRPr="00C94E04" w:rsidRDefault="00EA59AD" w:rsidP="00C94E04">
      <w:pPr>
        <w:rPr>
          <w:rFonts w:ascii="Sylfaen" w:eastAsia="Times New Roman" w:hAnsi="Sylfaen"/>
          <w:lang w:val="ka-GE"/>
        </w:rPr>
      </w:pPr>
      <w:r w:rsidRPr="00C94E04">
        <w:rPr>
          <w:rFonts w:ascii="Sylfaen" w:eastAsia="Times New Roman" w:hAnsi="Sylfaen" w:cs="Sylfaen"/>
          <w:lang w:val="ka-GE"/>
        </w:rPr>
        <w:t>ჯანდაცვის</w:t>
      </w:r>
      <w:r w:rsidRPr="00C94E04">
        <w:rPr>
          <w:rFonts w:ascii="Sylfaen" w:eastAsia="Times New Roman" w:hAnsi="Sylfaen"/>
          <w:lang w:val="ka-GE"/>
        </w:rPr>
        <w:t xml:space="preserve"> ბიუჯეტის უპრეცენდენტო ზრდა </w:t>
      </w:r>
      <w:r w:rsidR="00435AE8" w:rsidRPr="00C94E04">
        <w:rPr>
          <w:rFonts w:ascii="Sylfaen" w:eastAsia="Times New Roman" w:hAnsi="Sylfaen"/>
        </w:rPr>
        <w:t xml:space="preserve">365 </w:t>
      </w:r>
      <w:r w:rsidR="00435AE8" w:rsidRPr="00C94E04">
        <w:rPr>
          <w:rFonts w:ascii="Sylfaen" w:eastAsia="Times New Roman" w:hAnsi="Sylfaen"/>
          <w:lang w:val="ka-GE"/>
        </w:rPr>
        <w:t xml:space="preserve">მლნ. ლარი 2012 </w:t>
      </w:r>
      <w:r w:rsidR="00435AE8" w:rsidRPr="00EA59AD">
        <w:sym w:font="Wingdings" w:char="F0E0"/>
      </w:r>
      <w:r w:rsidR="00435AE8" w:rsidRPr="00C94E04">
        <w:rPr>
          <w:rFonts w:ascii="Sylfaen" w:eastAsia="Times New Roman" w:hAnsi="Sylfaen"/>
        </w:rPr>
        <w:t xml:space="preserve"> </w:t>
      </w:r>
      <w:r w:rsidRPr="00C94E04">
        <w:rPr>
          <w:rFonts w:ascii="Sylfaen" w:eastAsia="Times New Roman" w:hAnsi="Sylfaen"/>
          <w:lang w:val="ka-GE"/>
        </w:rPr>
        <w:t>10</w:t>
      </w:r>
      <w:r w:rsidR="00C94E04" w:rsidRPr="00C94E04">
        <w:rPr>
          <w:rFonts w:ascii="Sylfaen" w:eastAsia="Times New Roman" w:hAnsi="Sylfaen"/>
          <w:lang w:val="ka-GE"/>
        </w:rPr>
        <w:t>90</w:t>
      </w:r>
      <w:r w:rsidR="00435AE8" w:rsidRPr="00C94E04">
        <w:rPr>
          <w:rFonts w:ascii="Sylfaen" w:eastAsia="Times New Roman" w:hAnsi="Sylfaen"/>
        </w:rPr>
        <w:t xml:space="preserve"> </w:t>
      </w:r>
      <w:r w:rsidR="00435AE8" w:rsidRPr="00C94E04">
        <w:rPr>
          <w:rFonts w:ascii="Sylfaen" w:eastAsia="Times New Roman" w:hAnsi="Sylfaen"/>
          <w:lang w:val="ka-GE"/>
        </w:rPr>
        <w:t>მლნ. ლარი 201</w:t>
      </w:r>
      <w:r w:rsidRPr="00C94E04">
        <w:rPr>
          <w:rFonts w:ascii="Sylfaen" w:eastAsia="Times New Roman" w:hAnsi="Sylfaen"/>
          <w:lang w:val="ka-GE"/>
        </w:rPr>
        <w:t>8</w:t>
      </w:r>
      <w:r w:rsidR="00435AE8" w:rsidRPr="00C94E04">
        <w:rPr>
          <w:rFonts w:ascii="Sylfaen" w:eastAsia="Times New Roman" w:hAnsi="Sylfaen"/>
          <w:lang w:val="ka-GE"/>
        </w:rPr>
        <w:t xml:space="preserve"> </w:t>
      </w:r>
    </w:p>
    <w:p w14:paraId="1C906677" w14:textId="77777777" w:rsidR="00C94E04" w:rsidRPr="00C94E04" w:rsidRDefault="00C94E04" w:rsidP="00C94E04">
      <w:pPr>
        <w:rPr>
          <w:rFonts w:ascii="Sylfaen" w:eastAsia="Times New Roman" w:hAnsi="Sylfaen"/>
          <w:lang w:val="ka-GE"/>
        </w:rPr>
      </w:pPr>
      <w:r w:rsidRPr="00C94E04">
        <w:rPr>
          <w:rFonts w:ascii="Sylfaen" w:eastAsia="Times New Roman" w:hAnsi="Sylfaen"/>
          <w:lang w:val="ka-GE"/>
        </w:rPr>
        <w:t>2013 წლის 28 თებერვალს ამოქმედდა საყოველთაო ჯანდაცვის პროგრამა</w:t>
      </w:r>
    </w:p>
    <w:p w14:paraId="6AB7A4F1" w14:textId="77777777" w:rsidR="00EA59AD" w:rsidRPr="00C94E04" w:rsidRDefault="00EA59AD" w:rsidP="00C94E04">
      <w:pPr>
        <w:jc w:val="both"/>
        <w:rPr>
          <w:rFonts w:ascii="Sylfaen" w:eastAsia="Times New Roman" w:hAnsi="Sylfaen"/>
          <w:lang w:val="ka-GE"/>
        </w:rPr>
      </w:pPr>
      <w:r w:rsidRPr="00C94E04">
        <w:rPr>
          <w:rFonts w:ascii="Sylfaen" w:eastAsia="Times New Roman" w:hAnsi="Sylfaen"/>
          <w:lang w:val="ka-GE"/>
        </w:rPr>
        <w:t>2013 წლიდან ჯანმრთელობის დაცვის საკითხებში სახელმწიფოს კურსი მკვეთრად შეიცვალა: მიზნობრივი ჯგუფების ჯანდაცვის სერვისებით უზრუნველყოფა ჩანაცვლდა სერვისების საყოვლთაო მოცვით და თითოეული მოქალაქისათვის შექმნა ჯანდაცვის უფლებით უნივერსალური სარგებლობის ფუნდამენტი</w:t>
      </w:r>
      <w:r w:rsidRPr="00C94E04">
        <w:rPr>
          <w:rFonts w:ascii="Sylfaen" w:hAnsi="Sylfaen"/>
          <w:b/>
          <w:sz w:val="20"/>
          <w:szCs w:val="20"/>
          <w:lang w:val="ka-GE"/>
        </w:rPr>
        <w:t xml:space="preserve">. </w:t>
      </w:r>
    </w:p>
    <w:p w14:paraId="223F96DB" w14:textId="77777777" w:rsidR="00CB1384" w:rsidRDefault="00EA59AD" w:rsidP="00C94E04">
      <w:pPr>
        <w:jc w:val="both"/>
        <w:rPr>
          <w:rFonts w:ascii="Sylfaen" w:eastAsia="Sylfaen" w:hAnsi="Sylfaen"/>
          <w:lang w:val="ka-GE"/>
        </w:rPr>
      </w:pPr>
      <w:r w:rsidRPr="00EA59AD">
        <w:rPr>
          <w:rFonts w:ascii="Sylfaen" w:hAnsi="Sylfaen" w:cs="Sylfaen"/>
          <w:lang w:val="ka-GE"/>
        </w:rPr>
        <w:t>საყოველთაო</w:t>
      </w:r>
      <w:r w:rsidRPr="00EA59AD">
        <w:rPr>
          <w:rFonts w:ascii="Sylfaen" w:hAnsi="Sylfaen"/>
          <w:lang w:val="ka-GE"/>
        </w:rPr>
        <w:t xml:space="preserve"> ჯანდაცვის პროგრამის მიზანი: </w:t>
      </w:r>
      <w:proofErr w:type="spellStart"/>
      <w:r w:rsidRPr="00EA59AD">
        <w:rPr>
          <w:rFonts w:ascii="Sylfaen" w:eastAsia="Sylfaen" w:hAnsi="Sylfaen"/>
        </w:rPr>
        <w:t>საქართველოს</w:t>
      </w:r>
      <w:proofErr w:type="spellEnd"/>
      <w:r w:rsidRPr="00EA59AD">
        <w:rPr>
          <w:rFonts w:ascii="Sylfaen" w:eastAsia="Sylfaen" w:hAnsi="Sylfaen"/>
        </w:rPr>
        <w:t xml:space="preserve"> </w:t>
      </w:r>
      <w:proofErr w:type="spellStart"/>
      <w:r w:rsidRPr="00EA59AD">
        <w:rPr>
          <w:rFonts w:ascii="Sylfaen" w:eastAsia="Sylfaen" w:hAnsi="Sylfaen"/>
        </w:rPr>
        <w:t>მოსახლეობისათვის</w:t>
      </w:r>
      <w:proofErr w:type="spellEnd"/>
      <w:r w:rsidRPr="00EA59AD">
        <w:rPr>
          <w:rFonts w:ascii="Sylfaen" w:eastAsia="Sylfaen" w:hAnsi="Sylfaen"/>
        </w:rPr>
        <w:t xml:space="preserve"> </w:t>
      </w:r>
      <w:proofErr w:type="spellStart"/>
      <w:r w:rsidRPr="00EA59AD">
        <w:rPr>
          <w:rFonts w:ascii="Sylfaen" w:eastAsia="Sylfaen" w:hAnsi="Sylfaen"/>
        </w:rPr>
        <w:t>შექმნას</w:t>
      </w:r>
      <w:proofErr w:type="spellEnd"/>
      <w:r w:rsidRPr="00EA59AD">
        <w:rPr>
          <w:rFonts w:ascii="Sylfaen" w:eastAsia="Sylfaen" w:hAnsi="Sylfaen"/>
        </w:rPr>
        <w:t xml:space="preserve"> </w:t>
      </w:r>
      <w:proofErr w:type="spellStart"/>
      <w:r w:rsidRPr="00EA59AD">
        <w:rPr>
          <w:rFonts w:ascii="Sylfaen" w:eastAsia="Sylfaen" w:hAnsi="Sylfaen"/>
        </w:rPr>
        <w:t>ფინანსური</w:t>
      </w:r>
      <w:proofErr w:type="spellEnd"/>
      <w:r w:rsidRPr="00EA59AD">
        <w:rPr>
          <w:rFonts w:ascii="Sylfaen" w:eastAsia="Sylfaen" w:hAnsi="Sylfaen"/>
        </w:rPr>
        <w:t xml:space="preserve"> </w:t>
      </w:r>
      <w:proofErr w:type="spellStart"/>
      <w:r w:rsidRPr="00EA59AD">
        <w:rPr>
          <w:rFonts w:ascii="Sylfaen" w:eastAsia="Sylfaen" w:hAnsi="Sylfaen"/>
        </w:rPr>
        <w:t>უზრუნველყოფა</w:t>
      </w:r>
      <w:proofErr w:type="spellEnd"/>
      <w:r w:rsidRPr="00EA59AD">
        <w:rPr>
          <w:rFonts w:ascii="Sylfaen" w:eastAsia="Sylfaen" w:hAnsi="Sylfaen"/>
        </w:rPr>
        <w:t xml:space="preserve"> </w:t>
      </w:r>
      <w:proofErr w:type="spellStart"/>
      <w:r w:rsidRPr="00EA59AD">
        <w:rPr>
          <w:rFonts w:ascii="Sylfaen" w:eastAsia="Sylfaen" w:hAnsi="Sylfaen"/>
        </w:rPr>
        <w:t>სამედიცინო</w:t>
      </w:r>
      <w:proofErr w:type="spellEnd"/>
      <w:r w:rsidRPr="00EA59AD">
        <w:rPr>
          <w:rFonts w:ascii="Sylfaen" w:eastAsia="Sylfaen" w:hAnsi="Sylfaen"/>
        </w:rPr>
        <w:t xml:space="preserve"> </w:t>
      </w:r>
      <w:proofErr w:type="spellStart"/>
      <w:r w:rsidRPr="00EA59AD">
        <w:rPr>
          <w:rFonts w:ascii="Sylfaen" w:eastAsia="Sylfaen" w:hAnsi="Sylfaen"/>
        </w:rPr>
        <w:t>მომსახურების</w:t>
      </w:r>
      <w:proofErr w:type="spellEnd"/>
      <w:r w:rsidRPr="00EA59AD">
        <w:rPr>
          <w:rFonts w:ascii="Sylfaen" w:eastAsia="Sylfaen" w:hAnsi="Sylfaen"/>
        </w:rPr>
        <w:t xml:space="preserve"> </w:t>
      </w:r>
      <w:proofErr w:type="spellStart"/>
      <w:r w:rsidRPr="00EA59AD">
        <w:rPr>
          <w:rFonts w:ascii="Sylfaen" w:eastAsia="Sylfaen" w:hAnsi="Sylfaen"/>
        </w:rPr>
        <w:t>ხელმისაწვდომობისათვის</w:t>
      </w:r>
      <w:proofErr w:type="spellEnd"/>
    </w:p>
    <w:p w14:paraId="7C8B1936" w14:textId="77777777" w:rsidR="00C94E04" w:rsidRPr="00C94E04" w:rsidRDefault="00C94E04" w:rsidP="00C94E04">
      <w:pPr>
        <w:jc w:val="both"/>
        <w:rPr>
          <w:rFonts w:ascii="Sylfaen" w:eastAsia="Sylfaen" w:hAnsi="Sylfaen"/>
          <w:lang w:val="ka-GE"/>
        </w:rPr>
      </w:pPr>
      <w:r>
        <w:rPr>
          <w:rFonts w:ascii="Sylfaen" w:eastAsia="Sylfaen" w:hAnsi="Sylfaen"/>
          <w:lang w:val="ka-GE"/>
        </w:rPr>
        <w:t>მოსარგებლეები:</w:t>
      </w:r>
    </w:p>
    <w:p w14:paraId="7F531BA8"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საქართველოს</w:t>
      </w:r>
      <w:proofErr w:type="spellEnd"/>
      <w:r w:rsidRPr="00C94E04">
        <w:rPr>
          <w:rFonts w:ascii="Sylfaen" w:eastAsia="Sylfaen" w:hAnsi="Sylfaen"/>
        </w:rPr>
        <w:t xml:space="preserve"> </w:t>
      </w:r>
      <w:proofErr w:type="spellStart"/>
      <w:r w:rsidRPr="00C94E04">
        <w:rPr>
          <w:rFonts w:ascii="Sylfaen" w:eastAsia="Sylfaen" w:hAnsi="Sylfaen"/>
        </w:rPr>
        <w:t>მოქალაქეობის</w:t>
      </w:r>
      <w:proofErr w:type="spellEnd"/>
      <w:r w:rsidRPr="00C94E04">
        <w:rPr>
          <w:rFonts w:ascii="Sylfaen" w:eastAsia="Sylfaen" w:hAnsi="Sylfaen"/>
        </w:rPr>
        <w:t xml:space="preserve"> </w:t>
      </w:r>
      <w:proofErr w:type="spellStart"/>
      <w:r w:rsidRPr="00C94E04">
        <w:rPr>
          <w:rFonts w:ascii="Sylfaen" w:eastAsia="Sylfaen" w:hAnsi="Sylfaen"/>
        </w:rPr>
        <w:t>დამადასტურებელი</w:t>
      </w:r>
      <w:proofErr w:type="spellEnd"/>
      <w:r w:rsidRPr="00C94E04">
        <w:rPr>
          <w:rFonts w:ascii="Sylfaen" w:eastAsia="Sylfaen" w:hAnsi="Sylfaen"/>
        </w:rPr>
        <w:t xml:space="preserve"> </w:t>
      </w:r>
      <w:proofErr w:type="spellStart"/>
      <w:r w:rsidRPr="00C94E04">
        <w:rPr>
          <w:rFonts w:ascii="Sylfaen" w:eastAsia="Sylfaen" w:hAnsi="Sylfaen"/>
        </w:rPr>
        <w:t>დოკუმენტის</w:t>
      </w:r>
      <w:proofErr w:type="spellEnd"/>
      <w:r w:rsidRPr="00C94E04">
        <w:rPr>
          <w:rFonts w:ascii="Sylfaen" w:eastAsia="Sylfaen" w:hAnsi="Sylfaen"/>
          <w:lang w:val="ka-GE"/>
        </w:rPr>
        <w:t xml:space="preserve"> მქონე პირები</w:t>
      </w:r>
      <w:r w:rsidRPr="00C94E04">
        <w:rPr>
          <w:rFonts w:ascii="Sylfaen" w:eastAsia="Sylfaen" w:hAnsi="Sylfaen"/>
        </w:rPr>
        <w:t xml:space="preserve"> </w:t>
      </w:r>
    </w:p>
    <w:p w14:paraId="325903BA"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პირადობის</w:t>
      </w:r>
      <w:proofErr w:type="spellEnd"/>
      <w:r w:rsidRPr="00C94E04">
        <w:rPr>
          <w:rFonts w:ascii="Sylfaen" w:eastAsia="Sylfaen" w:hAnsi="Sylfaen"/>
        </w:rPr>
        <w:t xml:space="preserve"> </w:t>
      </w:r>
      <w:proofErr w:type="spellStart"/>
      <w:r w:rsidRPr="00C94E04">
        <w:rPr>
          <w:rFonts w:ascii="Sylfaen" w:eastAsia="Sylfaen" w:hAnsi="Sylfaen"/>
        </w:rPr>
        <w:t>ნეიტრალური</w:t>
      </w:r>
      <w:proofErr w:type="spellEnd"/>
      <w:r w:rsidRPr="00C94E04">
        <w:rPr>
          <w:rFonts w:ascii="Sylfaen" w:eastAsia="Sylfaen" w:hAnsi="Sylfaen"/>
        </w:rPr>
        <w:t xml:space="preserve"> </w:t>
      </w:r>
      <w:proofErr w:type="spellStart"/>
      <w:r w:rsidRPr="00C94E04">
        <w:rPr>
          <w:rFonts w:ascii="Sylfaen" w:eastAsia="Sylfaen" w:hAnsi="Sylfaen"/>
        </w:rPr>
        <w:t>მოწმობის</w:t>
      </w:r>
      <w:proofErr w:type="spellEnd"/>
      <w:r w:rsidRPr="00C94E04">
        <w:rPr>
          <w:rFonts w:ascii="Sylfaen" w:eastAsia="Sylfaen" w:hAnsi="Sylfaen"/>
          <w:lang w:val="ka-GE"/>
        </w:rPr>
        <w:t xml:space="preserve"> მქონე პირები</w:t>
      </w:r>
      <w:r w:rsidRPr="00C94E04">
        <w:rPr>
          <w:rFonts w:ascii="Sylfaen" w:eastAsia="Sylfaen" w:hAnsi="Sylfaen"/>
        </w:rPr>
        <w:t xml:space="preserve"> </w:t>
      </w:r>
    </w:p>
    <w:p w14:paraId="1BF0CE9D"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ნეიტრალური</w:t>
      </w:r>
      <w:proofErr w:type="spellEnd"/>
      <w:r w:rsidRPr="00C94E04">
        <w:rPr>
          <w:rFonts w:ascii="Sylfaen" w:eastAsia="Sylfaen" w:hAnsi="Sylfaen"/>
        </w:rPr>
        <w:t xml:space="preserve"> </w:t>
      </w:r>
      <w:proofErr w:type="spellStart"/>
      <w:r w:rsidRPr="00C94E04">
        <w:rPr>
          <w:rFonts w:ascii="Sylfaen" w:eastAsia="Sylfaen" w:hAnsi="Sylfaen"/>
        </w:rPr>
        <w:t>სამგზავრო</w:t>
      </w:r>
      <w:proofErr w:type="spellEnd"/>
      <w:r w:rsidRPr="00C94E04">
        <w:rPr>
          <w:rFonts w:ascii="Sylfaen" w:eastAsia="Sylfaen" w:hAnsi="Sylfaen"/>
        </w:rPr>
        <w:t xml:space="preserve"> </w:t>
      </w:r>
      <w:proofErr w:type="spellStart"/>
      <w:r w:rsidRPr="00C94E04">
        <w:rPr>
          <w:rFonts w:ascii="Sylfaen" w:eastAsia="Sylfaen" w:hAnsi="Sylfaen"/>
        </w:rPr>
        <w:t>დოკუმენტის</w:t>
      </w:r>
      <w:proofErr w:type="spellEnd"/>
      <w:r w:rsidRPr="00C94E04">
        <w:rPr>
          <w:rFonts w:ascii="Sylfaen" w:eastAsia="Sylfaen" w:hAnsi="Sylfaen"/>
        </w:rPr>
        <w:t xml:space="preserve"> </w:t>
      </w:r>
      <w:proofErr w:type="spellStart"/>
      <w:r w:rsidRPr="00C94E04">
        <w:rPr>
          <w:rFonts w:ascii="Sylfaen" w:eastAsia="Sylfaen" w:hAnsi="Sylfaen"/>
        </w:rPr>
        <w:t>მქონე</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003320ED"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საქართველოში</w:t>
      </w:r>
      <w:proofErr w:type="spellEnd"/>
      <w:r w:rsidRPr="00C94E04">
        <w:rPr>
          <w:rFonts w:ascii="Sylfaen" w:eastAsia="Sylfaen" w:hAnsi="Sylfaen"/>
        </w:rPr>
        <w:t xml:space="preserve"> </w:t>
      </w:r>
      <w:proofErr w:type="spellStart"/>
      <w:r w:rsidRPr="00C94E04">
        <w:rPr>
          <w:rFonts w:ascii="Sylfaen" w:eastAsia="Sylfaen" w:hAnsi="Sylfaen"/>
        </w:rPr>
        <w:t>სტატუსის</w:t>
      </w:r>
      <w:proofErr w:type="spellEnd"/>
      <w:r w:rsidRPr="00C94E04">
        <w:rPr>
          <w:rFonts w:ascii="Sylfaen" w:eastAsia="Sylfaen" w:hAnsi="Sylfaen"/>
        </w:rPr>
        <w:t xml:space="preserve"> </w:t>
      </w:r>
      <w:proofErr w:type="spellStart"/>
      <w:r w:rsidRPr="00C94E04">
        <w:rPr>
          <w:rFonts w:ascii="Sylfaen" w:eastAsia="Sylfaen" w:hAnsi="Sylfaen"/>
        </w:rPr>
        <w:t>მქონე</w:t>
      </w:r>
      <w:proofErr w:type="spellEnd"/>
      <w:r w:rsidRPr="00C94E04">
        <w:rPr>
          <w:rFonts w:ascii="Sylfaen" w:eastAsia="Sylfaen" w:hAnsi="Sylfaen"/>
        </w:rPr>
        <w:t xml:space="preserve"> </w:t>
      </w:r>
      <w:proofErr w:type="spellStart"/>
      <w:r w:rsidRPr="00C94E04">
        <w:rPr>
          <w:rFonts w:ascii="Sylfaen" w:eastAsia="Sylfaen" w:hAnsi="Sylfaen"/>
        </w:rPr>
        <w:t>მოქალაქეობის</w:t>
      </w:r>
      <w:proofErr w:type="spellEnd"/>
      <w:r w:rsidRPr="00C94E04">
        <w:rPr>
          <w:rFonts w:ascii="Sylfaen" w:eastAsia="Sylfaen" w:hAnsi="Sylfaen"/>
        </w:rPr>
        <w:t xml:space="preserve"> </w:t>
      </w:r>
      <w:proofErr w:type="spellStart"/>
      <w:r w:rsidRPr="00C94E04">
        <w:rPr>
          <w:rFonts w:ascii="Sylfaen" w:eastAsia="Sylfaen" w:hAnsi="Sylfaen"/>
        </w:rPr>
        <w:t>არმქონე</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4482C6F0"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საქართველოში</w:t>
      </w:r>
      <w:proofErr w:type="spellEnd"/>
      <w:r w:rsidRPr="00C94E04">
        <w:rPr>
          <w:rFonts w:ascii="Sylfaen" w:eastAsia="Sylfaen" w:hAnsi="Sylfaen"/>
        </w:rPr>
        <w:t xml:space="preserve"> </w:t>
      </w:r>
      <w:proofErr w:type="spellStart"/>
      <w:r w:rsidRPr="00C94E04">
        <w:rPr>
          <w:rFonts w:ascii="Sylfaen" w:eastAsia="Sylfaen" w:hAnsi="Sylfaen"/>
        </w:rPr>
        <w:t>თავშესაფრის</w:t>
      </w:r>
      <w:proofErr w:type="spellEnd"/>
      <w:r w:rsidRPr="00C94E04">
        <w:rPr>
          <w:rFonts w:ascii="Sylfaen" w:eastAsia="Sylfaen" w:hAnsi="Sylfaen"/>
        </w:rPr>
        <w:t xml:space="preserve"> </w:t>
      </w:r>
      <w:proofErr w:type="spellStart"/>
      <w:r w:rsidRPr="00C94E04">
        <w:rPr>
          <w:rFonts w:ascii="Sylfaen" w:eastAsia="Sylfaen" w:hAnsi="Sylfaen"/>
        </w:rPr>
        <w:t>მაძიებელი</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6816D0C9" w14:textId="77777777" w:rsidR="00535C94" w:rsidRPr="00C94E04" w:rsidRDefault="00435AE8" w:rsidP="00C94E04">
      <w:pPr>
        <w:numPr>
          <w:ilvl w:val="0"/>
          <w:numId w:val="5"/>
        </w:numPr>
        <w:jc w:val="both"/>
        <w:rPr>
          <w:rFonts w:ascii="Sylfaen" w:eastAsia="Sylfaen" w:hAnsi="Sylfaen"/>
        </w:rPr>
      </w:pPr>
      <w:proofErr w:type="spellStart"/>
      <w:r w:rsidRPr="00C94E04">
        <w:rPr>
          <w:rFonts w:ascii="Sylfaen" w:eastAsia="Sylfaen" w:hAnsi="Sylfaen"/>
        </w:rPr>
        <w:t>ლტოლვილის</w:t>
      </w:r>
      <w:proofErr w:type="spellEnd"/>
      <w:r w:rsidRPr="00C94E04">
        <w:rPr>
          <w:rFonts w:ascii="Sylfaen" w:eastAsia="Sylfaen" w:hAnsi="Sylfaen"/>
        </w:rPr>
        <w:t xml:space="preserve"> </w:t>
      </w:r>
      <w:proofErr w:type="spellStart"/>
      <w:r w:rsidRPr="00C94E04">
        <w:rPr>
          <w:rFonts w:ascii="Sylfaen" w:eastAsia="Sylfaen" w:hAnsi="Sylfaen"/>
        </w:rPr>
        <w:t>ან</w:t>
      </w:r>
      <w:proofErr w:type="spellEnd"/>
      <w:r w:rsidRPr="00C94E04">
        <w:rPr>
          <w:rFonts w:ascii="Sylfaen" w:eastAsia="Sylfaen" w:hAnsi="Sylfaen"/>
        </w:rPr>
        <w:t xml:space="preserve"> </w:t>
      </w:r>
      <w:proofErr w:type="spellStart"/>
      <w:r w:rsidRPr="00C94E04">
        <w:rPr>
          <w:rFonts w:ascii="Sylfaen" w:eastAsia="Sylfaen" w:hAnsi="Sylfaen"/>
        </w:rPr>
        <w:t>ჰუმანიტარული</w:t>
      </w:r>
      <w:proofErr w:type="spellEnd"/>
      <w:r w:rsidRPr="00C94E04">
        <w:rPr>
          <w:rFonts w:ascii="Sylfaen" w:eastAsia="Sylfaen" w:hAnsi="Sylfaen"/>
        </w:rPr>
        <w:t xml:space="preserve"> </w:t>
      </w:r>
      <w:proofErr w:type="spellStart"/>
      <w:r w:rsidRPr="00C94E04">
        <w:rPr>
          <w:rFonts w:ascii="Sylfaen" w:eastAsia="Sylfaen" w:hAnsi="Sylfaen"/>
        </w:rPr>
        <w:t>სტატუსის</w:t>
      </w:r>
      <w:proofErr w:type="spellEnd"/>
      <w:r w:rsidRPr="00C94E04">
        <w:rPr>
          <w:rFonts w:ascii="Sylfaen" w:eastAsia="Sylfaen" w:hAnsi="Sylfaen"/>
        </w:rPr>
        <w:t xml:space="preserve"> </w:t>
      </w:r>
      <w:proofErr w:type="spellStart"/>
      <w:r w:rsidRPr="00C94E04">
        <w:rPr>
          <w:rFonts w:ascii="Sylfaen" w:eastAsia="Sylfaen" w:hAnsi="Sylfaen"/>
        </w:rPr>
        <w:t>მქონე</w:t>
      </w:r>
      <w:proofErr w:type="spellEnd"/>
      <w:r w:rsidRPr="00C94E04">
        <w:rPr>
          <w:rFonts w:ascii="Sylfaen" w:eastAsia="Sylfaen" w:hAnsi="Sylfaen"/>
        </w:rPr>
        <w:t xml:space="preserve"> </w:t>
      </w:r>
      <w:proofErr w:type="spellStart"/>
      <w:r w:rsidRPr="00C94E04">
        <w:rPr>
          <w:rFonts w:ascii="Sylfaen" w:eastAsia="Sylfaen" w:hAnsi="Sylfaen"/>
        </w:rPr>
        <w:t>პირები</w:t>
      </w:r>
      <w:proofErr w:type="spellEnd"/>
    </w:p>
    <w:p w14:paraId="4E5490F3" w14:textId="77777777" w:rsidR="00C94E04" w:rsidRDefault="00C94E04" w:rsidP="00C94E04">
      <w:pPr>
        <w:jc w:val="both"/>
        <w:rPr>
          <w:rFonts w:ascii="Sylfaen" w:eastAsia="Sylfaen" w:hAnsi="Sylfaen"/>
          <w:lang w:val="ka-GE"/>
        </w:rPr>
      </w:pPr>
    </w:p>
    <w:p w14:paraId="1D49A3A1" w14:textId="77777777" w:rsidR="00AC4AE1" w:rsidRPr="006A21FC" w:rsidRDefault="00AC4AE1" w:rsidP="00AC4AE1">
      <w:pPr>
        <w:autoSpaceDE w:val="0"/>
        <w:autoSpaceDN w:val="0"/>
        <w:adjustRightInd w:val="0"/>
        <w:spacing w:before="240" w:after="240"/>
        <w:jc w:val="both"/>
        <w:rPr>
          <w:rFonts w:ascii="Sylfaen" w:eastAsia="BPGNinoMedium" w:hAnsi="Sylfaen" w:cs="Sylfaen"/>
          <w:iCs/>
          <w:color w:val="000000"/>
        </w:rPr>
      </w:pPr>
      <w:proofErr w:type="spellStart"/>
      <w:proofErr w:type="gramStart"/>
      <w:r w:rsidRPr="006A21FC">
        <w:rPr>
          <w:rFonts w:ascii="Sylfaen" w:eastAsia="BPGNinoMedium" w:hAnsi="Sylfaen" w:cs="Sylfaen"/>
          <w:iCs/>
          <w:color w:val="000000"/>
        </w:rPr>
        <w:t>საყოველთაო</w:t>
      </w:r>
      <w:proofErr w:type="spellEnd"/>
      <w:proofErr w:type="gramEnd"/>
      <w:r w:rsidRPr="006A21FC">
        <w:rPr>
          <w:rFonts w:ascii="Sylfaen" w:eastAsia="BPGNinoMedium" w:hAnsi="Sylfaen" w:cs="Sylfaen"/>
          <w:iCs/>
          <w:color w:val="000000"/>
        </w:rPr>
        <w:t xml:space="preserve"> </w:t>
      </w:r>
      <w:r>
        <w:rPr>
          <w:rFonts w:ascii="Sylfaen" w:eastAsia="BPGNinoMedium" w:hAnsi="Sylfaen" w:cs="Sylfaen"/>
          <w:iCs/>
          <w:color w:val="000000"/>
          <w:lang w:val="ka-GE"/>
        </w:rPr>
        <w:t xml:space="preserve">ჯანდაცვის </w:t>
      </w:r>
      <w:proofErr w:type="spellStart"/>
      <w:r w:rsidRPr="006A21FC">
        <w:rPr>
          <w:rFonts w:ascii="Sylfaen" w:eastAsia="BPGNinoMedium" w:hAnsi="Sylfaen" w:cs="Sylfaen"/>
          <w:iCs/>
          <w:color w:val="000000"/>
        </w:rPr>
        <w:t>პროგრამ</w:t>
      </w:r>
      <w:proofErr w:type="spellEnd"/>
      <w:r>
        <w:rPr>
          <w:rFonts w:ascii="Sylfaen" w:eastAsia="BPGNinoMedium" w:hAnsi="Sylfaen" w:cs="Sylfaen"/>
          <w:iCs/>
          <w:color w:val="000000"/>
          <w:lang w:val="ka-GE"/>
        </w:rPr>
        <w:t>ის განხორციელებაში</w:t>
      </w:r>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მონაწილეობის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მიღება</w:t>
      </w:r>
      <w:proofErr w:type="spellEnd"/>
      <w:r w:rsidRPr="006A21FC">
        <w:rPr>
          <w:rFonts w:ascii="Sylfaen" w:eastAsia="BPGNinoMedium" w:hAnsi="Sylfaen" w:cs="Sylfaen"/>
          <w:iCs/>
          <w:color w:val="000000"/>
        </w:rPr>
        <w:t xml:space="preserve"> </w:t>
      </w:r>
      <w:r>
        <w:rPr>
          <w:rFonts w:ascii="Sylfaen" w:eastAsia="BPGNinoMedium" w:hAnsi="Sylfaen" w:cs="Sylfaen"/>
          <w:iCs/>
          <w:color w:val="000000"/>
          <w:lang w:val="ka-GE"/>
        </w:rPr>
        <w:t xml:space="preserve">შეუძლია </w:t>
      </w:r>
      <w:proofErr w:type="spellStart"/>
      <w:r w:rsidRPr="006A21FC">
        <w:rPr>
          <w:rFonts w:ascii="Sylfaen" w:eastAsia="BPGNinoMedium" w:hAnsi="Sylfaen" w:cs="Sylfaen"/>
          <w:iCs/>
          <w:color w:val="000000"/>
        </w:rPr>
        <w:t>ნებისმიერ</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სამედიცინო</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დაწესებულებას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რომელიც</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აკმაყოფილებს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ამ</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საქმიანობისათვის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კანონმდებლობით</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დადგენილ</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მოთხოვნებს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გამოთქვამს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პროგრამაში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მონაწილეობის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სურვილს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ეთანხმება</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პირობებს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წერილობით</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დაუდასტურებს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სოციალური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მომსახურების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სააგენტოს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პროგრამაში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მონაწილეობის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სურვილს</w:t>
      </w:r>
      <w:proofErr w:type="spellEnd"/>
      <w:r w:rsidRPr="006A21FC">
        <w:rPr>
          <w:rFonts w:ascii="Sylfaen" w:eastAsia="BPGNinoMedium" w:hAnsi="Sylfaen" w:cs="Sylfaen"/>
          <w:iCs/>
          <w:color w:val="000000"/>
        </w:rPr>
        <w:t xml:space="preserve">. </w:t>
      </w:r>
    </w:p>
    <w:p w14:paraId="2D1719CD" w14:textId="77777777" w:rsidR="00AC4AE1" w:rsidRPr="006A21FC" w:rsidRDefault="00AC4AE1" w:rsidP="00AC4AE1">
      <w:pPr>
        <w:autoSpaceDE w:val="0"/>
        <w:autoSpaceDN w:val="0"/>
        <w:adjustRightInd w:val="0"/>
        <w:spacing w:before="240" w:after="240"/>
        <w:jc w:val="both"/>
        <w:rPr>
          <w:rFonts w:ascii="Sylfaen" w:eastAsia="BPGNinoMedium" w:hAnsi="Sylfaen" w:cs="Sylfaen"/>
          <w:iCs/>
          <w:color w:val="000000"/>
        </w:rPr>
      </w:pPr>
      <w:proofErr w:type="spellStart"/>
      <w:proofErr w:type="gramStart"/>
      <w:r w:rsidRPr="006A21FC">
        <w:rPr>
          <w:rFonts w:ascii="Sylfaen" w:eastAsia="BPGNinoMedium" w:hAnsi="Sylfaen" w:cs="Sylfaen"/>
          <w:iCs/>
          <w:color w:val="000000"/>
        </w:rPr>
        <w:t>პროგრამის</w:t>
      </w:r>
      <w:proofErr w:type="spellEnd"/>
      <w:proofErr w:type="gram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მოსარგებლეს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უფლება</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აქვს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თავად</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აირჩიოს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სამკურნალო</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დაწესებულება</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საქართველოს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მასშტაბით</w:t>
      </w:r>
      <w:proofErr w:type="spellEnd"/>
      <w:r w:rsidRPr="006A21FC">
        <w:rPr>
          <w:rFonts w:ascii="Sylfaen" w:eastAsia="BPGNinoMedium" w:hAnsi="Sylfaen" w:cs="Sylfaen"/>
          <w:iCs/>
          <w:color w:val="000000"/>
        </w:rPr>
        <w:t xml:space="preserve">. </w:t>
      </w:r>
      <w:proofErr w:type="spellStart"/>
      <w:proofErr w:type="gramStart"/>
      <w:r w:rsidRPr="006A21FC">
        <w:rPr>
          <w:rFonts w:ascii="Sylfaen" w:eastAsia="BPGNinoMedium" w:hAnsi="Sylfaen" w:cs="Sylfaen"/>
          <w:iCs/>
          <w:color w:val="000000"/>
        </w:rPr>
        <w:t>ამჟამად</w:t>
      </w:r>
      <w:proofErr w:type="spellEnd"/>
      <w:proofErr w:type="gram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პროგრამაში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ჩართულია</w:t>
      </w:r>
      <w:proofErr w:type="spellEnd"/>
      <w:r w:rsidRPr="006A21FC">
        <w:rPr>
          <w:rFonts w:ascii="Sylfaen" w:eastAsia="BPGNinoMedium" w:hAnsi="Sylfaen" w:cs="Sylfaen"/>
          <w:iCs/>
          <w:color w:val="000000"/>
        </w:rPr>
        <w:t xml:space="preserve"> 250-ზე </w:t>
      </w:r>
      <w:proofErr w:type="spellStart"/>
      <w:r w:rsidRPr="006A21FC">
        <w:rPr>
          <w:rFonts w:ascii="Sylfaen" w:eastAsia="BPGNinoMedium" w:hAnsi="Sylfaen" w:cs="Sylfaen"/>
          <w:iCs/>
          <w:color w:val="000000"/>
        </w:rPr>
        <w:t>მეტი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სტაციონარული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w:t>
      </w:r>
      <w:proofErr w:type="spellEnd"/>
      <w:r w:rsidRPr="006A21FC">
        <w:rPr>
          <w:rFonts w:ascii="Sylfaen" w:eastAsia="BPGNinoMedium" w:hAnsi="Sylfaen" w:cs="Sylfaen"/>
          <w:iCs/>
          <w:color w:val="000000"/>
        </w:rPr>
        <w:t xml:space="preserve"> 300-მდე </w:t>
      </w:r>
      <w:proofErr w:type="spellStart"/>
      <w:r w:rsidRPr="006A21FC">
        <w:rPr>
          <w:rFonts w:ascii="Sylfaen" w:eastAsia="BPGNinoMedium" w:hAnsi="Sylfaen" w:cs="Sylfaen"/>
          <w:iCs/>
          <w:color w:val="000000"/>
        </w:rPr>
        <w:t>ამბუალტორიული</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ტიპის</w:t>
      </w:r>
      <w:proofErr w:type="spellEnd"/>
      <w:r w:rsidRPr="006A21FC">
        <w:rPr>
          <w:rFonts w:ascii="Sylfaen" w:eastAsia="BPGNinoMedium" w:hAnsi="Sylfaen" w:cs="Sylfaen"/>
          <w:iCs/>
          <w:color w:val="000000"/>
        </w:rPr>
        <w:t xml:space="preserve"> </w:t>
      </w:r>
      <w:proofErr w:type="spellStart"/>
      <w:r w:rsidRPr="006A21FC">
        <w:rPr>
          <w:rFonts w:ascii="Sylfaen" w:eastAsia="BPGNinoMedium" w:hAnsi="Sylfaen" w:cs="Sylfaen"/>
          <w:iCs/>
          <w:color w:val="000000"/>
        </w:rPr>
        <w:t>დაწესებულება</w:t>
      </w:r>
      <w:proofErr w:type="spellEnd"/>
      <w:r w:rsidRPr="006A21FC">
        <w:rPr>
          <w:rFonts w:ascii="Sylfaen" w:eastAsia="BPGNinoMedium" w:hAnsi="Sylfaen" w:cs="Sylfaen"/>
          <w:iCs/>
          <w:color w:val="000000"/>
        </w:rPr>
        <w:t>.</w:t>
      </w:r>
    </w:p>
    <w:p w14:paraId="6A459DCB" w14:textId="77777777" w:rsidR="00AC4AE1" w:rsidRDefault="00AC4AE1" w:rsidP="00C94E04">
      <w:pPr>
        <w:jc w:val="both"/>
        <w:rPr>
          <w:rFonts w:ascii="Sylfaen" w:eastAsia="Sylfaen" w:hAnsi="Sylfaen"/>
          <w:lang w:val="ka-GE"/>
        </w:rPr>
      </w:pPr>
    </w:p>
    <w:p w14:paraId="0BC36A2A" w14:textId="77777777" w:rsidR="00AC4AE1" w:rsidRPr="00AC4AE1" w:rsidRDefault="00AC4AE1" w:rsidP="00AC4AE1">
      <w:pPr>
        <w:pStyle w:val="ListParagraph"/>
        <w:numPr>
          <w:ilvl w:val="0"/>
          <w:numId w:val="2"/>
        </w:numPr>
        <w:rPr>
          <w:rFonts w:ascii="Sylfaen" w:hAnsi="Sylfaen"/>
          <w:highlight w:val="yellow"/>
          <w:lang w:val="ka-GE"/>
        </w:rPr>
      </w:pPr>
      <w:r w:rsidRPr="00AC4AE1">
        <w:rPr>
          <w:rFonts w:ascii="Sylfaen" w:hAnsi="Sylfaen"/>
          <w:highlight w:val="yellow"/>
          <w:lang w:val="ka-GE"/>
        </w:rPr>
        <w:t>რა სახის ცვლილებები განიცადა პროგრამამ ქრონოლოგიურად</w:t>
      </w:r>
    </w:p>
    <w:p w14:paraId="62CC7292" w14:textId="77777777" w:rsidR="00C94E04" w:rsidRPr="00C94E04" w:rsidRDefault="00C94E04" w:rsidP="00C94E04">
      <w:pPr>
        <w:jc w:val="both"/>
        <w:rPr>
          <w:rFonts w:ascii="Sylfaen" w:eastAsia="Sylfaen" w:hAnsi="Sylfaen"/>
          <w:lang w:val="ka-GE"/>
        </w:rPr>
      </w:pPr>
      <w:r w:rsidRPr="00C94E04">
        <w:rPr>
          <w:rFonts w:ascii="Sylfaen" w:eastAsia="Sylfaen" w:hAnsi="Sylfaen"/>
          <w:b/>
          <w:bCs/>
          <w:lang w:val="ka-GE"/>
        </w:rPr>
        <w:t xml:space="preserve">საყოველთაო ჯანდაცვის </w:t>
      </w:r>
      <w:r>
        <w:rPr>
          <w:rFonts w:ascii="Sylfaen" w:eastAsia="Sylfaen" w:hAnsi="Sylfaen"/>
          <w:b/>
          <w:bCs/>
          <w:lang w:val="ka-GE"/>
        </w:rPr>
        <w:t>პროგრამის განვითარების ეტაპები:</w:t>
      </w:r>
    </w:p>
    <w:p w14:paraId="58543669" w14:textId="77777777" w:rsidR="00535C94" w:rsidRPr="00C94E04" w:rsidRDefault="00435AE8" w:rsidP="00C94E04">
      <w:pPr>
        <w:numPr>
          <w:ilvl w:val="0"/>
          <w:numId w:val="6"/>
        </w:numPr>
        <w:jc w:val="both"/>
        <w:rPr>
          <w:rFonts w:ascii="Sylfaen" w:hAnsi="Sylfaen"/>
        </w:rPr>
      </w:pPr>
      <w:r w:rsidRPr="00C94E04">
        <w:rPr>
          <w:rFonts w:ascii="Sylfaen" w:hAnsi="Sylfaen"/>
        </w:rPr>
        <w:t xml:space="preserve">I </w:t>
      </w:r>
      <w:r w:rsidRPr="00C94E04">
        <w:rPr>
          <w:rFonts w:ascii="Sylfaen" w:hAnsi="Sylfaen"/>
          <w:lang w:val="ka-GE"/>
        </w:rPr>
        <w:t>ფაზა - 2013 წლის 28 თებერვალი (მინიმალური პაკეტი)</w:t>
      </w:r>
    </w:p>
    <w:p w14:paraId="31B83F26" w14:textId="77777777" w:rsidR="00535C94" w:rsidRPr="00C94E04" w:rsidRDefault="00435AE8" w:rsidP="00C94E04">
      <w:pPr>
        <w:numPr>
          <w:ilvl w:val="1"/>
          <w:numId w:val="6"/>
        </w:numPr>
        <w:jc w:val="both"/>
        <w:rPr>
          <w:rFonts w:ascii="Sylfaen" w:hAnsi="Sylfaen"/>
        </w:rPr>
      </w:pPr>
      <w:r w:rsidRPr="00C94E04">
        <w:rPr>
          <w:rFonts w:ascii="Sylfaen" w:hAnsi="Sylfaen"/>
          <w:lang w:val="ka-GE"/>
        </w:rPr>
        <w:t>გეგმიური ამბულატორია</w:t>
      </w:r>
    </w:p>
    <w:p w14:paraId="045B68F4" w14:textId="77777777" w:rsidR="00535C94" w:rsidRPr="00C94E04" w:rsidRDefault="00435AE8" w:rsidP="00C94E04">
      <w:pPr>
        <w:numPr>
          <w:ilvl w:val="1"/>
          <w:numId w:val="6"/>
        </w:numPr>
        <w:jc w:val="both"/>
        <w:rPr>
          <w:rFonts w:ascii="Sylfaen" w:hAnsi="Sylfaen"/>
        </w:rPr>
      </w:pPr>
      <w:r w:rsidRPr="00C94E04">
        <w:rPr>
          <w:rFonts w:ascii="Sylfaen" w:hAnsi="Sylfaen"/>
          <w:lang w:val="ka-GE"/>
        </w:rPr>
        <w:t>გადაუდებელი ამბულატორია და სტაციონარი</w:t>
      </w:r>
    </w:p>
    <w:p w14:paraId="41D60B71" w14:textId="77777777" w:rsidR="00535C94" w:rsidRPr="00C94E04" w:rsidRDefault="00435AE8" w:rsidP="00C94E04">
      <w:pPr>
        <w:numPr>
          <w:ilvl w:val="0"/>
          <w:numId w:val="6"/>
        </w:numPr>
        <w:jc w:val="both"/>
        <w:rPr>
          <w:rFonts w:ascii="Sylfaen" w:hAnsi="Sylfaen"/>
        </w:rPr>
      </w:pPr>
      <w:r w:rsidRPr="00C94E04">
        <w:rPr>
          <w:rFonts w:ascii="Sylfaen" w:hAnsi="Sylfaen"/>
        </w:rPr>
        <w:t xml:space="preserve">II </w:t>
      </w:r>
      <w:r w:rsidRPr="00C94E04">
        <w:rPr>
          <w:rFonts w:ascii="Sylfaen" w:hAnsi="Sylfaen"/>
          <w:lang w:val="ka-GE"/>
        </w:rPr>
        <w:t>ფაზა - 2013 წლის 1 ივლისი (საბაზისო პაკეტი)</w:t>
      </w:r>
    </w:p>
    <w:p w14:paraId="4DBE7D69" w14:textId="05147F64" w:rsidR="00535C94" w:rsidRPr="00363969" w:rsidRDefault="00435AE8" w:rsidP="00C94E04">
      <w:pPr>
        <w:numPr>
          <w:ilvl w:val="1"/>
          <w:numId w:val="6"/>
        </w:numPr>
        <w:jc w:val="both"/>
        <w:rPr>
          <w:rFonts w:ascii="Sylfaen" w:hAnsi="Sylfaen"/>
          <w:color w:val="FF0000"/>
        </w:rPr>
      </w:pPr>
      <w:r w:rsidRPr="00363969">
        <w:rPr>
          <w:rFonts w:ascii="Sylfaen" w:hAnsi="Sylfaen"/>
          <w:lang w:val="ka-GE"/>
        </w:rPr>
        <w:t>გეგმიური ამბულატორია</w:t>
      </w:r>
      <w:r w:rsidR="00363969" w:rsidRPr="00363969">
        <w:rPr>
          <w:rFonts w:ascii="Sylfaen" w:hAnsi="Sylfaen"/>
        </w:rPr>
        <w:t xml:space="preserve">, </w:t>
      </w:r>
      <w:r w:rsidRPr="00363969">
        <w:rPr>
          <w:rFonts w:ascii="Sylfaen" w:hAnsi="Sylfaen"/>
          <w:color w:val="FF0000"/>
          <w:lang w:val="ka-GE"/>
        </w:rPr>
        <w:t>ლაბორატორიული და დიაგნოსტიკური სერვისები</w:t>
      </w:r>
    </w:p>
    <w:p w14:paraId="6E824C5A" w14:textId="77777777" w:rsidR="00363969" w:rsidRDefault="00435AE8" w:rsidP="00C94E04">
      <w:pPr>
        <w:numPr>
          <w:ilvl w:val="1"/>
          <w:numId w:val="6"/>
        </w:numPr>
        <w:jc w:val="both"/>
        <w:rPr>
          <w:rFonts w:ascii="Sylfaen" w:hAnsi="Sylfaen"/>
        </w:rPr>
      </w:pPr>
      <w:r w:rsidRPr="00C94E04">
        <w:rPr>
          <w:rFonts w:ascii="Sylfaen" w:hAnsi="Sylfaen"/>
          <w:lang w:val="ka-GE"/>
        </w:rPr>
        <w:t xml:space="preserve">გადაუდებელი ამბულატორია </w:t>
      </w:r>
    </w:p>
    <w:p w14:paraId="1FDE165D" w14:textId="502AA3EF" w:rsidR="00535C94" w:rsidRPr="00C94E04" w:rsidRDefault="00363969" w:rsidP="00C94E04">
      <w:pPr>
        <w:numPr>
          <w:ilvl w:val="1"/>
          <w:numId w:val="6"/>
        </w:numPr>
        <w:jc w:val="both"/>
        <w:rPr>
          <w:rFonts w:ascii="Sylfaen" w:hAnsi="Sylfaen"/>
        </w:rPr>
      </w:pPr>
      <w:r>
        <w:rPr>
          <w:rFonts w:ascii="Sylfaen" w:hAnsi="Sylfaen"/>
          <w:lang w:val="ka-GE"/>
        </w:rPr>
        <w:t xml:space="preserve">გადაუდებელი სტაციონარი </w:t>
      </w:r>
    </w:p>
    <w:p w14:paraId="260CB2DF" w14:textId="77777777" w:rsidR="00535C94" w:rsidRPr="00C94E04" w:rsidRDefault="00435AE8" w:rsidP="00C94E04">
      <w:pPr>
        <w:numPr>
          <w:ilvl w:val="1"/>
          <w:numId w:val="6"/>
        </w:numPr>
        <w:jc w:val="both"/>
        <w:rPr>
          <w:rFonts w:ascii="Sylfaen" w:hAnsi="Sylfaen"/>
          <w:color w:val="FF0000"/>
        </w:rPr>
      </w:pPr>
      <w:r w:rsidRPr="00C94E04">
        <w:rPr>
          <w:rFonts w:ascii="Sylfaen" w:hAnsi="Sylfaen"/>
          <w:color w:val="FF0000"/>
          <w:lang w:val="ka-GE"/>
        </w:rPr>
        <w:t>გეგმიური ქირურგია</w:t>
      </w:r>
    </w:p>
    <w:p w14:paraId="5036DA9F" w14:textId="77777777" w:rsidR="00535C94" w:rsidRPr="00C94E04" w:rsidRDefault="00435AE8" w:rsidP="00C94E04">
      <w:pPr>
        <w:numPr>
          <w:ilvl w:val="1"/>
          <w:numId w:val="6"/>
        </w:numPr>
        <w:jc w:val="both"/>
        <w:rPr>
          <w:rFonts w:ascii="Sylfaen" w:hAnsi="Sylfaen"/>
          <w:color w:val="FF0000"/>
        </w:rPr>
      </w:pPr>
      <w:r w:rsidRPr="00C94E04">
        <w:rPr>
          <w:rFonts w:ascii="Sylfaen" w:hAnsi="Sylfaen"/>
          <w:color w:val="FF0000"/>
          <w:lang w:val="ka-GE"/>
        </w:rPr>
        <w:t>ქიმიო, ჰორმონო და სხივური თერაპია</w:t>
      </w:r>
    </w:p>
    <w:p w14:paraId="636DD5C9" w14:textId="77777777" w:rsidR="00535C94" w:rsidRPr="00C94E04" w:rsidRDefault="00435AE8" w:rsidP="00C94E04">
      <w:pPr>
        <w:numPr>
          <w:ilvl w:val="1"/>
          <w:numId w:val="6"/>
        </w:numPr>
        <w:jc w:val="both"/>
        <w:rPr>
          <w:rFonts w:ascii="Sylfaen" w:hAnsi="Sylfaen"/>
          <w:color w:val="FF0000"/>
        </w:rPr>
      </w:pPr>
      <w:r w:rsidRPr="00C94E04">
        <w:rPr>
          <w:rFonts w:ascii="Sylfaen" w:hAnsi="Sylfaen"/>
          <w:color w:val="FF0000"/>
          <w:lang w:val="ka-GE"/>
        </w:rPr>
        <w:t>მშობიარობა და საკეისრო კვეთა</w:t>
      </w:r>
      <w:r w:rsidRPr="00C94E04">
        <w:rPr>
          <w:rFonts w:ascii="Sylfaen" w:hAnsi="Sylfaen"/>
          <w:color w:val="FF0000"/>
        </w:rPr>
        <w:t xml:space="preserve"> (</w:t>
      </w:r>
      <w:r w:rsidRPr="00C94E04">
        <w:rPr>
          <w:rFonts w:ascii="Sylfaen" w:hAnsi="Sylfaen"/>
          <w:color w:val="FF0000"/>
          <w:lang w:val="ka-GE"/>
        </w:rPr>
        <w:t>ყველასთვის)</w:t>
      </w:r>
    </w:p>
    <w:p w14:paraId="07AF5990" w14:textId="77777777" w:rsidR="00535C94" w:rsidRPr="00C94E04" w:rsidRDefault="00435AE8" w:rsidP="00C94E04">
      <w:pPr>
        <w:numPr>
          <w:ilvl w:val="0"/>
          <w:numId w:val="6"/>
        </w:numPr>
        <w:jc w:val="both"/>
        <w:rPr>
          <w:rFonts w:ascii="Sylfaen" w:hAnsi="Sylfaen"/>
        </w:rPr>
      </w:pPr>
      <w:r w:rsidRPr="00C94E04">
        <w:rPr>
          <w:rFonts w:ascii="Sylfaen" w:hAnsi="Sylfaen"/>
        </w:rPr>
        <w:t xml:space="preserve">III </w:t>
      </w:r>
      <w:r w:rsidRPr="00C94E04">
        <w:rPr>
          <w:rFonts w:ascii="Sylfaen" w:hAnsi="Sylfaen"/>
          <w:lang w:val="ka-GE"/>
        </w:rPr>
        <w:t>ფაზა - 2017 წლის 1 მაისი - მომსახურების სტრატიფიცირება შემოსავლების ჯგუფების მიხედვით</w:t>
      </w:r>
      <w:r w:rsidR="00C94E04">
        <w:rPr>
          <w:rFonts w:ascii="Sylfaen" w:hAnsi="Sylfaen"/>
          <w:lang w:val="ka-GE"/>
        </w:rPr>
        <w:t>:</w:t>
      </w:r>
    </w:p>
    <w:p w14:paraId="6D0B9F1C" w14:textId="4D3E5110" w:rsidR="00535C94" w:rsidRPr="00C94E04" w:rsidRDefault="00363969" w:rsidP="00C94E04">
      <w:pPr>
        <w:numPr>
          <w:ilvl w:val="0"/>
          <w:numId w:val="8"/>
        </w:numPr>
        <w:jc w:val="both"/>
        <w:rPr>
          <w:rFonts w:ascii="Sylfaen" w:hAnsi="Sylfaen"/>
        </w:rPr>
      </w:pPr>
      <w:r>
        <w:rPr>
          <w:rFonts w:ascii="Sylfaen" w:hAnsi="Sylfaen"/>
          <w:lang w:val="ka-GE"/>
        </w:rPr>
        <w:t>სიღარიბის ზღვარს ქვემოთ მყოფი მოსახლეობა</w:t>
      </w:r>
      <w:r w:rsidR="00435AE8" w:rsidRPr="00C94E04">
        <w:rPr>
          <w:rFonts w:ascii="Sylfaen" w:hAnsi="Sylfaen"/>
          <w:lang w:val="ka-GE"/>
        </w:rPr>
        <w:t>, პედაგოგები, სახალხო არტისტები, მინდობით აღზრდაში მყოფი ბავშვები, კომპაქტურად ჩასახლებული დევნილები (მიზნობრივი ჯგუფი)</w:t>
      </w:r>
    </w:p>
    <w:p w14:paraId="71E3DF0B" w14:textId="77777777" w:rsidR="00535C94" w:rsidRPr="00C94E04" w:rsidRDefault="00435AE8" w:rsidP="00C94E04">
      <w:pPr>
        <w:numPr>
          <w:ilvl w:val="0"/>
          <w:numId w:val="8"/>
        </w:numPr>
        <w:jc w:val="both"/>
        <w:rPr>
          <w:rFonts w:ascii="Sylfaen" w:hAnsi="Sylfaen"/>
        </w:rPr>
      </w:pPr>
      <w:r w:rsidRPr="00C94E04">
        <w:rPr>
          <w:rFonts w:ascii="Sylfaen" w:hAnsi="Sylfaen"/>
          <w:lang w:val="ka-GE"/>
        </w:rPr>
        <w:t>საპენსიო ასაკის მოსახლეობა, 0-5 წწ. ბავშვები, სტუდენტები, შშმ პირები (ასაკობრივი ჯგუფი)</w:t>
      </w:r>
    </w:p>
    <w:p w14:paraId="4DF09C29" w14:textId="77777777" w:rsidR="00535C94" w:rsidRPr="00C94E04" w:rsidRDefault="00435AE8" w:rsidP="00C94E04">
      <w:pPr>
        <w:numPr>
          <w:ilvl w:val="0"/>
          <w:numId w:val="8"/>
        </w:numPr>
        <w:jc w:val="both"/>
        <w:rPr>
          <w:rFonts w:ascii="Sylfaen" w:hAnsi="Sylfaen"/>
        </w:rPr>
      </w:pPr>
      <w:r w:rsidRPr="00C94E04">
        <w:rPr>
          <w:rFonts w:ascii="Sylfaen" w:hAnsi="Sylfaen"/>
          <w:lang w:val="ka-GE"/>
        </w:rPr>
        <w:t>დაუზღვეველი ვეტერანები - (ვეტერანები)</w:t>
      </w:r>
    </w:p>
    <w:p w14:paraId="22A3B1C7" w14:textId="77777777" w:rsidR="00535C94" w:rsidRPr="00C94E04" w:rsidRDefault="00435AE8" w:rsidP="00C94E04">
      <w:pPr>
        <w:numPr>
          <w:ilvl w:val="0"/>
          <w:numId w:val="8"/>
        </w:numPr>
        <w:jc w:val="both"/>
        <w:rPr>
          <w:rFonts w:ascii="Sylfaen" w:hAnsi="Sylfaen"/>
        </w:rPr>
      </w:pPr>
      <w:r w:rsidRPr="00C94E04">
        <w:rPr>
          <w:rFonts w:ascii="Sylfaen" w:hAnsi="Sylfaen"/>
          <w:lang w:val="ka-GE"/>
        </w:rPr>
        <w:t xml:space="preserve">მოსახლეობის დარჩენილი ნაწილი: </w:t>
      </w:r>
    </w:p>
    <w:p w14:paraId="7CE7F3CF" w14:textId="6D78C584" w:rsidR="00535C94" w:rsidRPr="00C94E04" w:rsidRDefault="00435AE8" w:rsidP="00C94E04">
      <w:pPr>
        <w:numPr>
          <w:ilvl w:val="0"/>
          <w:numId w:val="8"/>
        </w:numPr>
        <w:jc w:val="both"/>
        <w:rPr>
          <w:rFonts w:ascii="Sylfaen" w:hAnsi="Sylfaen"/>
        </w:rPr>
      </w:pPr>
      <w:r w:rsidRPr="00C94E04">
        <w:rPr>
          <w:rFonts w:ascii="Sylfaen" w:hAnsi="Sylfaen"/>
        </w:rPr>
        <w:t xml:space="preserve">70,000-100,000 </w:t>
      </w:r>
      <w:proofErr w:type="spellStart"/>
      <w:r w:rsidRPr="00C94E04">
        <w:rPr>
          <w:rFonts w:ascii="Sylfaen" w:hAnsi="Sylfaen"/>
        </w:rPr>
        <w:t>ქულის</w:t>
      </w:r>
      <w:proofErr w:type="spellEnd"/>
      <w:r w:rsidRPr="00C94E04">
        <w:rPr>
          <w:rFonts w:ascii="Sylfaen" w:hAnsi="Sylfaen"/>
        </w:rPr>
        <w:t xml:space="preserve"> </w:t>
      </w:r>
      <w:proofErr w:type="spellStart"/>
      <w:r w:rsidRPr="00C94E04">
        <w:rPr>
          <w:rFonts w:ascii="Sylfaen" w:hAnsi="Sylfaen"/>
        </w:rPr>
        <w:t>მქონე</w:t>
      </w:r>
      <w:proofErr w:type="spellEnd"/>
      <w:r w:rsidRPr="00C94E04">
        <w:rPr>
          <w:rFonts w:ascii="Sylfaen" w:hAnsi="Sylfaen"/>
        </w:rPr>
        <w:t xml:space="preserve"> </w:t>
      </w:r>
      <w:proofErr w:type="spellStart"/>
      <w:r w:rsidRPr="00C94E04">
        <w:rPr>
          <w:rFonts w:ascii="Sylfaen" w:hAnsi="Sylfaen"/>
        </w:rPr>
        <w:t>პირი</w:t>
      </w:r>
      <w:proofErr w:type="spellEnd"/>
    </w:p>
    <w:p w14:paraId="69814834" w14:textId="77777777" w:rsidR="00535C94" w:rsidRPr="00C94E04" w:rsidRDefault="00435AE8" w:rsidP="00C94E04">
      <w:pPr>
        <w:numPr>
          <w:ilvl w:val="0"/>
          <w:numId w:val="8"/>
        </w:numPr>
        <w:jc w:val="both"/>
        <w:rPr>
          <w:rFonts w:ascii="Sylfaen" w:hAnsi="Sylfaen"/>
        </w:rPr>
      </w:pPr>
      <w:r w:rsidRPr="00C94E04">
        <w:rPr>
          <w:rFonts w:ascii="Sylfaen" w:hAnsi="Sylfaen"/>
        </w:rPr>
        <w:t xml:space="preserve">6-18 წ. </w:t>
      </w:r>
      <w:proofErr w:type="spellStart"/>
      <w:r w:rsidRPr="00C94E04">
        <w:rPr>
          <w:rFonts w:ascii="Sylfaen" w:hAnsi="Sylfaen"/>
        </w:rPr>
        <w:t>მოზარდ</w:t>
      </w:r>
      <w:proofErr w:type="spellEnd"/>
      <w:r w:rsidRPr="00C94E04">
        <w:rPr>
          <w:rFonts w:ascii="Sylfaen" w:hAnsi="Sylfaen"/>
          <w:lang w:val="ka-GE"/>
        </w:rPr>
        <w:t>ები</w:t>
      </w:r>
    </w:p>
    <w:p w14:paraId="1FBBE469" w14:textId="77777777" w:rsidR="00C94E04" w:rsidRPr="00C94E04" w:rsidRDefault="00C94E04" w:rsidP="00C94E04">
      <w:pPr>
        <w:numPr>
          <w:ilvl w:val="0"/>
          <w:numId w:val="8"/>
        </w:numPr>
        <w:jc w:val="both"/>
        <w:rPr>
          <w:rFonts w:ascii="Sylfaen" w:hAnsi="Sylfaen"/>
        </w:rPr>
      </w:pPr>
      <w:proofErr w:type="spellStart"/>
      <w:r w:rsidRPr="00C94E04">
        <w:rPr>
          <w:rFonts w:ascii="Sylfaen" w:hAnsi="Sylfaen"/>
        </w:rPr>
        <w:t>თვიური</w:t>
      </w:r>
      <w:proofErr w:type="spellEnd"/>
      <w:r w:rsidRPr="00C94E04">
        <w:rPr>
          <w:rFonts w:ascii="Sylfaen" w:hAnsi="Sylfaen"/>
        </w:rPr>
        <w:t xml:space="preserve"> </w:t>
      </w:r>
      <w:r w:rsidRPr="00C94E04">
        <w:rPr>
          <w:rFonts w:ascii="Sylfaen" w:hAnsi="Sylfaen"/>
          <w:lang w:val="ka-GE"/>
        </w:rPr>
        <w:t xml:space="preserve"> შემოსავალი </w:t>
      </w:r>
      <w:r w:rsidRPr="00C94E04">
        <w:rPr>
          <w:rFonts w:ascii="Sylfaen" w:hAnsi="Sylfaen"/>
        </w:rPr>
        <w:t xml:space="preserve">&lt; 1000 </w:t>
      </w:r>
      <w:proofErr w:type="spellStart"/>
      <w:r w:rsidRPr="00C94E04">
        <w:rPr>
          <w:rFonts w:ascii="Sylfaen" w:hAnsi="Sylfaen"/>
        </w:rPr>
        <w:t>ლარ</w:t>
      </w:r>
      <w:proofErr w:type="spellEnd"/>
      <w:r w:rsidRPr="00C94E04">
        <w:rPr>
          <w:rFonts w:ascii="Sylfaen" w:hAnsi="Sylfaen"/>
          <w:lang w:val="ka-GE"/>
        </w:rPr>
        <w:t>ზე</w:t>
      </w:r>
      <w:r w:rsidRPr="00C94E04">
        <w:rPr>
          <w:rFonts w:ascii="Sylfaen" w:hAnsi="Sylfaen"/>
        </w:rPr>
        <w:t xml:space="preserve"> </w:t>
      </w:r>
    </w:p>
    <w:p w14:paraId="06364ABE" w14:textId="77777777" w:rsidR="00C94E04" w:rsidRPr="00C94E04" w:rsidRDefault="00435AE8" w:rsidP="00C94E04">
      <w:pPr>
        <w:numPr>
          <w:ilvl w:val="0"/>
          <w:numId w:val="8"/>
        </w:numPr>
        <w:jc w:val="both"/>
        <w:rPr>
          <w:rFonts w:ascii="Sylfaen" w:hAnsi="Sylfaen"/>
        </w:rPr>
      </w:pPr>
      <w:proofErr w:type="spellStart"/>
      <w:r w:rsidRPr="00C94E04">
        <w:rPr>
          <w:rFonts w:ascii="Sylfaen" w:hAnsi="Sylfaen"/>
        </w:rPr>
        <w:t>შემოსავალი</w:t>
      </w:r>
      <w:proofErr w:type="spellEnd"/>
      <w:r w:rsidRPr="00C94E04">
        <w:rPr>
          <w:rFonts w:ascii="Sylfaen" w:hAnsi="Sylfaen"/>
        </w:rPr>
        <w:t xml:space="preserve"> </w:t>
      </w:r>
      <w:proofErr w:type="spellStart"/>
      <w:r w:rsidRPr="00C94E04">
        <w:rPr>
          <w:rFonts w:ascii="Sylfaen" w:hAnsi="Sylfaen"/>
        </w:rPr>
        <w:t>წელიწადში</w:t>
      </w:r>
      <w:proofErr w:type="spellEnd"/>
      <w:r w:rsidRPr="00C94E04">
        <w:rPr>
          <w:rFonts w:ascii="Sylfaen" w:hAnsi="Sylfaen"/>
        </w:rPr>
        <w:t xml:space="preserve"> &lt;40,000 </w:t>
      </w:r>
      <w:proofErr w:type="spellStart"/>
      <w:r w:rsidRPr="00C94E04">
        <w:rPr>
          <w:rFonts w:ascii="Sylfaen" w:hAnsi="Sylfaen"/>
        </w:rPr>
        <w:t>ლარზე</w:t>
      </w:r>
      <w:proofErr w:type="spellEnd"/>
      <w:r w:rsidRPr="00C94E04">
        <w:rPr>
          <w:rFonts w:ascii="Sylfaen" w:hAnsi="Sylfaen"/>
        </w:rPr>
        <w:t xml:space="preserve"> </w:t>
      </w:r>
      <w:proofErr w:type="spellStart"/>
      <w:r w:rsidRPr="00C94E04">
        <w:rPr>
          <w:rFonts w:ascii="Sylfaen" w:hAnsi="Sylfaen"/>
        </w:rPr>
        <w:t>და</w:t>
      </w:r>
      <w:proofErr w:type="spellEnd"/>
      <w:r w:rsidRPr="00C94E04">
        <w:rPr>
          <w:rFonts w:ascii="Sylfaen" w:hAnsi="Sylfaen"/>
        </w:rPr>
        <w:t xml:space="preserve"> </w:t>
      </w:r>
      <w:proofErr w:type="spellStart"/>
      <w:r w:rsidRPr="00C94E04">
        <w:rPr>
          <w:rFonts w:ascii="Sylfaen" w:hAnsi="Sylfaen"/>
        </w:rPr>
        <w:t>თვიური</w:t>
      </w:r>
      <w:proofErr w:type="spellEnd"/>
      <w:r w:rsidRPr="00C94E04">
        <w:rPr>
          <w:rFonts w:ascii="Sylfaen" w:hAnsi="Sylfaen"/>
        </w:rPr>
        <w:t xml:space="preserve"> </w:t>
      </w:r>
      <w:r w:rsidRPr="00C94E04">
        <w:rPr>
          <w:rFonts w:ascii="Sylfaen" w:hAnsi="Sylfaen"/>
          <w:lang w:val="ka-GE"/>
        </w:rPr>
        <w:t xml:space="preserve">შემოსავალი </w:t>
      </w:r>
      <w:r w:rsidRPr="00C94E04">
        <w:rPr>
          <w:rFonts w:ascii="Sylfaen" w:hAnsi="Sylfaen"/>
        </w:rPr>
        <w:t xml:space="preserve">≥ </w:t>
      </w:r>
      <w:r w:rsidRPr="00C94E04">
        <w:rPr>
          <w:rFonts w:ascii="Sylfaen" w:hAnsi="Sylfaen"/>
          <w:lang w:val="ka-GE"/>
        </w:rPr>
        <w:t>1</w:t>
      </w:r>
      <w:r w:rsidRPr="00C94E04">
        <w:rPr>
          <w:rFonts w:ascii="Sylfaen" w:hAnsi="Sylfaen"/>
        </w:rPr>
        <w:t xml:space="preserve">000 </w:t>
      </w:r>
      <w:proofErr w:type="spellStart"/>
      <w:r w:rsidRPr="00C94E04">
        <w:rPr>
          <w:rFonts w:ascii="Sylfaen" w:hAnsi="Sylfaen"/>
        </w:rPr>
        <w:t>ლარ</w:t>
      </w:r>
      <w:proofErr w:type="spellEnd"/>
      <w:r w:rsidRPr="00C94E04">
        <w:rPr>
          <w:rFonts w:ascii="Sylfaen" w:hAnsi="Sylfaen"/>
          <w:lang w:val="ka-GE"/>
        </w:rPr>
        <w:t>ზე</w:t>
      </w:r>
    </w:p>
    <w:p w14:paraId="6BDE1025" w14:textId="77777777" w:rsidR="00C94E04" w:rsidRPr="00C94E04" w:rsidRDefault="00C94E04" w:rsidP="00C94E04">
      <w:pPr>
        <w:numPr>
          <w:ilvl w:val="0"/>
          <w:numId w:val="8"/>
        </w:numPr>
        <w:jc w:val="both"/>
        <w:rPr>
          <w:rFonts w:ascii="Sylfaen" w:hAnsi="Sylfaen"/>
        </w:rPr>
      </w:pPr>
      <w:proofErr w:type="spellStart"/>
      <w:r w:rsidRPr="00C94E04">
        <w:rPr>
          <w:rFonts w:ascii="Sylfaen" w:hAnsi="Sylfaen"/>
        </w:rPr>
        <w:t>შემოსავალი</w:t>
      </w:r>
      <w:proofErr w:type="spellEnd"/>
      <w:r w:rsidRPr="00C94E04">
        <w:rPr>
          <w:rFonts w:ascii="Sylfaen" w:hAnsi="Sylfaen"/>
        </w:rPr>
        <w:t xml:space="preserve"> </w:t>
      </w:r>
      <w:proofErr w:type="spellStart"/>
      <w:r w:rsidRPr="00C94E04">
        <w:rPr>
          <w:rFonts w:ascii="Sylfaen" w:hAnsi="Sylfaen"/>
        </w:rPr>
        <w:t>წელიწადში</w:t>
      </w:r>
      <w:proofErr w:type="spellEnd"/>
      <w:r w:rsidRPr="00C94E04">
        <w:rPr>
          <w:rFonts w:ascii="Sylfaen" w:hAnsi="Sylfaen"/>
        </w:rPr>
        <w:t xml:space="preserve"> &gt;40,000 </w:t>
      </w:r>
      <w:proofErr w:type="spellStart"/>
      <w:r w:rsidRPr="00C94E04">
        <w:rPr>
          <w:rFonts w:ascii="Sylfaen" w:hAnsi="Sylfaen"/>
        </w:rPr>
        <w:t>ლარზე</w:t>
      </w:r>
      <w:proofErr w:type="spellEnd"/>
      <w:r w:rsidRPr="00C94E04">
        <w:rPr>
          <w:rFonts w:ascii="Sylfaen" w:hAnsi="Sylfaen"/>
        </w:rPr>
        <w:t xml:space="preserve"> (</w:t>
      </w:r>
      <w:proofErr w:type="spellStart"/>
      <w:r w:rsidRPr="00C94E04">
        <w:rPr>
          <w:rFonts w:ascii="Sylfaen" w:hAnsi="Sylfaen"/>
        </w:rPr>
        <w:t>გარდა</w:t>
      </w:r>
      <w:proofErr w:type="spellEnd"/>
      <w:r w:rsidRPr="00C94E04">
        <w:rPr>
          <w:rFonts w:ascii="Sylfaen" w:hAnsi="Sylfaen"/>
        </w:rPr>
        <w:t xml:space="preserve"> </w:t>
      </w:r>
      <w:proofErr w:type="spellStart"/>
      <w:r w:rsidRPr="00C94E04">
        <w:rPr>
          <w:rFonts w:ascii="Sylfaen" w:hAnsi="Sylfaen"/>
        </w:rPr>
        <w:t>საპენსიო</w:t>
      </w:r>
      <w:proofErr w:type="spellEnd"/>
      <w:r w:rsidRPr="00C94E04">
        <w:rPr>
          <w:rFonts w:ascii="Sylfaen" w:hAnsi="Sylfaen"/>
        </w:rPr>
        <w:t xml:space="preserve"> </w:t>
      </w:r>
      <w:proofErr w:type="spellStart"/>
      <w:r w:rsidRPr="00C94E04">
        <w:rPr>
          <w:rFonts w:ascii="Sylfaen" w:hAnsi="Sylfaen"/>
        </w:rPr>
        <w:t>ასაკისა</w:t>
      </w:r>
      <w:proofErr w:type="spellEnd"/>
      <w:r w:rsidRPr="00C94E04">
        <w:rPr>
          <w:rFonts w:ascii="Sylfaen" w:hAnsi="Sylfaen"/>
        </w:rPr>
        <w:t>)</w:t>
      </w:r>
    </w:p>
    <w:p w14:paraId="411E5354" w14:textId="77777777" w:rsidR="00C94E04" w:rsidRDefault="00C94E04" w:rsidP="00AC4AE1">
      <w:pPr>
        <w:jc w:val="both"/>
        <w:rPr>
          <w:rFonts w:ascii="Sylfaen" w:eastAsia="Sylfaen" w:hAnsi="Sylfaen" w:cs="Sylfaen"/>
          <w:lang w:val="ka-GE"/>
        </w:rPr>
      </w:pPr>
      <w:r>
        <w:rPr>
          <w:rFonts w:ascii="Sylfaen" w:eastAsia="Sylfaen" w:hAnsi="Sylfaen" w:cs="Sylfaen"/>
          <w:lang w:val="ka-GE"/>
        </w:rPr>
        <w:lastRenderedPageBreak/>
        <w:t xml:space="preserve">აღნიშნული ცვლილებების კვალდაკვალ, ჯანდაცვაზე დანახარჯების ხარჯთ-ეფექტიანობის გაზრდისა და სამედიცინო მომსახურების </w:t>
      </w:r>
      <w:r w:rsidRPr="00405364">
        <w:rPr>
          <w:rFonts w:ascii="Sylfaen" w:eastAsia="Sylfaen" w:hAnsi="Sylfaen" w:cs="Sylfaen"/>
          <w:lang w:val="ka-GE"/>
        </w:rPr>
        <w:t>ხარისხის უზრუნველ</w:t>
      </w:r>
      <w:r>
        <w:rPr>
          <w:rFonts w:ascii="Sylfaen" w:eastAsia="Sylfaen" w:hAnsi="Sylfaen" w:cs="Sylfaen"/>
          <w:lang w:val="ka-GE"/>
        </w:rPr>
        <w:t>სა</w:t>
      </w:r>
      <w:r w:rsidRPr="00405364">
        <w:rPr>
          <w:rFonts w:ascii="Sylfaen" w:eastAsia="Sylfaen" w:hAnsi="Sylfaen" w:cs="Sylfaen"/>
          <w:lang w:val="ka-GE"/>
        </w:rPr>
        <w:t xml:space="preserve">ყოფად დაიწყო სელექტიური </w:t>
      </w:r>
      <w:r>
        <w:rPr>
          <w:rFonts w:ascii="Sylfaen" w:eastAsia="Sylfaen" w:hAnsi="Sylfaen" w:cs="Sylfaen"/>
          <w:lang w:val="ka-GE"/>
        </w:rPr>
        <w:t>კონტრა</w:t>
      </w:r>
      <w:r w:rsidRPr="00405364">
        <w:rPr>
          <w:rFonts w:ascii="Sylfaen" w:eastAsia="Sylfaen" w:hAnsi="Sylfaen" w:cs="Sylfaen"/>
          <w:lang w:val="ka-GE"/>
        </w:rPr>
        <w:t xml:space="preserve">ქტირების დანერგვა </w:t>
      </w:r>
      <w:r>
        <w:rPr>
          <w:rFonts w:ascii="Sylfaen" w:eastAsia="Sylfaen" w:hAnsi="Sylfaen" w:cs="Sylfaen"/>
          <w:lang w:val="ka-GE"/>
        </w:rPr>
        <w:t>2017 წლის</w:t>
      </w:r>
      <w:r w:rsidRPr="00405364">
        <w:rPr>
          <w:rFonts w:ascii="Sylfaen" w:eastAsia="Sylfaen" w:hAnsi="Sylfaen" w:cs="Sylfaen"/>
          <w:lang w:val="ka-GE"/>
        </w:rPr>
        <w:t xml:space="preserve"> მარტიდან მშობიარობებებისა და საკეისრო კვეთების და ნეონატალური ინტენსიური დახმარების სერვისების</w:t>
      </w:r>
      <w:r>
        <w:rPr>
          <w:rFonts w:ascii="Sylfaen" w:eastAsia="Sylfaen" w:hAnsi="Sylfaen" w:cs="Sylfaen"/>
          <w:lang w:val="ka-GE"/>
        </w:rPr>
        <w:t>,</w:t>
      </w:r>
      <w:r w:rsidRPr="00405364">
        <w:rPr>
          <w:rFonts w:ascii="Sylfaen" w:eastAsia="Sylfaen" w:hAnsi="Sylfaen" w:cs="Sylfaen"/>
          <w:lang w:val="ka-GE"/>
        </w:rPr>
        <w:t xml:space="preserve"> </w:t>
      </w:r>
      <w:r>
        <w:rPr>
          <w:rFonts w:ascii="Sylfaen" w:eastAsia="Sylfaen" w:hAnsi="Sylfaen" w:cs="Sylfaen"/>
          <w:lang w:val="ka-GE"/>
        </w:rPr>
        <w:t xml:space="preserve">ივლისიდან </w:t>
      </w:r>
      <w:r w:rsidRPr="0096481E">
        <w:rPr>
          <w:rFonts w:ascii="Sylfaen" w:eastAsia="Sylfaen" w:hAnsi="Sylfaen" w:cs="Sylfaen"/>
          <w:lang w:val="ka-GE"/>
        </w:rPr>
        <w:t>II-III დონის ინტენსიური მკურნალობა/მოვლ</w:t>
      </w:r>
      <w:r>
        <w:rPr>
          <w:rFonts w:ascii="Sylfaen" w:eastAsia="Sylfaen" w:hAnsi="Sylfaen" w:cs="Sylfaen"/>
          <w:lang w:val="ka-GE"/>
        </w:rPr>
        <w:t xml:space="preserve">ის, ხოლო 2018 წლის იანვრიდან კი </w:t>
      </w:r>
      <w:r w:rsidRPr="00405364">
        <w:rPr>
          <w:rFonts w:ascii="Sylfaen" w:eastAsia="Sylfaen" w:hAnsi="Sylfaen" w:cs="Sylfaen"/>
          <w:lang w:val="ka-GE"/>
        </w:rPr>
        <w:t xml:space="preserve">გადაუდებელი სტაციონარული </w:t>
      </w:r>
      <w:r>
        <w:rPr>
          <w:rFonts w:ascii="Sylfaen" w:eastAsia="Sylfaen" w:hAnsi="Sylfaen" w:cs="Sylfaen"/>
          <w:lang w:val="ka-GE"/>
        </w:rPr>
        <w:t>მომსახურების სერვისების მიმართულებით.</w:t>
      </w:r>
    </w:p>
    <w:p w14:paraId="436F88F8" w14:textId="77777777" w:rsidR="00AC4AE1" w:rsidRDefault="00AC4AE1" w:rsidP="00AC4AE1">
      <w:pPr>
        <w:autoSpaceDE w:val="0"/>
        <w:autoSpaceDN w:val="0"/>
        <w:adjustRightInd w:val="0"/>
        <w:spacing w:before="240" w:after="240"/>
        <w:jc w:val="both"/>
        <w:rPr>
          <w:rFonts w:ascii="Sylfaen" w:eastAsia="Segoe UI" w:hAnsi="Sylfaen" w:cs="Segoe UI"/>
          <w:lang w:val="ka-GE"/>
        </w:rPr>
      </w:pPr>
      <w:r>
        <w:rPr>
          <w:rFonts w:ascii="Sylfaen" w:eastAsia="Segoe UI" w:hAnsi="Sylfaen" w:cs="Segoe UI"/>
          <w:lang w:val="ka-GE"/>
        </w:rPr>
        <w:t>2017</w:t>
      </w:r>
      <w:r w:rsidRPr="000E4222">
        <w:rPr>
          <w:rFonts w:ascii="Sylfaen" w:eastAsia="Segoe UI" w:hAnsi="Sylfaen" w:cs="Segoe UI"/>
          <w:lang w:val="ka-GE"/>
        </w:rPr>
        <w:t xml:space="preserve"> წლის 1 ივლისიდან ქრონიკული დაავადებების მქონე პირთათვის, რომლებიც რეგისტრირებულნი არიან „სოციალურად დაუცველი ოჯახების“ მონაცემთა ერთიან ბაზაში და მათზე მინიჭებული სარეიტინგო ქულა  არ აღემატება 100 000-ს,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რიგი სამკურნალო მედიკამენტებით პაციენტთა უზრუნველყოფა. </w:t>
      </w:r>
    </w:p>
    <w:p w14:paraId="28E66890" w14:textId="77777777" w:rsidR="00AC4AE1" w:rsidRPr="000E4222" w:rsidRDefault="00AC4AE1" w:rsidP="00AC4AE1">
      <w:pPr>
        <w:autoSpaceDE w:val="0"/>
        <w:autoSpaceDN w:val="0"/>
        <w:adjustRightInd w:val="0"/>
        <w:spacing w:before="240" w:after="240"/>
        <w:jc w:val="both"/>
        <w:rPr>
          <w:rFonts w:ascii="Sylfaen" w:eastAsia="Segoe UI" w:hAnsi="Sylfaen" w:cs="Segoe UI"/>
          <w:lang w:val="ka-GE"/>
        </w:rPr>
      </w:pPr>
    </w:p>
    <w:p w14:paraId="2A462751" w14:textId="77777777" w:rsidR="003B24B5" w:rsidRPr="00AC4AE1" w:rsidRDefault="003B24B5" w:rsidP="003B24B5">
      <w:pPr>
        <w:pStyle w:val="ListParagraph"/>
        <w:numPr>
          <w:ilvl w:val="0"/>
          <w:numId w:val="2"/>
        </w:numPr>
        <w:rPr>
          <w:rFonts w:ascii="Sylfaen" w:hAnsi="Sylfaen"/>
          <w:highlight w:val="yellow"/>
          <w:lang w:val="ka-GE"/>
        </w:rPr>
      </w:pPr>
      <w:r w:rsidRPr="00AC4AE1">
        <w:rPr>
          <w:rFonts w:ascii="Sylfaen" w:hAnsi="Sylfaen"/>
          <w:highlight w:val="yellow"/>
          <w:lang w:val="ka-GE"/>
        </w:rPr>
        <w:t xml:space="preserve">პროგრამის </w:t>
      </w:r>
      <w:r w:rsidR="00AC4AE1" w:rsidRPr="00AC4AE1">
        <w:rPr>
          <w:rFonts w:ascii="Sylfaen" w:hAnsi="Sylfaen"/>
          <w:highlight w:val="yellow"/>
          <w:lang w:val="ka-GE"/>
        </w:rPr>
        <w:t>ფარ</w:t>
      </w:r>
      <w:r w:rsidRPr="00AC4AE1">
        <w:rPr>
          <w:rFonts w:ascii="Sylfaen" w:hAnsi="Sylfaen"/>
          <w:highlight w:val="yellow"/>
          <w:lang w:val="ka-GE"/>
        </w:rPr>
        <w:t>გლებში</w:t>
      </w:r>
      <w:r w:rsidR="00C24D7C">
        <w:rPr>
          <w:rFonts w:ascii="Sylfaen" w:hAnsi="Sylfaen"/>
          <w:highlight w:val="yellow"/>
          <w:lang w:val="ka-GE"/>
        </w:rPr>
        <w:t xml:space="preserve"> </w:t>
      </w:r>
      <w:r w:rsidRPr="00AC4AE1">
        <w:rPr>
          <w:rFonts w:ascii="Sylfaen" w:hAnsi="Sylfaen"/>
          <w:highlight w:val="yellow"/>
          <w:lang w:val="ka-GE"/>
        </w:rPr>
        <w:t>გაწეული მომსახურების სტატისტიკა</w:t>
      </w:r>
    </w:p>
    <w:p w14:paraId="605F2172" w14:textId="77777777" w:rsidR="00DA4CF4" w:rsidRPr="00DA4CF4" w:rsidRDefault="00DA4CF4" w:rsidP="00DA4CF4">
      <w:pPr>
        <w:ind w:right="50"/>
        <w:jc w:val="both"/>
        <w:rPr>
          <w:rFonts w:ascii="Sylfaen" w:hAnsi="Sylfaen"/>
          <w:bCs/>
          <w:szCs w:val="20"/>
          <w:lang w:val="ka-GE"/>
        </w:rPr>
      </w:pPr>
      <w:r w:rsidRPr="00DA4CF4">
        <w:rPr>
          <w:rFonts w:ascii="Sylfaen" w:hAnsi="Sylfaen"/>
          <w:bCs/>
          <w:szCs w:val="20"/>
          <w:lang w:val="ka-GE"/>
        </w:rPr>
        <w:t xml:space="preserve">პროგრამის ფარგლებში </w:t>
      </w:r>
      <w:r>
        <w:rPr>
          <w:rFonts w:ascii="Sylfaen" w:hAnsi="Sylfaen"/>
          <w:bCs/>
          <w:szCs w:val="20"/>
          <w:lang w:val="ka-GE"/>
        </w:rPr>
        <w:t xml:space="preserve">2013-2017 წლებში </w:t>
      </w:r>
      <w:r w:rsidRPr="00DA4CF4">
        <w:rPr>
          <w:rFonts w:ascii="Sylfaen" w:hAnsi="Sylfaen"/>
          <w:bCs/>
          <w:szCs w:val="20"/>
          <w:lang w:val="ka-GE"/>
        </w:rPr>
        <w:t xml:space="preserve">სულ დაფიქსირდა </w:t>
      </w:r>
      <w:r>
        <w:rPr>
          <w:rFonts w:ascii="Sylfaen" w:hAnsi="Sylfaen"/>
          <w:bCs/>
          <w:szCs w:val="20"/>
          <w:lang w:val="ka-GE"/>
        </w:rPr>
        <w:t>4.7</w:t>
      </w:r>
      <w:r w:rsidRPr="00DA4CF4">
        <w:rPr>
          <w:rFonts w:ascii="Sylfaen" w:hAnsi="Sylfaen"/>
          <w:bCs/>
          <w:szCs w:val="20"/>
          <w:lang w:val="ka-GE"/>
        </w:rPr>
        <w:t xml:space="preserve"> მლნ-ზე მეტი შემთხვევა. </w:t>
      </w:r>
    </w:p>
    <w:p w14:paraId="3C92F625" w14:textId="77777777" w:rsidR="00DA4CF4" w:rsidRDefault="00DA4CF4" w:rsidP="00AC4AE1">
      <w:pPr>
        <w:rPr>
          <w:rFonts w:ascii="Sylfaen" w:hAnsi="Sylfaen"/>
          <w:lang w:val="ka-GE"/>
        </w:rPr>
      </w:pPr>
    </w:p>
    <w:p w14:paraId="6CF9BA36" w14:textId="77777777" w:rsidR="00E62822" w:rsidRDefault="00E62822" w:rsidP="00AC4AE1">
      <w:pPr>
        <w:rPr>
          <w:rFonts w:ascii="Sylfaen" w:hAnsi="Sylfaen"/>
          <w:lang w:val="ka-GE"/>
        </w:rPr>
      </w:pPr>
      <w:r>
        <w:rPr>
          <w:rFonts w:ascii="Sylfaen" w:hAnsi="Sylfaen"/>
          <w:lang w:val="ka-GE"/>
        </w:rPr>
        <w:t>საყოველთაო ჯანდაცვის პროგრამის ფარგლებში დამდგარი შემთხვევების რაოდენობის დინამიკა</w:t>
      </w:r>
    </w:p>
    <w:p w14:paraId="4369A27A" w14:textId="77777777" w:rsidR="00E62822" w:rsidRPr="00E62822" w:rsidRDefault="00E62822" w:rsidP="00AC4AE1">
      <w:pPr>
        <w:rPr>
          <w:rFonts w:ascii="Sylfaen" w:hAnsi="Sylfaen"/>
          <w:lang w:val="ka-GE"/>
        </w:rPr>
      </w:pPr>
      <w:r>
        <w:rPr>
          <w:rFonts w:ascii="Sylfaen" w:hAnsi="Sylfaen"/>
          <w:noProof/>
        </w:rPr>
        <w:drawing>
          <wp:inline distT="0" distB="0" distL="0" distR="0" wp14:anchorId="1A5B1244" wp14:editId="32D8778C">
            <wp:extent cx="5486400" cy="3200400"/>
            <wp:effectExtent l="0" t="0" r="19050" b="190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68AFBB6" w14:textId="77777777" w:rsidR="00E62822" w:rsidRDefault="00E62822" w:rsidP="00AC4AE1">
      <w:pPr>
        <w:rPr>
          <w:rFonts w:ascii="Sylfaen" w:hAnsi="Sylfaen"/>
          <w:lang w:val="ka-GE"/>
        </w:rPr>
      </w:pPr>
    </w:p>
    <w:p w14:paraId="5CE74357" w14:textId="77777777" w:rsidR="0050531E" w:rsidRDefault="0050531E" w:rsidP="0050531E">
      <w:pPr>
        <w:rPr>
          <w:rFonts w:ascii="Sylfaen" w:hAnsi="Sylfaen"/>
          <w:lang w:val="ka-GE"/>
        </w:rPr>
      </w:pPr>
      <w:r>
        <w:rPr>
          <w:rFonts w:ascii="Sylfaen" w:hAnsi="Sylfaen"/>
          <w:lang w:val="ka-GE"/>
        </w:rPr>
        <w:lastRenderedPageBreak/>
        <w:t xml:space="preserve">საყოველთაო ჯანდაცვის პროგრამის ფარგლებში დამდგარი შემთხვევების რაოდენობის დინამიკა კომპონენტების </w:t>
      </w:r>
      <w:commentRangeStart w:id="0"/>
      <w:r>
        <w:rPr>
          <w:rFonts w:ascii="Sylfaen" w:hAnsi="Sylfaen"/>
          <w:lang w:val="ka-GE"/>
        </w:rPr>
        <w:t>მიხედვით</w:t>
      </w:r>
      <w:commentRangeEnd w:id="0"/>
      <w:r w:rsidR="001D2581">
        <w:rPr>
          <w:rStyle w:val="CommentReference"/>
        </w:rPr>
        <w:commentReference w:id="0"/>
      </w:r>
    </w:p>
    <w:p w14:paraId="2F0F52B9" w14:textId="77777777" w:rsidR="0050531E" w:rsidRDefault="0050531E" w:rsidP="0050531E">
      <w:pPr>
        <w:rPr>
          <w:rFonts w:ascii="Sylfaen" w:hAnsi="Sylfaen"/>
          <w:lang w:val="ka-GE"/>
        </w:rPr>
      </w:pPr>
      <w:r>
        <w:rPr>
          <w:rFonts w:ascii="Sylfaen" w:hAnsi="Sylfaen"/>
          <w:noProof/>
        </w:rPr>
        <w:drawing>
          <wp:inline distT="0" distB="0" distL="0" distR="0" wp14:anchorId="356EFC38" wp14:editId="4AC148F5">
            <wp:extent cx="5486400" cy="3200400"/>
            <wp:effectExtent l="0" t="0" r="19050" b="190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E54F2E" w14:textId="77777777" w:rsidR="00E62822" w:rsidRPr="00E62822" w:rsidRDefault="00E62822" w:rsidP="00AC4AE1">
      <w:pPr>
        <w:rPr>
          <w:rFonts w:ascii="Sylfaen" w:hAnsi="Sylfaen"/>
          <w:lang w:val="ka-GE"/>
        </w:rPr>
      </w:pPr>
    </w:p>
    <w:p w14:paraId="6D1B9EF4" w14:textId="77777777" w:rsidR="00E62822" w:rsidRDefault="00E62822" w:rsidP="00AC4AE1">
      <w:pPr>
        <w:rPr>
          <w:rFonts w:ascii="Sylfaen" w:hAnsi="Sylfaen"/>
          <w:lang w:val="ka-GE"/>
        </w:rPr>
      </w:pPr>
    </w:p>
    <w:p w14:paraId="57ADF199" w14:textId="77777777" w:rsidR="00E62822" w:rsidRDefault="00E62822" w:rsidP="00AC4AE1">
      <w:pPr>
        <w:rPr>
          <w:rFonts w:ascii="Sylfaen" w:hAnsi="Sylfaen"/>
          <w:lang w:val="ka-GE"/>
        </w:rPr>
      </w:pPr>
      <w:r>
        <w:rPr>
          <w:rFonts w:ascii="Sylfaen" w:hAnsi="Sylfaen"/>
          <w:lang w:val="ka-GE"/>
        </w:rPr>
        <w:t>საყოველთაო ჯანდაცვის პროგრამის დანახარჯების დინამიკა</w:t>
      </w:r>
    </w:p>
    <w:p w14:paraId="471A5745" w14:textId="77777777" w:rsidR="00E62822" w:rsidRDefault="00E51C7B" w:rsidP="00AC4AE1">
      <w:pPr>
        <w:rPr>
          <w:rFonts w:ascii="Sylfaen" w:hAnsi="Sylfaen"/>
          <w:lang w:val="ka-GE"/>
        </w:rPr>
      </w:pPr>
      <w:r>
        <w:rPr>
          <w:rFonts w:ascii="Sylfaen" w:hAnsi="Sylfaen"/>
          <w:noProof/>
        </w:rPr>
        <w:drawing>
          <wp:inline distT="0" distB="0" distL="0" distR="0" wp14:anchorId="7EA87BD7" wp14:editId="20A3ED74">
            <wp:extent cx="5486400" cy="3200400"/>
            <wp:effectExtent l="0" t="0" r="19050" b="1905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92BFFE" w14:textId="77777777" w:rsidR="00E62822" w:rsidRPr="00E62822" w:rsidRDefault="00E62822" w:rsidP="00AC4AE1">
      <w:pPr>
        <w:rPr>
          <w:rFonts w:ascii="Sylfaen" w:hAnsi="Sylfaen"/>
          <w:lang w:val="ka-GE"/>
        </w:rPr>
      </w:pPr>
    </w:p>
    <w:p w14:paraId="10DC4985" w14:textId="77777777" w:rsidR="00C24D7C" w:rsidRDefault="00C24D7C" w:rsidP="00AC4AE1">
      <w:pPr>
        <w:rPr>
          <w:rFonts w:ascii="Sylfaen" w:hAnsi="Sylfaen"/>
          <w:lang w:val="ka-GE"/>
        </w:rPr>
      </w:pPr>
      <w:r>
        <w:rPr>
          <w:rFonts w:ascii="Sylfaen" w:hAnsi="Sylfaen"/>
          <w:lang w:val="ka-GE"/>
        </w:rPr>
        <w:lastRenderedPageBreak/>
        <w:t>ჯანდაცვაზე სახელმწიფო დანახარჯების დინამიკა</w:t>
      </w:r>
    </w:p>
    <w:p w14:paraId="6DFD296A" w14:textId="77777777" w:rsidR="00AC4AE1" w:rsidRPr="00AC4AE1" w:rsidRDefault="00AC4AE1" w:rsidP="00AC4AE1">
      <w:pPr>
        <w:rPr>
          <w:rFonts w:ascii="Sylfaen" w:hAnsi="Sylfaen"/>
          <w:lang w:val="ka-GE"/>
        </w:rPr>
      </w:pPr>
      <w:r w:rsidRPr="00AC4AE1">
        <w:rPr>
          <w:rFonts w:ascii="Sylfaen" w:hAnsi="Sylfaen"/>
          <w:noProof/>
        </w:rPr>
        <w:drawing>
          <wp:inline distT="0" distB="0" distL="0" distR="0" wp14:anchorId="4BD948D7" wp14:editId="69CC47CE">
            <wp:extent cx="5381625" cy="4076700"/>
            <wp:effectExtent l="0" t="0" r="9525"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42AA6E5" w14:textId="77777777" w:rsidR="00E62822" w:rsidRPr="001A19F8" w:rsidRDefault="00E62822" w:rsidP="00E62822">
      <w:pPr>
        <w:ind w:left="360"/>
        <w:jc w:val="both"/>
        <w:rPr>
          <w:rFonts w:ascii="Sylfaen" w:hAnsi="Sylfaen" w:cstheme="minorHAnsi"/>
          <w:lang w:val="ka-GE"/>
        </w:rPr>
      </w:pPr>
      <w:r w:rsidRPr="00D9270F">
        <w:rPr>
          <w:rFonts w:ascii="Sylfaen" w:hAnsi="Sylfaen" w:cstheme="minorHAnsi"/>
          <w:lang w:val="ka-GE"/>
        </w:rPr>
        <w:t>ჯანდაცვაზე სახელმწიფო დანახარჯების წილი მშპ-დან (%)</w:t>
      </w:r>
      <w:r>
        <w:rPr>
          <w:rFonts w:ascii="Sylfaen" w:hAnsi="Sylfaen" w:cstheme="minorHAnsi"/>
          <w:lang w:val="ka-GE"/>
        </w:rPr>
        <w:t>, 2014</w:t>
      </w:r>
    </w:p>
    <w:p w14:paraId="13515B83" w14:textId="77777777" w:rsidR="00E62822" w:rsidRPr="00C553CA" w:rsidRDefault="00E62822" w:rsidP="00E62822">
      <w:pPr>
        <w:rPr>
          <w:rFonts w:ascii="Sylfaen" w:hAnsi="Sylfaen" w:cstheme="minorHAnsi"/>
          <w:lang w:val="ka-GE"/>
        </w:rPr>
      </w:pPr>
      <w:r w:rsidRPr="00D9270F">
        <w:rPr>
          <w:rFonts w:ascii="Sylfaen" w:hAnsi="Sylfaen" w:cstheme="minorHAnsi"/>
          <w:noProof/>
        </w:rPr>
        <w:drawing>
          <wp:inline distT="0" distB="0" distL="0" distR="0" wp14:anchorId="5CEB92A9" wp14:editId="54663BA7">
            <wp:extent cx="6070060" cy="2714017"/>
            <wp:effectExtent l="0" t="0" r="26035" b="1016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306C89" w14:textId="77777777" w:rsidR="00E62822" w:rsidRDefault="00E62822" w:rsidP="00E62822">
      <w:pPr>
        <w:rPr>
          <w:rFonts w:ascii="Sylfaen" w:hAnsi="Sylfaen" w:cstheme="minorHAnsi"/>
          <w:sz w:val="20"/>
        </w:rPr>
      </w:pPr>
      <w:r>
        <w:rPr>
          <w:rFonts w:ascii="Sylfaen" w:hAnsi="Sylfaen" w:cstheme="minorHAnsi"/>
          <w:lang w:val="ka-GE"/>
        </w:rPr>
        <w:t xml:space="preserve">  </w:t>
      </w:r>
      <w:r w:rsidRPr="00AB4CC9">
        <w:rPr>
          <w:rFonts w:ascii="Sylfaen" w:hAnsi="Sylfaen" w:cstheme="minorHAnsi"/>
          <w:sz w:val="20"/>
          <w:lang w:val="ka-GE"/>
        </w:rPr>
        <w:t>Source: WHO/Euro – European Health for All Data base</w:t>
      </w:r>
    </w:p>
    <w:p w14:paraId="63C0833B" w14:textId="77777777" w:rsidR="00AC4AE1" w:rsidRPr="00E62822" w:rsidRDefault="00AC4AE1" w:rsidP="00AC4AE1">
      <w:pPr>
        <w:pStyle w:val="ListParagraph"/>
        <w:ind w:left="360"/>
        <w:rPr>
          <w:rFonts w:ascii="Sylfaen" w:hAnsi="Sylfaen"/>
        </w:rPr>
      </w:pPr>
    </w:p>
    <w:p w14:paraId="6B7768DD" w14:textId="77777777" w:rsidR="004704A3" w:rsidRDefault="004704A3" w:rsidP="004704A3">
      <w:pPr>
        <w:ind w:right="50"/>
        <w:jc w:val="both"/>
        <w:rPr>
          <w:rFonts w:ascii="Sylfaen" w:hAnsi="Sylfaen" w:cs="Sylfaen"/>
          <w:noProof/>
          <w:lang w:val="ka-GE"/>
        </w:rPr>
      </w:pPr>
      <w:r w:rsidRPr="00461AD7">
        <w:rPr>
          <w:rFonts w:ascii="Sylfaen" w:hAnsi="Sylfaen" w:cs="Sylfaen"/>
          <w:bCs/>
          <w:sz w:val="24"/>
          <w:szCs w:val="24"/>
          <w:lang w:val="ka-GE"/>
        </w:rPr>
        <w:lastRenderedPageBreak/>
        <w:t xml:space="preserve">სამედიცინო მომსახურებაზე უნივერსალურმა ხელმისაწვდომობამ </w:t>
      </w:r>
      <w:r w:rsidRPr="00461AD7">
        <w:rPr>
          <w:rFonts w:ascii="Times New Roman" w:hAnsi="Times New Roman" w:cs="Times New Roman"/>
          <w:bCs/>
          <w:sz w:val="24"/>
          <w:szCs w:val="24"/>
          <w:lang w:val="ka-GE"/>
        </w:rPr>
        <w:t xml:space="preserve"> </w:t>
      </w:r>
      <w:r w:rsidRPr="00461AD7">
        <w:rPr>
          <w:rFonts w:ascii="Sylfaen" w:hAnsi="Sylfaen" w:cs="Times New Roman"/>
          <w:bCs/>
          <w:sz w:val="24"/>
          <w:szCs w:val="24"/>
          <w:lang w:val="ka-GE"/>
        </w:rPr>
        <w:t>მნიშვნელოვნად</w:t>
      </w:r>
      <w:r w:rsidRPr="00461AD7">
        <w:rPr>
          <w:rFonts w:ascii="Times New Roman" w:hAnsi="Times New Roman" w:cs="Times New Roman"/>
          <w:bCs/>
          <w:sz w:val="24"/>
          <w:szCs w:val="24"/>
        </w:rPr>
        <w:t xml:space="preserve"> </w:t>
      </w:r>
      <w:r w:rsidRPr="00461AD7">
        <w:rPr>
          <w:rFonts w:ascii="Sylfaen" w:hAnsi="Sylfaen" w:cs="Sylfaen"/>
          <w:bCs/>
          <w:sz w:val="24"/>
          <w:szCs w:val="24"/>
          <w:lang w:val="ka-GE"/>
        </w:rPr>
        <w:t>შეამცირა</w:t>
      </w:r>
      <w:r w:rsidRPr="00461AD7">
        <w:rPr>
          <w:rFonts w:ascii="Times New Roman" w:hAnsi="Times New Roman" w:cs="Times New Roman"/>
          <w:bCs/>
          <w:sz w:val="24"/>
          <w:szCs w:val="24"/>
          <w:lang w:val="ka-GE"/>
        </w:rPr>
        <w:t xml:space="preserve"> </w:t>
      </w:r>
      <w:r w:rsidRPr="00461AD7">
        <w:rPr>
          <w:rFonts w:ascii="Sylfaen" w:hAnsi="Sylfaen" w:cs="Sylfaen"/>
          <w:bCs/>
          <w:sz w:val="24"/>
          <w:szCs w:val="24"/>
          <w:lang w:val="ka-GE"/>
        </w:rPr>
        <w:t>ჯიბიდან</w:t>
      </w:r>
      <w:r w:rsidRPr="00461AD7">
        <w:rPr>
          <w:rFonts w:ascii="Times New Roman" w:hAnsi="Times New Roman" w:cs="Times New Roman"/>
          <w:bCs/>
          <w:sz w:val="24"/>
          <w:szCs w:val="24"/>
          <w:lang w:val="ka-GE"/>
        </w:rPr>
        <w:t xml:space="preserve"> </w:t>
      </w:r>
      <w:r w:rsidRPr="00461AD7">
        <w:rPr>
          <w:rFonts w:ascii="Sylfaen" w:hAnsi="Sylfaen" w:cs="Sylfaen"/>
          <w:bCs/>
          <w:sz w:val="24"/>
          <w:szCs w:val="24"/>
          <w:lang w:val="ka-GE"/>
        </w:rPr>
        <w:t xml:space="preserve">დანახარჯები და გაზარდა </w:t>
      </w:r>
      <w:r w:rsidRPr="00461AD7">
        <w:rPr>
          <w:rFonts w:ascii="Sylfaen" w:eastAsia="Calibri" w:hAnsi="Sylfaen" w:cs="Times New Roman"/>
          <w:sz w:val="24"/>
          <w:szCs w:val="24"/>
          <w:lang w:val="ka-GE"/>
        </w:rPr>
        <w:t>ფინანსური დაცულობა</w:t>
      </w:r>
      <w:r>
        <w:rPr>
          <w:rFonts w:ascii="Sylfaen" w:eastAsia="Calibri" w:hAnsi="Sylfaen" w:cs="Times New Roman"/>
          <w:sz w:val="24"/>
          <w:szCs w:val="24"/>
          <w:lang w:val="ka-GE"/>
        </w:rPr>
        <w:t xml:space="preserve"> </w:t>
      </w:r>
      <w:r w:rsidRPr="00574936">
        <w:rPr>
          <w:rFonts w:ascii="Sylfaen" w:hAnsi="Sylfaen" w:cs="Sylfaen"/>
          <w:noProof/>
          <w:lang w:val="ka-GE"/>
        </w:rPr>
        <w:t>(2012 – 73% - 201</w:t>
      </w:r>
      <w:r w:rsidR="00522C06">
        <w:rPr>
          <w:rFonts w:ascii="Sylfaen" w:hAnsi="Sylfaen" w:cs="Sylfaen"/>
          <w:noProof/>
        </w:rPr>
        <w:t>6</w:t>
      </w:r>
      <w:r w:rsidRPr="00574936">
        <w:rPr>
          <w:rFonts w:ascii="Sylfaen" w:hAnsi="Sylfaen" w:cs="Sylfaen"/>
          <w:noProof/>
          <w:lang w:val="ka-GE"/>
        </w:rPr>
        <w:t xml:space="preserve"> – </w:t>
      </w:r>
      <w:r>
        <w:rPr>
          <w:rFonts w:ascii="Sylfaen" w:hAnsi="Sylfaen" w:cs="Sylfaen"/>
          <w:noProof/>
        </w:rPr>
        <w:t>57</w:t>
      </w:r>
      <w:r w:rsidRPr="00574936">
        <w:rPr>
          <w:rFonts w:ascii="Sylfaen" w:hAnsi="Sylfaen" w:cs="Sylfaen"/>
          <w:noProof/>
          <w:lang w:val="ka-GE"/>
        </w:rPr>
        <w:t>%)</w:t>
      </w:r>
      <w:r>
        <w:rPr>
          <w:rFonts w:ascii="Sylfaen" w:hAnsi="Sylfaen" w:cs="Sylfaen"/>
          <w:noProof/>
          <w:lang w:val="ka-GE"/>
        </w:rPr>
        <w:t>, რაც</w:t>
      </w:r>
      <w:r w:rsidRPr="00574936">
        <w:rPr>
          <w:rFonts w:ascii="Sylfaen" w:hAnsi="Sylfaen" w:cs="Sylfaen"/>
          <w:noProof/>
          <w:lang w:val="ka-GE"/>
        </w:rPr>
        <w:t xml:space="preserve"> ქვეყანაში </w:t>
      </w:r>
      <w:r>
        <w:rPr>
          <w:rFonts w:ascii="Sylfaen" w:hAnsi="Sylfaen" w:cs="Sylfaen"/>
          <w:noProof/>
          <w:lang w:val="ka-GE"/>
        </w:rPr>
        <w:t xml:space="preserve">სახელმწიფო დაფინანსების მკვეთრი მატებით, </w:t>
      </w:r>
      <w:r w:rsidRPr="00574936">
        <w:rPr>
          <w:rFonts w:ascii="Sylfaen" w:hAnsi="Sylfaen" w:cs="Sylfaen"/>
          <w:noProof/>
          <w:lang w:val="ka-GE"/>
        </w:rPr>
        <w:t>სამედიცინო მომსახურებაზე ხელმისაწვდომობის ზრდით და როგორც ამბულატორიული ისე სტაციონარული სერვისების უტილიზაციის მნიშვნელოვანი მატებითაა განპირობებული.</w:t>
      </w:r>
    </w:p>
    <w:p w14:paraId="5EFEDED8" w14:textId="77777777" w:rsidR="00E62822" w:rsidRDefault="00E62822" w:rsidP="00AC4AE1">
      <w:pPr>
        <w:pStyle w:val="ListParagraph"/>
        <w:ind w:left="360"/>
        <w:rPr>
          <w:rFonts w:ascii="Sylfaen" w:hAnsi="Sylfaen"/>
          <w:lang w:val="ka-GE"/>
        </w:rPr>
      </w:pPr>
    </w:p>
    <w:p w14:paraId="72B7E858" w14:textId="446D73DE" w:rsidR="00C24D7C" w:rsidRDefault="00C24D7C" w:rsidP="00AC4AE1">
      <w:pPr>
        <w:pStyle w:val="ListParagraph"/>
        <w:ind w:left="360"/>
        <w:rPr>
          <w:rFonts w:ascii="Sylfaen" w:hAnsi="Sylfaen"/>
          <w:lang w:val="ka-GE"/>
        </w:rPr>
      </w:pPr>
      <w:r>
        <w:rPr>
          <w:rFonts w:ascii="Sylfaen" w:hAnsi="Sylfaen"/>
          <w:lang w:val="ka-GE"/>
        </w:rPr>
        <w:t xml:space="preserve">ჯანდაცვაზე ჯიბიდან დანახარჯების </w:t>
      </w:r>
      <w:r w:rsidR="00AB0DCC">
        <w:rPr>
          <w:rFonts w:ascii="Sylfaen" w:hAnsi="Sylfaen"/>
          <w:lang w:val="ka-GE"/>
        </w:rPr>
        <w:t xml:space="preserve">% ჯანდაცვაზე მთლიან დანახარჯებში </w:t>
      </w:r>
    </w:p>
    <w:p w14:paraId="4FE36C9D" w14:textId="77777777" w:rsidR="0086002C" w:rsidRDefault="0086002C" w:rsidP="00AC4AE1">
      <w:pPr>
        <w:pStyle w:val="ListParagraph"/>
        <w:ind w:left="360"/>
        <w:rPr>
          <w:rFonts w:ascii="Sylfaen" w:hAnsi="Sylfaen"/>
          <w:lang w:val="ka-GE"/>
        </w:rPr>
      </w:pPr>
    </w:p>
    <w:p w14:paraId="62CAAE1B" w14:textId="7B1E3B99" w:rsidR="0086002C" w:rsidRDefault="0086002C" w:rsidP="00AC4AE1">
      <w:pPr>
        <w:pStyle w:val="ListParagraph"/>
        <w:ind w:left="360"/>
        <w:rPr>
          <w:rFonts w:ascii="Sylfaen" w:hAnsi="Sylfaen"/>
          <w:lang w:val="ka-GE"/>
        </w:rPr>
      </w:pPr>
      <w:r>
        <w:rPr>
          <w:rFonts w:ascii="Sylfaen" w:hAnsi="Sylfaen"/>
          <w:noProof/>
        </w:rPr>
        <w:drawing>
          <wp:inline distT="0" distB="0" distL="0" distR="0" wp14:anchorId="51E15A9C" wp14:editId="54E3DE15">
            <wp:extent cx="5486400" cy="3200400"/>
            <wp:effectExtent l="0" t="0" r="19050"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4597D0B" w14:textId="6B2289AD" w:rsidR="00AC4AE1" w:rsidRDefault="00AC4AE1" w:rsidP="00AC4AE1">
      <w:pPr>
        <w:pStyle w:val="ListParagraph"/>
        <w:ind w:left="360"/>
        <w:rPr>
          <w:rFonts w:ascii="Sylfaen" w:hAnsi="Sylfaen"/>
          <w:lang w:val="ka-GE"/>
        </w:rPr>
      </w:pPr>
    </w:p>
    <w:p w14:paraId="481ED940" w14:textId="77777777" w:rsidR="00C24D7C" w:rsidRDefault="00C24D7C" w:rsidP="00AC4AE1">
      <w:pPr>
        <w:pStyle w:val="ListParagraph"/>
        <w:ind w:left="360"/>
        <w:rPr>
          <w:rFonts w:ascii="Sylfaen" w:hAnsi="Sylfaen"/>
          <w:lang w:val="ka-GE"/>
        </w:rPr>
      </w:pPr>
    </w:p>
    <w:p w14:paraId="62814650" w14:textId="77777777" w:rsidR="003B24B5" w:rsidRPr="00AC4AE1" w:rsidRDefault="003B24B5" w:rsidP="003B24B5">
      <w:pPr>
        <w:pStyle w:val="ListParagraph"/>
        <w:numPr>
          <w:ilvl w:val="0"/>
          <w:numId w:val="2"/>
        </w:numPr>
        <w:rPr>
          <w:rFonts w:ascii="Sylfaen" w:hAnsi="Sylfaen"/>
          <w:highlight w:val="yellow"/>
          <w:lang w:val="ka-GE"/>
        </w:rPr>
      </w:pPr>
      <w:r w:rsidRPr="00AC4AE1">
        <w:rPr>
          <w:rFonts w:ascii="Sylfaen" w:hAnsi="Sylfaen"/>
          <w:highlight w:val="yellow"/>
          <w:lang w:val="ka-GE"/>
        </w:rPr>
        <w:t>რა შედეგები მოგვცა საყოველ</w:t>
      </w:r>
      <w:r w:rsidR="00AC4AE1" w:rsidRPr="00AC4AE1">
        <w:rPr>
          <w:rFonts w:ascii="Sylfaen" w:hAnsi="Sylfaen"/>
          <w:highlight w:val="yellow"/>
          <w:lang w:val="ka-GE"/>
        </w:rPr>
        <w:t>თ</w:t>
      </w:r>
      <w:r w:rsidRPr="00AC4AE1">
        <w:rPr>
          <w:rFonts w:ascii="Sylfaen" w:hAnsi="Sylfaen"/>
          <w:highlight w:val="yellow"/>
          <w:lang w:val="ka-GE"/>
        </w:rPr>
        <w:t>აო ჯანდაცვის პროგრამამ?</w:t>
      </w:r>
    </w:p>
    <w:p w14:paraId="147351A4" w14:textId="77777777" w:rsidR="00AC4AE1" w:rsidRPr="00AC4AE1" w:rsidRDefault="00AC4AE1" w:rsidP="00AC4AE1">
      <w:pPr>
        <w:jc w:val="both"/>
        <w:rPr>
          <w:rFonts w:ascii="Sylfaen" w:eastAsia="Times New Roman" w:hAnsi="Sylfaen" w:cs="Arial"/>
          <w:bCs/>
          <w:color w:val="000000"/>
          <w:lang w:val="ka-GE"/>
        </w:rPr>
      </w:pPr>
      <w:r w:rsidRPr="00AC4AE1">
        <w:rPr>
          <w:rFonts w:ascii="Sylfaen" w:eastAsia="Times New Roman" w:hAnsi="Sylfaen" w:cs="Sylfaen"/>
          <w:bCs/>
          <w:color w:val="000000"/>
          <w:lang w:val="ka-GE"/>
        </w:rPr>
        <w:t>ჯანმრთელობის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მსოფლიო</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ორგანიზაციის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ევროპის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ბიუროს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ჯანმრთელობის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ანგარიშში</w:t>
      </w:r>
      <w:r w:rsidRPr="00AC4AE1">
        <w:rPr>
          <w:rFonts w:eastAsia="Times New Roman" w:cs="Arial"/>
          <w:bCs/>
          <w:color w:val="000000"/>
          <w:lang w:val="ka-GE"/>
        </w:rPr>
        <w:t xml:space="preserve"> 2015 - </w:t>
      </w:r>
      <w:r w:rsidRPr="00AC4AE1">
        <w:rPr>
          <w:rFonts w:ascii="Sylfaen" w:eastAsia="Times New Roman" w:hAnsi="Sylfaen" w:cs="Sylfaen"/>
          <w:bCs/>
          <w:color w:val="000000"/>
          <w:lang w:val="ka-GE"/>
        </w:rPr>
        <w:t>საყოველთაო</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ჯანდაცვის</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პროგრამა</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წარმატებულ</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პროექტად</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იქნა</w:t>
      </w:r>
      <w:r w:rsidRPr="00AC4AE1">
        <w:rPr>
          <w:rFonts w:eastAsia="Times New Roman" w:cs="Arial"/>
          <w:bCs/>
          <w:color w:val="000000"/>
          <w:lang w:val="ka-GE"/>
        </w:rPr>
        <w:t xml:space="preserve"> </w:t>
      </w:r>
      <w:r w:rsidRPr="00AC4AE1">
        <w:rPr>
          <w:rFonts w:ascii="Sylfaen" w:eastAsia="Times New Roman" w:hAnsi="Sylfaen" w:cs="Sylfaen"/>
          <w:bCs/>
          <w:color w:val="000000"/>
          <w:lang w:val="ka-GE"/>
        </w:rPr>
        <w:t>აღიარებულ</w:t>
      </w:r>
      <w:r w:rsidRPr="00AC4AE1">
        <w:rPr>
          <w:rFonts w:ascii="Sylfaen" w:eastAsia="Times New Roman" w:hAnsi="Sylfaen" w:cs="Arial"/>
          <w:bCs/>
          <w:color w:val="000000"/>
          <w:lang w:val="ka-GE"/>
        </w:rPr>
        <w:t>ი.</w:t>
      </w:r>
    </w:p>
    <w:p w14:paraId="270FCD9B" w14:textId="77777777" w:rsidR="00AC4AE1" w:rsidRDefault="00AC4AE1" w:rsidP="00AC4AE1">
      <w:pPr>
        <w:ind w:right="50"/>
        <w:jc w:val="both"/>
        <w:rPr>
          <w:rFonts w:ascii="Sylfaen" w:eastAsia="Segoe UI" w:hAnsi="Sylfaen" w:cs="Segoe UI"/>
          <w:lang w:val="ka-GE"/>
        </w:rPr>
      </w:pPr>
      <w:r w:rsidRPr="00461AD7">
        <w:rPr>
          <w:rFonts w:ascii="Sylfaen" w:hAnsi="Sylfaen"/>
          <w:lang w:val="ka-GE"/>
        </w:rPr>
        <w:t xml:space="preserve">მსოფლიო </w:t>
      </w:r>
      <w:r>
        <w:rPr>
          <w:rFonts w:ascii="Sylfaen" w:hAnsi="Sylfaen"/>
          <w:lang w:val="ka-GE"/>
        </w:rPr>
        <w:t>ბანკის</w:t>
      </w:r>
      <w:r w:rsidRPr="00461AD7">
        <w:rPr>
          <w:rFonts w:ascii="Sylfaen" w:hAnsi="Sylfaen"/>
          <w:lang w:val="ka-GE"/>
        </w:rPr>
        <w:t>, ჯანმრთელობის მსოფლიო ორგანიზაცი</w:t>
      </w:r>
      <w:r>
        <w:rPr>
          <w:rFonts w:ascii="Sylfaen" w:hAnsi="Sylfaen"/>
          <w:lang w:val="ka-GE"/>
        </w:rPr>
        <w:t>ის</w:t>
      </w:r>
      <w:r w:rsidRPr="00461AD7">
        <w:rPr>
          <w:rFonts w:ascii="Sylfaen" w:hAnsi="Sylfaen"/>
          <w:lang w:val="ka-GE"/>
        </w:rPr>
        <w:t xml:space="preserve"> და აშშ-ის საერთაშორისო განვითარების სააგენტოს მიერ ჩატარებულმა კვლევამ გამოავლინა საყოველთაო ჯანდაცვის პროგრამის ძირითადი მიღწევები: სამედიცინო სერვისებზე ხელმისაწვდომიბის გაზრდა,  სამედიცინო სერვისების უტილიზაციის მატება, ფინანსური ბარიერების შემცირება და  მოცვის გაფართოვება.</w:t>
      </w:r>
    </w:p>
    <w:p w14:paraId="244F82A9" w14:textId="226CCB07" w:rsidR="00AC4AE1" w:rsidRDefault="00AC4AE1" w:rsidP="00AC4AE1">
      <w:pPr>
        <w:jc w:val="both"/>
        <w:rPr>
          <w:rFonts w:ascii="Sylfaen" w:hAnsi="Sylfaen"/>
          <w:lang w:val="ka-GE"/>
        </w:rPr>
      </w:pPr>
      <w:r>
        <w:rPr>
          <w:rFonts w:ascii="Sylfaen" w:hAnsi="Sylfaen"/>
          <w:lang w:val="ka-GE"/>
        </w:rPr>
        <w:t xml:space="preserve">2013 წლიდან </w:t>
      </w:r>
      <w:r w:rsidRPr="00461AD7">
        <w:rPr>
          <w:rFonts w:ascii="Sylfaen" w:hAnsi="Sylfaen"/>
          <w:lang w:val="ka-GE"/>
        </w:rPr>
        <w:t>საყოველთაო ჯანდაცვის პროგრამ</w:t>
      </w:r>
      <w:r>
        <w:rPr>
          <w:rFonts w:ascii="Sylfaen" w:hAnsi="Sylfaen"/>
          <w:lang w:val="ka-GE"/>
        </w:rPr>
        <w:t>ის ამოქმედებამ</w:t>
      </w:r>
      <w:r w:rsidRPr="00461AD7">
        <w:rPr>
          <w:rFonts w:ascii="Sylfaen" w:hAnsi="Sylfaen"/>
          <w:lang w:val="ka-GE"/>
        </w:rPr>
        <w:t xml:space="preserve">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 შედეგად</w:t>
      </w:r>
      <w:r>
        <w:rPr>
          <w:rFonts w:ascii="Sylfaen" w:hAnsi="Sylfaen"/>
          <w:lang w:val="ka-GE"/>
        </w:rPr>
        <w:t xml:space="preserve">, </w:t>
      </w:r>
      <w:r w:rsidRPr="00461AD7">
        <w:rPr>
          <w:rFonts w:ascii="Sylfaen" w:hAnsi="Sylfaen"/>
          <w:lang w:val="ka-GE"/>
        </w:rPr>
        <w:t xml:space="preserve">მნიშვნელოვნად და სწრაფად გაიზარდა </w:t>
      </w:r>
      <w:r>
        <w:rPr>
          <w:rFonts w:ascii="Sylfaen" w:hAnsi="Sylfaen"/>
          <w:lang w:val="ka-GE"/>
        </w:rPr>
        <w:t xml:space="preserve">სერვისებით მოცვა </w:t>
      </w:r>
      <w:r w:rsidRPr="00461AD7">
        <w:rPr>
          <w:rFonts w:ascii="Sylfaen" w:hAnsi="Sylfaen"/>
          <w:lang w:val="ka-GE"/>
        </w:rPr>
        <w:t xml:space="preserve">მოსახლეობის 29.5%-დან </w:t>
      </w:r>
      <w:r w:rsidRPr="00461AD7">
        <w:rPr>
          <w:rFonts w:ascii="Sylfaen" w:hAnsi="Sylfaen"/>
          <w:lang w:val="ka-GE"/>
        </w:rPr>
        <w:lastRenderedPageBreak/>
        <w:t>2010 წელს, დაახლოებით 40%-მდე 2012 წლის დასასრულს  - 99.9%-მდე 2014 წლისთვის</w:t>
      </w:r>
      <w:r w:rsidR="00A4675E">
        <w:rPr>
          <w:rFonts w:ascii="Sylfaen" w:hAnsi="Sylfaen"/>
          <w:lang w:val="ka-GE"/>
        </w:rPr>
        <w:t>. აღნიშნული დინამიკა კვლავ გრძელდება.</w:t>
      </w:r>
    </w:p>
    <w:p w14:paraId="19544E96" w14:textId="05F127B1" w:rsidR="00AC4AE1" w:rsidRDefault="00AC4AE1" w:rsidP="00AC4AE1">
      <w:pPr>
        <w:ind w:right="50"/>
        <w:jc w:val="both"/>
        <w:rPr>
          <w:rFonts w:ascii="Sylfaen" w:eastAsia="Segoe UI" w:hAnsi="Sylfaen" w:cs="Segoe UI"/>
          <w:lang w:val="ka-GE"/>
        </w:rPr>
      </w:pPr>
    </w:p>
    <w:p w14:paraId="52578504" w14:textId="77777777" w:rsidR="00AC4AE1" w:rsidRDefault="00AC4AE1" w:rsidP="00AC4AE1">
      <w:pPr>
        <w:ind w:right="50"/>
        <w:jc w:val="both"/>
        <w:rPr>
          <w:rFonts w:ascii="Sylfaen" w:eastAsia="Segoe UI" w:hAnsi="Sylfaen" w:cs="Segoe UI"/>
          <w:lang w:val="ka-GE"/>
        </w:rPr>
      </w:pPr>
      <w:r>
        <w:rPr>
          <w:rFonts w:ascii="Sylfaen" w:eastAsia="Segoe UI" w:hAnsi="Sylfaen" w:cs="Segoe UI"/>
          <w:noProof/>
        </w:rPr>
        <w:drawing>
          <wp:anchor distT="0" distB="0" distL="114300" distR="114300" simplePos="0" relativeHeight="251659264" behindDoc="0" locked="0" layoutInCell="1" allowOverlap="1" wp14:anchorId="06E6932F" wp14:editId="56A935F5">
            <wp:simplePos x="0" y="0"/>
            <wp:positionH relativeFrom="column">
              <wp:posOffset>3596640</wp:posOffset>
            </wp:positionH>
            <wp:positionV relativeFrom="paragraph">
              <wp:posOffset>81280</wp:posOffset>
            </wp:positionV>
            <wp:extent cx="2399030" cy="3676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99030" cy="3676650"/>
                    </a:xfrm>
                    <a:prstGeom prst="rect">
                      <a:avLst/>
                    </a:prstGeom>
                    <a:noFill/>
                  </pic:spPr>
                </pic:pic>
              </a:graphicData>
            </a:graphic>
            <wp14:sizeRelH relativeFrom="page">
              <wp14:pctWidth>0</wp14:pctWidth>
            </wp14:sizeRelH>
            <wp14:sizeRelV relativeFrom="page">
              <wp14:pctHeight>0</wp14:pctHeight>
            </wp14:sizeRelV>
          </wp:anchor>
        </w:drawing>
      </w:r>
      <w:r w:rsidRPr="00AC4AE1">
        <w:rPr>
          <w:rFonts w:ascii="Sylfaen" w:eastAsia="Segoe UI" w:hAnsi="Sylfaen" w:cs="Segoe UI"/>
          <w:lang w:val="ka-GE"/>
        </w:rPr>
        <w:t xml:space="preserve">2013 წლიდან დაფიქსირდა სამედიცინო მომსახურების უტილიზაციის ზრდა, 2016 წელს ამბულატორიულ მიმართვათა რაოდენობამ ერთ სულ მოსახლეზე შეადგინა - 4.0  (2012 წელს – 2.3), ხოლო ჰოსპიტალიზაციის მაჩვენებელი 100 სულ მოსახლეზე გაიზარდა 8.0-დან (2012) 13.3-მდე (2016). </w:t>
      </w:r>
    </w:p>
    <w:p w14:paraId="0296D0F6" w14:textId="77777777" w:rsidR="00AC4AE1" w:rsidRDefault="00AC4AE1" w:rsidP="00AC4AE1">
      <w:pPr>
        <w:ind w:right="50"/>
        <w:jc w:val="both"/>
        <w:rPr>
          <w:rFonts w:ascii="Sylfaen" w:hAnsi="Sylfaen"/>
          <w:lang w:val="ka-GE"/>
        </w:rPr>
      </w:pPr>
      <w:r w:rsidRPr="002C6A95">
        <w:rPr>
          <w:rFonts w:ascii="Sylfaen" w:hAnsi="Sylfaen"/>
          <w:lang w:val="ka-GE"/>
        </w:rPr>
        <w:t xml:space="preserve">2014 წელს აშშ საერთაშორისო განვითარების სააგენტოს მიერ ჩატარებული კვლევის თანახმად, </w:t>
      </w:r>
      <w:r>
        <w:rPr>
          <w:rFonts w:ascii="Sylfaen" w:hAnsi="Sylfaen"/>
          <w:lang w:val="ka-GE"/>
        </w:rPr>
        <w:t xml:space="preserve">გამოკითხულ </w:t>
      </w:r>
      <w:r w:rsidRPr="002C6A95">
        <w:rPr>
          <w:rFonts w:ascii="Sylfaen" w:hAnsi="Sylfaen"/>
          <w:lang w:val="ka-GE"/>
        </w:rPr>
        <w:t>ბენეფიციართა 80.3% კმაყოფილი იყო საყოველთაო ჯანდაცვის პროგრამით მიღებული ამბულატორიული სერვისით, ხოლო 96.4% კმაყოფილებას გამოთქვამდა ჰოსპიტალურ დონეზე მიღებული გადაუდებელი სამედიცინო მომსახურებით.</w:t>
      </w:r>
      <w:r>
        <w:rPr>
          <w:rFonts w:ascii="Sylfaen" w:hAnsi="Sylfaen"/>
          <w:lang w:val="ka-GE"/>
        </w:rPr>
        <w:t xml:space="preserve"> ამასთანავე, კვლევის მონაცემებით, მოსახლეობის 77%-ზე მეტი აღნიშნავს, რომ საყოველთაო ჯანდაცვის პროგრამის ამოქმედებით გაიზარდა მათი ფინანსური ხელმისაწვდომობა ამბულატორიულ და სტაციონარულ სერვისებზე</w:t>
      </w:r>
      <w:r w:rsidR="00435AE8">
        <w:rPr>
          <w:rFonts w:ascii="Sylfaen" w:hAnsi="Sylfaen"/>
          <w:lang w:val="ka-GE"/>
        </w:rPr>
        <w:t>.</w:t>
      </w:r>
    </w:p>
    <w:p w14:paraId="785AAA69" w14:textId="77777777" w:rsidR="00076472" w:rsidRDefault="00076472" w:rsidP="00AC4AE1">
      <w:pPr>
        <w:ind w:right="50"/>
        <w:jc w:val="both"/>
        <w:rPr>
          <w:rFonts w:ascii="Sylfaen" w:hAnsi="Sylfaen"/>
          <w:lang w:val="ka-GE"/>
        </w:rPr>
      </w:pPr>
    </w:p>
    <w:p w14:paraId="49487641" w14:textId="37FB3BBB" w:rsidR="00076472" w:rsidRDefault="000B74E7" w:rsidP="00AC4AE1">
      <w:pPr>
        <w:ind w:right="50"/>
        <w:jc w:val="both"/>
        <w:rPr>
          <w:rFonts w:ascii="Sylfaen" w:hAnsi="Sylfaen"/>
          <w:lang w:val="ka-GE"/>
        </w:rPr>
      </w:pPr>
      <w:r>
        <w:rPr>
          <w:rFonts w:ascii="Sylfaen" w:hAnsi="Sylfaen"/>
          <w:lang w:val="ka-GE"/>
        </w:rPr>
        <w:t>ჯანდაცვის სერვისების მოხმარებისა და დანახარჯების კვლევის შედეგებით, შემცირდა გამკითხულტა წილი, რომლებიც ავადმყოფობის დროს ვერ მიდიოდნენ ექიმთან, ვერ იტარებდნენ ლაბორატორიულ კვლევებს, ვერ ირებდნენ ჰოსპიტალურ მომსახურებას და ვერ ყიდულობდნენ მედიკამენტებს ფინანსური სახსრების არ ქონის გამო</w:t>
      </w:r>
    </w:p>
    <w:p w14:paraId="4E507457" w14:textId="77777777" w:rsidR="00DC1FE2" w:rsidRDefault="00DC1FE2" w:rsidP="00076472">
      <w:pPr>
        <w:rPr>
          <w:rFonts w:ascii="Sylfaen" w:hAnsi="Sylfaen"/>
          <w:lang w:val="ka-GE"/>
        </w:rPr>
      </w:pPr>
    </w:p>
    <w:p w14:paraId="15E4749F" w14:textId="77777777" w:rsidR="00076472" w:rsidRPr="001901C1" w:rsidRDefault="00076472" w:rsidP="00076472">
      <w:pPr>
        <w:rPr>
          <w:rFonts w:ascii="Sylfaen" w:hAnsi="Sylfaen"/>
          <w:lang w:val="ka-GE"/>
        </w:rPr>
      </w:pPr>
      <w:bookmarkStart w:id="1" w:name="_GoBack"/>
      <w:bookmarkEnd w:id="1"/>
      <w:r w:rsidRPr="001901C1">
        <w:rPr>
          <w:rFonts w:ascii="Sylfaen" w:hAnsi="Sylfaen"/>
          <w:lang w:val="ka-GE"/>
        </w:rPr>
        <w:t>ჯანდაცვის სერვისებზე უზრუნველყოფის შეფასების რამდენიმე ინდიკატორი</w:t>
      </w:r>
    </w:p>
    <w:p w14:paraId="6490F248" w14:textId="2ED5DD50" w:rsidR="002C2FBD" w:rsidRDefault="00343DDF" w:rsidP="00AC4AE1">
      <w:pPr>
        <w:ind w:right="50"/>
        <w:jc w:val="both"/>
        <w:rPr>
          <w:rFonts w:ascii="Sylfaen" w:eastAsia="Segoe UI" w:hAnsi="Sylfaen" w:cs="Segoe UI"/>
          <w:lang w:val="ka-GE"/>
        </w:rPr>
      </w:pPr>
      <w:r>
        <w:rPr>
          <w:rFonts w:ascii="Sylfaen" w:eastAsia="Segoe UI" w:hAnsi="Sylfaen" w:cs="Segoe UI"/>
          <w:noProof/>
        </w:rPr>
        <w:lastRenderedPageBreak/>
        <w:drawing>
          <wp:inline distT="0" distB="0" distL="0" distR="0" wp14:anchorId="5D97FF3B" wp14:editId="38AFBD93">
            <wp:extent cx="5486400" cy="3200400"/>
            <wp:effectExtent l="0" t="0" r="19050" b="1905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D770E4A" w14:textId="77777777" w:rsidR="001A7F18" w:rsidRDefault="001A7F18" w:rsidP="00AC4AE1">
      <w:pPr>
        <w:ind w:right="50"/>
        <w:jc w:val="both"/>
        <w:rPr>
          <w:rFonts w:ascii="Sylfaen" w:eastAsia="Segoe UI" w:hAnsi="Sylfaen" w:cs="Segoe UI"/>
          <w:lang w:val="ka-GE"/>
        </w:rPr>
      </w:pPr>
    </w:p>
    <w:p w14:paraId="2B6BE169" w14:textId="77777777" w:rsidR="001A7F18" w:rsidRPr="00AC4AE1" w:rsidRDefault="001A7F18" w:rsidP="00AC4AE1">
      <w:pPr>
        <w:ind w:right="50"/>
        <w:jc w:val="both"/>
        <w:rPr>
          <w:rFonts w:ascii="Sylfaen" w:eastAsia="Segoe UI" w:hAnsi="Sylfaen" w:cs="Segoe UI"/>
          <w:lang w:val="ka-GE"/>
        </w:rPr>
      </w:pPr>
    </w:p>
    <w:p w14:paraId="27ABB26A" w14:textId="77777777" w:rsidR="00AC4AE1" w:rsidRPr="00AC4AE1" w:rsidRDefault="00AC4AE1" w:rsidP="00AC4AE1">
      <w:pPr>
        <w:pStyle w:val="ListParagraph"/>
        <w:numPr>
          <w:ilvl w:val="0"/>
          <w:numId w:val="2"/>
        </w:numPr>
        <w:rPr>
          <w:rFonts w:ascii="Sylfaen" w:hAnsi="Sylfaen"/>
          <w:highlight w:val="yellow"/>
          <w:lang w:val="ka-GE"/>
        </w:rPr>
      </w:pPr>
      <w:r w:rsidRPr="00AC4AE1">
        <w:rPr>
          <w:rFonts w:ascii="Sylfaen" w:hAnsi="Sylfaen"/>
          <w:highlight w:val="yellow"/>
          <w:lang w:val="ka-GE"/>
        </w:rPr>
        <w:t>საყოველთაო ჯანდაცვის პროგრამა</w:t>
      </w:r>
      <w:r w:rsidR="00817771">
        <w:rPr>
          <w:rFonts w:ascii="Sylfaen" w:hAnsi="Sylfaen"/>
          <w:highlight w:val="yellow"/>
          <w:lang w:val="ka-GE"/>
        </w:rPr>
        <w:t>ის გამოქვევები და</w:t>
      </w:r>
      <w:r w:rsidRPr="00AC4AE1">
        <w:rPr>
          <w:rFonts w:ascii="Sylfaen" w:hAnsi="Sylfaen"/>
          <w:highlight w:val="yellow"/>
          <w:lang w:val="ka-GE"/>
        </w:rPr>
        <w:t xml:space="preserve"> დაგეგმილი სიახლეები</w:t>
      </w:r>
    </w:p>
    <w:p w14:paraId="00E84276" w14:textId="77777777" w:rsidR="00535C94" w:rsidRPr="00817771" w:rsidRDefault="00435AE8" w:rsidP="007E3619">
      <w:pPr>
        <w:numPr>
          <w:ilvl w:val="0"/>
          <w:numId w:val="9"/>
        </w:numPr>
        <w:rPr>
          <w:rFonts w:ascii="Sylfaen" w:hAnsi="Sylfaen"/>
        </w:rPr>
      </w:pPr>
      <w:r w:rsidRPr="00817771">
        <w:rPr>
          <w:rFonts w:ascii="Sylfaen" w:hAnsi="Sylfaen"/>
          <w:bCs/>
          <w:lang w:val="ka-GE"/>
        </w:rPr>
        <w:t>ჯანდაცვაზე სახელმწიფო დანახარჯები კვლავ დაბალია ევროპის ქვეყნებთან შედარებით</w:t>
      </w:r>
    </w:p>
    <w:p w14:paraId="694A53F3" w14:textId="77777777" w:rsidR="00535C94" w:rsidRPr="00817771" w:rsidRDefault="007E3619" w:rsidP="007E3619">
      <w:pPr>
        <w:numPr>
          <w:ilvl w:val="1"/>
          <w:numId w:val="9"/>
        </w:numPr>
        <w:rPr>
          <w:rFonts w:ascii="Sylfaen" w:hAnsi="Sylfaen"/>
        </w:rPr>
      </w:pPr>
      <w:r w:rsidRPr="00817771">
        <w:rPr>
          <w:rFonts w:ascii="Sylfaen" w:hAnsi="Sylfaen"/>
          <w:bCs/>
          <w:lang w:val="ka-GE"/>
        </w:rPr>
        <w:t xml:space="preserve">მთავრობა </w:t>
      </w:r>
      <w:r w:rsidR="00817771" w:rsidRPr="00817771">
        <w:rPr>
          <w:rFonts w:ascii="Sylfaen" w:hAnsi="Sylfaen"/>
          <w:bCs/>
          <w:lang w:val="ka-GE"/>
        </w:rPr>
        <w:t>ყოველწლირად ზრდის ჯანდაცვაზე გამოყოფილი თანხების ოდენობას</w:t>
      </w:r>
    </w:p>
    <w:p w14:paraId="63837C20" w14:textId="77777777" w:rsidR="00535C94" w:rsidRPr="00817771" w:rsidRDefault="007E3619" w:rsidP="007E3619">
      <w:pPr>
        <w:numPr>
          <w:ilvl w:val="0"/>
          <w:numId w:val="13"/>
        </w:numPr>
        <w:rPr>
          <w:rFonts w:ascii="Sylfaen" w:hAnsi="Sylfaen"/>
        </w:rPr>
      </w:pPr>
      <w:r w:rsidRPr="00817771">
        <w:rPr>
          <w:rFonts w:ascii="Sylfaen" w:hAnsi="Sylfaen"/>
          <w:bCs/>
        </w:rPr>
        <w:t xml:space="preserve">▪    </w:t>
      </w:r>
      <w:r w:rsidR="00435AE8" w:rsidRPr="00817771">
        <w:rPr>
          <w:rFonts w:ascii="Sylfaen" w:hAnsi="Sylfaen"/>
          <w:bCs/>
          <w:lang w:val="ka-GE"/>
        </w:rPr>
        <w:t>მაღალია ამბულატორიულ მედიკამენტებზე დანახარჯები</w:t>
      </w:r>
    </w:p>
    <w:p w14:paraId="463DBDAD" w14:textId="77777777" w:rsidR="00535C94" w:rsidRPr="00817771" w:rsidRDefault="007E3619" w:rsidP="007E3619">
      <w:pPr>
        <w:numPr>
          <w:ilvl w:val="1"/>
          <w:numId w:val="10"/>
        </w:numPr>
        <w:rPr>
          <w:rFonts w:ascii="Sylfaen" w:hAnsi="Sylfaen"/>
        </w:rPr>
      </w:pPr>
      <w:r w:rsidRPr="00817771">
        <w:rPr>
          <w:rFonts w:ascii="Sylfaen" w:hAnsi="Sylfaen"/>
          <w:bCs/>
          <w:lang w:val="ka-GE"/>
        </w:rPr>
        <w:t>ქრონიკული დაავადებების სამკურნალო მედიკამენტების პროგრამის გაფართოება მოსარგებლეების და მედიკამენტების ჩამონათვალის მხრივ</w:t>
      </w:r>
    </w:p>
    <w:p w14:paraId="49A27ED2" w14:textId="77777777" w:rsidR="00535C94" w:rsidRPr="00817771" w:rsidRDefault="00435AE8" w:rsidP="007E3619">
      <w:pPr>
        <w:numPr>
          <w:ilvl w:val="0"/>
          <w:numId w:val="14"/>
        </w:numPr>
        <w:rPr>
          <w:rFonts w:ascii="Sylfaen" w:hAnsi="Sylfaen"/>
        </w:rPr>
      </w:pPr>
      <w:r w:rsidRPr="00817771">
        <w:rPr>
          <w:rFonts w:ascii="Sylfaen" w:hAnsi="Sylfaen"/>
          <w:bCs/>
          <w:lang w:val="ka-GE"/>
        </w:rPr>
        <w:t>დასანერგია შესყიდვების და ხარჯების შეკავების ახალი მექანიზმები</w:t>
      </w:r>
    </w:p>
    <w:p w14:paraId="79E82A7B" w14:textId="77777777" w:rsidR="00817771" w:rsidRPr="00817771" w:rsidRDefault="00817771" w:rsidP="00817771">
      <w:pPr>
        <w:numPr>
          <w:ilvl w:val="1"/>
          <w:numId w:val="11"/>
        </w:numPr>
        <w:rPr>
          <w:rFonts w:ascii="Sylfaen" w:hAnsi="Sylfaen"/>
          <w:bCs/>
        </w:rPr>
      </w:pPr>
      <w:r w:rsidRPr="00817771">
        <w:rPr>
          <w:rFonts w:ascii="Sylfaen" w:hAnsi="Sylfaen"/>
          <w:bCs/>
          <w:lang w:val="ka-GE"/>
        </w:rPr>
        <w:t>აქტიური შესყიდვის ინსტრუმენტების დაბერგვა</w:t>
      </w:r>
    </w:p>
    <w:p w14:paraId="5AB2BBF9" w14:textId="77777777" w:rsidR="00535C94" w:rsidRPr="00817771" w:rsidRDefault="00435AE8" w:rsidP="00817771">
      <w:pPr>
        <w:numPr>
          <w:ilvl w:val="1"/>
          <w:numId w:val="11"/>
        </w:numPr>
        <w:rPr>
          <w:rFonts w:ascii="Sylfaen" w:hAnsi="Sylfaen"/>
          <w:bCs/>
        </w:rPr>
      </w:pPr>
      <w:r w:rsidRPr="00817771">
        <w:rPr>
          <w:rFonts w:ascii="Sylfaen" w:hAnsi="Sylfaen"/>
          <w:bCs/>
          <w:lang w:val="ka-GE"/>
        </w:rPr>
        <w:t xml:space="preserve">სელექტიურ კონტრაქტირების </w:t>
      </w:r>
      <w:r w:rsidR="00817771" w:rsidRPr="00817771">
        <w:rPr>
          <w:rFonts w:ascii="Sylfaen" w:hAnsi="Sylfaen"/>
          <w:bCs/>
          <w:lang w:val="ka-GE"/>
        </w:rPr>
        <w:t>გაფართოება</w:t>
      </w:r>
    </w:p>
    <w:p w14:paraId="15E23313" w14:textId="77777777" w:rsidR="00817771" w:rsidRPr="00817771" w:rsidRDefault="00817771" w:rsidP="00817771">
      <w:pPr>
        <w:numPr>
          <w:ilvl w:val="1"/>
          <w:numId w:val="11"/>
        </w:numPr>
        <w:rPr>
          <w:rFonts w:ascii="Sylfaen" w:hAnsi="Sylfaen"/>
          <w:bCs/>
        </w:rPr>
      </w:pPr>
      <w:r w:rsidRPr="00817771">
        <w:rPr>
          <w:rFonts w:ascii="Sylfaen" w:hAnsi="Sylfaen"/>
          <w:bCs/>
          <w:lang w:val="ka-GE"/>
        </w:rPr>
        <w:t>შედეგებზე ორიენტირებული მომსახურების ანაზღაურების მექანიზმების დანერგვა</w:t>
      </w:r>
    </w:p>
    <w:p w14:paraId="21CE1DCC" w14:textId="77777777" w:rsidR="003B24B5" w:rsidRPr="007E3619" w:rsidRDefault="003B24B5" w:rsidP="007E3619">
      <w:pPr>
        <w:rPr>
          <w:rFonts w:ascii="Sylfaen" w:hAnsi="Sylfaen"/>
        </w:rPr>
      </w:pPr>
    </w:p>
    <w:p w14:paraId="7B59CFEE" w14:textId="77777777" w:rsidR="00AC4AE1" w:rsidRPr="00C21A2E" w:rsidRDefault="00AC4AE1" w:rsidP="00C21A2E">
      <w:pPr>
        <w:rPr>
          <w:rFonts w:ascii="Sylfaen" w:hAnsi="Sylfaen"/>
        </w:rPr>
      </w:pPr>
    </w:p>
    <w:sectPr w:rsidR="00AC4AE1" w:rsidRPr="00C21A2E">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მაია მაღლაკელიძე-ხომერიკი" w:date="2018-02-05T22:02:00Z" w:initials="MMX">
    <w:p w14:paraId="11D8810E" w14:textId="77777777" w:rsidR="001D2581" w:rsidRDefault="001D2581">
      <w:pPr>
        <w:pStyle w:val="CommentText"/>
        <w:rPr>
          <w:rFonts w:ascii="Sylfaen" w:hAnsi="Sylfaen"/>
          <w:lang w:val="ka-GE"/>
        </w:rPr>
      </w:pPr>
      <w:r>
        <w:rPr>
          <w:rStyle w:val="CommentReference"/>
        </w:rPr>
        <w:annotationRef/>
      </w:r>
      <w:r>
        <w:rPr>
          <w:rFonts w:ascii="Sylfaen" w:hAnsi="Sylfaen"/>
          <w:lang w:val="ka-GE"/>
        </w:rPr>
        <w:t>ძალიან თვალში საცემი ხომ არ არის გადაუდებელი ამბულატორიული მომსახურების წილი?</w:t>
      </w:r>
    </w:p>
    <w:p w14:paraId="39DBA4D8" w14:textId="77777777" w:rsidR="001D2581" w:rsidRPr="001D2581" w:rsidRDefault="001D2581">
      <w:pPr>
        <w:pStyle w:val="CommentText"/>
        <w:rPr>
          <w:rFonts w:ascii="Sylfaen" w:hAnsi="Sylfaen"/>
          <w:lang w:val="ka-GE"/>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CBB7A2" w15:done="0"/>
  <w15:commentEx w15:paraId="0E50BBC3" w15:done="0"/>
  <w15:commentEx w15:paraId="4A3FEF9F" w15:done="0"/>
  <w15:commentEx w15:paraId="39DBA4D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BPGNinoMedium">
    <w:altName w:val="MS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700B"/>
    <w:multiLevelType w:val="hybridMultilevel"/>
    <w:tmpl w:val="27D8CBBA"/>
    <w:lvl w:ilvl="0" w:tplc="36BADAAA">
      <w:start w:val="1"/>
      <w:numFmt w:val="bullet"/>
      <w:lvlText w:val=""/>
      <w:lvlJc w:val="left"/>
      <w:pPr>
        <w:tabs>
          <w:tab w:val="num" w:pos="720"/>
        </w:tabs>
        <w:ind w:left="720" w:hanging="360"/>
      </w:pPr>
      <w:rPr>
        <w:rFonts w:ascii="Wingdings 3" w:hAnsi="Wingdings 3" w:hint="default"/>
      </w:rPr>
    </w:lvl>
    <w:lvl w:ilvl="1" w:tplc="39944E54" w:tentative="1">
      <w:start w:val="1"/>
      <w:numFmt w:val="bullet"/>
      <w:lvlText w:val=""/>
      <w:lvlJc w:val="left"/>
      <w:pPr>
        <w:tabs>
          <w:tab w:val="num" w:pos="1440"/>
        </w:tabs>
        <w:ind w:left="1440" w:hanging="360"/>
      </w:pPr>
      <w:rPr>
        <w:rFonts w:ascii="Wingdings 3" w:hAnsi="Wingdings 3" w:hint="default"/>
      </w:rPr>
    </w:lvl>
    <w:lvl w:ilvl="2" w:tplc="73EA5E82" w:tentative="1">
      <w:start w:val="1"/>
      <w:numFmt w:val="bullet"/>
      <w:lvlText w:val=""/>
      <w:lvlJc w:val="left"/>
      <w:pPr>
        <w:tabs>
          <w:tab w:val="num" w:pos="2160"/>
        </w:tabs>
        <w:ind w:left="2160" w:hanging="360"/>
      </w:pPr>
      <w:rPr>
        <w:rFonts w:ascii="Wingdings 3" w:hAnsi="Wingdings 3" w:hint="default"/>
      </w:rPr>
    </w:lvl>
    <w:lvl w:ilvl="3" w:tplc="21E494FC" w:tentative="1">
      <w:start w:val="1"/>
      <w:numFmt w:val="bullet"/>
      <w:lvlText w:val=""/>
      <w:lvlJc w:val="left"/>
      <w:pPr>
        <w:tabs>
          <w:tab w:val="num" w:pos="2880"/>
        </w:tabs>
        <w:ind w:left="2880" w:hanging="360"/>
      </w:pPr>
      <w:rPr>
        <w:rFonts w:ascii="Wingdings 3" w:hAnsi="Wingdings 3" w:hint="default"/>
      </w:rPr>
    </w:lvl>
    <w:lvl w:ilvl="4" w:tplc="120A5C88" w:tentative="1">
      <w:start w:val="1"/>
      <w:numFmt w:val="bullet"/>
      <w:lvlText w:val=""/>
      <w:lvlJc w:val="left"/>
      <w:pPr>
        <w:tabs>
          <w:tab w:val="num" w:pos="3600"/>
        </w:tabs>
        <w:ind w:left="3600" w:hanging="360"/>
      </w:pPr>
      <w:rPr>
        <w:rFonts w:ascii="Wingdings 3" w:hAnsi="Wingdings 3" w:hint="default"/>
      </w:rPr>
    </w:lvl>
    <w:lvl w:ilvl="5" w:tplc="5ADAE9EC" w:tentative="1">
      <w:start w:val="1"/>
      <w:numFmt w:val="bullet"/>
      <w:lvlText w:val=""/>
      <w:lvlJc w:val="left"/>
      <w:pPr>
        <w:tabs>
          <w:tab w:val="num" w:pos="4320"/>
        </w:tabs>
        <w:ind w:left="4320" w:hanging="360"/>
      </w:pPr>
      <w:rPr>
        <w:rFonts w:ascii="Wingdings 3" w:hAnsi="Wingdings 3" w:hint="default"/>
      </w:rPr>
    </w:lvl>
    <w:lvl w:ilvl="6" w:tplc="91F028B8" w:tentative="1">
      <w:start w:val="1"/>
      <w:numFmt w:val="bullet"/>
      <w:lvlText w:val=""/>
      <w:lvlJc w:val="left"/>
      <w:pPr>
        <w:tabs>
          <w:tab w:val="num" w:pos="5040"/>
        </w:tabs>
        <w:ind w:left="5040" w:hanging="360"/>
      </w:pPr>
      <w:rPr>
        <w:rFonts w:ascii="Wingdings 3" w:hAnsi="Wingdings 3" w:hint="default"/>
      </w:rPr>
    </w:lvl>
    <w:lvl w:ilvl="7" w:tplc="8A3EF3B4" w:tentative="1">
      <w:start w:val="1"/>
      <w:numFmt w:val="bullet"/>
      <w:lvlText w:val=""/>
      <w:lvlJc w:val="left"/>
      <w:pPr>
        <w:tabs>
          <w:tab w:val="num" w:pos="5760"/>
        </w:tabs>
        <w:ind w:left="5760" w:hanging="360"/>
      </w:pPr>
      <w:rPr>
        <w:rFonts w:ascii="Wingdings 3" w:hAnsi="Wingdings 3" w:hint="default"/>
      </w:rPr>
    </w:lvl>
    <w:lvl w:ilvl="8" w:tplc="C0760A30" w:tentative="1">
      <w:start w:val="1"/>
      <w:numFmt w:val="bullet"/>
      <w:lvlText w:val=""/>
      <w:lvlJc w:val="left"/>
      <w:pPr>
        <w:tabs>
          <w:tab w:val="num" w:pos="6480"/>
        </w:tabs>
        <w:ind w:left="6480" w:hanging="360"/>
      </w:pPr>
      <w:rPr>
        <w:rFonts w:ascii="Wingdings 3" w:hAnsi="Wingdings 3" w:hint="default"/>
      </w:rPr>
    </w:lvl>
  </w:abstractNum>
  <w:abstractNum w:abstractNumId="1">
    <w:nsid w:val="111910C4"/>
    <w:multiLevelType w:val="hybridMultilevel"/>
    <w:tmpl w:val="DDD28042"/>
    <w:lvl w:ilvl="0" w:tplc="EA288162">
      <w:start w:val="1"/>
      <w:numFmt w:val="bullet"/>
      <w:lvlText w:val="–"/>
      <w:lvlJc w:val="left"/>
      <w:pPr>
        <w:tabs>
          <w:tab w:val="num" w:pos="720"/>
        </w:tabs>
        <w:ind w:left="720" w:hanging="360"/>
      </w:pPr>
      <w:rPr>
        <w:rFonts w:ascii="Arial" w:hAnsi="Arial" w:hint="default"/>
      </w:rPr>
    </w:lvl>
    <w:lvl w:ilvl="1" w:tplc="3430674A">
      <w:start w:val="1"/>
      <w:numFmt w:val="bullet"/>
      <w:lvlText w:val="–"/>
      <w:lvlJc w:val="left"/>
      <w:pPr>
        <w:tabs>
          <w:tab w:val="num" w:pos="1440"/>
        </w:tabs>
        <w:ind w:left="1440" w:hanging="360"/>
      </w:pPr>
      <w:rPr>
        <w:rFonts w:ascii="Arial" w:hAnsi="Arial" w:hint="default"/>
      </w:rPr>
    </w:lvl>
    <w:lvl w:ilvl="2" w:tplc="FF5E6D92" w:tentative="1">
      <w:start w:val="1"/>
      <w:numFmt w:val="bullet"/>
      <w:lvlText w:val="–"/>
      <w:lvlJc w:val="left"/>
      <w:pPr>
        <w:tabs>
          <w:tab w:val="num" w:pos="2160"/>
        </w:tabs>
        <w:ind w:left="2160" w:hanging="360"/>
      </w:pPr>
      <w:rPr>
        <w:rFonts w:ascii="Arial" w:hAnsi="Arial" w:hint="default"/>
      </w:rPr>
    </w:lvl>
    <w:lvl w:ilvl="3" w:tplc="F17E2368" w:tentative="1">
      <w:start w:val="1"/>
      <w:numFmt w:val="bullet"/>
      <w:lvlText w:val="–"/>
      <w:lvlJc w:val="left"/>
      <w:pPr>
        <w:tabs>
          <w:tab w:val="num" w:pos="2880"/>
        </w:tabs>
        <w:ind w:left="2880" w:hanging="360"/>
      </w:pPr>
      <w:rPr>
        <w:rFonts w:ascii="Arial" w:hAnsi="Arial" w:hint="default"/>
      </w:rPr>
    </w:lvl>
    <w:lvl w:ilvl="4" w:tplc="D4A0A1D6" w:tentative="1">
      <w:start w:val="1"/>
      <w:numFmt w:val="bullet"/>
      <w:lvlText w:val="–"/>
      <w:lvlJc w:val="left"/>
      <w:pPr>
        <w:tabs>
          <w:tab w:val="num" w:pos="3600"/>
        </w:tabs>
        <w:ind w:left="3600" w:hanging="360"/>
      </w:pPr>
      <w:rPr>
        <w:rFonts w:ascii="Arial" w:hAnsi="Arial" w:hint="default"/>
      </w:rPr>
    </w:lvl>
    <w:lvl w:ilvl="5" w:tplc="16040312" w:tentative="1">
      <w:start w:val="1"/>
      <w:numFmt w:val="bullet"/>
      <w:lvlText w:val="–"/>
      <w:lvlJc w:val="left"/>
      <w:pPr>
        <w:tabs>
          <w:tab w:val="num" w:pos="4320"/>
        </w:tabs>
        <w:ind w:left="4320" w:hanging="360"/>
      </w:pPr>
      <w:rPr>
        <w:rFonts w:ascii="Arial" w:hAnsi="Arial" w:hint="default"/>
      </w:rPr>
    </w:lvl>
    <w:lvl w:ilvl="6" w:tplc="04D4ACBA" w:tentative="1">
      <w:start w:val="1"/>
      <w:numFmt w:val="bullet"/>
      <w:lvlText w:val="–"/>
      <w:lvlJc w:val="left"/>
      <w:pPr>
        <w:tabs>
          <w:tab w:val="num" w:pos="5040"/>
        </w:tabs>
        <w:ind w:left="5040" w:hanging="360"/>
      </w:pPr>
      <w:rPr>
        <w:rFonts w:ascii="Arial" w:hAnsi="Arial" w:hint="default"/>
      </w:rPr>
    </w:lvl>
    <w:lvl w:ilvl="7" w:tplc="117AE1C8" w:tentative="1">
      <w:start w:val="1"/>
      <w:numFmt w:val="bullet"/>
      <w:lvlText w:val="–"/>
      <w:lvlJc w:val="left"/>
      <w:pPr>
        <w:tabs>
          <w:tab w:val="num" w:pos="5760"/>
        </w:tabs>
        <w:ind w:left="5760" w:hanging="360"/>
      </w:pPr>
      <w:rPr>
        <w:rFonts w:ascii="Arial" w:hAnsi="Arial" w:hint="default"/>
      </w:rPr>
    </w:lvl>
    <w:lvl w:ilvl="8" w:tplc="4FE69158" w:tentative="1">
      <w:start w:val="1"/>
      <w:numFmt w:val="bullet"/>
      <w:lvlText w:val="–"/>
      <w:lvlJc w:val="left"/>
      <w:pPr>
        <w:tabs>
          <w:tab w:val="num" w:pos="6480"/>
        </w:tabs>
        <w:ind w:left="6480" w:hanging="360"/>
      </w:pPr>
      <w:rPr>
        <w:rFonts w:ascii="Arial" w:hAnsi="Arial" w:hint="default"/>
      </w:rPr>
    </w:lvl>
  </w:abstractNum>
  <w:abstractNum w:abstractNumId="2">
    <w:nsid w:val="197C4D0D"/>
    <w:multiLevelType w:val="hybridMultilevel"/>
    <w:tmpl w:val="45D43032"/>
    <w:lvl w:ilvl="0" w:tplc="52C00C7C">
      <w:start w:val="1"/>
      <w:numFmt w:val="bullet"/>
      <w:lvlText w:val=""/>
      <w:lvlJc w:val="left"/>
      <w:pPr>
        <w:tabs>
          <w:tab w:val="num" w:pos="720"/>
        </w:tabs>
        <w:ind w:left="720" w:hanging="360"/>
      </w:pPr>
      <w:rPr>
        <w:rFonts w:ascii="Wingdings 3" w:hAnsi="Wingdings 3" w:hint="default"/>
      </w:rPr>
    </w:lvl>
    <w:lvl w:ilvl="1" w:tplc="7214E884" w:tentative="1">
      <w:start w:val="1"/>
      <w:numFmt w:val="bullet"/>
      <w:lvlText w:val=""/>
      <w:lvlJc w:val="left"/>
      <w:pPr>
        <w:tabs>
          <w:tab w:val="num" w:pos="1440"/>
        </w:tabs>
        <w:ind w:left="1440" w:hanging="360"/>
      </w:pPr>
      <w:rPr>
        <w:rFonts w:ascii="Wingdings 3" w:hAnsi="Wingdings 3" w:hint="default"/>
      </w:rPr>
    </w:lvl>
    <w:lvl w:ilvl="2" w:tplc="AB685194" w:tentative="1">
      <w:start w:val="1"/>
      <w:numFmt w:val="bullet"/>
      <w:lvlText w:val=""/>
      <w:lvlJc w:val="left"/>
      <w:pPr>
        <w:tabs>
          <w:tab w:val="num" w:pos="2160"/>
        </w:tabs>
        <w:ind w:left="2160" w:hanging="360"/>
      </w:pPr>
      <w:rPr>
        <w:rFonts w:ascii="Wingdings 3" w:hAnsi="Wingdings 3" w:hint="default"/>
      </w:rPr>
    </w:lvl>
    <w:lvl w:ilvl="3" w:tplc="24844D54" w:tentative="1">
      <w:start w:val="1"/>
      <w:numFmt w:val="bullet"/>
      <w:lvlText w:val=""/>
      <w:lvlJc w:val="left"/>
      <w:pPr>
        <w:tabs>
          <w:tab w:val="num" w:pos="2880"/>
        </w:tabs>
        <w:ind w:left="2880" w:hanging="360"/>
      </w:pPr>
      <w:rPr>
        <w:rFonts w:ascii="Wingdings 3" w:hAnsi="Wingdings 3" w:hint="default"/>
      </w:rPr>
    </w:lvl>
    <w:lvl w:ilvl="4" w:tplc="0C64D308" w:tentative="1">
      <w:start w:val="1"/>
      <w:numFmt w:val="bullet"/>
      <w:lvlText w:val=""/>
      <w:lvlJc w:val="left"/>
      <w:pPr>
        <w:tabs>
          <w:tab w:val="num" w:pos="3600"/>
        </w:tabs>
        <w:ind w:left="3600" w:hanging="360"/>
      </w:pPr>
      <w:rPr>
        <w:rFonts w:ascii="Wingdings 3" w:hAnsi="Wingdings 3" w:hint="default"/>
      </w:rPr>
    </w:lvl>
    <w:lvl w:ilvl="5" w:tplc="554821AC" w:tentative="1">
      <w:start w:val="1"/>
      <w:numFmt w:val="bullet"/>
      <w:lvlText w:val=""/>
      <w:lvlJc w:val="left"/>
      <w:pPr>
        <w:tabs>
          <w:tab w:val="num" w:pos="4320"/>
        </w:tabs>
        <w:ind w:left="4320" w:hanging="360"/>
      </w:pPr>
      <w:rPr>
        <w:rFonts w:ascii="Wingdings 3" w:hAnsi="Wingdings 3" w:hint="default"/>
      </w:rPr>
    </w:lvl>
    <w:lvl w:ilvl="6" w:tplc="04347842" w:tentative="1">
      <w:start w:val="1"/>
      <w:numFmt w:val="bullet"/>
      <w:lvlText w:val=""/>
      <w:lvlJc w:val="left"/>
      <w:pPr>
        <w:tabs>
          <w:tab w:val="num" w:pos="5040"/>
        </w:tabs>
        <w:ind w:left="5040" w:hanging="360"/>
      </w:pPr>
      <w:rPr>
        <w:rFonts w:ascii="Wingdings 3" w:hAnsi="Wingdings 3" w:hint="default"/>
      </w:rPr>
    </w:lvl>
    <w:lvl w:ilvl="7" w:tplc="019C2264" w:tentative="1">
      <w:start w:val="1"/>
      <w:numFmt w:val="bullet"/>
      <w:lvlText w:val=""/>
      <w:lvlJc w:val="left"/>
      <w:pPr>
        <w:tabs>
          <w:tab w:val="num" w:pos="5760"/>
        </w:tabs>
        <w:ind w:left="5760" w:hanging="360"/>
      </w:pPr>
      <w:rPr>
        <w:rFonts w:ascii="Wingdings 3" w:hAnsi="Wingdings 3" w:hint="default"/>
      </w:rPr>
    </w:lvl>
    <w:lvl w:ilvl="8" w:tplc="D136BB54" w:tentative="1">
      <w:start w:val="1"/>
      <w:numFmt w:val="bullet"/>
      <w:lvlText w:val=""/>
      <w:lvlJc w:val="left"/>
      <w:pPr>
        <w:tabs>
          <w:tab w:val="num" w:pos="6480"/>
        </w:tabs>
        <w:ind w:left="6480" w:hanging="360"/>
      </w:pPr>
      <w:rPr>
        <w:rFonts w:ascii="Wingdings 3" w:hAnsi="Wingdings 3" w:hint="default"/>
      </w:rPr>
    </w:lvl>
  </w:abstractNum>
  <w:abstractNum w:abstractNumId="3">
    <w:nsid w:val="257377DB"/>
    <w:multiLevelType w:val="hybridMultilevel"/>
    <w:tmpl w:val="A34652D4"/>
    <w:lvl w:ilvl="0" w:tplc="0409000D">
      <w:start w:val="1"/>
      <w:numFmt w:val="bullet"/>
      <w:lvlText w:val=""/>
      <w:lvlJc w:val="left"/>
      <w:pPr>
        <w:tabs>
          <w:tab w:val="num" w:pos="1080"/>
        </w:tabs>
        <w:ind w:left="1080" w:hanging="360"/>
      </w:pPr>
      <w:rPr>
        <w:rFonts w:ascii="Wingdings" w:hAnsi="Wingdings" w:hint="default"/>
      </w:rPr>
    </w:lvl>
    <w:lvl w:ilvl="1" w:tplc="7E0C315C">
      <w:start w:val="683"/>
      <w:numFmt w:val="bullet"/>
      <w:lvlText w:val="◦"/>
      <w:lvlJc w:val="left"/>
      <w:pPr>
        <w:tabs>
          <w:tab w:val="num" w:pos="1800"/>
        </w:tabs>
        <w:ind w:left="1800" w:hanging="360"/>
      </w:pPr>
      <w:rPr>
        <w:rFonts w:ascii="Verdana" w:hAnsi="Verdana" w:hint="default"/>
      </w:rPr>
    </w:lvl>
    <w:lvl w:ilvl="2" w:tplc="21C292C6">
      <w:start w:val="1"/>
      <w:numFmt w:val="bullet"/>
      <w:lvlText w:val=""/>
      <w:lvlJc w:val="left"/>
      <w:pPr>
        <w:tabs>
          <w:tab w:val="num" w:pos="2520"/>
        </w:tabs>
        <w:ind w:left="2520" w:hanging="360"/>
      </w:pPr>
      <w:rPr>
        <w:rFonts w:ascii="Wingdings 3" w:hAnsi="Wingdings 3" w:hint="default"/>
      </w:rPr>
    </w:lvl>
    <w:lvl w:ilvl="3" w:tplc="43AA59D8" w:tentative="1">
      <w:start w:val="1"/>
      <w:numFmt w:val="bullet"/>
      <w:lvlText w:val=""/>
      <w:lvlJc w:val="left"/>
      <w:pPr>
        <w:tabs>
          <w:tab w:val="num" w:pos="3240"/>
        </w:tabs>
        <w:ind w:left="3240" w:hanging="360"/>
      </w:pPr>
      <w:rPr>
        <w:rFonts w:ascii="Wingdings 3" w:hAnsi="Wingdings 3" w:hint="default"/>
      </w:rPr>
    </w:lvl>
    <w:lvl w:ilvl="4" w:tplc="2D34727A" w:tentative="1">
      <w:start w:val="1"/>
      <w:numFmt w:val="bullet"/>
      <w:lvlText w:val=""/>
      <w:lvlJc w:val="left"/>
      <w:pPr>
        <w:tabs>
          <w:tab w:val="num" w:pos="3960"/>
        </w:tabs>
        <w:ind w:left="3960" w:hanging="360"/>
      </w:pPr>
      <w:rPr>
        <w:rFonts w:ascii="Wingdings 3" w:hAnsi="Wingdings 3" w:hint="default"/>
      </w:rPr>
    </w:lvl>
    <w:lvl w:ilvl="5" w:tplc="0E70609A" w:tentative="1">
      <w:start w:val="1"/>
      <w:numFmt w:val="bullet"/>
      <w:lvlText w:val=""/>
      <w:lvlJc w:val="left"/>
      <w:pPr>
        <w:tabs>
          <w:tab w:val="num" w:pos="4680"/>
        </w:tabs>
        <w:ind w:left="4680" w:hanging="360"/>
      </w:pPr>
      <w:rPr>
        <w:rFonts w:ascii="Wingdings 3" w:hAnsi="Wingdings 3" w:hint="default"/>
      </w:rPr>
    </w:lvl>
    <w:lvl w:ilvl="6" w:tplc="90C6A498" w:tentative="1">
      <w:start w:val="1"/>
      <w:numFmt w:val="bullet"/>
      <w:lvlText w:val=""/>
      <w:lvlJc w:val="left"/>
      <w:pPr>
        <w:tabs>
          <w:tab w:val="num" w:pos="5400"/>
        </w:tabs>
        <w:ind w:left="5400" w:hanging="360"/>
      </w:pPr>
      <w:rPr>
        <w:rFonts w:ascii="Wingdings 3" w:hAnsi="Wingdings 3" w:hint="default"/>
      </w:rPr>
    </w:lvl>
    <w:lvl w:ilvl="7" w:tplc="CE8EB2D0" w:tentative="1">
      <w:start w:val="1"/>
      <w:numFmt w:val="bullet"/>
      <w:lvlText w:val=""/>
      <w:lvlJc w:val="left"/>
      <w:pPr>
        <w:tabs>
          <w:tab w:val="num" w:pos="6120"/>
        </w:tabs>
        <w:ind w:left="6120" w:hanging="360"/>
      </w:pPr>
      <w:rPr>
        <w:rFonts w:ascii="Wingdings 3" w:hAnsi="Wingdings 3" w:hint="default"/>
      </w:rPr>
    </w:lvl>
    <w:lvl w:ilvl="8" w:tplc="44F24946" w:tentative="1">
      <w:start w:val="1"/>
      <w:numFmt w:val="bullet"/>
      <w:lvlText w:val=""/>
      <w:lvlJc w:val="left"/>
      <w:pPr>
        <w:tabs>
          <w:tab w:val="num" w:pos="6840"/>
        </w:tabs>
        <w:ind w:left="6840" w:hanging="360"/>
      </w:pPr>
      <w:rPr>
        <w:rFonts w:ascii="Wingdings 3" w:hAnsi="Wingdings 3" w:hint="default"/>
      </w:rPr>
    </w:lvl>
  </w:abstractNum>
  <w:abstractNum w:abstractNumId="4">
    <w:nsid w:val="3EA57693"/>
    <w:multiLevelType w:val="hybridMultilevel"/>
    <w:tmpl w:val="6D26C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EBC0093"/>
    <w:multiLevelType w:val="hybridMultilevel"/>
    <w:tmpl w:val="DCF2A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C77E17"/>
    <w:multiLevelType w:val="hybridMultilevel"/>
    <w:tmpl w:val="19841E16"/>
    <w:lvl w:ilvl="0" w:tplc="88CECB4E">
      <w:start w:val="1"/>
      <w:numFmt w:val="bullet"/>
      <w:lvlText w:val=""/>
      <w:lvlJc w:val="left"/>
      <w:pPr>
        <w:tabs>
          <w:tab w:val="num" w:pos="720"/>
        </w:tabs>
        <w:ind w:left="720" w:hanging="360"/>
      </w:pPr>
      <w:rPr>
        <w:rFonts w:ascii="Wingdings 3" w:hAnsi="Wingdings 3" w:hint="default"/>
      </w:rPr>
    </w:lvl>
    <w:lvl w:ilvl="1" w:tplc="F0CEB4D0" w:tentative="1">
      <w:start w:val="1"/>
      <w:numFmt w:val="bullet"/>
      <w:lvlText w:val=""/>
      <w:lvlJc w:val="left"/>
      <w:pPr>
        <w:tabs>
          <w:tab w:val="num" w:pos="1440"/>
        </w:tabs>
        <w:ind w:left="1440" w:hanging="360"/>
      </w:pPr>
      <w:rPr>
        <w:rFonts w:ascii="Wingdings 3" w:hAnsi="Wingdings 3" w:hint="default"/>
      </w:rPr>
    </w:lvl>
    <w:lvl w:ilvl="2" w:tplc="15C8E760" w:tentative="1">
      <w:start w:val="1"/>
      <w:numFmt w:val="bullet"/>
      <w:lvlText w:val=""/>
      <w:lvlJc w:val="left"/>
      <w:pPr>
        <w:tabs>
          <w:tab w:val="num" w:pos="2160"/>
        </w:tabs>
        <w:ind w:left="2160" w:hanging="360"/>
      </w:pPr>
      <w:rPr>
        <w:rFonts w:ascii="Wingdings 3" w:hAnsi="Wingdings 3" w:hint="default"/>
      </w:rPr>
    </w:lvl>
    <w:lvl w:ilvl="3" w:tplc="E3D4F084" w:tentative="1">
      <w:start w:val="1"/>
      <w:numFmt w:val="bullet"/>
      <w:lvlText w:val=""/>
      <w:lvlJc w:val="left"/>
      <w:pPr>
        <w:tabs>
          <w:tab w:val="num" w:pos="2880"/>
        </w:tabs>
        <w:ind w:left="2880" w:hanging="360"/>
      </w:pPr>
      <w:rPr>
        <w:rFonts w:ascii="Wingdings 3" w:hAnsi="Wingdings 3" w:hint="default"/>
      </w:rPr>
    </w:lvl>
    <w:lvl w:ilvl="4" w:tplc="A3AA60C6" w:tentative="1">
      <w:start w:val="1"/>
      <w:numFmt w:val="bullet"/>
      <w:lvlText w:val=""/>
      <w:lvlJc w:val="left"/>
      <w:pPr>
        <w:tabs>
          <w:tab w:val="num" w:pos="3600"/>
        </w:tabs>
        <w:ind w:left="3600" w:hanging="360"/>
      </w:pPr>
      <w:rPr>
        <w:rFonts w:ascii="Wingdings 3" w:hAnsi="Wingdings 3" w:hint="default"/>
      </w:rPr>
    </w:lvl>
    <w:lvl w:ilvl="5" w:tplc="FA926A54" w:tentative="1">
      <w:start w:val="1"/>
      <w:numFmt w:val="bullet"/>
      <w:lvlText w:val=""/>
      <w:lvlJc w:val="left"/>
      <w:pPr>
        <w:tabs>
          <w:tab w:val="num" w:pos="4320"/>
        </w:tabs>
        <w:ind w:left="4320" w:hanging="360"/>
      </w:pPr>
      <w:rPr>
        <w:rFonts w:ascii="Wingdings 3" w:hAnsi="Wingdings 3" w:hint="default"/>
      </w:rPr>
    </w:lvl>
    <w:lvl w:ilvl="6" w:tplc="8C4262DA" w:tentative="1">
      <w:start w:val="1"/>
      <w:numFmt w:val="bullet"/>
      <w:lvlText w:val=""/>
      <w:lvlJc w:val="left"/>
      <w:pPr>
        <w:tabs>
          <w:tab w:val="num" w:pos="5040"/>
        </w:tabs>
        <w:ind w:left="5040" w:hanging="360"/>
      </w:pPr>
      <w:rPr>
        <w:rFonts w:ascii="Wingdings 3" w:hAnsi="Wingdings 3" w:hint="default"/>
      </w:rPr>
    </w:lvl>
    <w:lvl w:ilvl="7" w:tplc="B9A6C27E" w:tentative="1">
      <w:start w:val="1"/>
      <w:numFmt w:val="bullet"/>
      <w:lvlText w:val=""/>
      <w:lvlJc w:val="left"/>
      <w:pPr>
        <w:tabs>
          <w:tab w:val="num" w:pos="5760"/>
        </w:tabs>
        <w:ind w:left="5760" w:hanging="360"/>
      </w:pPr>
      <w:rPr>
        <w:rFonts w:ascii="Wingdings 3" w:hAnsi="Wingdings 3" w:hint="default"/>
      </w:rPr>
    </w:lvl>
    <w:lvl w:ilvl="8" w:tplc="F2F073F0" w:tentative="1">
      <w:start w:val="1"/>
      <w:numFmt w:val="bullet"/>
      <w:lvlText w:val=""/>
      <w:lvlJc w:val="left"/>
      <w:pPr>
        <w:tabs>
          <w:tab w:val="num" w:pos="6480"/>
        </w:tabs>
        <w:ind w:left="6480" w:hanging="360"/>
      </w:pPr>
      <w:rPr>
        <w:rFonts w:ascii="Wingdings 3" w:hAnsi="Wingdings 3" w:hint="default"/>
      </w:rPr>
    </w:lvl>
  </w:abstractNum>
  <w:abstractNum w:abstractNumId="7">
    <w:nsid w:val="51FE39A8"/>
    <w:multiLevelType w:val="hybridMultilevel"/>
    <w:tmpl w:val="3418F736"/>
    <w:lvl w:ilvl="0" w:tplc="9DDA4222">
      <w:start w:val="1"/>
      <w:numFmt w:val="bullet"/>
      <w:lvlText w:val=""/>
      <w:lvlJc w:val="left"/>
      <w:pPr>
        <w:tabs>
          <w:tab w:val="num" w:pos="720"/>
        </w:tabs>
        <w:ind w:left="720" w:hanging="360"/>
      </w:pPr>
      <w:rPr>
        <w:rFonts w:ascii="Wingdings 3" w:hAnsi="Wingdings 3" w:hint="default"/>
      </w:rPr>
    </w:lvl>
    <w:lvl w:ilvl="1" w:tplc="9430A1F8" w:tentative="1">
      <w:start w:val="1"/>
      <w:numFmt w:val="bullet"/>
      <w:lvlText w:val=""/>
      <w:lvlJc w:val="left"/>
      <w:pPr>
        <w:tabs>
          <w:tab w:val="num" w:pos="1440"/>
        </w:tabs>
        <w:ind w:left="1440" w:hanging="360"/>
      </w:pPr>
      <w:rPr>
        <w:rFonts w:ascii="Wingdings 3" w:hAnsi="Wingdings 3" w:hint="default"/>
      </w:rPr>
    </w:lvl>
    <w:lvl w:ilvl="2" w:tplc="18A84DEE" w:tentative="1">
      <w:start w:val="1"/>
      <w:numFmt w:val="bullet"/>
      <w:lvlText w:val=""/>
      <w:lvlJc w:val="left"/>
      <w:pPr>
        <w:tabs>
          <w:tab w:val="num" w:pos="2160"/>
        </w:tabs>
        <w:ind w:left="2160" w:hanging="360"/>
      </w:pPr>
      <w:rPr>
        <w:rFonts w:ascii="Wingdings 3" w:hAnsi="Wingdings 3" w:hint="default"/>
      </w:rPr>
    </w:lvl>
    <w:lvl w:ilvl="3" w:tplc="3CE44FFA" w:tentative="1">
      <w:start w:val="1"/>
      <w:numFmt w:val="bullet"/>
      <w:lvlText w:val=""/>
      <w:lvlJc w:val="left"/>
      <w:pPr>
        <w:tabs>
          <w:tab w:val="num" w:pos="2880"/>
        </w:tabs>
        <w:ind w:left="2880" w:hanging="360"/>
      </w:pPr>
      <w:rPr>
        <w:rFonts w:ascii="Wingdings 3" w:hAnsi="Wingdings 3" w:hint="default"/>
      </w:rPr>
    </w:lvl>
    <w:lvl w:ilvl="4" w:tplc="916673DE" w:tentative="1">
      <w:start w:val="1"/>
      <w:numFmt w:val="bullet"/>
      <w:lvlText w:val=""/>
      <w:lvlJc w:val="left"/>
      <w:pPr>
        <w:tabs>
          <w:tab w:val="num" w:pos="3600"/>
        </w:tabs>
        <w:ind w:left="3600" w:hanging="360"/>
      </w:pPr>
      <w:rPr>
        <w:rFonts w:ascii="Wingdings 3" w:hAnsi="Wingdings 3" w:hint="default"/>
      </w:rPr>
    </w:lvl>
    <w:lvl w:ilvl="5" w:tplc="99B0628C" w:tentative="1">
      <w:start w:val="1"/>
      <w:numFmt w:val="bullet"/>
      <w:lvlText w:val=""/>
      <w:lvlJc w:val="left"/>
      <w:pPr>
        <w:tabs>
          <w:tab w:val="num" w:pos="4320"/>
        </w:tabs>
        <w:ind w:left="4320" w:hanging="360"/>
      </w:pPr>
      <w:rPr>
        <w:rFonts w:ascii="Wingdings 3" w:hAnsi="Wingdings 3" w:hint="default"/>
      </w:rPr>
    </w:lvl>
    <w:lvl w:ilvl="6" w:tplc="25EEA774" w:tentative="1">
      <w:start w:val="1"/>
      <w:numFmt w:val="bullet"/>
      <w:lvlText w:val=""/>
      <w:lvlJc w:val="left"/>
      <w:pPr>
        <w:tabs>
          <w:tab w:val="num" w:pos="5040"/>
        </w:tabs>
        <w:ind w:left="5040" w:hanging="360"/>
      </w:pPr>
      <w:rPr>
        <w:rFonts w:ascii="Wingdings 3" w:hAnsi="Wingdings 3" w:hint="default"/>
      </w:rPr>
    </w:lvl>
    <w:lvl w:ilvl="7" w:tplc="BB646024" w:tentative="1">
      <w:start w:val="1"/>
      <w:numFmt w:val="bullet"/>
      <w:lvlText w:val=""/>
      <w:lvlJc w:val="left"/>
      <w:pPr>
        <w:tabs>
          <w:tab w:val="num" w:pos="5760"/>
        </w:tabs>
        <w:ind w:left="5760" w:hanging="360"/>
      </w:pPr>
      <w:rPr>
        <w:rFonts w:ascii="Wingdings 3" w:hAnsi="Wingdings 3" w:hint="default"/>
      </w:rPr>
    </w:lvl>
    <w:lvl w:ilvl="8" w:tplc="DAB26CF8" w:tentative="1">
      <w:start w:val="1"/>
      <w:numFmt w:val="bullet"/>
      <w:lvlText w:val=""/>
      <w:lvlJc w:val="left"/>
      <w:pPr>
        <w:tabs>
          <w:tab w:val="num" w:pos="6480"/>
        </w:tabs>
        <w:ind w:left="6480" w:hanging="360"/>
      </w:pPr>
      <w:rPr>
        <w:rFonts w:ascii="Wingdings 3" w:hAnsi="Wingdings 3" w:hint="default"/>
      </w:rPr>
    </w:lvl>
  </w:abstractNum>
  <w:abstractNum w:abstractNumId="8">
    <w:nsid w:val="5CCD75C1"/>
    <w:multiLevelType w:val="hybridMultilevel"/>
    <w:tmpl w:val="70C007F8"/>
    <w:lvl w:ilvl="0" w:tplc="1F78AC66">
      <w:start w:val="1"/>
      <w:numFmt w:val="bullet"/>
      <w:lvlText w:val="–"/>
      <w:lvlJc w:val="left"/>
      <w:pPr>
        <w:tabs>
          <w:tab w:val="num" w:pos="720"/>
        </w:tabs>
        <w:ind w:left="720" w:hanging="360"/>
      </w:pPr>
      <w:rPr>
        <w:rFonts w:ascii="Arial" w:hAnsi="Arial" w:hint="default"/>
      </w:rPr>
    </w:lvl>
    <w:lvl w:ilvl="1" w:tplc="3C5E68BE">
      <w:start w:val="1"/>
      <w:numFmt w:val="bullet"/>
      <w:lvlText w:val="–"/>
      <w:lvlJc w:val="left"/>
      <w:pPr>
        <w:tabs>
          <w:tab w:val="num" w:pos="1440"/>
        </w:tabs>
        <w:ind w:left="1440" w:hanging="360"/>
      </w:pPr>
      <w:rPr>
        <w:rFonts w:ascii="Arial" w:hAnsi="Arial" w:hint="default"/>
      </w:rPr>
    </w:lvl>
    <w:lvl w:ilvl="2" w:tplc="B40CCB26" w:tentative="1">
      <w:start w:val="1"/>
      <w:numFmt w:val="bullet"/>
      <w:lvlText w:val="–"/>
      <w:lvlJc w:val="left"/>
      <w:pPr>
        <w:tabs>
          <w:tab w:val="num" w:pos="2160"/>
        </w:tabs>
        <w:ind w:left="2160" w:hanging="360"/>
      </w:pPr>
      <w:rPr>
        <w:rFonts w:ascii="Arial" w:hAnsi="Arial" w:hint="default"/>
      </w:rPr>
    </w:lvl>
    <w:lvl w:ilvl="3" w:tplc="265AC366" w:tentative="1">
      <w:start w:val="1"/>
      <w:numFmt w:val="bullet"/>
      <w:lvlText w:val="–"/>
      <w:lvlJc w:val="left"/>
      <w:pPr>
        <w:tabs>
          <w:tab w:val="num" w:pos="2880"/>
        </w:tabs>
        <w:ind w:left="2880" w:hanging="360"/>
      </w:pPr>
      <w:rPr>
        <w:rFonts w:ascii="Arial" w:hAnsi="Arial" w:hint="default"/>
      </w:rPr>
    </w:lvl>
    <w:lvl w:ilvl="4" w:tplc="BC06EB8C" w:tentative="1">
      <w:start w:val="1"/>
      <w:numFmt w:val="bullet"/>
      <w:lvlText w:val="–"/>
      <w:lvlJc w:val="left"/>
      <w:pPr>
        <w:tabs>
          <w:tab w:val="num" w:pos="3600"/>
        </w:tabs>
        <w:ind w:left="3600" w:hanging="360"/>
      </w:pPr>
      <w:rPr>
        <w:rFonts w:ascii="Arial" w:hAnsi="Arial" w:hint="default"/>
      </w:rPr>
    </w:lvl>
    <w:lvl w:ilvl="5" w:tplc="057EEC5E" w:tentative="1">
      <w:start w:val="1"/>
      <w:numFmt w:val="bullet"/>
      <w:lvlText w:val="–"/>
      <w:lvlJc w:val="left"/>
      <w:pPr>
        <w:tabs>
          <w:tab w:val="num" w:pos="4320"/>
        </w:tabs>
        <w:ind w:left="4320" w:hanging="360"/>
      </w:pPr>
      <w:rPr>
        <w:rFonts w:ascii="Arial" w:hAnsi="Arial" w:hint="default"/>
      </w:rPr>
    </w:lvl>
    <w:lvl w:ilvl="6" w:tplc="7E0E83E0" w:tentative="1">
      <w:start w:val="1"/>
      <w:numFmt w:val="bullet"/>
      <w:lvlText w:val="–"/>
      <w:lvlJc w:val="left"/>
      <w:pPr>
        <w:tabs>
          <w:tab w:val="num" w:pos="5040"/>
        </w:tabs>
        <w:ind w:left="5040" w:hanging="360"/>
      </w:pPr>
      <w:rPr>
        <w:rFonts w:ascii="Arial" w:hAnsi="Arial" w:hint="default"/>
      </w:rPr>
    </w:lvl>
    <w:lvl w:ilvl="7" w:tplc="88FA7534" w:tentative="1">
      <w:start w:val="1"/>
      <w:numFmt w:val="bullet"/>
      <w:lvlText w:val="–"/>
      <w:lvlJc w:val="left"/>
      <w:pPr>
        <w:tabs>
          <w:tab w:val="num" w:pos="5760"/>
        </w:tabs>
        <w:ind w:left="5760" w:hanging="360"/>
      </w:pPr>
      <w:rPr>
        <w:rFonts w:ascii="Arial" w:hAnsi="Arial" w:hint="default"/>
      </w:rPr>
    </w:lvl>
    <w:lvl w:ilvl="8" w:tplc="DAC69664" w:tentative="1">
      <w:start w:val="1"/>
      <w:numFmt w:val="bullet"/>
      <w:lvlText w:val="–"/>
      <w:lvlJc w:val="left"/>
      <w:pPr>
        <w:tabs>
          <w:tab w:val="num" w:pos="6480"/>
        </w:tabs>
        <w:ind w:left="6480" w:hanging="360"/>
      </w:pPr>
      <w:rPr>
        <w:rFonts w:ascii="Arial" w:hAnsi="Arial" w:hint="default"/>
      </w:rPr>
    </w:lvl>
  </w:abstractNum>
  <w:abstractNum w:abstractNumId="9">
    <w:nsid w:val="63306B91"/>
    <w:multiLevelType w:val="hybridMultilevel"/>
    <w:tmpl w:val="CEFEA1FC"/>
    <w:lvl w:ilvl="0" w:tplc="CAC0D0D8">
      <w:start w:val="1"/>
      <w:numFmt w:val="bullet"/>
      <w:lvlText w:val="-"/>
      <w:lvlJc w:val="left"/>
      <w:pPr>
        <w:tabs>
          <w:tab w:val="num" w:pos="720"/>
        </w:tabs>
        <w:ind w:left="720" w:hanging="360"/>
      </w:pPr>
      <w:rPr>
        <w:rFonts w:ascii="Times New Roman" w:hAnsi="Times New Roman" w:hint="default"/>
      </w:rPr>
    </w:lvl>
    <w:lvl w:ilvl="1" w:tplc="75FE2F68" w:tentative="1">
      <w:start w:val="1"/>
      <w:numFmt w:val="bullet"/>
      <w:lvlText w:val="-"/>
      <w:lvlJc w:val="left"/>
      <w:pPr>
        <w:tabs>
          <w:tab w:val="num" w:pos="1440"/>
        </w:tabs>
        <w:ind w:left="1440" w:hanging="360"/>
      </w:pPr>
      <w:rPr>
        <w:rFonts w:ascii="Times New Roman" w:hAnsi="Times New Roman" w:hint="default"/>
      </w:rPr>
    </w:lvl>
    <w:lvl w:ilvl="2" w:tplc="314EE5B0" w:tentative="1">
      <w:start w:val="1"/>
      <w:numFmt w:val="bullet"/>
      <w:lvlText w:val="-"/>
      <w:lvlJc w:val="left"/>
      <w:pPr>
        <w:tabs>
          <w:tab w:val="num" w:pos="2160"/>
        </w:tabs>
        <w:ind w:left="2160" w:hanging="360"/>
      </w:pPr>
      <w:rPr>
        <w:rFonts w:ascii="Times New Roman" w:hAnsi="Times New Roman" w:hint="default"/>
      </w:rPr>
    </w:lvl>
    <w:lvl w:ilvl="3" w:tplc="1BF29D78" w:tentative="1">
      <w:start w:val="1"/>
      <w:numFmt w:val="bullet"/>
      <w:lvlText w:val="-"/>
      <w:lvlJc w:val="left"/>
      <w:pPr>
        <w:tabs>
          <w:tab w:val="num" w:pos="2880"/>
        </w:tabs>
        <w:ind w:left="2880" w:hanging="360"/>
      </w:pPr>
      <w:rPr>
        <w:rFonts w:ascii="Times New Roman" w:hAnsi="Times New Roman" w:hint="default"/>
      </w:rPr>
    </w:lvl>
    <w:lvl w:ilvl="4" w:tplc="985A4A6E" w:tentative="1">
      <w:start w:val="1"/>
      <w:numFmt w:val="bullet"/>
      <w:lvlText w:val="-"/>
      <w:lvlJc w:val="left"/>
      <w:pPr>
        <w:tabs>
          <w:tab w:val="num" w:pos="3600"/>
        </w:tabs>
        <w:ind w:left="3600" w:hanging="360"/>
      </w:pPr>
      <w:rPr>
        <w:rFonts w:ascii="Times New Roman" w:hAnsi="Times New Roman" w:hint="default"/>
      </w:rPr>
    </w:lvl>
    <w:lvl w:ilvl="5" w:tplc="C2721E90" w:tentative="1">
      <w:start w:val="1"/>
      <w:numFmt w:val="bullet"/>
      <w:lvlText w:val="-"/>
      <w:lvlJc w:val="left"/>
      <w:pPr>
        <w:tabs>
          <w:tab w:val="num" w:pos="4320"/>
        </w:tabs>
        <w:ind w:left="4320" w:hanging="360"/>
      </w:pPr>
      <w:rPr>
        <w:rFonts w:ascii="Times New Roman" w:hAnsi="Times New Roman" w:hint="default"/>
      </w:rPr>
    </w:lvl>
    <w:lvl w:ilvl="6" w:tplc="D6CE27AC" w:tentative="1">
      <w:start w:val="1"/>
      <w:numFmt w:val="bullet"/>
      <w:lvlText w:val="-"/>
      <w:lvlJc w:val="left"/>
      <w:pPr>
        <w:tabs>
          <w:tab w:val="num" w:pos="5040"/>
        </w:tabs>
        <w:ind w:left="5040" w:hanging="360"/>
      </w:pPr>
      <w:rPr>
        <w:rFonts w:ascii="Times New Roman" w:hAnsi="Times New Roman" w:hint="default"/>
      </w:rPr>
    </w:lvl>
    <w:lvl w:ilvl="7" w:tplc="776CD3E2" w:tentative="1">
      <w:start w:val="1"/>
      <w:numFmt w:val="bullet"/>
      <w:lvlText w:val="-"/>
      <w:lvlJc w:val="left"/>
      <w:pPr>
        <w:tabs>
          <w:tab w:val="num" w:pos="5760"/>
        </w:tabs>
        <w:ind w:left="5760" w:hanging="360"/>
      </w:pPr>
      <w:rPr>
        <w:rFonts w:ascii="Times New Roman" w:hAnsi="Times New Roman" w:hint="default"/>
      </w:rPr>
    </w:lvl>
    <w:lvl w:ilvl="8" w:tplc="087610B0" w:tentative="1">
      <w:start w:val="1"/>
      <w:numFmt w:val="bullet"/>
      <w:lvlText w:val="-"/>
      <w:lvlJc w:val="left"/>
      <w:pPr>
        <w:tabs>
          <w:tab w:val="num" w:pos="6480"/>
        </w:tabs>
        <w:ind w:left="6480" w:hanging="360"/>
      </w:pPr>
      <w:rPr>
        <w:rFonts w:ascii="Times New Roman" w:hAnsi="Times New Roman" w:hint="default"/>
      </w:rPr>
    </w:lvl>
  </w:abstractNum>
  <w:abstractNum w:abstractNumId="10">
    <w:nsid w:val="634A51A3"/>
    <w:multiLevelType w:val="hybridMultilevel"/>
    <w:tmpl w:val="3D262E4C"/>
    <w:lvl w:ilvl="0" w:tplc="83946E10">
      <w:start w:val="1"/>
      <w:numFmt w:val="upperRoman"/>
      <w:lvlText w:val="%1."/>
      <w:lvlJc w:val="right"/>
      <w:pPr>
        <w:tabs>
          <w:tab w:val="num" w:pos="720"/>
        </w:tabs>
        <w:ind w:left="720" w:hanging="360"/>
      </w:pPr>
    </w:lvl>
    <w:lvl w:ilvl="1" w:tplc="DFAA0466">
      <w:start w:val="683"/>
      <w:numFmt w:val="bullet"/>
      <w:lvlText w:val=""/>
      <w:lvlJc w:val="right"/>
      <w:pPr>
        <w:tabs>
          <w:tab w:val="num" w:pos="1440"/>
        </w:tabs>
        <w:ind w:left="1440" w:hanging="360"/>
      </w:pPr>
      <w:rPr>
        <w:rFonts w:ascii="Wingdings" w:hAnsi="Wingdings" w:hint="default"/>
      </w:rPr>
    </w:lvl>
    <w:lvl w:ilvl="2" w:tplc="0A083BC0">
      <w:start w:val="683"/>
      <w:numFmt w:val="bullet"/>
      <w:lvlText w:val=""/>
      <w:lvlJc w:val="right"/>
      <w:pPr>
        <w:tabs>
          <w:tab w:val="num" w:pos="2160"/>
        </w:tabs>
        <w:ind w:left="2160" w:hanging="360"/>
      </w:pPr>
      <w:rPr>
        <w:rFonts w:ascii="Wingdings" w:hAnsi="Wingdings" w:hint="default"/>
      </w:rPr>
    </w:lvl>
    <w:lvl w:ilvl="3" w:tplc="BB8ECEAE" w:tentative="1">
      <w:start w:val="1"/>
      <w:numFmt w:val="upperRoman"/>
      <w:lvlText w:val="%4."/>
      <w:lvlJc w:val="right"/>
      <w:pPr>
        <w:tabs>
          <w:tab w:val="num" w:pos="2880"/>
        </w:tabs>
        <w:ind w:left="2880" w:hanging="360"/>
      </w:pPr>
    </w:lvl>
    <w:lvl w:ilvl="4" w:tplc="84BC89F4" w:tentative="1">
      <w:start w:val="1"/>
      <w:numFmt w:val="upperRoman"/>
      <w:lvlText w:val="%5."/>
      <w:lvlJc w:val="right"/>
      <w:pPr>
        <w:tabs>
          <w:tab w:val="num" w:pos="3600"/>
        </w:tabs>
        <w:ind w:left="3600" w:hanging="360"/>
      </w:pPr>
    </w:lvl>
    <w:lvl w:ilvl="5" w:tplc="C1F8BA8E" w:tentative="1">
      <w:start w:val="1"/>
      <w:numFmt w:val="upperRoman"/>
      <w:lvlText w:val="%6."/>
      <w:lvlJc w:val="right"/>
      <w:pPr>
        <w:tabs>
          <w:tab w:val="num" w:pos="4320"/>
        </w:tabs>
        <w:ind w:left="4320" w:hanging="360"/>
      </w:pPr>
    </w:lvl>
    <w:lvl w:ilvl="6" w:tplc="5A68C7E4" w:tentative="1">
      <w:start w:val="1"/>
      <w:numFmt w:val="upperRoman"/>
      <w:lvlText w:val="%7."/>
      <w:lvlJc w:val="right"/>
      <w:pPr>
        <w:tabs>
          <w:tab w:val="num" w:pos="5040"/>
        </w:tabs>
        <w:ind w:left="5040" w:hanging="360"/>
      </w:pPr>
    </w:lvl>
    <w:lvl w:ilvl="7" w:tplc="0472C0E4" w:tentative="1">
      <w:start w:val="1"/>
      <w:numFmt w:val="upperRoman"/>
      <w:lvlText w:val="%8."/>
      <w:lvlJc w:val="right"/>
      <w:pPr>
        <w:tabs>
          <w:tab w:val="num" w:pos="5760"/>
        </w:tabs>
        <w:ind w:left="5760" w:hanging="360"/>
      </w:pPr>
    </w:lvl>
    <w:lvl w:ilvl="8" w:tplc="8EA008F8" w:tentative="1">
      <w:start w:val="1"/>
      <w:numFmt w:val="upperRoman"/>
      <w:lvlText w:val="%9."/>
      <w:lvlJc w:val="right"/>
      <w:pPr>
        <w:tabs>
          <w:tab w:val="num" w:pos="6480"/>
        </w:tabs>
        <w:ind w:left="6480" w:hanging="360"/>
      </w:pPr>
    </w:lvl>
  </w:abstractNum>
  <w:abstractNum w:abstractNumId="11">
    <w:nsid w:val="64433616"/>
    <w:multiLevelType w:val="hybridMultilevel"/>
    <w:tmpl w:val="4CCA454A"/>
    <w:lvl w:ilvl="0" w:tplc="90929DF0">
      <w:start w:val="1"/>
      <w:numFmt w:val="bullet"/>
      <w:lvlText w:val=""/>
      <w:lvlJc w:val="left"/>
      <w:pPr>
        <w:tabs>
          <w:tab w:val="num" w:pos="720"/>
        </w:tabs>
        <w:ind w:left="720" w:hanging="360"/>
      </w:pPr>
      <w:rPr>
        <w:rFonts w:ascii="Wingdings 3" w:hAnsi="Wingdings 3" w:hint="default"/>
      </w:rPr>
    </w:lvl>
    <w:lvl w:ilvl="1" w:tplc="7E0C315C">
      <w:start w:val="683"/>
      <w:numFmt w:val="bullet"/>
      <w:lvlText w:val="◦"/>
      <w:lvlJc w:val="left"/>
      <w:pPr>
        <w:tabs>
          <w:tab w:val="num" w:pos="1440"/>
        </w:tabs>
        <w:ind w:left="1440" w:hanging="360"/>
      </w:pPr>
      <w:rPr>
        <w:rFonts w:ascii="Verdana" w:hAnsi="Verdana" w:hint="default"/>
      </w:rPr>
    </w:lvl>
    <w:lvl w:ilvl="2" w:tplc="21C292C6">
      <w:start w:val="1"/>
      <w:numFmt w:val="bullet"/>
      <w:lvlText w:val=""/>
      <w:lvlJc w:val="left"/>
      <w:pPr>
        <w:tabs>
          <w:tab w:val="num" w:pos="2160"/>
        </w:tabs>
        <w:ind w:left="2160" w:hanging="360"/>
      </w:pPr>
      <w:rPr>
        <w:rFonts w:ascii="Wingdings 3" w:hAnsi="Wingdings 3" w:hint="default"/>
      </w:rPr>
    </w:lvl>
    <w:lvl w:ilvl="3" w:tplc="43AA59D8" w:tentative="1">
      <w:start w:val="1"/>
      <w:numFmt w:val="bullet"/>
      <w:lvlText w:val=""/>
      <w:lvlJc w:val="left"/>
      <w:pPr>
        <w:tabs>
          <w:tab w:val="num" w:pos="2880"/>
        </w:tabs>
        <w:ind w:left="2880" w:hanging="360"/>
      </w:pPr>
      <w:rPr>
        <w:rFonts w:ascii="Wingdings 3" w:hAnsi="Wingdings 3" w:hint="default"/>
      </w:rPr>
    </w:lvl>
    <w:lvl w:ilvl="4" w:tplc="2D34727A" w:tentative="1">
      <w:start w:val="1"/>
      <w:numFmt w:val="bullet"/>
      <w:lvlText w:val=""/>
      <w:lvlJc w:val="left"/>
      <w:pPr>
        <w:tabs>
          <w:tab w:val="num" w:pos="3600"/>
        </w:tabs>
        <w:ind w:left="3600" w:hanging="360"/>
      </w:pPr>
      <w:rPr>
        <w:rFonts w:ascii="Wingdings 3" w:hAnsi="Wingdings 3" w:hint="default"/>
      </w:rPr>
    </w:lvl>
    <w:lvl w:ilvl="5" w:tplc="0E70609A" w:tentative="1">
      <w:start w:val="1"/>
      <w:numFmt w:val="bullet"/>
      <w:lvlText w:val=""/>
      <w:lvlJc w:val="left"/>
      <w:pPr>
        <w:tabs>
          <w:tab w:val="num" w:pos="4320"/>
        </w:tabs>
        <w:ind w:left="4320" w:hanging="360"/>
      </w:pPr>
      <w:rPr>
        <w:rFonts w:ascii="Wingdings 3" w:hAnsi="Wingdings 3" w:hint="default"/>
      </w:rPr>
    </w:lvl>
    <w:lvl w:ilvl="6" w:tplc="90C6A498" w:tentative="1">
      <w:start w:val="1"/>
      <w:numFmt w:val="bullet"/>
      <w:lvlText w:val=""/>
      <w:lvlJc w:val="left"/>
      <w:pPr>
        <w:tabs>
          <w:tab w:val="num" w:pos="5040"/>
        </w:tabs>
        <w:ind w:left="5040" w:hanging="360"/>
      </w:pPr>
      <w:rPr>
        <w:rFonts w:ascii="Wingdings 3" w:hAnsi="Wingdings 3" w:hint="default"/>
      </w:rPr>
    </w:lvl>
    <w:lvl w:ilvl="7" w:tplc="CE8EB2D0" w:tentative="1">
      <w:start w:val="1"/>
      <w:numFmt w:val="bullet"/>
      <w:lvlText w:val=""/>
      <w:lvlJc w:val="left"/>
      <w:pPr>
        <w:tabs>
          <w:tab w:val="num" w:pos="5760"/>
        </w:tabs>
        <w:ind w:left="5760" w:hanging="360"/>
      </w:pPr>
      <w:rPr>
        <w:rFonts w:ascii="Wingdings 3" w:hAnsi="Wingdings 3" w:hint="default"/>
      </w:rPr>
    </w:lvl>
    <w:lvl w:ilvl="8" w:tplc="44F24946" w:tentative="1">
      <w:start w:val="1"/>
      <w:numFmt w:val="bullet"/>
      <w:lvlText w:val=""/>
      <w:lvlJc w:val="left"/>
      <w:pPr>
        <w:tabs>
          <w:tab w:val="num" w:pos="6480"/>
        </w:tabs>
        <w:ind w:left="6480" w:hanging="360"/>
      </w:pPr>
      <w:rPr>
        <w:rFonts w:ascii="Wingdings 3" w:hAnsi="Wingdings 3" w:hint="default"/>
      </w:rPr>
    </w:lvl>
  </w:abstractNum>
  <w:abstractNum w:abstractNumId="12">
    <w:nsid w:val="76C95D0A"/>
    <w:multiLevelType w:val="hybridMultilevel"/>
    <w:tmpl w:val="02723460"/>
    <w:lvl w:ilvl="0" w:tplc="A9A218AE">
      <w:start w:val="1"/>
      <w:numFmt w:val="bullet"/>
      <w:lvlText w:val=""/>
      <w:lvlJc w:val="left"/>
      <w:pPr>
        <w:tabs>
          <w:tab w:val="num" w:pos="720"/>
        </w:tabs>
        <w:ind w:left="720" w:hanging="360"/>
      </w:pPr>
      <w:rPr>
        <w:rFonts w:ascii="Wingdings 3" w:hAnsi="Wingdings 3" w:hint="default"/>
      </w:rPr>
    </w:lvl>
    <w:lvl w:ilvl="1" w:tplc="1F08FB62" w:tentative="1">
      <w:start w:val="1"/>
      <w:numFmt w:val="bullet"/>
      <w:lvlText w:val=""/>
      <w:lvlJc w:val="left"/>
      <w:pPr>
        <w:tabs>
          <w:tab w:val="num" w:pos="1440"/>
        </w:tabs>
        <w:ind w:left="1440" w:hanging="360"/>
      </w:pPr>
      <w:rPr>
        <w:rFonts w:ascii="Wingdings 3" w:hAnsi="Wingdings 3" w:hint="default"/>
      </w:rPr>
    </w:lvl>
    <w:lvl w:ilvl="2" w:tplc="6C3CC89A" w:tentative="1">
      <w:start w:val="1"/>
      <w:numFmt w:val="bullet"/>
      <w:lvlText w:val=""/>
      <w:lvlJc w:val="left"/>
      <w:pPr>
        <w:tabs>
          <w:tab w:val="num" w:pos="2160"/>
        </w:tabs>
        <w:ind w:left="2160" w:hanging="360"/>
      </w:pPr>
      <w:rPr>
        <w:rFonts w:ascii="Wingdings 3" w:hAnsi="Wingdings 3" w:hint="default"/>
      </w:rPr>
    </w:lvl>
    <w:lvl w:ilvl="3" w:tplc="57049BB4" w:tentative="1">
      <w:start w:val="1"/>
      <w:numFmt w:val="bullet"/>
      <w:lvlText w:val=""/>
      <w:lvlJc w:val="left"/>
      <w:pPr>
        <w:tabs>
          <w:tab w:val="num" w:pos="2880"/>
        </w:tabs>
        <w:ind w:left="2880" w:hanging="360"/>
      </w:pPr>
      <w:rPr>
        <w:rFonts w:ascii="Wingdings 3" w:hAnsi="Wingdings 3" w:hint="default"/>
      </w:rPr>
    </w:lvl>
    <w:lvl w:ilvl="4" w:tplc="ADF40422" w:tentative="1">
      <w:start w:val="1"/>
      <w:numFmt w:val="bullet"/>
      <w:lvlText w:val=""/>
      <w:lvlJc w:val="left"/>
      <w:pPr>
        <w:tabs>
          <w:tab w:val="num" w:pos="3600"/>
        </w:tabs>
        <w:ind w:left="3600" w:hanging="360"/>
      </w:pPr>
      <w:rPr>
        <w:rFonts w:ascii="Wingdings 3" w:hAnsi="Wingdings 3" w:hint="default"/>
      </w:rPr>
    </w:lvl>
    <w:lvl w:ilvl="5" w:tplc="ED404EB4" w:tentative="1">
      <w:start w:val="1"/>
      <w:numFmt w:val="bullet"/>
      <w:lvlText w:val=""/>
      <w:lvlJc w:val="left"/>
      <w:pPr>
        <w:tabs>
          <w:tab w:val="num" w:pos="4320"/>
        </w:tabs>
        <w:ind w:left="4320" w:hanging="360"/>
      </w:pPr>
      <w:rPr>
        <w:rFonts w:ascii="Wingdings 3" w:hAnsi="Wingdings 3" w:hint="default"/>
      </w:rPr>
    </w:lvl>
    <w:lvl w:ilvl="6" w:tplc="B6706822" w:tentative="1">
      <w:start w:val="1"/>
      <w:numFmt w:val="bullet"/>
      <w:lvlText w:val=""/>
      <w:lvlJc w:val="left"/>
      <w:pPr>
        <w:tabs>
          <w:tab w:val="num" w:pos="5040"/>
        </w:tabs>
        <w:ind w:left="5040" w:hanging="360"/>
      </w:pPr>
      <w:rPr>
        <w:rFonts w:ascii="Wingdings 3" w:hAnsi="Wingdings 3" w:hint="default"/>
      </w:rPr>
    </w:lvl>
    <w:lvl w:ilvl="7" w:tplc="7ABC1300" w:tentative="1">
      <w:start w:val="1"/>
      <w:numFmt w:val="bullet"/>
      <w:lvlText w:val=""/>
      <w:lvlJc w:val="left"/>
      <w:pPr>
        <w:tabs>
          <w:tab w:val="num" w:pos="5760"/>
        </w:tabs>
        <w:ind w:left="5760" w:hanging="360"/>
      </w:pPr>
      <w:rPr>
        <w:rFonts w:ascii="Wingdings 3" w:hAnsi="Wingdings 3" w:hint="default"/>
      </w:rPr>
    </w:lvl>
    <w:lvl w:ilvl="8" w:tplc="25742D80" w:tentative="1">
      <w:start w:val="1"/>
      <w:numFmt w:val="bullet"/>
      <w:lvlText w:val=""/>
      <w:lvlJc w:val="left"/>
      <w:pPr>
        <w:tabs>
          <w:tab w:val="num" w:pos="6480"/>
        </w:tabs>
        <w:ind w:left="6480" w:hanging="360"/>
      </w:pPr>
      <w:rPr>
        <w:rFonts w:ascii="Wingdings 3" w:hAnsi="Wingdings 3" w:hint="default"/>
      </w:rPr>
    </w:lvl>
  </w:abstractNum>
  <w:abstractNum w:abstractNumId="13">
    <w:nsid w:val="782D277C"/>
    <w:multiLevelType w:val="hybridMultilevel"/>
    <w:tmpl w:val="0B3EA1A6"/>
    <w:lvl w:ilvl="0" w:tplc="C638F2B4">
      <w:start w:val="1"/>
      <w:numFmt w:val="bullet"/>
      <w:lvlText w:val="–"/>
      <w:lvlJc w:val="left"/>
      <w:pPr>
        <w:tabs>
          <w:tab w:val="num" w:pos="720"/>
        </w:tabs>
        <w:ind w:left="720" w:hanging="360"/>
      </w:pPr>
      <w:rPr>
        <w:rFonts w:ascii="Arial" w:hAnsi="Arial" w:hint="default"/>
      </w:rPr>
    </w:lvl>
    <w:lvl w:ilvl="1" w:tplc="6DCCA0CE">
      <w:start w:val="1"/>
      <w:numFmt w:val="bullet"/>
      <w:lvlText w:val="–"/>
      <w:lvlJc w:val="left"/>
      <w:pPr>
        <w:tabs>
          <w:tab w:val="num" w:pos="1440"/>
        </w:tabs>
        <w:ind w:left="1440" w:hanging="360"/>
      </w:pPr>
      <w:rPr>
        <w:rFonts w:ascii="Arial" w:hAnsi="Arial" w:hint="default"/>
      </w:rPr>
    </w:lvl>
    <w:lvl w:ilvl="2" w:tplc="A57AE0E6" w:tentative="1">
      <w:start w:val="1"/>
      <w:numFmt w:val="bullet"/>
      <w:lvlText w:val="–"/>
      <w:lvlJc w:val="left"/>
      <w:pPr>
        <w:tabs>
          <w:tab w:val="num" w:pos="2160"/>
        </w:tabs>
        <w:ind w:left="2160" w:hanging="360"/>
      </w:pPr>
      <w:rPr>
        <w:rFonts w:ascii="Arial" w:hAnsi="Arial" w:hint="default"/>
      </w:rPr>
    </w:lvl>
    <w:lvl w:ilvl="3" w:tplc="91CCD992" w:tentative="1">
      <w:start w:val="1"/>
      <w:numFmt w:val="bullet"/>
      <w:lvlText w:val="–"/>
      <w:lvlJc w:val="left"/>
      <w:pPr>
        <w:tabs>
          <w:tab w:val="num" w:pos="2880"/>
        </w:tabs>
        <w:ind w:left="2880" w:hanging="360"/>
      </w:pPr>
      <w:rPr>
        <w:rFonts w:ascii="Arial" w:hAnsi="Arial" w:hint="default"/>
      </w:rPr>
    </w:lvl>
    <w:lvl w:ilvl="4" w:tplc="4BAEC7D0" w:tentative="1">
      <w:start w:val="1"/>
      <w:numFmt w:val="bullet"/>
      <w:lvlText w:val="–"/>
      <w:lvlJc w:val="left"/>
      <w:pPr>
        <w:tabs>
          <w:tab w:val="num" w:pos="3600"/>
        </w:tabs>
        <w:ind w:left="3600" w:hanging="360"/>
      </w:pPr>
      <w:rPr>
        <w:rFonts w:ascii="Arial" w:hAnsi="Arial" w:hint="default"/>
      </w:rPr>
    </w:lvl>
    <w:lvl w:ilvl="5" w:tplc="0206DA52" w:tentative="1">
      <w:start w:val="1"/>
      <w:numFmt w:val="bullet"/>
      <w:lvlText w:val="–"/>
      <w:lvlJc w:val="left"/>
      <w:pPr>
        <w:tabs>
          <w:tab w:val="num" w:pos="4320"/>
        </w:tabs>
        <w:ind w:left="4320" w:hanging="360"/>
      </w:pPr>
      <w:rPr>
        <w:rFonts w:ascii="Arial" w:hAnsi="Arial" w:hint="default"/>
      </w:rPr>
    </w:lvl>
    <w:lvl w:ilvl="6" w:tplc="0BD073E0" w:tentative="1">
      <w:start w:val="1"/>
      <w:numFmt w:val="bullet"/>
      <w:lvlText w:val="–"/>
      <w:lvlJc w:val="left"/>
      <w:pPr>
        <w:tabs>
          <w:tab w:val="num" w:pos="5040"/>
        </w:tabs>
        <w:ind w:left="5040" w:hanging="360"/>
      </w:pPr>
      <w:rPr>
        <w:rFonts w:ascii="Arial" w:hAnsi="Arial" w:hint="default"/>
      </w:rPr>
    </w:lvl>
    <w:lvl w:ilvl="7" w:tplc="BFEE7F3C" w:tentative="1">
      <w:start w:val="1"/>
      <w:numFmt w:val="bullet"/>
      <w:lvlText w:val="–"/>
      <w:lvlJc w:val="left"/>
      <w:pPr>
        <w:tabs>
          <w:tab w:val="num" w:pos="5760"/>
        </w:tabs>
        <w:ind w:left="5760" w:hanging="360"/>
      </w:pPr>
      <w:rPr>
        <w:rFonts w:ascii="Arial" w:hAnsi="Arial" w:hint="default"/>
      </w:rPr>
    </w:lvl>
    <w:lvl w:ilvl="8" w:tplc="97BA50BC" w:tentative="1">
      <w:start w:val="1"/>
      <w:numFmt w:val="bullet"/>
      <w:lvlText w:val="–"/>
      <w:lvlJc w:val="left"/>
      <w:pPr>
        <w:tabs>
          <w:tab w:val="num" w:pos="6480"/>
        </w:tabs>
        <w:ind w:left="6480" w:hanging="360"/>
      </w:pPr>
      <w:rPr>
        <w:rFonts w:ascii="Arial" w:hAnsi="Arial" w:hint="default"/>
      </w:rPr>
    </w:lvl>
  </w:abstractNum>
  <w:abstractNum w:abstractNumId="14">
    <w:nsid w:val="7CD143D9"/>
    <w:multiLevelType w:val="hybridMultilevel"/>
    <w:tmpl w:val="B600A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4"/>
  </w:num>
  <w:num w:numId="4">
    <w:abstractNumId w:val="9"/>
  </w:num>
  <w:num w:numId="5">
    <w:abstractNumId w:val="0"/>
  </w:num>
  <w:num w:numId="6">
    <w:abstractNumId w:val="11"/>
  </w:num>
  <w:num w:numId="7">
    <w:abstractNumId w:val="10"/>
  </w:num>
  <w:num w:numId="8">
    <w:abstractNumId w:val="3"/>
  </w:num>
  <w:num w:numId="9">
    <w:abstractNumId w:val="8"/>
  </w:num>
  <w:num w:numId="10">
    <w:abstractNumId w:val="1"/>
  </w:num>
  <w:num w:numId="11">
    <w:abstractNumId w:val="13"/>
  </w:num>
  <w:num w:numId="12">
    <w:abstractNumId w:val="12"/>
  </w:num>
  <w:num w:numId="13">
    <w:abstractNumId w:val="7"/>
  </w:num>
  <w:num w:numId="14">
    <w:abstractNumId w:val="2"/>
  </w:num>
  <w:num w:numId="15">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მაია მაღლაკელიძე-ხომერიკი">
    <w15:presenceInfo w15:providerId="None" w15:userId="მაია მაღლაკელიძე-ხომერიკი"/>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B5"/>
    <w:rsid w:val="00076472"/>
    <w:rsid w:val="00096362"/>
    <w:rsid w:val="000B74E7"/>
    <w:rsid w:val="00150DB0"/>
    <w:rsid w:val="001A7F18"/>
    <w:rsid w:val="001D2581"/>
    <w:rsid w:val="002C2FBD"/>
    <w:rsid w:val="00343DDF"/>
    <w:rsid w:val="00363969"/>
    <w:rsid w:val="003B24B5"/>
    <w:rsid w:val="003F65E8"/>
    <w:rsid w:val="00435AE8"/>
    <w:rsid w:val="004704A3"/>
    <w:rsid w:val="004D1FA0"/>
    <w:rsid w:val="004D26EF"/>
    <w:rsid w:val="0050531E"/>
    <w:rsid w:val="00522C06"/>
    <w:rsid w:val="00535C94"/>
    <w:rsid w:val="007179D6"/>
    <w:rsid w:val="007E3619"/>
    <w:rsid w:val="00817771"/>
    <w:rsid w:val="0086002C"/>
    <w:rsid w:val="00A4675E"/>
    <w:rsid w:val="00AB0DCC"/>
    <w:rsid w:val="00AC4AE1"/>
    <w:rsid w:val="00C21A2E"/>
    <w:rsid w:val="00C24D7C"/>
    <w:rsid w:val="00C94E04"/>
    <w:rsid w:val="00CB1384"/>
    <w:rsid w:val="00CE4B72"/>
    <w:rsid w:val="00D341C6"/>
    <w:rsid w:val="00DA4CF4"/>
    <w:rsid w:val="00DC1FE2"/>
    <w:rsid w:val="00E51C7B"/>
    <w:rsid w:val="00E62822"/>
    <w:rsid w:val="00EA59AD"/>
    <w:rsid w:val="00FC5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7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4B5"/>
    <w:pPr>
      <w:ind w:left="720"/>
      <w:contextualSpacing/>
    </w:pPr>
  </w:style>
  <w:style w:type="paragraph" w:styleId="BalloonText">
    <w:name w:val="Balloon Text"/>
    <w:basedOn w:val="Normal"/>
    <w:link w:val="BalloonTextChar"/>
    <w:uiPriority w:val="99"/>
    <w:semiHidden/>
    <w:unhideWhenUsed/>
    <w:rsid w:val="003B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4B5"/>
    <w:rPr>
      <w:rFonts w:ascii="Tahoma" w:hAnsi="Tahoma" w:cs="Tahoma"/>
      <w:sz w:val="16"/>
      <w:szCs w:val="16"/>
    </w:rPr>
  </w:style>
  <w:style w:type="character" w:styleId="Hyperlink">
    <w:name w:val="Hyperlink"/>
    <w:basedOn w:val="DefaultParagraphFont"/>
    <w:uiPriority w:val="99"/>
    <w:unhideWhenUsed/>
    <w:rsid w:val="003B24B5"/>
    <w:rPr>
      <w:color w:val="0000FF" w:themeColor="hyperlink"/>
      <w:u w:val="single"/>
    </w:rPr>
  </w:style>
  <w:style w:type="character" w:styleId="CommentReference">
    <w:name w:val="annotation reference"/>
    <w:basedOn w:val="DefaultParagraphFont"/>
    <w:uiPriority w:val="99"/>
    <w:semiHidden/>
    <w:unhideWhenUsed/>
    <w:rsid w:val="001D2581"/>
    <w:rPr>
      <w:sz w:val="16"/>
      <w:szCs w:val="16"/>
    </w:rPr>
  </w:style>
  <w:style w:type="paragraph" w:styleId="CommentText">
    <w:name w:val="annotation text"/>
    <w:basedOn w:val="Normal"/>
    <w:link w:val="CommentTextChar"/>
    <w:uiPriority w:val="99"/>
    <w:semiHidden/>
    <w:unhideWhenUsed/>
    <w:rsid w:val="001D2581"/>
    <w:pPr>
      <w:spacing w:line="240" w:lineRule="auto"/>
    </w:pPr>
    <w:rPr>
      <w:sz w:val="20"/>
      <w:szCs w:val="20"/>
    </w:rPr>
  </w:style>
  <w:style w:type="character" w:customStyle="1" w:styleId="CommentTextChar">
    <w:name w:val="Comment Text Char"/>
    <w:basedOn w:val="DefaultParagraphFont"/>
    <w:link w:val="CommentText"/>
    <w:uiPriority w:val="99"/>
    <w:semiHidden/>
    <w:rsid w:val="001D2581"/>
    <w:rPr>
      <w:sz w:val="20"/>
      <w:szCs w:val="20"/>
    </w:rPr>
  </w:style>
  <w:style w:type="paragraph" w:styleId="CommentSubject">
    <w:name w:val="annotation subject"/>
    <w:basedOn w:val="CommentText"/>
    <w:next w:val="CommentText"/>
    <w:link w:val="CommentSubjectChar"/>
    <w:uiPriority w:val="99"/>
    <w:semiHidden/>
    <w:unhideWhenUsed/>
    <w:rsid w:val="001D2581"/>
    <w:rPr>
      <w:b/>
      <w:bCs/>
    </w:rPr>
  </w:style>
  <w:style w:type="character" w:customStyle="1" w:styleId="CommentSubjectChar">
    <w:name w:val="Comment Subject Char"/>
    <w:basedOn w:val="CommentTextChar"/>
    <w:link w:val="CommentSubject"/>
    <w:uiPriority w:val="99"/>
    <w:semiHidden/>
    <w:rsid w:val="001D258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4B5"/>
    <w:pPr>
      <w:ind w:left="720"/>
      <w:contextualSpacing/>
    </w:pPr>
  </w:style>
  <w:style w:type="paragraph" w:styleId="BalloonText">
    <w:name w:val="Balloon Text"/>
    <w:basedOn w:val="Normal"/>
    <w:link w:val="BalloonTextChar"/>
    <w:uiPriority w:val="99"/>
    <w:semiHidden/>
    <w:unhideWhenUsed/>
    <w:rsid w:val="003B2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4B5"/>
    <w:rPr>
      <w:rFonts w:ascii="Tahoma" w:hAnsi="Tahoma" w:cs="Tahoma"/>
      <w:sz w:val="16"/>
      <w:szCs w:val="16"/>
    </w:rPr>
  </w:style>
  <w:style w:type="character" w:styleId="Hyperlink">
    <w:name w:val="Hyperlink"/>
    <w:basedOn w:val="DefaultParagraphFont"/>
    <w:uiPriority w:val="99"/>
    <w:unhideWhenUsed/>
    <w:rsid w:val="003B24B5"/>
    <w:rPr>
      <w:color w:val="0000FF" w:themeColor="hyperlink"/>
      <w:u w:val="single"/>
    </w:rPr>
  </w:style>
  <w:style w:type="character" w:styleId="CommentReference">
    <w:name w:val="annotation reference"/>
    <w:basedOn w:val="DefaultParagraphFont"/>
    <w:uiPriority w:val="99"/>
    <w:semiHidden/>
    <w:unhideWhenUsed/>
    <w:rsid w:val="001D2581"/>
    <w:rPr>
      <w:sz w:val="16"/>
      <w:szCs w:val="16"/>
    </w:rPr>
  </w:style>
  <w:style w:type="paragraph" w:styleId="CommentText">
    <w:name w:val="annotation text"/>
    <w:basedOn w:val="Normal"/>
    <w:link w:val="CommentTextChar"/>
    <w:uiPriority w:val="99"/>
    <w:semiHidden/>
    <w:unhideWhenUsed/>
    <w:rsid w:val="001D2581"/>
    <w:pPr>
      <w:spacing w:line="240" w:lineRule="auto"/>
    </w:pPr>
    <w:rPr>
      <w:sz w:val="20"/>
      <w:szCs w:val="20"/>
    </w:rPr>
  </w:style>
  <w:style w:type="character" w:customStyle="1" w:styleId="CommentTextChar">
    <w:name w:val="Comment Text Char"/>
    <w:basedOn w:val="DefaultParagraphFont"/>
    <w:link w:val="CommentText"/>
    <w:uiPriority w:val="99"/>
    <w:semiHidden/>
    <w:rsid w:val="001D2581"/>
    <w:rPr>
      <w:sz w:val="20"/>
      <w:szCs w:val="20"/>
    </w:rPr>
  </w:style>
  <w:style w:type="paragraph" w:styleId="CommentSubject">
    <w:name w:val="annotation subject"/>
    <w:basedOn w:val="CommentText"/>
    <w:next w:val="CommentText"/>
    <w:link w:val="CommentSubjectChar"/>
    <w:uiPriority w:val="99"/>
    <w:semiHidden/>
    <w:unhideWhenUsed/>
    <w:rsid w:val="001D2581"/>
    <w:rPr>
      <w:b/>
      <w:bCs/>
    </w:rPr>
  </w:style>
  <w:style w:type="character" w:customStyle="1" w:styleId="CommentSubjectChar">
    <w:name w:val="Comment Subject Char"/>
    <w:basedOn w:val="CommentTextChar"/>
    <w:link w:val="CommentSubject"/>
    <w:uiPriority w:val="99"/>
    <w:semiHidden/>
    <w:rsid w:val="001D25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022291">
      <w:bodyDiv w:val="1"/>
      <w:marLeft w:val="0"/>
      <w:marRight w:val="0"/>
      <w:marTop w:val="0"/>
      <w:marBottom w:val="0"/>
      <w:divBdr>
        <w:top w:val="none" w:sz="0" w:space="0" w:color="auto"/>
        <w:left w:val="none" w:sz="0" w:space="0" w:color="auto"/>
        <w:bottom w:val="none" w:sz="0" w:space="0" w:color="auto"/>
        <w:right w:val="none" w:sz="0" w:space="0" w:color="auto"/>
      </w:divBdr>
      <w:divsChild>
        <w:div w:id="1807578819">
          <w:marLeft w:val="576"/>
          <w:marRight w:val="0"/>
          <w:marTop w:val="80"/>
          <w:marBottom w:val="0"/>
          <w:divBdr>
            <w:top w:val="none" w:sz="0" w:space="0" w:color="auto"/>
            <w:left w:val="none" w:sz="0" w:space="0" w:color="auto"/>
            <w:bottom w:val="none" w:sz="0" w:space="0" w:color="auto"/>
            <w:right w:val="none" w:sz="0" w:space="0" w:color="auto"/>
          </w:divBdr>
        </w:div>
        <w:div w:id="546378927">
          <w:marLeft w:val="576"/>
          <w:marRight w:val="0"/>
          <w:marTop w:val="80"/>
          <w:marBottom w:val="0"/>
          <w:divBdr>
            <w:top w:val="none" w:sz="0" w:space="0" w:color="auto"/>
            <w:left w:val="none" w:sz="0" w:space="0" w:color="auto"/>
            <w:bottom w:val="none" w:sz="0" w:space="0" w:color="auto"/>
            <w:right w:val="none" w:sz="0" w:space="0" w:color="auto"/>
          </w:divBdr>
        </w:div>
        <w:div w:id="156842680">
          <w:marLeft w:val="576"/>
          <w:marRight w:val="0"/>
          <w:marTop w:val="80"/>
          <w:marBottom w:val="0"/>
          <w:divBdr>
            <w:top w:val="none" w:sz="0" w:space="0" w:color="auto"/>
            <w:left w:val="none" w:sz="0" w:space="0" w:color="auto"/>
            <w:bottom w:val="none" w:sz="0" w:space="0" w:color="auto"/>
            <w:right w:val="none" w:sz="0" w:space="0" w:color="auto"/>
          </w:divBdr>
        </w:div>
        <w:div w:id="1742101014">
          <w:marLeft w:val="576"/>
          <w:marRight w:val="0"/>
          <w:marTop w:val="80"/>
          <w:marBottom w:val="0"/>
          <w:divBdr>
            <w:top w:val="none" w:sz="0" w:space="0" w:color="auto"/>
            <w:left w:val="none" w:sz="0" w:space="0" w:color="auto"/>
            <w:bottom w:val="none" w:sz="0" w:space="0" w:color="auto"/>
            <w:right w:val="none" w:sz="0" w:space="0" w:color="auto"/>
          </w:divBdr>
        </w:div>
        <w:div w:id="2031878868">
          <w:marLeft w:val="576"/>
          <w:marRight w:val="0"/>
          <w:marTop w:val="80"/>
          <w:marBottom w:val="0"/>
          <w:divBdr>
            <w:top w:val="none" w:sz="0" w:space="0" w:color="auto"/>
            <w:left w:val="none" w:sz="0" w:space="0" w:color="auto"/>
            <w:bottom w:val="none" w:sz="0" w:space="0" w:color="auto"/>
            <w:right w:val="none" w:sz="0" w:space="0" w:color="auto"/>
          </w:divBdr>
        </w:div>
        <w:div w:id="1917858273">
          <w:marLeft w:val="576"/>
          <w:marRight w:val="0"/>
          <w:marTop w:val="80"/>
          <w:marBottom w:val="0"/>
          <w:divBdr>
            <w:top w:val="none" w:sz="0" w:space="0" w:color="auto"/>
            <w:left w:val="none" w:sz="0" w:space="0" w:color="auto"/>
            <w:bottom w:val="none" w:sz="0" w:space="0" w:color="auto"/>
            <w:right w:val="none" w:sz="0" w:space="0" w:color="auto"/>
          </w:divBdr>
        </w:div>
      </w:divsChild>
    </w:div>
    <w:div w:id="897279215">
      <w:bodyDiv w:val="1"/>
      <w:marLeft w:val="0"/>
      <w:marRight w:val="0"/>
      <w:marTop w:val="0"/>
      <w:marBottom w:val="0"/>
      <w:divBdr>
        <w:top w:val="none" w:sz="0" w:space="0" w:color="auto"/>
        <w:left w:val="none" w:sz="0" w:space="0" w:color="auto"/>
        <w:bottom w:val="none" w:sz="0" w:space="0" w:color="auto"/>
        <w:right w:val="none" w:sz="0" w:space="0" w:color="auto"/>
      </w:divBdr>
      <w:divsChild>
        <w:div w:id="1307469656">
          <w:marLeft w:val="576"/>
          <w:marRight w:val="0"/>
          <w:marTop w:val="80"/>
          <w:marBottom w:val="0"/>
          <w:divBdr>
            <w:top w:val="none" w:sz="0" w:space="0" w:color="auto"/>
            <w:left w:val="none" w:sz="0" w:space="0" w:color="auto"/>
            <w:bottom w:val="none" w:sz="0" w:space="0" w:color="auto"/>
            <w:right w:val="none" w:sz="0" w:space="0" w:color="auto"/>
          </w:divBdr>
        </w:div>
      </w:divsChild>
    </w:div>
    <w:div w:id="1078670674">
      <w:bodyDiv w:val="1"/>
      <w:marLeft w:val="0"/>
      <w:marRight w:val="0"/>
      <w:marTop w:val="0"/>
      <w:marBottom w:val="0"/>
      <w:divBdr>
        <w:top w:val="none" w:sz="0" w:space="0" w:color="auto"/>
        <w:left w:val="none" w:sz="0" w:space="0" w:color="auto"/>
        <w:bottom w:val="none" w:sz="0" w:space="0" w:color="auto"/>
        <w:right w:val="none" w:sz="0" w:space="0" w:color="auto"/>
      </w:divBdr>
      <w:divsChild>
        <w:div w:id="1750155567">
          <w:marLeft w:val="576"/>
          <w:marRight w:val="0"/>
          <w:marTop w:val="80"/>
          <w:marBottom w:val="0"/>
          <w:divBdr>
            <w:top w:val="none" w:sz="0" w:space="0" w:color="auto"/>
            <w:left w:val="none" w:sz="0" w:space="0" w:color="auto"/>
            <w:bottom w:val="none" w:sz="0" w:space="0" w:color="auto"/>
            <w:right w:val="none" w:sz="0" w:space="0" w:color="auto"/>
          </w:divBdr>
        </w:div>
      </w:divsChild>
    </w:div>
    <w:div w:id="1117020121">
      <w:bodyDiv w:val="1"/>
      <w:marLeft w:val="0"/>
      <w:marRight w:val="0"/>
      <w:marTop w:val="0"/>
      <w:marBottom w:val="0"/>
      <w:divBdr>
        <w:top w:val="none" w:sz="0" w:space="0" w:color="auto"/>
        <w:left w:val="none" w:sz="0" w:space="0" w:color="auto"/>
        <w:bottom w:val="none" w:sz="0" w:space="0" w:color="auto"/>
        <w:right w:val="none" w:sz="0" w:space="0" w:color="auto"/>
      </w:divBdr>
      <w:divsChild>
        <w:div w:id="686827224">
          <w:marLeft w:val="806"/>
          <w:marRight w:val="0"/>
          <w:marTop w:val="120"/>
          <w:marBottom w:val="0"/>
          <w:divBdr>
            <w:top w:val="none" w:sz="0" w:space="0" w:color="auto"/>
            <w:left w:val="none" w:sz="0" w:space="0" w:color="auto"/>
            <w:bottom w:val="none" w:sz="0" w:space="0" w:color="auto"/>
            <w:right w:val="none" w:sz="0" w:space="0" w:color="auto"/>
          </w:divBdr>
        </w:div>
        <w:div w:id="100420172">
          <w:marLeft w:val="806"/>
          <w:marRight w:val="0"/>
          <w:marTop w:val="120"/>
          <w:marBottom w:val="0"/>
          <w:divBdr>
            <w:top w:val="none" w:sz="0" w:space="0" w:color="auto"/>
            <w:left w:val="none" w:sz="0" w:space="0" w:color="auto"/>
            <w:bottom w:val="none" w:sz="0" w:space="0" w:color="auto"/>
            <w:right w:val="none" w:sz="0" w:space="0" w:color="auto"/>
          </w:divBdr>
        </w:div>
        <w:div w:id="905913900">
          <w:marLeft w:val="806"/>
          <w:marRight w:val="0"/>
          <w:marTop w:val="120"/>
          <w:marBottom w:val="0"/>
          <w:divBdr>
            <w:top w:val="none" w:sz="0" w:space="0" w:color="auto"/>
            <w:left w:val="none" w:sz="0" w:space="0" w:color="auto"/>
            <w:bottom w:val="none" w:sz="0" w:space="0" w:color="auto"/>
            <w:right w:val="none" w:sz="0" w:space="0" w:color="auto"/>
          </w:divBdr>
        </w:div>
        <w:div w:id="1137722810">
          <w:marLeft w:val="806"/>
          <w:marRight w:val="0"/>
          <w:marTop w:val="120"/>
          <w:marBottom w:val="0"/>
          <w:divBdr>
            <w:top w:val="none" w:sz="0" w:space="0" w:color="auto"/>
            <w:left w:val="none" w:sz="0" w:space="0" w:color="auto"/>
            <w:bottom w:val="none" w:sz="0" w:space="0" w:color="auto"/>
            <w:right w:val="none" w:sz="0" w:space="0" w:color="auto"/>
          </w:divBdr>
        </w:div>
        <w:div w:id="2110344312">
          <w:marLeft w:val="1325"/>
          <w:marRight w:val="0"/>
          <w:marTop w:val="120"/>
          <w:marBottom w:val="0"/>
          <w:divBdr>
            <w:top w:val="none" w:sz="0" w:space="0" w:color="auto"/>
            <w:left w:val="none" w:sz="0" w:space="0" w:color="auto"/>
            <w:bottom w:val="none" w:sz="0" w:space="0" w:color="auto"/>
            <w:right w:val="none" w:sz="0" w:space="0" w:color="auto"/>
          </w:divBdr>
        </w:div>
        <w:div w:id="1357393103">
          <w:marLeft w:val="1440"/>
          <w:marRight w:val="0"/>
          <w:marTop w:val="120"/>
          <w:marBottom w:val="0"/>
          <w:divBdr>
            <w:top w:val="none" w:sz="0" w:space="0" w:color="auto"/>
            <w:left w:val="none" w:sz="0" w:space="0" w:color="auto"/>
            <w:bottom w:val="none" w:sz="0" w:space="0" w:color="auto"/>
            <w:right w:val="none" w:sz="0" w:space="0" w:color="auto"/>
          </w:divBdr>
        </w:div>
        <w:div w:id="1914385407">
          <w:marLeft w:val="1440"/>
          <w:marRight w:val="0"/>
          <w:marTop w:val="120"/>
          <w:marBottom w:val="0"/>
          <w:divBdr>
            <w:top w:val="none" w:sz="0" w:space="0" w:color="auto"/>
            <w:left w:val="none" w:sz="0" w:space="0" w:color="auto"/>
            <w:bottom w:val="none" w:sz="0" w:space="0" w:color="auto"/>
            <w:right w:val="none" w:sz="0" w:space="0" w:color="auto"/>
          </w:divBdr>
        </w:div>
        <w:div w:id="708183327">
          <w:marLeft w:val="1440"/>
          <w:marRight w:val="0"/>
          <w:marTop w:val="120"/>
          <w:marBottom w:val="0"/>
          <w:divBdr>
            <w:top w:val="none" w:sz="0" w:space="0" w:color="auto"/>
            <w:left w:val="none" w:sz="0" w:space="0" w:color="auto"/>
            <w:bottom w:val="none" w:sz="0" w:space="0" w:color="auto"/>
            <w:right w:val="none" w:sz="0" w:space="0" w:color="auto"/>
          </w:divBdr>
        </w:div>
        <w:div w:id="1215895015">
          <w:marLeft w:val="1440"/>
          <w:marRight w:val="0"/>
          <w:marTop w:val="120"/>
          <w:marBottom w:val="0"/>
          <w:divBdr>
            <w:top w:val="none" w:sz="0" w:space="0" w:color="auto"/>
            <w:left w:val="none" w:sz="0" w:space="0" w:color="auto"/>
            <w:bottom w:val="none" w:sz="0" w:space="0" w:color="auto"/>
            <w:right w:val="none" w:sz="0" w:space="0" w:color="auto"/>
          </w:divBdr>
        </w:div>
      </w:divsChild>
    </w:div>
    <w:div w:id="1188520025">
      <w:bodyDiv w:val="1"/>
      <w:marLeft w:val="0"/>
      <w:marRight w:val="0"/>
      <w:marTop w:val="0"/>
      <w:marBottom w:val="0"/>
      <w:divBdr>
        <w:top w:val="none" w:sz="0" w:space="0" w:color="auto"/>
        <w:left w:val="none" w:sz="0" w:space="0" w:color="auto"/>
        <w:bottom w:val="none" w:sz="0" w:space="0" w:color="auto"/>
        <w:right w:val="none" w:sz="0" w:space="0" w:color="auto"/>
      </w:divBdr>
      <w:divsChild>
        <w:div w:id="1283536027">
          <w:marLeft w:val="576"/>
          <w:marRight w:val="0"/>
          <w:marTop w:val="80"/>
          <w:marBottom w:val="0"/>
          <w:divBdr>
            <w:top w:val="none" w:sz="0" w:space="0" w:color="auto"/>
            <w:left w:val="none" w:sz="0" w:space="0" w:color="auto"/>
            <w:bottom w:val="none" w:sz="0" w:space="0" w:color="auto"/>
            <w:right w:val="none" w:sz="0" w:space="0" w:color="auto"/>
          </w:divBdr>
        </w:div>
      </w:divsChild>
    </w:div>
    <w:div w:id="1586644884">
      <w:bodyDiv w:val="1"/>
      <w:marLeft w:val="0"/>
      <w:marRight w:val="0"/>
      <w:marTop w:val="0"/>
      <w:marBottom w:val="0"/>
      <w:divBdr>
        <w:top w:val="none" w:sz="0" w:space="0" w:color="auto"/>
        <w:left w:val="none" w:sz="0" w:space="0" w:color="auto"/>
        <w:bottom w:val="none" w:sz="0" w:space="0" w:color="auto"/>
        <w:right w:val="none" w:sz="0" w:space="0" w:color="auto"/>
      </w:divBdr>
      <w:divsChild>
        <w:div w:id="1922442344">
          <w:marLeft w:val="576"/>
          <w:marRight w:val="0"/>
          <w:marTop w:val="80"/>
          <w:marBottom w:val="0"/>
          <w:divBdr>
            <w:top w:val="none" w:sz="0" w:space="0" w:color="auto"/>
            <w:left w:val="none" w:sz="0" w:space="0" w:color="auto"/>
            <w:bottom w:val="none" w:sz="0" w:space="0" w:color="auto"/>
            <w:right w:val="none" w:sz="0" w:space="0" w:color="auto"/>
          </w:divBdr>
        </w:div>
        <w:div w:id="1544052127">
          <w:marLeft w:val="979"/>
          <w:marRight w:val="0"/>
          <w:marTop w:val="65"/>
          <w:marBottom w:val="0"/>
          <w:divBdr>
            <w:top w:val="none" w:sz="0" w:space="0" w:color="auto"/>
            <w:left w:val="none" w:sz="0" w:space="0" w:color="auto"/>
            <w:bottom w:val="none" w:sz="0" w:space="0" w:color="auto"/>
            <w:right w:val="none" w:sz="0" w:space="0" w:color="auto"/>
          </w:divBdr>
        </w:div>
        <w:div w:id="908735892">
          <w:marLeft w:val="979"/>
          <w:marRight w:val="0"/>
          <w:marTop w:val="65"/>
          <w:marBottom w:val="0"/>
          <w:divBdr>
            <w:top w:val="none" w:sz="0" w:space="0" w:color="auto"/>
            <w:left w:val="none" w:sz="0" w:space="0" w:color="auto"/>
            <w:bottom w:val="none" w:sz="0" w:space="0" w:color="auto"/>
            <w:right w:val="none" w:sz="0" w:space="0" w:color="auto"/>
          </w:divBdr>
        </w:div>
        <w:div w:id="2053378261">
          <w:marLeft w:val="576"/>
          <w:marRight w:val="0"/>
          <w:marTop w:val="80"/>
          <w:marBottom w:val="0"/>
          <w:divBdr>
            <w:top w:val="none" w:sz="0" w:space="0" w:color="auto"/>
            <w:left w:val="none" w:sz="0" w:space="0" w:color="auto"/>
            <w:bottom w:val="none" w:sz="0" w:space="0" w:color="auto"/>
            <w:right w:val="none" w:sz="0" w:space="0" w:color="auto"/>
          </w:divBdr>
        </w:div>
        <w:div w:id="413476751">
          <w:marLeft w:val="979"/>
          <w:marRight w:val="0"/>
          <w:marTop w:val="65"/>
          <w:marBottom w:val="0"/>
          <w:divBdr>
            <w:top w:val="none" w:sz="0" w:space="0" w:color="auto"/>
            <w:left w:val="none" w:sz="0" w:space="0" w:color="auto"/>
            <w:bottom w:val="none" w:sz="0" w:space="0" w:color="auto"/>
            <w:right w:val="none" w:sz="0" w:space="0" w:color="auto"/>
          </w:divBdr>
        </w:div>
        <w:div w:id="54011230">
          <w:marLeft w:val="979"/>
          <w:marRight w:val="0"/>
          <w:marTop w:val="65"/>
          <w:marBottom w:val="0"/>
          <w:divBdr>
            <w:top w:val="none" w:sz="0" w:space="0" w:color="auto"/>
            <w:left w:val="none" w:sz="0" w:space="0" w:color="auto"/>
            <w:bottom w:val="none" w:sz="0" w:space="0" w:color="auto"/>
            <w:right w:val="none" w:sz="0" w:space="0" w:color="auto"/>
          </w:divBdr>
        </w:div>
        <w:div w:id="861430812">
          <w:marLeft w:val="979"/>
          <w:marRight w:val="0"/>
          <w:marTop w:val="65"/>
          <w:marBottom w:val="0"/>
          <w:divBdr>
            <w:top w:val="none" w:sz="0" w:space="0" w:color="auto"/>
            <w:left w:val="none" w:sz="0" w:space="0" w:color="auto"/>
            <w:bottom w:val="none" w:sz="0" w:space="0" w:color="auto"/>
            <w:right w:val="none" w:sz="0" w:space="0" w:color="auto"/>
          </w:divBdr>
        </w:div>
        <w:div w:id="884488591">
          <w:marLeft w:val="979"/>
          <w:marRight w:val="0"/>
          <w:marTop w:val="65"/>
          <w:marBottom w:val="0"/>
          <w:divBdr>
            <w:top w:val="none" w:sz="0" w:space="0" w:color="auto"/>
            <w:left w:val="none" w:sz="0" w:space="0" w:color="auto"/>
            <w:bottom w:val="none" w:sz="0" w:space="0" w:color="auto"/>
            <w:right w:val="none" w:sz="0" w:space="0" w:color="auto"/>
          </w:divBdr>
        </w:div>
        <w:div w:id="477965766">
          <w:marLeft w:val="979"/>
          <w:marRight w:val="0"/>
          <w:marTop w:val="65"/>
          <w:marBottom w:val="0"/>
          <w:divBdr>
            <w:top w:val="none" w:sz="0" w:space="0" w:color="auto"/>
            <w:left w:val="none" w:sz="0" w:space="0" w:color="auto"/>
            <w:bottom w:val="none" w:sz="0" w:space="0" w:color="auto"/>
            <w:right w:val="none" w:sz="0" w:space="0" w:color="auto"/>
          </w:divBdr>
        </w:div>
        <w:div w:id="790974651">
          <w:marLeft w:val="979"/>
          <w:marRight w:val="0"/>
          <w:marTop w:val="65"/>
          <w:marBottom w:val="0"/>
          <w:divBdr>
            <w:top w:val="none" w:sz="0" w:space="0" w:color="auto"/>
            <w:left w:val="none" w:sz="0" w:space="0" w:color="auto"/>
            <w:bottom w:val="none" w:sz="0" w:space="0" w:color="auto"/>
            <w:right w:val="none" w:sz="0" w:space="0" w:color="auto"/>
          </w:divBdr>
        </w:div>
        <w:div w:id="986666856">
          <w:marLeft w:val="576"/>
          <w:marRight w:val="0"/>
          <w:marTop w:val="80"/>
          <w:marBottom w:val="0"/>
          <w:divBdr>
            <w:top w:val="none" w:sz="0" w:space="0" w:color="auto"/>
            <w:left w:val="none" w:sz="0" w:space="0" w:color="auto"/>
            <w:bottom w:val="none" w:sz="0" w:space="0" w:color="auto"/>
            <w:right w:val="none" w:sz="0" w:space="0" w:color="auto"/>
          </w:divBdr>
        </w:div>
      </w:divsChild>
    </w:div>
    <w:div w:id="1729306413">
      <w:bodyDiv w:val="1"/>
      <w:marLeft w:val="0"/>
      <w:marRight w:val="0"/>
      <w:marTop w:val="0"/>
      <w:marBottom w:val="0"/>
      <w:divBdr>
        <w:top w:val="none" w:sz="0" w:space="0" w:color="auto"/>
        <w:left w:val="none" w:sz="0" w:space="0" w:color="auto"/>
        <w:bottom w:val="none" w:sz="0" w:space="0" w:color="auto"/>
        <w:right w:val="none" w:sz="0" w:space="0" w:color="auto"/>
      </w:divBdr>
      <w:divsChild>
        <w:div w:id="1843087428">
          <w:marLeft w:val="576"/>
          <w:marRight w:val="0"/>
          <w:marTop w:val="120"/>
          <w:marBottom w:val="0"/>
          <w:divBdr>
            <w:top w:val="none" w:sz="0" w:space="0" w:color="auto"/>
            <w:left w:val="none" w:sz="0" w:space="0" w:color="auto"/>
            <w:bottom w:val="none" w:sz="0" w:space="0" w:color="auto"/>
            <w:right w:val="none" w:sz="0" w:space="0" w:color="auto"/>
          </w:divBdr>
        </w:div>
      </w:divsChild>
    </w:div>
    <w:div w:id="1768501350">
      <w:bodyDiv w:val="1"/>
      <w:marLeft w:val="0"/>
      <w:marRight w:val="0"/>
      <w:marTop w:val="0"/>
      <w:marBottom w:val="0"/>
      <w:divBdr>
        <w:top w:val="none" w:sz="0" w:space="0" w:color="auto"/>
        <w:left w:val="none" w:sz="0" w:space="0" w:color="auto"/>
        <w:bottom w:val="none" w:sz="0" w:space="0" w:color="auto"/>
        <w:right w:val="none" w:sz="0" w:space="0" w:color="auto"/>
      </w:divBdr>
      <w:divsChild>
        <w:div w:id="1557277866">
          <w:marLeft w:val="1166"/>
          <w:marRight w:val="0"/>
          <w:marTop w:val="115"/>
          <w:marBottom w:val="0"/>
          <w:divBdr>
            <w:top w:val="none" w:sz="0" w:space="0" w:color="auto"/>
            <w:left w:val="none" w:sz="0" w:space="0" w:color="auto"/>
            <w:bottom w:val="none" w:sz="0" w:space="0" w:color="auto"/>
            <w:right w:val="none" w:sz="0" w:space="0" w:color="auto"/>
          </w:divBdr>
        </w:div>
        <w:div w:id="1312826207">
          <w:marLeft w:val="1166"/>
          <w:marRight w:val="0"/>
          <w:marTop w:val="115"/>
          <w:marBottom w:val="0"/>
          <w:divBdr>
            <w:top w:val="none" w:sz="0" w:space="0" w:color="auto"/>
            <w:left w:val="none" w:sz="0" w:space="0" w:color="auto"/>
            <w:bottom w:val="none" w:sz="0" w:space="0" w:color="auto"/>
            <w:right w:val="none" w:sz="0" w:space="0" w:color="auto"/>
          </w:divBdr>
        </w:div>
        <w:div w:id="2003926775">
          <w:marLeft w:val="1166"/>
          <w:marRight w:val="0"/>
          <w:marTop w:val="115"/>
          <w:marBottom w:val="0"/>
          <w:divBdr>
            <w:top w:val="none" w:sz="0" w:space="0" w:color="auto"/>
            <w:left w:val="none" w:sz="0" w:space="0" w:color="auto"/>
            <w:bottom w:val="none" w:sz="0" w:space="0" w:color="auto"/>
            <w:right w:val="none" w:sz="0" w:space="0" w:color="auto"/>
          </w:divBdr>
        </w:div>
      </w:divsChild>
    </w:div>
    <w:div w:id="2063432833">
      <w:bodyDiv w:val="1"/>
      <w:marLeft w:val="0"/>
      <w:marRight w:val="0"/>
      <w:marTop w:val="0"/>
      <w:marBottom w:val="0"/>
      <w:divBdr>
        <w:top w:val="none" w:sz="0" w:space="0" w:color="auto"/>
        <w:left w:val="none" w:sz="0" w:space="0" w:color="auto"/>
        <w:bottom w:val="none" w:sz="0" w:space="0" w:color="auto"/>
        <w:right w:val="none" w:sz="0" w:space="0" w:color="auto"/>
      </w:divBdr>
      <w:divsChild>
        <w:div w:id="210791828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hyperlink" Target="http://ssa.gov.ge/index.php?lang_id=GEO&amp;sec_id=750" TargetMode="External"/><Relationship Id="rId12" Type="http://schemas.openxmlformats.org/officeDocument/2006/relationships/chart" Target="charts/chart5.xml"/><Relationship Id="rId17" Type="http://schemas.openxmlformats.org/officeDocument/2006/relationships/chart" Target="charts/chart9.xml"/><Relationship Id="rId2" Type="http://schemas.openxmlformats.org/officeDocument/2006/relationships/styles" Target="styles.xml"/><Relationship Id="rId16" Type="http://schemas.openxmlformats.org/officeDocument/2006/relationships/image" Target="media/image1.png"/><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18010145249864576"/>
          <c:y val="6.3492063492063489E-2"/>
          <c:w val="0.82532685570156084"/>
          <c:h val="0.57578752572229652"/>
        </c:manualLayout>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სიღარიბის ზღვარს ქვემოთ მყოფი მოსახლეობა</c:v>
                </c:pt>
                <c:pt idx="1">
                  <c:v>საპენსიო ასაკის პირები</c:v>
                </c:pt>
                <c:pt idx="2">
                  <c:v>6 წლამდე ასაკის ბავშვები</c:v>
                </c:pt>
                <c:pt idx="3">
                  <c:v>პედაგოგები</c:v>
                </c:pt>
                <c:pt idx="4">
                  <c:v>სტუდენტები</c:v>
                </c:pt>
                <c:pt idx="5">
                  <c:v>კომპაქტურ დასახლებებში მყოფი იგპ</c:v>
                </c:pt>
                <c:pt idx="6">
                  <c:v>პირველი ჯგუფის შშმ პირები</c:v>
                </c:pt>
                <c:pt idx="7">
                  <c:v>შშმ ბავშვები</c:v>
                </c:pt>
                <c:pt idx="8">
                  <c:v>მზრუნველობამოკლებული ბავშვები</c:v>
                </c:pt>
                <c:pt idx="9">
                  <c:v>ოკუპირებულ ტერიტორიის მიმდებარედ მცხოვრები მოსახლეობა</c:v>
                </c:pt>
                <c:pt idx="10">
                  <c:v>სკოლა–პანსიონების ბენეფიციარები</c:v>
                </c:pt>
                <c:pt idx="11">
                  <c:v>სახალხო არტისტების, სახალხო მხატვრებისა და რუსთაველის პრემიის ლაურიატები</c:v>
                </c:pt>
              </c:strCache>
            </c:strRef>
          </c:cat>
          <c:val>
            <c:numRef>
              <c:f>Sheet1!$B$2:$B$13</c:f>
              <c:numCache>
                <c:formatCode>_(* #,##0_);_(* \(#,##0\);_(* "-"_);_(@_)</c:formatCode>
                <c:ptCount val="12"/>
                <c:pt idx="0">
                  <c:v>750011</c:v>
                </c:pt>
                <c:pt idx="1">
                  <c:v>474742</c:v>
                </c:pt>
                <c:pt idx="2">
                  <c:v>230166</c:v>
                </c:pt>
                <c:pt idx="3" formatCode="General">
                  <c:v>74943</c:v>
                </c:pt>
                <c:pt idx="4">
                  <c:v>73006</c:v>
                </c:pt>
                <c:pt idx="5">
                  <c:v>14970</c:v>
                </c:pt>
                <c:pt idx="6">
                  <c:v>10000</c:v>
                </c:pt>
                <c:pt idx="7">
                  <c:v>3861</c:v>
                </c:pt>
                <c:pt idx="8">
                  <c:v>1941</c:v>
                </c:pt>
                <c:pt idx="9" formatCode="General">
                  <c:v>941</c:v>
                </c:pt>
                <c:pt idx="10">
                  <c:v>465</c:v>
                </c:pt>
                <c:pt idx="11" formatCode="General">
                  <c:v>171</c:v>
                </c:pt>
              </c:numCache>
            </c:numRef>
          </c:val>
        </c:ser>
        <c:dLbls>
          <c:showLegendKey val="0"/>
          <c:showVal val="0"/>
          <c:showCatName val="0"/>
          <c:showSerName val="0"/>
          <c:showPercent val="0"/>
          <c:showBubbleSize val="0"/>
        </c:dLbls>
        <c:gapWidth val="150"/>
        <c:axId val="136071040"/>
        <c:axId val="136097792"/>
      </c:barChart>
      <c:catAx>
        <c:axId val="136071040"/>
        <c:scaling>
          <c:orientation val="minMax"/>
        </c:scaling>
        <c:delete val="0"/>
        <c:axPos val="b"/>
        <c:numFmt formatCode="General" sourceLinked="0"/>
        <c:majorTickMark val="out"/>
        <c:minorTickMark val="none"/>
        <c:tickLblPos val="nextTo"/>
        <c:txPr>
          <a:bodyPr rot="-5400000" vert="horz"/>
          <a:lstStyle/>
          <a:p>
            <a:pPr>
              <a:defRPr sz="900"/>
            </a:pPr>
            <a:endParaRPr lang="en-US"/>
          </a:p>
        </c:txPr>
        <c:crossAx val="136097792"/>
        <c:crosses val="autoZero"/>
        <c:auto val="1"/>
        <c:lblAlgn val="ctr"/>
        <c:lblOffset val="100"/>
        <c:noMultiLvlLbl val="0"/>
      </c:catAx>
      <c:valAx>
        <c:axId val="136097792"/>
        <c:scaling>
          <c:orientation val="minMax"/>
        </c:scaling>
        <c:delete val="0"/>
        <c:axPos val="l"/>
        <c:numFmt formatCode="_(* #,##0_);_(* \(#,##0\);_(* &quot;-&quot;_);_(@_)" sourceLinked="1"/>
        <c:majorTickMark val="out"/>
        <c:minorTickMark val="none"/>
        <c:tickLblPos val="nextTo"/>
        <c:crossAx val="13607104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278854697591565E-2"/>
          <c:y val="7.4031683539557566E-2"/>
          <c:w val="0.6198672448251864"/>
          <c:h val="0.80918234117169985"/>
        </c:manualLayout>
      </c:layout>
      <c:lineChart>
        <c:grouping val="standard"/>
        <c:varyColors val="0"/>
        <c:ser>
          <c:idx val="0"/>
          <c:order val="0"/>
          <c:tx>
            <c:strRef>
              <c:f>Sheet1!$A$2</c:f>
              <c:strCache>
                <c:ptCount val="1"/>
                <c:pt idx="0">
                  <c:v>ჯანმრთელობის დაზღვევის სახელმწიფო პროგრამის მოსარგებლეთა წილი</c:v>
                </c:pt>
              </c:strCache>
            </c:strRef>
          </c:tx>
          <c:dLbls>
            <c:dLbl>
              <c:idx val="0"/>
              <c:layout>
                <c:manualLayout>
                  <c:x val="0"/>
                  <c:y val="-3.1746031746031744E-2"/>
                </c:manualLayout>
              </c:layout>
              <c:spPr>
                <a:noFill/>
                <a:ln w="25395">
                  <a:noFill/>
                </a:ln>
              </c:spPr>
              <c:txPr>
                <a:bodyPr/>
                <a:lstStyle/>
                <a:p>
                  <a:pPr>
                    <a:defRPr/>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w="25395">
                <a:noFill/>
              </a:ln>
            </c:sp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Sheet1!$B$2:$G$2</c:f>
              <c:numCache>
                <c:formatCode>0.0%</c:formatCode>
                <c:ptCount val="6"/>
                <c:pt idx="0">
                  <c:v>4.0861094045099834E-2</c:v>
                </c:pt>
                <c:pt idx="1">
                  <c:v>0.17133337897355067</c:v>
                </c:pt>
                <c:pt idx="2">
                  <c:v>0.20634377707848772</c:v>
                </c:pt>
                <c:pt idx="3">
                  <c:v>0.20317853922452617</c:v>
                </c:pt>
                <c:pt idx="4">
                  <c:v>0.20202318088248641</c:v>
                </c:pt>
                <c:pt idx="5">
                  <c:v>0.37936957494407619</c:v>
                </c:pt>
              </c:numCache>
            </c:numRef>
          </c:val>
          <c:smooth val="0"/>
        </c:ser>
        <c:ser>
          <c:idx val="1"/>
          <c:order val="1"/>
          <c:tx>
            <c:strRef>
              <c:f>Sheet1!$A$3</c:f>
              <c:strCache>
                <c:ptCount val="1"/>
                <c:pt idx="0">
                  <c:v>სულ სამედიცინო სადაზღვევო პოლისის მფლობელთა წილი</c:v>
                </c:pt>
              </c:strCache>
            </c:strRef>
          </c:tx>
          <c:dLbls>
            <c:spPr>
              <a:noFill/>
              <a:ln w="25395">
                <a:noFill/>
              </a:ln>
            </c:sp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2007</c:v>
                </c:pt>
                <c:pt idx="1">
                  <c:v>2008</c:v>
                </c:pt>
                <c:pt idx="2">
                  <c:v>2009</c:v>
                </c:pt>
                <c:pt idx="3">
                  <c:v>2010</c:v>
                </c:pt>
                <c:pt idx="4">
                  <c:v>2011</c:v>
                </c:pt>
                <c:pt idx="5">
                  <c:v>2012</c:v>
                </c:pt>
              </c:strCache>
            </c:strRef>
          </c:cat>
          <c:val>
            <c:numRef>
              <c:f>Sheet1!$B$3:$G$3</c:f>
              <c:numCache>
                <c:formatCode>0.0%</c:formatCode>
                <c:ptCount val="6"/>
                <c:pt idx="0">
                  <c:v>6.0066045463854155E-2</c:v>
                </c:pt>
                <c:pt idx="1">
                  <c:v>0.23163894023413431</c:v>
                </c:pt>
                <c:pt idx="2">
                  <c:v>0.29901194873899756</c:v>
                </c:pt>
                <c:pt idx="3">
                  <c:v>0.33756018935978943</c:v>
                </c:pt>
                <c:pt idx="4">
                  <c:v>0.32415711984248002</c:v>
                </c:pt>
                <c:pt idx="5">
                  <c:v>0.50818724832214757</c:v>
                </c:pt>
              </c:numCache>
            </c:numRef>
          </c:val>
          <c:smooth val="0"/>
        </c:ser>
        <c:dLbls>
          <c:showLegendKey val="0"/>
          <c:showVal val="0"/>
          <c:showCatName val="0"/>
          <c:showSerName val="0"/>
          <c:showPercent val="0"/>
          <c:showBubbleSize val="0"/>
        </c:dLbls>
        <c:marker val="1"/>
        <c:smooth val="0"/>
        <c:axId val="165336960"/>
        <c:axId val="173350912"/>
      </c:lineChart>
      <c:catAx>
        <c:axId val="165336960"/>
        <c:scaling>
          <c:orientation val="minMax"/>
        </c:scaling>
        <c:delete val="0"/>
        <c:axPos val="b"/>
        <c:numFmt formatCode="General" sourceLinked="0"/>
        <c:majorTickMark val="none"/>
        <c:minorTickMark val="none"/>
        <c:tickLblPos val="nextTo"/>
        <c:crossAx val="173350912"/>
        <c:crosses val="autoZero"/>
        <c:auto val="1"/>
        <c:lblAlgn val="ctr"/>
        <c:lblOffset val="100"/>
        <c:noMultiLvlLbl val="0"/>
      </c:catAx>
      <c:valAx>
        <c:axId val="173350912"/>
        <c:scaling>
          <c:orientation val="minMax"/>
        </c:scaling>
        <c:delete val="0"/>
        <c:axPos val="l"/>
        <c:numFmt formatCode="0%" sourceLinked="0"/>
        <c:majorTickMark val="none"/>
        <c:minorTickMark val="none"/>
        <c:tickLblPos val="nextTo"/>
        <c:crossAx val="165336960"/>
        <c:crosses val="autoZero"/>
        <c:crossBetween val="between"/>
      </c:valAx>
    </c:plotArea>
    <c:legend>
      <c:legendPos val="r"/>
      <c:layout>
        <c:manualLayout>
          <c:xMode val="edge"/>
          <c:yMode val="edge"/>
          <c:x val="0.68300128644769265"/>
          <c:y val="0.31122876307128661"/>
          <c:w val="0.30515351741882002"/>
          <c:h val="0.46172128483939506"/>
        </c:manualLayout>
      </c:layout>
      <c:overlay val="0"/>
      <c:txPr>
        <a:bodyPr/>
        <a:lstStyle/>
        <a:p>
          <a:pPr>
            <a:defRPr sz="900"/>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206548</c:v>
                </c:pt>
                <c:pt idx="1">
                  <c:v>752339</c:v>
                </c:pt>
                <c:pt idx="2">
                  <c:v>1161922</c:v>
                </c:pt>
                <c:pt idx="3">
                  <c:v>1335522</c:v>
                </c:pt>
                <c:pt idx="4">
                  <c:v>1195425</c:v>
                </c:pt>
              </c:numCache>
            </c:numRef>
          </c:val>
        </c:ser>
        <c:dLbls>
          <c:showLegendKey val="0"/>
          <c:showVal val="0"/>
          <c:showCatName val="0"/>
          <c:showSerName val="0"/>
          <c:showPercent val="0"/>
          <c:showBubbleSize val="0"/>
        </c:dLbls>
        <c:gapWidth val="150"/>
        <c:axId val="175753856"/>
        <c:axId val="198975488"/>
      </c:barChart>
      <c:catAx>
        <c:axId val="175753856"/>
        <c:scaling>
          <c:orientation val="minMax"/>
        </c:scaling>
        <c:delete val="0"/>
        <c:axPos val="b"/>
        <c:numFmt formatCode="General" sourceLinked="1"/>
        <c:majorTickMark val="out"/>
        <c:minorTickMark val="none"/>
        <c:tickLblPos val="nextTo"/>
        <c:crossAx val="198975488"/>
        <c:crosses val="autoZero"/>
        <c:auto val="1"/>
        <c:lblAlgn val="ctr"/>
        <c:lblOffset val="100"/>
        <c:noMultiLvlLbl val="0"/>
      </c:catAx>
      <c:valAx>
        <c:axId val="198975488"/>
        <c:scaling>
          <c:orientation val="minMax"/>
        </c:scaling>
        <c:delete val="0"/>
        <c:axPos val="l"/>
        <c:majorGridlines/>
        <c:numFmt formatCode="General" sourceLinked="1"/>
        <c:majorTickMark val="out"/>
        <c:minorTickMark val="none"/>
        <c:tickLblPos val="nextTo"/>
        <c:crossAx val="175753856"/>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867089530475357"/>
          <c:y val="4.4057617797775277E-2"/>
          <c:w val="0.49200149460484105"/>
          <c:h val="0.85653105861767276"/>
        </c:manualLayout>
      </c:layout>
      <c:barChart>
        <c:barDir val="col"/>
        <c:grouping val="stacked"/>
        <c:varyColors val="0"/>
        <c:ser>
          <c:idx val="0"/>
          <c:order val="0"/>
          <c:tx>
            <c:strRef>
              <c:f>Sheet1!$A$2</c:f>
              <c:strCache>
                <c:ptCount val="1"/>
                <c:pt idx="0">
                  <c:v>გადაუდებელი ამბულატორიული მომსახურება</c:v>
                </c:pt>
              </c:strCache>
            </c:strRef>
          </c:tx>
          <c:invertIfNegative val="0"/>
          <c:cat>
            <c:strRef>
              <c:f>Sheet1!$B$1:$F$1</c:f>
              <c:strCache>
                <c:ptCount val="5"/>
                <c:pt idx="0">
                  <c:v>2013</c:v>
                </c:pt>
                <c:pt idx="1">
                  <c:v>2014</c:v>
                </c:pt>
                <c:pt idx="2">
                  <c:v>2015</c:v>
                </c:pt>
                <c:pt idx="3">
                  <c:v>2016</c:v>
                </c:pt>
                <c:pt idx="4">
                  <c:v>2017</c:v>
                </c:pt>
              </c:strCache>
            </c:strRef>
          </c:cat>
          <c:val>
            <c:numRef>
              <c:f>Sheet1!$B$2:$F$2</c:f>
              <c:numCache>
                <c:formatCode>General</c:formatCode>
                <c:ptCount val="5"/>
                <c:pt idx="0">
                  <c:v>128727</c:v>
                </c:pt>
                <c:pt idx="1">
                  <c:v>440935</c:v>
                </c:pt>
                <c:pt idx="2">
                  <c:v>717407</c:v>
                </c:pt>
                <c:pt idx="3">
                  <c:v>839947</c:v>
                </c:pt>
                <c:pt idx="4">
                  <c:v>707203</c:v>
                </c:pt>
              </c:numCache>
            </c:numRef>
          </c:val>
        </c:ser>
        <c:ser>
          <c:idx val="1"/>
          <c:order val="1"/>
          <c:tx>
            <c:strRef>
              <c:f>Sheet1!$A$3</c:f>
              <c:strCache>
                <c:ptCount val="1"/>
                <c:pt idx="0">
                  <c:v>გადაუდებელი სტაციონარული მომსახურება</c:v>
                </c:pt>
              </c:strCache>
            </c:strRef>
          </c:tx>
          <c:invertIfNegative val="0"/>
          <c:cat>
            <c:strRef>
              <c:f>Sheet1!$B$1:$F$1</c:f>
              <c:strCache>
                <c:ptCount val="5"/>
                <c:pt idx="0">
                  <c:v>2013</c:v>
                </c:pt>
                <c:pt idx="1">
                  <c:v>2014</c:v>
                </c:pt>
                <c:pt idx="2">
                  <c:v>2015</c:v>
                </c:pt>
                <c:pt idx="3">
                  <c:v>2016</c:v>
                </c:pt>
                <c:pt idx="4">
                  <c:v>2017</c:v>
                </c:pt>
              </c:strCache>
            </c:strRef>
          </c:cat>
          <c:val>
            <c:numRef>
              <c:f>Sheet1!$B$3:$F$3</c:f>
              <c:numCache>
                <c:formatCode>General</c:formatCode>
                <c:ptCount val="5"/>
                <c:pt idx="0">
                  <c:v>37002</c:v>
                </c:pt>
                <c:pt idx="1">
                  <c:v>159495</c:v>
                </c:pt>
                <c:pt idx="2">
                  <c:v>236258</c:v>
                </c:pt>
                <c:pt idx="3">
                  <c:v>277673</c:v>
                </c:pt>
                <c:pt idx="4">
                  <c:v>276900</c:v>
                </c:pt>
              </c:numCache>
            </c:numRef>
          </c:val>
        </c:ser>
        <c:ser>
          <c:idx val="2"/>
          <c:order val="2"/>
          <c:tx>
            <c:strRef>
              <c:f>Sheet1!$A$4</c:f>
              <c:strCache>
                <c:ptCount val="1"/>
                <c:pt idx="0">
                  <c:v>გეგმიური ქირურგიული მომსახურება</c:v>
                </c:pt>
              </c:strCache>
            </c:strRef>
          </c:tx>
          <c:invertIfNegative val="0"/>
          <c:cat>
            <c:strRef>
              <c:f>Sheet1!$B$1:$F$1</c:f>
              <c:strCache>
                <c:ptCount val="5"/>
                <c:pt idx="0">
                  <c:v>2013</c:v>
                </c:pt>
                <c:pt idx="1">
                  <c:v>2014</c:v>
                </c:pt>
                <c:pt idx="2">
                  <c:v>2015</c:v>
                </c:pt>
                <c:pt idx="3">
                  <c:v>2016</c:v>
                </c:pt>
                <c:pt idx="4">
                  <c:v>2017</c:v>
                </c:pt>
              </c:strCache>
            </c:strRef>
          </c:cat>
          <c:val>
            <c:numRef>
              <c:f>Sheet1!$B$4:$F$4</c:f>
              <c:numCache>
                <c:formatCode>General</c:formatCode>
                <c:ptCount val="5"/>
                <c:pt idx="0">
                  <c:v>15986</c:v>
                </c:pt>
                <c:pt idx="1">
                  <c:v>72473</c:v>
                </c:pt>
                <c:pt idx="2">
                  <c:v>113427</c:v>
                </c:pt>
                <c:pt idx="3">
                  <c:v>118299</c:v>
                </c:pt>
                <c:pt idx="4">
                  <c:v>108994</c:v>
                </c:pt>
              </c:numCache>
            </c:numRef>
          </c:val>
        </c:ser>
        <c:ser>
          <c:idx val="3"/>
          <c:order val="3"/>
          <c:tx>
            <c:strRef>
              <c:f>Sheet1!$A$5</c:f>
              <c:strCache>
                <c:ptCount val="1"/>
                <c:pt idx="0">
                  <c:v>მაღალი რისკი </c:v>
                </c:pt>
              </c:strCache>
            </c:strRef>
          </c:tx>
          <c:invertIfNegative val="0"/>
          <c:cat>
            <c:strRef>
              <c:f>Sheet1!$B$1:$F$1</c:f>
              <c:strCache>
                <c:ptCount val="5"/>
                <c:pt idx="0">
                  <c:v>2013</c:v>
                </c:pt>
                <c:pt idx="1">
                  <c:v>2014</c:v>
                </c:pt>
                <c:pt idx="2">
                  <c:v>2015</c:v>
                </c:pt>
                <c:pt idx="3">
                  <c:v>2016</c:v>
                </c:pt>
                <c:pt idx="4">
                  <c:v>2017</c:v>
                </c:pt>
              </c:strCache>
            </c:strRef>
          </c:cat>
          <c:val>
            <c:numRef>
              <c:f>Sheet1!$B$5:$F$5</c:f>
              <c:numCache>
                <c:formatCode>General</c:formatCode>
                <c:ptCount val="5"/>
                <c:pt idx="4">
                  <c:v>1991</c:v>
                </c:pt>
              </c:numCache>
            </c:numRef>
          </c:val>
        </c:ser>
        <c:ser>
          <c:idx val="4"/>
          <c:order val="4"/>
          <c:tx>
            <c:strRef>
              <c:f>Sheet1!$A$6</c:f>
              <c:strCache>
                <c:ptCount val="1"/>
                <c:pt idx="0">
                  <c:v>მშობიარობა და საკეისრო კვეთა</c:v>
                </c:pt>
              </c:strCache>
            </c:strRef>
          </c:tx>
          <c:invertIfNegative val="0"/>
          <c:cat>
            <c:strRef>
              <c:f>Sheet1!$B$1:$F$1</c:f>
              <c:strCache>
                <c:ptCount val="5"/>
                <c:pt idx="0">
                  <c:v>2013</c:v>
                </c:pt>
                <c:pt idx="1">
                  <c:v>2014</c:v>
                </c:pt>
                <c:pt idx="2">
                  <c:v>2015</c:v>
                </c:pt>
                <c:pt idx="3">
                  <c:v>2016</c:v>
                </c:pt>
                <c:pt idx="4">
                  <c:v>2017</c:v>
                </c:pt>
              </c:strCache>
            </c:strRef>
          </c:cat>
          <c:val>
            <c:numRef>
              <c:f>Sheet1!$B$6:$F$6</c:f>
              <c:numCache>
                <c:formatCode>General</c:formatCode>
                <c:ptCount val="5"/>
                <c:pt idx="0">
                  <c:v>19368</c:v>
                </c:pt>
                <c:pt idx="1">
                  <c:v>48414</c:v>
                </c:pt>
                <c:pt idx="2">
                  <c:v>50457</c:v>
                </c:pt>
                <c:pt idx="3">
                  <c:v>48630</c:v>
                </c:pt>
                <c:pt idx="4">
                  <c:v>44776</c:v>
                </c:pt>
              </c:numCache>
            </c:numRef>
          </c:val>
        </c:ser>
        <c:ser>
          <c:idx val="5"/>
          <c:order val="5"/>
          <c:tx>
            <c:strRef>
              <c:f>Sheet1!$A$7</c:f>
              <c:strCache>
                <c:ptCount val="1"/>
                <c:pt idx="0">
                  <c:v>სხივური თერაპია</c:v>
                </c:pt>
              </c:strCache>
            </c:strRef>
          </c:tx>
          <c:invertIfNegative val="0"/>
          <c:cat>
            <c:strRef>
              <c:f>Sheet1!$B$1:$F$1</c:f>
              <c:strCache>
                <c:ptCount val="5"/>
                <c:pt idx="0">
                  <c:v>2013</c:v>
                </c:pt>
                <c:pt idx="1">
                  <c:v>2014</c:v>
                </c:pt>
                <c:pt idx="2">
                  <c:v>2015</c:v>
                </c:pt>
                <c:pt idx="3">
                  <c:v>2016</c:v>
                </c:pt>
                <c:pt idx="4">
                  <c:v>2017</c:v>
                </c:pt>
              </c:strCache>
            </c:strRef>
          </c:cat>
          <c:val>
            <c:numRef>
              <c:f>Sheet1!$B$7:$F$7</c:f>
              <c:numCache>
                <c:formatCode>General</c:formatCode>
                <c:ptCount val="5"/>
                <c:pt idx="0">
                  <c:v>578</c:v>
                </c:pt>
                <c:pt idx="1">
                  <c:v>2123</c:v>
                </c:pt>
                <c:pt idx="2">
                  <c:v>3005</c:v>
                </c:pt>
                <c:pt idx="3">
                  <c:v>3203</c:v>
                </c:pt>
                <c:pt idx="4">
                  <c:v>3308</c:v>
                </c:pt>
              </c:numCache>
            </c:numRef>
          </c:val>
        </c:ser>
        <c:ser>
          <c:idx val="6"/>
          <c:order val="6"/>
          <c:tx>
            <c:strRef>
              <c:f>Sheet1!$A$8</c:f>
              <c:strCache>
                <c:ptCount val="1"/>
                <c:pt idx="0">
                  <c:v>ქიმიოთერაპია და ჰორმონოთერაპია</c:v>
                </c:pt>
              </c:strCache>
            </c:strRef>
          </c:tx>
          <c:invertIfNegative val="0"/>
          <c:cat>
            <c:strRef>
              <c:f>Sheet1!$B$1:$F$1</c:f>
              <c:strCache>
                <c:ptCount val="5"/>
                <c:pt idx="0">
                  <c:v>2013</c:v>
                </c:pt>
                <c:pt idx="1">
                  <c:v>2014</c:v>
                </c:pt>
                <c:pt idx="2">
                  <c:v>2015</c:v>
                </c:pt>
                <c:pt idx="3">
                  <c:v>2016</c:v>
                </c:pt>
                <c:pt idx="4">
                  <c:v>2017</c:v>
                </c:pt>
              </c:strCache>
            </c:strRef>
          </c:cat>
          <c:val>
            <c:numRef>
              <c:f>Sheet1!$B$8:$F$8</c:f>
              <c:numCache>
                <c:formatCode>General</c:formatCode>
                <c:ptCount val="5"/>
                <c:pt idx="0">
                  <c:v>4887</c:v>
                </c:pt>
                <c:pt idx="1">
                  <c:v>28899</c:v>
                </c:pt>
                <c:pt idx="2">
                  <c:v>41368</c:v>
                </c:pt>
                <c:pt idx="3">
                  <c:v>47770</c:v>
                </c:pt>
                <c:pt idx="4">
                  <c:v>52253</c:v>
                </c:pt>
              </c:numCache>
            </c:numRef>
          </c:val>
        </c:ser>
        <c:dLbls>
          <c:showLegendKey val="0"/>
          <c:showVal val="0"/>
          <c:showCatName val="0"/>
          <c:showSerName val="0"/>
          <c:showPercent val="0"/>
          <c:showBubbleSize val="0"/>
        </c:dLbls>
        <c:gapWidth val="150"/>
        <c:overlap val="100"/>
        <c:axId val="127005056"/>
        <c:axId val="127006592"/>
      </c:barChart>
      <c:catAx>
        <c:axId val="127005056"/>
        <c:scaling>
          <c:orientation val="minMax"/>
        </c:scaling>
        <c:delete val="0"/>
        <c:axPos val="b"/>
        <c:numFmt formatCode="General" sourceLinked="0"/>
        <c:majorTickMark val="out"/>
        <c:minorTickMark val="none"/>
        <c:tickLblPos val="nextTo"/>
        <c:crossAx val="127006592"/>
        <c:crosses val="autoZero"/>
        <c:auto val="1"/>
        <c:lblAlgn val="ctr"/>
        <c:lblOffset val="100"/>
        <c:noMultiLvlLbl val="0"/>
      </c:catAx>
      <c:valAx>
        <c:axId val="127006592"/>
        <c:scaling>
          <c:orientation val="minMax"/>
        </c:scaling>
        <c:delete val="0"/>
        <c:axPos val="l"/>
        <c:majorGridlines/>
        <c:numFmt formatCode="General" sourceLinked="1"/>
        <c:majorTickMark val="out"/>
        <c:minorTickMark val="none"/>
        <c:tickLblPos val="nextTo"/>
        <c:crossAx val="127005056"/>
        <c:crosses val="autoZero"/>
        <c:crossBetween val="between"/>
      </c:valAx>
    </c:plotArea>
    <c:legend>
      <c:legendPos val="r"/>
      <c:layout>
        <c:manualLayout>
          <c:xMode val="edge"/>
          <c:yMode val="edge"/>
          <c:x val="0.62687609361329832"/>
          <c:y val="2.5309961254843145E-2"/>
          <c:w val="0.35923501749781273"/>
          <c:h val="0.94144325709286336"/>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Sheet1!$A$2:$A$6</c:f>
              <c:numCache>
                <c:formatCode>General</c:formatCode>
                <c:ptCount val="5"/>
                <c:pt idx="0">
                  <c:v>2013</c:v>
                </c:pt>
                <c:pt idx="1">
                  <c:v>2014</c:v>
                </c:pt>
                <c:pt idx="2">
                  <c:v>2015</c:v>
                </c:pt>
                <c:pt idx="3">
                  <c:v>2016</c:v>
                </c:pt>
                <c:pt idx="4">
                  <c:v>2017</c:v>
                </c:pt>
              </c:numCache>
            </c:numRef>
          </c:cat>
          <c:val>
            <c:numRef>
              <c:f>Sheet1!$B$2:$B$6</c:f>
              <c:numCache>
                <c:formatCode>#,##0</c:formatCode>
                <c:ptCount val="5"/>
                <c:pt idx="0">
                  <c:v>69065001</c:v>
                </c:pt>
                <c:pt idx="1">
                  <c:v>335602940</c:v>
                </c:pt>
                <c:pt idx="2">
                  <c:v>570673227</c:v>
                </c:pt>
                <c:pt idx="3">
                  <c:v>677393563</c:v>
                </c:pt>
                <c:pt idx="4" formatCode="_(* #,##0_);_(* \(#,##0\);_(* &quot;-&quot;??_);_(@_)">
                  <c:v>709694406</c:v>
                </c:pt>
              </c:numCache>
            </c:numRef>
          </c:val>
        </c:ser>
        <c:dLbls>
          <c:showLegendKey val="0"/>
          <c:showVal val="0"/>
          <c:showCatName val="0"/>
          <c:showSerName val="0"/>
          <c:showPercent val="0"/>
          <c:showBubbleSize val="0"/>
        </c:dLbls>
        <c:gapWidth val="150"/>
        <c:axId val="135337088"/>
        <c:axId val="135338624"/>
      </c:barChart>
      <c:catAx>
        <c:axId val="135337088"/>
        <c:scaling>
          <c:orientation val="minMax"/>
        </c:scaling>
        <c:delete val="0"/>
        <c:axPos val="b"/>
        <c:numFmt formatCode="General" sourceLinked="1"/>
        <c:majorTickMark val="out"/>
        <c:minorTickMark val="none"/>
        <c:tickLblPos val="nextTo"/>
        <c:crossAx val="135338624"/>
        <c:crosses val="autoZero"/>
        <c:auto val="1"/>
        <c:lblAlgn val="ctr"/>
        <c:lblOffset val="100"/>
        <c:noMultiLvlLbl val="0"/>
      </c:catAx>
      <c:valAx>
        <c:axId val="135338624"/>
        <c:scaling>
          <c:orientation val="minMax"/>
        </c:scaling>
        <c:delete val="0"/>
        <c:axPos val="l"/>
        <c:majorGridlines/>
        <c:numFmt formatCode="#,##0" sourceLinked="1"/>
        <c:majorTickMark val="out"/>
        <c:minorTickMark val="none"/>
        <c:tickLblPos val="nextTo"/>
        <c:crossAx val="135337088"/>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800415573053369E-2"/>
          <c:y val="3.4560553877851966E-2"/>
          <c:w val="0.83859300573539419"/>
          <c:h val="0.60102589611255319"/>
        </c:manualLayout>
      </c:layout>
      <c:barChart>
        <c:barDir val="col"/>
        <c:grouping val="clustered"/>
        <c:varyColors val="0"/>
        <c:ser>
          <c:idx val="0"/>
          <c:order val="0"/>
          <c:tx>
            <c:strRef>
              <c:f>Sheet1!$A$2</c:f>
              <c:strCache>
                <c:ptCount val="1"/>
                <c:pt idx="0">
                  <c:v>ჯანდაცვაზე სახელმწიფო დანახარჯები, მლნ ლარი</c:v>
                </c:pt>
              </c:strCache>
            </c:strRef>
          </c:tx>
          <c:invertIfNegative val="0"/>
          <c:dLbls>
            <c:spPr>
              <a:noFill/>
              <a:ln>
                <a:noFill/>
              </a:ln>
              <a:effectLst/>
            </c:spPr>
            <c:txPr>
              <a:bodyPr/>
              <a:lstStyle/>
              <a:p>
                <a:pPr>
                  <a:defRPr sz="1400" b="1">
                    <a:solidFill>
                      <a:schemeClr val="bg1"/>
                    </a:solidFill>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2010</c:v>
                </c:pt>
                <c:pt idx="1">
                  <c:v>2011</c:v>
                </c:pt>
                <c:pt idx="2">
                  <c:v>2012</c:v>
                </c:pt>
                <c:pt idx="3">
                  <c:v>2013</c:v>
                </c:pt>
                <c:pt idx="4">
                  <c:v>2014</c:v>
                </c:pt>
                <c:pt idx="5">
                  <c:v>2015</c:v>
                </c:pt>
                <c:pt idx="6">
                  <c:v>2016</c:v>
                </c:pt>
              </c:strCache>
            </c:strRef>
          </c:cat>
          <c:val>
            <c:numRef>
              <c:f>Sheet1!$B$2:$H$2</c:f>
              <c:numCache>
                <c:formatCode>#,##0</c:formatCode>
                <c:ptCount val="7"/>
                <c:pt idx="0">
                  <c:v>441</c:v>
                </c:pt>
                <c:pt idx="1">
                  <c:v>375</c:v>
                </c:pt>
                <c:pt idx="2">
                  <c:v>450</c:v>
                </c:pt>
                <c:pt idx="3">
                  <c:v>548</c:v>
                </c:pt>
                <c:pt idx="4">
                  <c:v>693</c:v>
                </c:pt>
                <c:pt idx="5">
                  <c:v>914</c:v>
                </c:pt>
                <c:pt idx="6" formatCode="General">
                  <c:v>1017</c:v>
                </c:pt>
              </c:numCache>
            </c:numRef>
          </c:val>
        </c:ser>
        <c:dLbls>
          <c:showLegendKey val="0"/>
          <c:showVal val="0"/>
          <c:showCatName val="0"/>
          <c:showSerName val="0"/>
          <c:showPercent val="0"/>
          <c:showBubbleSize val="0"/>
        </c:dLbls>
        <c:gapWidth val="29"/>
        <c:overlap val="36"/>
        <c:axId val="135844992"/>
        <c:axId val="135846528"/>
      </c:barChart>
      <c:lineChart>
        <c:grouping val="standard"/>
        <c:varyColors val="0"/>
        <c:ser>
          <c:idx val="1"/>
          <c:order val="1"/>
          <c:tx>
            <c:strRef>
              <c:f>Sheet1!$A$3</c:f>
              <c:strCache>
                <c:ptCount val="1"/>
                <c:pt idx="0">
                  <c:v>ჯანდაცვაზე სახელმწიფო დანახარჯების წილი მშპ-დან (%)</c:v>
                </c:pt>
              </c:strCache>
            </c:strRef>
          </c:tx>
          <c:spPr>
            <a:ln w="41275">
              <a:solidFill>
                <a:srgbClr val="C00000"/>
              </a:solidFill>
            </a:ln>
          </c:spPr>
          <c:marker>
            <c:symbol val="none"/>
          </c:marker>
          <c:dLbls>
            <c:dLbl>
              <c:idx val="6"/>
              <c:layout>
                <c:manualLayout>
                  <c:x val="-6.0006204906028655E-2"/>
                  <c:y val="-5.473979034428872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2591582417967195E-2"/>
                  <c:y val="-5.475240895608495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5.9952665198497956E-2"/>
                  <c:y val="-4.50312828005040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5.7367491259591855E-2"/>
                  <c:y val="-6.426204717796103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5.9952665198497956E-2"/>
                  <c:y val="-4.695915431073230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4.7096417481060582E-2"/>
                  <c:y val="-4.3381777866500638E-2"/>
                </c:manualLayout>
              </c:layout>
              <c:numFmt formatCode="0.0%" sourceLinked="0"/>
              <c:spPr>
                <a:noFill/>
                <a:ln>
                  <a:noFill/>
                </a:ln>
                <a:effectLst/>
              </c:spPr>
              <c:txPr>
                <a:bodyPr/>
                <a:lstStyle/>
                <a:p>
                  <a:pPr>
                    <a:defRPr sz="1400"/>
                  </a:pPr>
                  <a:endParaRPr lang="en-US"/>
                </a:p>
              </c:txPr>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400"/>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Sheet1!$B$1:$H$1</c:f>
              <c:strCache>
                <c:ptCount val="7"/>
                <c:pt idx="0">
                  <c:v>2010</c:v>
                </c:pt>
                <c:pt idx="1">
                  <c:v>2011</c:v>
                </c:pt>
                <c:pt idx="2">
                  <c:v>2012</c:v>
                </c:pt>
                <c:pt idx="3">
                  <c:v>2013</c:v>
                </c:pt>
                <c:pt idx="4">
                  <c:v>2014</c:v>
                </c:pt>
                <c:pt idx="5">
                  <c:v>2015</c:v>
                </c:pt>
                <c:pt idx="6">
                  <c:v>2016</c:v>
                </c:pt>
              </c:strCache>
            </c:strRef>
          </c:cat>
          <c:val>
            <c:numRef>
              <c:f>Sheet1!$B$3:$H$3</c:f>
              <c:numCache>
                <c:formatCode>0.0%</c:formatCode>
                <c:ptCount val="7"/>
                <c:pt idx="0">
                  <c:v>2.1533107964660497E-2</c:v>
                </c:pt>
                <c:pt idx="1">
                  <c:v>1.5424689032252081E-2</c:v>
                </c:pt>
                <c:pt idx="2">
                  <c:v>1.7209900867980875E-2</c:v>
                </c:pt>
                <c:pt idx="3">
                  <c:v>2.0409014953656761E-2</c:v>
                </c:pt>
                <c:pt idx="4">
                  <c:v>2.3780707749627678E-2</c:v>
                </c:pt>
                <c:pt idx="5">
                  <c:v>2.9000000000000001E-2</c:v>
                </c:pt>
                <c:pt idx="6" formatCode="0.00%">
                  <c:v>0.03</c:v>
                </c:pt>
              </c:numCache>
            </c:numRef>
          </c:val>
          <c:smooth val="0"/>
        </c:ser>
        <c:dLbls>
          <c:showLegendKey val="0"/>
          <c:showVal val="0"/>
          <c:showCatName val="0"/>
          <c:showSerName val="0"/>
          <c:showPercent val="0"/>
          <c:showBubbleSize val="0"/>
        </c:dLbls>
        <c:marker val="1"/>
        <c:smooth val="0"/>
        <c:axId val="135853952"/>
        <c:axId val="135852416"/>
      </c:lineChart>
      <c:catAx>
        <c:axId val="135844992"/>
        <c:scaling>
          <c:orientation val="minMax"/>
        </c:scaling>
        <c:delete val="0"/>
        <c:axPos val="b"/>
        <c:numFmt formatCode="General" sourceLinked="0"/>
        <c:majorTickMark val="out"/>
        <c:minorTickMark val="none"/>
        <c:tickLblPos val="nextTo"/>
        <c:txPr>
          <a:bodyPr/>
          <a:lstStyle/>
          <a:p>
            <a:pPr>
              <a:defRPr sz="1400" b="1"/>
            </a:pPr>
            <a:endParaRPr lang="en-US"/>
          </a:p>
        </c:txPr>
        <c:crossAx val="135846528"/>
        <c:crosses val="autoZero"/>
        <c:auto val="1"/>
        <c:lblAlgn val="ctr"/>
        <c:lblOffset val="100"/>
        <c:noMultiLvlLbl val="0"/>
      </c:catAx>
      <c:valAx>
        <c:axId val="135846528"/>
        <c:scaling>
          <c:orientation val="minMax"/>
        </c:scaling>
        <c:delete val="0"/>
        <c:axPos val="l"/>
        <c:numFmt formatCode="#,##0" sourceLinked="1"/>
        <c:majorTickMark val="out"/>
        <c:minorTickMark val="none"/>
        <c:tickLblPos val="nextTo"/>
        <c:txPr>
          <a:bodyPr/>
          <a:lstStyle/>
          <a:p>
            <a:pPr>
              <a:defRPr sz="1200"/>
            </a:pPr>
            <a:endParaRPr lang="en-US"/>
          </a:p>
        </c:txPr>
        <c:crossAx val="135844992"/>
        <c:crosses val="autoZero"/>
        <c:crossBetween val="between"/>
      </c:valAx>
      <c:valAx>
        <c:axId val="135852416"/>
        <c:scaling>
          <c:orientation val="minMax"/>
        </c:scaling>
        <c:delete val="0"/>
        <c:axPos val="r"/>
        <c:numFmt formatCode="0%" sourceLinked="0"/>
        <c:majorTickMark val="out"/>
        <c:minorTickMark val="none"/>
        <c:tickLblPos val="nextTo"/>
        <c:txPr>
          <a:bodyPr/>
          <a:lstStyle/>
          <a:p>
            <a:pPr>
              <a:defRPr sz="1400"/>
            </a:pPr>
            <a:endParaRPr lang="en-US"/>
          </a:p>
        </c:txPr>
        <c:crossAx val="135853952"/>
        <c:crosses val="max"/>
        <c:crossBetween val="between"/>
      </c:valAx>
      <c:catAx>
        <c:axId val="135853952"/>
        <c:scaling>
          <c:orientation val="minMax"/>
        </c:scaling>
        <c:delete val="1"/>
        <c:axPos val="b"/>
        <c:numFmt formatCode="General" sourceLinked="1"/>
        <c:majorTickMark val="out"/>
        <c:minorTickMark val="none"/>
        <c:tickLblPos val="nextTo"/>
        <c:crossAx val="135852416"/>
        <c:crosses val="autoZero"/>
        <c:auto val="1"/>
        <c:lblAlgn val="ctr"/>
        <c:lblOffset val="100"/>
        <c:noMultiLvlLbl val="0"/>
      </c:catAx>
    </c:plotArea>
    <c:legend>
      <c:legendPos val="b"/>
      <c:layout>
        <c:manualLayout>
          <c:xMode val="edge"/>
          <c:yMode val="edge"/>
          <c:x val="7.8204216408432822E-2"/>
          <c:y val="0.79363963799214532"/>
          <c:w val="0.85098044196088407"/>
          <c:h val="0.16232819911167418"/>
        </c:manualLayout>
      </c:layout>
      <c:overlay val="0"/>
      <c:txPr>
        <a:bodyPr/>
        <a:lstStyle/>
        <a:p>
          <a:pPr>
            <a:defRPr sz="1400" b="1"/>
          </a:pPr>
          <a:endParaRPr lang="en-US"/>
        </a:p>
      </c:txPr>
    </c:legend>
    <c:plotVisOnly val="1"/>
    <c:dispBlanksAs val="gap"/>
    <c:showDLblsOverMax val="0"/>
  </c:chart>
  <c:txPr>
    <a:bodyPr/>
    <a:lstStyle/>
    <a:p>
      <a:pPr>
        <a:defRPr sz="1800"/>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VALUE</c:v>
                </c:pt>
              </c:strCache>
            </c:strRef>
          </c:tx>
          <c:invertIfNegative val="0"/>
          <c:dPt>
            <c:idx val="5"/>
            <c:invertIfNegative val="0"/>
            <c:bubble3D val="0"/>
            <c:spPr>
              <a:solidFill>
                <a:schemeClr val="accent2"/>
              </a:solidFill>
            </c:spPr>
          </c:dPt>
          <c:dLbls>
            <c:spPr>
              <a:noFill/>
              <a:ln>
                <a:noFill/>
              </a:ln>
              <a:effectLst/>
            </c:spPr>
            <c:txPr>
              <a:bodyPr rot="-5400000" vert="horz"/>
              <a:lstStyle/>
              <a:p>
                <a:pPr>
                  <a:defRPr sz="105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Sheet1!$A$2:$A$30</c:f>
              <c:strCache>
                <c:ptCount val="29"/>
                <c:pt idx="0">
                  <c:v>აზერბაიჯანი</c:v>
                </c:pt>
                <c:pt idx="1">
                  <c:v>თურქმენეთი</c:v>
                </c:pt>
                <c:pt idx="2">
                  <c:v>სომხეთი</c:v>
                </c:pt>
                <c:pt idx="3">
                  <c:v>ტაჯიკეთი</c:v>
                </c:pt>
                <c:pt idx="4">
                  <c:v>ყაზახეთი</c:v>
                </c:pt>
                <c:pt idx="5">
                  <c:v>საქართველო</c:v>
                </c:pt>
                <c:pt idx="6">
                  <c:v>ალბანეთი</c:v>
                </c:pt>
                <c:pt idx="7">
                  <c:v>უზბეკეთი</c:v>
                </c:pt>
                <c:pt idx="8">
                  <c:v>კვიპროსი</c:v>
                </c:pt>
                <c:pt idx="9">
                  <c:v>ყირგიზეთი</c:v>
                </c:pt>
                <c:pt idx="10">
                  <c:v>უკრაინა</c:v>
                </c:pt>
                <c:pt idx="11">
                  <c:v>ლატვია</c:v>
                </c:pt>
                <c:pt idx="12">
                  <c:v>რუსეთი</c:v>
                </c:pt>
                <c:pt idx="13">
                  <c:v>თურქეთი</c:v>
                </c:pt>
                <c:pt idx="14">
                  <c:v>ლიტვა</c:v>
                </c:pt>
                <c:pt idx="15">
                  <c:v>პოლონეთი</c:v>
                </c:pt>
                <c:pt idx="16">
                  <c:v>ისრაელი</c:v>
                </c:pt>
                <c:pt idx="17">
                  <c:v>ესტონეთი</c:v>
                </c:pt>
                <c:pt idx="18">
                  <c:v>ლიქსემბურგი</c:v>
                </c:pt>
                <c:pt idx="19">
                  <c:v>ჩეხეთი</c:v>
                </c:pt>
                <c:pt idx="20">
                  <c:v>იტალია</c:v>
                </c:pt>
                <c:pt idx="21">
                  <c:v>ვროკავშირი</c:v>
                </c:pt>
                <c:pt idx="22">
                  <c:v>დიდი ბრიტ.</c:v>
                </c:pt>
                <c:pt idx="23">
                  <c:v>ბელგია</c:v>
                </c:pt>
                <c:pt idx="24">
                  <c:v>გერმანია</c:v>
                </c:pt>
                <c:pt idx="25">
                  <c:v>საფრანგეთი</c:v>
                </c:pt>
                <c:pt idx="26">
                  <c:v>დანია</c:v>
                </c:pt>
                <c:pt idx="27">
                  <c:v>ნიდერლანდები</c:v>
                </c:pt>
                <c:pt idx="28">
                  <c:v>შვედეთი</c:v>
                </c:pt>
              </c:strCache>
            </c:strRef>
          </c:cat>
          <c:val>
            <c:numRef>
              <c:f>Sheet1!$B$2:$B$30</c:f>
              <c:numCache>
                <c:formatCode>General</c:formatCode>
                <c:ptCount val="29"/>
                <c:pt idx="0">
                  <c:v>1.2</c:v>
                </c:pt>
                <c:pt idx="1">
                  <c:v>1.3</c:v>
                </c:pt>
                <c:pt idx="2">
                  <c:v>1.9</c:v>
                </c:pt>
                <c:pt idx="3">
                  <c:v>2</c:v>
                </c:pt>
                <c:pt idx="4">
                  <c:v>2.4</c:v>
                </c:pt>
                <c:pt idx="5">
                  <c:v>2.4</c:v>
                </c:pt>
                <c:pt idx="6">
                  <c:v>2.9</c:v>
                </c:pt>
                <c:pt idx="7">
                  <c:v>3.1</c:v>
                </c:pt>
                <c:pt idx="8">
                  <c:v>3.3</c:v>
                </c:pt>
                <c:pt idx="9">
                  <c:v>3.6</c:v>
                </c:pt>
                <c:pt idx="10">
                  <c:v>3.6</c:v>
                </c:pt>
                <c:pt idx="11">
                  <c:v>3.7</c:v>
                </c:pt>
                <c:pt idx="12">
                  <c:v>3.7</c:v>
                </c:pt>
                <c:pt idx="13">
                  <c:v>4.2</c:v>
                </c:pt>
                <c:pt idx="14">
                  <c:v>4.4000000000000004</c:v>
                </c:pt>
                <c:pt idx="15">
                  <c:v>4.5</c:v>
                </c:pt>
                <c:pt idx="16">
                  <c:v>4.8</c:v>
                </c:pt>
                <c:pt idx="17">
                  <c:v>5</c:v>
                </c:pt>
                <c:pt idx="18">
                  <c:v>5.8</c:v>
                </c:pt>
                <c:pt idx="19">
                  <c:v>6.3</c:v>
                </c:pt>
                <c:pt idx="20">
                  <c:v>7</c:v>
                </c:pt>
                <c:pt idx="21">
                  <c:v>7.3</c:v>
                </c:pt>
                <c:pt idx="22">
                  <c:v>7.6</c:v>
                </c:pt>
                <c:pt idx="23">
                  <c:v>8.1999999999999993</c:v>
                </c:pt>
                <c:pt idx="24">
                  <c:v>8.6999999999999993</c:v>
                </c:pt>
                <c:pt idx="25">
                  <c:v>9</c:v>
                </c:pt>
                <c:pt idx="26">
                  <c:v>9.1999999999999993</c:v>
                </c:pt>
                <c:pt idx="27">
                  <c:v>9.5</c:v>
                </c:pt>
                <c:pt idx="28">
                  <c:v>10</c:v>
                </c:pt>
              </c:numCache>
            </c:numRef>
          </c:val>
        </c:ser>
        <c:dLbls>
          <c:showLegendKey val="0"/>
          <c:showVal val="0"/>
          <c:showCatName val="0"/>
          <c:showSerName val="0"/>
          <c:showPercent val="0"/>
          <c:showBubbleSize val="0"/>
        </c:dLbls>
        <c:gapWidth val="58"/>
        <c:axId val="135895680"/>
        <c:axId val="165548416"/>
      </c:barChart>
      <c:catAx>
        <c:axId val="135895680"/>
        <c:scaling>
          <c:orientation val="minMax"/>
        </c:scaling>
        <c:delete val="0"/>
        <c:axPos val="b"/>
        <c:numFmt formatCode="General" sourceLinked="0"/>
        <c:majorTickMark val="out"/>
        <c:minorTickMark val="none"/>
        <c:tickLblPos val="nextTo"/>
        <c:txPr>
          <a:bodyPr/>
          <a:lstStyle/>
          <a:p>
            <a:pPr>
              <a:defRPr sz="1050" b="0"/>
            </a:pPr>
            <a:endParaRPr lang="en-US"/>
          </a:p>
        </c:txPr>
        <c:crossAx val="165548416"/>
        <c:crosses val="autoZero"/>
        <c:auto val="1"/>
        <c:lblAlgn val="ctr"/>
        <c:lblOffset val="100"/>
        <c:noMultiLvlLbl val="0"/>
      </c:catAx>
      <c:valAx>
        <c:axId val="165548416"/>
        <c:scaling>
          <c:orientation val="minMax"/>
          <c:max val="10"/>
        </c:scaling>
        <c:delete val="0"/>
        <c:axPos val="l"/>
        <c:numFmt formatCode="General" sourceLinked="1"/>
        <c:majorTickMark val="out"/>
        <c:minorTickMark val="none"/>
        <c:tickLblPos val="nextTo"/>
        <c:txPr>
          <a:bodyPr/>
          <a:lstStyle/>
          <a:p>
            <a:pPr>
              <a:defRPr sz="1050"/>
            </a:pPr>
            <a:endParaRPr lang="en-US"/>
          </a:p>
        </c:txPr>
        <c:crossAx val="135895680"/>
        <c:crosses val="autoZero"/>
        <c:crossBetween val="between"/>
      </c:valAx>
    </c:plotArea>
    <c:plotVisOnly val="1"/>
    <c:dispBlanksAs val="gap"/>
    <c:showDLblsOverMax val="0"/>
  </c:chart>
  <c:txPr>
    <a:bodyPr/>
    <a:lstStyle/>
    <a:p>
      <a:pPr>
        <a:defRPr sz="1800"/>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dLbls>
            <c:numFmt formatCode="0.0%" sourceLinked="0"/>
            <c:dLblPos val="t"/>
            <c:showLegendKey val="0"/>
            <c:showVal val="1"/>
            <c:showCatName val="0"/>
            <c:showSerName val="0"/>
            <c:showPercent val="0"/>
            <c:showBubbleSize val="0"/>
            <c:showLeaderLines val="0"/>
          </c:dLbls>
          <c:cat>
            <c:numRef>
              <c:f>Sheet1!$A$2:$A$8</c:f>
              <c:numCache>
                <c:formatCode>General</c:formatCode>
                <c:ptCount val="7"/>
                <c:pt idx="0">
                  <c:v>2010</c:v>
                </c:pt>
                <c:pt idx="1">
                  <c:v>2011</c:v>
                </c:pt>
                <c:pt idx="2">
                  <c:v>2012</c:v>
                </c:pt>
                <c:pt idx="3">
                  <c:v>2013</c:v>
                </c:pt>
                <c:pt idx="4">
                  <c:v>2014</c:v>
                </c:pt>
                <c:pt idx="5">
                  <c:v>2015</c:v>
                </c:pt>
                <c:pt idx="6">
                  <c:v>2016</c:v>
                </c:pt>
              </c:numCache>
            </c:numRef>
          </c:cat>
          <c:val>
            <c:numRef>
              <c:f>Sheet1!$B$2:$B$8</c:f>
              <c:numCache>
                <c:formatCode>0.00%</c:formatCode>
                <c:ptCount val="7"/>
                <c:pt idx="0">
                  <c:v>0.72699999999999998</c:v>
                </c:pt>
                <c:pt idx="1">
                  <c:v>0.75600000000000001</c:v>
                </c:pt>
                <c:pt idx="2">
                  <c:v>0.73399999999999999</c:v>
                </c:pt>
                <c:pt idx="3">
                  <c:v>0.69099999999999995</c:v>
                </c:pt>
                <c:pt idx="4">
                  <c:v>0.66</c:v>
                </c:pt>
                <c:pt idx="5">
                  <c:v>0.57299999999999995</c:v>
                </c:pt>
                <c:pt idx="6" formatCode="0.0%">
                  <c:v>0.57099999999999995</c:v>
                </c:pt>
              </c:numCache>
            </c:numRef>
          </c:val>
          <c:smooth val="0"/>
        </c:ser>
        <c:dLbls>
          <c:showLegendKey val="0"/>
          <c:showVal val="0"/>
          <c:showCatName val="0"/>
          <c:showSerName val="0"/>
          <c:showPercent val="0"/>
          <c:showBubbleSize val="0"/>
        </c:dLbls>
        <c:marker val="1"/>
        <c:smooth val="0"/>
        <c:axId val="135904640"/>
        <c:axId val="135918720"/>
      </c:lineChart>
      <c:catAx>
        <c:axId val="135904640"/>
        <c:scaling>
          <c:orientation val="minMax"/>
        </c:scaling>
        <c:delete val="0"/>
        <c:axPos val="b"/>
        <c:numFmt formatCode="General" sourceLinked="1"/>
        <c:majorTickMark val="out"/>
        <c:minorTickMark val="none"/>
        <c:tickLblPos val="nextTo"/>
        <c:crossAx val="135918720"/>
        <c:crosses val="autoZero"/>
        <c:auto val="1"/>
        <c:lblAlgn val="ctr"/>
        <c:lblOffset val="100"/>
        <c:noMultiLvlLbl val="0"/>
      </c:catAx>
      <c:valAx>
        <c:axId val="135918720"/>
        <c:scaling>
          <c:orientation val="minMax"/>
          <c:min val="0.5"/>
        </c:scaling>
        <c:delete val="0"/>
        <c:axPos val="l"/>
        <c:majorGridlines/>
        <c:numFmt formatCode="0.00%" sourceLinked="1"/>
        <c:majorTickMark val="out"/>
        <c:minorTickMark val="none"/>
        <c:tickLblPos val="nextTo"/>
        <c:crossAx val="135904640"/>
        <c:crosses val="autoZero"/>
        <c:crossBetween val="between"/>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8416265675123943E-2"/>
          <c:y val="4.4057617797775277E-2"/>
          <c:w val="0.86899733887430741"/>
          <c:h val="0.60996375453068363"/>
        </c:manualLayout>
      </c:layout>
      <c:barChart>
        <c:barDir val="col"/>
        <c:grouping val="clustered"/>
        <c:varyColors val="0"/>
        <c:ser>
          <c:idx val="0"/>
          <c:order val="0"/>
          <c:tx>
            <c:strRef>
              <c:f>Sheet1!$B$1</c:f>
              <c:strCache>
                <c:ptCount val="1"/>
                <c:pt idx="0">
                  <c:v>2007</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Sheet1!$B$2:$B$5</c:f>
              <c:numCache>
                <c:formatCode>General</c:formatCode>
                <c:ptCount val="4"/>
                <c:pt idx="0">
                  <c:v>15.1</c:v>
                </c:pt>
                <c:pt idx="1">
                  <c:v>11.4</c:v>
                </c:pt>
                <c:pt idx="2">
                  <c:v>4.0999999999999996</c:v>
                </c:pt>
                <c:pt idx="3">
                  <c:v>4</c:v>
                </c:pt>
              </c:numCache>
            </c:numRef>
          </c:val>
        </c:ser>
        <c:ser>
          <c:idx val="1"/>
          <c:order val="1"/>
          <c:tx>
            <c:strRef>
              <c:f>Sheet1!$C$1</c:f>
              <c:strCache>
                <c:ptCount val="1"/>
                <c:pt idx="0">
                  <c:v>2010</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Sheet1!$C$2:$C$5</c:f>
              <c:numCache>
                <c:formatCode>General</c:formatCode>
                <c:ptCount val="4"/>
                <c:pt idx="0">
                  <c:v>16.7</c:v>
                </c:pt>
                <c:pt idx="1">
                  <c:v>13.1</c:v>
                </c:pt>
                <c:pt idx="2">
                  <c:v>4.2</c:v>
                </c:pt>
                <c:pt idx="3">
                  <c:v>2.6</c:v>
                </c:pt>
              </c:numCache>
            </c:numRef>
          </c:val>
        </c:ser>
        <c:ser>
          <c:idx val="2"/>
          <c:order val="2"/>
          <c:tx>
            <c:strRef>
              <c:f>Sheet1!$D$1</c:f>
              <c:strCache>
                <c:ptCount val="1"/>
                <c:pt idx="0">
                  <c:v>2014</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Sheet1!$D$2:$D$5</c:f>
              <c:numCache>
                <c:formatCode>General</c:formatCode>
                <c:ptCount val="4"/>
                <c:pt idx="0">
                  <c:v>10</c:v>
                </c:pt>
                <c:pt idx="1">
                  <c:v>10.199999999999999</c:v>
                </c:pt>
                <c:pt idx="2">
                  <c:v>2.9</c:v>
                </c:pt>
                <c:pt idx="3">
                  <c:v>1.2</c:v>
                </c:pt>
              </c:numCache>
            </c:numRef>
          </c:val>
        </c:ser>
        <c:ser>
          <c:idx val="3"/>
          <c:order val="3"/>
          <c:tx>
            <c:strRef>
              <c:f>Sheet1!$E$1</c:f>
              <c:strCache>
                <c:ptCount val="1"/>
                <c:pt idx="0">
                  <c:v>2017</c:v>
                </c:pt>
              </c:strCache>
            </c:strRef>
          </c:tx>
          <c:invertIfNegative val="0"/>
          <c:cat>
            <c:strRef>
              <c:f>Sheet1!$A$2:$A$5</c:f>
              <c:strCache>
                <c:ptCount val="4"/>
                <c:pt idx="0">
                  <c:v>მოსახლეობის %, როცა იყო ავად ბოლო 30 დღის განმავლობაში და ვერ მიიღო კონსულტაცია, ვინაიდან ეს იყო ძალიან ძვირი (% ყველა მიზეზებიდან)</c:v>
                </c:pt>
                <c:pt idx="1">
                  <c:v>კონსულტაციების %, სადაც მოხდა მედიკამენტების დანიშვნა, მაგრამ ვერ მოხდა შეძენა, სიძვირის გამო(ბაზა: ყველა კონსულტაცია)</c:v>
                </c:pt>
                <c:pt idx="2">
                  <c:v>კონსულტაციების %, სადაც მოხდა ლაბორატორიული კვლევების დანიშვნა, მაგრამ ვერ ჩატარდა სიძვირის გამო(ბაზა: ყველა კონსულტაცია)</c:v>
                </c:pt>
                <c:pt idx="3">
                  <c:v>მოსახლეობის %, რომელთაც ესაჭიროებოდათ ჰოსპიტალზიაცია, მაგრამ ვერ იქნა ჰოსპიტალიზებული, ვინაიდან ეს იყო ძალიან ძვირი (ბაზა: სულ)</c:v>
                </c:pt>
              </c:strCache>
            </c:strRef>
          </c:cat>
          <c:val>
            <c:numRef>
              <c:f>Sheet1!$E$2:$E$5</c:f>
              <c:numCache>
                <c:formatCode>General</c:formatCode>
                <c:ptCount val="4"/>
                <c:pt idx="0">
                  <c:v>6.8</c:v>
                </c:pt>
                <c:pt idx="1">
                  <c:v>9.6</c:v>
                </c:pt>
                <c:pt idx="2">
                  <c:v>2.4</c:v>
                </c:pt>
                <c:pt idx="3">
                  <c:v>0.7</c:v>
                </c:pt>
              </c:numCache>
            </c:numRef>
          </c:val>
        </c:ser>
        <c:dLbls>
          <c:showLegendKey val="0"/>
          <c:showVal val="0"/>
          <c:showCatName val="0"/>
          <c:showSerName val="0"/>
          <c:showPercent val="0"/>
          <c:showBubbleSize val="0"/>
        </c:dLbls>
        <c:gapWidth val="150"/>
        <c:axId val="165649024"/>
        <c:axId val="165659008"/>
      </c:barChart>
      <c:catAx>
        <c:axId val="165649024"/>
        <c:scaling>
          <c:orientation val="minMax"/>
        </c:scaling>
        <c:delete val="0"/>
        <c:axPos val="b"/>
        <c:majorTickMark val="out"/>
        <c:minorTickMark val="none"/>
        <c:tickLblPos val="nextTo"/>
        <c:txPr>
          <a:bodyPr/>
          <a:lstStyle/>
          <a:p>
            <a:pPr>
              <a:defRPr sz="800"/>
            </a:pPr>
            <a:endParaRPr lang="en-US"/>
          </a:p>
        </c:txPr>
        <c:crossAx val="165659008"/>
        <c:crosses val="autoZero"/>
        <c:auto val="1"/>
        <c:lblAlgn val="ctr"/>
        <c:lblOffset val="100"/>
        <c:noMultiLvlLbl val="0"/>
      </c:catAx>
      <c:valAx>
        <c:axId val="165659008"/>
        <c:scaling>
          <c:orientation val="minMax"/>
        </c:scaling>
        <c:delete val="0"/>
        <c:axPos val="l"/>
        <c:majorGridlines/>
        <c:numFmt formatCode="General" sourceLinked="1"/>
        <c:majorTickMark val="out"/>
        <c:minorTickMark val="none"/>
        <c:tickLblPos val="nextTo"/>
        <c:crossAx val="165649024"/>
        <c:crosses val="autoZero"/>
        <c:crossBetween val="between"/>
      </c:valAx>
    </c:plotArea>
    <c:legend>
      <c:legendPos val="r"/>
      <c:layout>
        <c:manualLayout>
          <c:xMode val="edge"/>
          <c:yMode val="edge"/>
          <c:x val="0.31651738845144356"/>
          <c:y val="0.86045306836645419"/>
          <c:w val="0.4728344634004083"/>
          <c:h val="0.1362367204099487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9</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2018-02-06T11:25:00Z</dcterms:created>
  <dcterms:modified xsi:type="dcterms:W3CDTF">2018-02-06T11:25:00Z</dcterms:modified>
</cp:coreProperties>
</file>