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344" w:rsidRPr="00351597" w:rsidRDefault="007B4344" w:rsidP="00125A31">
      <w:pPr>
        <w:autoSpaceDE w:val="0"/>
        <w:autoSpaceDN w:val="0"/>
        <w:adjustRightInd w:val="0"/>
        <w:spacing w:after="0" w:line="240" w:lineRule="auto"/>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AGENDA</w:t>
      </w:r>
      <w:r w:rsidR="00EF1AC7">
        <w:rPr>
          <w:rFonts w:ascii="Sylfaen" w:hAnsi="Sylfaen" w:cstheme="minorHAnsi"/>
          <w:b/>
          <w:bCs/>
          <w:iCs/>
          <w:color w:val="17365D" w:themeColor="text2" w:themeShade="BF"/>
          <w:sz w:val="20"/>
          <w:szCs w:val="20"/>
        </w:rPr>
        <w:t xml:space="preserve"> ITEMS</w:t>
      </w:r>
    </w:p>
    <w:p w:rsidR="00A32FDD" w:rsidRPr="00351597" w:rsidRDefault="00DD47FC" w:rsidP="00125A31">
      <w:pPr>
        <w:autoSpaceDE w:val="0"/>
        <w:autoSpaceDN w:val="0"/>
        <w:adjustRightInd w:val="0"/>
        <w:spacing w:after="0" w:line="240" w:lineRule="auto"/>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3rd</w:t>
      </w:r>
      <w:r w:rsidR="007B4344" w:rsidRPr="00351597">
        <w:rPr>
          <w:rFonts w:ascii="Sylfaen" w:hAnsi="Sylfaen" w:cstheme="minorHAnsi"/>
          <w:b/>
          <w:bCs/>
          <w:iCs/>
          <w:color w:val="17365D" w:themeColor="text2" w:themeShade="BF"/>
          <w:sz w:val="20"/>
          <w:szCs w:val="20"/>
        </w:rPr>
        <w:t xml:space="preserve"> </w:t>
      </w:r>
      <w:r w:rsidR="00A32FDD" w:rsidRPr="00351597">
        <w:rPr>
          <w:rFonts w:ascii="Sylfaen" w:hAnsi="Sylfaen" w:cstheme="minorHAnsi"/>
          <w:b/>
          <w:bCs/>
          <w:iCs/>
          <w:color w:val="17365D" w:themeColor="text2" w:themeShade="BF"/>
          <w:sz w:val="20"/>
          <w:szCs w:val="20"/>
        </w:rPr>
        <w:t>meeting of the EU-Georgia Sub-</w:t>
      </w:r>
      <w:r w:rsidR="007B4344" w:rsidRPr="00351597">
        <w:rPr>
          <w:rFonts w:ascii="Sylfaen" w:hAnsi="Sylfaen" w:cstheme="minorHAnsi"/>
          <w:b/>
          <w:bCs/>
          <w:iCs/>
          <w:color w:val="17365D" w:themeColor="text2" w:themeShade="BF"/>
          <w:sz w:val="20"/>
          <w:szCs w:val="20"/>
        </w:rPr>
        <w:t xml:space="preserve">Committee </w:t>
      </w:r>
    </w:p>
    <w:p w:rsidR="007B4344" w:rsidRPr="00351597" w:rsidRDefault="00A32FDD" w:rsidP="00125A31">
      <w:pPr>
        <w:autoSpaceDE w:val="0"/>
        <w:autoSpaceDN w:val="0"/>
        <w:adjustRightInd w:val="0"/>
        <w:spacing w:after="0" w:line="240" w:lineRule="auto"/>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On Employment, Social Policy, Equal Rights and P</w:t>
      </w:r>
      <w:r w:rsidR="007B4344" w:rsidRPr="00351597">
        <w:rPr>
          <w:rFonts w:ascii="Sylfaen" w:hAnsi="Sylfaen" w:cstheme="minorHAnsi"/>
          <w:b/>
          <w:bCs/>
          <w:iCs/>
          <w:color w:val="17365D" w:themeColor="text2" w:themeShade="BF"/>
          <w:sz w:val="20"/>
          <w:szCs w:val="20"/>
        </w:rPr>
        <w:t xml:space="preserve">ublic </w:t>
      </w:r>
      <w:r w:rsidRPr="00351597">
        <w:rPr>
          <w:rFonts w:ascii="Sylfaen" w:hAnsi="Sylfaen" w:cstheme="minorHAnsi"/>
          <w:b/>
          <w:bCs/>
          <w:iCs/>
          <w:color w:val="17365D" w:themeColor="text2" w:themeShade="BF"/>
          <w:sz w:val="20"/>
          <w:szCs w:val="20"/>
        </w:rPr>
        <w:t>H</w:t>
      </w:r>
      <w:r w:rsidR="007B4344" w:rsidRPr="00351597">
        <w:rPr>
          <w:rFonts w:ascii="Sylfaen" w:hAnsi="Sylfaen" w:cstheme="minorHAnsi"/>
          <w:b/>
          <w:bCs/>
          <w:iCs/>
          <w:color w:val="17365D" w:themeColor="text2" w:themeShade="BF"/>
          <w:sz w:val="20"/>
          <w:szCs w:val="20"/>
        </w:rPr>
        <w:t>ealth</w:t>
      </w:r>
    </w:p>
    <w:p w:rsidR="00930740" w:rsidRPr="00351597" w:rsidRDefault="00DD47FC" w:rsidP="00125A31">
      <w:pPr>
        <w:autoSpaceDE w:val="0"/>
        <w:autoSpaceDN w:val="0"/>
        <w:adjustRightInd w:val="0"/>
        <w:spacing w:after="0" w:line="240" w:lineRule="auto"/>
        <w:jc w:val="center"/>
        <w:rPr>
          <w:rFonts w:ascii="Sylfaen" w:hAnsi="Sylfaen" w:cstheme="minorHAnsi"/>
          <w:b/>
          <w:bCs/>
          <w:iCs/>
          <w:color w:val="17365D" w:themeColor="text2" w:themeShade="BF"/>
          <w:sz w:val="20"/>
          <w:szCs w:val="20"/>
          <w:lang w:val="fr-BE"/>
        </w:rPr>
      </w:pPr>
      <w:r w:rsidRPr="00351597">
        <w:rPr>
          <w:rFonts w:ascii="Sylfaen" w:hAnsi="Sylfaen" w:cstheme="minorHAnsi"/>
          <w:b/>
          <w:bCs/>
          <w:iCs/>
          <w:color w:val="17365D" w:themeColor="text2" w:themeShade="BF"/>
          <w:sz w:val="20"/>
          <w:szCs w:val="20"/>
          <w:lang w:val="fr-BE"/>
        </w:rPr>
        <w:t>Tbilisi</w:t>
      </w:r>
      <w:r w:rsidR="007B4344" w:rsidRPr="00351597">
        <w:rPr>
          <w:rFonts w:ascii="Sylfaen" w:hAnsi="Sylfaen" w:cstheme="minorHAnsi"/>
          <w:b/>
          <w:bCs/>
          <w:iCs/>
          <w:color w:val="17365D" w:themeColor="text2" w:themeShade="BF"/>
          <w:sz w:val="20"/>
          <w:szCs w:val="20"/>
          <w:lang w:val="fr-BE"/>
        </w:rPr>
        <w:t xml:space="preserve">, </w:t>
      </w:r>
      <w:r w:rsidRPr="00351597">
        <w:rPr>
          <w:rFonts w:ascii="Sylfaen" w:hAnsi="Sylfaen" w:cstheme="minorHAnsi"/>
          <w:b/>
          <w:bCs/>
          <w:iCs/>
          <w:color w:val="17365D" w:themeColor="text2" w:themeShade="BF"/>
          <w:sz w:val="20"/>
          <w:szCs w:val="20"/>
          <w:lang w:val="fr-BE"/>
        </w:rPr>
        <w:t>19 April</w:t>
      </w:r>
      <w:r w:rsidR="000B0B2A" w:rsidRPr="00351597">
        <w:rPr>
          <w:rFonts w:ascii="Sylfaen" w:hAnsi="Sylfaen" w:cstheme="minorHAnsi"/>
          <w:b/>
          <w:bCs/>
          <w:iCs/>
          <w:color w:val="17365D" w:themeColor="text2" w:themeShade="BF"/>
          <w:sz w:val="20"/>
          <w:szCs w:val="20"/>
          <w:lang w:val="fr-BE"/>
        </w:rPr>
        <w:t xml:space="preserve"> 201</w:t>
      </w:r>
      <w:r w:rsidRPr="00351597">
        <w:rPr>
          <w:rFonts w:ascii="Sylfaen" w:hAnsi="Sylfaen" w:cstheme="minorHAnsi"/>
          <w:b/>
          <w:bCs/>
          <w:iCs/>
          <w:color w:val="17365D" w:themeColor="text2" w:themeShade="BF"/>
          <w:sz w:val="20"/>
          <w:szCs w:val="20"/>
          <w:lang w:val="fr-BE"/>
        </w:rPr>
        <w:t>8</w:t>
      </w:r>
    </w:p>
    <w:p w:rsidR="001D4DF5" w:rsidRPr="00351597" w:rsidRDefault="001D4DF5" w:rsidP="00125A31">
      <w:pPr>
        <w:autoSpaceDE w:val="0"/>
        <w:autoSpaceDN w:val="0"/>
        <w:adjustRightInd w:val="0"/>
        <w:spacing w:after="0" w:line="240" w:lineRule="auto"/>
        <w:jc w:val="center"/>
        <w:rPr>
          <w:rFonts w:ascii="Sylfaen" w:hAnsi="Sylfaen" w:cstheme="minorHAnsi"/>
          <w:b/>
          <w:bCs/>
          <w:i/>
          <w:iCs/>
          <w:color w:val="17365D" w:themeColor="text2" w:themeShade="BF"/>
          <w:sz w:val="20"/>
          <w:szCs w:val="20"/>
          <w:lang w:val="fr-BE"/>
        </w:rPr>
      </w:pPr>
    </w:p>
    <w:tbl>
      <w:tblPr>
        <w:tblStyle w:val="a5"/>
        <w:tblW w:w="9967" w:type="dxa"/>
        <w:tblInd w:w="-522" w:type="dxa"/>
        <w:tblLayout w:type="fixed"/>
        <w:tblLook w:val="04A0" w:firstRow="1" w:lastRow="0" w:firstColumn="1" w:lastColumn="0" w:noHBand="0" w:noVBand="1"/>
      </w:tblPr>
      <w:tblGrid>
        <w:gridCol w:w="1548"/>
        <w:gridCol w:w="7609"/>
        <w:gridCol w:w="810"/>
      </w:tblGrid>
      <w:tr w:rsidR="004F027A" w:rsidRPr="00351597" w:rsidTr="008C08EC">
        <w:tc>
          <w:tcPr>
            <w:tcW w:w="1548" w:type="dxa"/>
          </w:tcPr>
          <w:p w:rsidR="004F027A" w:rsidRPr="00351597" w:rsidRDefault="004F027A" w:rsidP="004F027A">
            <w:pPr>
              <w:autoSpaceDE w:val="0"/>
              <w:autoSpaceDN w:val="0"/>
              <w:adjustRightInd w:val="0"/>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lang w:val="en-US"/>
              </w:rPr>
              <w:t>Time</w:t>
            </w:r>
          </w:p>
        </w:tc>
        <w:tc>
          <w:tcPr>
            <w:tcW w:w="7609" w:type="dxa"/>
          </w:tcPr>
          <w:p w:rsidR="004F027A" w:rsidRPr="00351597" w:rsidRDefault="004F027A" w:rsidP="00125A31">
            <w:pPr>
              <w:autoSpaceDE w:val="0"/>
              <w:autoSpaceDN w:val="0"/>
              <w:adjustRightInd w:val="0"/>
              <w:jc w:val="center"/>
              <w:rPr>
                <w:rFonts w:ascii="Sylfaen" w:hAnsi="Sylfaen" w:cstheme="minorHAnsi"/>
                <w:bCs/>
                <w:iCs/>
                <w:color w:val="17365D" w:themeColor="text2" w:themeShade="BF"/>
                <w:sz w:val="20"/>
                <w:szCs w:val="20"/>
              </w:rPr>
            </w:pPr>
            <w:r w:rsidRPr="00351597">
              <w:rPr>
                <w:rFonts w:ascii="Sylfaen" w:hAnsi="Sylfaen" w:cstheme="minorHAnsi"/>
                <w:b/>
                <w:bCs/>
                <w:iCs/>
                <w:color w:val="17365D" w:themeColor="text2" w:themeShade="BF"/>
                <w:sz w:val="20"/>
                <w:szCs w:val="20"/>
              </w:rPr>
              <w:t>Agenda item</w:t>
            </w:r>
          </w:p>
        </w:tc>
        <w:tc>
          <w:tcPr>
            <w:tcW w:w="810" w:type="dxa"/>
          </w:tcPr>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Lead</w:t>
            </w:r>
          </w:p>
        </w:tc>
      </w:tr>
      <w:tr w:rsidR="004F027A" w:rsidRPr="00351597" w:rsidTr="004F027A">
        <w:trPr>
          <w:trHeight w:val="476"/>
        </w:trPr>
        <w:tc>
          <w:tcPr>
            <w:tcW w:w="1548" w:type="dxa"/>
            <w:vMerge w:val="restart"/>
            <w:vAlign w:val="center"/>
          </w:tcPr>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1</w:t>
            </w:r>
          </w:p>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 xml:space="preserve">Welcome and introduction remarks </w:t>
            </w:r>
            <w:r>
              <w:rPr>
                <w:rFonts w:ascii="Sylfaen" w:hAnsi="Sylfaen" w:cstheme="minorHAnsi"/>
                <w:b/>
                <w:bCs/>
                <w:iCs/>
                <w:color w:val="17365D" w:themeColor="text2" w:themeShade="BF"/>
                <w:sz w:val="20"/>
                <w:szCs w:val="20"/>
              </w:rPr>
              <w:t xml:space="preserve"> - GE</w:t>
            </w:r>
          </w:p>
        </w:tc>
        <w:tc>
          <w:tcPr>
            <w:tcW w:w="810" w:type="dxa"/>
            <w:vMerge w:val="restart"/>
            <w:vAlign w:val="center"/>
          </w:tcPr>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p>
        </w:tc>
      </w:tr>
      <w:tr w:rsidR="004F027A" w:rsidRPr="00351597" w:rsidTr="004F027A">
        <w:trPr>
          <w:trHeight w:val="296"/>
        </w:trPr>
        <w:tc>
          <w:tcPr>
            <w:tcW w:w="1548" w:type="dxa"/>
            <w:vMerge/>
            <w:vAlign w:val="center"/>
          </w:tcPr>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2</w:t>
            </w:r>
          </w:p>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Adoption of the agenda</w:t>
            </w:r>
          </w:p>
        </w:tc>
        <w:tc>
          <w:tcPr>
            <w:tcW w:w="810" w:type="dxa"/>
            <w:vMerge/>
          </w:tcPr>
          <w:p w:rsidR="004F027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p>
        </w:tc>
      </w:tr>
      <w:tr w:rsidR="00351597" w:rsidRPr="00351597" w:rsidTr="00535AEA">
        <w:tc>
          <w:tcPr>
            <w:tcW w:w="9967" w:type="dxa"/>
            <w:gridSpan w:val="3"/>
            <w:shd w:val="clear" w:color="auto" w:fill="D9D9D9" w:themeFill="background1" w:themeFillShade="D9"/>
            <w:vAlign w:val="center"/>
          </w:tcPr>
          <w:p w:rsidR="00175AF5" w:rsidRPr="00351597" w:rsidRDefault="00175AF5" w:rsidP="00125A31">
            <w:pPr>
              <w:autoSpaceDE w:val="0"/>
              <w:autoSpaceDN w:val="0"/>
              <w:adjustRightInd w:val="0"/>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I. Public Health</w:t>
            </w:r>
          </w:p>
        </w:tc>
      </w:tr>
      <w:tr w:rsidR="00351597" w:rsidRPr="00351597" w:rsidTr="004F027A">
        <w:tc>
          <w:tcPr>
            <w:tcW w:w="1548" w:type="dxa"/>
            <w:vAlign w:val="center"/>
          </w:tcPr>
          <w:p w:rsidR="00535AEA" w:rsidRPr="00351597" w:rsidRDefault="00535AEA"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535AEA" w:rsidRPr="00351597" w:rsidRDefault="00535AE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3</w:t>
            </w:r>
          </w:p>
          <w:p w:rsidR="00535AEA" w:rsidRPr="00C025B5" w:rsidRDefault="00535AEA" w:rsidP="00125A31">
            <w:pPr>
              <w:jc w:val="both"/>
              <w:rPr>
                <w:rFonts w:ascii="Sylfaen" w:hAnsi="Sylfaen"/>
                <w:b/>
                <w:color w:val="17365D" w:themeColor="text2" w:themeShade="BF"/>
                <w:sz w:val="20"/>
                <w:szCs w:val="20"/>
                <w:highlight w:val="yellow"/>
              </w:rPr>
            </w:pPr>
            <w:r w:rsidRPr="00C025B5">
              <w:rPr>
                <w:rFonts w:ascii="Sylfaen" w:hAnsi="Sylfaen"/>
                <w:b/>
                <w:color w:val="17365D" w:themeColor="text2" w:themeShade="BF"/>
                <w:sz w:val="20"/>
                <w:szCs w:val="20"/>
                <w:highlight w:val="lightGray"/>
              </w:rPr>
              <w:t>Presentation of health system and h</w:t>
            </w:r>
            <w:r w:rsidRPr="00C025B5">
              <w:rPr>
                <w:rFonts w:ascii="Sylfaen" w:hAnsi="Sylfaen"/>
                <w:b/>
                <w:bCs/>
                <w:iCs/>
                <w:color w:val="17365D" w:themeColor="text2" w:themeShade="BF"/>
                <w:sz w:val="20"/>
                <w:szCs w:val="20"/>
                <w:highlight w:val="lightGray"/>
              </w:rPr>
              <w:t xml:space="preserve">ealth policy developments in Georgia, </w:t>
            </w:r>
            <w:r w:rsidRPr="00C025B5">
              <w:rPr>
                <w:rFonts w:ascii="Sylfaen" w:hAnsi="Sylfaen"/>
                <w:b/>
                <w:color w:val="17365D" w:themeColor="text2" w:themeShade="BF"/>
                <w:sz w:val="20"/>
                <w:szCs w:val="20"/>
                <w:highlight w:val="lightGray"/>
              </w:rPr>
              <w:t>including current state of UHC</w:t>
            </w:r>
          </w:p>
          <w:p w:rsidR="00535AEA" w:rsidRPr="00351597" w:rsidRDefault="00535AEA" w:rsidP="00125A31">
            <w:pPr>
              <w:jc w:val="both"/>
              <w:rPr>
                <w:rFonts w:ascii="Sylfaen" w:hAnsi="Sylfaen"/>
                <w:color w:val="17365D" w:themeColor="text2" w:themeShade="BF"/>
                <w:sz w:val="20"/>
                <w:szCs w:val="20"/>
                <w:highlight w:val="yellow"/>
              </w:rPr>
            </w:pPr>
          </w:p>
          <w:p w:rsidR="00535AEA" w:rsidRPr="00351597" w:rsidRDefault="00535AEA" w:rsidP="00962CAA">
            <w:pPr>
              <w:spacing w:line="240" w:lineRule="atLeast"/>
              <w:jc w:val="both"/>
              <w:rPr>
                <w:rFonts w:ascii="Sylfaen" w:hAnsi="Sylfaen" w:cstheme="minorHAnsi"/>
                <w:color w:val="17365D" w:themeColor="text2" w:themeShade="BF"/>
                <w:sz w:val="20"/>
                <w:szCs w:val="20"/>
              </w:rPr>
            </w:pPr>
            <w:r w:rsidRPr="00351597">
              <w:rPr>
                <w:rFonts w:ascii="Sylfaen" w:hAnsi="Sylfaen" w:cstheme="minorHAnsi"/>
                <w:color w:val="17365D" w:themeColor="text2" w:themeShade="BF"/>
                <w:sz w:val="20"/>
                <w:szCs w:val="20"/>
              </w:rPr>
              <w:t>In</w:t>
            </w:r>
            <w:r w:rsidRPr="00351597">
              <w:rPr>
                <w:rFonts w:ascii="Sylfaen" w:hAnsi="Sylfaen"/>
                <w:color w:val="17365D" w:themeColor="text2" w:themeShade="BF"/>
                <w:sz w:val="20"/>
                <w:szCs w:val="20"/>
              </w:rPr>
              <w:t xml:space="preserve"> </w:t>
            </w:r>
            <w:r w:rsidRPr="00351597">
              <w:rPr>
                <w:rFonts w:ascii="Sylfaen" w:hAnsi="Sylfaen" w:cstheme="minorHAnsi"/>
                <w:color w:val="17365D" w:themeColor="text2" w:themeShade="BF"/>
                <w:sz w:val="20"/>
                <w:szCs w:val="20"/>
              </w:rPr>
              <w:t xml:space="preserve">2013, the Government of Georgia launched the Universal Health Care (UHC) Program to improve access to health care services and strengthen financial protection of Georgian population. </w:t>
            </w:r>
          </w:p>
          <w:p w:rsidR="00535AEA" w:rsidRPr="00351597" w:rsidRDefault="00535AEA" w:rsidP="00125A31">
            <w:pPr>
              <w:jc w:val="both"/>
              <w:rPr>
                <w:rFonts w:ascii="Sylfaen" w:hAnsi="Sylfaen" w:cstheme="minorHAnsi"/>
                <w:color w:val="17365D" w:themeColor="text2" w:themeShade="BF"/>
                <w:sz w:val="20"/>
                <w:szCs w:val="20"/>
              </w:rPr>
            </w:pPr>
            <w:r w:rsidRPr="00351597">
              <w:rPr>
                <w:rFonts w:ascii="Sylfaen" w:hAnsi="Sylfaen" w:cstheme="minorHAnsi"/>
                <w:color w:val="17365D" w:themeColor="text2" w:themeShade="BF"/>
                <w:sz w:val="20"/>
                <w:szCs w:val="20"/>
              </w:rPr>
              <w:t>Out of pocket expenses on health have been reduced by 25%, and satisfaction of the population increased,</w:t>
            </w:r>
          </w:p>
          <w:p w:rsidR="00535AEA" w:rsidRPr="00351597" w:rsidRDefault="00535AEA" w:rsidP="00125A31">
            <w:pPr>
              <w:jc w:val="both"/>
              <w:rPr>
                <w:rFonts w:ascii="Sylfaen" w:hAnsi="Sylfaen" w:cstheme="minorHAnsi"/>
                <w:color w:val="17365D" w:themeColor="text2" w:themeShade="BF"/>
                <w:sz w:val="20"/>
                <w:szCs w:val="20"/>
              </w:rPr>
            </w:pPr>
            <w:r w:rsidRPr="00351597">
              <w:rPr>
                <w:rFonts w:ascii="Sylfaen" w:hAnsi="Sylfaen" w:cstheme="minorHAnsi"/>
                <w:color w:val="17365D" w:themeColor="text2" w:themeShade="BF"/>
                <w:sz w:val="20"/>
                <w:szCs w:val="20"/>
              </w:rPr>
              <w:t xml:space="preserve">From February 28 to July 1, 2013, the first phase of the UHC program provided the primary healthcare services by the family physician and emergency outpatient and inpatient care. </w:t>
            </w:r>
          </w:p>
          <w:p w:rsidR="00535AEA" w:rsidRPr="00351597" w:rsidRDefault="00535AEA" w:rsidP="00125A31">
            <w:pPr>
              <w:jc w:val="both"/>
              <w:rPr>
                <w:rFonts w:ascii="Sylfaen" w:hAnsi="Sylfaen" w:cstheme="minorHAnsi"/>
                <w:color w:val="17365D" w:themeColor="text2" w:themeShade="BF"/>
                <w:sz w:val="20"/>
                <w:szCs w:val="20"/>
              </w:rPr>
            </w:pPr>
            <w:r w:rsidRPr="00351597">
              <w:rPr>
                <w:rFonts w:ascii="Sylfaen" w:hAnsi="Sylfaen" w:cstheme="minorHAnsi"/>
                <w:color w:val="17365D" w:themeColor="text2" w:themeShade="BF"/>
                <w:sz w:val="20"/>
                <w:szCs w:val="20"/>
              </w:rPr>
              <w:t>The second phase of UHC program launched in July 1, 2013 extended the services covered and include planned ambulatory care, elective surgery, chemo-, hormone-, and radiotherapy, obstetrics and caesarean sections, basic drugs for target groups of the population.</w:t>
            </w:r>
          </w:p>
          <w:p w:rsidR="00535AEA" w:rsidRPr="00351597" w:rsidRDefault="00535AEA" w:rsidP="00125A31">
            <w:pPr>
              <w:jc w:val="both"/>
              <w:rPr>
                <w:rFonts w:ascii="Sylfaen" w:hAnsi="Sylfaen" w:cstheme="minorHAnsi"/>
                <w:color w:val="17365D" w:themeColor="text2" w:themeShade="BF"/>
                <w:sz w:val="20"/>
                <w:szCs w:val="20"/>
              </w:rPr>
            </w:pPr>
            <w:r w:rsidRPr="00351597">
              <w:rPr>
                <w:rFonts w:ascii="Sylfaen" w:hAnsi="Sylfaen" w:cstheme="minorHAnsi"/>
                <w:color w:val="17365D" w:themeColor="text2" w:themeShade="BF"/>
                <w:sz w:val="20"/>
                <w:szCs w:val="20"/>
              </w:rPr>
              <w:t>In May 2017, to further reform the program, elaboration of new criteria for differentiation of beneficiaries (according to beneficiaries' revenue) has been implemented for provision of more needs oriented services and development of "social justice" approach.</w:t>
            </w:r>
          </w:p>
          <w:p w:rsidR="00535AEA" w:rsidRPr="00351597" w:rsidRDefault="00535AEA" w:rsidP="00125A31">
            <w:pPr>
              <w:jc w:val="both"/>
              <w:rPr>
                <w:rFonts w:ascii="Sylfaen" w:hAnsi="Sylfaen" w:cstheme="minorHAnsi"/>
                <w:color w:val="17365D" w:themeColor="text2" w:themeShade="BF"/>
                <w:sz w:val="20"/>
                <w:szCs w:val="20"/>
              </w:rPr>
            </w:pPr>
            <w:r w:rsidRPr="00351597">
              <w:rPr>
                <w:rFonts w:ascii="Sylfaen" w:hAnsi="Sylfaen" w:cstheme="minorHAnsi"/>
                <w:color w:val="17365D" w:themeColor="text2" w:themeShade="BF"/>
                <w:sz w:val="20"/>
                <w:szCs w:val="20"/>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p>
          <w:p w:rsidR="00535AEA" w:rsidRPr="00351597" w:rsidRDefault="00535AEA" w:rsidP="00125A31">
            <w:pPr>
              <w:jc w:val="both"/>
              <w:rPr>
                <w:rFonts w:ascii="Sylfaen" w:eastAsia="Sylfaen" w:hAnsi="Sylfaen" w:cstheme="minorHAnsi"/>
                <w:color w:val="17365D" w:themeColor="text2" w:themeShade="BF"/>
                <w:sz w:val="20"/>
                <w:szCs w:val="20"/>
              </w:rPr>
            </w:pPr>
            <w:r w:rsidRPr="00351597">
              <w:rPr>
                <w:rFonts w:ascii="Sylfaen" w:eastAsia="Sylfaen" w:hAnsi="Sylfaen" w:cstheme="minorHAnsi"/>
                <w:color w:val="17365D" w:themeColor="text2" w:themeShade="BF"/>
                <w:sz w:val="20"/>
                <w:szCs w:val="20"/>
              </w:rPr>
              <w:t>Since March 1, 2017, selective contracting was introduced for childbirth and caesarean section and neonatal intensive care services, from July - II-III level intensive care, and from January 2018, selective contracting is used for providers of emergency hospital services.</w:t>
            </w:r>
          </w:p>
          <w:p w:rsidR="00535AEA" w:rsidRPr="00351597" w:rsidRDefault="00535AEA" w:rsidP="00125A31">
            <w:pPr>
              <w:jc w:val="both"/>
              <w:rPr>
                <w:rFonts w:ascii="Sylfaen" w:eastAsia="Sylfaen" w:hAnsi="Sylfaen" w:cstheme="minorHAnsi"/>
                <w:color w:val="17365D" w:themeColor="text2" w:themeShade="BF"/>
                <w:sz w:val="20"/>
                <w:szCs w:val="20"/>
              </w:rPr>
            </w:pPr>
            <w:r w:rsidRPr="00351597">
              <w:rPr>
                <w:rFonts w:ascii="Sylfaen" w:eastAsia="Sylfaen" w:hAnsi="Sylfaen" w:cstheme="minorHAnsi"/>
                <w:color w:val="17365D" w:themeColor="text2" w:themeShade="BF"/>
                <w:sz w:val="20"/>
                <w:szCs w:val="20"/>
              </w:rPr>
              <w:t xml:space="preserve">In December 2014, By the Government of Georgia was approved Georgian Healthcare System State Concept 2014-2020 “Universal Healthcare and Quality Management for Protection of Patient Rights”. </w:t>
            </w:r>
          </w:p>
          <w:p w:rsidR="00535AEA" w:rsidRPr="00351597" w:rsidRDefault="00535AEA" w:rsidP="00962CAA">
            <w:pPr>
              <w:jc w:val="both"/>
              <w:rPr>
                <w:rFonts w:ascii="Sylfaen" w:eastAsia="Sylfaen" w:hAnsi="Sylfaen" w:cstheme="minorHAnsi"/>
                <w:color w:val="17365D" w:themeColor="text2" w:themeShade="BF"/>
                <w:sz w:val="20"/>
                <w:szCs w:val="20"/>
              </w:rPr>
            </w:pPr>
            <w:r w:rsidRPr="00351597">
              <w:rPr>
                <w:rFonts w:ascii="Sylfaen" w:eastAsia="Sylfaen" w:hAnsi="Sylfaen" w:cstheme="minorHAnsi"/>
                <w:color w:val="17365D" w:themeColor="text2" w:themeShade="BF"/>
                <w:sz w:val="20"/>
                <w:szCs w:val="20"/>
              </w:rPr>
              <w:t xml:space="preserve">Taking into account principles declared at international level, epidemiological image and social/economic reality of the country, the Ministry develops following 10 priority directions for the development of the healthcare sector: 1. Health in all policies – general state multi-sectoral approach; 2. Development of the healthcare sector governance; 3. Improvement of healthcare financing system; 4. Development of quality medical services; 5. Development of human resources in the healthcare sector; 6. Development of health management information systems; 7. Support of maternal and child health; 8. Improvement of prevention and management of priority communicable diseases; 9. Improvement of prevention and control of priority non-communicable diseases; 10. Development of public health system.  Currently, the  Ministry of </w:t>
            </w:r>
            <w:r w:rsidRPr="00351597">
              <w:rPr>
                <w:rFonts w:ascii="Sylfaen" w:eastAsia="Sylfaen" w:hAnsi="Sylfaen" w:cstheme="minorHAnsi"/>
                <w:color w:val="17365D" w:themeColor="text2" w:themeShade="BF"/>
                <w:sz w:val="20"/>
                <w:szCs w:val="20"/>
                <w:lang w:val="en-US"/>
              </w:rPr>
              <w:t>L</w:t>
            </w:r>
            <w:proofErr w:type="spellStart"/>
            <w:r w:rsidRPr="00351597">
              <w:rPr>
                <w:rFonts w:ascii="Sylfaen" w:eastAsia="Sylfaen" w:hAnsi="Sylfaen" w:cstheme="minorHAnsi"/>
                <w:color w:val="17365D" w:themeColor="text2" w:themeShade="BF"/>
                <w:sz w:val="20"/>
                <w:szCs w:val="20"/>
              </w:rPr>
              <w:t>abour</w:t>
            </w:r>
            <w:proofErr w:type="spellEnd"/>
            <w:r w:rsidRPr="00351597">
              <w:rPr>
                <w:rFonts w:ascii="Sylfaen" w:eastAsia="Sylfaen" w:hAnsi="Sylfaen" w:cstheme="minorHAnsi"/>
                <w:color w:val="17365D" w:themeColor="text2" w:themeShade="BF"/>
                <w:sz w:val="20"/>
                <w:szCs w:val="20"/>
              </w:rPr>
              <w:t>, Health and Social Affairs of Georgia is working on the Health System Development Strategy.</w:t>
            </w:r>
          </w:p>
        </w:tc>
        <w:tc>
          <w:tcPr>
            <w:tcW w:w="810" w:type="dxa"/>
          </w:tcPr>
          <w:p w:rsidR="00535AEA"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Pr>
                <w:rFonts w:ascii="Sylfaen" w:hAnsi="Sylfaen" w:cstheme="minorHAnsi"/>
                <w:b/>
                <w:bCs/>
                <w:iCs/>
                <w:color w:val="17365D" w:themeColor="text2" w:themeShade="BF"/>
                <w:sz w:val="20"/>
                <w:szCs w:val="20"/>
              </w:rPr>
              <w:t>GE</w:t>
            </w:r>
          </w:p>
        </w:tc>
      </w:tr>
      <w:tr w:rsidR="00351597" w:rsidRPr="00351597" w:rsidTr="004F027A">
        <w:tc>
          <w:tcPr>
            <w:tcW w:w="1548" w:type="dxa"/>
            <w:vAlign w:val="center"/>
          </w:tcPr>
          <w:p w:rsidR="006512F3" w:rsidRPr="00351597" w:rsidRDefault="006512F3"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vMerge w:val="restart"/>
          </w:tcPr>
          <w:p w:rsidR="006512F3" w:rsidRPr="00351597" w:rsidRDefault="006512F3"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4</w:t>
            </w:r>
          </w:p>
          <w:p w:rsidR="006512F3" w:rsidRPr="00351597" w:rsidRDefault="006512F3" w:rsidP="00125A31">
            <w:pPr>
              <w:jc w:val="both"/>
              <w:rPr>
                <w:rFonts w:ascii="Sylfaen" w:hAnsi="Sylfaen" w:cstheme="minorHAnsi"/>
                <w:b/>
                <w:bCs/>
                <w:i/>
                <w:iCs/>
                <w:color w:val="17365D" w:themeColor="text2" w:themeShade="BF"/>
                <w:sz w:val="20"/>
                <w:szCs w:val="20"/>
              </w:rPr>
            </w:pPr>
            <w:r w:rsidRPr="00351597">
              <w:rPr>
                <w:rFonts w:ascii="Sylfaen" w:hAnsi="Sylfaen"/>
                <w:color w:val="17365D" w:themeColor="text2" w:themeShade="BF"/>
                <w:sz w:val="20"/>
                <w:szCs w:val="20"/>
              </w:rPr>
              <w:lastRenderedPageBreak/>
              <w:t>Presentation of EU health policy and latest developments</w:t>
            </w:r>
          </w:p>
          <w:p w:rsidR="006512F3" w:rsidRPr="00351597" w:rsidRDefault="006512F3"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5</w:t>
            </w:r>
          </w:p>
          <w:p w:rsidR="006512F3" w:rsidRPr="00B10213" w:rsidRDefault="006512F3" w:rsidP="00125A31">
            <w:pPr>
              <w:autoSpaceDE w:val="0"/>
              <w:autoSpaceDN w:val="0"/>
              <w:adjustRightInd w:val="0"/>
              <w:rPr>
                <w:rFonts w:ascii="Sylfaen" w:hAnsi="Sylfaen"/>
                <w:b/>
                <w:color w:val="17365D" w:themeColor="text2" w:themeShade="BF"/>
                <w:sz w:val="20"/>
                <w:szCs w:val="20"/>
                <w:highlight w:val="yellow"/>
              </w:rPr>
            </w:pPr>
            <w:r w:rsidRPr="00B10213">
              <w:rPr>
                <w:rFonts w:ascii="Sylfaen" w:hAnsi="Sylfaen"/>
                <w:b/>
                <w:color w:val="17365D" w:themeColor="text2" w:themeShade="BF"/>
                <w:sz w:val="20"/>
                <w:szCs w:val="20"/>
                <w:highlight w:val="yellow"/>
              </w:rPr>
              <w:t xml:space="preserve">Cooperation to strengthen health security: </w:t>
            </w:r>
          </w:p>
          <w:p w:rsidR="006512F3" w:rsidRPr="00B10213" w:rsidRDefault="006512F3" w:rsidP="00125A31">
            <w:pPr>
              <w:pStyle w:val="a3"/>
              <w:numPr>
                <w:ilvl w:val="0"/>
                <w:numId w:val="11"/>
              </w:numPr>
              <w:autoSpaceDE w:val="0"/>
              <w:autoSpaceDN w:val="0"/>
              <w:adjustRightInd w:val="0"/>
              <w:rPr>
                <w:rFonts w:ascii="Sylfaen" w:hAnsi="Sylfaen"/>
                <w:b/>
                <w:bCs/>
                <w:i/>
                <w:iCs/>
                <w:color w:val="17365D" w:themeColor="text2" w:themeShade="BF"/>
                <w:sz w:val="20"/>
                <w:szCs w:val="20"/>
                <w:highlight w:val="yellow"/>
              </w:rPr>
            </w:pPr>
            <w:r w:rsidRPr="00B10213">
              <w:rPr>
                <w:rFonts w:ascii="Sylfaen" w:hAnsi="Sylfaen"/>
                <w:color w:val="17365D" w:themeColor="text2" w:themeShade="BF"/>
                <w:sz w:val="20"/>
                <w:szCs w:val="20"/>
                <w:highlight w:val="yellow"/>
              </w:rPr>
              <w:t xml:space="preserve">Implementation of International Health Regulations </w:t>
            </w:r>
          </w:p>
          <w:p w:rsidR="006512F3" w:rsidRPr="00B10213" w:rsidRDefault="006512F3" w:rsidP="00125A31">
            <w:pPr>
              <w:jc w:val="both"/>
              <w:rPr>
                <w:rFonts w:ascii="Sylfaen" w:hAnsi="Sylfaen"/>
                <w:color w:val="17365D" w:themeColor="text2" w:themeShade="BF"/>
                <w:sz w:val="20"/>
                <w:szCs w:val="20"/>
                <w:highlight w:val="yellow"/>
                <w:lang w:val="en-US"/>
              </w:rPr>
            </w:pPr>
            <w:r w:rsidRPr="00B10213">
              <w:rPr>
                <w:rFonts w:ascii="Sylfaen" w:hAnsi="Sylfaen"/>
                <w:color w:val="17365D" w:themeColor="text2" w:themeShade="BF"/>
                <w:sz w:val="20"/>
                <w:szCs w:val="20"/>
                <w:highlight w:val="yellow"/>
                <w:lang w:val="en-US"/>
              </w:rPr>
              <w:t xml:space="preserve">NCDC was designated as the National Focal Point of IHR and in 2009, established a 24/7 duty officer system for communication with WHO and with national authorities. From 2009 to 2012, National Action Plan for Implementation of IHR was developed and implemented and Georgia was among those countries that reached the implementation by June 2012. </w:t>
            </w:r>
          </w:p>
          <w:p w:rsidR="006512F3" w:rsidRPr="00351597" w:rsidRDefault="006512F3" w:rsidP="00125A31">
            <w:pPr>
              <w:jc w:val="both"/>
              <w:rPr>
                <w:rFonts w:ascii="Sylfaen" w:hAnsi="Sylfaen"/>
                <w:color w:val="17365D" w:themeColor="text2" w:themeShade="BF"/>
                <w:sz w:val="20"/>
                <w:szCs w:val="20"/>
                <w:lang w:val="en-US"/>
              </w:rPr>
            </w:pPr>
            <w:r w:rsidRPr="00B10213">
              <w:rPr>
                <w:rFonts w:ascii="Sylfaen" w:hAnsi="Sylfaen"/>
                <w:color w:val="17365D" w:themeColor="text2" w:themeShade="BF"/>
                <w:sz w:val="20"/>
                <w:szCs w:val="20"/>
                <w:highlight w:val="yellow"/>
                <w:lang w:val="en-US"/>
              </w:rPr>
              <w:t>Since 2012, after the change of the government of Georgia, human health became the political priority. Significant increase in health financing and introduction of Universal Health Care program enabled the health system strengthening. Another important pillar of IHR are integrated surveillance system and well-established laboratory network, which demonstrates the country’s capability to detect public health threats. These significant changes in the system, followed by adoption of national regulations, which are in compliance with the IHR, (Law on Public Health etc.), were the huge steps towards the full implementation and highlights the importance of health system for delivering IHR commitments.</w:t>
            </w:r>
            <w:r w:rsidRPr="00351597">
              <w:rPr>
                <w:rFonts w:ascii="Sylfaen" w:hAnsi="Sylfaen"/>
                <w:color w:val="17365D" w:themeColor="text2" w:themeShade="BF"/>
                <w:sz w:val="20"/>
                <w:szCs w:val="20"/>
                <w:lang w:val="en-US"/>
              </w:rPr>
              <w:t xml:space="preserve"> </w:t>
            </w:r>
          </w:p>
          <w:p w:rsidR="006512F3" w:rsidRPr="00351597" w:rsidRDefault="006512F3" w:rsidP="00125A31">
            <w:pPr>
              <w:jc w:val="both"/>
              <w:rPr>
                <w:rFonts w:ascii="Sylfaen" w:hAnsi="Sylfaen"/>
                <w:color w:val="17365D" w:themeColor="text2" w:themeShade="BF"/>
                <w:sz w:val="20"/>
                <w:szCs w:val="20"/>
                <w:lang w:val="en-US"/>
              </w:rPr>
            </w:pPr>
          </w:p>
          <w:p w:rsidR="006512F3" w:rsidRPr="00B10213" w:rsidRDefault="006512F3" w:rsidP="00125A31">
            <w:pPr>
              <w:pStyle w:val="a3"/>
              <w:numPr>
                <w:ilvl w:val="0"/>
                <w:numId w:val="11"/>
              </w:numPr>
              <w:autoSpaceDE w:val="0"/>
              <w:autoSpaceDN w:val="0"/>
              <w:adjustRightInd w:val="0"/>
              <w:rPr>
                <w:rFonts w:ascii="Sylfaen" w:hAnsi="Sylfaen"/>
                <w:b/>
                <w:bCs/>
                <w:i/>
                <w:iCs/>
                <w:color w:val="17365D" w:themeColor="text2" w:themeShade="BF"/>
                <w:sz w:val="20"/>
                <w:szCs w:val="20"/>
                <w:highlight w:val="yellow"/>
              </w:rPr>
            </w:pPr>
            <w:r w:rsidRPr="00B10213">
              <w:rPr>
                <w:rFonts w:ascii="Sylfaen" w:hAnsi="Sylfaen"/>
                <w:color w:val="17365D" w:themeColor="text2" w:themeShade="BF"/>
                <w:sz w:val="20"/>
                <w:szCs w:val="20"/>
                <w:highlight w:val="yellow"/>
              </w:rPr>
              <w:t xml:space="preserve">Georgia participation in the </w:t>
            </w:r>
            <w:proofErr w:type="spellStart"/>
            <w:r w:rsidRPr="00B10213">
              <w:rPr>
                <w:rFonts w:ascii="Sylfaen" w:hAnsi="Sylfaen"/>
                <w:color w:val="17365D" w:themeColor="text2" w:themeShade="BF"/>
                <w:sz w:val="20"/>
                <w:szCs w:val="20"/>
                <w:highlight w:val="yellow"/>
              </w:rPr>
              <w:t>MediPIET</w:t>
            </w:r>
            <w:proofErr w:type="spellEnd"/>
            <w:r w:rsidRPr="00B10213">
              <w:rPr>
                <w:rFonts w:ascii="Sylfaen" w:hAnsi="Sylfaen"/>
                <w:color w:val="17365D" w:themeColor="text2" w:themeShade="BF"/>
                <w:sz w:val="20"/>
                <w:szCs w:val="20"/>
                <w:highlight w:val="yellow"/>
              </w:rPr>
              <w:t xml:space="preserve"> regional training programme</w:t>
            </w:r>
          </w:p>
          <w:p w:rsidR="00E2570A" w:rsidRPr="00E2570A" w:rsidRDefault="00E2570A" w:rsidP="00E2570A">
            <w:pPr>
              <w:jc w:val="both"/>
              <w:rPr>
                <w:rFonts w:ascii="Sylfaen" w:hAnsi="Sylfaen"/>
                <w:color w:val="17365D" w:themeColor="text2" w:themeShade="BF"/>
                <w:sz w:val="20"/>
                <w:szCs w:val="20"/>
                <w:highlight w:val="yellow"/>
              </w:rPr>
            </w:pPr>
            <w:r w:rsidRPr="00E2570A">
              <w:rPr>
                <w:rFonts w:ascii="Sylfaen" w:hAnsi="Sylfaen"/>
                <w:color w:val="17365D" w:themeColor="text2" w:themeShade="BF"/>
                <w:sz w:val="20"/>
                <w:szCs w:val="20"/>
                <w:highlight w:val="yellow"/>
              </w:rPr>
              <w:t xml:space="preserve">In May 2017 National </w:t>
            </w:r>
            <w:proofErr w:type="spellStart"/>
            <w:r w:rsidRPr="00E2570A">
              <w:rPr>
                <w:rFonts w:ascii="Sylfaen" w:hAnsi="Sylfaen"/>
                <w:color w:val="17365D" w:themeColor="text2" w:themeShade="BF"/>
                <w:sz w:val="20"/>
                <w:szCs w:val="20"/>
                <w:highlight w:val="yellow"/>
              </w:rPr>
              <w:t>Center</w:t>
            </w:r>
            <w:proofErr w:type="spellEnd"/>
            <w:r w:rsidRPr="00E2570A">
              <w:rPr>
                <w:rFonts w:ascii="Sylfaen" w:hAnsi="Sylfaen"/>
                <w:color w:val="17365D" w:themeColor="text2" w:themeShade="BF"/>
                <w:sz w:val="20"/>
                <w:szCs w:val="20"/>
                <w:highlight w:val="yellow"/>
              </w:rPr>
              <w:t xml:space="preserve"> for Disease Control and Public Health was granted a Mediterranean Programme for Intervention Epidemiology Training (</w:t>
            </w:r>
            <w:proofErr w:type="spellStart"/>
            <w:r w:rsidRPr="00E2570A">
              <w:rPr>
                <w:rFonts w:ascii="Sylfaen" w:hAnsi="Sylfaen"/>
                <w:color w:val="17365D" w:themeColor="text2" w:themeShade="BF"/>
                <w:sz w:val="20"/>
                <w:szCs w:val="20"/>
                <w:highlight w:val="yellow"/>
              </w:rPr>
              <w:t>MediPIET</w:t>
            </w:r>
            <w:proofErr w:type="spellEnd"/>
            <w:r w:rsidRPr="00E2570A">
              <w:rPr>
                <w:rFonts w:ascii="Sylfaen" w:hAnsi="Sylfaen"/>
                <w:color w:val="17365D" w:themeColor="text2" w:themeShade="BF"/>
                <w:sz w:val="20"/>
                <w:szCs w:val="20"/>
                <w:highlight w:val="yellow"/>
              </w:rPr>
              <w:t xml:space="preserve">) Site, thus Georgia has become a full member of the </w:t>
            </w:r>
            <w:proofErr w:type="spellStart"/>
            <w:r w:rsidRPr="00E2570A">
              <w:rPr>
                <w:rFonts w:ascii="Sylfaen" w:hAnsi="Sylfaen"/>
                <w:color w:val="17365D" w:themeColor="text2" w:themeShade="BF"/>
                <w:sz w:val="20"/>
                <w:szCs w:val="20"/>
                <w:highlight w:val="yellow"/>
              </w:rPr>
              <w:t>MediPIET</w:t>
            </w:r>
            <w:proofErr w:type="spellEnd"/>
            <w:r w:rsidRPr="00E2570A">
              <w:rPr>
                <w:rFonts w:ascii="Sylfaen" w:hAnsi="Sylfaen"/>
                <w:color w:val="17365D" w:themeColor="text2" w:themeShade="BF"/>
                <w:sz w:val="20"/>
                <w:szCs w:val="20"/>
                <w:highlight w:val="yellow"/>
              </w:rPr>
              <w:t xml:space="preserve"> family. Involvement in the </w:t>
            </w:r>
            <w:proofErr w:type="spellStart"/>
            <w:r w:rsidRPr="00E2570A">
              <w:rPr>
                <w:rFonts w:ascii="Sylfaen" w:hAnsi="Sylfaen"/>
                <w:color w:val="17365D" w:themeColor="text2" w:themeShade="BF"/>
                <w:sz w:val="20"/>
                <w:szCs w:val="20"/>
                <w:highlight w:val="yellow"/>
              </w:rPr>
              <w:t>MediPIET</w:t>
            </w:r>
            <w:proofErr w:type="spellEnd"/>
            <w:r w:rsidRPr="00E2570A">
              <w:rPr>
                <w:rFonts w:ascii="Sylfaen" w:hAnsi="Sylfaen"/>
                <w:color w:val="17365D" w:themeColor="text2" w:themeShade="BF"/>
                <w:sz w:val="20"/>
                <w:szCs w:val="20"/>
                <w:highlight w:val="yellow"/>
              </w:rPr>
              <w:t xml:space="preserve"> project is one of the crucial steps within the Association Agenda between the European Union and Georgia on the concept of strengthening Public Health system.</w:t>
            </w:r>
          </w:p>
          <w:p w:rsidR="00E2570A" w:rsidRPr="00E2570A" w:rsidRDefault="00E2570A" w:rsidP="00E2570A">
            <w:pPr>
              <w:jc w:val="both"/>
              <w:rPr>
                <w:rFonts w:ascii="Sylfaen" w:hAnsi="Sylfaen"/>
                <w:color w:val="17365D" w:themeColor="text2" w:themeShade="BF"/>
                <w:sz w:val="20"/>
                <w:szCs w:val="20"/>
                <w:highlight w:val="yellow"/>
              </w:rPr>
            </w:pPr>
            <w:r w:rsidRPr="00E2570A">
              <w:rPr>
                <w:rFonts w:ascii="Sylfaen" w:hAnsi="Sylfaen"/>
                <w:color w:val="17365D" w:themeColor="text2" w:themeShade="BF"/>
                <w:sz w:val="20"/>
                <w:szCs w:val="20"/>
                <w:highlight w:val="yellow"/>
              </w:rPr>
              <w:t xml:space="preserve">Growth of population at the global level, globalization of trade and travel has resulted in expanded challenges for public health, thus it is necessary to train epidemiologists in compliance with the increased requirements in the aforementioned sphere. Along with national priorities, epidemiologists also need to be aware of the regional threats and, if necessary, act in accordance with the joint regional response. The advantage of such programs is that it contributes to the formation of a continuous network of specialists working in the region, which is the best opportunity for cooperation in this direction. Being the part of the </w:t>
            </w:r>
            <w:proofErr w:type="spellStart"/>
            <w:r w:rsidRPr="00E2570A">
              <w:rPr>
                <w:rFonts w:ascii="Sylfaen" w:hAnsi="Sylfaen"/>
                <w:color w:val="17365D" w:themeColor="text2" w:themeShade="BF"/>
                <w:sz w:val="20"/>
                <w:szCs w:val="20"/>
                <w:highlight w:val="yellow"/>
              </w:rPr>
              <w:t>MediPIET</w:t>
            </w:r>
            <w:proofErr w:type="spellEnd"/>
            <w:r w:rsidRPr="00E2570A">
              <w:rPr>
                <w:rFonts w:ascii="Sylfaen" w:hAnsi="Sylfaen"/>
                <w:color w:val="17365D" w:themeColor="text2" w:themeShade="BF"/>
                <w:sz w:val="20"/>
                <w:szCs w:val="20"/>
                <w:highlight w:val="yellow"/>
              </w:rPr>
              <w:t xml:space="preserve"> project will provide an essential opportunity for development and strengthening capacities for public health risk management, preparedness and response systems, as well as for expansion of scientific field.</w:t>
            </w:r>
          </w:p>
          <w:p w:rsidR="00E2570A" w:rsidRPr="00E2570A" w:rsidRDefault="00E2570A" w:rsidP="00E2570A">
            <w:pPr>
              <w:contextualSpacing/>
              <w:jc w:val="both"/>
              <w:rPr>
                <w:rFonts w:ascii="Sylfaen" w:hAnsi="Sylfaen" w:cs="Times New Roman"/>
                <w:color w:val="17365D" w:themeColor="text2" w:themeShade="BF"/>
                <w:sz w:val="20"/>
                <w:szCs w:val="20"/>
                <w:highlight w:val="yellow"/>
                <w:lang w:val="ka-GE"/>
              </w:rPr>
            </w:pPr>
            <w:r w:rsidRPr="00E2570A">
              <w:rPr>
                <w:rFonts w:ascii="Sylfaen" w:hAnsi="Sylfaen" w:cs="Times New Roman"/>
                <w:color w:val="17365D" w:themeColor="text2" w:themeShade="BF"/>
                <w:sz w:val="20"/>
                <w:szCs w:val="20"/>
                <w:highlight w:val="yellow"/>
                <w:lang w:val="ka-GE"/>
              </w:rPr>
              <w:t xml:space="preserve">During 2017, </w:t>
            </w:r>
            <w:r w:rsidRPr="00E2570A">
              <w:rPr>
                <w:rFonts w:ascii="Sylfaen" w:hAnsi="Sylfaen" w:cs="Times New Roman"/>
                <w:color w:val="17365D" w:themeColor="text2" w:themeShade="BF"/>
                <w:sz w:val="20"/>
                <w:szCs w:val="20"/>
                <w:highlight w:val="yellow"/>
              </w:rPr>
              <w:t xml:space="preserve">13 </w:t>
            </w:r>
            <w:r w:rsidRPr="00E2570A">
              <w:rPr>
                <w:rFonts w:ascii="Sylfaen" w:hAnsi="Sylfaen" w:cs="Times New Roman"/>
                <w:color w:val="17365D" w:themeColor="text2" w:themeShade="BF"/>
                <w:sz w:val="20"/>
                <w:szCs w:val="20"/>
                <w:highlight w:val="yellow"/>
                <w:lang w:val="ka-GE"/>
              </w:rPr>
              <w:t xml:space="preserve">Georgian epidemiologists and </w:t>
            </w:r>
            <w:r w:rsidRPr="00E2570A">
              <w:rPr>
                <w:rFonts w:ascii="Sylfaen" w:hAnsi="Sylfaen" w:cs="Times New Roman"/>
                <w:color w:val="17365D" w:themeColor="text2" w:themeShade="BF"/>
                <w:sz w:val="20"/>
                <w:szCs w:val="20"/>
                <w:highlight w:val="yellow"/>
                <w:lang w:val="en-US"/>
              </w:rPr>
              <w:t>p</w:t>
            </w:r>
            <w:r w:rsidRPr="00E2570A">
              <w:rPr>
                <w:rFonts w:ascii="Sylfaen" w:hAnsi="Sylfaen" w:cs="Times New Roman"/>
                <w:color w:val="17365D" w:themeColor="text2" w:themeShade="BF"/>
                <w:sz w:val="20"/>
                <w:szCs w:val="20"/>
                <w:highlight w:val="yellow"/>
                <w:lang w:val="ka-GE"/>
              </w:rPr>
              <w:t xml:space="preserve">ublic </w:t>
            </w:r>
            <w:r w:rsidRPr="00E2570A">
              <w:rPr>
                <w:rFonts w:ascii="Sylfaen" w:hAnsi="Sylfaen" w:cs="Times New Roman"/>
                <w:color w:val="17365D" w:themeColor="text2" w:themeShade="BF"/>
                <w:sz w:val="20"/>
                <w:szCs w:val="20"/>
                <w:highlight w:val="yellow"/>
                <w:lang w:val="en-US"/>
              </w:rPr>
              <w:t>h</w:t>
            </w:r>
            <w:r w:rsidRPr="00E2570A">
              <w:rPr>
                <w:rFonts w:ascii="Sylfaen" w:hAnsi="Sylfaen" w:cs="Times New Roman"/>
                <w:color w:val="17365D" w:themeColor="text2" w:themeShade="BF"/>
                <w:sz w:val="20"/>
                <w:szCs w:val="20"/>
                <w:highlight w:val="yellow"/>
                <w:lang w:val="ka-GE"/>
              </w:rPr>
              <w:t xml:space="preserve">ealth </w:t>
            </w:r>
            <w:r w:rsidRPr="00E2570A">
              <w:rPr>
                <w:rFonts w:ascii="Sylfaen" w:hAnsi="Sylfaen" w:cs="Times New Roman"/>
                <w:color w:val="17365D" w:themeColor="text2" w:themeShade="BF"/>
                <w:sz w:val="20"/>
                <w:szCs w:val="20"/>
                <w:highlight w:val="yellow"/>
                <w:lang w:val="en-US"/>
              </w:rPr>
              <w:t>p</w:t>
            </w:r>
            <w:r w:rsidRPr="00E2570A">
              <w:rPr>
                <w:rFonts w:ascii="Sylfaen" w:hAnsi="Sylfaen" w:cs="Times New Roman"/>
                <w:color w:val="17365D" w:themeColor="text2" w:themeShade="BF"/>
                <w:sz w:val="20"/>
                <w:szCs w:val="20"/>
                <w:highlight w:val="yellow"/>
                <w:lang w:val="ka-GE"/>
              </w:rPr>
              <w:t xml:space="preserve">ractitioners have been continuing to participate as external participants in the MediPIET modules </w:t>
            </w:r>
            <w:r w:rsidRPr="00E2570A">
              <w:rPr>
                <w:rFonts w:ascii="Sylfaen" w:hAnsi="Sylfaen" w:cs="Times New Roman"/>
                <w:color w:val="17365D" w:themeColor="text2" w:themeShade="BF"/>
                <w:sz w:val="20"/>
                <w:szCs w:val="20"/>
                <w:highlight w:val="yellow"/>
              </w:rPr>
              <w:t xml:space="preserve">- </w:t>
            </w:r>
            <w:r w:rsidRPr="00E2570A">
              <w:rPr>
                <w:rFonts w:ascii="Sylfaen" w:hAnsi="Sylfaen" w:cs="Times New Roman"/>
                <w:color w:val="17365D" w:themeColor="text2" w:themeShade="BF"/>
                <w:sz w:val="20"/>
                <w:szCs w:val="20"/>
                <w:highlight w:val="yellow"/>
                <w:lang w:val="ka-GE"/>
              </w:rPr>
              <w:t>totally 5 different modules</w:t>
            </w:r>
            <w:r w:rsidRPr="00E2570A">
              <w:rPr>
                <w:rFonts w:ascii="Sylfaen" w:hAnsi="Sylfaen" w:cs="Times New Roman"/>
                <w:color w:val="17365D" w:themeColor="text2" w:themeShade="BF"/>
                <w:sz w:val="20"/>
                <w:szCs w:val="20"/>
                <w:highlight w:val="yellow"/>
              </w:rPr>
              <w:t xml:space="preserve">. </w:t>
            </w:r>
            <w:r w:rsidRPr="00E2570A">
              <w:rPr>
                <w:rFonts w:ascii="Sylfaen" w:hAnsi="Sylfaen" w:cs="Times New Roman"/>
                <w:color w:val="17365D" w:themeColor="text2" w:themeShade="BF"/>
                <w:sz w:val="20"/>
                <w:szCs w:val="20"/>
                <w:highlight w:val="yellow"/>
                <w:lang w:val="ka-GE"/>
              </w:rPr>
              <w:t xml:space="preserve">In November, 2017, the country has been participated in the MediPIET Annual Scientific Conference “Regional Contributions and Synergies For Global Health Security”, eight scientific study results have been presented by Georgian representatives during the conference. </w:t>
            </w:r>
          </w:p>
          <w:p w:rsidR="00E2570A" w:rsidRPr="00ED7925" w:rsidRDefault="00E2570A" w:rsidP="00E2570A">
            <w:pPr>
              <w:contextualSpacing/>
              <w:jc w:val="both"/>
            </w:pPr>
            <w:r w:rsidRPr="00E2570A">
              <w:rPr>
                <w:rFonts w:ascii="Sylfaen" w:hAnsi="Sylfaen"/>
                <w:color w:val="244061" w:themeColor="accent1" w:themeShade="80"/>
                <w:sz w:val="20"/>
                <w:szCs w:val="20"/>
                <w:highlight w:val="yellow"/>
              </w:rPr>
              <w:t xml:space="preserve">At the end of 2017 the first </w:t>
            </w:r>
            <w:proofErr w:type="spellStart"/>
            <w:r w:rsidRPr="00E2570A">
              <w:rPr>
                <w:rFonts w:ascii="Sylfaen" w:hAnsi="Sylfaen"/>
                <w:color w:val="244061" w:themeColor="accent1" w:themeShade="80"/>
                <w:sz w:val="20"/>
                <w:szCs w:val="20"/>
                <w:highlight w:val="yellow"/>
              </w:rPr>
              <w:t>phaze</w:t>
            </w:r>
            <w:proofErr w:type="spellEnd"/>
            <w:r w:rsidRPr="00E2570A">
              <w:rPr>
                <w:rFonts w:ascii="Sylfaen" w:hAnsi="Sylfaen"/>
                <w:color w:val="244061" w:themeColor="accent1" w:themeShade="80"/>
                <w:sz w:val="20"/>
                <w:szCs w:val="20"/>
                <w:highlight w:val="yellow"/>
              </w:rPr>
              <w:t xml:space="preserve"> of the </w:t>
            </w:r>
            <w:proofErr w:type="spellStart"/>
            <w:r w:rsidRPr="00E2570A">
              <w:rPr>
                <w:rFonts w:ascii="Sylfaen" w:hAnsi="Sylfaen"/>
                <w:color w:val="244061" w:themeColor="accent1" w:themeShade="80"/>
                <w:sz w:val="20"/>
                <w:szCs w:val="20"/>
                <w:highlight w:val="yellow"/>
              </w:rPr>
              <w:t>MediPIET</w:t>
            </w:r>
            <w:proofErr w:type="spellEnd"/>
            <w:r w:rsidRPr="00E2570A">
              <w:rPr>
                <w:rFonts w:ascii="Sylfaen" w:hAnsi="Sylfaen"/>
                <w:color w:val="244061" w:themeColor="accent1" w:themeShade="80"/>
                <w:sz w:val="20"/>
                <w:szCs w:val="20"/>
                <w:highlight w:val="yellow"/>
              </w:rPr>
              <w:t xml:space="preserve"> project has finished. During 2018 countries included in this project were </w:t>
            </w:r>
            <w:proofErr w:type="spellStart"/>
            <w:r w:rsidRPr="00E2570A">
              <w:rPr>
                <w:rFonts w:ascii="Sylfaen" w:hAnsi="Sylfaen"/>
                <w:color w:val="244061" w:themeColor="accent1" w:themeShade="80"/>
                <w:sz w:val="20"/>
                <w:szCs w:val="20"/>
                <w:highlight w:val="yellow"/>
              </w:rPr>
              <w:t>warking</w:t>
            </w:r>
            <w:proofErr w:type="spellEnd"/>
            <w:r w:rsidRPr="00E2570A">
              <w:rPr>
                <w:rFonts w:ascii="Sylfaen" w:hAnsi="Sylfaen"/>
                <w:color w:val="244061" w:themeColor="accent1" w:themeShade="80"/>
                <w:sz w:val="20"/>
                <w:szCs w:val="20"/>
                <w:highlight w:val="yellow"/>
              </w:rPr>
              <w:t xml:space="preserve"> on “farther development and consolidation of the </w:t>
            </w:r>
            <w:proofErr w:type="spellStart"/>
            <w:r w:rsidRPr="00E2570A">
              <w:rPr>
                <w:rFonts w:ascii="Sylfaen" w:hAnsi="Sylfaen"/>
                <w:color w:val="244061" w:themeColor="accent1" w:themeShade="80"/>
                <w:sz w:val="20"/>
                <w:szCs w:val="20"/>
                <w:highlight w:val="yellow"/>
              </w:rPr>
              <w:t>Mediteranian</w:t>
            </w:r>
            <w:proofErr w:type="spellEnd"/>
            <w:r w:rsidRPr="00E2570A">
              <w:rPr>
                <w:rFonts w:ascii="Sylfaen" w:hAnsi="Sylfaen"/>
                <w:color w:val="244061" w:themeColor="accent1" w:themeShade="80"/>
                <w:sz w:val="20"/>
                <w:szCs w:val="20"/>
                <w:highlight w:val="yellow"/>
              </w:rPr>
              <w:t xml:space="preserve"> and Black-sea programme for Intervention epidemiology. As a first priority, the extension phase of </w:t>
            </w:r>
            <w:proofErr w:type="spellStart"/>
            <w:r w:rsidRPr="00E2570A">
              <w:rPr>
                <w:rFonts w:ascii="Sylfaen" w:hAnsi="Sylfaen"/>
                <w:color w:val="244061" w:themeColor="accent1" w:themeShade="80"/>
                <w:sz w:val="20"/>
                <w:szCs w:val="20"/>
                <w:highlight w:val="yellow"/>
              </w:rPr>
              <w:t>MediPIET</w:t>
            </w:r>
            <w:proofErr w:type="spellEnd"/>
            <w:r w:rsidRPr="00E2570A">
              <w:rPr>
                <w:rFonts w:ascii="Sylfaen" w:hAnsi="Sylfaen"/>
                <w:color w:val="244061" w:themeColor="accent1" w:themeShade="80"/>
                <w:sz w:val="20"/>
                <w:szCs w:val="20"/>
                <w:highlight w:val="yellow"/>
              </w:rPr>
              <w:t xml:space="preserve"> II should train a 3</w:t>
            </w:r>
            <w:r w:rsidRPr="00E2570A">
              <w:rPr>
                <w:rFonts w:ascii="Sylfaen" w:hAnsi="Sylfaen"/>
                <w:color w:val="244061" w:themeColor="accent1" w:themeShade="80"/>
                <w:sz w:val="20"/>
                <w:szCs w:val="20"/>
                <w:highlight w:val="yellow"/>
                <w:vertAlign w:val="superscript"/>
              </w:rPr>
              <w:t>rd</w:t>
            </w:r>
            <w:r w:rsidRPr="00E2570A">
              <w:rPr>
                <w:rFonts w:ascii="Sylfaen" w:hAnsi="Sylfaen"/>
                <w:color w:val="244061" w:themeColor="accent1" w:themeShade="80"/>
                <w:sz w:val="20"/>
                <w:szCs w:val="20"/>
                <w:highlight w:val="yellow"/>
              </w:rPr>
              <w:t xml:space="preserve"> </w:t>
            </w:r>
            <w:proofErr w:type="spellStart"/>
            <w:r w:rsidRPr="00E2570A">
              <w:rPr>
                <w:rFonts w:ascii="Sylfaen" w:hAnsi="Sylfaen"/>
                <w:color w:val="244061" w:themeColor="accent1" w:themeShade="80"/>
                <w:sz w:val="20"/>
                <w:szCs w:val="20"/>
                <w:highlight w:val="yellow"/>
              </w:rPr>
              <w:t>MediPIET</w:t>
            </w:r>
            <w:proofErr w:type="spellEnd"/>
            <w:r w:rsidRPr="00E2570A">
              <w:rPr>
                <w:rFonts w:ascii="Sylfaen" w:hAnsi="Sylfaen"/>
                <w:color w:val="244061" w:themeColor="accent1" w:themeShade="80"/>
                <w:sz w:val="20"/>
                <w:szCs w:val="20"/>
                <w:highlight w:val="yellow"/>
              </w:rPr>
              <w:t xml:space="preserve"> cohort, since the FETP fellowship is recognised as the most effective way to train health professionals to respond timely and adequately to health threats. </w:t>
            </w:r>
            <w:r w:rsidRPr="00E2570A">
              <w:rPr>
                <w:rFonts w:ascii="Sylfaen" w:hAnsi="Sylfaen" w:cstheme="minorHAnsi"/>
                <w:color w:val="244061" w:themeColor="accent1" w:themeShade="80"/>
                <w:sz w:val="20"/>
                <w:szCs w:val="20"/>
                <w:highlight w:val="yellow"/>
                <w:shd w:val="clear" w:color="auto" w:fill="FFFFFF"/>
              </w:rPr>
              <w:t xml:space="preserve">The proposal for the </w:t>
            </w:r>
            <w:proofErr w:type="spellStart"/>
            <w:r w:rsidRPr="00E2570A">
              <w:rPr>
                <w:rFonts w:ascii="Sylfaen" w:hAnsi="Sylfaen" w:cstheme="minorHAnsi"/>
                <w:color w:val="244061" w:themeColor="accent1" w:themeShade="80"/>
                <w:sz w:val="20"/>
                <w:szCs w:val="20"/>
                <w:highlight w:val="yellow"/>
                <w:shd w:val="clear" w:color="auto" w:fill="FFFFFF"/>
              </w:rPr>
              <w:t>MediPIET</w:t>
            </w:r>
            <w:proofErr w:type="spellEnd"/>
            <w:r w:rsidRPr="00E2570A">
              <w:rPr>
                <w:rFonts w:ascii="Sylfaen" w:hAnsi="Sylfaen" w:cstheme="minorHAnsi"/>
                <w:color w:val="244061" w:themeColor="accent1" w:themeShade="80"/>
                <w:sz w:val="20"/>
                <w:szCs w:val="20"/>
                <w:highlight w:val="yellow"/>
                <w:shd w:val="clear" w:color="auto" w:fill="FFFFFF"/>
              </w:rPr>
              <w:t>-extension has been approved by the EC at the end of 2018 (November, 2018).</w:t>
            </w:r>
            <w:r w:rsidRPr="00E2570A">
              <w:rPr>
                <w:rFonts w:ascii="Sylfaen" w:hAnsi="Sylfaen"/>
                <w:color w:val="244061" w:themeColor="accent1" w:themeShade="80"/>
                <w:sz w:val="20"/>
                <w:szCs w:val="20"/>
                <w:highlight w:val="yellow"/>
              </w:rPr>
              <w:t xml:space="preserve"> Within the </w:t>
            </w:r>
            <w:proofErr w:type="spellStart"/>
            <w:r w:rsidRPr="00E2570A">
              <w:rPr>
                <w:rFonts w:ascii="Sylfaen" w:hAnsi="Sylfaen"/>
                <w:color w:val="244061" w:themeColor="accent1" w:themeShade="80"/>
                <w:sz w:val="20"/>
                <w:szCs w:val="20"/>
                <w:highlight w:val="yellow"/>
              </w:rPr>
              <w:t>MediPIET</w:t>
            </w:r>
            <w:proofErr w:type="spellEnd"/>
            <w:r w:rsidRPr="00E2570A">
              <w:rPr>
                <w:rFonts w:ascii="Sylfaen" w:hAnsi="Sylfaen"/>
                <w:color w:val="244061" w:themeColor="accent1" w:themeShade="80"/>
                <w:sz w:val="20"/>
                <w:szCs w:val="20"/>
                <w:highlight w:val="yellow"/>
              </w:rPr>
              <w:t xml:space="preserve"> II </w:t>
            </w:r>
            <w:proofErr w:type="spellStart"/>
            <w:r w:rsidRPr="00E2570A">
              <w:rPr>
                <w:rFonts w:ascii="Sylfaen" w:hAnsi="Sylfaen"/>
                <w:color w:val="244061" w:themeColor="accent1" w:themeShade="80"/>
                <w:sz w:val="20"/>
                <w:szCs w:val="20"/>
                <w:highlight w:val="yellow"/>
              </w:rPr>
              <w:t>Gergion</w:t>
            </w:r>
            <w:proofErr w:type="spellEnd"/>
            <w:r w:rsidRPr="00E2570A">
              <w:rPr>
                <w:rFonts w:ascii="Sylfaen" w:hAnsi="Sylfaen"/>
                <w:color w:val="244061" w:themeColor="accent1" w:themeShade="80"/>
                <w:sz w:val="20"/>
                <w:szCs w:val="20"/>
                <w:highlight w:val="yellow"/>
              </w:rPr>
              <w:t xml:space="preserve"> fellows will be included and trained</w:t>
            </w:r>
            <w:r w:rsidRPr="00E2570A">
              <w:rPr>
                <w:highlight w:val="yellow"/>
              </w:rPr>
              <w:t>.</w:t>
            </w:r>
          </w:p>
          <w:p w:rsidR="006512F3" w:rsidRPr="00E2570A" w:rsidRDefault="006512F3" w:rsidP="00125A31">
            <w:pPr>
              <w:contextualSpacing/>
              <w:jc w:val="both"/>
              <w:rPr>
                <w:rFonts w:ascii="Sylfaen" w:hAnsi="Sylfaen" w:cs="Times New Roman"/>
                <w:color w:val="17365D" w:themeColor="text2" w:themeShade="BF"/>
                <w:sz w:val="20"/>
                <w:szCs w:val="20"/>
              </w:rPr>
            </w:pPr>
          </w:p>
          <w:p w:rsidR="006512F3" w:rsidRPr="00351597" w:rsidRDefault="006512F3" w:rsidP="00125A31">
            <w:pPr>
              <w:pStyle w:val="a3"/>
              <w:autoSpaceDE w:val="0"/>
              <w:autoSpaceDN w:val="0"/>
              <w:adjustRightInd w:val="0"/>
              <w:rPr>
                <w:rFonts w:ascii="Sylfaen" w:hAnsi="Sylfaen"/>
                <w:b/>
                <w:bCs/>
                <w:i/>
                <w:iCs/>
                <w:color w:val="17365D" w:themeColor="text2" w:themeShade="BF"/>
                <w:sz w:val="20"/>
                <w:szCs w:val="20"/>
              </w:rPr>
            </w:pPr>
          </w:p>
          <w:p w:rsidR="006512F3" w:rsidRPr="00B10213" w:rsidRDefault="006512F3" w:rsidP="00125A31">
            <w:pPr>
              <w:pStyle w:val="a3"/>
              <w:numPr>
                <w:ilvl w:val="0"/>
                <w:numId w:val="11"/>
              </w:numPr>
              <w:autoSpaceDE w:val="0"/>
              <w:autoSpaceDN w:val="0"/>
              <w:adjustRightInd w:val="0"/>
              <w:rPr>
                <w:rFonts w:ascii="Sylfaen" w:hAnsi="Sylfaen"/>
                <w:b/>
                <w:bCs/>
                <w:i/>
                <w:iCs/>
                <w:color w:val="17365D" w:themeColor="text2" w:themeShade="BF"/>
                <w:sz w:val="20"/>
                <w:szCs w:val="20"/>
                <w:highlight w:val="yellow"/>
              </w:rPr>
            </w:pPr>
            <w:r w:rsidRPr="00B10213">
              <w:rPr>
                <w:rFonts w:ascii="Sylfaen" w:hAnsi="Sylfaen"/>
                <w:noProof/>
                <w:color w:val="17365D" w:themeColor="text2" w:themeShade="BF"/>
                <w:sz w:val="20"/>
                <w:szCs w:val="20"/>
                <w:highlight w:val="yellow"/>
              </w:rPr>
              <w:t>Anti-microbial</w:t>
            </w:r>
            <w:r w:rsidRPr="00B10213">
              <w:rPr>
                <w:rFonts w:ascii="Sylfaen" w:hAnsi="Sylfaen"/>
                <w:color w:val="17365D" w:themeColor="text2" w:themeShade="BF"/>
                <w:sz w:val="20"/>
                <w:szCs w:val="20"/>
                <w:highlight w:val="yellow"/>
              </w:rPr>
              <w:t xml:space="preserve"> resistance (AMR)</w:t>
            </w:r>
          </w:p>
          <w:p w:rsidR="00B10213" w:rsidRPr="00B10213" w:rsidRDefault="00B10213" w:rsidP="00B10213">
            <w:pPr>
              <w:spacing w:after="120"/>
              <w:jc w:val="both"/>
              <w:rPr>
                <w:rFonts w:ascii="Sylfaen" w:hAnsi="Sylfaen"/>
                <w:color w:val="365F91" w:themeColor="accent1" w:themeShade="BF"/>
                <w:sz w:val="20"/>
                <w:szCs w:val="20"/>
                <w:highlight w:val="yellow"/>
                <w:lang w:val="en-US"/>
              </w:rPr>
            </w:pPr>
            <w:r w:rsidRPr="00B10213">
              <w:rPr>
                <w:rFonts w:ascii="Sylfaen" w:hAnsi="Sylfaen"/>
                <w:color w:val="365F91" w:themeColor="accent1" w:themeShade="BF"/>
                <w:sz w:val="20"/>
                <w:szCs w:val="20"/>
                <w:highlight w:val="yellow"/>
                <w:lang w:val="en-US"/>
              </w:rPr>
              <w:t xml:space="preserve">Important steps were taken in direction of </w:t>
            </w:r>
            <w:r w:rsidRPr="00B10213">
              <w:rPr>
                <w:rFonts w:ascii="Sylfaen" w:hAnsi="Sylfaen"/>
                <w:bCs/>
                <w:color w:val="365F91" w:themeColor="accent1" w:themeShade="BF"/>
                <w:sz w:val="20"/>
                <w:szCs w:val="20"/>
                <w:highlight w:val="yellow"/>
                <w:lang w:val="ka-GE"/>
              </w:rPr>
              <w:t>antimicrobial resistance</w:t>
            </w:r>
            <w:r w:rsidRPr="00B10213">
              <w:rPr>
                <w:rFonts w:ascii="Sylfaen" w:hAnsi="Sylfaen"/>
                <w:color w:val="365F91" w:themeColor="accent1" w:themeShade="BF"/>
                <w:sz w:val="20"/>
                <w:szCs w:val="20"/>
                <w:highlight w:val="yellow"/>
                <w:lang w:val="en-US"/>
              </w:rPr>
              <w:t xml:space="preserve"> during the last few years in Georgia:</w:t>
            </w:r>
          </w:p>
          <w:p w:rsidR="00B10213" w:rsidRPr="00B10213" w:rsidRDefault="00B10213" w:rsidP="00B10213">
            <w:pPr>
              <w:spacing w:after="120"/>
              <w:jc w:val="both"/>
              <w:rPr>
                <w:rFonts w:ascii="Sylfaen" w:eastAsia="Times New Roman" w:hAnsi="Sylfaen"/>
                <w:color w:val="365F91" w:themeColor="accent1" w:themeShade="BF"/>
                <w:sz w:val="20"/>
                <w:szCs w:val="20"/>
                <w:highlight w:val="yellow"/>
                <w:lang w:val="en-US" w:eastAsia="ja-JP"/>
              </w:rPr>
            </w:pPr>
            <w:r w:rsidRPr="00B10213">
              <w:rPr>
                <w:rFonts w:ascii="Sylfaen" w:eastAsia="Times New Roman" w:hAnsi="Sylfaen"/>
                <w:color w:val="365F91" w:themeColor="accent1" w:themeShade="BF"/>
                <w:sz w:val="20"/>
                <w:szCs w:val="20"/>
                <w:highlight w:val="yellow"/>
                <w:lang w:val="en-US" w:eastAsia="ja-JP"/>
              </w:rPr>
              <w:lastRenderedPageBreak/>
              <w:t xml:space="preserve">The national AMR strategy plan in line with the One Health approach, developed by the national experts with the participation of the </w:t>
            </w:r>
            <w:r w:rsidRPr="00B10213">
              <w:rPr>
                <w:rFonts w:ascii="Sylfaen" w:eastAsia="Times New Roman" w:hAnsi="Sylfaen"/>
                <w:iCs/>
                <w:color w:val="365F91" w:themeColor="accent1" w:themeShade="BF"/>
                <w:sz w:val="20"/>
                <w:szCs w:val="20"/>
                <w:highlight w:val="yellow"/>
                <w:lang w:val="en-US" w:eastAsia="ja-JP"/>
              </w:rPr>
              <w:t>World Health Organization</w:t>
            </w:r>
            <w:r w:rsidRPr="00B10213">
              <w:rPr>
                <w:rFonts w:ascii="Sylfaen" w:eastAsia="Times New Roman" w:hAnsi="Sylfaen"/>
                <w:color w:val="365F91" w:themeColor="accent1" w:themeShade="BF"/>
                <w:sz w:val="20"/>
                <w:szCs w:val="20"/>
                <w:highlight w:val="yellow"/>
                <w:lang w:val="en-US" w:eastAsia="ja-JP"/>
              </w:rPr>
              <w:t xml:space="preserve"> (</w:t>
            </w:r>
            <w:r w:rsidRPr="00B10213">
              <w:rPr>
                <w:rFonts w:ascii="Sylfaen" w:eastAsia="Times New Roman" w:hAnsi="Sylfaen"/>
                <w:iCs/>
                <w:color w:val="365F91" w:themeColor="accent1" w:themeShade="BF"/>
                <w:sz w:val="20"/>
                <w:szCs w:val="20"/>
                <w:highlight w:val="yellow"/>
                <w:lang w:val="en-US" w:eastAsia="ja-JP"/>
              </w:rPr>
              <w:t>WHO</w:t>
            </w:r>
            <w:r w:rsidRPr="00B10213">
              <w:rPr>
                <w:rFonts w:ascii="Sylfaen" w:eastAsia="Times New Roman" w:hAnsi="Sylfaen"/>
                <w:color w:val="365F91" w:themeColor="accent1" w:themeShade="BF"/>
                <w:sz w:val="20"/>
                <w:szCs w:val="20"/>
                <w:highlight w:val="yellow"/>
                <w:lang w:val="en-US" w:eastAsia="ja-JP"/>
              </w:rPr>
              <w:t>) consultants and approved by Government of Georgia in January 11, 2017 and successfully implemented since then.</w:t>
            </w:r>
          </w:p>
          <w:p w:rsidR="00B10213" w:rsidRPr="00B10213" w:rsidRDefault="00B10213" w:rsidP="00B10213">
            <w:pPr>
              <w:spacing w:after="120"/>
              <w:jc w:val="both"/>
              <w:rPr>
                <w:rFonts w:ascii="Sylfaen" w:hAnsi="Sylfaen"/>
                <w:color w:val="365F91" w:themeColor="accent1" w:themeShade="BF"/>
                <w:sz w:val="20"/>
                <w:szCs w:val="20"/>
                <w:highlight w:val="yellow"/>
                <w:lang w:val="en-US"/>
              </w:rPr>
            </w:pPr>
            <w:r w:rsidRPr="00B10213">
              <w:rPr>
                <w:rFonts w:ascii="Sylfaen" w:hAnsi="Sylfaen"/>
                <w:color w:val="365F91" w:themeColor="accent1" w:themeShade="BF"/>
                <w:sz w:val="20"/>
                <w:szCs w:val="20"/>
                <w:highlight w:val="yellow"/>
                <w:lang w:val="en-US"/>
              </w:rPr>
              <w:t xml:space="preserve">The national antimicrobial resistance committee held regular meetings to discuss progress on </w:t>
            </w:r>
            <w:r w:rsidRPr="00B10213">
              <w:rPr>
                <w:rFonts w:ascii="Sylfaen" w:eastAsia="Times New Roman" w:hAnsi="Sylfaen"/>
                <w:color w:val="365F91" w:themeColor="accent1" w:themeShade="BF"/>
                <w:sz w:val="20"/>
                <w:szCs w:val="20"/>
                <w:highlight w:val="yellow"/>
                <w:lang w:val="en-US" w:eastAsia="ja-JP"/>
              </w:rPr>
              <w:t xml:space="preserve">national AMR strategy plan </w:t>
            </w:r>
            <w:r w:rsidRPr="00B10213">
              <w:rPr>
                <w:rFonts w:ascii="Sylfaen" w:hAnsi="Sylfaen"/>
                <w:color w:val="365F91" w:themeColor="accent1" w:themeShade="BF"/>
                <w:sz w:val="20"/>
                <w:szCs w:val="20"/>
                <w:highlight w:val="yellow"/>
                <w:lang w:val="en-US"/>
              </w:rPr>
              <w:t xml:space="preserve">implementations; had been establishes three sub-committees – microbiology, epidemiology and infectious disease directions. </w:t>
            </w:r>
          </w:p>
          <w:p w:rsidR="00B10213" w:rsidRPr="00B10213" w:rsidRDefault="00B10213" w:rsidP="00B10213">
            <w:pPr>
              <w:spacing w:after="120"/>
              <w:jc w:val="both"/>
              <w:rPr>
                <w:rFonts w:ascii="Sylfaen" w:hAnsi="Sylfaen"/>
                <w:color w:val="365F91" w:themeColor="accent1" w:themeShade="BF"/>
                <w:sz w:val="20"/>
                <w:szCs w:val="20"/>
                <w:highlight w:val="yellow"/>
                <w:lang w:val="ka-GE"/>
              </w:rPr>
            </w:pPr>
            <w:r w:rsidRPr="00B10213">
              <w:rPr>
                <w:rFonts w:ascii="Sylfaen" w:hAnsi="Sylfaen"/>
                <w:color w:val="365F91" w:themeColor="accent1" w:themeShade="BF"/>
                <w:sz w:val="20"/>
                <w:szCs w:val="20"/>
                <w:highlight w:val="yellow"/>
                <w:lang w:val="en-US"/>
              </w:rPr>
              <w:t>The legislation on infection prevention and control (IPC)-related issues has been renewed.</w:t>
            </w:r>
          </w:p>
          <w:p w:rsidR="00B10213" w:rsidRPr="00B10213" w:rsidRDefault="00B10213" w:rsidP="00B10213">
            <w:pPr>
              <w:spacing w:after="120"/>
              <w:jc w:val="both"/>
              <w:rPr>
                <w:rFonts w:ascii="Sylfaen" w:hAnsi="Sylfaen" w:cs="Sylfaen"/>
                <w:color w:val="365F91" w:themeColor="accent1" w:themeShade="BF"/>
                <w:sz w:val="20"/>
                <w:szCs w:val="20"/>
                <w:highlight w:val="yellow"/>
                <w:lang w:val="ka-GE" w:eastAsia="ka-GE"/>
              </w:rPr>
            </w:pPr>
            <w:r w:rsidRPr="00B10213">
              <w:rPr>
                <w:rFonts w:ascii="Sylfaen" w:hAnsi="Sylfaen" w:cs="Sylfaen"/>
                <w:color w:val="365F91" w:themeColor="accent1" w:themeShade="BF"/>
                <w:sz w:val="20"/>
                <w:szCs w:val="20"/>
                <w:highlight w:val="yellow"/>
                <w:lang w:val="en-US" w:eastAsia="ka-GE"/>
              </w:rPr>
              <w:t xml:space="preserve">Georgia is continuing successful cooperation with the </w:t>
            </w:r>
            <w:r w:rsidRPr="00B10213">
              <w:rPr>
                <w:rFonts w:ascii="Sylfaen" w:hAnsi="Sylfaen"/>
                <w:color w:val="365F91" w:themeColor="accent1" w:themeShade="BF"/>
                <w:sz w:val="20"/>
                <w:szCs w:val="20"/>
                <w:highlight w:val="yellow"/>
              </w:rPr>
              <w:t>the Global Antimicrobial Resistance Surveillance System (</w:t>
            </w:r>
            <w:r w:rsidRPr="00B10213">
              <w:rPr>
                <w:rFonts w:ascii="Sylfaen" w:hAnsi="Sylfaen" w:cs="Sylfaen"/>
                <w:color w:val="365F91" w:themeColor="accent1" w:themeShade="BF"/>
                <w:sz w:val="20"/>
                <w:szCs w:val="20"/>
                <w:highlight w:val="yellow"/>
                <w:lang w:val="en-US" w:eastAsia="ka-GE"/>
              </w:rPr>
              <w:t>GLASS), the Central Asian and Eastern European Surveillance of Antimicrobial Resistance (CAESAR) and Baltic Antibiotic Resistance Collaborative Network (BARN)</w:t>
            </w:r>
          </w:p>
          <w:p w:rsidR="00B10213" w:rsidRPr="00B10213" w:rsidRDefault="00B10213" w:rsidP="00B10213">
            <w:pPr>
              <w:spacing w:after="120"/>
              <w:jc w:val="both"/>
              <w:rPr>
                <w:rFonts w:ascii="Sylfaen" w:hAnsi="Sylfaen" w:cs="Sylfaen"/>
                <w:color w:val="365F91" w:themeColor="accent1" w:themeShade="BF"/>
                <w:sz w:val="20"/>
                <w:szCs w:val="20"/>
                <w:highlight w:val="yellow"/>
                <w:lang w:eastAsia="ka-GE"/>
              </w:rPr>
            </w:pPr>
            <w:r w:rsidRPr="00B10213">
              <w:rPr>
                <w:rFonts w:ascii="Sylfaen" w:hAnsi="Sylfaen" w:cs="Sylfaen"/>
                <w:color w:val="365F91" w:themeColor="accent1" w:themeShade="BF"/>
                <w:sz w:val="20"/>
                <w:szCs w:val="20"/>
                <w:highlight w:val="yellow"/>
                <w:lang w:eastAsia="ka-GE"/>
              </w:rPr>
              <w:t xml:space="preserve">National Microbiology Laboratory Network has been extended (which now includes 23 laboratories)  led by R. </w:t>
            </w:r>
            <w:r w:rsidRPr="00B10213">
              <w:rPr>
                <w:rFonts w:ascii="Sylfaen" w:hAnsi="Sylfaen" w:cs="Sylfaen"/>
                <w:iCs/>
                <w:color w:val="365F91" w:themeColor="accent1" w:themeShade="BF"/>
                <w:sz w:val="20"/>
                <w:szCs w:val="20"/>
                <w:highlight w:val="yellow"/>
                <w:lang w:eastAsia="ka-GE"/>
              </w:rPr>
              <w:t xml:space="preserve">Lugar </w:t>
            </w:r>
            <w:proofErr w:type="spellStart"/>
            <w:r w:rsidRPr="00B10213">
              <w:rPr>
                <w:rFonts w:ascii="Sylfaen" w:hAnsi="Sylfaen" w:cs="Sylfaen"/>
                <w:iCs/>
                <w:color w:val="365F91" w:themeColor="accent1" w:themeShade="BF"/>
                <w:sz w:val="20"/>
                <w:szCs w:val="20"/>
                <w:highlight w:val="yellow"/>
                <w:lang w:eastAsia="ka-GE"/>
              </w:rPr>
              <w:t>Center</w:t>
            </w:r>
            <w:proofErr w:type="spellEnd"/>
            <w:r w:rsidRPr="00B10213">
              <w:rPr>
                <w:rFonts w:ascii="Sylfaen" w:hAnsi="Sylfaen" w:cs="Sylfaen"/>
                <w:color w:val="365F91" w:themeColor="accent1" w:themeShade="BF"/>
                <w:sz w:val="20"/>
                <w:szCs w:val="20"/>
                <w:highlight w:val="yellow"/>
                <w:lang w:eastAsia="ka-GE"/>
              </w:rPr>
              <w:t xml:space="preserve"> for Public Health Research, National </w:t>
            </w:r>
            <w:proofErr w:type="spellStart"/>
            <w:r w:rsidRPr="00B10213">
              <w:rPr>
                <w:rFonts w:ascii="Sylfaen" w:hAnsi="Sylfaen" w:cs="Sylfaen"/>
                <w:color w:val="365F91" w:themeColor="accent1" w:themeShade="BF"/>
                <w:sz w:val="20"/>
                <w:szCs w:val="20"/>
                <w:highlight w:val="yellow"/>
                <w:lang w:eastAsia="ka-GE"/>
              </w:rPr>
              <w:t>Center</w:t>
            </w:r>
            <w:proofErr w:type="spellEnd"/>
            <w:r w:rsidRPr="00B10213">
              <w:rPr>
                <w:rFonts w:ascii="Sylfaen" w:hAnsi="Sylfaen" w:cs="Sylfaen"/>
                <w:color w:val="365F91" w:themeColor="accent1" w:themeShade="BF"/>
                <w:sz w:val="20"/>
                <w:szCs w:val="20"/>
                <w:highlight w:val="yellow"/>
                <w:lang w:eastAsia="ka-GE"/>
              </w:rPr>
              <w:t xml:space="preserve"> for Disease Control and Public Health (NCDC). National External Quality Assessment (EQA) Program “”GEOMICQUA” has been established on the bases of Lugar </w:t>
            </w:r>
            <w:proofErr w:type="spellStart"/>
            <w:r w:rsidRPr="00B10213">
              <w:rPr>
                <w:rFonts w:ascii="Sylfaen" w:hAnsi="Sylfaen" w:cs="Sylfaen"/>
                <w:color w:val="365F91" w:themeColor="accent1" w:themeShade="BF"/>
                <w:sz w:val="20"/>
                <w:szCs w:val="20"/>
                <w:highlight w:val="yellow"/>
                <w:lang w:eastAsia="ka-GE"/>
              </w:rPr>
              <w:t>Center</w:t>
            </w:r>
            <w:proofErr w:type="spellEnd"/>
            <w:r w:rsidRPr="00B10213">
              <w:rPr>
                <w:rFonts w:ascii="Sylfaen" w:hAnsi="Sylfaen" w:cs="Sylfaen"/>
                <w:color w:val="365F91" w:themeColor="accent1" w:themeShade="BF"/>
                <w:sz w:val="20"/>
                <w:szCs w:val="20"/>
                <w:highlight w:val="yellow"/>
                <w:lang w:eastAsia="ka-GE"/>
              </w:rPr>
              <w:t>, NCDC and provides PT panels for Bacteriology and AST 4 times a year across the country.</w:t>
            </w:r>
          </w:p>
          <w:p w:rsidR="00B10213" w:rsidRPr="00B10213" w:rsidRDefault="00B10213" w:rsidP="00B10213">
            <w:pPr>
              <w:spacing w:after="120"/>
              <w:jc w:val="both"/>
              <w:rPr>
                <w:rFonts w:ascii="Sylfaen" w:hAnsi="Sylfaen" w:cs="Sylfaen"/>
                <w:color w:val="365F91" w:themeColor="accent1" w:themeShade="BF"/>
                <w:sz w:val="20"/>
                <w:szCs w:val="20"/>
                <w:highlight w:val="yellow"/>
                <w:lang w:val="ka-GE" w:eastAsia="ka-GE"/>
              </w:rPr>
            </w:pPr>
            <w:r w:rsidRPr="00B10213">
              <w:rPr>
                <w:rFonts w:ascii="Sylfaen" w:hAnsi="Sylfaen" w:cs="Sylfaen"/>
                <w:color w:val="365F91" w:themeColor="accent1" w:themeShade="BF"/>
                <w:sz w:val="20"/>
                <w:szCs w:val="20"/>
                <w:highlight w:val="yellow"/>
                <w:lang w:val="en-US" w:eastAsia="ka-GE"/>
              </w:rPr>
              <w:t>The European Committee on Antimicrobial Susceptibility Testing (EUCAST) standards were implemented and extended in microbiology laboratories.</w:t>
            </w:r>
          </w:p>
          <w:p w:rsidR="00B10213" w:rsidRPr="00B10213" w:rsidRDefault="00B10213" w:rsidP="00B10213">
            <w:pPr>
              <w:spacing w:after="120"/>
              <w:jc w:val="both"/>
              <w:rPr>
                <w:rFonts w:ascii="Sylfaen" w:eastAsia="Times New Roman" w:hAnsi="Sylfaen" w:cs="Sylfaen"/>
                <w:color w:val="365F91" w:themeColor="accent1" w:themeShade="BF"/>
                <w:sz w:val="20"/>
                <w:szCs w:val="20"/>
                <w:highlight w:val="yellow"/>
                <w:lang w:eastAsia="ka-GE"/>
              </w:rPr>
            </w:pPr>
            <w:r w:rsidRPr="00B10213">
              <w:rPr>
                <w:rFonts w:ascii="Sylfaen" w:eastAsia="Times New Roman" w:hAnsi="Sylfaen" w:cs="Sylfaen"/>
                <w:color w:val="365F91" w:themeColor="accent1" w:themeShade="BF"/>
                <w:sz w:val="20"/>
                <w:szCs w:val="20"/>
                <w:highlight w:val="yellow"/>
                <w:lang w:eastAsia="ka-GE"/>
              </w:rPr>
              <w:t xml:space="preserve">National AMR reference laboratory capacity at Lugar </w:t>
            </w:r>
            <w:proofErr w:type="spellStart"/>
            <w:r w:rsidRPr="00B10213">
              <w:rPr>
                <w:rFonts w:ascii="Sylfaen" w:eastAsia="Times New Roman" w:hAnsi="Sylfaen" w:cs="Sylfaen"/>
                <w:color w:val="365F91" w:themeColor="accent1" w:themeShade="BF"/>
                <w:sz w:val="20"/>
                <w:szCs w:val="20"/>
                <w:highlight w:val="yellow"/>
                <w:lang w:eastAsia="ka-GE"/>
              </w:rPr>
              <w:t>Center</w:t>
            </w:r>
            <w:proofErr w:type="spellEnd"/>
            <w:r w:rsidRPr="00B10213">
              <w:rPr>
                <w:rFonts w:ascii="Sylfaen" w:eastAsia="Times New Roman" w:hAnsi="Sylfaen" w:cs="Sylfaen"/>
                <w:color w:val="365F91" w:themeColor="accent1" w:themeShade="BF"/>
                <w:sz w:val="20"/>
                <w:szCs w:val="20"/>
                <w:highlight w:val="yellow"/>
                <w:lang w:eastAsia="ka-GE"/>
              </w:rPr>
              <w:t xml:space="preserve"> has been strengthened in terms of </w:t>
            </w:r>
            <w:r w:rsidRPr="00B10213">
              <w:rPr>
                <w:rFonts w:ascii="Sylfaen" w:hAnsi="Sylfaen"/>
                <w:bCs/>
                <w:color w:val="365F91" w:themeColor="accent1" w:themeShade="BF"/>
                <w:sz w:val="20"/>
                <w:szCs w:val="20"/>
                <w:highlight w:val="yellow"/>
                <w:lang w:val="ka-GE"/>
              </w:rPr>
              <w:t>antimicrobial resistance</w:t>
            </w:r>
            <w:r w:rsidRPr="00B10213">
              <w:rPr>
                <w:rFonts w:ascii="Sylfaen" w:eastAsia="Times New Roman" w:hAnsi="Sylfaen" w:cs="Sylfaen"/>
                <w:color w:val="365F91" w:themeColor="accent1" w:themeShade="BF"/>
                <w:sz w:val="20"/>
                <w:szCs w:val="20"/>
                <w:highlight w:val="yellow"/>
                <w:lang w:eastAsia="ka-GE"/>
              </w:rPr>
              <w:t xml:space="preserve"> surveillance capability and implemented phenotypic and molecular confirmatory tools of AMR mechanism. </w:t>
            </w:r>
          </w:p>
          <w:p w:rsidR="00B10213" w:rsidRPr="00B10213" w:rsidRDefault="00B10213" w:rsidP="00B10213">
            <w:pPr>
              <w:spacing w:after="120"/>
              <w:jc w:val="both"/>
              <w:rPr>
                <w:rFonts w:ascii="Sylfaen" w:eastAsia="Times New Roman" w:hAnsi="Sylfaen" w:cs="Sylfaen"/>
                <w:color w:val="365F91" w:themeColor="accent1" w:themeShade="BF"/>
                <w:sz w:val="20"/>
                <w:szCs w:val="20"/>
                <w:highlight w:val="yellow"/>
                <w:lang w:eastAsia="ka-GE"/>
              </w:rPr>
            </w:pPr>
            <w:r w:rsidRPr="00B10213">
              <w:rPr>
                <w:rFonts w:ascii="Sylfaen" w:eastAsia="Times New Roman" w:hAnsi="Sylfaen" w:cs="Sylfaen"/>
                <w:color w:val="365F91" w:themeColor="accent1" w:themeShade="BF"/>
                <w:sz w:val="20"/>
                <w:szCs w:val="20"/>
                <w:highlight w:val="yellow"/>
                <w:lang w:eastAsia="ka-GE"/>
              </w:rPr>
              <w:t xml:space="preserve">Since 2016 Georgian AMR data is shared to the Central Asian and Eastern European Surveillance of Antimicrobial </w:t>
            </w:r>
            <w:r w:rsidRPr="00B10213">
              <w:rPr>
                <w:rFonts w:ascii="Sylfaen" w:eastAsia="Times New Roman" w:hAnsi="Sylfaen" w:cs="Sylfaen"/>
                <w:iCs/>
                <w:color w:val="365F91" w:themeColor="accent1" w:themeShade="BF"/>
                <w:sz w:val="20"/>
                <w:szCs w:val="20"/>
                <w:highlight w:val="yellow"/>
                <w:lang w:eastAsia="ka-GE"/>
              </w:rPr>
              <w:t>Resistance</w:t>
            </w:r>
            <w:r w:rsidRPr="00B10213">
              <w:rPr>
                <w:rFonts w:ascii="Sylfaen" w:eastAsia="Times New Roman" w:hAnsi="Sylfaen" w:cs="Sylfaen"/>
                <w:color w:val="365F91" w:themeColor="accent1" w:themeShade="BF"/>
                <w:sz w:val="20"/>
                <w:szCs w:val="20"/>
                <w:highlight w:val="yellow"/>
                <w:lang w:eastAsia="ka-GE"/>
              </w:rPr>
              <w:t xml:space="preserve"> (CAESAR) and Global Antimicrobial </w:t>
            </w:r>
            <w:r w:rsidRPr="00B10213">
              <w:rPr>
                <w:rFonts w:ascii="Sylfaen" w:eastAsia="Times New Roman" w:hAnsi="Sylfaen" w:cs="Sylfaen"/>
                <w:iCs/>
                <w:color w:val="365F91" w:themeColor="accent1" w:themeShade="BF"/>
                <w:sz w:val="20"/>
                <w:szCs w:val="20"/>
                <w:highlight w:val="yellow"/>
                <w:lang w:eastAsia="ka-GE"/>
              </w:rPr>
              <w:t>Resistance</w:t>
            </w:r>
            <w:r w:rsidRPr="00B10213">
              <w:rPr>
                <w:rFonts w:ascii="Sylfaen" w:eastAsia="Times New Roman" w:hAnsi="Sylfaen" w:cs="Sylfaen"/>
                <w:color w:val="365F91" w:themeColor="accent1" w:themeShade="BF"/>
                <w:sz w:val="20"/>
                <w:szCs w:val="20"/>
                <w:highlight w:val="yellow"/>
                <w:lang w:eastAsia="ka-GE"/>
              </w:rPr>
              <w:t xml:space="preserve"> Surveillance System (GLASS). </w:t>
            </w:r>
          </w:p>
          <w:p w:rsidR="00B10213" w:rsidRPr="00B10213" w:rsidRDefault="00B10213" w:rsidP="00B10213">
            <w:pPr>
              <w:spacing w:after="120"/>
              <w:jc w:val="both"/>
              <w:rPr>
                <w:rFonts w:ascii="Sylfaen" w:eastAsia="Times New Roman" w:hAnsi="Sylfaen" w:cs="Sylfaen"/>
                <w:color w:val="365F91" w:themeColor="accent1" w:themeShade="BF"/>
                <w:sz w:val="20"/>
                <w:szCs w:val="20"/>
                <w:highlight w:val="yellow"/>
                <w:lang w:eastAsia="ka-GE"/>
              </w:rPr>
            </w:pPr>
            <w:r w:rsidRPr="00B10213">
              <w:rPr>
                <w:rFonts w:ascii="Sylfaen" w:eastAsia="Times New Roman" w:hAnsi="Sylfaen" w:cs="Sylfaen"/>
                <w:color w:val="365F91" w:themeColor="accent1" w:themeShade="BF"/>
                <w:sz w:val="20"/>
                <w:szCs w:val="20"/>
                <w:highlight w:val="yellow"/>
                <w:lang w:eastAsia="ka-GE"/>
              </w:rPr>
              <w:t xml:space="preserve">Since 2014, 14 different laboratories including NCDC are involved in WHO EQA AMR network. </w:t>
            </w:r>
          </w:p>
          <w:p w:rsidR="00B10213" w:rsidRPr="00B10213" w:rsidRDefault="00B10213" w:rsidP="00B10213">
            <w:pPr>
              <w:spacing w:after="120"/>
              <w:jc w:val="both"/>
              <w:rPr>
                <w:rFonts w:ascii="Sylfaen" w:hAnsi="Sylfaen"/>
                <w:bCs/>
                <w:color w:val="365F91" w:themeColor="accent1" w:themeShade="BF"/>
                <w:sz w:val="20"/>
                <w:szCs w:val="20"/>
                <w:highlight w:val="yellow"/>
                <w:lang w:val="en-US"/>
              </w:rPr>
            </w:pPr>
            <w:r w:rsidRPr="00B10213">
              <w:rPr>
                <w:rFonts w:ascii="Sylfaen" w:hAnsi="Sylfaen"/>
                <w:bCs/>
                <w:color w:val="365F91" w:themeColor="accent1" w:themeShade="BF"/>
                <w:sz w:val="20"/>
                <w:szCs w:val="20"/>
                <w:highlight w:val="yellow"/>
              </w:rPr>
              <w:t>Point Prevalence Survey (PPS) on antibiotic usage and antimicrobial resistance was conducted in 14 intensive care units (ICU) of the 10 hospitals</w:t>
            </w:r>
            <w:r w:rsidRPr="00B10213">
              <w:rPr>
                <w:rFonts w:ascii="Sylfaen" w:hAnsi="Sylfaen"/>
                <w:bCs/>
                <w:color w:val="365F91" w:themeColor="accent1" w:themeShade="BF"/>
                <w:sz w:val="20"/>
                <w:szCs w:val="20"/>
                <w:highlight w:val="yellow"/>
                <w:lang w:val="ka-GE"/>
              </w:rPr>
              <w:t xml:space="preserve"> </w:t>
            </w:r>
            <w:r w:rsidRPr="00B10213">
              <w:rPr>
                <w:rFonts w:ascii="Sylfaen" w:hAnsi="Sylfaen"/>
                <w:bCs/>
                <w:color w:val="365F91" w:themeColor="accent1" w:themeShade="BF"/>
                <w:sz w:val="20"/>
                <w:szCs w:val="20"/>
                <w:highlight w:val="yellow"/>
                <w:lang w:val="en-US"/>
              </w:rPr>
              <w:t>across the country.</w:t>
            </w:r>
          </w:p>
          <w:p w:rsidR="00B10213" w:rsidRPr="00B10213" w:rsidRDefault="00B10213" w:rsidP="00B10213">
            <w:pPr>
              <w:spacing w:after="120"/>
              <w:jc w:val="both"/>
              <w:rPr>
                <w:rFonts w:ascii="Sylfaen" w:hAnsi="Sylfaen" w:cs="Sylfaen"/>
                <w:color w:val="365F91" w:themeColor="accent1" w:themeShade="BF"/>
                <w:sz w:val="20"/>
                <w:szCs w:val="20"/>
                <w:highlight w:val="yellow"/>
                <w:lang w:val="en-US" w:eastAsia="ka-GE"/>
              </w:rPr>
            </w:pPr>
            <w:r w:rsidRPr="00B10213">
              <w:rPr>
                <w:rFonts w:ascii="Sylfaen" w:hAnsi="Sylfaen"/>
                <w:bCs/>
                <w:color w:val="365F91" w:themeColor="accent1" w:themeShade="BF"/>
                <w:sz w:val="20"/>
                <w:szCs w:val="20"/>
                <w:highlight w:val="yellow"/>
                <w:lang w:val="ka-GE"/>
              </w:rPr>
              <w:t xml:space="preserve"> </w:t>
            </w:r>
            <w:r w:rsidRPr="00B10213">
              <w:rPr>
                <w:rFonts w:ascii="Sylfaen" w:hAnsi="Sylfaen" w:cs="Sylfaen"/>
                <w:color w:val="365F91" w:themeColor="accent1" w:themeShade="BF"/>
                <w:sz w:val="20"/>
                <w:szCs w:val="20"/>
                <w:highlight w:val="yellow"/>
                <w:lang w:val="en-US" w:eastAsia="ka-GE"/>
              </w:rPr>
              <w:t>Postgraduate training module on infection prevention and control (IPC) have been elaborated.</w:t>
            </w:r>
          </w:p>
          <w:p w:rsidR="00B10213" w:rsidRPr="00B10213" w:rsidRDefault="00B10213" w:rsidP="00B10213">
            <w:pPr>
              <w:spacing w:after="120"/>
              <w:jc w:val="both"/>
              <w:rPr>
                <w:rFonts w:ascii="Sylfaen" w:hAnsi="Sylfaen" w:cs="Sylfaen"/>
                <w:color w:val="365F91" w:themeColor="accent1" w:themeShade="BF"/>
                <w:sz w:val="20"/>
                <w:szCs w:val="20"/>
                <w:highlight w:val="yellow"/>
                <w:lang w:val="en-US" w:eastAsia="ka-GE"/>
              </w:rPr>
            </w:pPr>
            <w:r w:rsidRPr="00B10213">
              <w:rPr>
                <w:rFonts w:ascii="Sylfaen" w:hAnsi="Sylfaen" w:cs="Sylfaen"/>
                <w:color w:val="365F91" w:themeColor="accent1" w:themeShade="BF"/>
                <w:sz w:val="20"/>
                <w:szCs w:val="20"/>
                <w:highlight w:val="yellow"/>
                <w:lang w:val="en-US" w:eastAsia="ka-GE"/>
              </w:rPr>
              <w:t>The national guideline on IPC was developed. </w:t>
            </w:r>
          </w:p>
          <w:p w:rsidR="00B10213" w:rsidRPr="00B10213" w:rsidRDefault="00B10213" w:rsidP="00B10213">
            <w:pPr>
              <w:spacing w:after="120"/>
              <w:jc w:val="both"/>
              <w:rPr>
                <w:rFonts w:ascii="Sylfaen" w:eastAsia="Times New Roman" w:hAnsi="Sylfaen" w:cs="Sylfaen"/>
                <w:color w:val="365F91" w:themeColor="accent1" w:themeShade="BF"/>
                <w:sz w:val="20"/>
                <w:szCs w:val="20"/>
                <w:highlight w:val="yellow"/>
                <w:lang w:val="en-US" w:eastAsia="ka-GE"/>
              </w:rPr>
            </w:pPr>
            <w:r w:rsidRPr="00B10213">
              <w:rPr>
                <w:rFonts w:ascii="Sylfaen" w:eastAsia="Times New Roman" w:hAnsi="Sylfaen" w:cs="Sylfaen"/>
                <w:color w:val="365F91" w:themeColor="accent1" w:themeShade="BF"/>
                <w:sz w:val="20"/>
                <w:szCs w:val="20"/>
                <w:highlight w:val="yellow"/>
                <w:lang w:val="en-US" w:eastAsia="ka-GE"/>
              </w:rPr>
              <w:t>The Sanford Guide to Antimicrobial Therapy (2018) has been translated and published into Georgian language.</w:t>
            </w:r>
          </w:p>
          <w:p w:rsidR="00B10213" w:rsidRPr="00B10213" w:rsidRDefault="00B10213" w:rsidP="00B10213">
            <w:pPr>
              <w:spacing w:after="120"/>
              <w:jc w:val="both"/>
              <w:rPr>
                <w:color w:val="365F91" w:themeColor="accent1" w:themeShade="BF"/>
                <w:sz w:val="20"/>
                <w:szCs w:val="20"/>
                <w:lang w:val="ka-GE"/>
              </w:rPr>
            </w:pPr>
            <w:r w:rsidRPr="00B10213">
              <w:rPr>
                <w:rFonts w:ascii="Sylfaen" w:hAnsi="Sylfaen"/>
                <w:color w:val="365F91" w:themeColor="accent1" w:themeShade="BF"/>
                <w:sz w:val="20"/>
                <w:szCs w:val="20"/>
                <w:highlight w:val="yellow"/>
              </w:rPr>
              <w:t xml:space="preserve">Informative meeting were conducted with private and state veterinarians regarding awareness of rational use of antimicrobials. Based on governmental decree # 22 residue monitoring was conducted in live animals (farm level) and products of animal origin (food chain). On farm level 775 samples out of 315 animals and in food chain level </w:t>
            </w:r>
            <w:r w:rsidRPr="00B10213">
              <w:rPr>
                <w:rFonts w:ascii="Sylfaen" w:hAnsi="Sylfaen"/>
                <w:color w:val="365F91" w:themeColor="accent1" w:themeShade="BF"/>
                <w:sz w:val="20"/>
                <w:szCs w:val="20"/>
                <w:highlight w:val="yellow"/>
                <w:lang w:val="ka-GE"/>
              </w:rPr>
              <w:t>1459</w:t>
            </w:r>
            <w:r w:rsidRPr="00B10213">
              <w:rPr>
                <w:rFonts w:ascii="Sylfaen" w:hAnsi="Sylfaen"/>
                <w:color w:val="365F91" w:themeColor="accent1" w:themeShade="BF"/>
                <w:sz w:val="20"/>
                <w:szCs w:val="20"/>
                <w:highlight w:val="yellow"/>
              </w:rPr>
              <w:t xml:space="preserve"> samples were tested for presence of residue. Legislation changes were conducted in governmental decree 327 for cancelation of state registration of Veterinary Medicinal Products forbidden to use in farm animals. Veterinary AMR Strategy under One Health AMR strategy was d</w:t>
            </w:r>
            <w:r w:rsidR="0026119F">
              <w:rPr>
                <w:rFonts w:ascii="Sylfaen" w:hAnsi="Sylfaen"/>
                <w:color w:val="365F91" w:themeColor="accent1" w:themeShade="BF"/>
                <w:sz w:val="20"/>
                <w:szCs w:val="20"/>
                <w:highlight w:val="yellow"/>
              </w:rPr>
              <w:t>eveloped</w:t>
            </w:r>
            <w:r w:rsidRPr="00B10213">
              <w:rPr>
                <w:rFonts w:ascii="Sylfaen" w:hAnsi="Sylfaen"/>
                <w:color w:val="365F91" w:themeColor="accent1" w:themeShade="BF"/>
                <w:sz w:val="20"/>
                <w:szCs w:val="20"/>
                <w:highlight w:val="yellow"/>
              </w:rPr>
              <w:t>.</w:t>
            </w:r>
          </w:p>
          <w:p w:rsidR="006512F3" w:rsidRPr="00B10213" w:rsidRDefault="006512F3" w:rsidP="00125A31">
            <w:pPr>
              <w:jc w:val="both"/>
              <w:rPr>
                <w:rFonts w:ascii="Sylfaen" w:hAnsi="Sylfaen" w:cs="Sylfaen"/>
                <w:color w:val="17365D" w:themeColor="text2" w:themeShade="BF"/>
                <w:sz w:val="20"/>
                <w:szCs w:val="20"/>
                <w:lang w:val="ka-GE" w:eastAsia="ka-GE"/>
              </w:rPr>
            </w:pPr>
          </w:p>
          <w:p w:rsidR="006512F3" w:rsidRPr="00D85273" w:rsidRDefault="006512F3" w:rsidP="0016267E">
            <w:pPr>
              <w:pStyle w:val="a3"/>
              <w:numPr>
                <w:ilvl w:val="0"/>
                <w:numId w:val="11"/>
              </w:numPr>
              <w:autoSpaceDE w:val="0"/>
              <w:autoSpaceDN w:val="0"/>
              <w:adjustRightInd w:val="0"/>
              <w:rPr>
                <w:rFonts w:ascii="Sylfaen" w:hAnsi="Sylfaen"/>
                <w:b/>
                <w:bCs/>
                <w:i/>
                <w:iCs/>
                <w:color w:val="17365D" w:themeColor="text2" w:themeShade="BF"/>
                <w:sz w:val="20"/>
                <w:szCs w:val="20"/>
              </w:rPr>
            </w:pPr>
            <w:r w:rsidRPr="007A5967">
              <w:rPr>
                <w:rFonts w:ascii="Sylfaen" w:hAnsi="Sylfaen"/>
                <w:color w:val="17365D" w:themeColor="text2" w:themeShade="BF"/>
                <w:sz w:val="20"/>
                <w:szCs w:val="20"/>
                <w:highlight w:val="yellow"/>
              </w:rPr>
              <w:t xml:space="preserve">Strengthening Blood Safety </w:t>
            </w:r>
            <w:r w:rsidRPr="00D85273">
              <w:rPr>
                <w:rFonts w:ascii="Sylfaen" w:hAnsi="Sylfaen"/>
                <w:color w:val="17365D" w:themeColor="text2" w:themeShade="BF"/>
                <w:sz w:val="20"/>
                <w:szCs w:val="20"/>
              </w:rPr>
              <w:t>and organ transplantation System in Georgia</w:t>
            </w:r>
          </w:p>
          <w:p w:rsidR="00871D83" w:rsidRPr="007A5967" w:rsidRDefault="006512F3" w:rsidP="00871D83">
            <w:pPr>
              <w:jc w:val="both"/>
              <w:rPr>
                <w:rFonts w:ascii="Sylfaen" w:eastAsia="Times New Roman" w:hAnsi="Sylfaen" w:cs="Sylfaen"/>
                <w:color w:val="17365D" w:themeColor="text2" w:themeShade="BF"/>
                <w:sz w:val="20"/>
                <w:szCs w:val="20"/>
                <w:highlight w:val="yellow"/>
                <w:lang w:eastAsia="ka-GE"/>
              </w:rPr>
            </w:pPr>
            <w:r w:rsidRPr="007A5967">
              <w:rPr>
                <w:rFonts w:ascii="Sylfaen" w:hAnsi="Sylfaen"/>
                <w:color w:val="17365D" w:themeColor="text2" w:themeShade="BF"/>
                <w:sz w:val="20"/>
                <w:szCs w:val="20"/>
                <w:highlight w:val="yellow"/>
              </w:rPr>
              <w:t>1.</w:t>
            </w:r>
            <w:r w:rsidR="00871D83" w:rsidRPr="007A5967">
              <w:rPr>
                <w:rFonts w:ascii="Sylfaen" w:hAnsi="Sylfaen"/>
                <w:color w:val="17365D" w:themeColor="text2" w:themeShade="BF"/>
                <w:sz w:val="20"/>
                <w:szCs w:val="20"/>
                <w:highlight w:val="yellow"/>
              </w:rPr>
              <w:t xml:space="preserve"> </w:t>
            </w:r>
            <w:r w:rsidR="00871D83" w:rsidRPr="007A5967">
              <w:rPr>
                <w:rFonts w:ascii="Sylfaen" w:eastAsia="Times New Roman" w:hAnsi="Sylfaen" w:cs="Sylfaen"/>
                <w:color w:val="17365D" w:themeColor="text2" w:themeShade="BF"/>
                <w:sz w:val="20"/>
                <w:szCs w:val="20"/>
                <w:highlight w:val="yellow"/>
                <w:lang w:eastAsia="ka-GE"/>
              </w:rPr>
              <w:t xml:space="preserve">During June 2018 an expert mission was organized by the European Commission’s Technical Assistance and Information Exchange Instrument ((TAIEX). The purpose of the mission was to assist Georgia in harmonizing national blood safety regulations with EU </w:t>
            </w:r>
            <w:r w:rsidR="00871D83" w:rsidRPr="007A5967">
              <w:rPr>
                <w:rFonts w:ascii="Sylfaen" w:eastAsia="Times New Roman" w:hAnsi="Sylfaen" w:cs="Sylfaen"/>
                <w:color w:val="17365D" w:themeColor="text2" w:themeShade="BF"/>
                <w:sz w:val="20"/>
                <w:szCs w:val="20"/>
                <w:highlight w:val="yellow"/>
                <w:lang w:eastAsia="ka-GE"/>
              </w:rPr>
              <w:lastRenderedPageBreak/>
              <w:t>directives (2002/98/EC, 2004/33/EC, 2005/61/EC, 2005/62/EC), and to share information on statutory models and best practices of the Blood Transfusion Service (BTS) in EU countries.</w:t>
            </w:r>
          </w:p>
          <w:p w:rsidR="00871D83" w:rsidRPr="007A5967" w:rsidRDefault="00871D83" w:rsidP="00871D83">
            <w:pPr>
              <w:jc w:val="both"/>
              <w:rPr>
                <w:rFonts w:ascii="Sylfaen" w:eastAsia="Times New Roman" w:hAnsi="Sylfaen" w:cs="Sylfaen"/>
                <w:color w:val="17365D" w:themeColor="text2" w:themeShade="BF"/>
                <w:sz w:val="20"/>
                <w:szCs w:val="20"/>
                <w:highlight w:val="yellow"/>
                <w:lang w:eastAsia="ka-GE"/>
              </w:rPr>
            </w:pPr>
          </w:p>
          <w:p w:rsidR="00871D83" w:rsidRPr="007A5967" w:rsidRDefault="00871D83" w:rsidP="00871D83">
            <w:pPr>
              <w:jc w:val="both"/>
              <w:rPr>
                <w:rFonts w:ascii="Sylfaen" w:eastAsia="Times New Roman" w:hAnsi="Sylfaen" w:cs="Sylfaen"/>
                <w:color w:val="17365D" w:themeColor="text2" w:themeShade="BF"/>
                <w:sz w:val="20"/>
                <w:szCs w:val="20"/>
                <w:highlight w:val="yellow"/>
                <w:lang w:eastAsia="ka-GE"/>
              </w:rPr>
            </w:pPr>
            <w:r w:rsidRPr="007A5967">
              <w:rPr>
                <w:rFonts w:ascii="Sylfaen" w:eastAsia="Times New Roman" w:hAnsi="Sylfaen" w:cs="Sylfaen"/>
                <w:color w:val="17365D" w:themeColor="text2" w:themeShade="BF"/>
                <w:sz w:val="20"/>
                <w:szCs w:val="20"/>
                <w:highlight w:val="yellow"/>
                <w:lang w:eastAsia="ka-GE"/>
              </w:rPr>
              <w:t xml:space="preserve">A series of short-term activities (a workshop and study visits to 4 blood banks) were conducted by two experts from European countries (Croatia and Spain).  An interactive workshop fostered technical discussions on BTS organizational structure and transition from paid donation practices to a voluntary, unpaid donation (VUD) system. An extraordinarily high level of engagement was shown by the participants from the Ministry of Internally Displaced Persons from the Occupied Territories, Labour, Health and Social Affairs of Georgia, NCDC, State Regulation Agency for Medical Activities, Emergency Situations Coordination and Urgent Assistance </w:t>
            </w:r>
            <w:proofErr w:type="spellStart"/>
            <w:r w:rsidRPr="007A5967">
              <w:rPr>
                <w:rFonts w:ascii="Sylfaen" w:eastAsia="Times New Roman" w:hAnsi="Sylfaen" w:cs="Sylfaen"/>
                <w:color w:val="17365D" w:themeColor="text2" w:themeShade="BF"/>
                <w:sz w:val="20"/>
                <w:szCs w:val="20"/>
                <w:highlight w:val="yellow"/>
                <w:lang w:eastAsia="ka-GE"/>
              </w:rPr>
              <w:t>Center</w:t>
            </w:r>
            <w:proofErr w:type="spellEnd"/>
            <w:r w:rsidRPr="007A5967">
              <w:rPr>
                <w:rFonts w:ascii="Sylfaen" w:eastAsia="Times New Roman" w:hAnsi="Sylfaen" w:cs="Sylfaen"/>
                <w:color w:val="17365D" w:themeColor="text2" w:themeShade="BF"/>
                <w:sz w:val="20"/>
                <w:szCs w:val="20"/>
                <w:highlight w:val="yellow"/>
                <w:lang w:eastAsia="ka-GE"/>
              </w:rPr>
              <w:t xml:space="preserve">, blood banks and other international organizations (EU Delegation to Georgia, U.S. CDC South Caucasus Office and Global Fund). The recommendations on blood establishment (BE) licensing, BTS organization and promotion of VUD, as well as possible areas for future assistance identified by the expert mission were presented to health authorities. The expert mission report is published on the official website of the European Commission: </w:t>
            </w:r>
          </w:p>
          <w:p w:rsidR="00871D83" w:rsidRPr="007A5967" w:rsidRDefault="0032544C" w:rsidP="00871D83">
            <w:pPr>
              <w:rPr>
                <w:rFonts w:ascii="Sylfaen" w:hAnsi="Sylfaen"/>
                <w:color w:val="222222"/>
                <w:sz w:val="18"/>
                <w:szCs w:val="18"/>
                <w:highlight w:val="yellow"/>
                <w:shd w:val="clear" w:color="auto" w:fill="FFFFFF"/>
              </w:rPr>
            </w:pPr>
            <w:hyperlink r:id="rId8" w:tgtFrame="_blank" w:history="1">
              <w:r w:rsidR="00871D83" w:rsidRPr="007A5967">
                <w:rPr>
                  <w:rStyle w:val="ab"/>
                  <w:sz w:val="18"/>
                  <w:szCs w:val="18"/>
                  <w:highlight w:val="yellow"/>
                  <w:shd w:val="clear" w:color="auto" w:fill="FFFFFF"/>
                  <w:lang w:val="ka-GE"/>
                </w:rPr>
                <w:t>https://webgate.ec.europa.eu/TMSWebRestrict/sendReports?eventID=66143&amp;view=list&amp;key=2fe05636a938e536394acf52aa1551ac</w:t>
              </w:r>
            </w:hyperlink>
            <w:r w:rsidR="00871D83" w:rsidRPr="007A5967">
              <w:rPr>
                <w:color w:val="222222"/>
                <w:sz w:val="18"/>
                <w:szCs w:val="18"/>
                <w:highlight w:val="yellow"/>
                <w:shd w:val="clear" w:color="auto" w:fill="FFFFFF"/>
                <w:lang w:val="ka-GE"/>
              </w:rPr>
              <w:t> </w:t>
            </w:r>
            <w:r w:rsidR="00871D83" w:rsidRPr="007A5967">
              <w:rPr>
                <w:rFonts w:ascii="Sylfaen" w:hAnsi="Sylfaen"/>
                <w:color w:val="222222"/>
                <w:sz w:val="18"/>
                <w:szCs w:val="18"/>
                <w:highlight w:val="yellow"/>
                <w:shd w:val="clear" w:color="auto" w:fill="FFFFFF"/>
                <w:lang w:val="ka-GE"/>
              </w:rPr>
              <w:t>)</w:t>
            </w:r>
          </w:p>
          <w:p w:rsidR="00871D83" w:rsidRPr="007A5967" w:rsidRDefault="00871D83" w:rsidP="00871D83">
            <w:pPr>
              <w:jc w:val="both"/>
              <w:rPr>
                <w:rFonts w:ascii="Sylfaen" w:eastAsia="Times New Roman" w:hAnsi="Sylfaen" w:cs="Sylfaen"/>
                <w:color w:val="17365D" w:themeColor="text2" w:themeShade="BF"/>
                <w:sz w:val="20"/>
                <w:szCs w:val="20"/>
                <w:highlight w:val="yellow"/>
                <w:lang w:eastAsia="ka-GE"/>
              </w:rPr>
            </w:pPr>
          </w:p>
          <w:p w:rsidR="00871D83" w:rsidRPr="00871D83" w:rsidRDefault="00871D83" w:rsidP="00871D83">
            <w:pPr>
              <w:jc w:val="both"/>
              <w:rPr>
                <w:rFonts w:ascii="Sylfaen" w:eastAsia="Times New Roman" w:hAnsi="Sylfaen" w:cs="Sylfaen"/>
                <w:color w:val="17365D" w:themeColor="text2" w:themeShade="BF"/>
                <w:sz w:val="20"/>
                <w:szCs w:val="20"/>
                <w:lang w:eastAsia="ka-GE"/>
              </w:rPr>
            </w:pPr>
            <w:r w:rsidRPr="007A5967">
              <w:rPr>
                <w:rFonts w:ascii="Sylfaen" w:eastAsia="Times New Roman" w:hAnsi="Sylfaen" w:cs="Sylfaen"/>
                <w:color w:val="17365D" w:themeColor="text2" w:themeShade="BF"/>
                <w:sz w:val="20"/>
                <w:szCs w:val="20"/>
                <w:highlight w:val="yellow"/>
                <w:lang w:eastAsia="ka-GE"/>
              </w:rPr>
              <w:t>Twinning project</w:t>
            </w:r>
            <w:r w:rsidR="007A5967" w:rsidRPr="007A5967">
              <w:rPr>
                <w:rFonts w:ascii="Sylfaen" w:eastAsia="Times New Roman" w:hAnsi="Sylfaen" w:cs="Sylfaen"/>
                <w:color w:val="17365D" w:themeColor="text2" w:themeShade="BF"/>
                <w:sz w:val="20"/>
                <w:szCs w:val="20"/>
                <w:highlight w:val="yellow"/>
                <w:lang w:eastAsia="ka-GE"/>
              </w:rPr>
              <w:t xml:space="preserve"> on blood safety</w:t>
            </w:r>
            <w:r w:rsidRPr="007A5967">
              <w:rPr>
                <w:rFonts w:ascii="Sylfaen" w:eastAsia="Times New Roman" w:hAnsi="Sylfaen" w:cs="Sylfaen"/>
                <w:color w:val="17365D" w:themeColor="text2" w:themeShade="BF"/>
                <w:sz w:val="20"/>
                <w:szCs w:val="20"/>
                <w:highlight w:val="yellow"/>
                <w:lang w:eastAsia="ka-GE"/>
              </w:rPr>
              <w:t xml:space="preserve"> has been approved by</w:t>
            </w:r>
            <w:r w:rsidR="007A5967" w:rsidRPr="007A5967">
              <w:rPr>
                <w:rFonts w:ascii="Sylfaen" w:eastAsia="Times New Roman" w:hAnsi="Sylfaen" w:cs="Sylfaen"/>
                <w:color w:val="17365D" w:themeColor="text2" w:themeShade="BF"/>
                <w:sz w:val="20"/>
                <w:szCs w:val="20"/>
                <w:highlight w:val="yellow"/>
                <w:lang w:eastAsia="ka-GE"/>
              </w:rPr>
              <w:t xml:space="preserve"> the</w:t>
            </w:r>
            <w:r w:rsidRPr="007A5967">
              <w:rPr>
                <w:rFonts w:ascii="Sylfaen" w:eastAsia="Times New Roman" w:hAnsi="Sylfaen" w:cs="Sylfaen"/>
                <w:color w:val="17365D" w:themeColor="text2" w:themeShade="BF"/>
                <w:sz w:val="20"/>
                <w:szCs w:val="20"/>
                <w:highlight w:val="yellow"/>
                <w:lang w:eastAsia="ka-GE"/>
              </w:rPr>
              <w:t xml:space="preserve"> European Commission. </w:t>
            </w:r>
            <w:r w:rsidRPr="007A5967">
              <w:rPr>
                <w:rFonts w:ascii="Sylfaen" w:eastAsia="Times New Roman" w:hAnsi="Sylfaen" w:cs="Sylfaen"/>
                <w:color w:val="0F243E" w:themeColor="text2" w:themeShade="80"/>
                <w:sz w:val="20"/>
                <w:szCs w:val="20"/>
                <w:highlight w:val="yellow"/>
                <w:lang w:eastAsia="ka-GE"/>
              </w:rPr>
              <w:t>The main purpose of the project is to approximate national blood safety</w:t>
            </w:r>
            <w:r w:rsidRPr="007A5967">
              <w:rPr>
                <w:rFonts w:ascii="Sylfaen" w:eastAsia="Times New Roman" w:hAnsi="Sylfaen" w:cs="Sylfaen"/>
                <w:color w:val="17365D" w:themeColor="text2" w:themeShade="BF"/>
                <w:sz w:val="20"/>
                <w:szCs w:val="20"/>
                <w:highlight w:val="yellow"/>
                <w:lang w:eastAsia="ka-GE"/>
              </w:rPr>
              <w:t xml:space="preserve"> regulations</w:t>
            </w:r>
            <w:r w:rsidRPr="007A5967">
              <w:rPr>
                <w:rFonts w:ascii="Sylfaen" w:eastAsia="Times New Roman" w:hAnsi="Sylfaen" w:cs="Sylfaen"/>
                <w:color w:val="0F243E" w:themeColor="text2" w:themeShade="80"/>
                <w:sz w:val="20"/>
                <w:szCs w:val="20"/>
                <w:highlight w:val="yellow"/>
                <w:lang w:eastAsia="ka-GE"/>
              </w:rPr>
              <w:t xml:space="preserve"> to </w:t>
            </w:r>
            <w:r w:rsidRPr="007A5967">
              <w:rPr>
                <w:rFonts w:ascii="Sylfaen" w:eastAsia="Times New Roman" w:hAnsi="Sylfaen" w:cs="Sylfaen"/>
                <w:color w:val="17365D" w:themeColor="text2" w:themeShade="BF"/>
                <w:sz w:val="20"/>
                <w:szCs w:val="20"/>
                <w:highlight w:val="yellow"/>
                <w:lang w:eastAsia="ka-GE"/>
              </w:rPr>
              <w:t xml:space="preserve">the </w:t>
            </w:r>
            <w:r w:rsidRPr="007A5967">
              <w:rPr>
                <w:rFonts w:ascii="Sylfaen" w:eastAsia="Times New Roman" w:hAnsi="Sylfaen" w:cs="Sylfaen"/>
                <w:color w:val="0F243E" w:themeColor="text2" w:themeShade="80"/>
                <w:sz w:val="20"/>
                <w:szCs w:val="20"/>
                <w:highlight w:val="yellow"/>
                <w:lang w:eastAsia="ka-GE"/>
              </w:rPr>
              <w:t xml:space="preserve">EU </w:t>
            </w:r>
            <w:r w:rsidRPr="007A5967">
              <w:rPr>
                <w:rFonts w:ascii="Sylfaen" w:eastAsia="Times New Roman" w:hAnsi="Sylfaen" w:cs="Sylfaen"/>
                <w:color w:val="17365D" w:themeColor="text2" w:themeShade="BF"/>
                <w:sz w:val="20"/>
                <w:szCs w:val="20"/>
                <w:highlight w:val="yellow"/>
                <w:lang w:eastAsia="ka-GE"/>
              </w:rPr>
              <w:t>legislation (the Union acquis), build up national capacities and improve</w:t>
            </w:r>
            <w:r w:rsidRPr="007A5967">
              <w:rPr>
                <w:rFonts w:ascii="Sylfaen" w:eastAsia="Times New Roman" w:hAnsi="Sylfaen" w:cs="Sylfaen"/>
                <w:color w:val="0F243E" w:themeColor="text2" w:themeShade="80"/>
                <w:sz w:val="20"/>
                <w:szCs w:val="20"/>
                <w:highlight w:val="yellow"/>
                <w:lang w:eastAsia="ka-GE"/>
              </w:rPr>
              <w:t xml:space="preserve"> safety and quality of blood and blood components</w:t>
            </w:r>
            <w:r w:rsidRPr="007A5967">
              <w:rPr>
                <w:rFonts w:ascii="Sylfaen" w:eastAsia="Times New Roman" w:hAnsi="Sylfaen" w:cs="Sylfaen"/>
                <w:color w:val="17365D" w:themeColor="text2" w:themeShade="BF"/>
                <w:sz w:val="20"/>
                <w:szCs w:val="20"/>
                <w:highlight w:val="yellow"/>
                <w:lang w:eastAsia="ka-GE"/>
              </w:rPr>
              <w:t xml:space="preserve"> in Georgia.</w:t>
            </w:r>
          </w:p>
          <w:p w:rsidR="00871D83" w:rsidRPr="00314AB8" w:rsidRDefault="00871D83" w:rsidP="00871D83">
            <w:pPr>
              <w:jc w:val="both"/>
              <w:rPr>
                <w:rFonts w:ascii="Sylfaen" w:hAnsi="Sylfaen"/>
                <w:sz w:val="20"/>
                <w:szCs w:val="20"/>
              </w:rPr>
            </w:pPr>
          </w:p>
          <w:p w:rsidR="006512F3" w:rsidRPr="00351597" w:rsidRDefault="006512F3" w:rsidP="00125A31">
            <w:pPr>
              <w:jc w:val="both"/>
              <w:rPr>
                <w:rFonts w:ascii="Sylfaen" w:hAnsi="Sylfaen"/>
                <w:color w:val="17365D" w:themeColor="text2" w:themeShade="BF"/>
                <w:sz w:val="20"/>
                <w:szCs w:val="20"/>
                <w:lang w:val="en-US"/>
              </w:rPr>
            </w:pPr>
            <w:r w:rsidRPr="00351597">
              <w:rPr>
                <w:rFonts w:ascii="Sylfaen" w:hAnsi="Sylfaen"/>
                <w:color w:val="17365D" w:themeColor="text2" w:themeShade="BF"/>
                <w:sz w:val="20"/>
                <w:szCs w:val="20"/>
                <w:lang w:val="en-US"/>
              </w:rPr>
              <w:t xml:space="preserve">2. Organ transplant/transplantation services in Georgia have evolved over the past 20 years: the first kidney transplant operation was conducted in 1995, the first liver transplantation - in 2014 and corneal transplantation has been also performed in the country as part of ophthalmologic services.  In Georgia, organ transplants from living donors are used, with the exception of corneal transplants, when imported cadaver material is applied. As for the transplants from dead donors, despite the fact that the legislation regulates some aspects of this kind of donation, it is not performed in Georgia due to the lack of respective infrastructure, as well as - unwillingness of the part of the population. </w:t>
            </w:r>
            <w:r w:rsidRPr="00351597">
              <w:rPr>
                <w:rFonts w:ascii="Sylfaen" w:hAnsi="Sylfaen" w:cs="Times New Roman"/>
                <w:color w:val="17365D" w:themeColor="text2" w:themeShade="BF"/>
                <w:sz w:val="20"/>
                <w:szCs w:val="20"/>
              </w:rPr>
              <w:t>Since 1995, in total 294 kidney and 28 liver transplantation have been performed. In 2016, - 24 kidney and 13 liver transplantation and in 2017 (first 9 months) were conducted 18 kidney and 7 liver transplantation.</w:t>
            </w:r>
          </w:p>
          <w:p w:rsidR="006512F3" w:rsidRPr="00351597" w:rsidRDefault="006512F3" w:rsidP="00125A31">
            <w:pPr>
              <w:jc w:val="both"/>
              <w:rPr>
                <w:rFonts w:ascii="Sylfaen" w:hAnsi="Sylfaen" w:cs="Times New Roman"/>
                <w:color w:val="17365D" w:themeColor="text2" w:themeShade="BF"/>
                <w:sz w:val="20"/>
                <w:szCs w:val="20"/>
              </w:rPr>
            </w:pPr>
            <w:r w:rsidRPr="00351597">
              <w:rPr>
                <w:rFonts w:ascii="Sylfaen" w:hAnsi="Sylfaen" w:cs="Times New Roman"/>
                <w:color w:val="17365D" w:themeColor="text2" w:themeShade="BF"/>
                <w:sz w:val="20"/>
                <w:szCs w:val="20"/>
              </w:rPr>
              <w:t xml:space="preserve">The Ministry of Labour, Health and Social Affairs of Georgia has launched the program of dialysis since 1996 and the state program of kidney transplantation since 1999. At this stage, the state program of dialysis and kidney transplantation ensures the provision of </w:t>
            </w:r>
            <w:proofErr w:type="spellStart"/>
            <w:r w:rsidRPr="00351597">
              <w:rPr>
                <w:rFonts w:ascii="Sylfaen" w:hAnsi="Sylfaen" w:cs="Times New Roman"/>
                <w:color w:val="17365D" w:themeColor="text2" w:themeShade="BF"/>
                <w:sz w:val="20"/>
                <w:szCs w:val="20"/>
              </w:rPr>
              <w:t>hemodyalisis</w:t>
            </w:r>
            <w:proofErr w:type="spellEnd"/>
            <w:r w:rsidRPr="00351597">
              <w:rPr>
                <w:rFonts w:ascii="Sylfaen" w:hAnsi="Sylfaen" w:cs="Times New Roman"/>
                <w:color w:val="17365D" w:themeColor="text2" w:themeShade="BF"/>
                <w:sz w:val="20"/>
                <w:szCs w:val="20"/>
              </w:rPr>
              <w:t xml:space="preserve"> and peritoneal dialysis services to the patients with terminal renal insufficiency, </w:t>
            </w:r>
            <w:r w:rsidRPr="00351597">
              <w:rPr>
                <w:rFonts w:ascii="Sylfaen" w:hAnsi="Sylfaen" w:cs="Times New Roman"/>
                <w:color w:val="17365D" w:themeColor="text2" w:themeShade="BF"/>
                <w:sz w:val="20"/>
                <w:szCs w:val="20"/>
                <w:lang w:val="ru-RU"/>
              </w:rPr>
              <w:t>а</w:t>
            </w:r>
            <w:r w:rsidRPr="00351597">
              <w:rPr>
                <w:rFonts w:ascii="Sylfaen" w:hAnsi="Sylfaen" w:cs="Times New Roman"/>
                <w:color w:val="17365D" w:themeColor="text2" w:themeShade="BF"/>
                <w:sz w:val="20"/>
                <w:szCs w:val="20"/>
              </w:rPr>
              <w:t xml:space="preserve">s well as conduction of renal transplantation operations and provision of post-transplantation immunosuppressive therapy to the persons with kidney transplants. </w:t>
            </w:r>
          </w:p>
          <w:p w:rsidR="006512F3" w:rsidRPr="00351597" w:rsidRDefault="006512F3" w:rsidP="00125A31">
            <w:pPr>
              <w:jc w:val="both"/>
              <w:rPr>
                <w:rFonts w:ascii="Sylfaen" w:hAnsi="Sylfaen" w:cs="Times New Roman"/>
                <w:color w:val="17365D" w:themeColor="text2" w:themeShade="BF"/>
                <w:sz w:val="20"/>
                <w:szCs w:val="20"/>
              </w:rPr>
            </w:pPr>
            <w:r w:rsidRPr="00351597">
              <w:rPr>
                <w:rFonts w:ascii="Sylfaen" w:hAnsi="Sylfaen" w:cs="Times New Roman"/>
                <w:color w:val="17365D" w:themeColor="text2" w:themeShade="BF"/>
                <w:sz w:val="20"/>
                <w:szCs w:val="20"/>
              </w:rPr>
              <w:t>At this stage the renal transplantation services are provided by 4 medical facilities (all in Tbilisi) and liver transplantation services -  by 4 medical establishments (1 in Batumi and 3 in Tbilisi). Each institution, performing transplantation services meets the   legal requirements for such   service provision and holds a respective permit (hospital permits for "procurement, storage and transplantation of organs and tissues").</w:t>
            </w:r>
          </w:p>
          <w:p w:rsidR="006512F3" w:rsidRPr="00351597" w:rsidRDefault="006512F3" w:rsidP="00125A31">
            <w:pPr>
              <w:jc w:val="both"/>
              <w:rPr>
                <w:rFonts w:ascii="Sylfaen" w:hAnsi="Sylfaen" w:cs="Times New Roman"/>
                <w:color w:val="17365D" w:themeColor="text2" w:themeShade="BF"/>
                <w:sz w:val="20"/>
                <w:szCs w:val="20"/>
              </w:rPr>
            </w:pPr>
            <w:r w:rsidRPr="00351597">
              <w:rPr>
                <w:rFonts w:ascii="Sylfaen" w:hAnsi="Sylfaen" w:cs="Times New Roman"/>
                <w:color w:val="17365D" w:themeColor="text2" w:themeShade="BF"/>
                <w:sz w:val="20"/>
                <w:szCs w:val="20"/>
              </w:rPr>
              <w:t xml:space="preserve">In order to be granted the right to work in transplant surgery, general surgeons and urologists are required to complete the sub-specialty program in "transplant surgery" and to hold a subspecialty certificate.  At this stage, there are 17 specialists with such subspecialty certificates. </w:t>
            </w:r>
          </w:p>
          <w:p w:rsidR="006512F3" w:rsidRPr="00351597" w:rsidRDefault="006512F3" w:rsidP="00125A31">
            <w:pPr>
              <w:jc w:val="both"/>
              <w:rPr>
                <w:rFonts w:ascii="Sylfaen" w:hAnsi="Sylfaen" w:cs="Times New Roman"/>
                <w:bCs/>
                <w:color w:val="17365D" w:themeColor="text2" w:themeShade="BF"/>
                <w:sz w:val="20"/>
                <w:szCs w:val="20"/>
              </w:rPr>
            </w:pPr>
            <w:r w:rsidRPr="00351597">
              <w:rPr>
                <w:rFonts w:ascii="Sylfaen" w:hAnsi="Sylfaen" w:cs="Times New Roman"/>
                <w:bCs/>
                <w:color w:val="17365D" w:themeColor="text2" w:themeShade="BF"/>
                <w:sz w:val="20"/>
                <w:szCs w:val="20"/>
                <w:lang w:val="ka-GE"/>
              </w:rPr>
              <w:t xml:space="preserve">As regards the regulatory framework in the </w:t>
            </w:r>
            <w:r w:rsidRPr="00351597">
              <w:rPr>
                <w:rFonts w:ascii="Sylfaen" w:hAnsi="Sylfaen" w:cs="Times New Roman"/>
                <w:bCs/>
                <w:color w:val="17365D" w:themeColor="text2" w:themeShade="BF"/>
                <w:sz w:val="20"/>
                <w:szCs w:val="20"/>
              </w:rPr>
              <w:t xml:space="preserve">field of </w:t>
            </w:r>
            <w:r w:rsidRPr="00351597">
              <w:rPr>
                <w:rFonts w:ascii="Sylfaen" w:hAnsi="Sylfaen" w:cs="Times New Roman"/>
                <w:bCs/>
                <w:color w:val="17365D" w:themeColor="text2" w:themeShade="BF"/>
                <w:sz w:val="20"/>
                <w:szCs w:val="20"/>
                <w:lang w:val="ka-GE"/>
              </w:rPr>
              <w:t xml:space="preserve"> organ transplantation, </w:t>
            </w:r>
            <w:r w:rsidRPr="00351597">
              <w:rPr>
                <w:rFonts w:ascii="Sylfaen" w:hAnsi="Sylfaen" w:cs="Times New Roman"/>
                <w:bCs/>
                <w:color w:val="17365D" w:themeColor="text2" w:themeShade="BF"/>
                <w:sz w:val="20"/>
                <w:szCs w:val="20"/>
              </w:rPr>
              <w:t xml:space="preserve"> </w:t>
            </w:r>
            <w:r w:rsidRPr="00351597">
              <w:rPr>
                <w:rFonts w:ascii="Sylfaen" w:hAnsi="Sylfaen" w:cs="Times New Roman"/>
                <w:bCs/>
                <w:color w:val="17365D" w:themeColor="text2" w:themeShade="BF"/>
                <w:sz w:val="20"/>
                <w:szCs w:val="20"/>
                <w:lang w:val="ka-GE"/>
              </w:rPr>
              <w:t>the  Law</w:t>
            </w:r>
            <w:r w:rsidRPr="00351597">
              <w:rPr>
                <w:rFonts w:ascii="Sylfaen" w:hAnsi="Sylfaen" w:cs="Times New Roman"/>
                <w:bCs/>
                <w:color w:val="17365D" w:themeColor="text2" w:themeShade="BF"/>
                <w:sz w:val="20"/>
                <w:szCs w:val="20"/>
              </w:rPr>
              <w:t xml:space="preserve"> of Georgia </w:t>
            </w:r>
            <w:r w:rsidRPr="00351597">
              <w:rPr>
                <w:rFonts w:ascii="Sylfaen" w:hAnsi="Sylfaen" w:cs="Times New Roman"/>
                <w:bCs/>
                <w:color w:val="17365D" w:themeColor="text2" w:themeShade="BF"/>
                <w:sz w:val="20"/>
                <w:szCs w:val="20"/>
                <w:lang w:val="ka-GE"/>
              </w:rPr>
              <w:t xml:space="preserve"> on </w:t>
            </w:r>
            <w:r w:rsidRPr="00351597">
              <w:rPr>
                <w:rFonts w:ascii="Sylfaen" w:hAnsi="Sylfaen" w:cs="Times New Roman"/>
                <w:bCs/>
                <w:color w:val="17365D" w:themeColor="text2" w:themeShade="BF"/>
                <w:sz w:val="20"/>
                <w:szCs w:val="20"/>
                <w:lang w:val="en-US"/>
              </w:rPr>
              <w:t>“</w:t>
            </w:r>
            <w:r w:rsidRPr="00351597">
              <w:rPr>
                <w:rFonts w:ascii="Sylfaen" w:hAnsi="Sylfaen" w:cs="Times New Roman"/>
                <w:bCs/>
                <w:color w:val="17365D" w:themeColor="text2" w:themeShade="BF"/>
                <w:sz w:val="20"/>
                <w:szCs w:val="20"/>
              </w:rPr>
              <w:t>T</w:t>
            </w:r>
            <w:r w:rsidRPr="00351597">
              <w:rPr>
                <w:rFonts w:ascii="Sylfaen" w:hAnsi="Sylfaen" w:cs="Times New Roman"/>
                <w:bCs/>
                <w:color w:val="17365D" w:themeColor="text2" w:themeShade="BF"/>
                <w:sz w:val="20"/>
                <w:szCs w:val="20"/>
                <w:lang w:val="ka-GE"/>
              </w:rPr>
              <w:t>ransplantation of</w:t>
            </w:r>
            <w:r w:rsidRPr="00351597">
              <w:rPr>
                <w:rFonts w:ascii="Sylfaen" w:hAnsi="Sylfaen" w:cs="Times New Roman"/>
                <w:bCs/>
                <w:color w:val="17365D" w:themeColor="text2" w:themeShade="BF"/>
                <w:sz w:val="20"/>
                <w:szCs w:val="20"/>
              </w:rPr>
              <w:t xml:space="preserve"> H</w:t>
            </w:r>
            <w:r w:rsidRPr="00351597">
              <w:rPr>
                <w:rFonts w:ascii="Sylfaen" w:hAnsi="Sylfaen" w:cs="Times New Roman"/>
                <w:bCs/>
                <w:color w:val="17365D" w:themeColor="text2" w:themeShade="BF"/>
                <w:sz w:val="20"/>
                <w:szCs w:val="20"/>
                <w:lang w:val="ka-GE"/>
              </w:rPr>
              <w:t xml:space="preserve">uman </w:t>
            </w:r>
            <w:r w:rsidRPr="00351597">
              <w:rPr>
                <w:rFonts w:ascii="Sylfaen" w:hAnsi="Sylfaen" w:cs="Times New Roman"/>
                <w:bCs/>
                <w:color w:val="17365D" w:themeColor="text2" w:themeShade="BF"/>
                <w:sz w:val="20"/>
                <w:szCs w:val="20"/>
              </w:rPr>
              <w:t>O</w:t>
            </w:r>
            <w:r w:rsidRPr="00351597">
              <w:rPr>
                <w:rFonts w:ascii="Sylfaen" w:hAnsi="Sylfaen" w:cs="Times New Roman"/>
                <w:bCs/>
                <w:color w:val="17365D" w:themeColor="text2" w:themeShade="BF"/>
                <w:sz w:val="20"/>
                <w:szCs w:val="20"/>
                <w:lang w:val="ka-GE"/>
              </w:rPr>
              <w:t>rgans“</w:t>
            </w:r>
            <w:r w:rsidRPr="00351597">
              <w:rPr>
                <w:rFonts w:ascii="Sylfaen" w:hAnsi="Sylfaen" w:cs="Times New Roman"/>
                <w:bCs/>
                <w:color w:val="17365D" w:themeColor="text2" w:themeShade="BF"/>
                <w:sz w:val="20"/>
                <w:szCs w:val="20"/>
              </w:rPr>
              <w:t xml:space="preserve"> </w:t>
            </w:r>
            <w:r w:rsidRPr="00351597">
              <w:rPr>
                <w:rFonts w:ascii="Sylfaen" w:hAnsi="Sylfaen" w:cs="Times New Roman"/>
                <w:bCs/>
                <w:color w:val="17365D" w:themeColor="text2" w:themeShade="BF"/>
                <w:sz w:val="20"/>
                <w:szCs w:val="20"/>
                <w:lang w:val="ka-GE"/>
              </w:rPr>
              <w:t>was adopted in 2000, the same year the subordinate</w:t>
            </w:r>
            <w:r w:rsidRPr="00351597">
              <w:rPr>
                <w:rFonts w:ascii="Sylfaen" w:hAnsi="Sylfaen" w:cs="Times New Roman"/>
                <w:bCs/>
                <w:color w:val="17365D" w:themeColor="text2" w:themeShade="BF"/>
                <w:sz w:val="20"/>
                <w:szCs w:val="20"/>
              </w:rPr>
              <w:t xml:space="preserve"> legal acts on the charters of </w:t>
            </w:r>
            <w:r w:rsidRPr="00351597">
              <w:rPr>
                <w:rFonts w:ascii="Sylfaen" w:hAnsi="Sylfaen" w:cs="Times New Roman"/>
                <w:bCs/>
                <w:color w:val="17365D" w:themeColor="text2" w:themeShade="BF"/>
                <w:sz w:val="20"/>
                <w:szCs w:val="20"/>
                <w:lang w:val="ka-GE"/>
              </w:rPr>
              <w:t>the</w:t>
            </w:r>
            <w:r w:rsidRPr="00351597">
              <w:rPr>
                <w:rFonts w:ascii="Sylfaen" w:hAnsi="Sylfaen"/>
                <w:bCs/>
                <w:color w:val="17365D" w:themeColor="text2" w:themeShade="BF"/>
                <w:sz w:val="20"/>
                <w:szCs w:val="20"/>
                <w:lang w:val="ka-GE"/>
              </w:rPr>
              <w:t xml:space="preserve"> </w:t>
            </w:r>
            <w:r w:rsidRPr="00351597">
              <w:rPr>
                <w:rFonts w:ascii="Sylfaen" w:hAnsi="Sylfaen" w:cs="Times New Roman"/>
                <w:bCs/>
                <w:color w:val="17365D" w:themeColor="text2" w:themeShade="BF"/>
                <w:sz w:val="20"/>
                <w:szCs w:val="20"/>
                <w:lang w:val="ka-GE"/>
              </w:rPr>
              <w:t xml:space="preserve">Transplantation </w:t>
            </w:r>
            <w:r w:rsidRPr="00351597">
              <w:rPr>
                <w:rFonts w:ascii="Sylfaen" w:hAnsi="Sylfaen" w:cs="Times New Roman"/>
                <w:bCs/>
                <w:color w:val="17365D" w:themeColor="text2" w:themeShade="BF"/>
                <w:sz w:val="20"/>
                <w:szCs w:val="20"/>
              </w:rPr>
              <w:t>Council</w:t>
            </w:r>
            <w:r w:rsidRPr="00351597">
              <w:rPr>
                <w:rFonts w:ascii="Sylfaen" w:hAnsi="Sylfaen" w:cs="Times New Roman"/>
                <w:bCs/>
                <w:color w:val="17365D" w:themeColor="text2" w:themeShade="BF"/>
                <w:sz w:val="20"/>
                <w:szCs w:val="20"/>
                <w:lang w:val="ka-GE"/>
              </w:rPr>
              <w:t xml:space="preserve"> and Transplantation </w:t>
            </w:r>
            <w:r w:rsidRPr="00351597">
              <w:rPr>
                <w:rFonts w:ascii="Sylfaen" w:hAnsi="Sylfaen" w:cs="Times New Roman"/>
                <w:bCs/>
                <w:color w:val="17365D" w:themeColor="text2" w:themeShade="BF"/>
                <w:sz w:val="20"/>
                <w:szCs w:val="20"/>
              </w:rPr>
              <w:t xml:space="preserve"> </w:t>
            </w:r>
            <w:r w:rsidRPr="00351597">
              <w:rPr>
                <w:rFonts w:ascii="Sylfaen" w:hAnsi="Sylfaen" w:cs="Times New Roman"/>
                <w:bCs/>
                <w:color w:val="17365D" w:themeColor="text2" w:themeShade="BF"/>
                <w:sz w:val="20"/>
                <w:szCs w:val="20"/>
                <w:lang w:val="ka-GE"/>
              </w:rPr>
              <w:lastRenderedPageBreak/>
              <w:t xml:space="preserve">Bank </w:t>
            </w:r>
            <w:r w:rsidRPr="00351597">
              <w:rPr>
                <w:rFonts w:ascii="Sylfaen" w:hAnsi="Sylfaen" w:cs="Times New Roman"/>
                <w:bCs/>
                <w:color w:val="17365D" w:themeColor="text2" w:themeShade="BF"/>
                <w:sz w:val="20"/>
                <w:szCs w:val="20"/>
              </w:rPr>
              <w:t xml:space="preserve"> were enacted  and  in 2001 and  </w:t>
            </w:r>
            <w:r w:rsidRPr="00351597">
              <w:rPr>
                <w:rFonts w:ascii="Sylfaen" w:hAnsi="Sylfaen" w:cs="Times New Roman"/>
                <w:bCs/>
                <w:color w:val="17365D" w:themeColor="text2" w:themeShade="BF"/>
                <w:sz w:val="20"/>
                <w:szCs w:val="20"/>
                <w:lang w:val="ka-GE"/>
              </w:rPr>
              <w:t>"Rule</w:t>
            </w:r>
            <w:r w:rsidRPr="00351597">
              <w:rPr>
                <w:rFonts w:ascii="Sylfaen" w:hAnsi="Sylfaen" w:cs="Times New Roman"/>
                <w:bCs/>
                <w:color w:val="17365D" w:themeColor="text2" w:themeShade="BF"/>
                <w:sz w:val="20"/>
                <w:szCs w:val="20"/>
              </w:rPr>
              <w:t xml:space="preserve">s on  Human Organ Export and Import“ </w:t>
            </w:r>
            <w:r w:rsidRPr="00351597">
              <w:rPr>
                <w:rFonts w:ascii="Sylfaen" w:hAnsi="Sylfaen" w:cs="Times New Roman"/>
                <w:bCs/>
                <w:color w:val="17365D" w:themeColor="text2" w:themeShade="BF"/>
                <w:sz w:val="20"/>
                <w:szCs w:val="20"/>
                <w:lang w:val="ka-GE"/>
              </w:rPr>
              <w:t>w</w:t>
            </w:r>
            <w:r w:rsidRPr="00351597">
              <w:rPr>
                <w:rFonts w:ascii="Sylfaen" w:hAnsi="Sylfaen" w:cs="Times New Roman"/>
                <w:bCs/>
                <w:color w:val="17365D" w:themeColor="text2" w:themeShade="BF"/>
                <w:sz w:val="20"/>
                <w:szCs w:val="20"/>
              </w:rPr>
              <w:t>ere</w:t>
            </w:r>
            <w:r w:rsidRPr="00351597">
              <w:rPr>
                <w:rFonts w:ascii="Sylfaen" w:hAnsi="Sylfaen" w:cs="Times New Roman"/>
                <w:bCs/>
                <w:color w:val="17365D" w:themeColor="text2" w:themeShade="BF"/>
                <w:sz w:val="20"/>
                <w:szCs w:val="20"/>
                <w:lang w:val="ka-GE"/>
              </w:rPr>
              <w:t xml:space="preserve"> approved</w:t>
            </w:r>
            <w:r w:rsidRPr="00351597">
              <w:rPr>
                <w:rFonts w:ascii="Sylfaen" w:hAnsi="Sylfaen" w:cs="Times New Roman"/>
                <w:bCs/>
                <w:color w:val="17365D" w:themeColor="text2" w:themeShade="BF"/>
                <w:sz w:val="20"/>
                <w:szCs w:val="20"/>
              </w:rPr>
              <w:t>.</w:t>
            </w:r>
          </w:p>
          <w:p w:rsidR="006512F3" w:rsidRPr="00351597" w:rsidRDefault="006512F3" w:rsidP="00125A31">
            <w:pPr>
              <w:jc w:val="both"/>
              <w:rPr>
                <w:rFonts w:ascii="Sylfaen" w:hAnsi="Sylfaen" w:cs="Times New Roman"/>
                <w:bCs/>
                <w:color w:val="17365D" w:themeColor="text2" w:themeShade="BF"/>
                <w:sz w:val="20"/>
                <w:szCs w:val="20"/>
              </w:rPr>
            </w:pPr>
            <w:r w:rsidRPr="00351597">
              <w:rPr>
                <w:rFonts w:ascii="Sylfaen" w:hAnsi="Sylfaen" w:cs="Times New Roman"/>
                <w:bCs/>
                <w:color w:val="17365D" w:themeColor="text2" w:themeShade="BF"/>
                <w:sz w:val="20"/>
                <w:szCs w:val="20"/>
              </w:rPr>
              <w:t>In 2000 Transplantation Council was established at the Ministry of Labour, Health and Social Affairs of Georgia, which is a consultative body of the Ministry. One of the functions of the Council is the preparation of recommendations on the main directions of state policy in the field of transplantation.</w:t>
            </w:r>
          </w:p>
          <w:p w:rsidR="006512F3" w:rsidRPr="00351597" w:rsidRDefault="006512F3" w:rsidP="00125A31">
            <w:pPr>
              <w:ind w:left="29"/>
              <w:jc w:val="both"/>
              <w:rPr>
                <w:rFonts w:ascii="Sylfaen" w:hAnsi="Sylfaen" w:cs="Times New Roman"/>
                <w:bCs/>
                <w:color w:val="17365D" w:themeColor="text2" w:themeShade="BF"/>
                <w:sz w:val="20"/>
                <w:szCs w:val="20"/>
              </w:rPr>
            </w:pPr>
            <w:r w:rsidRPr="00351597">
              <w:rPr>
                <w:rFonts w:ascii="Sylfaen" w:hAnsi="Sylfaen" w:cs="Times New Roman"/>
                <w:bCs/>
                <w:color w:val="17365D" w:themeColor="text2" w:themeShade="BF"/>
                <w:sz w:val="20"/>
                <w:szCs w:val="20"/>
              </w:rPr>
              <w:t>T</w:t>
            </w:r>
            <w:r w:rsidRPr="00351597">
              <w:rPr>
                <w:rFonts w:ascii="Sylfaen" w:hAnsi="Sylfaen" w:cs="Times New Roman"/>
                <w:bCs/>
                <w:color w:val="17365D" w:themeColor="text2" w:themeShade="BF"/>
                <w:sz w:val="20"/>
                <w:szCs w:val="20"/>
                <w:lang w:val="ka-GE"/>
              </w:rPr>
              <w:t xml:space="preserve">ransplantation services </w:t>
            </w:r>
            <w:r w:rsidRPr="00351597">
              <w:rPr>
                <w:rFonts w:ascii="Sylfaen" w:hAnsi="Sylfaen" w:cs="Times New Roman"/>
                <w:bCs/>
                <w:color w:val="17365D" w:themeColor="text2" w:themeShade="BF"/>
                <w:sz w:val="20"/>
                <w:szCs w:val="20"/>
                <w:lang w:val="en-US"/>
              </w:rPr>
              <w:t>were</w:t>
            </w:r>
            <w:r w:rsidRPr="00351597">
              <w:rPr>
                <w:rFonts w:ascii="Sylfaen" w:hAnsi="Sylfaen" w:cs="Times New Roman"/>
                <w:bCs/>
                <w:color w:val="17365D" w:themeColor="text2" w:themeShade="BF"/>
                <w:sz w:val="20"/>
                <w:szCs w:val="20"/>
                <w:lang w:val="ka-GE"/>
              </w:rPr>
              <w:t xml:space="preserve"> </w:t>
            </w:r>
            <w:r w:rsidRPr="00351597">
              <w:rPr>
                <w:rFonts w:ascii="Sylfaen" w:hAnsi="Sylfaen" w:cs="Times New Roman"/>
                <w:bCs/>
                <w:color w:val="17365D" w:themeColor="text2" w:themeShade="BF"/>
                <w:sz w:val="20"/>
                <w:szCs w:val="20"/>
              </w:rPr>
              <w:t>developed</w:t>
            </w:r>
            <w:r w:rsidRPr="00351597">
              <w:rPr>
                <w:rFonts w:ascii="Sylfaen" w:hAnsi="Sylfaen" w:cs="Times New Roman"/>
                <w:bCs/>
                <w:color w:val="17365D" w:themeColor="text2" w:themeShade="BF"/>
                <w:sz w:val="20"/>
                <w:szCs w:val="20"/>
                <w:lang w:val="ka-GE"/>
              </w:rPr>
              <w:t xml:space="preserve"> since 2000, however, </w:t>
            </w:r>
            <w:r w:rsidRPr="00351597">
              <w:rPr>
                <w:rFonts w:ascii="Sylfaen" w:hAnsi="Sylfaen" w:cs="Times New Roman"/>
                <w:bCs/>
                <w:color w:val="17365D" w:themeColor="text2" w:themeShade="BF"/>
                <w:sz w:val="20"/>
                <w:szCs w:val="20"/>
              </w:rPr>
              <w:t>important amendments</w:t>
            </w:r>
            <w:r w:rsidRPr="00351597">
              <w:rPr>
                <w:rFonts w:ascii="Sylfaen" w:hAnsi="Sylfaen" w:cs="Times New Roman"/>
                <w:bCs/>
                <w:color w:val="17365D" w:themeColor="text2" w:themeShade="BF"/>
                <w:sz w:val="20"/>
                <w:szCs w:val="20"/>
                <w:lang w:val="ka-GE"/>
              </w:rPr>
              <w:t xml:space="preserve"> in</w:t>
            </w:r>
            <w:r w:rsidRPr="00351597">
              <w:rPr>
                <w:rFonts w:ascii="Sylfaen" w:hAnsi="Sylfaen" w:cs="Times New Roman"/>
                <w:bCs/>
                <w:color w:val="17365D" w:themeColor="text2" w:themeShade="BF"/>
                <w:sz w:val="20"/>
                <w:szCs w:val="20"/>
              </w:rPr>
              <w:t xml:space="preserve"> the corresponding legislation </w:t>
            </w:r>
            <w:r w:rsidRPr="00351597">
              <w:rPr>
                <w:rFonts w:ascii="Sylfaen" w:hAnsi="Sylfaen" w:cs="Times New Roman"/>
                <w:bCs/>
                <w:color w:val="17365D" w:themeColor="text2" w:themeShade="BF"/>
                <w:sz w:val="20"/>
                <w:szCs w:val="20"/>
                <w:lang w:val="ka-GE"/>
              </w:rPr>
              <w:t xml:space="preserve">have </w:t>
            </w:r>
            <w:r w:rsidRPr="00351597">
              <w:rPr>
                <w:rFonts w:ascii="Sylfaen" w:hAnsi="Sylfaen" w:cs="Times New Roman"/>
                <w:bCs/>
                <w:color w:val="17365D" w:themeColor="text2" w:themeShade="BF"/>
                <w:sz w:val="20"/>
                <w:szCs w:val="20"/>
              </w:rPr>
              <w:t xml:space="preserve">not </w:t>
            </w:r>
            <w:r w:rsidRPr="00351597">
              <w:rPr>
                <w:rFonts w:ascii="Sylfaen" w:hAnsi="Sylfaen" w:cs="Times New Roman"/>
                <w:bCs/>
                <w:color w:val="17365D" w:themeColor="text2" w:themeShade="BF"/>
                <w:sz w:val="20"/>
                <w:szCs w:val="20"/>
                <w:lang w:val="ka-GE"/>
              </w:rPr>
              <w:t>been made</w:t>
            </w:r>
            <w:r w:rsidRPr="00351597">
              <w:rPr>
                <w:rFonts w:ascii="Sylfaen" w:hAnsi="Sylfaen" w:cs="Times New Roman"/>
                <w:bCs/>
                <w:color w:val="17365D" w:themeColor="text2" w:themeShade="BF"/>
                <w:sz w:val="20"/>
                <w:szCs w:val="20"/>
              </w:rPr>
              <w:t xml:space="preserve">. </w:t>
            </w:r>
            <w:r w:rsidRPr="00351597">
              <w:rPr>
                <w:rFonts w:ascii="Sylfaen" w:hAnsi="Sylfaen" w:cs="Times New Roman"/>
                <w:bCs/>
                <w:color w:val="17365D" w:themeColor="text2" w:themeShade="BF"/>
                <w:sz w:val="20"/>
                <w:szCs w:val="20"/>
                <w:lang w:val="ka-GE"/>
              </w:rPr>
              <w:t>The exception is the</w:t>
            </w:r>
            <w:r w:rsidRPr="00351597">
              <w:rPr>
                <w:rFonts w:ascii="Sylfaen" w:hAnsi="Sylfaen" w:cs="Times New Roman"/>
                <w:bCs/>
                <w:color w:val="17365D" w:themeColor="text2" w:themeShade="BF"/>
                <w:sz w:val="20"/>
                <w:szCs w:val="20"/>
              </w:rPr>
              <w:t xml:space="preserve"> charter </w:t>
            </w:r>
            <w:r w:rsidRPr="00351597">
              <w:rPr>
                <w:rFonts w:ascii="Sylfaen" w:hAnsi="Sylfaen" w:cs="Times New Roman"/>
                <w:bCs/>
                <w:color w:val="17365D" w:themeColor="text2" w:themeShade="BF"/>
                <w:sz w:val="20"/>
                <w:szCs w:val="20"/>
                <w:lang w:val="ka-GE"/>
              </w:rPr>
              <w:t>of</w:t>
            </w:r>
            <w:r w:rsidRPr="00351597">
              <w:rPr>
                <w:rFonts w:ascii="Sylfaen" w:hAnsi="Sylfaen" w:cs="Times New Roman"/>
                <w:bCs/>
                <w:color w:val="17365D" w:themeColor="text2" w:themeShade="BF"/>
                <w:sz w:val="20"/>
                <w:szCs w:val="20"/>
              </w:rPr>
              <w:t xml:space="preserve"> </w:t>
            </w:r>
            <w:r w:rsidRPr="00351597">
              <w:rPr>
                <w:rFonts w:ascii="Sylfaen" w:hAnsi="Sylfaen" w:cs="Times New Roman"/>
                <w:bCs/>
                <w:color w:val="17365D" w:themeColor="text2" w:themeShade="BF"/>
                <w:sz w:val="20"/>
                <w:szCs w:val="20"/>
                <w:lang w:val="ka-GE"/>
              </w:rPr>
              <w:t xml:space="preserve">the </w:t>
            </w:r>
            <w:r w:rsidRPr="00351597">
              <w:rPr>
                <w:rFonts w:ascii="Sylfaen" w:hAnsi="Sylfaen" w:cs="Times New Roman"/>
                <w:bCs/>
                <w:color w:val="17365D" w:themeColor="text2" w:themeShade="BF"/>
                <w:sz w:val="20"/>
                <w:szCs w:val="20"/>
              </w:rPr>
              <w:t>T</w:t>
            </w:r>
            <w:r w:rsidRPr="00351597">
              <w:rPr>
                <w:rFonts w:ascii="Sylfaen" w:hAnsi="Sylfaen" w:cs="Times New Roman"/>
                <w:bCs/>
                <w:color w:val="17365D" w:themeColor="text2" w:themeShade="BF"/>
                <w:sz w:val="20"/>
                <w:szCs w:val="20"/>
                <w:lang w:val="ka-GE"/>
              </w:rPr>
              <w:t xml:space="preserve">ransplantation </w:t>
            </w:r>
            <w:r w:rsidRPr="00351597">
              <w:rPr>
                <w:rFonts w:ascii="Sylfaen" w:hAnsi="Sylfaen" w:cs="Times New Roman"/>
                <w:bCs/>
                <w:color w:val="17365D" w:themeColor="text2" w:themeShade="BF"/>
                <w:sz w:val="20"/>
                <w:szCs w:val="20"/>
              </w:rPr>
              <w:t>C</w:t>
            </w:r>
            <w:r w:rsidRPr="00351597">
              <w:rPr>
                <w:rFonts w:ascii="Sylfaen" w:hAnsi="Sylfaen" w:cs="Times New Roman"/>
                <w:bCs/>
                <w:color w:val="17365D" w:themeColor="text2" w:themeShade="BF"/>
                <w:sz w:val="20"/>
                <w:szCs w:val="20"/>
                <w:lang w:val="ka-GE"/>
              </w:rPr>
              <w:t>ouncil</w:t>
            </w:r>
            <w:r w:rsidRPr="00351597">
              <w:rPr>
                <w:rFonts w:ascii="Sylfaen" w:hAnsi="Sylfaen" w:cs="Times New Roman"/>
                <w:bCs/>
                <w:color w:val="17365D" w:themeColor="text2" w:themeShade="BF"/>
                <w:sz w:val="20"/>
                <w:szCs w:val="20"/>
              </w:rPr>
              <w:t>, updated</w:t>
            </w:r>
            <w:r w:rsidRPr="00351597">
              <w:rPr>
                <w:rFonts w:ascii="Sylfaen" w:hAnsi="Sylfaen" w:cs="Times New Roman"/>
                <w:bCs/>
                <w:color w:val="17365D" w:themeColor="text2" w:themeShade="BF"/>
                <w:sz w:val="20"/>
                <w:szCs w:val="20"/>
                <w:lang w:val="ka-GE"/>
              </w:rPr>
              <w:t xml:space="preserve"> in 2017 and the</w:t>
            </w:r>
            <w:r w:rsidRPr="00351597">
              <w:rPr>
                <w:rFonts w:ascii="Sylfaen" w:hAnsi="Sylfaen" w:cs="Times New Roman"/>
                <w:bCs/>
                <w:color w:val="17365D" w:themeColor="text2" w:themeShade="BF"/>
                <w:sz w:val="20"/>
                <w:szCs w:val="20"/>
              </w:rPr>
              <w:t xml:space="preserve"> revision of the </w:t>
            </w:r>
            <w:r w:rsidRPr="00351597">
              <w:rPr>
                <w:rFonts w:ascii="Sylfaen" w:hAnsi="Sylfaen" w:cs="Times New Roman"/>
                <w:bCs/>
                <w:color w:val="17365D" w:themeColor="text2" w:themeShade="BF"/>
                <w:sz w:val="20"/>
                <w:szCs w:val="20"/>
                <w:lang w:val="ka-GE"/>
              </w:rPr>
              <w:t>"Rule</w:t>
            </w:r>
            <w:r w:rsidRPr="00351597">
              <w:rPr>
                <w:rFonts w:ascii="Sylfaen" w:hAnsi="Sylfaen" w:cs="Times New Roman"/>
                <w:bCs/>
                <w:color w:val="17365D" w:themeColor="text2" w:themeShade="BF"/>
                <w:sz w:val="20"/>
                <w:szCs w:val="20"/>
              </w:rPr>
              <w:t xml:space="preserve">s on Human Organ  Export and Import“ in 2016. </w:t>
            </w:r>
          </w:p>
          <w:p w:rsidR="006512F3" w:rsidRPr="00351597" w:rsidRDefault="006512F3" w:rsidP="00125A31">
            <w:pPr>
              <w:ind w:left="29"/>
              <w:jc w:val="both"/>
              <w:rPr>
                <w:rFonts w:ascii="Sylfaen" w:hAnsi="Sylfaen" w:cs="Times New Roman"/>
                <w:bCs/>
                <w:color w:val="17365D" w:themeColor="text2" w:themeShade="BF"/>
                <w:sz w:val="20"/>
                <w:szCs w:val="20"/>
              </w:rPr>
            </w:pPr>
            <w:r w:rsidRPr="00351597">
              <w:rPr>
                <w:rFonts w:ascii="Sylfaen" w:hAnsi="Sylfaen" w:cs="Times New Roman"/>
                <w:bCs/>
                <w:color w:val="17365D" w:themeColor="text2" w:themeShade="BF"/>
                <w:sz w:val="20"/>
                <w:szCs w:val="20"/>
              </w:rPr>
              <w:t>The requirements for donation, testing, processing, conservation, storage and distribution of human tissues and cells, rules on traceability, undesirable reactions and the standards for the quality and safety of the organs and cells were adopted in 2001 and needs further improvement.</w:t>
            </w:r>
          </w:p>
          <w:p w:rsidR="006512F3" w:rsidRPr="00351597" w:rsidRDefault="006512F3" w:rsidP="00125A31">
            <w:pPr>
              <w:ind w:left="29"/>
              <w:jc w:val="both"/>
              <w:rPr>
                <w:rFonts w:ascii="Sylfaen" w:hAnsi="Sylfaen" w:cstheme="minorHAnsi"/>
                <w:b/>
                <w:bCs/>
                <w:i/>
                <w:iCs/>
                <w:color w:val="17365D" w:themeColor="text2" w:themeShade="BF"/>
                <w:sz w:val="20"/>
                <w:szCs w:val="20"/>
              </w:rPr>
            </w:pPr>
            <w:r w:rsidRPr="00351597">
              <w:rPr>
                <w:rFonts w:ascii="Sylfaen" w:hAnsi="Sylfaen" w:cs="Times New Roman"/>
                <w:bCs/>
                <w:color w:val="17365D" w:themeColor="text2" w:themeShade="BF"/>
                <w:sz w:val="20"/>
                <w:szCs w:val="20"/>
              </w:rPr>
              <w:t xml:space="preserve">In order to efficiently and timely fulfil obligations undertaken by the </w:t>
            </w:r>
            <w:r w:rsidRPr="00351597">
              <w:rPr>
                <w:rFonts w:ascii="Sylfaen" w:hAnsi="Sylfaen" w:cs="Times New Roman"/>
                <w:color w:val="17365D" w:themeColor="text2" w:themeShade="BF"/>
                <w:sz w:val="20"/>
                <w:szCs w:val="20"/>
              </w:rPr>
              <w:t xml:space="preserve">Georgia-EU Association Agreement in terms of approximation of organ transplantation legislation with EU standards by 2019 it is highly important to share leading European countries experience and best practices. </w:t>
            </w:r>
          </w:p>
        </w:tc>
        <w:tc>
          <w:tcPr>
            <w:tcW w:w="810" w:type="dxa"/>
          </w:tcPr>
          <w:p w:rsidR="006512F3" w:rsidRPr="00351597" w:rsidRDefault="006512F3"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lastRenderedPageBreak/>
              <w:t>EU</w:t>
            </w:r>
          </w:p>
        </w:tc>
      </w:tr>
      <w:tr w:rsidR="00351597" w:rsidRPr="00351597" w:rsidTr="004F027A">
        <w:tc>
          <w:tcPr>
            <w:tcW w:w="1548" w:type="dxa"/>
            <w:vAlign w:val="center"/>
          </w:tcPr>
          <w:p w:rsidR="006512F3" w:rsidRPr="00351597" w:rsidRDefault="006512F3"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vMerge/>
          </w:tcPr>
          <w:p w:rsidR="006512F3" w:rsidRPr="00351597" w:rsidRDefault="006512F3" w:rsidP="00125A31">
            <w:pPr>
              <w:ind w:left="29"/>
              <w:jc w:val="both"/>
              <w:rPr>
                <w:rFonts w:ascii="Sylfaen" w:hAnsi="Sylfaen" w:cs="Times New Roman"/>
                <w:color w:val="17365D" w:themeColor="text2" w:themeShade="BF"/>
                <w:sz w:val="20"/>
                <w:szCs w:val="20"/>
              </w:rPr>
            </w:pPr>
          </w:p>
        </w:tc>
        <w:tc>
          <w:tcPr>
            <w:tcW w:w="810" w:type="dxa"/>
          </w:tcPr>
          <w:p w:rsidR="006512F3" w:rsidRDefault="006512F3" w:rsidP="00125A31">
            <w:pPr>
              <w:autoSpaceDE w:val="0"/>
              <w:autoSpaceDN w:val="0"/>
              <w:adjustRightInd w:val="0"/>
              <w:jc w:val="center"/>
              <w:rPr>
                <w:rFonts w:ascii="Sylfaen" w:hAnsi="Sylfaen" w:cstheme="minorHAnsi"/>
                <w:b/>
                <w:bCs/>
                <w:iCs/>
                <w:color w:val="17365D" w:themeColor="text2" w:themeShade="BF"/>
                <w:sz w:val="20"/>
                <w:szCs w:val="20"/>
              </w:rPr>
            </w:pPr>
          </w:p>
          <w:p w:rsidR="006F551F" w:rsidRDefault="006F551F" w:rsidP="00125A31">
            <w:pPr>
              <w:autoSpaceDE w:val="0"/>
              <w:autoSpaceDN w:val="0"/>
              <w:adjustRightInd w:val="0"/>
              <w:jc w:val="center"/>
              <w:rPr>
                <w:rFonts w:ascii="Sylfaen" w:hAnsi="Sylfaen" w:cstheme="minorHAnsi"/>
                <w:b/>
                <w:bCs/>
                <w:iCs/>
                <w:color w:val="17365D" w:themeColor="text2" w:themeShade="BF"/>
                <w:sz w:val="20"/>
                <w:szCs w:val="20"/>
              </w:rPr>
            </w:pPr>
          </w:p>
          <w:p w:rsidR="006F551F" w:rsidRDefault="006F551F" w:rsidP="00125A31">
            <w:pPr>
              <w:autoSpaceDE w:val="0"/>
              <w:autoSpaceDN w:val="0"/>
              <w:adjustRightInd w:val="0"/>
              <w:jc w:val="center"/>
              <w:rPr>
                <w:rFonts w:ascii="Sylfaen" w:hAnsi="Sylfaen" w:cstheme="minorHAnsi"/>
                <w:b/>
                <w:bCs/>
                <w:iCs/>
                <w:color w:val="17365D" w:themeColor="text2" w:themeShade="BF"/>
                <w:sz w:val="20"/>
                <w:szCs w:val="20"/>
              </w:rPr>
            </w:pPr>
          </w:p>
          <w:p w:rsidR="006F551F" w:rsidRDefault="006F551F" w:rsidP="00125A31">
            <w:pPr>
              <w:autoSpaceDE w:val="0"/>
              <w:autoSpaceDN w:val="0"/>
              <w:adjustRightInd w:val="0"/>
              <w:jc w:val="center"/>
              <w:rPr>
                <w:rFonts w:ascii="Sylfaen" w:hAnsi="Sylfaen" w:cstheme="minorHAnsi"/>
                <w:b/>
                <w:bCs/>
                <w:iCs/>
                <w:color w:val="17365D" w:themeColor="text2" w:themeShade="BF"/>
                <w:sz w:val="20"/>
                <w:szCs w:val="20"/>
              </w:rPr>
            </w:pPr>
          </w:p>
          <w:p w:rsidR="006F551F" w:rsidRPr="00351597" w:rsidRDefault="006F551F" w:rsidP="00125A31">
            <w:pPr>
              <w:autoSpaceDE w:val="0"/>
              <w:autoSpaceDN w:val="0"/>
              <w:adjustRightInd w:val="0"/>
              <w:jc w:val="center"/>
              <w:rPr>
                <w:rFonts w:ascii="Sylfaen" w:hAnsi="Sylfaen" w:cstheme="minorHAnsi"/>
                <w:b/>
                <w:bCs/>
                <w:iCs/>
                <w:color w:val="17365D" w:themeColor="text2" w:themeShade="BF"/>
                <w:sz w:val="20"/>
                <w:szCs w:val="20"/>
              </w:rPr>
            </w:pPr>
            <w:r>
              <w:rPr>
                <w:rFonts w:ascii="Sylfaen" w:hAnsi="Sylfaen" w:cstheme="minorHAnsi"/>
                <w:b/>
                <w:bCs/>
                <w:iCs/>
                <w:color w:val="17365D" w:themeColor="text2" w:themeShade="BF"/>
                <w:sz w:val="20"/>
                <w:szCs w:val="20"/>
              </w:rPr>
              <w:t>GE</w:t>
            </w:r>
          </w:p>
        </w:tc>
      </w:tr>
      <w:tr w:rsidR="00351597" w:rsidRPr="00351597" w:rsidTr="004F027A">
        <w:trPr>
          <w:trHeight w:val="1466"/>
        </w:trPr>
        <w:tc>
          <w:tcPr>
            <w:tcW w:w="1548" w:type="dxa"/>
            <w:vAlign w:val="center"/>
          </w:tcPr>
          <w:p w:rsidR="006512F3" w:rsidRPr="00351597" w:rsidRDefault="006512F3"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6512F3" w:rsidRPr="005D6479" w:rsidRDefault="006512F3" w:rsidP="00125A31">
            <w:pPr>
              <w:autoSpaceDE w:val="0"/>
              <w:autoSpaceDN w:val="0"/>
              <w:adjustRightInd w:val="0"/>
              <w:jc w:val="center"/>
              <w:rPr>
                <w:rFonts w:ascii="Sylfaen" w:hAnsi="Sylfaen" w:cstheme="minorHAnsi"/>
                <w:b/>
                <w:bCs/>
                <w:iCs/>
                <w:color w:val="244061" w:themeColor="accent1" w:themeShade="80"/>
                <w:sz w:val="20"/>
                <w:szCs w:val="20"/>
                <w:highlight w:val="yellow"/>
              </w:rPr>
            </w:pPr>
            <w:r w:rsidRPr="005D6479">
              <w:rPr>
                <w:rFonts w:ascii="Sylfaen" w:hAnsi="Sylfaen" w:cstheme="minorHAnsi"/>
                <w:b/>
                <w:bCs/>
                <w:iCs/>
                <w:color w:val="244061" w:themeColor="accent1" w:themeShade="80"/>
                <w:sz w:val="20"/>
                <w:szCs w:val="20"/>
                <w:highlight w:val="yellow"/>
              </w:rPr>
              <w:t>6</w:t>
            </w:r>
          </w:p>
          <w:p w:rsidR="006512F3" w:rsidRPr="005D6479" w:rsidRDefault="006512F3" w:rsidP="00125A31">
            <w:pPr>
              <w:autoSpaceDE w:val="0"/>
              <w:autoSpaceDN w:val="0"/>
              <w:adjustRightInd w:val="0"/>
              <w:contextualSpacing/>
              <w:rPr>
                <w:rFonts w:ascii="Sylfaen" w:hAnsi="Sylfaen"/>
                <w:b/>
                <w:bCs/>
                <w:iCs/>
                <w:color w:val="244061" w:themeColor="accent1" w:themeShade="80"/>
                <w:sz w:val="20"/>
                <w:szCs w:val="20"/>
                <w:highlight w:val="yellow"/>
              </w:rPr>
            </w:pPr>
            <w:r w:rsidRPr="005D6479">
              <w:rPr>
                <w:rFonts w:ascii="Sylfaen" w:hAnsi="Sylfaen"/>
                <w:b/>
                <w:bCs/>
                <w:iCs/>
                <w:color w:val="244061" w:themeColor="accent1" w:themeShade="80"/>
                <w:sz w:val="20"/>
                <w:szCs w:val="20"/>
                <w:highlight w:val="yellow"/>
              </w:rPr>
              <w:t>Tackling chronic diseases by addressing risk factors: tobacco control</w:t>
            </w:r>
          </w:p>
          <w:p w:rsidR="006512F3" w:rsidRPr="005D6479" w:rsidRDefault="006512F3" w:rsidP="00125A31">
            <w:pPr>
              <w:pStyle w:val="a3"/>
              <w:numPr>
                <w:ilvl w:val="0"/>
                <w:numId w:val="12"/>
              </w:numPr>
              <w:autoSpaceDE w:val="0"/>
              <w:autoSpaceDN w:val="0"/>
              <w:adjustRightInd w:val="0"/>
              <w:rPr>
                <w:rFonts w:ascii="Sylfaen" w:hAnsi="Sylfaen"/>
                <w:bCs/>
                <w:iCs/>
                <w:color w:val="244061" w:themeColor="accent1" w:themeShade="80"/>
                <w:sz w:val="20"/>
                <w:szCs w:val="20"/>
                <w:highlight w:val="yellow"/>
              </w:rPr>
            </w:pPr>
            <w:bookmarkStart w:id="0" w:name="_GoBack"/>
            <w:r w:rsidRPr="005D6479">
              <w:rPr>
                <w:rFonts w:ascii="Sylfaen" w:hAnsi="Sylfaen"/>
                <w:bCs/>
                <w:iCs/>
                <w:color w:val="244061" w:themeColor="accent1" w:themeShade="80"/>
                <w:sz w:val="20"/>
                <w:szCs w:val="20"/>
                <w:highlight w:val="yellow"/>
              </w:rPr>
              <w:t>Implementation of the FCTC and ratification of illicit trade protocol</w:t>
            </w:r>
          </w:p>
          <w:p w:rsidR="005D6479" w:rsidRPr="005D6479" w:rsidRDefault="005D6479" w:rsidP="005D6479">
            <w:pPr>
              <w:jc w:val="both"/>
              <w:rPr>
                <w:rFonts w:ascii="Sylfaen" w:eastAsia="Times New Roman" w:hAnsi="Sylfaen" w:cs="Arial"/>
                <w:bCs/>
                <w:color w:val="244061" w:themeColor="accent1" w:themeShade="80"/>
                <w:sz w:val="20"/>
                <w:szCs w:val="20"/>
                <w:highlight w:val="yellow"/>
                <w:lang w:val="en-US" w:eastAsia="ru-RU"/>
              </w:rPr>
            </w:pPr>
            <w:r w:rsidRPr="005D6479">
              <w:rPr>
                <w:rFonts w:ascii="Sylfaen" w:eastAsia="Times New Roman" w:hAnsi="Sylfaen" w:cs="Arial"/>
                <w:bCs/>
                <w:color w:val="244061" w:themeColor="accent1" w:themeShade="80"/>
                <w:sz w:val="20"/>
                <w:szCs w:val="20"/>
                <w:highlight w:val="yellow"/>
                <w:lang w:val="en-US" w:eastAsia="ru-RU"/>
              </w:rPr>
              <w:t xml:space="preserve">In May 2017 Parliament of Georgia adopted new generation tobacco control legislation. New provisions which are in line with the WHO Framework Convention of Tobacco Control and respective European Commission Directives are entering into force step by step. Big part of it is already enacted from May 1, 2018 including ban of smoking in enclosed public spaces, provisions in the law to protect public health decisions from vested and other interests of tobacco industry, regulating novel and emerging tobacco products and ENDS and ENNDS similar to conventional tobacco products, total ban of tobacco advertisement, sponsorship and promotion, accountability of tobacco industry to provide regular information on the ingredients and emission of the tobacco products sold on national market. From September 1, 2018 all tobacco packaging and labeling regulation entered in to force and depiction of new pictorial health warnings became mandatory; tobacco control new law envisages introduction of standardized packaging of tobacco from 2023. </w:t>
            </w:r>
          </w:p>
          <w:p w:rsidR="005D6479" w:rsidRPr="005D6479" w:rsidRDefault="005D6479" w:rsidP="005D6479">
            <w:pPr>
              <w:jc w:val="both"/>
              <w:rPr>
                <w:rFonts w:ascii="Sylfaen" w:eastAsia="Times New Roman" w:hAnsi="Sylfaen" w:cs="Arial"/>
                <w:bCs/>
                <w:color w:val="244061" w:themeColor="accent1" w:themeShade="80"/>
                <w:sz w:val="20"/>
                <w:szCs w:val="20"/>
                <w:highlight w:val="yellow"/>
                <w:lang w:val="en-US" w:eastAsia="ru-RU"/>
              </w:rPr>
            </w:pPr>
          </w:p>
          <w:p w:rsidR="005D6479" w:rsidRPr="005D6479" w:rsidRDefault="005D6479" w:rsidP="005D6479">
            <w:pPr>
              <w:jc w:val="both"/>
              <w:rPr>
                <w:rFonts w:ascii="Sylfaen" w:eastAsia="Times New Roman" w:hAnsi="Sylfaen" w:cs="Arial"/>
                <w:bCs/>
                <w:color w:val="244061" w:themeColor="accent1" w:themeShade="80"/>
                <w:sz w:val="20"/>
                <w:szCs w:val="20"/>
                <w:highlight w:val="yellow"/>
                <w:lang w:val="en-US" w:eastAsia="ru-RU"/>
              </w:rPr>
            </w:pPr>
            <w:r w:rsidRPr="005D6479">
              <w:rPr>
                <w:rFonts w:ascii="Sylfaen" w:eastAsia="Times New Roman" w:hAnsi="Sylfaen" w:cs="Arial"/>
                <w:bCs/>
                <w:color w:val="244061" w:themeColor="accent1" w:themeShade="80"/>
                <w:sz w:val="20"/>
                <w:szCs w:val="20"/>
                <w:highlight w:val="yellow"/>
                <w:lang w:val="en-US" w:eastAsia="ru-RU"/>
              </w:rPr>
              <w:t>Tobacco control activities in 2018 were focused on promoting implementation of new regulations considering the deadlines of respective EU Directives (4 and 6 years) and standards of WHO FCTC. The Health Promotion State program budget increased significantly main component of which is tobacco control and efforts were focused on monitoring the enforcement level of the law as well capacity building of administrative structures and other stakeholders through number of trainings, workshops and meetings. A nationwide communication campaign was carried out under the slogan “</w:t>
            </w:r>
            <w:proofErr w:type="spellStart"/>
            <w:r w:rsidRPr="005D6479">
              <w:rPr>
                <w:rFonts w:ascii="Sylfaen" w:eastAsia="Times New Roman" w:hAnsi="Sylfaen" w:cs="Arial"/>
                <w:bCs/>
                <w:color w:val="244061" w:themeColor="accent1" w:themeShade="80"/>
                <w:sz w:val="20"/>
                <w:szCs w:val="20"/>
                <w:highlight w:val="yellow"/>
                <w:lang w:val="en-US" w:eastAsia="ru-RU"/>
              </w:rPr>
              <w:t>Tobaccofree</w:t>
            </w:r>
            <w:proofErr w:type="spellEnd"/>
            <w:r w:rsidRPr="005D6479">
              <w:rPr>
                <w:rFonts w:ascii="Sylfaen" w:eastAsia="Times New Roman" w:hAnsi="Sylfaen" w:cs="Arial"/>
                <w:bCs/>
                <w:color w:val="244061" w:themeColor="accent1" w:themeShade="80"/>
                <w:sz w:val="20"/>
                <w:szCs w:val="20"/>
                <w:highlight w:val="yellow"/>
                <w:lang w:val="en-US" w:eastAsia="ru-RU"/>
              </w:rPr>
              <w:t xml:space="preserve"> Georgia</w:t>
            </w:r>
            <w:proofErr w:type="gramStart"/>
            <w:r w:rsidRPr="005D6479">
              <w:rPr>
                <w:rFonts w:ascii="Sylfaen" w:eastAsia="Times New Roman" w:hAnsi="Sylfaen" w:cs="Arial"/>
                <w:bCs/>
                <w:color w:val="244061" w:themeColor="accent1" w:themeShade="80"/>
                <w:sz w:val="20"/>
                <w:szCs w:val="20"/>
                <w:highlight w:val="yellow"/>
                <w:lang w:val="en-US" w:eastAsia="ru-RU"/>
              </w:rPr>
              <w:t>”;  New</w:t>
            </w:r>
            <w:proofErr w:type="gramEnd"/>
            <w:r w:rsidRPr="005D6479">
              <w:rPr>
                <w:rFonts w:ascii="Sylfaen" w:eastAsia="Times New Roman" w:hAnsi="Sylfaen" w:cs="Arial"/>
                <w:bCs/>
                <w:color w:val="244061" w:themeColor="accent1" w:themeShade="80"/>
                <w:sz w:val="20"/>
                <w:szCs w:val="20"/>
                <w:highlight w:val="yellow"/>
                <w:lang w:val="en-US" w:eastAsia="ru-RU"/>
              </w:rPr>
              <w:t xml:space="preserve"> tobacco control cessation aid mobile application was launched as well as application on notifying about the smoke-free law violations to respective administrative organs; Trainings of PHC staff in providing brief consultation on cessation were continued; tobacco cessation clinical guidelines were renewed. </w:t>
            </w:r>
          </w:p>
          <w:p w:rsidR="005D6479" w:rsidRPr="005D6479" w:rsidRDefault="005D6479" w:rsidP="005D6479">
            <w:pPr>
              <w:jc w:val="both"/>
              <w:rPr>
                <w:rFonts w:ascii="Sylfaen" w:hAnsi="Sylfaen" w:cs="Arial"/>
                <w:color w:val="244061" w:themeColor="accent1" w:themeShade="80"/>
                <w:sz w:val="20"/>
                <w:szCs w:val="20"/>
                <w:highlight w:val="yellow"/>
                <w:lang w:val="ka-GE"/>
              </w:rPr>
            </w:pPr>
          </w:p>
          <w:p w:rsidR="005D6479" w:rsidRPr="005D6479" w:rsidRDefault="005D6479" w:rsidP="005D6479">
            <w:pPr>
              <w:jc w:val="both"/>
              <w:rPr>
                <w:rFonts w:ascii="Sylfaen" w:hAnsi="Sylfaen" w:cs="Arial"/>
                <w:color w:val="244061" w:themeColor="accent1" w:themeShade="80"/>
                <w:sz w:val="20"/>
                <w:szCs w:val="20"/>
                <w:highlight w:val="yellow"/>
                <w:lang w:val="en-US"/>
              </w:rPr>
            </w:pPr>
            <w:r w:rsidRPr="005D6479">
              <w:rPr>
                <w:rFonts w:ascii="Sylfaen" w:hAnsi="Sylfaen" w:cs="Arial"/>
                <w:color w:val="244061" w:themeColor="accent1" w:themeShade="80"/>
                <w:sz w:val="20"/>
                <w:szCs w:val="20"/>
                <w:highlight w:val="yellow"/>
                <w:lang w:val="en-US"/>
              </w:rPr>
              <w:t xml:space="preserve">In additional to the State Health Promotion Program Georgia is receiving resources to strengthen implementation of tobacco control measures through two major donor driven projects: 1. Bloomberg Philanthropies Grant Program – The project administered by the Union of Tuberculosis and Lung Disease is focused on optimization of tobacco taxes and prices in </w:t>
            </w:r>
            <w:proofErr w:type="spellStart"/>
            <w:r w:rsidRPr="005D6479">
              <w:rPr>
                <w:rFonts w:ascii="Sylfaen" w:hAnsi="Sylfaen" w:cs="Arial"/>
                <w:color w:val="244061" w:themeColor="accent1" w:themeShade="80"/>
                <w:sz w:val="20"/>
                <w:szCs w:val="20"/>
                <w:highlight w:val="yellow"/>
                <w:lang w:val="en-US"/>
              </w:rPr>
              <w:t>Geogria</w:t>
            </w:r>
            <w:proofErr w:type="spellEnd"/>
            <w:r w:rsidRPr="005D6479">
              <w:rPr>
                <w:rFonts w:ascii="Sylfaen" w:hAnsi="Sylfaen" w:cs="Arial"/>
                <w:color w:val="244061" w:themeColor="accent1" w:themeShade="80"/>
                <w:sz w:val="20"/>
                <w:szCs w:val="20"/>
                <w:highlight w:val="yellow"/>
                <w:lang w:val="en-US"/>
              </w:rPr>
              <w:t>. 2. FCTC2030 project which is financed by the UK and Australian Governments and is a new initiative of WHO FCTC Secretariat, is focusing on strengthening tobacco law implementation through action oriented strategy</w:t>
            </w:r>
            <w:bookmarkEnd w:id="0"/>
            <w:r w:rsidRPr="005D6479">
              <w:rPr>
                <w:rFonts w:ascii="Sylfaen" w:hAnsi="Sylfaen" w:cs="Arial"/>
                <w:color w:val="244061" w:themeColor="accent1" w:themeShade="80"/>
                <w:sz w:val="20"/>
                <w:szCs w:val="20"/>
                <w:highlight w:val="yellow"/>
                <w:lang w:val="en-US"/>
              </w:rPr>
              <w:t xml:space="preserve">. </w:t>
            </w:r>
          </w:p>
          <w:p w:rsidR="005D6479" w:rsidRPr="005D6479" w:rsidRDefault="005D6479" w:rsidP="005D6479">
            <w:pPr>
              <w:jc w:val="both"/>
              <w:rPr>
                <w:rFonts w:ascii="Sylfaen" w:hAnsi="Sylfaen" w:cs="Arial"/>
                <w:color w:val="244061" w:themeColor="accent1" w:themeShade="80"/>
                <w:sz w:val="20"/>
                <w:szCs w:val="20"/>
                <w:highlight w:val="yellow"/>
                <w:lang w:val="en-US"/>
              </w:rPr>
            </w:pPr>
          </w:p>
          <w:p w:rsidR="005D6479" w:rsidRPr="005D6479" w:rsidRDefault="005D6479" w:rsidP="005D6479">
            <w:pPr>
              <w:jc w:val="both"/>
              <w:rPr>
                <w:rFonts w:ascii="Sylfaen" w:hAnsi="Sylfaen" w:cs="Arial"/>
                <w:color w:val="244061" w:themeColor="accent1" w:themeShade="80"/>
                <w:sz w:val="20"/>
                <w:szCs w:val="20"/>
                <w:highlight w:val="yellow"/>
                <w:lang w:val="en-US"/>
              </w:rPr>
            </w:pPr>
            <w:r w:rsidRPr="005D6479">
              <w:rPr>
                <w:rFonts w:ascii="Sylfaen" w:hAnsi="Sylfaen" w:cs="Arial"/>
                <w:color w:val="244061" w:themeColor="accent1" w:themeShade="80"/>
                <w:sz w:val="20"/>
                <w:szCs w:val="20"/>
                <w:highlight w:val="yellow"/>
                <w:lang w:val="en-US"/>
              </w:rPr>
              <w:t xml:space="preserve">Georgia is planning to continue its focus on comprehensive implementation of new tobacco control legislation </w:t>
            </w:r>
            <w:proofErr w:type="spellStart"/>
            <w:r w:rsidRPr="005D6479">
              <w:rPr>
                <w:rFonts w:ascii="Sylfaen" w:hAnsi="Sylfaen" w:cs="Arial"/>
                <w:color w:val="244061" w:themeColor="accent1" w:themeShade="80"/>
                <w:sz w:val="20"/>
                <w:szCs w:val="20"/>
                <w:highlight w:val="yellow"/>
                <w:lang w:val="en-US"/>
              </w:rPr>
              <w:t>baring</w:t>
            </w:r>
            <w:proofErr w:type="spellEnd"/>
            <w:r w:rsidRPr="005D6479">
              <w:rPr>
                <w:rFonts w:ascii="Sylfaen" w:hAnsi="Sylfaen" w:cs="Arial"/>
                <w:color w:val="244061" w:themeColor="accent1" w:themeShade="80"/>
                <w:sz w:val="20"/>
                <w:szCs w:val="20"/>
                <w:highlight w:val="yellow"/>
                <w:lang w:val="en-US"/>
              </w:rPr>
              <w:t xml:space="preserve"> in mind its obligations under the EU Association Agreement and some time-bound measures. Considering this in 2019 Georgia is going to apply for the</w:t>
            </w:r>
            <w:r w:rsidRPr="005D6479">
              <w:rPr>
                <w:rFonts w:ascii="Sylfaen" w:hAnsi="Sylfaen"/>
                <w:color w:val="244061" w:themeColor="accent1" w:themeShade="80"/>
                <w:sz w:val="20"/>
                <w:szCs w:val="20"/>
                <w:highlight w:val="yellow"/>
                <w:lang w:val="ka-GE"/>
              </w:rPr>
              <w:t xml:space="preserve">Technical Assistance and Information Exchange Instrument </w:t>
            </w:r>
            <w:r w:rsidRPr="005D6479">
              <w:rPr>
                <w:rFonts w:ascii="Sylfaen" w:hAnsi="Sylfaen"/>
                <w:color w:val="244061" w:themeColor="accent1" w:themeShade="80"/>
                <w:sz w:val="20"/>
                <w:szCs w:val="20"/>
                <w:highlight w:val="yellow"/>
                <w:lang w:val="en-US"/>
              </w:rPr>
              <w:t xml:space="preserve">of the European Commission to conduct an in-depth gap analysis of Georgian legislation with the EU Directives and work on maximum approximation of the national law to existing European Union standards considering the requirements of the WHO FCTC. Georgia is also planning to promote accession to the Protocol for Illicit Trade in Tobacco Products and to request a workshop in frames of the TAIEX instrument </w:t>
            </w:r>
          </w:p>
          <w:p w:rsidR="006512F3" w:rsidRPr="005D6479" w:rsidRDefault="006512F3" w:rsidP="00125A31">
            <w:pPr>
              <w:jc w:val="both"/>
              <w:rPr>
                <w:rFonts w:ascii="Sylfaen" w:hAnsi="Sylfaen"/>
                <w:bCs/>
                <w:color w:val="244061" w:themeColor="accent1" w:themeShade="80"/>
                <w:sz w:val="20"/>
                <w:szCs w:val="20"/>
                <w:highlight w:val="yellow"/>
                <w:lang w:val="en-US"/>
              </w:rPr>
            </w:pPr>
          </w:p>
        </w:tc>
        <w:tc>
          <w:tcPr>
            <w:tcW w:w="810" w:type="dxa"/>
          </w:tcPr>
          <w:p w:rsidR="004E0A9A" w:rsidRDefault="004E0A9A" w:rsidP="00125A31">
            <w:pPr>
              <w:autoSpaceDE w:val="0"/>
              <w:autoSpaceDN w:val="0"/>
              <w:adjustRightInd w:val="0"/>
              <w:jc w:val="center"/>
              <w:rPr>
                <w:rFonts w:ascii="Sylfaen" w:hAnsi="Sylfaen" w:cstheme="minorHAnsi"/>
                <w:b/>
                <w:bCs/>
                <w:iCs/>
                <w:color w:val="17365D" w:themeColor="text2" w:themeShade="BF"/>
                <w:sz w:val="20"/>
                <w:szCs w:val="20"/>
              </w:rPr>
            </w:pPr>
          </w:p>
          <w:p w:rsidR="006512F3" w:rsidRPr="00351597" w:rsidRDefault="004E0A9A" w:rsidP="00125A31">
            <w:pPr>
              <w:autoSpaceDE w:val="0"/>
              <w:autoSpaceDN w:val="0"/>
              <w:adjustRightInd w:val="0"/>
              <w:jc w:val="center"/>
              <w:rPr>
                <w:rFonts w:ascii="Sylfaen" w:hAnsi="Sylfaen" w:cstheme="minorHAnsi"/>
                <w:b/>
                <w:bCs/>
                <w:iCs/>
                <w:color w:val="17365D" w:themeColor="text2" w:themeShade="BF"/>
                <w:sz w:val="20"/>
                <w:szCs w:val="20"/>
              </w:rPr>
            </w:pPr>
            <w:r>
              <w:rPr>
                <w:rFonts w:ascii="Sylfaen" w:hAnsi="Sylfaen" w:cstheme="minorHAnsi"/>
                <w:b/>
                <w:bCs/>
                <w:iCs/>
                <w:color w:val="17365D" w:themeColor="text2" w:themeShade="BF"/>
                <w:sz w:val="20"/>
                <w:szCs w:val="20"/>
              </w:rPr>
              <w:t>GE</w:t>
            </w:r>
          </w:p>
        </w:tc>
      </w:tr>
      <w:tr w:rsidR="008D776A" w:rsidRPr="00351597" w:rsidTr="004F027A">
        <w:tc>
          <w:tcPr>
            <w:tcW w:w="1548" w:type="dxa"/>
            <w:vAlign w:val="center"/>
          </w:tcPr>
          <w:p w:rsidR="008D776A" w:rsidRPr="00351597" w:rsidRDefault="008D776A"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8D776A" w:rsidRPr="00351597" w:rsidRDefault="008D776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7</w:t>
            </w:r>
          </w:p>
          <w:p w:rsidR="008D776A" w:rsidRPr="008D776A" w:rsidRDefault="008D776A" w:rsidP="00125A31">
            <w:pPr>
              <w:autoSpaceDE w:val="0"/>
              <w:autoSpaceDN w:val="0"/>
              <w:adjustRightInd w:val="0"/>
              <w:rPr>
                <w:rFonts w:ascii="Sylfaen" w:hAnsi="Sylfaen"/>
                <w:b/>
                <w:bCs/>
                <w:iCs/>
                <w:color w:val="17365D" w:themeColor="text2" w:themeShade="BF"/>
                <w:sz w:val="20"/>
                <w:szCs w:val="20"/>
              </w:rPr>
            </w:pPr>
            <w:r w:rsidRPr="008D776A">
              <w:rPr>
                <w:rFonts w:ascii="Sylfaen" w:hAnsi="Sylfaen"/>
                <w:b/>
                <w:bCs/>
                <w:iCs/>
                <w:color w:val="17365D" w:themeColor="text2" w:themeShade="BF"/>
                <w:sz w:val="20"/>
                <w:szCs w:val="20"/>
              </w:rPr>
              <w:t xml:space="preserve">Potential areas for cooperation, EU support mechanisms </w:t>
            </w:r>
          </w:p>
        </w:tc>
        <w:tc>
          <w:tcPr>
            <w:tcW w:w="810" w:type="dxa"/>
          </w:tcPr>
          <w:p w:rsidR="008D776A" w:rsidRPr="00351597" w:rsidRDefault="008D776A"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EU</w:t>
            </w:r>
          </w:p>
        </w:tc>
      </w:tr>
      <w:tr w:rsidR="008D776A" w:rsidRPr="00351597" w:rsidTr="004F027A">
        <w:tc>
          <w:tcPr>
            <w:tcW w:w="1548" w:type="dxa"/>
            <w:vAlign w:val="center"/>
          </w:tcPr>
          <w:p w:rsidR="008D776A" w:rsidRPr="00351597" w:rsidRDefault="008D776A"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8D776A" w:rsidRPr="00351597" w:rsidRDefault="008D776A" w:rsidP="00125A31">
            <w:pPr>
              <w:autoSpaceDE w:val="0"/>
              <w:autoSpaceDN w:val="0"/>
              <w:adjustRightInd w:val="0"/>
              <w:jc w:val="center"/>
              <w:rPr>
                <w:rFonts w:ascii="Sylfaen" w:hAnsi="Sylfaen" w:cstheme="minorHAnsi"/>
                <w:b/>
                <w:bCs/>
                <w:iCs/>
                <w:color w:val="17365D" w:themeColor="text2" w:themeShade="BF"/>
                <w:sz w:val="20"/>
                <w:szCs w:val="20"/>
                <w:lang w:val="en-US"/>
              </w:rPr>
            </w:pPr>
            <w:r w:rsidRPr="00351597">
              <w:rPr>
                <w:rFonts w:ascii="Sylfaen" w:hAnsi="Sylfaen" w:cstheme="minorHAnsi"/>
                <w:b/>
                <w:bCs/>
                <w:iCs/>
                <w:color w:val="17365D" w:themeColor="text2" w:themeShade="BF"/>
                <w:sz w:val="20"/>
                <w:szCs w:val="20"/>
                <w:lang w:val="en-US"/>
              </w:rPr>
              <w:t>8</w:t>
            </w:r>
          </w:p>
          <w:p w:rsidR="008D776A" w:rsidRPr="00351597" w:rsidRDefault="008D776A" w:rsidP="00125A31">
            <w:pPr>
              <w:rPr>
                <w:rFonts w:ascii="Sylfaen" w:hAnsi="Sylfaen" w:cstheme="minorHAnsi"/>
                <w:b/>
                <w:color w:val="17365D" w:themeColor="text2" w:themeShade="BF"/>
                <w:sz w:val="20"/>
                <w:szCs w:val="20"/>
              </w:rPr>
            </w:pPr>
            <w:r w:rsidRPr="00351597">
              <w:rPr>
                <w:rFonts w:ascii="Sylfaen" w:hAnsi="Sylfaen" w:cstheme="minorHAnsi"/>
                <w:b/>
                <w:bCs/>
                <w:iCs/>
                <w:color w:val="17365D" w:themeColor="text2" w:themeShade="BF"/>
                <w:sz w:val="20"/>
                <w:szCs w:val="20"/>
              </w:rPr>
              <w:t xml:space="preserve">Review of the operational conclusions of the second EU-Georgia Sub-Committee </w:t>
            </w:r>
          </w:p>
        </w:tc>
        <w:tc>
          <w:tcPr>
            <w:tcW w:w="810" w:type="dxa"/>
          </w:tcPr>
          <w:p w:rsidR="008D776A" w:rsidRPr="00351597" w:rsidRDefault="008D776A" w:rsidP="00125A31">
            <w:pPr>
              <w:autoSpaceDE w:val="0"/>
              <w:autoSpaceDN w:val="0"/>
              <w:adjustRightInd w:val="0"/>
              <w:jc w:val="center"/>
              <w:rPr>
                <w:rFonts w:ascii="Sylfaen" w:hAnsi="Sylfaen" w:cstheme="minorHAnsi"/>
                <w:b/>
                <w:bCs/>
                <w:iCs/>
                <w:color w:val="17365D" w:themeColor="text2" w:themeShade="BF"/>
                <w:sz w:val="20"/>
                <w:szCs w:val="20"/>
              </w:rPr>
            </w:pPr>
          </w:p>
        </w:tc>
      </w:tr>
      <w:tr w:rsidR="005E6200" w:rsidRPr="00351597" w:rsidTr="00843AEB">
        <w:tc>
          <w:tcPr>
            <w:tcW w:w="1548" w:type="dxa"/>
            <w:shd w:val="clear" w:color="auto" w:fill="D9D9D9" w:themeFill="background1" w:themeFillShade="D9"/>
            <w:vAlign w:val="center"/>
          </w:tcPr>
          <w:p w:rsidR="005E6200" w:rsidRPr="00351597" w:rsidRDefault="005E6200"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shd w:val="clear" w:color="auto" w:fill="D9D9D9" w:themeFill="background1" w:themeFillShade="D9"/>
          </w:tcPr>
          <w:p w:rsidR="005E6200" w:rsidRPr="00351597" w:rsidRDefault="005E6200" w:rsidP="00125A31">
            <w:pPr>
              <w:jc w:val="both"/>
              <w:rPr>
                <w:rFonts w:ascii="Sylfaen" w:hAnsi="Sylfaen" w:cstheme="minorHAnsi"/>
                <w:b/>
                <w:color w:val="17365D" w:themeColor="text2" w:themeShade="BF"/>
                <w:sz w:val="20"/>
                <w:szCs w:val="20"/>
              </w:rPr>
            </w:pPr>
            <w:r w:rsidRPr="00351597">
              <w:rPr>
                <w:rFonts w:ascii="Sylfaen" w:hAnsi="Sylfaen" w:cstheme="minorHAnsi"/>
                <w:b/>
                <w:color w:val="17365D" w:themeColor="text2" w:themeShade="BF"/>
                <w:sz w:val="20"/>
                <w:szCs w:val="20"/>
              </w:rPr>
              <w:t>Lunch</w:t>
            </w:r>
          </w:p>
        </w:tc>
        <w:tc>
          <w:tcPr>
            <w:tcW w:w="810" w:type="dxa"/>
            <w:shd w:val="clear" w:color="auto" w:fill="D9D9D9" w:themeFill="background1" w:themeFillShade="D9"/>
          </w:tcPr>
          <w:p w:rsidR="005E6200" w:rsidRPr="00351597" w:rsidRDefault="005E6200" w:rsidP="00125A31">
            <w:pPr>
              <w:autoSpaceDE w:val="0"/>
              <w:autoSpaceDN w:val="0"/>
              <w:adjustRightInd w:val="0"/>
              <w:jc w:val="center"/>
              <w:rPr>
                <w:rFonts w:ascii="Sylfaen" w:hAnsi="Sylfaen" w:cstheme="minorHAnsi"/>
                <w:b/>
                <w:bCs/>
                <w:iCs/>
                <w:color w:val="17365D" w:themeColor="text2" w:themeShade="BF"/>
                <w:sz w:val="20"/>
                <w:szCs w:val="20"/>
              </w:rPr>
            </w:pPr>
          </w:p>
        </w:tc>
      </w:tr>
      <w:tr w:rsidR="00351597" w:rsidRPr="00351597" w:rsidTr="00535AEA">
        <w:tc>
          <w:tcPr>
            <w:tcW w:w="9967" w:type="dxa"/>
            <w:gridSpan w:val="3"/>
            <w:shd w:val="clear" w:color="auto" w:fill="D9D9D9" w:themeFill="background1" w:themeFillShade="D9"/>
            <w:vAlign w:val="center"/>
          </w:tcPr>
          <w:p w:rsidR="00A32FDD" w:rsidRPr="00351597" w:rsidRDefault="00464F03" w:rsidP="00125A31">
            <w:pPr>
              <w:autoSpaceDE w:val="0"/>
              <w:autoSpaceDN w:val="0"/>
              <w:adjustRightInd w:val="0"/>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I</w:t>
            </w:r>
            <w:r w:rsidR="00175AF5" w:rsidRPr="00351597">
              <w:rPr>
                <w:rFonts w:ascii="Sylfaen" w:hAnsi="Sylfaen" w:cstheme="minorHAnsi"/>
                <w:b/>
                <w:bCs/>
                <w:iCs/>
                <w:color w:val="17365D" w:themeColor="text2" w:themeShade="BF"/>
                <w:sz w:val="20"/>
                <w:szCs w:val="20"/>
              </w:rPr>
              <w:t>I</w:t>
            </w:r>
            <w:r w:rsidRPr="00351597">
              <w:rPr>
                <w:rFonts w:ascii="Sylfaen" w:hAnsi="Sylfaen" w:cstheme="minorHAnsi"/>
                <w:b/>
                <w:bCs/>
                <w:iCs/>
                <w:color w:val="17365D" w:themeColor="text2" w:themeShade="BF"/>
                <w:sz w:val="20"/>
                <w:szCs w:val="20"/>
              </w:rPr>
              <w:t xml:space="preserve">. </w:t>
            </w:r>
            <w:r w:rsidR="00A32FDD" w:rsidRPr="00351597">
              <w:rPr>
                <w:rFonts w:ascii="Sylfaen" w:hAnsi="Sylfaen" w:cstheme="minorHAnsi"/>
                <w:b/>
                <w:bCs/>
                <w:iCs/>
                <w:color w:val="17365D" w:themeColor="text2" w:themeShade="BF"/>
                <w:sz w:val="20"/>
                <w:szCs w:val="20"/>
              </w:rPr>
              <w:t>Cooperation on Employment, Social Policy and Equal Opportunities</w:t>
            </w:r>
          </w:p>
        </w:tc>
      </w:tr>
      <w:tr w:rsidR="005E6200" w:rsidRPr="00351597" w:rsidTr="005F3176">
        <w:trPr>
          <w:trHeight w:val="809"/>
        </w:trPr>
        <w:tc>
          <w:tcPr>
            <w:tcW w:w="1548" w:type="dxa"/>
            <w:vMerge w:val="restart"/>
            <w:vAlign w:val="center"/>
          </w:tcPr>
          <w:p w:rsidR="005E6200" w:rsidRPr="00351597" w:rsidRDefault="005E6200"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vMerge w:val="restart"/>
          </w:tcPr>
          <w:p w:rsidR="005E6200" w:rsidRPr="00351597" w:rsidRDefault="005E6200"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9</w:t>
            </w:r>
          </w:p>
          <w:p w:rsidR="005E6200" w:rsidRPr="007939BF" w:rsidRDefault="005E6200" w:rsidP="00125A31">
            <w:pPr>
              <w:jc w:val="both"/>
              <w:rPr>
                <w:rFonts w:ascii="Sylfaen" w:hAnsi="Sylfaen" w:cstheme="minorHAnsi"/>
                <w:b/>
                <w:bCs/>
                <w:i/>
                <w:iCs/>
                <w:color w:val="17365D" w:themeColor="text2" w:themeShade="BF"/>
                <w:sz w:val="20"/>
                <w:szCs w:val="20"/>
              </w:rPr>
            </w:pPr>
            <w:r w:rsidRPr="008D776A">
              <w:rPr>
                <w:rFonts w:ascii="Sylfaen" w:hAnsi="Sylfaen"/>
                <w:b/>
                <w:color w:val="17365D" w:themeColor="text2" w:themeShade="BF"/>
                <w:sz w:val="20"/>
                <w:szCs w:val="20"/>
              </w:rPr>
              <w:t>Presentation of latest developments in the EU in the area of employment, social policies and equal opportunities</w:t>
            </w:r>
            <w:r w:rsidRPr="00351597">
              <w:rPr>
                <w:rFonts w:ascii="Sylfaen" w:hAnsi="Sylfaen"/>
                <w:color w:val="17365D" w:themeColor="text2" w:themeShade="BF"/>
                <w:sz w:val="20"/>
                <w:szCs w:val="20"/>
              </w:rPr>
              <w:t xml:space="preserve"> </w:t>
            </w:r>
            <w:r>
              <w:rPr>
                <w:rFonts w:ascii="Sylfaen" w:hAnsi="Sylfaen"/>
                <w:color w:val="17365D" w:themeColor="text2" w:themeShade="BF"/>
                <w:sz w:val="20"/>
                <w:szCs w:val="20"/>
              </w:rPr>
              <w:t xml:space="preserve">- </w:t>
            </w:r>
            <w:r w:rsidRPr="007939BF">
              <w:rPr>
                <w:rFonts w:ascii="Sylfaen" w:hAnsi="Sylfaen"/>
                <w:b/>
                <w:color w:val="17365D" w:themeColor="text2" w:themeShade="BF"/>
                <w:sz w:val="20"/>
                <w:szCs w:val="20"/>
              </w:rPr>
              <w:t>EU</w:t>
            </w:r>
          </w:p>
          <w:p w:rsidR="005E6200" w:rsidRPr="00351597" w:rsidRDefault="005E6200"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10</w:t>
            </w:r>
          </w:p>
          <w:p w:rsidR="005E6200" w:rsidRPr="0069411F" w:rsidRDefault="005E6200" w:rsidP="00125A31">
            <w:pPr>
              <w:rPr>
                <w:rFonts w:ascii="Sylfaen" w:hAnsi="Sylfaen" w:cstheme="minorHAnsi"/>
                <w:color w:val="17365D" w:themeColor="text2" w:themeShade="BF"/>
                <w:sz w:val="20"/>
                <w:szCs w:val="20"/>
                <w:u w:val="single"/>
              </w:rPr>
            </w:pPr>
            <w:r w:rsidRPr="002A5DF6">
              <w:rPr>
                <w:rFonts w:ascii="Sylfaen" w:hAnsi="Sylfaen" w:cstheme="minorHAnsi"/>
                <w:b/>
                <w:color w:val="17365D" w:themeColor="text2" w:themeShade="BF"/>
                <w:sz w:val="20"/>
                <w:szCs w:val="20"/>
                <w:highlight w:val="lightGray"/>
                <w:u w:val="single"/>
              </w:rPr>
              <w:t>AA implementation</w:t>
            </w:r>
            <w:r w:rsidRPr="002A5DF6">
              <w:rPr>
                <w:rFonts w:ascii="Sylfaen" w:hAnsi="Sylfaen" w:cstheme="minorHAnsi"/>
                <w:color w:val="17365D" w:themeColor="text2" w:themeShade="BF"/>
                <w:sz w:val="20"/>
                <w:szCs w:val="20"/>
                <w:highlight w:val="lightGray"/>
                <w:u w:val="single"/>
              </w:rPr>
              <w:t xml:space="preserve">: </w:t>
            </w:r>
            <w:r w:rsidRPr="002A5DF6">
              <w:rPr>
                <w:rFonts w:ascii="Sylfaen" w:hAnsi="Sylfaen" w:cstheme="minorHAnsi"/>
                <w:b/>
                <w:color w:val="17365D" w:themeColor="text2" w:themeShade="BF"/>
                <w:sz w:val="20"/>
                <w:szCs w:val="20"/>
                <w:highlight w:val="lightGray"/>
                <w:u w:val="single"/>
              </w:rPr>
              <w:t>update on overall setting, and mechanisms put in place</w:t>
            </w:r>
            <w:r w:rsidRPr="002A5DF6">
              <w:rPr>
                <w:rFonts w:ascii="Sylfaen" w:hAnsi="Sylfaen" w:cstheme="minorHAnsi"/>
                <w:color w:val="17365D" w:themeColor="text2" w:themeShade="BF"/>
                <w:sz w:val="20"/>
                <w:szCs w:val="20"/>
                <w:highlight w:val="lightGray"/>
                <w:u w:val="single"/>
              </w:rPr>
              <w:t xml:space="preserve"> - </w:t>
            </w:r>
            <w:r w:rsidRPr="002A5DF6">
              <w:rPr>
                <w:rFonts w:ascii="Sylfaen" w:hAnsi="Sylfaen" w:cstheme="minorHAnsi"/>
                <w:b/>
                <w:color w:val="17365D" w:themeColor="text2" w:themeShade="BF"/>
                <w:sz w:val="20"/>
                <w:szCs w:val="20"/>
                <w:highlight w:val="lightGray"/>
                <w:u w:val="single"/>
              </w:rPr>
              <w:t>GE</w:t>
            </w:r>
          </w:p>
          <w:p w:rsidR="005E6200" w:rsidRPr="00351597" w:rsidRDefault="005E6200"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11</w:t>
            </w:r>
          </w:p>
          <w:p w:rsidR="005E6200" w:rsidRPr="00422107" w:rsidRDefault="005E6200" w:rsidP="00125A31">
            <w:pPr>
              <w:jc w:val="both"/>
              <w:rPr>
                <w:rFonts w:ascii="Sylfaen" w:hAnsi="Sylfaen" w:cstheme="minorHAnsi"/>
                <w:b/>
                <w:color w:val="17365D" w:themeColor="text2" w:themeShade="BF"/>
                <w:sz w:val="20"/>
                <w:szCs w:val="20"/>
                <w:highlight w:val="lightGray"/>
              </w:rPr>
            </w:pPr>
            <w:r w:rsidRPr="00422107">
              <w:rPr>
                <w:rFonts w:ascii="Sylfaen" w:hAnsi="Sylfaen" w:cstheme="minorHAnsi"/>
                <w:b/>
                <w:color w:val="17365D" w:themeColor="text2" w:themeShade="BF"/>
                <w:sz w:val="20"/>
                <w:szCs w:val="20"/>
                <w:highlight w:val="lightGray"/>
              </w:rPr>
              <w:t>Legal approximation with EU law in the area of health and safety at work, labour law and working conditions (Annex XXX of the AA)- update on</w:t>
            </w:r>
            <w:r w:rsidRPr="00422107">
              <w:rPr>
                <w:rFonts w:ascii="Sylfaen" w:hAnsi="Sylfaen" w:cstheme="minorHAnsi"/>
                <w:color w:val="17365D" w:themeColor="text2" w:themeShade="BF"/>
                <w:sz w:val="20"/>
                <w:szCs w:val="20"/>
                <w:highlight w:val="lightGray"/>
              </w:rPr>
              <w:t xml:space="preserve">: </w:t>
            </w:r>
          </w:p>
          <w:p w:rsidR="005E6200" w:rsidRPr="00422107" w:rsidRDefault="005E6200" w:rsidP="00125A31">
            <w:pPr>
              <w:pStyle w:val="a3"/>
              <w:numPr>
                <w:ilvl w:val="0"/>
                <w:numId w:val="14"/>
              </w:numPr>
              <w:jc w:val="both"/>
              <w:rPr>
                <w:rFonts w:ascii="Sylfaen" w:hAnsi="Sylfaen" w:cstheme="minorHAnsi"/>
                <w:color w:val="17365D" w:themeColor="text2" w:themeShade="BF"/>
                <w:sz w:val="20"/>
                <w:szCs w:val="20"/>
                <w:highlight w:val="lightGray"/>
              </w:rPr>
            </w:pPr>
            <w:r w:rsidRPr="00422107">
              <w:rPr>
                <w:rFonts w:ascii="Sylfaen" w:hAnsi="Sylfaen" w:cstheme="minorHAnsi"/>
                <w:color w:val="17365D" w:themeColor="text2" w:themeShade="BF"/>
                <w:sz w:val="20"/>
                <w:szCs w:val="20"/>
                <w:highlight w:val="lightGray"/>
              </w:rPr>
              <w:t xml:space="preserve">Labour Code </w:t>
            </w:r>
          </w:p>
          <w:p w:rsidR="005E6200" w:rsidRPr="00351597" w:rsidRDefault="005E6200" w:rsidP="00125A31">
            <w:pPr>
              <w:pStyle w:val="doc-ti"/>
              <w:shd w:val="clear" w:color="auto" w:fill="FFFFFF"/>
              <w:spacing w:before="0" w:beforeAutospacing="0" w:after="0" w:afterAutospacing="0"/>
              <w:jc w:val="both"/>
              <w:textAlignment w:val="baseline"/>
              <w:rPr>
                <w:rFonts w:ascii="Sylfaen" w:hAnsi="Sylfaen"/>
                <w:i/>
                <w:color w:val="17365D" w:themeColor="text2" w:themeShade="BF"/>
                <w:sz w:val="20"/>
                <w:szCs w:val="20"/>
              </w:rPr>
            </w:pPr>
            <w:r w:rsidRPr="00351597">
              <w:rPr>
                <w:rFonts w:ascii="Sylfaen" w:hAnsi="Sylfaen"/>
                <w:color w:val="17365D" w:themeColor="text2" w:themeShade="BF"/>
                <w:sz w:val="20"/>
                <w:szCs w:val="20"/>
              </w:rPr>
              <w:t xml:space="preserve">In 2017, the initial drafts were prepared in compliance with the EU directives, in particular: </w:t>
            </w:r>
            <w:r w:rsidRPr="00351597">
              <w:rPr>
                <w:rFonts w:ascii="Sylfaen" w:hAnsi="Sylfaen"/>
                <w:i/>
                <w:color w:val="17365D" w:themeColor="text2" w:themeShade="BF"/>
                <w:sz w:val="20"/>
                <w:szCs w:val="20"/>
              </w:rPr>
              <w:t xml:space="preserve">Council Directive 2000/78/EC of 27 November 2000 establishing a general framework for equal treatment in employment and occupation; Council Directive 2000/43/EC of 29 June 2000 implementing the principle of equal treatment between persons irrespective of racial or ethnic origin; </w:t>
            </w:r>
            <w:r w:rsidRPr="00351597">
              <w:rPr>
                <w:rFonts w:ascii="Sylfaen" w:hAnsi="Sylfaen"/>
                <w:i/>
                <w:color w:val="17365D" w:themeColor="text2" w:themeShade="BF"/>
                <w:sz w:val="20"/>
                <w:szCs w:val="20"/>
                <w:bdr w:val="none" w:sz="0" w:space="0" w:color="auto" w:frame="1"/>
              </w:rPr>
              <w:t>Council Directive</w:t>
            </w:r>
            <w:r w:rsidRPr="00351597">
              <w:rPr>
                <w:rFonts w:ascii="Sylfaen" w:hAnsi="Sylfaen"/>
                <w:i/>
                <w:color w:val="17365D" w:themeColor="text2" w:themeShade="BF"/>
                <w:sz w:val="20"/>
                <w:szCs w:val="20"/>
              </w:rPr>
              <w:t xml:space="preserve"> 2004/113/EC of 13 December 2004 implementing the principle of equal treatment between men and women in the access to and supply of goods and services. </w:t>
            </w:r>
          </w:p>
          <w:p w:rsidR="005E6200" w:rsidRPr="00351597" w:rsidRDefault="005E6200" w:rsidP="00125A31">
            <w:pPr>
              <w:pStyle w:val="doc-ti"/>
              <w:shd w:val="clear" w:color="auto" w:fill="FFFFFF"/>
              <w:spacing w:before="0" w:beforeAutospacing="0" w:after="0" w:afterAutospacing="0"/>
              <w:jc w:val="both"/>
              <w:textAlignment w:val="baseline"/>
              <w:rPr>
                <w:rFonts w:ascii="Sylfaen" w:hAnsi="Sylfaen"/>
                <w:b/>
                <w:bCs/>
                <w:color w:val="17365D" w:themeColor="text2" w:themeShade="BF"/>
                <w:sz w:val="20"/>
                <w:szCs w:val="20"/>
              </w:rPr>
            </w:pPr>
            <w:r w:rsidRPr="00351597">
              <w:rPr>
                <w:rFonts w:ascii="Sylfaen" w:hAnsi="Sylfaen"/>
                <w:color w:val="17365D" w:themeColor="text2" w:themeShade="BF"/>
                <w:sz w:val="20"/>
                <w:szCs w:val="20"/>
              </w:rPr>
              <w:t>The legislative package consists of the drafts of the amendments to the following organic laws and laws of Georgia: Organic Law of Georgia “Georgian Labor Code”; Law of Georgia on “Elimination of All Forms of Discrimination”; Law of Georgia on “Public Service”; Law of Georgia on “Gender Equality”.</w:t>
            </w:r>
          </w:p>
          <w:p w:rsidR="005E6200" w:rsidRPr="00351597" w:rsidRDefault="005E6200" w:rsidP="00125A31">
            <w:pPr>
              <w:autoSpaceDE w:val="0"/>
              <w:autoSpaceDN w:val="0"/>
              <w:jc w:val="both"/>
              <w:rPr>
                <w:rFonts w:ascii="Sylfaen" w:hAnsi="Sylfaen"/>
                <w:color w:val="17365D" w:themeColor="text2" w:themeShade="BF"/>
                <w:sz w:val="20"/>
                <w:szCs w:val="20"/>
              </w:rPr>
            </w:pPr>
            <w:r w:rsidRPr="00351597">
              <w:rPr>
                <w:rFonts w:ascii="Sylfaen" w:hAnsi="Sylfaen"/>
                <w:color w:val="17365D" w:themeColor="text2" w:themeShade="BF"/>
                <w:sz w:val="20"/>
                <w:szCs w:val="20"/>
              </w:rPr>
              <w:t>The mentioned legislative package was submitted to the Parliament of Georgia and is in the process of discussions.</w:t>
            </w:r>
          </w:p>
          <w:p w:rsidR="005E6200" w:rsidRPr="00351597" w:rsidRDefault="005E6200" w:rsidP="00125A31">
            <w:pPr>
              <w:jc w:val="both"/>
              <w:rPr>
                <w:rFonts w:ascii="Sylfaen" w:hAnsi="Sylfaen" w:cs="Calibri"/>
                <w:bCs/>
                <w:iCs/>
                <w:color w:val="17365D" w:themeColor="text2" w:themeShade="BF"/>
                <w:sz w:val="20"/>
                <w:szCs w:val="20"/>
                <w:lang w:val="en-US"/>
              </w:rPr>
            </w:pPr>
            <w:r w:rsidRPr="00351597">
              <w:rPr>
                <w:rFonts w:ascii="Sylfaen" w:hAnsi="Sylfaen" w:cs="Calibri"/>
                <w:bCs/>
                <w:iCs/>
                <w:color w:val="17365D" w:themeColor="text2" w:themeShade="BF"/>
                <w:sz w:val="20"/>
                <w:szCs w:val="20"/>
              </w:rPr>
              <w:t xml:space="preserve">Currently, the Ministry of Labour, Health and Social Affairs of Georgia is working on the amendments to </w:t>
            </w:r>
            <w:r w:rsidRPr="00351597">
              <w:rPr>
                <w:rFonts w:ascii="Sylfaen" w:hAnsi="Sylfaen" w:cs="Calibri"/>
                <w:bCs/>
                <w:iCs/>
                <w:color w:val="17365D" w:themeColor="text2" w:themeShade="BF"/>
                <w:sz w:val="20"/>
                <w:szCs w:val="20"/>
                <w:lang w:val="ka-GE"/>
              </w:rPr>
              <w:t xml:space="preserve">the labour legislation in </w:t>
            </w:r>
            <w:r w:rsidRPr="00351597">
              <w:rPr>
                <w:rFonts w:ascii="Sylfaen" w:hAnsi="Sylfaen" w:cs="Calibri"/>
                <w:bCs/>
                <w:iCs/>
                <w:color w:val="17365D" w:themeColor="text2" w:themeShade="BF"/>
                <w:sz w:val="20"/>
                <w:szCs w:val="20"/>
                <w:lang w:val="en-US"/>
              </w:rPr>
              <w:t>compliance</w:t>
            </w:r>
            <w:r w:rsidRPr="00351597">
              <w:rPr>
                <w:rFonts w:ascii="Sylfaen" w:hAnsi="Sylfaen" w:cs="Calibri"/>
                <w:bCs/>
                <w:iCs/>
                <w:color w:val="17365D" w:themeColor="text2" w:themeShade="BF"/>
                <w:sz w:val="20"/>
                <w:szCs w:val="20"/>
                <w:lang w:val="ka-GE"/>
              </w:rPr>
              <w:t xml:space="preserve"> with the following EU directives.</w:t>
            </w:r>
          </w:p>
          <w:p w:rsidR="005E6200" w:rsidRPr="00351597" w:rsidRDefault="005E6200" w:rsidP="00125A31">
            <w:pPr>
              <w:pStyle w:val="a3"/>
              <w:numPr>
                <w:ilvl w:val="0"/>
                <w:numId w:val="22"/>
              </w:numPr>
              <w:autoSpaceDE w:val="0"/>
              <w:autoSpaceDN w:val="0"/>
              <w:adjustRightInd w:val="0"/>
              <w:jc w:val="both"/>
              <w:rPr>
                <w:rFonts w:ascii="Sylfaen" w:hAnsi="Sylfaen" w:cs="EUAlbertina-Regu"/>
                <w:color w:val="17365D" w:themeColor="text2" w:themeShade="BF"/>
                <w:sz w:val="20"/>
                <w:szCs w:val="20"/>
                <w:lang w:val="ka-GE"/>
              </w:rPr>
            </w:pPr>
            <w:r w:rsidRPr="00351597">
              <w:rPr>
                <w:rFonts w:ascii="Sylfaen" w:hAnsi="Sylfaen" w:cs="EUAlbertina-Regu"/>
                <w:color w:val="17365D" w:themeColor="text2" w:themeShade="BF"/>
                <w:sz w:val="20"/>
                <w:szCs w:val="20"/>
              </w:rPr>
              <w:t>Directive 2006/54/EC of the European Parliament and of the Council of 5 July 2006 on the implementation of the principle of equal opportunities and equal treatment of men and women in matters of employment and occupation</w:t>
            </w:r>
          </w:p>
          <w:p w:rsidR="005E6200" w:rsidRPr="00351597" w:rsidRDefault="005E6200" w:rsidP="00125A31">
            <w:pPr>
              <w:pStyle w:val="a3"/>
              <w:numPr>
                <w:ilvl w:val="0"/>
                <w:numId w:val="22"/>
              </w:numPr>
              <w:autoSpaceDE w:val="0"/>
              <w:autoSpaceDN w:val="0"/>
              <w:adjustRightInd w:val="0"/>
              <w:jc w:val="both"/>
              <w:rPr>
                <w:rFonts w:ascii="Sylfaen" w:hAnsi="Sylfaen" w:cs="EUAlbertina-Regu"/>
                <w:color w:val="17365D" w:themeColor="text2" w:themeShade="BF"/>
                <w:sz w:val="20"/>
                <w:szCs w:val="20"/>
                <w:lang w:val="ka-GE"/>
              </w:rPr>
            </w:pPr>
            <w:r w:rsidRPr="00351597">
              <w:rPr>
                <w:rFonts w:ascii="Sylfaen" w:hAnsi="Sylfaen" w:cs="EUAlbertina-Regu"/>
                <w:color w:val="17365D" w:themeColor="text2" w:themeShade="BF"/>
                <w:sz w:val="20"/>
                <w:szCs w:val="20"/>
              </w:rPr>
              <w:t>Council Directive 91/533/EEC of 14 October 1991 on an employer's obligation to inform employees of the conditions applicable to the contract or employment relationship</w:t>
            </w:r>
          </w:p>
          <w:p w:rsidR="005E6200" w:rsidRPr="00351597" w:rsidRDefault="005E6200" w:rsidP="00125A31">
            <w:pPr>
              <w:pStyle w:val="a3"/>
              <w:numPr>
                <w:ilvl w:val="0"/>
                <w:numId w:val="22"/>
              </w:numPr>
              <w:autoSpaceDE w:val="0"/>
              <w:autoSpaceDN w:val="0"/>
              <w:adjustRightInd w:val="0"/>
              <w:jc w:val="both"/>
              <w:rPr>
                <w:rFonts w:ascii="Sylfaen" w:hAnsi="Sylfaen" w:cs="EUAlbertina-Regu"/>
                <w:color w:val="17365D" w:themeColor="text2" w:themeShade="BF"/>
                <w:sz w:val="20"/>
                <w:szCs w:val="20"/>
                <w:lang w:val="ka-GE"/>
              </w:rPr>
            </w:pPr>
            <w:r w:rsidRPr="00351597">
              <w:rPr>
                <w:rFonts w:ascii="Sylfaen" w:hAnsi="Sylfaen" w:cs="EUAlbertina-Regu"/>
                <w:color w:val="17365D" w:themeColor="text2" w:themeShade="BF"/>
                <w:sz w:val="20"/>
                <w:szCs w:val="20"/>
              </w:rPr>
              <w:t>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w:t>
            </w:r>
          </w:p>
          <w:p w:rsidR="005E6200" w:rsidRPr="00351597" w:rsidRDefault="005E6200" w:rsidP="00125A31">
            <w:pPr>
              <w:pStyle w:val="a3"/>
              <w:numPr>
                <w:ilvl w:val="0"/>
                <w:numId w:val="22"/>
              </w:numPr>
              <w:autoSpaceDE w:val="0"/>
              <w:autoSpaceDN w:val="0"/>
              <w:adjustRightInd w:val="0"/>
              <w:jc w:val="both"/>
              <w:rPr>
                <w:rFonts w:ascii="Sylfaen" w:hAnsi="Sylfaen" w:cs="EUAlbertina-Regu"/>
                <w:color w:val="17365D" w:themeColor="text2" w:themeShade="BF"/>
                <w:sz w:val="20"/>
                <w:szCs w:val="20"/>
                <w:lang w:val="ka-GE"/>
              </w:rPr>
            </w:pPr>
            <w:r w:rsidRPr="00351597">
              <w:rPr>
                <w:rFonts w:ascii="Sylfaen" w:hAnsi="Sylfaen" w:cs="EUAlbertina-Regu"/>
                <w:color w:val="17365D" w:themeColor="text2" w:themeShade="BF"/>
                <w:sz w:val="20"/>
                <w:szCs w:val="20"/>
              </w:rPr>
              <w:t>Council Directive 97/81/EC of 15 December 1997 concerning the Framework Agreement on part-time work concluded by UNICE, CEEP and the ETUC - Annex: Framework agreement on part-time work</w:t>
            </w:r>
          </w:p>
          <w:p w:rsidR="005E6200" w:rsidRPr="00351597" w:rsidRDefault="005E6200" w:rsidP="00125A31">
            <w:pPr>
              <w:pStyle w:val="a3"/>
              <w:numPr>
                <w:ilvl w:val="0"/>
                <w:numId w:val="22"/>
              </w:numPr>
              <w:autoSpaceDE w:val="0"/>
              <w:autoSpaceDN w:val="0"/>
              <w:adjustRightInd w:val="0"/>
              <w:jc w:val="both"/>
              <w:rPr>
                <w:rFonts w:ascii="Sylfaen" w:hAnsi="Sylfaen" w:cs="EUAlbertina-Regu"/>
                <w:color w:val="17365D" w:themeColor="text2" w:themeShade="BF"/>
                <w:sz w:val="20"/>
                <w:szCs w:val="20"/>
                <w:lang w:val="ka-GE"/>
              </w:rPr>
            </w:pPr>
            <w:r w:rsidRPr="00351597">
              <w:rPr>
                <w:rFonts w:ascii="Sylfaen" w:hAnsi="Sylfaen" w:cs="EUAlbertina-Regu"/>
                <w:color w:val="17365D" w:themeColor="text2" w:themeShade="BF"/>
                <w:sz w:val="20"/>
                <w:szCs w:val="20"/>
              </w:rPr>
              <w:lastRenderedPageBreak/>
              <w:t>Council Directive 1999/70/EC of 28 June 1999 concerning the framework agreement on fixed-term work concluded by ETUC, UNICE and CEEP</w:t>
            </w:r>
          </w:p>
          <w:p w:rsidR="005E6200" w:rsidRPr="00351597" w:rsidRDefault="005E6200" w:rsidP="00125A31">
            <w:pPr>
              <w:pStyle w:val="a3"/>
              <w:numPr>
                <w:ilvl w:val="0"/>
                <w:numId w:val="22"/>
              </w:numPr>
              <w:autoSpaceDE w:val="0"/>
              <w:autoSpaceDN w:val="0"/>
              <w:adjustRightInd w:val="0"/>
              <w:jc w:val="both"/>
              <w:rPr>
                <w:rFonts w:ascii="Sylfaen" w:hAnsi="Sylfaen" w:cs="EUAlbertina-Regu"/>
                <w:color w:val="17365D" w:themeColor="text2" w:themeShade="BF"/>
                <w:sz w:val="20"/>
                <w:szCs w:val="20"/>
                <w:lang w:val="ka-GE"/>
              </w:rPr>
            </w:pPr>
            <w:r w:rsidRPr="00351597">
              <w:rPr>
                <w:rFonts w:ascii="Sylfaen" w:hAnsi="Sylfaen" w:cs="EUAlbertina-Regu"/>
                <w:color w:val="17365D" w:themeColor="text2" w:themeShade="BF"/>
                <w:sz w:val="20"/>
                <w:szCs w:val="20"/>
              </w:rPr>
              <w:t>Directive 2002/14/EC of the European Parliament and of the Council of 11 March 2002 establishing a general framework for informing and consulting employees in the European Community - Joint declaration of the European Parliament, the Council and the Commission on employee representation.</w:t>
            </w:r>
          </w:p>
          <w:p w:rsidR="005E6200" w:rsidRPr="00351597" w:rsidRDefault="005E6200" w:rsidP="00125A31">
            <w:pPr>
              <w:pStyle w:val="a3"/>
              <w:autoSpaceDE w:val="0"/>
              <w:autoSpaceDN w:val="0"/>
              <w:adjustRightInd w:val="0"/>
              <w:ind w:left="0"/>
              <w:jc w:val="both"/>
              <w:rPr>
                <w:rFonts w:ascii="Sylfaen" w:hAnsi="Sylfaen" w:cs="EUAlbertina-Regu"/>
                <w:color w:val="17365D" w:themeColor="text2" w:themeShade="BF"/>
                <w:sz w:val="20"/>
                <w:szCs w:val="20"/>
              </w:rPr>
            </w:pPr>
            <w:r w:rsidRPr="00351597">
              <w:rPr>
                <w:rFonts w:ascii="Sylfaen" w:hAnsi="Sylfaen" w:cs="EUAlbertina-Regu"/>
                <w:color w:val="17365D" w:themeColor="text2" w:themeShade="BF"/>
                <w:sz w:val="20"/>
                <w:szCs w:val="20"/>
              </w:rPr>
              <w:t>The drafts will be communicated with stakeholders, discussed by the Tripartite Social Partnership Commission. after the decision is made by involved parties, the legislative package will be submitted to the Government of Georgia and consequently, to the Parliament of Georgia for adoption.</w:t>
            </w:r>
          </w:p>
          <w:p w:rsidR="005E6200" w:rsidRPr="00351597" w:rsidRDefault="005E6200" w:rsidP="00125A31">
            <w:pPr>
              <w:jc w:val="both"/>
              <w:rPr>
                <w:rFonts w:ascii="Sylfaen" w:hAnsi="Sylfaen" w:cstheme="minorHAnsi"/>
                <w:color w:val="17365D" w:themeColor="text2" w:themeShade="BF"/>
                <w:sz w:val="20"/>
                <w:szCs w:val="20"/>
                <w:lang w:val="ka-GE"/>
              </w:rPr>
            </w:pPr>
            <w:r w:rsidRPr="00351597">
              <w:rPr>
                <w:rFonts w:ascii="Sylfaen" w:hAnsi="Sylfaen"/>
                <w:color w:val="17365D" w:themeColor="text2" w:themeShade="BF"/>
                <w:sz w:val="20"/>
                <w:szCs w:val="20"/>
                <w:lang w:val="en-US"/>
              </w:rPr>
              <w:t>The draft of the employment service act is in the process of discussion.</w:t>
            </w:r>
          </w:p>
          <w:p w:rsidR="005E6200" w:rsidRPr="00422107" w:rsidRDefault="005E6200" w:rsidP="00125A31">
            <w:pPr>
              <w:pStyle w:val="a3"/>
              <w:numPr>
                <w:ilvl w:val="0"/>
                <w:numId w:val="14"/>
              </w:numPr>
              <w:jc w:val="both"/>
              <w:rPr>
                <w:rFonts w:ascii="Sylfaen" w:hAnsi="Sylfaen" w:cstheme="minorHAnsi"/>
                <w:color w:val="17365D" w:themeColor="text2" w:themeShade="BF"/>
                <w:sz w:val="20"/>
                <w:szCs w:val="20"/>
                <w:highlight w:val="lightGray"/>
              </w:rPr>
            </w:pPr>
            <w:r w:rsidRPr="00422107">
              <w:rPr>
                <w:rFonts w:ascii="Sylfaen" w:hAnsi="Sylfaen" w:cstheme="minorHAnsi"/>
                <w:color w:val="17365D" w:themeColor="text2" w:themeShade="BF"/>
                <w:sz w:val="20"/>
                <w:szCs w:val="20"/>
                <w:highlight w:val="lightGray"/>
              </w:rPr>
              <w:t xml:space="preserve">OSH Law and other legislation in the area of OSH and labour law </w:t>
            </w:r>
          </w:p>
          <w:p w:rsidR="005E6200" w:rsidRPr="00351597" w:rsidRDefault="005E6200" w:rsidP="00125A31">
            <w:pPr>
              <w:jc w:val="both"/>
              <w:rPr>
                <w:rFonts w:ascii="Sylfaen" w:hAnsi="Sylfaen" w:cs="Sylfaen"/>
                <w:color w:val="17365D" w:themeColor="text2" w:themeShade="BF"/>
                <w:sz w:val="20"/>
                <w:szCs w:val="20"/>
                <w:lang w:val="ka-GE"/>
              </w:rPr>
            </w:pPr>
            <w:r w:rsidRPr="00351597">
              <w:rPr>
                <w:rFonts w:ascii="Sylfaen" w:hAnsi="Sylfaen"/>
                <w:color w:val="17365D" w:themeColor="text2" w:themeShade="BF"/>
                <w:sz w:val="20"/>
                <w:szCs w:val="20"/>
              </w:rPr>
              <w:t xml:space="preserve">In June 2017 Georgian government initiated draft Law on Occupational Safety to the parliament of Georgia which entered into force on March 21 2018.  The legislative package includes amendments to the following legal acts: </w:t>
            </w:r>
          </w:p>
          <w:p w:rsidR="005E6200" w:rsidRPr="00351597" w:rsidRDefault="005E6200" w:rsidP="00125A31">
            <w:pPr>
              <w:pStyle w:val="a3"/>
              <w:numPr>
                <w:ilvl w:val="0"/>
                <w:numId w:val="23"/>
              </w:numPr>
              <w:contextualSpacing w:val="0"/>
              <w:jc w:val="both"/>
              <w:rPr>
                <w:rFonts w:ascii="Sylfaen" w:hAnsi="Sylfaen"/>
                <w:color w:val="17365D" w:themeColor="text2" w:themeShade="BF"/>
                <w:sz w:val="20"/>
                <w:szCs w:val="20"/>
              </w:rPr>
            </w:pPr>
            <w:r w:rsidRPr="00351597">
              <w:rPr>
                <w:rFonts w:ascii="Sylfaen" w:hAnsi="Sylfaen"/>
                <w:color w:val="17365D" w:themeColor="text2" w:themeShade="BF"/>
                <w:sz w:val="20"/>
                <w:szCs w:val="20"/>
              </w:rPr>
              <w:t>Law of Georgia on “Control on Entrepreneurial Activity”;</w:t>
            </w:r>
          </w:p>
          <w:p w:rsidR="005E6200" w:rsidRPr="00351597" w:rsidRDefault="005E6200" w:rsidP="00125A31">
            <w:pPr>
              <w:pStyle w:val="a3"/>
              <w:numPr>
                <w:ilvl w:val="0"/>
                <w:numId w:val="23"/>
              </w:numPr>
              <w:contextualSpacing w:val="0"/>
              <w:jc w:val="both"/>
              <w:rPr>
                <w:rFonts w:ascii="Sylfaen" w:hAnsi="Sylfaen"/>
                <w:color w:val="17365D" w:themeColor="text2" w:themeShade="BF"/>
                <w:sz w:val="20"/>
                <w:szCs w:val="20"/>
              </w:rPr>
            </w:pPr>
            <w:r w:rsidRPr="00351597">
              <w:rPr>
                <w:rFonts w:ascii="Sylfaen" w:hAnsi="Sylfaen"/>
                <w:color w:val="17365D" w:themeColor="text2" w:themeShade="BF"/>
                <w:sz w:val="20"/>
                <w:szCs w:val="20"/>
              </w:rPr>
              <w:t>Law of Georgia “Administrative Procedural Code”;</w:t>
            </w:r>
          </w:p>
          <w:p w:rsidR="005E6200" w:rsidRPr="00351597" w:rsidRDefault="005E6200" w:rsidP="00125A31">
            <w:pPr>
              <w:pStyle w:val="a3"/>
              <w:numPr>
                <w:ilvl w:val="0"/>
                <w:numId w:val="23"/>
              </w:numPr>
              <w:contextualSpacing w:val="0"/>
              <w:jc w:val="both"/>
              <w:rPr>
                <w:rFonts w:ascii="Sylfaen" w:hAnsi="Sylfaen"/>
                <w:color w:val="17365D" w:themeColor="text2" w:themeShade="BF"/>
                <w:sz w:val="20"/>
                <w:szCs w:val="20"/>
              </w:rPr>
            </w:pPr>
            <w:r w:rsidRPr="00351597">
              <w:rPr>
                <w:rFonts w:ascii="Sylfaen" w:hAnsi="Sylfaen"/>
                <w:color w:val="17365D" w:themeColor="text2" w:themeShade="BF"/>
                <w:sz w:val="20"/>
                <w:szCs w:val="20"/>
              </w:rPr>
              <w:t>Law of Georgia “Product Safety and Free Movement Code;</w:t>
            </w:r>
          </w:p>
          <w:p w:rsidR="005E6200" w:rsidRPr="00351597" w:rsidRDefault="005E6200" w:rsidP="00125A31">
            <w:pPr>
              <w:pStyle w:val="a3"/>
              <w:numPr>
                <w:ilvl w:val="0"/>
                <w:numId w:val="23"/>
              </w:numPr>
              <w:contextualSpacing w:val="0"/>
              <w:jc w:val="both"/>
              <w:rPr>
                <w:rFonts w:ascii="Sylfaen" w:hAnsi="Sylfaen"/>
                <w:color w:val="17365D" w:themeColor="text2" w:themeShade="BF"/>
                <w:sz w:val="20"/>
                <w:szCs w:val="20"/>
              </w:rPr>
            </w:pPr>
            <w:r w:rsidRPr="00351597">
              <w:rPr>
                <w:rFonts w:ascii="Sylfaen" w:hAnsi="Sylfaen"/>
                <w:color w:val="17365D" w:themeColor="text2" w:themeShade="BF"/>
                <w:sz w:val="20"/>
                <w:szCs w:val="20"/>
              </w:rPr>
              <w:t>Law of Georgia “Administrative Code of Georgia”</w:t>
            </w:r>
          </w:p>
          <w:p w:rsidR="005E6200" w:rsidRPr="00351597" w:rsidRDefault="005E6200" w:rsidP="0020135E">
            <w:pPr>
              <w:contextualSpacing/>
              <w:jc w:val="both"/>
              <w:rPr>
                <w:rFonts w:ascii="Sylfaen" w:hAnsi="Sylfaen"/>
                <w:color w:val="17365D" w:themeColor="text2" w:themeShade="BF"/>
                <w:sz w:val="20"/>
                <w:szCs w:val="20"/>
                <w:shd w:val="clear" w:color="auto" w:fill="FFFFFF"/>
              </w:rPr>
            </w:pPr>
            <w:r w:rsidRPr="00351597">
              <w:rPr>
                <w:rFonts w:ascii="Sylfaen" w:hAnsi="Sylfaen"/>
                <w:color w:val="17365D" w:themeColor="text2" w:themeShade="BF"/>
                <w:sz w:val="20"/>
                <w:szCs w:val="20"/>
                <w:shd w:val="clear" w:color="auto" w:fill="FFFFFF"/>
              </w:rPr>
              <w:t>The Ministry of Labour, Health and Social Affairs of Georgia currently is in the process of elaboration of the national occupational health and safety strategy/policy document together with the action plan.</w:t>
            </w:r>
          </w:p>
          <w:p w:rsidR="005E6200" w:rsidRPr="00351597" w:rsidRDefault="005E6200" w:rsidP="00125A31">
            <w:pPr>
              <w:contextualSpacing/>
              <w:jc w:val="both"/>
              <w:rPr>
                <w:rFonts w:ascii="Sylfaen" w:hAnsi="Sylfaen"/>
                <w:color w:val="17365D" w:themeColor="text2" w:themeShade="BF"/>
                <w:sz w:val="20"/>
                <w:szCs w:val="20"/>
                <w:shd w:val="clear" w:color="auto" w:fill="FFFFFF"/>
              </w:rPr>
            </w:pPr>
            <w:r w:rsidRPr="00351597">
              <w:rPr>
                <w:rFonts w:ascii="Sylfaen" w:hAnsi="Sylfaen"/>
                <w:color w:val="17365D" w:themeColor="text2" w:themeShade="BF"/>
                <w:sz w:val="20"/>
                <w:szCs w:val="20"/>
                <w:shd w:val="clear" w:color="auto" w:fill="FFFFFF"/>
              </w:rPr>
              <w:t xml:space="preserve">The state program on Labour Conditions Inspecting Department covers inspection of labour rights (issuing recommendations in a pilot regime). </w:t>
            </w:r>
          </w:p>
          <w:p w:rsidR="005E6200" w:rsidRPr="00351597" w:rsidRDefault="005E6200" w:rsidP="00125A31">
            <w:pPr>
              <w:tabs>
                <w:tab w:val="left" w:pos="810"/>
              </w:tabs>
              <w:contextualSpacing/>
              <w:jc w:val="both"/>
              <w:rPr>
                <w:rFonts w:ascii="Sylfaen" w:hAnsi="Sylfaen"/>
                <w:color w:val="17365D" w:themeColor="text2" w:themeShade="BF"/>
                <w:sz w:val="20"/>
                <w:szCs w:val="20"/>
                <w:shd w:val="clear" w:color="auto" w:fill="FFFFFF"/>
              </w:rPr>
            </w:pPr>
            <w:r w:rsidRPr="00351597">
              <w:rPr>
                <w:rFonts w:ascii="Sylfaen" w:hAnsi="Sylfaen"/>
                <w:color w:val="17365D" w:themeColor="text2" w:themeShade="BF"/>
                <w:sz w:val="20"/>
                <w:szCs w:val="20"/>
                <w:shd w:val="clear" w:color="auto" w:fill="FFFFFF"/>
              </w:rPr>
              <w:t>In May 2017 a joint decree of the Minister of Labour, Health and Social Affairs of Georgia and Minister of Economy and Sustainable Development of Georgia was issued according to which occupational safety will be inspected in harm, hazardous and harmful working places mandatorily, without consent of the employer.  </w:t>
            </w:r>
          </w:p>
          <w:p w:rsidR="005E6200" w:rsidRPr="00351597" w:rsidRDefault="005E6200" w:rsidP="00125A31">
            <w:pPr>
              <w:framePr w:hSpace="180" w:wrap="around" w:vAnchor="text" w:hAnchor="margin" w:y="303"/>
              <w:autoSpaceDE w:val="0"/>
              <w:autoSpaceDN w:val="0"/>
              <w:adjustRightInd w:val="0"/>
              <w:jc w:val="both"/>
              <w:rPr>
                <w:rFonts w:ascii="Sylfaen" w:hAnsi="Sylfaen"/>
                <w:color w:val="17365D" w:themeColor="text2" w:themeShade="BF"/>
                <w:sz w:val="20"/>
                <w:szCs w:val="20"/>
                <w:shd w:val="clear" w:color="auto" w:fill="FFFFFF"/>
                <w:lang w:val="ka-GE"/>
              </w:rPr>
            </w:pPr>
            <w:r w:rsidRPr="00351597">
              <w:rPr>
                <w:rFonts w:ascii="Sylfaen" w:hAnsi="Sylfaen"/>
                <w:color w:val="17365D" w:themeColor="text2" w:themeShade="BF"/>
                <w:sz w:val="20"/>
                <w:szCs w:val="20"/>
                <w:shd w:val="clear" w:color="auto" w:fill="FFFFFF"/>
              </w:rPr>
              <w:t xml:space="preserve">In addition, the new technical regulation on prevention of  falling down  from construction has been approved by the  governmental resolution  N477  according to which power of all state bodies responsible  for supervision on construction including </w:t>
            </w:r>
            <w:proofErr w:type="spellStart"/>
            <w:r w:rsidRPr="00351597">
              <w:rPr>
                <w:rFonts w:ascii="Sylfaen" w:hAnsi="Sylfaen"/>
                <w:color w:val="17365D" w:themeColor="text2" w:themeShade="BF"/>
                <w:sz w:val="20"/>
                <w:szCs w:val="20"/>
                <w:shd w:val="clear" w:color="auto" w:fill="FFFFFF"/>
              </w:rPr>
              <w:t>labor</w:t>
            </w:r>
            <w:proofErr w:type="spellEnd"/>
            <w:r w:rsidRPr="00351597">
              <w:rPr>
                <w:rFonts w:ascii="Sylfaen" w:hAnsi="Sylfaen"/>
                <w:color w:val="17365D" w:themeColor="text2" w:themeShade="BF"/>
                <w:sz w:val="20"/>
                <w:szCs w:val="20"/>
                <w:shd w:val="clear" w:color="auto" w:fill="FFFFFF"/>
              </w:rPr>
              <w:t xml:space="preserve"> inspection department  has been strengthened.</w:t>
            </w:r>
          </w:p>
          <w:p w:rsidR="005E6200" w:rsidRPr="00351597" w:rsidRDefault="005E6200" w:rsidP="00125A31">
            <w:pPr>
              <w:jc w:val="both"/>
              <w:rPr>
                <w:rFonts w:ascii="Sylfaen" w:hAnsi="Sylfaen" w:cstheme="minorHAnsi"/>
                <w:color w:val="17365D" w:themeColor="text2" w:themeShade="BF"/>
                <w:sz w:val="20"/>
                <w:szCs w:val="20"/>
                <w:highlight w:val="yellow"/>
                <w:lang w:val="ka-GE"/>
              </w:rPr>
            </w:pPr>
          </w:p>
          <w:p w:rsidR="005E6200" w:rsidRPr="00422107" w:rsidRDefault="005E6200" w:rsidP="00125A31">
            <w:pPr>
              <w:pStyle w:val="a3"/>
              <w:numPr>
                <w:ilvl w:val="0"/>
                <w:numId w:val="14"/>
              </w:numPr>
              <w:jc w:val="both"/>
              <w:rPr>
                <w:rFonts w:ascii="Sylfaen" w:hAnsi="Sylfaen" w:cstheme="minorHAnsi"/>
                <w:color w:val="17365D" w:themeColor="text2" w:themeShade="BF"/>
                <w:sz w:val="20"/>
                <w:szCs w:val="20"/>
                <w:highlight w:val="lightGray"/>
              </w:rPr>
            </w:pPr>
            <w:r w:rsidRPr="00422107">
              <w:rPr>
                <w:rFonts w:ascii="Sylfaen" w:hAnsi="Sylfaen"/>
                <w:color w:val="17365D" w:themeColor="text2" w:themeShade="BF"/>
                <w:sz w:val="20"/>
                <w:szCs w:val="20"/>
                <w:highlight w:val="lightGray"/>
                <w:lang w:val="en-US"/>
              </w:rPr>
              <w:t>Labour Inspectorate, including capacity building</w:t>
            </w:r>
            <w:r w:rsidRPr="00422107">
              <w:rPr>
                <w:rFonts w:ascii="Sylfaen" w:hAnsi="Sylfaen" w:cstheme="minorHAnsi"/>
                <w:color w:val="17365D" w:themeColor="text2" w:themeShade="BF"/>
                <w:sz w:val="20"/>
                <w:szCs w:val="20"/>
                <w:highlight w:val="lightGray"/>
              </w:rPr>
              <w:t xml:space="preserve"> </w:t>
            </w:r>
          </w:p>
          <w:p w:rsidR="005E6200" w:rsidRPr="00351597" w:rsidRDefault="005E6200" w:rsidP="00125A31">
            <w:pPr>
              <w:autoSpaceDE w:val="0"/>
              <w:autoSpaceDN w:val="0"/>
              <w:adjustRightInd w:val="0"/>
              <w:jc w:val="both"/>
              <w:rPr>
                <w:rFonts w:ascii="Sylfaen" w:hAnsi="Sylfaen"/>
                <w:color w:val="17365D" w:themeColor="text2" w:themeShade="BF"/>
                <w:sz w:val="20"/>
                <w:szCs w:val="20"/>
                <w:shd w:val="clear" w:color="auto" w:fill="FFFFFF"/>
                <w:lang w:val="en-US"/>
              </w:rPr>
            </w:pPr>
            <w:r w:rsidRPr="00351597">
              <w:rPr>
                <w:rFonts w:ascii="Sylfaen" w:hAnsi="Sylfaen"/>
                <w:color w:val="17365D" w:themeColor="text2" w:themeShade="BF"/>
                <w:sz w:val="20"/>
                <w:szCs w:val="20"/>
                <w:shd w:val="clear" w:color="auto" w:fill="FFFFFF"/>
              </w:rPr>
              <w:t>Institutionalization and establishment of fully fledged labour inspection is in the process</w:t>
            </w:r>
            <w:r w:rsidRPr="00351597">
              <w:rPr>
                <w:rFonts w:ascii="Sylfaen" w:hAnsi="Sylfaen"/>
                <w:color w:val="17365D" w:themeColor="text2" w:themeShade="BF"/>
                <w:sz w:val="20"/>
                <w:szCs w:val="20"/>
                <w:shd w:val="clear" w:color="auto" w:fill="FFFFFF"/>
                <w:lang w:val="en-US"/>
              </w:rPr>
              <w:t>.</w:t>
            </w:r>
          </w:p>
          <w:p w:rsidR="005E6200" w:rsidRPr="00351597" w:rsidRDefault="005E6200" w:rsidP="00125A31">
            <w:pPr>
              <w:pStyle w:val="a3"/>
              <w:ind w:left="0"/>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From 2015 to 2017, recruited inspectors participated in the following training activities with the following content: </w:t>
            </w:r>
          </w:p>
          <w:p w:rsidR="005E6200" w:rsidRPr="00351597" w:rsidRDefault="005E6200" w:rsidP="00125A31">
            <w:pPr>
              <w:pStyle w:val="a3"/>
              <w:numPr>
                <w:ilvl w:val="0"/>
                <w:numId w:val="24"/>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Introductory training on workplace compliance;</w:t>
            </w:r>
          </w:p>
          <w:p w:rsidR="005E6200" w:rsidRPr="00351597" w:rsidRDefault="005E6200" w:rsidP="00125A31">
            <w:pPr>
              <w:pStyle w:val="a3"/>
              <w:numPr>
                <w:ilvl w:val="0"/>
                <w:numId w:val="24"/>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Labour rights, forced labour and trafficking in human beings;</w:t>
            </w:r>
          </w:p>
          <w:p w:rsidR="005E6200" w:rsidRPr="00351597" w:rsidRDefault="005E6200" w:rsidP="00125A31">
            <w:pPr>
              <w:pStyle w:val="a3"/>
              <w:numPr>
                <w:ilvl w:val="0"/>
                <w:numId w:val="24"/>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Health and safety management</w:t>
            </w:r>
            <w:r w:rsidRPr="00351597">
              <w:rPr>
                <w:rFonts w:ascii="Sylfaen" w:hAnsi="Sylfaen"/>
                <w:b/>
                <w:color w:val="17365D" w:themeColor="text2" w:themeShade="BF"/>
                <w:sz w:val="20"/>
                <w:szCs w:val="20"/>
              </w:rPr>
              <w:t xml:space="preserve"> </w:t>
            </w:r>
            <w:r w:rsidRPr="00351597">
              <w:rPr>
                <w:rFonts w:ascii="Sylfaen" w:hAnsi="Sylfaen"/>
                <w:color w:val="17365D" w:themeColor="text2" w:themeShade="BF"/>
                <w:sz w:val="20"/>
                <w:szCs w:val="20"/>
              </w:rPr>
              <w:t>systems;</w:t>
            </w:r>
          </w:p>
          <w:p w:rsidR="005E6200" w:rsidRPr="00351597" w:rsidRDefault="005E6200" w:rsidP="00125A31">
            <w:pPr>
              <w:pStyle w:val="a3"/>
              <w:numPr>
                <w:ilvl w:val="0"/>
                <w:numId w:val="24"/>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Fire and electric safety;</w:t>
            </w:r>
          </w:p>
          <w:p w:rsidR="005E6200" w:rsidRPr="00351597" w:rsidRDefault="005E6200" w:rsidP="00125A31">
            <w:pPr>
              <w:pStyle w:val="a3"/>
              <w:numPr>
                <w:ilvl w:val="0"/>
                <w:numId w:val="24"/>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Workplace sanitary and hygiene;</w:t>
            </w:r>
          </w:p>
          <w:p w:rsidR="005E6200" w:rsidRPr="00351597" w:rsidRDefault="005E6200" w:rsidP="00125A31">
            <w:pPr>
              <w:pStyle w:val="a3"/>
              <w:numPr>
                <w:ilvl w:val="0"/>
                <w:numId w:val="25"/>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The investigation of occupational accident and diseases;</w:t>
            </w:r>
          </w:p>
          <w:p w:rsidR="005E6200" w:rsidRPr="00351597" w:rsidRDefault="005E6200" w:rsidP="00125A31">
            <w:pPr>
              <w:pStyle w:val="a3"/>
              <w:numPr>
                <w:ilvl w:val="0"/>
                <w:numId w:val="25"/>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Risk assessments and control of substances hazardous to health; </w:t>
            </w:r>
          </w:p>
          <w:p w:rsidR="005E6200" w:rsidRPr="00351597" w:rsidRDefault="005E6200" w:rsidP="00125A31">
            <w:pPr>
              <w:pStyle w:val="a3"/>
              <w:numPr>
                <w:ilvl w:val="0"/>
                <w:numId w:val="25"/>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Common hazards at construction activities and respective control measures;</w:t>
            </w:r>
          </w:p>
          <w:p w:rsidR="005E6200" w:rsidRPr="00351597" w:rsidRDefault="005E6200" w:rsidP="00125A31">
            <w:pPr>
              <w:numPr>
                <w:ilvl w:val="0"/>
                <w:numId w:val="25"/>
              </w:numPr>
              <w:jc w:val="both"/>
              <w:rPr>
                <w:rFonts w:ascii="Sylfaen" w:hAnsi="Sylfaen"/>
                <w:b/>
                <w:color w:val="17365D" w:themeColor="text2" w:themeShade="BF"/>
                <w:sz w:val="20"/>
                <w:szCs w:val="20"/>
              </w:rPr>
            </w:pPr>
            <w:r w:rsidRPr="00351597">
              <w:rPr>
                <w:rFonts w:ascii="Sylfaen" w:hAnsi="Sylfaen"/>
                <w:color w:val="17365D" w:themeColor="text2" w:themeShade="BF"/>
                <w:sz w:val="20"/>
                <w:szCs w:val="20"/>
              </w:rPr>
              <w:t>Planning of labour inspection policy;</w:t>
            </w:r>
          </w:p>
          <w:p w:rsidR="005E6200" w:rsidRPr="00351597" w:rsidRDefault="005E6200" w:rsidP="00125A31">
            <w:pPr>
              <w:pStyle w:val="a3"/>
              <w:numPr>
                <w:ilvl w:val="0"/>
                <w:numId w:val="25"/>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Conducting labour inspections on construction sites;</w:t>
            </w:r>
          </w:p>
          <w:p w:rsidR="005E6200" w:rsidRPr="00351597" w:rsidRDefault="005E6200" w:rsidP="00125A31">
            <w:pPr>
              <w:pStyle w:val="a3"/>
              <w:numPr>
                <w:ilvl w:val="0"/>
                <w:numId w:val="25"/>
              </w:num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Health and safety standards at textile workplaces.</w:t>
            </w:r>
          </w:p>
          <w:p w:rsidR="005E6200" w:rsidRPr="00351597" w:rsidRDefault="005E6200" w:rsidP="00125A31">
            <w:pPr>
              <w:jc w:val="both"/>
              <w:rPr>
                <w:rFonts w:ascii="Sylfaen" w:hAnsi="Sylfaen" w:cstheme="minorHAnsi"/>
                <w:b/>
                <w:bCs/>
                <w:i/>
                <w:iCs/>
                <w:color w:val="17365D" w:themeColor="text2" w:themeShade="BF"/>
                <w:sz w:val="20"/>
                <w:szCs w:val="20"/>
              </w:rPr>
            </w:pPr>
            <w:r w:rsidRPr="00351597">
              <w:rPr>
                <w:rFonts w:ascii="Sylfaen" w:hAnsi="Sylfaen"/>
                <w:color w:val="17365D" w:themeColor="text2" w:themeShade="BF"/>
                <w:sz w:val="20"/>
                <w:szCs w:val="20"/>
              </w:rPr>
              <w:t xml:space="preserve">In order to implement new responsibilities, the Ministry is planning numerous activities targeted towards technical improvement and capacity building of Labour Conditions Inspection Department, meaning that the Ministry intends to recruit and train new labour inspectors together with the current staff.   </w:t>
            </w:r>
            <w:r w:rsidRPr="00351597">
              <w:rPr>
                <w:rFonts w:ascii="Sylfaen" w:hAnsi="Sylfaen" w:cstheme="minorHAnsi"/>
                <w:color w:val="17365D" w:themeColor="text2" w:themeShade="BF"/>
                <w:sz w:val="20"/>
                <w:szCs w:val="20"/>
                <w:lang w:val="ka-GE"/>
              </w:rPr>
              <w:t xml:space="preserve"> </w:t>
            </w:r>
          </w:p>
        </w:tc>
        <w:tc>
          <w:tcPr>
            <w:tcW w:w="810" w:type="dxa"/>
          </w:tcPr>
          <w:p w:rsidR="005E6200" w:rsidRPr="00351597" w:rsidRDefault="005E6200"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lastRenderedPageBreak/>
              <w:t>EU</w:t>
            </w:r>
          </w:p>
        </w:tc>
      </w:tr>
      <w:tr w:rsidR="005F3176" w:rsidRPr="00351597" w:rsidTr="00E65EC7">
        <w:trPr>
          <w:trHeight w:val="537"/>
        </w:trPr>
        <w:tc>
          <w:tcPr>
            <w:tcW w:w="1548" w:type="dxa"/>
            <w:vMerge/>
            <w:vAlign w:val="center"/>
          </w:tcPr>
          <w:p w:rsidR="005F3176" w:rsidRPr="00351597" w:rsidRDefault="005F3176"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vMerge/>
          </w:tcPr>
          <w:p w:rsidR="005F3176" w:rsidRPr="00351597" w:rsidRDefault="005F3176" w:rsidP="00125A31">
            <w:pPr>
              <w:jc w:val="both"/>
              <w:rPr>
                <w:rFonts w:ascii="Sylfaen" w:hAnsi="Sylfaen" w:cstheme="minorHAnsi"/>
                <w:color w:val="17365D" w:themeColor="text2" w:themeShade="BF"/>
                <w:sz w:val="20"/>
                <w:szCs w:val="20"/>
              </w:rPr>
            </w:pPr>
          </w:p>
        </w:tc>
        <w:tc>
          <w:tcPr>
            <w:tcW w:w="810" w:type="dxa"/>
          </w:tcPr>
          <w:p w:rsidR="005F3176" w:rsidRDefault="005F3176" w:rsidP="00125A31">
            <w:pPr>
              <w:autoSpaceDE w:val="0"/>
              <w:autoSpaceDN w:val="0"/>
              <w:adjustRightInd w:val="0"/>
              <w:jc w:val="center"/>
              <w:rPr>
                <w:rFonts w:ascii="Sylfaen" w:hAnsi="Sylfaen" w:cstheme="minorHAnsi"/>
                <w:b/>
                <w:bCs/>
                <w:iCs/>
                <w:color w:val="17365D" w:themeColor="text2" w:themeShade="BF"/>
                <w:sz w:val="20"/>
                <w:szCs w:val="20"/>
              </w:rPr>
            </w:pPr>
          </w:p>
          <w:p w:rsidR="005F3176" w:rsidRDefault="005F3176" w:rsidP="00125A31">
            <w:pPr>
              <w:autoSpaceDE w:val="0"/>
              <w:autoSpaceDN w:val="0"/>
              <w:adjustRightInd w:val="0"/>
              <w:jc w:val="center"/>
              <w:rPr>
                <w:rFonts w:ascii="Sylfaen" w:hAnsi="Sylfaen" w:cstheme="minorHAnsi"/>
                <w:b/>
                <w:bCs/>
                <w:iCs/>
                <w:color w:val="17365D" w:themeColor="text2" w:themeShade="BF"/>
                <w:sz w:val="20"/>
                <w:szCs w:val="20"/>
              </w:rPr>
            </w:pPr>
          </w:p>
          <w:p w:rsidR="005F3176" w:rsidRPr="00351597" w:rsidRDefault="005F3176" w:rsidP="00125A31">
            <w:pPr>
              <w:autoSpaceDE w:val="0"/>
              <w:autoSpaceDN w:val="0"/>
              <w:adjustRightInd w:val="0"/>
              <w:jc w:val="center"/>
              <w:rPr>
                <w:rFonts w:ascii="Sylfaen" w:hAnsi="Sylfaen" w:cstheme="minorHAnsi"/>
                <w:b/>
                <w:bCs/>
                <w:iCs/>
                <w:color w:val="17365D" w:themeColor="text2" w:themeShade="BF"/>
                <w:sz w:val="20"/>
                <w:szCs w:val="20"/>
              </w:rPr>
            </w:pPr>
            <w:r>
              <w:rPr>
                <w:rFonts w:ascii="Sylfaen" w:hAnsi="Sylfaen" w:cstheme="minorHAnsi"/>
                <w:b/>
                <w:bCs/>
                <w:iCs/>
                <w:color w:val="17365D" w:themeColor="text2" w:themeShade="BF"/>
                <w:sz w:val="20"/>
                <w:szCs w:val="20"/>
              </w:rPr>
              <w:t>GE</w:t>
            </w:r>
          </w:p>
        </w:tc>
      </w:tr>
      <w:tr w:rsidR="00E77146" w:rsidRPr="00351597" w:rsidTr="004F027A">
        <w:trPr>
          <w:trHeight w:val="377"/>
        </w:trPr>
        <w:tc>
          <w:tcPr>
            <w:tcW w:w="1548" w:type="dxa"/>
            <w:shd w:val="clear" w:color="auto" w:fill="D9D9D9" w:themeFill="background1" w:themeFillShade="D9"/>
            <w:vAlign w:val="center"/>
          </w:tcPr>
          <w:p w:rsidR="00E77146" w:rsidRPr="00351597" w:rsidRDefault="00E77146"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shd w:val="clear" w:color="auto" w:fill="D9D9D9" w:themeFill="background1" w:themeFillShade="D9"/>
          </w:tcPr>
          <w:p w:rsidR="00E77146" w:rsidRPr="00351597" w:rsidRDefault="00E77146" w:rsidP="00125A31">
            <w:pPr>
              <w:rPr>
                <w:rFonts w:ascii="Sylfaen" w:hAnsi="Sylfaen" w:cstheme="minorHAnsi"/>
                <w:b/>
                <w:color w:val="17365D" w:themeColor="text2" w:themeShade="BF"/>
                <w:sz w:val="20"/>
                <w:szCs w:val="20"/>
              </w:rPr>
            </w:pPr>
            <w:r w:rsidRPr="00351597">
              <w:rPr>
                <w:rFonts w:ascii="Sylfaen" w:hAnsi="Sylfaen" w:cstheme="minorHAnsi"/>
                <w:b/>
                <w:color w:val="17365D" w:themeColor="text2" w:themeShade="BF"/>
                <w:sz w:val="20"/>
                <w:szCs w:val="20"/>
              </w:rPr>
              <w:t>Break</w:t>
            </w:r>
          </w:p>
        </w:tc>
        <w:tc>
          <w:tcPr>
            <w:tcW w:w="810" w:type="dxa"/>
            <w:shd w:val="clear" w:color="auto" w:fill="D9D9D9" w:themeFill="background1" w:themeFillShade="D9"/>
          </w:tcPr>
          <w:p w:rsidR="00E77146" w:rsidRPr="00351597" w:rsidRDefault="00E77146" w:rsidP="00125A31">
            <w:pPr>
              <w:autoSpaceDE w:val="0"/>
              <w:autoSpaceDN w:val="0"/>
              <w:adjustRightInd w:val="0"/>
              <w:jc w:val="center"/>
              <w:rPr>
                <w:rFonts w:ascii="Sylfaen" w:hAnsi="Sylfaen" w:cstheme="minorHAnsi"/>
                <w:b/>
                <w:bCs/>
                <w:iCs/>
                <w:color w:val="17365D" w:themeColor="text2" w:themeShade="BF"/>
                <w:sz w:val="20"/>
                <w:szCs w:val="20"/>
              </w:rPr>
            </w:pPr>
          </w:p>
        </w:tc>
      </w:tr>
      <w:tr w:rsidR="00351597" w:rsidRPr="00351597" w:rsidTr="004F027A">
        <w:tc>
          <w:tcPr>
            <w:tcW w:w="1548" w:type="dxa"/>
            <w:vAlign w:val="center"/>
          </w:tcPr>
          <w:p w:rsidR="006512F3" w:rsidRPr="00351597" w:rsidRDefault="006512F3"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6512F3" w:rsidRPr="00351597" w:rsidRDefault="006512F3" w:rsidP="00C91900">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12</w:t>
            </w:r>
          </w:p>
          <w:p w:rsidR="002C5F56" w:rsidRPr="00351597" w:rsidRDefault="002C5F56" w:rsidP="002C5F56">
            <w:pPr>
              <w:spacing w:after="120"/>
              <w:jc w:val="both"/>
              <w:rPr>
                <w:rFonts w:asciiTheme="majorHAnsi" w:hAnsiTheme="majorHAnsi" w:cstheme="minorHAnsi"/>
                <w:color w:val="17365D" w:themeColor="text2" w:themeShade="BF"/>
                <w:sz w:val="20"/>
                <w:szCs w:val="20"/>
              </w:rPr>
            </w:pPr>
            <w:r w:rsidRPr="003428A1">
              <w:rPr>
                <w:rFonts w:asciiTheme="majorHAnsi" w:hAnsiTheme="majorHAnsi" w:cstheme="minorHAnsi"/>
                <w:color w:val="17365D" w:themeColor="text2" w:themeShade="BF"/>
                <w:sz w:val="20"/>
                <w:szCs w:val="20"/>
                <w:highlight w:val="lightGray"/>
                <w:u w:val="single"/>
              </w:rPr>
              <w:lastRenderedPageBreak/>
              <w:t>Social Dialogue:</w:t>
            </w:r>
            <w:r w:rsidRPr="003428A1">
              <w:rPr>
                <w:rFonts w:asciiTheme="majorHAnsi" w:hAnsiTheme="majorHAnsi" w:cstheme="minorHAnsi"/>
                <w:color w:val="17365D" w:themeColor="text2" w:themeShade="BF"/>
                <w:sz w:val="20"/>
                <w:szCs w:val="20"/>
                <w:highlight w:val="lightGray"/>
              </w:rPr>
              <w:t xml:space="preserve"> up-date on the work of the Tripartite Commission for Social Partnership (TCSP)</w:t>
            </w:r>
          </w:p>
          <w:p w:rsidR="002C5F56" w:rsidRPr="00351597" w:rsidRDefault="002C5F56" w:rsidP="002C5F56">
            <w:pPr>
              <w:autoSpaceDE w:val="0"/>
              <w:autoSpaceDN w:val="0"/>
              <w:jc w:val="both"/>
              <w:rPr>
                <w:rFonts w:ascii="Times New Roman" w:hAnsi="Times New Roman" w:cs="Times New Roman"/>
                <w:b/>
                <w:bCs/>
                <w:color w:val="17365D" w:themeColor="text2" w:themeShade="BF"/>
                <w:sz w:val="20"/>
                <w:szCs w:val="20"/>
              </w:rPr>
            </w:pPr>
            <w:r w:rsidRPr="00351597">
              <w:rPr>
                <w:rFonts w:ascii="Times New Roman" w:hAnsi="Times New Roman" w:cs="Times New Roman"/>
                <w:color w:val="17365D" w:themeColor="text2" w:themeShade="BF"/>
                <w:sz w:val="20"/>
                <w:szCs w:val="20"/>
              </w:rPr>
              <w:t xml:space="preserve">The last meeting of the Tripartite Social Partnership Commission was held on February 10, 2017. The commission made several crucial decisions, in particular, approved candidates of </w:t>
            </w:r>
            <w:proofErr w:type="spellStart"/>
            <w:r w:rsidRPr="00351597">
              <w:rPr>
                <w:rFonts w:ascii="Times New Roman" w:hAnsi="Times New Roman" w:cs="Times New Roman"/>
                <w:color w:val="17365D" w:themeColor="text2" w:themeShade="BF"/>
                <w:sz w:val="20"/>
                <w:szCs w:val="20"/>
              </w:rPr>
              <w:t>labor</w:t>
            </w:r>
            <w:proofErr w:type="spellEnd"/>
            <w:r w:rsidRPr="00351597">
              <w:rPr>
                <w:rFonts w:ascii="Times New Roman" w:hAnsi="Times New Roman" w:cs="Times New Roman"/>
                <w:color w:val="17365D" w:themeColor="text2" w:themeShade="BF"/>
                <w:sz w:val="20"/>
                <w:szCs w:val="20"/>
              </w:rPr>
              <w:t xml:space="preserve"> mediators, made a decision to ratify specific articles/paragraphs of European Social Charter, pilot social dialogue in a form of TSPC in Adjara region, etc.  In order for the Ministry to fulfil the task given by the Commission (TSPC) with the support of ILO a strategic planning meeting was held in Batumi for piloting social dialogue at the regional level. Before the meeting TSPC secretariat and the government of Adjara communicated and the decision has been made about the composition of the TSPC in Adjara. Currently, Government of </w:t>
            </w:r>
            <w:r w:rsidRPr="00351597">
              <w:rPr>
                <w:rFonts w:ascii="Times New Roman" w:hAnsi="Times New Roman" w:cs="Times New Roman"/>
                <w:color w:val="17365D" w:themeColor="text2" w:themeShade="BF"/>
                <w:sz w:val="20"/>
                <w:szCs w:val="20"/>
                <w:shd w:val="clear" w:color="auto" w:fill="FFFFFF"/>
              </w:rPr>
              <w:t xml:space="preserve">Autonomous Republic of </w:t>
            </w:r>
            <w:r w:rsidRPr="00351597">
              <w:rPr>
                <w:rFonts w:ascii="Times New Roman" w:hAnsi="Times New Roman" w:cs="Times New Roman"/>
                <w:color w:val="17365D" w:themeColor="text2" w:themeShade="BF"/>
                <w:sz w:val="20"/>
                <w:szCs w:val="20"/>
              </w:rPr>
              <w:t>Adjara is actively working in terms of approving relevant bylaws in order to ensure existence and functioning of social dialogue at the regional level.</w:t>
            </w:r>
          </w:p>
          <w:p w:rsidR="002C5F56" w:rsidRPr="00351597" w:rsidRDefault="002C5F56" w:rsidP="002C5F56">
            <w:pPr>
              <w:autoSpaceDE w:val="0"/>
              <w:autoSpaceDN w:val="0"/>
              <w:jc w:val="both"/>
              <w:rPr>
                <w:rFonts w:ascii="Times New Roman" w:hAnsi="Times New Roman" w:cs="Times New Roman"/>
                <w:color w:val="17365D" w:themeColor="text2" w:themeShade="BF"/>
                <w:sz w:val="20"/>
                <w:szCs w:val="20"/>
                <w:lang w:val="en-US"/>
              </w:rPr>
            </w:pPr>
          </w:p>
          <w:p w:rsidR="002C5F56" w:rsidRPr="00351597" w:rsidRDefault="002C5F56" w:rsidP="002C5F56">
            <w:pPr>
              <w:autoSpaceDE w:val="0"/>
              <w:autoSpaceDN w:val="0"/>
              <w:jc w:val="both"/>
              <w:rPr>
                <w:rFonts w:ascii="Times New Roman" w:hAnsi="Times New Roman" w:cs="Times New Roman"/>
                <w:b/>
                <w:bCs/>
                <w:color w:val="17365D" w:themeColor="text2" w:themeShade="BF"/>
                <w:sz w:val="20"/>
                <w:szCs w:val="20"/>
              </w:rPr>
            </w:pPr>
            <w:r w:rsidRPr="00351597">
              <w:rPr>
                <w:rFonts w:ascii="Times New Roman" w:hAnsi="Times New Roman" w:cs="Times New Roman"/>
                <w:b/>
                <w:bCs/>
                <w:color w:val="17365D" w:themeColor="text2" w:themeShade="BF"/>
                <w:sz w:val="20"/>
                <w:szCs w:val="20"/>
              </w:rPr>
              <w:t>There have been three meetings of the TSPC: May 1, 2014; April 11, 2016 and February 10, 2017.</w:t>
            </w:r>
          </w:p>
          <w:p w:rsidR="002C5F56" w:rsidRPr="00351597" w:rsidRDefault="002C5F56" w:rsidP="002C5F56">
            <w:pPr>
              <w:autoSpaceDE w:val="0"/>
              <w:autoSpaceDN w:val="0"/>
              <w:jc w:val="both"/>
              <w:rPr>
                <w:rFonts w:ascii="Times New Roman" w:hAnsi="Times New Roman" w:cs="Times New Roman"/>
                <w:b/>
                <w:bCs/>
                <w:color w:val="17365D" w:themeColor="text2" w:themeShade="BF"/>
                <w:sz w:val="20"/>
                <w:szCs w:val="20"/>
              </w:rPr>
            </w:pPr>
          </w:p>
          <w:p w:rsidR="002C5F56" w:rsidRPr="00351597" w:rsidRDefault="002C5F56" w:rsidP="002C5F56">
            <w:pPr>
              <w:autoSpaceDE w:val="0"/>
              <w:autoSpaceDN w:val="0"/>
              <w:jc w:val="both"/>
              <w:rPr>
                <w:rFonts w:ascii="Times New Roman" w:hAnsi="Times New Roman" w:cs="Times New Roman"/>
                <w:color w:val="17365D" w:themeColor="text2" w:themeShade="BF"/>
                <w:sz w:val="20"/>
                <w:szCs w:val="20"/>
              </w:rPr>
            </w:pPr>
            <w:r w:rsidRPr="00351597">
              <w:rPr>
                <w:rFonts w:ascii="Times New Roman" w:hAnsi="Times New Roman" w:cs="Times New Roman"/>
                <w:color w:val="17365D" w:themeColor="text2" w:themeShade="BF"/>
                <w:sz w:val="20"/>
                <w:szCs w:val="20"/>
              </w:rPr>
              <w:t xml:space="preserve">In cooperation with the ILO, it is planned to strengthen capacity of the Tripartite Commission and its Secretariat, which will make the work of the Commission effective and will also influence positive outcomes of the social dialogue. </w:t>
            </w:r>
          </w:p>
          <w:p w:rsidR="002C5F56" w:rsidRPr="00351597" w:rsidRDefault="002C5F56" w:rsidP="002C5F56">
            <w:pPr>
              <w:autoSpaceDE w:val="0"/>
              <w:autoSpaceDN w:val="0"/>
              <w:jc w:val="both"/>
              <w:rPr>
                <w:rFonts w:ascii="Times New Roman" w:hAnsi="Times New Roman" w:cs="Times New Roman"/>
                <w:color w:val="17365D" w:themeColor="text2" w:themeShade="BF"/>
                <w:sz w:val="20"/>
                <w:szCs w:val="20"/>
              </w:rPr>
            </w:pPr>
          </w:p>
          <w:p w:rsidR="00C91900" w:rsidRPr="00351597" w:rsidRDefault="002C5F56" w:rsidP="002C5F56">
            <w:pPr>
              <w:autoSpaceDE w:val="0"/>
              <w:autoSpaceDN w:val="0"/>
              <w:adjustRightInd w:val="0"/>
              <w:rPr>
                <w:rFonts w:ascii="Sylfaen" w:hAnsi="Sylfaen" w:cstheme="minorHAnsi"/>
                <w:color w:val="17365D" w:themeColor="text2" w:themeShade="BF"/>
                <w:sz w:val="20"/>
                <w:szCs w:val="20"/>
                <w:u w:val="single"/>
              </w:rPr>
            </w:pPr>
            <w:r w:rsidRPr="00351597">
              <w:rPr>
                <w:rFonts w:ascii="Times New Roman" w:hAnsi="Times New Roman" w:cs="Times New Roman"/>
                <w:color w:val="17365D" w:themeColor="text2" w:themeShade="BF"/>
                <w:sz w:val="20"/>
                <w:szCs w:val="20"/>
              </w:rPr>
              <w:t xml:space="preserve">International Labour Organization </w:t>
            </w:r>
            <w:r w:rsidRPr="00351597">
              <w:rPr>
                <w:rFonts w:ascii="Sylfaen" w:hAnsi="Sylfaen"/>
                <w:color w:val="17365D" w:themeColor="text2" w:themeShade="BF"/>
                <w:sz w:val="20"/>
                <w:szCs w:val="20"/>
              </w:rPr>
              <w:t xml:space="preserve">organized </w:t>
            </w:r>
            <w:r w:rsidRPr="00351597">
              <w:rPr>
                <w:rFonts w:ascii="Times New Roman" w:hAnsi="Times New Roman" w:cs="Times New Roman"/>
                <w:color w:val="17365D" w:themeColor="text2" w:themeShade="BF"/>
                <w:sz w:val="20"/>
                <w:szCs w:val="20"/>
              </w:rPr>
              <w:t xml:space="preserve">a strategic planning meeting for Tripartite Social Partnership Commission, February </w:t>
            </w:r>
            <w:r w:rsidRPr="00351597">
              <w:rPr>
                <w:rFonts w:ascii="Times New Roman" w:hAnsi="Times New Roman" w:cs="Times New Roman"/>
                <w:color w:val="17365D" w:themeColor="text2" w:themeShade="BF"/>
                <w:sz w:val="20"/>
                <w:szCs w:val="20"/>
                <w:lang w:val="ka-GE"/>
              </w:rPr>
              <w:t>1</w:t>
            </w:r>
            <w:r w:rsidRPr="00351597">
              <w:rPr>
                <w:rFonts w:ascii="Times New Roman" w:hAnsi="Times New Roman" w:cs="Times New Roman"/>
                <w:color w:val="17365D" w:themeColor="text2" w:themeShade="BF"/>
                <w:sz w:val="20"/>
                <w:szCs w:val="20"/>
              </w:rPr>
              <w:t>8</w:t>
            </w:r>
            <w:r w:rsidRPr="00351597">
              <w:rPr>
                <w:rFonts w:ascii="Times New Roman" w:hAnsi="Times New Roman" w:cs="Times New Roman"/>
                <w:color w:val="17365D" w:themeColor="text2" w:themeShade="BF"/>
                <w:sz w:val="20"/>
                <w:szCs w:val="20"/>
                <w:vertAlign w:val="superscript"/>
              </w:rPr>
              <w:t>th</w:t>
            </w:r>
            <w:r w:rsidRPr="00351597">
              <w:rPr>
                <w:rFonts w:ascii="Times New Roman" w:hAnsi="Times New Roman" w:cs="Times New Roman"/>
                <w:color w:val="17365D" w:themeColor="text2" w:themeShade="BF"/>
                <w:sz w:val="20"/>
                <w:szCs w:val="20"/>
              </w:rPr>
              <w:t xml:space="preserve">, 2018, in </w:t>
            </w:r>
            <w:r w:rsidRPr="00351597">
              <w:rPr>
                <w:rFonts w:ascii="Times New Roman" w:hAnsi="Times New Roman" w:cs="Times New Roman"/>
                <w:color w:val="17365D" w:themeColor="text2" w:themeShade="BF"/>
                <w:sz w:val="20"/>
                <w:szCs w:val="20"/>
                <w:lang w:val="ka-GE"/>
              </w:rPr>
              <w:t>Kachreti</w:t>
            </w:r>
            <w:r w:rsidRPr="00351597">
              <w:rPr>
                <w:rFonts w:ascii="Times New Roman" w:hAnsi="Times New Roman" w:cs="Times New Roman"/>
                <w:color w:val="17365D" w:themeColor="text2" w:themeShade="BF"/>
                <w:sz w:val="20"/>
                <w:szCs w:val="20"/>
              </w:rPr>
              <w:t>, Georgia. The event was attended by the representatives of International Labour Organization, Government of Georgia, Parliament of Georgia and the social partners.  The first-morning session focused on review of the 2016-2017 strategic plan of the Tripartite Social Partnership Commission and the evening session covered discussions on forthcoming plans for 2018-2019. Social partners identified the topics the commission will be working on next two years.</w:t>
            </w:r>
          </w:p>
        </w:tc>
        <w:tc>
          <w:tcPr>
            <w:tcW w:w="810" w:type="dxa"/>
          </w:tcPr>
          <w:p w:rsidR="006512F3" w:rsidRDefault="006512F3" w:rsidP="00125A31">
            <w:pPr>
              <w:jc w:val="center"/>
              <w:rPr>
                <w:rFonts w:ascii="Sylfaen" w:hAnsi="Sylfaen"/>
                <w:b/>
                <w:color w:val="17365D" w:themeColor="text2" w:themeShade="BF"/>
                <w:sz w:val="20"/>
                <w:szCs w:val="20"/>
              </w:rPr>
            </w:pPr>
          </w:p>
          <w:p w:rsidR="004F027A" w:rsidRDefault="004F027A" w:rsidP="00125A31">
            <w:pPr>
              <w:jc w:val="center"/>
              <w:rPr>
                <w:rFonts w:ascii="Sylfaen" w:hAnsi="Sylfaen"/>
                <w:b/>
                <w:color w:val="17365D" w:themeColor="text2" w:themeShade="BF"/>
                <w:sz w:val="20"/>
                <w:szCs w:val="20"/>
              </w:rPr>
            </w:pPr>
          </w:p>
          <w:p w:rsidR="004F027A" w:rsidRPr="00351597" w:rsidRDefault="004F027A" w:rsidP="00125A31">
            <w:pPr>
              <w:jc w:val="center"/>
              <w:rPr>
                <w:rFonts w:ascii="Sylfaen" w:hAnsi="Sylfaen"/>
                <w:b/>
                <w:color w:val="17365D" w:themeColor="text2" w:themeShade="BF"/>
                <w:sz w:val="20"/>
                <w:szCs w:val="20"/>
              </w:rPr>
            </w:pPr>
            <w:r>
              <w:rPr>
                <w:rFonts w:ascii="Sylfaen" w:hAnsi="Sylfaen"/>
                <w:b/>
                <w:color w:val="17365D" w:themeColor="text2" w:themeShade="BF"/>
                <w:sz w:val="20"/>
                <w:szCs w:val="20"/>
              </w:rPr>
              <w:t>GE</w:t>
            </w:r>
          </w:p>
        </w:tc>
      </w:tr>
      <w:tr w:rsidR="00351597" w:rsidRPr="00351597" w:rsidTr="004F027A">
        <w:tc>
          <w:tcPr>
            <w:tcW w:w="1548" w:type="dxa"/>
            <w:vAlign w:val="center"/>
          </w:tcPr>
          <w:p w:rsidR="00C362D0" w:rsidRPr="00351597" w:rsidRDefault="00C362D0"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C362D0" w:rsidRPr="00351597" w:rsidRDefault="00C362D0"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13</w:t>
            </w:r>
          </w:p>
          <w:p w:rsidR="00C362D0" w:rsidRPr="00351597" w:rsidRDefault="00C362D0" w:rsidP="00125A31">
            <w:pPr>
              <w:autoSpaceDE w:val="0"/>
              <w:autoSpaceDN w:val="0"/>
              <w:adjustRightInd w:val="0"/>
              <w:jc w:val="both"/>
              <w:rPr>
                <w:rFonts w:ascii="Sylfaen" w:hAnsi="Sylfaen" w:cstheme="minorHAnsi"/>
                <w:i/>
                <w:color w:val="17365D" w:themeColor="text2" w:themeShade="BF"/>
                <w:sz w:val="20"/>
                <w:szCs w:val="20"/>
              </w:rPr>
            </w:pPr>
            <w:r w:rsidRPr="00351597">
              <w:rPr>
                <w:rFonts w:ascii="Sylfaen" w:hAnsi="Sylfaen" w:cstheme="minorHAnsi"/>
                <w:color w:val="17365D" w:themeColor="text2" w:themeShade="BF"/>
                <w:sz w:val="20"/>
                <w:szCs w:val="20"/>
                <w:u w:val="single"/>
              </w:rPr>
              <w:t>Employment Policy</w:t>
            </w:r>
            <w:r w:rsidRPr="00351597">
              <w:rPr>
                <w:rFonts w:ascii="Sylfaen" w:hAnsi="Sylfaen" w:cstheme="minorHAnsi"/>
                <w:color w:val="17365D" w:themeColor="text2" w:themeShade="BF"/>
                <w:sz w:val="20"/>
                <w:szCs w:val="20"/>
              </w:rPr>
              <w:t>: up-date on Georgia main employment challenges and on Government's main policy priorities, reform implementation, administrative capacities, in particular:</w:t>
            </w:r>
            <w:r w:rsidRPr="00351597">
              <w:rPr>
                <w:rFonts w:ascii="Sylfaen" w:hAnsi="Sylfaen" w:cstheme="minorHAnsi"/>
                <w:i/>
                <w:color w:val="17365D" w:themeColor="text2" w:themeShade="BF"/>
                <w:sz w:val="20"/>
                <w:szCs w:val="20"/>
              </w:rPr>
              <w:tab/>
            </w:r>
          </w:p>
          <w:p w:rsidR="00C362D0" w:rsidRPr="00AA114C" w:rsidRDefault="00C362D0" w:rsidP="00125A31">
            <w:pPr>
              <w:pStyle w:val="a3"/>
              <w:numPr>
                <w:ilvl w:val="0"/>
                <w:numId w:val="14"/>
              </w:numPr>
              <w:jc w:val="both"/>
              <w:rPr>
                <w:rFonts w:ascii="Sylfaen" w:hAnsi="Sylfaen" w:cstheme="minorHAnsi"/>
                <w:color w:val="17365D" w:themeColor="text2" w:themeShade="BF"/>
                <w:sz w:val="20"/>
                <w:szCs w:val="20"/>
                <w:highlight w:val="lightGray"/>
              </w:rPr>
            </w:pPr>
            <w:r w:rsidRPr="00AA114C">
              <w:rPr>
                <w:rFonts w:ascii="Sylfaen" w:hAnsi="Sylfaen" w:cstheme="minorHAnsi"/>
                <w:color w:val="17365D" w:themeColor="text2" w:themeShade="BF"/>
                <w:sz w:val="20"/>
                <w:szCs w:val="20"/>
                <w:highlight w:val="lightGray"/>
              </w:rPr>
              <w:t xml:space="preserve">Employment Services </w:t>
            </w:r>
          </w:p>
          <w:p w:rsidR="00C362D0" w:rsidRPr="00AA114C" w:rsidRDefault="00C362D0" w:rsidP="00125A31">
            <w:pPr>
              <w:pStyle w:val="a3"/>
              <w:numPr>
                <w:ilvl w:val="0"/>
                <w:numId w:val="14"/>
              </w:numPr>
              <w:jc w:val="both"/>
              <w:rPr>
                <w:rFonts w:ascii="Sylfaen" w:hAnsi="Sylfaen" w:cstheme="minorHAnsi"/>
                <w:color w:val="17365D" w:themeColor="text2" w:themeShade="BF"/>
                <w:sz w:val="20"/>
                <w:szCs w:val="20"/>
                <w:highlight w:val="lightGray"/>
              </w:rPr>
            </w:pPr>
            <w:r w:rsidRPr="00AA114C">
              <w:rPr>
                <w:rFonts w:ascii="Sylfaen" w:hAnsi="Sylfaen" w:cstheme="minorHAnsi"/>
                <w:color w:val="17365D" w:themeColor="text2" w:themeShade="BF"/>
                <w:sz w:val="20"/>
                <w:szCs w:val="20"/>
                <w:highlight w:val="lightGray"/>
              </w:rPr>
              <w:t>State Strategy, Labour market programmes</w:t>
            </w:r>
          </w:p>
          <w:p w:rsidR="00C362D0" w:rsidRPr="00351597" w:rsidRDefault="00C362D0" w:rsidP="00125A31">
            <w:pPr>
              <w:autoSpaceDE w:val="0"/>
              <w:autoSpaceDN w:val="0"/>
              <w:adjustRightInd w:val="0"/>
              <w:jc w:val="both"/>
              <w:rPr>
                <w:rFonts w:ascii="Sylfaen" w:hAnsi="Sylfaen" w:cs="Calibri"/>
                <w:bCs/>
                <w:iCs/>
                <w:color w:val="17365D" w:themeColor="text2" w:themeShade="BF"/>
                <w:sz w:val="20"/>
                <w:szCs w:val="20"/>
              </w:rPr>
            </w:pPr>
            <w:r w:rsidRPr="00351597">
              <w:rPr>
                <w:rFonts w:ascii="Sylfaen" w:hAnsi="Sylfaen" w:cs="Calibri"/>
                <w:bCs/>
                <w:iCs/>
                <w:color w:val="17365D" w:themeColor="text2" w:themeShade="BF"/>
                <w:sz w:val="20"/>
                <w:szCs w:val="20"/>
              </w:rPr>
              <w:t>The government of Georgia is implementing active labour market policy through state programs on training and retraining and qualification raising for job seekers and employment support services development. Currently, the Ministry is working on the labour and employment policy strategy and its action plan together with employment service act.</w:t>
            </w:r>
          </w:p>
          <w:p w:rsidR="00DE0603" w:rsidRPr="00AA114C" w:rsidRDefault="00C362D0" w:rsidP="00DE0603">
            <w:pPr>
              <w:pStyle w:val="a3"/>
              <w:numPr>
                <w:ilvl w:val="0"/>
                <w:numId w:val="14"/>
              </w:numPr>
              <w:jc w:val="both"/>
              <w:rPr>
                <w:rFonts w:ascii="Sylfaen" w:hAnsi="Sylfaen" w:cstheme="minorHAnsi"/>
                <w:color w:val="17365D" w:themeColor="text2" w:themeShade="BF"/>
                <w:sz w:val="20"/>
                <w:szCs w:val="20"/>
                <w:highlight w:val="lightGray"/>
              </w:rPr>
            </w:pPr>
            <w:r w:rsidRPr="00AA114C">
              <w:rPr>
                <w:rFonts w:ascii="Sylfaen" w:hAnsi="Sylfaen" w:cstheme="minorHAnsi"/>
                <w:color w:val="17365D" w:themeColor="text2" w:themeShade="BF"/>
                <w:sz w:val="20"/>
                <w:szCs w:val="20"/>
                <w:highlight w:val="lightGray"/>
              </w:rPr>
              <w:t>Emplo</w:t>
            </w:r>
            <w:r w:rsidR="00DE0603" w:rsidRPr="00AA114C">
              <w:rPr>
                <w:rFonts w:ascii="Sylfaen" w:hAnsi="Sylfaen" w:cstheme="minorHAnsi"/>
                <w:color w:val="17365D" w:themeColor="text2" w:themeShade="BF"/>
                <w:sz w:val="20"/>
                <w:szCs w:val="20"/>
                <w:highlight w:val="lightGray"/>
              </w:rPr>
              <w:t>yment and Vocational Education</w:t>
            </w:r>
            <w:r w:rsidRPr="00AA114C">
              <w:rPr>
                <w:rFonts w:ascii="Sylfaen" w:hAnsi="Sylfaen" w:cstheme="minorHAnsi"/>
                <w:color w:val="17365D" w:themeColor="text2" w:themeShade="BF"/>
                <w:sz w:val="20"/>
                <w:szCs w:val="20"/>
                <w:highlight w:val="lightGray"/>
              </w:rPr>
              <w:t xml:space="preserve"> and Training (VET)</w:t>
            </w:r>
          </w:p>
          <w:p w:rsidR="00DE0603" w:rsidRPr="00351597" w:rsidRDefault="00DE0603" w:rsidP="00DE0603">
            <w:pPr>
              <w:pStyle w:val="a3"/>
              <w:jc w:val="both"/>
              <w:rPr>
                <w:rFonts w:ascii="Sylfaen" w:hAnsi="Sylfaen" w:cstheme="minorHAnsi"/>
                <w:color w:val="17365D" w:themeColor="text2" w:themeShade="BF"/>
                <w:sz w:val="20"/>
                <w:szCs w:val="20"/>
                <w:highlight w:val="yellow"/>
              </w:rPr>
            </w:pPr>
          </w:p>
          <w:p w:rsidR="00DE0603" w:rsidRPr="00351597" w:rsidRDefault="00DE0603" w:rsidP="00DE0603">
            <w:pPr>
              <w:pStyle w:val="af6"/>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Ministry of Education and Science of Georgia with wider participation of relevant stakeholders, prepared a new draft law of Georgia on Vocational Education. In March 2018, </w:t>
            </w:r>
            <w:proofErr w:type="spellStart"/>
            <w:r w:rsidRPr="00351597">
              <w:rPr>
                <w:rFonts w:ascii="Sylfaen" w:hAnsi="Sylfaen"/>
                <w:color w:val="17365D" w:themeColor="text2" w:themeShade="BF"/>
                <w:sz w:val="20"/>
                <w:szCs w:val="20"/>
              </w:rPr>
              <w:t>MoES</w:t>
            </w:r>
            <w:proofErr w:type="spellEnd"/>
            <w:r w:rsidRPr="00351597">
              <w:rPr>
                <w:rFonts w:ascii="Sylfaen" w:hAnsi="Sylfaen"/>
                <w:color w:val="17365D" w:themeColor="text2" w:themeShade="BF"/>
                <w:sz w:val="20"/>
                <w:szCs w:val="20"/>
              </w:rPr>
              <w:t xml:space="preserve"> started official procedures of submission the new framework to Government and then to the Parliament of Georgia. The commitments of EC recommendations annexed to the EU-Georgia Association agreements, Copenhagen Process approaches and best European practice existing in the area of Vocational education and training are foreseen in framework law. New regulation aims at ensuring the life-long learning principle through improving quality and flexibility of vocational education and training in Georgia; strengthening links of Vet with general and higher education; establishment of credit accumulation and transfer mechanism; recognition of non-formal/informal education and formalization of training/retraining system etc.</w:t>
            </w:r>
          </w:p>
          <w:p w:rsidR="00DE0603" w:rsidRPr="00351597" w:rsidRDefault="00DE0603" w:rsidP="00DE0603">
            <w:pPr>
              <w:pStyle w:val="af6"/>
              <w:spacing w:line="276" w:lineRule="auto"/>
              <w:jc w:val="both"/>
              <w:rPr>
                <w:rFonts w:ascii="Sylfaen" w:hAnsi="Sylfaen"/>
                <w:color w:val="17365D" w:themeColor="text2" w:themeShade="BF"/>
                <w:sz w:val="20"/>
                <w:szCs w:val="20"/>
              </w:rPr>
            </w:pPr>
          </w:p>
          <w:p w:rsidR="00DE0603" w:rsidRPr="00351597" w:rsidRDefault="00DE0603" w:rsidP="00DE0603">
            <w:pPr>
              <w:pStyle w:val="af6"/>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Implementation of vocational education and training reform is in progress from 2013. Since then, significant results have been achieved in the field of education program reform; quality assurance; infrastructural improvement; teachers training; innovative </w:t>
            </w:r>
            <w:r w:rsidRPr="00351597">
              <w:rPr>
                <w:rFonts w:ascii="Sylfaen" w:hAnsi="Sylfaen"/>
                <w:color w:val="17365D" w:themeColor="text2" w:themeShade="BF"/>
                <w:sz w:val="20"/>
                <w:szCs w:val="20"/>
              </w:rPr>
              <w:lastRenderedPageBreak/>
              <w:t>learning and entrepreneurship; internationalization; public-private partnership and work based learning etc.  Strategy underlines the importance of involvement of employers into VET system for eradication of mismatch on labor market.</w:t>
            </w:r>
          </w:p>
          <w:p w:rsidR="00DE0603" w:rsidRPr="00351597" w:rsidRDefault="00DE0603" w:rsidP="00DE0603">
            <w:pPr>
              <w:pStyle w:val="af6"/>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Consequently, priority for 2017 year were upscaling dual education in more sectors and implementation of more projects in PPP format in the regions of Georgia for increasing the access to VET.</w:t>
            </w:r>
          </w:p>
          <w:p w:rsidR="00DE0603" w:rsidRPr="00351597" w:rsidRDefault="00DE0603" w:rsidP="00DE0603">
            <w:pPr>
              <w:pStyle w:val="af6"/>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The role of EU in progressing with TVET reform is significant in many aspects. EU funded “Employment and Vocational Education and Training” program that composed of 2 components: budgetary support and technical assistance played important role in approximation of these two fields. Key beneficiaries of the program: Ministry of Education and Science and the Ministry of Labor, Health and Social Affairs established effective coordination mechanisms and progressed well. Namely, EU assisted </w:t>
            </w:r>
            <w:proofErr w:type="spellStart"/>
            <w:r w:rsidRPr="00351597">
              <w:rPr>
                <w:rFonts w:ascii="Sylfaen" w:hAnsi="Sylfaen"/>
                <w:color w:val="17365D" w:themeColor="text2" w:themeShade="BF"/>
                <w:sz w:val="20"/>
                <w:szCs w:val="20"/>
              </w:rPr>
              <w:t>MoES</w:t>
            </w:r>
            <w:proofErr w:type="spellEnd"/>
            <w:r w:rsidRPr="00351597">
              <w:rPr>
                <w:rFonts w:ascii="Sylfaen" w:hAnsi="Sylfaen"/>
                <w:color w:val="17365D" w:themeColor="text2" w:themeShade="BF"/>
                <w:sz w:val="20"/>
                <w:szCs w:val="20"/>
              </w:rPr>
              <w:t xml:space="preserve"> in development of new law on vocational education, new draft model of teachers professional development, institutional development, new brand of VET etc.  Mentioned program fostered internationalization of Georgia TVET sector with sharing European best practices.</w:t>
            </w:r>
          </w:p>
          <w:p w:rsidR="00DE0603" w:rsidRPr="00351597" w:rsidRDefault="00DE0603" w:rsidP="00DE0603">
            <w:pPr>
              <w:pStyle w:val="af6"/>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According to the </w:t>
            </w:r>
            <w:r w:rsidRPr="00351597">
              <w:rPr>
                <w:rFonts w:ascii="Sylfaen" w:hAnsi="Sylfaen"/>
                <w:b/>
                <w:color w:val="17365D" w:themeColor="text2" w:themeShade="BF"/>
                <w:sz w:val="20"/>
                <w:szCs w:val="20"/>
              </w:rPr>
              <w:t>results of Tracer Study</w:t>
            </w:r>
            <w:r w:rsidRPr="00351597">
              <w:rPr>
                <w:rFonts w:ascii="Sylfaen" w:hAnsi="Sylfaen"/>
                <w:color w:val="17365D" w:themeColor="text2" w:themeShade="BF"/>
                <w:sz w:val="20"/>
                <w:szCs w:val="20"/>
              </w:rPr>
              <w:t xml:space="preserve"> conducted in 2017, </w:t>
            </w:r>
            <w:r w:rsidRPr="00351597">
              <w:rPr>
                <w:rFonts w:ascii="Sylfaen" w:hAnsi="Sylfaen"/>
                <w:b/>
                <w:color w:val="17365D" w:themeColor="text2" w:themeShade="BF"/>
                <w:sz w:val="20"/>
                <w:szCs w:val="20"/>
              </w:rPr>
              <w:t>employment rate of VET graduates</w:t>
            </w:r>
            <w:r w:rsidRPr="00351597">
              <w:rPr>
                <w:rFonts w:ascii="Sylfaen" w:hAnsi="Sylfaen"/>
                <w:color w:val="17365D" w:themeColor="text2" w:themeShade="BF"/>
                <w:sz w:val="20"/>
                <w:szCs w:val="20"/>
              </w:rPr>
              <w:t xml:space="preserve"> according to the latest data is </w:t>
            </w:r>
            <w:r w:rsidRPr="00351597">
              <w:rPr>
                <w:rFonts w:ascii="Sylfaen" w:hAnsi="Sylfaen"/>
                <w:b/>
                <w:color w:val="17365D" w:themeColor="text2" w:themeShade="BF"/>
                <w:sz w:val="20"/>
                <w:szCs w:val="20"/>
              </w:rPr>
              <w:t>56%</w:t>
            </w:r>
            <w:r w:rsidR="00A82B58">
              <w:rPr>
                <w:rFonts w:ascii="Sylfaen" w:hAnsi="Sylfaen"/>
                <w:color w:val="17365D" w:themeColor="text2" w:themeShade="BF"/>
                <w:sz w:val="20"/>
                <w:szCs w:val="20"/>
              </w:rPr>
              <w:t xml:space="preserve"> and it has</w:t>
            </w:r>
            <w:r w:rsidRPr="00351597">
              <w:rPr>
                <w:rFonts w:ascii="Sylfaen" w:hAnsi="Sylfaen"/>
                <w:color w:val="17365D" w:themeColor="text2" w:themeShade="BF"/>
                <w:sz w:val="20"/>
                <w:szCs w:val="20"/>
              </w:rPr>
              <w:t xml:space="preserve"> increased by 9% as compared to the rate of the 2015. </w:t>
            </w:r>
          </w:p>
          <w:p w:rsidR="00DE0603" w:rsidRPr="00351597" w:rsidRDefault="00DE0603" w:rsidP="00DE0603">
            <w:pPr>
              <w:pStyle w:val="af6"/>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New budget support program (2018-2022) is in the process of final negotiation.  One of the priorities of the new program is </w:t>
            </w:r>
            <w:r w:rsidRPr="00351597">
              <w:rPr>
                <w:rFonts w:ascii="Sylfaen" w:hAnsi="Sylfaen"/>
                <w:b/>
                <w:color w:val="17365D" w:themeColor="text2" w:themeShade="BF"/>
                <w:sz w:val="20"/>
                <w:szCs w:val="20"/>
              </w:rPr>
              <w:t>fostering smart, sustainable and inclusive growth and resilience in Georgia and its Regions</w:t>
            </w:r>
            <w:r w:rsidRPr="00351597">
              <w:rPr>
                <w:rFonts w:ascii="Sylfaen" w:hAnsi="Sylfaen"/>
                <w:color w:val="17365D" w:themeColor="text2" w:themeShade="BF"/>
                <w:sz w:val="20"/>
                <w:szCs w:val="20"/>
              </w:rPr>
              <w:t xml:space="preserve">. As the human capital development is the main pillar in economic growth, in this regard improving the overall education level, enhancing the quality and relevance of education, addressing the labor market skills mismatch and building private sector confidence in graduate skills are the main challenges in the country. </w:t>
            </w:r>
          </w:p>
          <w:p w:rsidR="00C362D0" w:rsidRDefault="00DE0603" w:rsidP="00DE0603">
            <w:pPr>
              <w:autoSpaceDE w:val="0"/>
              <w:autoSpaceDN w:val="0"/>
              <w:adjustRightInd w:val="0"/>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According to the new program, development of a more responsive and relevant VET system is a top priority, as well as establishing </w:t>
            </w:r>
            <w:proofErr w:type="spellStart"/>
            <w:r w:rsidRPr="00351597">
              <w:rPr>
                <w:rFonts w:ascii="Sylfaen" w:hAnsi="Sylfaen"/>
                <w:color w:val="17365D" w:themeColor="text2" w:themeShade="BF"/>
                <w:sz w:val="20"/>
                <w:szCs w:val="20"/>
              </w:rPr>
              <w:t>labor</w:t>
            </w:r>
            <w:proofErr w:type="spellEnd"/>
            <w:r w:rsidRPr="00351597">
              <w:rPr>
                <w:rFonts w:ascii="Sylfaen" w:hAnsi="Sylfaen"/>
                <w:color w:val="17365D" w:themeColor="text2" w:themeShade="BF"/>
                <w:sz w:val="20"/>
                <w:szCs w:val="20"/>
              </w:rPr>
              <w:t xml:space="preserve"> market policy targeting youth and helping them in finding jobs. There are following priority areas in new program: Skills anticipation and matching, Skills development and Entrepreneurial learning.</w:t>
            </w:r>
          </w:p>
          <w:p w:rsidR="00324A26" w:rsidRPr="00324A26" w:rsidRDefault="00324A26" w:rsidP="00324A26">
            <w:pPr>
              <w:pStyle w:val="af6"/>
              <w:spacing w:line="276" w:lineRule="auto"/>
              <w:jc w:val="both"/>
              <w:rPr>
                <w:rFonts w:ascii="Sylfaen" w:hAnsi="Sylfaen"/>
                <w:b/>
                <w:color w:val="17365D" w:themeColor="text2" w:themeShade="BF"/>
                <w:sz w:val="20"/>
                <w:szCs w:val="20"/>
              </w:rPr>
            </w:pPr>
            <w:r w:rsidRPr="00324A26">
              <w:rPr>
                <w:rFonts w:ascii="Sylfaen" w:hAnsi="Sylfaen"/>
                <w:b/>
                <w:color w:val="17365D" w:themeColor="text2" w:themeShade="BF"/>
                <w:sz w:val="20"/>
                <w:szCs w:val="20"/>
              </w:rPr>
              <w:t>Cooperation with the USA in Vocational Education and Training</w:t>
            </w:r>
          </w:p>
          <w:p w:rsidR="00324A26" w:rsidRPr="00324A26" w:rsidRDefault="00324A26" w:rsidP="00324A26">
            <w:pPr>
              <w:pStyle w:val="af6"/>
              <w:spacing w:line="276" w:lineRule="auto"/>
              <w:jc w:val="both"/>
              <w:rPr>
                <w:rFonts w:ascii="Sylfaen" w:hAnsi="Sylfaen"/>
                <w:color w:val="17365D" w:themeColor="text2" w:themeShade="BF"/>
                <w:sz w:val="20"/>
                <w:szCs w:val="20"/>
                <w:lang w:val="ka-GE"/>
              </w:rPr>
            </w:pPr>
            <w:r w:rsidRPr="00324A26">
              <w:rPr>
                <w:rFonts w:ascii="Sylfaen" w:hAnsi="Sylfaen"/>
                <w:color w:val="17365D" w:themeColor="text2" w:themeShade="BF"/>
                <w:sz w:val="20"/>
                <w:szCs w:val="20"/>
              </w:rPr>
              <w:t xml:space="preserve">In 2016, </w:t>
            </w:r>
            <w:r w:rsidRPr="00324A26">
              <w:rPr>
                <w:rFonts w:ascii="Sylfaen" w:hAnsi="Sylfaen"/>
                <w:b/>
                <w:color w:val="17365D" w:themeColor="text2" w:themeShade="BF"/>
                <w:sz w:val="20"/>
                <w:szCs w:val="20"/>
              </w:rPr>
              <w:t>US Millennium Challenge Account – Georgia</w:t>
            </w:r>
            <w:r w:rsidRPr="00324A26">
              <w:rPr>
                <w:rFonts w:ascii="Sylfaen" w:hAnsi="Sylfaen"/>
                <w:color w:val="17365D" w:themeColor="text2" w:themeShade="BF"/>
                <w:sz w:val="20"/>
                <w:szCs w:val="20"/>
              </w:rPr>
              <w:t xml:space="preserve">, within the industry-led Skills and Workforce Development Project, on a competition basis, provided grants to 10 vocational education providers in the amount of USD 12 million for establishing new or expanding existing technical vocational education and training (TVET) programs that are aligned with industry demands. </w:t>
            </w:r>
          </w:p>
          <w:p w:rsidR="00324A26" w:rsidRPr="00324A26" w:rsidRDefault="00324A26" w:rsidP="00324A26">
            <w:pPr>
              <w:pStyle w:val="af6"/>
              <w:spacing w:line="276" w:lineRule="auto"/>
              <w:jc w:val="both"/>
              <w:rPr>
                <w:rFonts w:ascii="Sylfaen" w:hAnsi="Sylfaen"/>
                <w:color w:val="17365D" w:themeColor="text2" w:themeShade="BF"/>
                <w:sz w:val="20"/>
                <w:szCs w:val="20"/>
              </w:rPr>
            </w:pPr>
          </w:p>
          <w:p w:rsidR="00324A26" w:rsidRPr="00324A26" w:rsidRDefault="00324A26" w:rsidP="00324A26">
            <w:pPr>
              <w:autoSpaceDE w:val="0"/>
              <w:autoSpaceDN w:val="0"/>
              <w:adjustRightInd w:val="0"/>
              <w:jc w:val="both"/>
              <w:rPr>
                <w:rFonts w:ascii="Sylfaen" w:hAnsi="Sylfaen"/>
                <w:color w:val="17365D" w:themeColor="text2" w:themeShade="BF"/>
                <w:sz w:val="20"/>
                <w:szCs w:val="20"/>
                <w:shd w:val="clear" w:color="auto" w:fill="FFFFFF"/>
              </w:rPr>
            </w:pPr>
            <w:r w:rsidRPr="00324A26">
              <w:rPr>
                <w:rFonts w:ascii="Sylfaen" w:hAnsi="Sylfaen"/>
                <w:color w:val="17365D" w:themeColor="text2" w:themeShade="BF"/>
                <w:sz w:val="20"/>
                <w:szCs w:val="20"/>
              </w:rPr>
              <w:t xml:space="preserve">US-Funded Program Improvement Competitive Grants scheme was officially launched in 2015, aimed to fund innovative, industry-driven proposals for establishing or improving existing TVET programs that meet </w:t>
            </w:r>
            <w:proofErr w:type="spellStart"/>
            <w:r w:rsidRPr="00324A26">
              <w:rPr>
                <w:rFonts w:ascii="Sylfaen" w:hAnsi="Sylfaen"/>
                <w:color w:val="17365D" w:themeColor="text2" w:themeShade="BF"/>
                <w:sz w:val="20"/>
                <w:szCs w:val="20"/>
              </w:rPr>
              <w:t>labor</w:t>
            </w:r>
            <w:proofErr w:type="spellEnd"/>
            <w:r w:rsidRPr="00324A26">
              <w:rPr>
                <w:rFonts w:ascii="Sylfaen" w:hAnsi="Sylfaen"/>
                <w:color w:val="17365D" w:themeColor="text2" w:themeShade="BF"/>
                <w:sz w:val="20"/>
                <w:szCs w:val="20"/>
              </w:rPr>
              <w:t xml:space="preserve"> market needs and incorporate modern work practices, particularly in higher-level science, Technology, Engineering and Math (STEM) areas, Agriculture and Tourism and enhance the employability of TVET graduates, leading to a higher proportion of employed graduates with higher salaries.  The overall budget for all ten proposals was USD 19,6 million, out of which USD12 million was the grant amount, and the rest – industry co-financing. Within the framework of Competitive Grants scheme more than 40 new programs were developed with the involvement of different business sectors. New programs are in line with international standards</w:t>
            </w:r>
            <w:r w:rsidRPr="00324A26">
              <w:rPr>
                <w:rFonts w:ascii="Sylfaen" w:hAnsi="Sylfaen"/>
                <w:color w:val="17365D" w:themeColor="text2" w:themeShade="BF"/>
                <w:sz w:val="20"/>
                <w:szCs w:val="20"/>
                <w:lang w:val="ka-GE"/>
              </w:rPr>
              <w:t>.</w:t>
            </w:r>
          </w:p>
          <w:p w:rsidR="00C362D0" w:rsidRPr="00351597" w:rsidRDefault="00C362D0" w:rsidP="00125A31">
            <w:pPr>
              <w:jc w:val="both"/>
              <w:rPr>
                <w:rFonts w:ascii="Sylfaen" w:hAnsi="Sylfaen" w:cstheme="minorHAnsi"/>
                <w:color w:val="17365D" w:themeColor="text2" w:themeShade="BF"/>
                <w:sz w:val="20"/>
                <w:szCs w:val="20"/>
                <w:lang w:val="ka-GE"/>
              </w:rPr>
            </w:pPr>
          </w:p>
        </w:tc>
        <w:tc>
          <w:tcPr>
            <w:tcW w:w="810" w:type="dxa"/>
          </w:tcPr>
          <w:p w:rsidR="00C362D0" w:rsidRPr="00351597" w:rsidRDefault="00C362D0" w:rsidP="00125A31">
            <w:pPr>
              <w:jc w:val="center"/>
              <w:rPr>
                <w:rFonts w:ascii="Sylfaen" w:hAnsi="Sylfaen"/>
                <w:b/>
                <w:color w:val="17365D" w:themeColor="text2" w:themeShade="BF"/>
                <w:sz w:val="20"/>
                <w:szCs w:val="20"/>
              </w:rPr>
            </w:pPr>
          </w:p>
          <w:p w:rsidR="00C362D0" w:rsidRPr="00351597" w:rsidRDefault="00C362D0" w:rsidP="00125A31">
            <w:pPr>
              <w:jc w:val="center"/>
              <w:rPr>
                <w:rFonts w:ascii="Sylfaen" w:hAnsi="Sylfaen"/>
                <w:b/>
                <w:color w:val="17365D" w:themeColor="text2" w:themeShade="BF"/>
                <w:sz w:val="20"/>
                <w:szCs w:val="20"/>
              </w:rPr>
            </w:pPr>
          </w:p>
          <w:p w:rsidR="00C362D0"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Pr>
                <w:rFonts w:ascii="Sylfaen" w:hAnsi="Sylfaen" w:cstheme="minorHAnsi"/>
                <w:b/>
                <w:bCs/>
                <w:iCs/>
                <w:color w:val="17365D" w:themeColor="text2" w:themeShade="BF"/>
                <w:sz w:val="20"/>
                <w:szCs w:val="20"/>
              </w:rPr>
              <w:t>GE</w:t>
            </w:r>
          </w:p>
        </w:tc>
      </w:tr>
      <w:tr w:rsidR="000370F5" w:rsidRPr="00351597" w:rsidTr="004F027A">
        <w:tc>
          <w:tcPr>
            <w:tcW w:w="1548" w:type="dxa"/>
            <w:vAlign w:val="center"/>
          </w:tcPr>
          <w:p w:rsidR="000370F5" w:rsidRPr="00351597" w:rsidRDefault="000370F5"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0370F5" w:rsidRPr="00351597" w:rsidRDefault="000370F5" w:rsidP="00125A31">
            <w:pPr>
              <w:autoSpaceDE w:val="0"/>
              <w:autoSpaceDN w:val="0"/>
              <w:adjustRightInd w:val="0"/>
              <w:jc w:val="center"/>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14</w:t>
            </w:r>
          </w:p>
          <w:p w:rsidR="000370F5" w:rsidRPr="00351597" w:rsidRDefault="000370F5" w:rsidP="00125A31">
            <w:pPr>
              <w:jc w:val="both"/>
              <w:rPr>
                <w:rFonts w:ascii="Sylfaen" w:hAnsi="Sylfaen" w:cstheme="minorHAnsi"/>
                <w:color w:val="17365D" w:themeColor="text2" w:themeShade="BF"/>
                <w:sz w:val="20"/>
                <w:szCs w:val="20"/>
              </w:rPr>
            </w:pPr>
            <w:r w:rsidRPr="00351597">
              <w:rPr>
                <w:rFonts w:ascii="Sylfaen" w:hAnsi="Sylfaen" w:cstheme="minorHAnsi"/>
                <w:color w:val="17365D" w:themeColor="text2" w:themeShade="BF"/>
                <w:sz w:val="20"/>
                <w:szCs w:val="20"/>
                <w:u w:val="single"/>
              </w:rPr>
              <w:t>Social Policy:</w:t>
            </w:r>
            <w:r w:rsidRPr="00351597">
              <w:rPr>
                <w:rFonts w:ascii="Sylfaen" w:hAnsi="Sylfaen" w:cstheme="minorHAnsi"/>
                <w:color w:val="17365D" w:themeColor="text2" w:themeShade="BF"/>
                <w:sz w:val="20"/>
                <w:szCs w:val="20"/>
              </w:rPr>
              <w:t xml:space="preserve"> up-date on Georgia main social challenges and on Government's main policy priorities, reform implementation, and institutional capacities, in particular:</w:t>
            </w:r>
          </w:p>
          <w:p w:rsidR="000370F5" w:rsidRPr="000A2DF4" w:rsidRDefault="000370F5" w:rsidP="002933C5">
            <w:pPr>
              <w:pStyle w:val="a3"/>
              <w:numPr>
                <w:ilvl w:val="0"/>
                <w:numId w:val="15"/>
              </w:numPr>
              <w:jc w:val="both"/>
              <w:rPr>
                <w:rFonts w:ascii="Sylfaen" w:hAnsi="Sylfaen" w:cstheme="minorHAnsi"/>
                <w:i/>
                <w:color w:val="17365D" w:themeColor="text2" w:themeShade="BF"/>
                <w:sz w:val="20"/>
                <w:szCs w:val="20"/>
                <w:highlight w:val="lightGray"/>
              </w:rPr>
            </w:pPr>
            <w:r w:rsidRPr="000A2DF4">
              <w:rPr>
                <w:rFonts w:ascii="Sylfaen" w:hAnsi="Sylfaen" w:cstheme="minorHAnsi"/>
                <w:color w:val="17365D" w:themeColor="text2" w:themeShade="BF"/>
                <w:sz w:val="20"/>
                <w:szCs w:val="20"/>
                <w:highlight w:val="lightGray"/>
              </w:rPr>
              <w:t xml:space="preserve">TSA  </w:t>
            </w:r>
          </w:p>
          <w:p w:rsidR="000370F5" w:rsidRPr="00351597" w:rsidRDefault="000370F5" w:rsidP="00125A31">
            <w:pPr>
              <w:jc w:val="both"/>
              <w:rPr>
                <w:rFonts w:ascii="Sylfaen" w:hAnsi="Sylfaen" w:cstheme="minorHAnsi"/>
                <w:color w:val="17365D" w:themeColor="text2" w:themeShade="BF"/>
                <w:sz w:val="20"/>
                <w:szCs w:val="20"/>
              </w:rPr>
            </w:pPr>
            <w:r w:rsidRPr="00351597">
              <w:rPr>
                <w:rFonts w:ascii="Sylfaen" w:hAnsi="Sylfaen"/>
                <w:color w:val="17365D" w:themeColor="text2" w:themeShade="BF"/>
                <w:sz w:val="20"/>
                <w:szCs w:val="20"/>
              </w:rPr>
              <w:t xml:space="preserve">Major changes in the assessment methodology were approved at the end of the December 2014. The new methodology is focused on new easily verifiable and potentially income generating items; (income, salary, </w:t>
            </w:r>
            <w:r w:rsidRPr="00351597">
              <w:rPr>
                <w:rFonts w:ascii="Sylfaen" w:hAnsi="Sylfaen" w:cstheme="minorHAnsi"/>
                <w:color w:val="17365D" w:themeColor="text2" w:themeShade="BF"/>
                <w:sz w:val="20"/>
                <w:szCs w:val="20"/>
              </w:rPr>
              <w:t>land, car, another apartment/house</w:t>
            </w:r>
            <w:r w:rsidRPr="00351597">
              <w:rPr>
                <w:rFonts w:ascii="Sylfaen" w:hAnsi="Sylfaen"/>
                <w:color w:val="17365D" w:themeColor="text2" w:themeShade="BF"/>
                <w:sz w:val="20"/>
                <w:szCs w:val="20"/>
              </w:rPr>
              <w:t>). Previously used variables such as h</w:t>
            </w:r>
            <w:r w:rsidRPr="00351597">
              <w:rPr>
                <w:rFonts w:ascii="Sylfaen" w:hAnsi="Sylfaen" w:cstheme="minorHAnsi"/>
                <w:color w:val="17365D" w:themeColor="text2" w:themeShade="BF"/>
                <w:sz w:val="20"/>
                <w:szCs w:val="20"/>
              </w:rPr>
              <w:t xml:space="preserve">ousehold appliances (refrigerator, heater, stove, TV etc.) do not influence the score. Subjective assessment of the social agent doesn’t impact the score anymore as in previous methodologies. The methodology also takes into consideration family needs, such as persons with disabilities, persons suffering with chronic disease, children, elderly </w:t>
            </w:r>
            <w:proofErr w:type="gramStart"/>
            <w:r w:rsidRPr="00351597">
              <w:rPr>
                <w:rFonts w:ascii="Sylfaen" w:hAnsi="Sylfaen" w:cstheme="minorHAnsi"/>
                <w:color w:val="17365D" w:themeColor="text2" w:themeShade="BF"/>
                <w:sz w:val="20"/>
                <w:szCs w:val="20"/>
              </w:rPr>
              <w:t>etc..</w:t>
            </w:r>
            <w:proofErr w:type="gramEnd"/>
            <w:r w:rsidRPr="00351597">
              <w:rPr>
                <w:rFonts w:ascii="Sylfaen" w:hAnsi="Sylfaen" w:cstheme="minorHAnsi"/>
                <w:color w:val="17365D" w:themeColor="text2" w:themeShade="BF"/>
                <w:sz w:val="20"/>
                <w:szCs w:val="20"/>
              </w:rPr>
              <w:t xml:space="preserve"> Additional child benefit was introduced for children under 16. </w:t>
            </w:r>
            <w:r w:rsidRPr="00351597">
              <w:rPr>
                <w:rFonts w:ascii="Sylfaen" w:hAnsi="Sylfaen"/>
                <w:color w:val="17365D" w:themeColor="text2" w:themeShade="BF"/>
                <w:sz w:val="20"/>
                <w:szCs w:val="20"/>
              </w:rPr>
              <w:t>The new methodology has differentiated system of cash benefit that is based on the score that shows level of vulnerability.</w:t>
            </w:r>
          </w:p>
          <w:p w:rsidR="000370F5" w:rsidRPr="00351597" w:rsidRDefault="000370F5"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Reassessment of all beneficiaries was complete in August 2017. New methodology changed composition of the eligible households; more households with children are eligible to receive benefits. </w:t>
            </w:r>
          </w:p>
          <w:p w:rsidR="000370F5" w:rsidRPr="00351597" w:rsidRDefault="000370F5"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Couple of new changes was introduced to the system: conditionality for workable household members to get registered on </w:t>
            </w:r>
            <w:proofErr w:type="spellStart"/>
            <w:r w:rsidRPr="00351597">
              <w:rPr>
                <w:rFonts w:ascii="Sylfaen" w:hAnsi="Sylfaen"/>
                <w:color w:val="17365D" w:themeColor="text2" w:themeShade="BF"/>
                <w:sz w:val="20"/>
                <w:szCs w:val="20"/>
              </w:rPr>
              <w:t>Worknet</w:t>
            </w:r>
            <w:proofErr w:type="spellEnd"/>
            <w:r w:rsidRPr="00351597">
              <w:rPr>
                <w:rFonts w:ascii="Sylfaen" w:hAnsi="Sylfaen"/>
                <w:color w:val="17365D" w:themeColor="text2" w:themeShade="BF"/>
                <w:sz w:val="20"/>
                <w:szCs w:val="20"/>
              </w:rPr>
              <w:t xml:space="preserve"> and waiver to declare small income to Social Service Agency.  </w:t>
            </w:r>
          </w:p>
          <w:p w:rsidR="000370F5" w:rsidRPr="00351597" w:rsidRDefault="000370F5"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As of March 2018, 12% of the population receives TSA, out of which 33% are children (under18) and 55% women. </w:t>
            </w:r>
          </w:p>
          <w:p w:rsidR="000370F5" w:rsidRPr="000A2DF4" w:rsidRDefault="000370F5" w:rsidP="002933C5">
            <w:pPr>
              <w:pStyle w:val="a3"/>
              <w:numPr>
                <w:ilvl w:val="0"/>
                <w:numId w:val="15"/>
              </w:numPr>
              <w:jc w:val="both"/>
              <w:rPr>
                <w:rFonts w:ascii="Sylfaen" w:hAnsi="Sylfaen" w:cstheme="minorHAnsi"/>
                <w:b/>
                <w:i/>
                <w:color w:val="17365D" w:themeColor="text2" w:themeShade="BF"/>
                <w:sz w:val="20"/>
                <w:szCs w:val="20"/>
                <w:highlight w:val="lightGray"/>
              </w:rPr>
            </w:pPr>
            <w:r w:rsidRPr="000A2DF4">
              <w:rPr>
                <w:rFonts w:ascii="Sylfaen" w:hAnsi="Sylfaen" w:cstheme="minorHAnsi"/>
                <w:b/>
                <w:color w:val="17365D" w:themeColor="text2" w:themeShade="BF"/>
                <w:sz w:val="20"/>
                <w:szCs w:val="20"/>
                <w:highlight w:val="lightGray"/>
              </w:rPr>
              <w:t>Pension system</w:t>
            </w:r>
          </w:p>
          <w:p w:rsidR="000370F5" w:rsidRPr="00351597" w:rsidRDefault="000370F5" w:rsidP="002933C5">
            <w:pPr>
              <w:jc w:val="both"/>
              <w:rPr>
                <w:rFonts w:ascii="Sylfaen" w:hAnsi="Sylfaen"/>
                <w:b/>
                <w:i/>
                <w:color w:val="17365D" w:themeColor="text2" w:themeShade="BF"/>
                <w:sz w:val="20"/>
                <w:szCs w:val="20"/>
                <w:u w:val="single"/>
              </w:rPr>
            </w:pPr>
            <w:r w:rsidRPr="00351597">
              <w:rPr>
                <w:rFonts w:ascii="Sylfaen" w:hAnsi="Sylfaen"/>
                <w:b/>
                <w:i/>
                <w:color w:val="17365D" w:themeColor="text2" w:themeShade="BF"/>
                <w:sz w:val="20"/>
                <w:szCs w:val="20"/>
                <w:u w:val="single"/>
              </w:rPr>
              <w:t>Pension Reform</w:t>
            </w:r>
          </w:p>
          <w:p w:rsidR="000370F5" w:rsidRPr="00351597" w:rsidRDefault="000370F5" w:rsidP="002933C5">
            <w:pPr>
              <w:spacing w:line="276" w:lineRule="auto"/>
              <w:rPr>
                <w:rFonts w:ascii="Sylfaen" w:hAnsi="Sylfaen"/>
                <w:b/>
                <w:color w:val="17365D" w:themeColor="text2" w:themeShade="BF"/>
                <w:sz w:val="20"/>
                <w:szCs w:val="20"/>
              </w:rPr>
            </w:pPr>
          </w:p>
          <w:p w:rsidR="000370F5" w:rsidRPr="00351597" w:rsidRDefault="000370F5" w:rsidP="002933C5">
            <w:pPr>
              <w:pStyle w:val="af4"/>
              <w:spacing w:line="276" w:lineRule="auto"/>
              <w:ind w:right="0"/>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The Government of Georgia intends to introduce a multi-pillar pension system. A Government Paper outlining the reform proposals was approved in 2015 and the Ministry of Economy and Sustainable Development of Georgia (MOESD) currently finalized a draft Pension Bill that will be submitted to Parliament end of this year. </w:t>
            </w:r>
          </w:p>
          <w:p w:rsidR="000370F5" w:rsidRPr="00351597" w:rsidRDefault="000370F5" w:rsidP="002933C5">
            <w:pPr>
              <w:pStyle w:val="af4"/>
              <w:spacing w:line="276" w:lineRule="auto"/>
              <w:ind w:right="0"/>
              <w:rPr>
                <w:rFonts w:ascii="Sylfaen" w:hAnsi="Sylfaen"/>
                <w:color w:val="17365D" w:themeColor="text2" w:themeShade="BF"/>
                <w:sz w:val="20"/>
                <w:szCs w:val="20"/>
              </w:rPr>
            </w:pPr>
          </w:p>
          <w:p w:rsidR="000370F5" w:rsidRPr="00351597" w:rsidRDefault="000370F5" w:rsidP="002933C5">
            <w:pPr>
              <w:pStyle w:val="af4"/>
              <w:spacing w:line="276" w:lineRule="auto"/>
              <w:ind w:right="0"/>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Main aim of the reform is to ensure adequate income level at the retirement and fiscal sustainability of pension system, thus reducing dependency on the state budget. Reform intends to introduce semi-mandatory defined contributory pensions system (Pillar II). This reform will have very important economic implications, including encouragement of savings and development of long-term financial resources thus boosting capital market development.  </w:t>
            </w:r>
          </w:p>
          <w:p w:rsidR="000370F5" w:rsidRPr="00351597" w:rsidRDefault="000370F5" w:rsidP="002933C5">
            <w:pPr>
              <w:spacing w:line="276" w:lineRule="auto"/>
              <w:jc w:val="both"/>
              <w:rPr>
                <w:rFonts w:ascii="Sylfaen" w:hAnsi="Sylfaen"/>
                <w:b/>
                <w:i/>
                <w:color w:val="17365D" w:themeColor="text2" w:themeShade="BF"/>
                <w:sz w:val="20"/>
                <w:szCs w:val="20"/>
                <w:u w:val="single"/>
              </w:rPr>
            </w:pPr>
          </w:p>
          <w:p w:rsidR="000370F5" w:rsidRPr="00351597" w:rsidRDefault="000370F5" w:rsidP="002933C5">
            <w:pPr>
              <w:spacing w:line="276" w:lineRule="auto"/>
              <w:jc w:val="both"/>
              <w:rPr>
                <w:rFonts w:ascii="Sylfaen" w:hAnsi="Sylfaen"/>
                <w:b/>
                <w:i/>
                <w:color w:val="17365D" w:themeColor="text2" w:themeShade="BF"/>
                <w:sz w:val="20"/>
                <w:szCs w:val="20"/>
                <w:u w:val="single"/>
              </w:rPr>
            </w:pPr>
            <w:r w:rsidRPr="00351597">
              <w:rPr>
                <w:rFonts w:ascii="Sylfaen" w:hAnsi="Sylfaen"/>
                <w:b/>
                <w:i/>
                <w:color w:val="17365D" w:themeColor="text2" w:themeShade="BF"/>
                <w:sz w:val="20"/>
                <w:szCs w:val="20"/>
                <w:u w:val="single"/>
              </w:rPr>
              <w:t>Current Status</w:t>
            </w:r>
          </w:p>
          <w:p w:rsidR="000370F5" w:rsidRPr="00351597" w:rsidRDefault="000370F5" w:rsidP="002933C5">
            <w:pPr>
              <w:spacing w:line="276" w:lineRule="auto"/>
              <w:jc w:val="both"/>
              <w:rPr>
                <w:rFonts w:ascii="Sylfaen" w:hAnsi="Sylfaen"/>
                <w:b/>
                <w:i/>
                <w:color w:val="17365D" w:themeColor="text2" w:themeShade="BF"/>
                <w:sz w:val="20"/>
                <w:szCs w:val="20"/>
                <w:u w:val="single"/>
              </w:rPr>
            </w:pPr>
          </w:p>
          <w:p w:rsidR="000370F5" w:rsidRPr="00351597" w:rsidRDefault="000370F5" w:rsidP="002933C5">
            <w:pPr>
              <w:spacing w:line="276" w:lineRule="auto"/>
              <w:jc w:val="both"/>
              <w:rPr>
                <w:rFonts w:ascii="Sylfaen" w:hAnsi="Sylfaen"/>
                <w:color w:val="17365D" w:themeColor="text2" w:themeShade="BF"/>
                <w:sz w:val="20"/>
                <w:szCs w:val="20"/>
              </w:rPr>
            </w:pPr>
            <w:r w:rsidRPr="00351597">
              <w:rPr>
                <w:rFonts w:ascii="Sylfaen" w:hAnsi="Sylfaen"/>
                <w:i/>
                <w:color w:val="17365D" w:themeColor="text2" w:themeShade="BF"/>
                <w:sz w:val="20"/>
                <w:szCs w:val="20"/>
                <w:u w:val="single"/>
              </w:rPr>
              <w:t>Legal part of the reform:</w:t>
            </w:r>
            <w:r w:rsidRPr="00351597">
              <w:rPr>
                <w:rFonts w:ascii="Sylfaen" w:hAnsi="Sylfaen"/>
                <w:color w:val="17365D" w:themeColor="text2" w:themeShade="BF"/>
                <w:sz w:val="20"/>
                <w:szCs w:val="20"/>
              </w:rPr>
              <w:t xml:space="preserve"> The draft law on “Private pensions saving” is finalized and</w:t>
            </w:r>
            <w:r w:rsidRPr="00351597">
              <w:rPr>
                <w:rFonts w:ascii="Sylfaen" w:hAnsi="Sylfaen"/>
                <w:color w:val="17365D" w:themeColor="text2" w:themeShade="BF"/>
                <w:sz w:val="20"/>
                <w:szCs w:val="20"/>
                <w:lang w:val="ka-GE"/>
              </w:rPr>
              <w:t xml:space="preserve"> </w:t>
            </w:r>
            <w:r w:rsidRPr="00351597">
              <w:rPr>
                <w:rFonts w:ascii="Sylfaen" w:hAnsi="Sylfaen"/>
                <w:color w:val="17365D" w:themeColor="text2" w:themeShade="BF"/>
                <w:sz w:val="20"/>
                <w:szCs w:val="20"/>
              </w:rPr>
              <w:t>presented to Parliament.  The work on secondary legislation package is finalized and submitted to parliament as well.  Currently the hearings is on the draft law at the parliament comities and still 2 committees remains (mandatory and leading) after that the hearings will continue on parliamentary sessions. Main comments and issues discussed at the committees are the security mechanisms, money values and possible inflation factors and investment policy.</w:t>
            </w:r>
          </w:p>
          <w:p w:rsidR="000370F5" w:rsidRPr="00351597" w:rsidRDefault="000370F5" w:rsidP="002933C5">
            <w:pPr>
              <w:spacing w:line="276" w:lineRule="auto"/>
              <w:jc w:val="both"/>
              <w:rPr>
                <w:rFonts w:ascii="Sylfaen" w:hAnsi="Sylfaen"/>
                <w:color w:val="17365D" w:themeColor="text2" w:themeShade="BF"/>
                <w:sz w:val="20"/>
                <w:szCs w:val="20"/>
              </w:rPr>
            </w:pPr>
          </w:p>
          <w:p w:rsidR="000370F5" w:rsidRPr="00351597" w:rsidRDefault="000370F5" w:rsidP="002933C5">
            <w:pPr>
              <w:spacing w:line="276" w:lineRule="auto"/>
              <w:jc w:val="both"/>
              <w:rPr>
                <w:rFonts w:ascii="Sylfaen" w:hAnsi="Sylfaen"/>
                <w:color w:val="17365D" w:themeColor="text2" w:themeShade="BF"/>
                <w:sz w:val="20"/>
                <w:szCs w:val="20"/>
              </w:rPr>
            </w:pPr>
            <w:r w:rsidRPr="00351597">
              <w:rPr>
                <w:rFonts w:ascii="Sylfaen" w:hAnsi="Sylfaen"/>
                <w:i/>
                <w:color w:val="17365D" w:themeColor="text2" w:themeShade="BF"/>
                <w:sz w:val="20"/>
                <w:szCs w:val="20"/>
                <w:u w:val="single"/>
              </w:rPr>
              <w:t xml:space="preserve">Infrastructural part: </w:t>
            </w:r>
            <w:r w:rsidRPr="00351597">
              <w:rPr>
                <w:rFonts w:ascii="Sylfaen" w:hAnsi="Sylfaen"/>
                <w:color w:val="17365D" w:themeColor="text2" w:themeShade="BF"/>
                <w:sz w:val="20"/>
                <w:szCs w:val="20"/>
              </w:rPr>
              <w:t xml:space="preserve">Local expert financed by ADB evaluated the structure, resources and other infrastructure of the pension agency. At the same time, the development of IT </w:t>
            </w:r>
            <w:r w:rsidRPr="00351597">
              <w:rPr>
                <w:rFonts w:ascii="Sylfaen" w:hAnsi="Sylfaen"/>
                <w:color w:val="17365D" w:themeColor="text2" w:themeShade="BF"/>
                <w:sz w:val="20"/>
                <w:szCs w:val="20"/>
              </w:rPr>
              <w:lastRenderedPageBreak/>
              <w:t xml:space="preserve">infrastructure is being implemented by the Ministry of Finance of Georgia in cooperation with hired consultants of ADB. </w:t>
            </w:r>
          </w:p>
          <w:p w:rsidR="000370F5" w:rsidRPr="00351597" w:rsidRDefault="000370F5" w:rsidP="002933C5">
            <w:pPr>
              <w:spacing w:line="276" w:lineRule="auto"/>
              <w:jc w:val="both"/>
              <w:rPr>
                <w:rFonts w:ascii="Sylfaen" w:hAnsi="Sylfaen"/>
                <w:color w:val="17365D" w:themeColor="text2" w:themeShade="BF"/>
                <w:sz w:val="20"/>
                <w:szCs w:val="20"/>
              </w:rPr>
            </w:pPr>
          </w:p>
          <w:p w:rsidR="000370F5" w:rsidRPr="00351597" w:rsidRDefault="000370F5" w:rsidP="002933C5">
            <w:pPr>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The discussion of the draft law with private sector were arranged, the meetings already undertaken three times with Business association.</w:t>
            </w:r>
          </w:p>
          <w:p w:rsidR="000370F5" w:rsidRPr="00351597" w:rsidRDefault="000370F5" w:rsidP="002933C5">
            <w:pPr>
              <w:pStyle w:val="af4"/>
              <w:spacing w:line="276" w:lineRule="auto"/>
              <w:ind w:right="0"/>
              <w:rPr>
                <w:rFonts w:ascii="Sylfaen" w:hAnsi="Sylfaen"/>
                <w:color w:val="17365D" w:themeColor="text2" w:themeShade="BF"/>
                <w:sz w:val="20"/>
                <w:szCs w:val="20"/>
              </w:rPr>
            </w:pPr>
          </w:p>
          <w:p w:rsidR="000370F5" w:rsidRPr="00351597" w:rsidRDefault="000370F5" w:rsidP="002933C5">
            <w:pPr>
              <w:spacing w:line="276" w:lineRule="auto"/>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Herewith, </w:t>
            </w:r>
            <w:proofErr w:type="spellStart"/>
            <w:r w:rsidRPr="00351597">
              <w:rPr>
                <w:rFonts w:ascii="Sylfaen" w:hAnsi="Sylfaen"/>
                <w:color w:val="17365D" w:themeColor="text2" w:themeShade="BF"/>
                <w:sz w:val="20"/>
                <w:szCs w:val="20"/>
              </w:rPr>
              <w:t>MoESD</w:t>
            </w:r>
            <w:proofErr w:type="spellEnd"/>
            <w:r w:rsidRPr="00351597">
              <w:rPr>
                <w:rFonts w:ascii="Sylfaen" w:hAnsi="Sylfaen"/>
                <w:color w:val="17365D" w:themeColor="text2" w:themeShade="BF"/>
                <w:sz w:val="20"/>
                <w:szCs w:val="20"/>
              </w:rPr>
              <w:t xml:space="preserve"> is actively working on the elaboration of law on “Supplementary Pensions Saving” (III pillar) to ensure that all components of adequate legislation framework are in place coming from II and III pillar. </w:t>
            </w:r>
          </w:p>
          <w:p w:rsidR="000370F5" w:rsidRPr="00351597" w:rsidRDefault="000370F5" w:rsidP="002933C5">
            <w:pPr>
              <w:pStyle w:val="af4"/>
              <w:spacing w:line="276" w:lineRule="auto"/>
              <w:ind w:right="0"/>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 </w:t>
            </w:r>
          </w:p>
          <w:p w:rsidR="000370F5" w:rsidRPr="00351597" w:rsidRDefault="000370F5" w:rsidP="002933C5">
            <w:pPr>
              <w:spacing w:line="276" w:lineRule="auto"/>
              <w:jc w:val="right"/>
              <w:rPr>
                <w:rFonts w:ascii="Sylfaen" w:hAnsi="Sylfaen"/>
                <w:b/>
                <w:i/>
                <w:color w:val="17365D" w:themeColor="text2" w:themeShade="BF"/>
                <w:sz w:val="20"/>
                <w:szCs w:val="20"/>
                <w:u w:val="single"/>
                <w:lang w:val="ka-GE"/>
              </w:rPr>
            </w:pPr>
          </w:p>
          <w:p w:rsidR="000370F5" w:rsidRPr="00351597" w:rsidRDefault="000370F5" w:rsidP="002933C5">
            <w:pPr>
              <w:spacing w:line="276" w:lineRule="auto"/>
              <w:jc w:val="right"/>
              <w:rPr>
                <w:rFonts w:ascii="Sylfaen" w:hAnsi="Sylfaen"/>
                <w:b/>
                <w:i/>
                <w:color w:val="17365D" w:themeColor="text2" w:themeShade="BF"/>
                <w:sz w:val="20"/>
                <w:szCs w:val="20"/>
                <w:u w:val="single"/>
                <w:lang w:val="ka-GE"/>
              </w:rPr>
            </w:pPr>
            <w:r w:rsidRPr="00351597">
              <w:rPr>
                <w:rFonts w:ascii="Sylfaen" w:hAnsi="Sylfaen"/>
                <w:b/>
                <w:i/>
                <w:color w:val="17365D" w:themeColor="text2" w:themeShade="BF"/>
                <w:sz w:val="20"/>
                <w:szCs w:val="20"/>
                <w:u w:val="single"/>
                <w:lang w:val="ka-GE"/>
              </w:rPr>
              <w:t>An</w:t>
            </w:r>
            <w:r w:rsidRPr="00351597">
              <w:rPr>
                <w:rFonts w:ascii="Sylfaen" w:hAnsi="Sylfaen"/>
                <w:b/>
                <w:i/>
                <w:color w:val="17365D" w:themeColor="text2" w:themeShade="BF"/>
                <w:sz w:val="20"/>
                <w:szCs w:val="20"/>
                <w:u w:val="single"/>
              </w:rPr>
              <w:t>n</w:t>
            </w:r>
            <w:r w:rsidRPr="00351597">
              <w:rPr>
                <w:rFonts w:ascii="Sylfaen" w:hAnsi="Sylfaen"/>
                <w:b/>
                <w:i/>
                <w:color w:val="17365D" w:themeColor="text2" w:themeShade="BF"/>
                <w:sz w:val="20"/>
                <w:szCs w:val="20"/>
                <w:u w:val="single"/>
                <w:lang w:val="ka-GE"/>
              </w:rPr>
              <w:t xml:space="preserve">ex </w:t>
            </w:r>
            <w:r w:rsidRPr="00351597">
              <w:rPr>
                <w:rFonts w:ascii="Sylfaen" w:hAnsi="Sylfaen"/>
                <w:b/>
                <w:i/>
                <w:color w:val="17365D" w:themeColor="text2" w:themeShade="BF"/>
                <w:sz w:val="20"/>
                <w:szCs w:val="20"/>
                <w:u w:val="single"/>
              </w:rPr>
              <w:t xml:space="preserve">- </w:t>
            </w:r>
            <w:r w:rsidRPr="00351597">
              <w:rPr>
                <w:rFonts w:ascii="Sylfaen" w:hAnsi="Sylfaen"/>
                <w:b/>
                <w:i/>
                <w:color w:val="17365D" w:themeColor="text2" w:themeShade="BF"/>
                <w:sz w:val="20"/>
                <w:szCs w:val="20"/>
                <w:u w:val="single"/>
                <w:lang w:val="ka-GE"/>
              </w:rPr>
              <w:t>1</w:t>
            </w:r>
          </w:p>
          <w:p w:rsidR="000370F5" w:rsidRPr="00351597" w:rsidRDefault="000370F5" w:rsidP="002933C5">
            <w:pPr>
              <w:spacing w:line="276" w:lineRule="auto"/>
              <w:jc w:val="both"/>
              <w:rPr>
                <w:rFonts w:ascii="Sylfaen" w:hAnsi="Sylfaen"/>
                <w:b/>
                <w:i/>
                <w:color w:val="17365D" w:themeColor="text2" w:themeShade="BF"/>
                <w:sz w:val="20"/>
                <w:szCs w:val="20"/>
                <w:u w:val="single"/>
                <w:lang w:val="ka-GE"/>
              </w:rPr>
            </w:pPr>
          </w:p>
          <w:p w:rsidR="000370F5" w:rsidRPr="00351597" w:rsidRDefault="000370F5" w:rsidP="002933C5">
            <w:pPr>
              <w:spacing w:line="276" w:lineRule="auto"/>
              <w:jc w:val="both"/>
              <w:rPr>
                <w:rFonts w:ascii="Sylfaen" w:hAnsi="Sylfaen"/>
                <w:b/>
                <w:i/>
                <w:color w:val="17365D" w:themeColor="text2" w:themeShade="BF"/>
                <w:sz w:val="20"/>
                <w:szCs w:val="20"/>
                <w:u w:val="single"/>
                <w:lang w:val="ka-GE"/>
              </w:rPr>
            </w:pPr>
            <w:r w:rsidRPr="00351597">
              <w:rPr>
                <w:rFonts w:ascii="Sylfaen" w:hAnsi="Sylfaen"/>
                <w:b/>
                <w:i/>
                <w:color w:val="17365D" w:themeColor="text2" w:themeShade="BF"/>
                <w:sz w:val="20"/>
                <w:szCs w:val="20"/>
                <w:u w:val="single"/>
                <w:lang w:val="ka-GE"/>
              </w:rPr>
              <w:t>Pension reform Short Overview</w:t>
            </w:r>
          </w:p>
          <w:p w:rsidR="000370F5" w:rsidRPr="00351597" w:rsidRDefault="000370F5" w:rsidP="002933C5">
            <w:pPr>
              <w:spacing w:line="276" w:lineRule="auto"/>
              <w:jc w:val="both"/>
              <w:rPr>
                <w:rFonts w:ascii="Sylfaen" w:hAnsi="Sylfaen"/>
                <w:b/>
                <w:i/>
                <w:color w:val="17365D" w:themeColor="text2" w:themeShade="BF"/>
                <w:sz w:val="20"/>
                <w:szCs w:val="20"/>
                <w:u w:val="single"/>
                <w:lang w:val="ka-GE"/>
              </w:rPr>
            </w:pPr>
          </w:p>
          <w:p w:rsidR="000370F5" w:rsidRPr="00351597" w:rsidRDefault="000370F5" w:rsidP="002933C5">
            <w:pPr>
              <w:pStyle w:val="af4"/>
              <w:spacing w:line="276" w:lineRule="auto"/>
              <w:ind w:right="0"/>
              <w:rPr>
                <w:rFonts w:ascii="Sylfaen" w:hAnsi="Sylfaen"/>
                <w:color w:val="17365D" w:themeColor="text2" w:themeShade="BF"/>
                <w:sz w:val="20"/>
                <w:szCs w:val="20"/>
              </w:rPr>
            </w:pPr>
            <w:r w:rsidRPr="00351597">
              <w:rPr>
                <w:rFonts w:ascii="Sylfaen" w:hAnsi="Sylfaen"/>
                <w:color w:val="17365D" w:themeColor="text2" w:themeShade="BF"/>
                <w:sz w:val="20"/>
                <w:szCs w:val="20"/>
                <w:lang w:val="ka-GE"/>
              </w:rPr>
              <w:t xml:space="preserve">Reform intends to introduce defined contributory pensions system (Pillar II), where employee, </w:t>
            </w:r>
            <w:r w:rsidRPr="00351597">
              <w:rPr>
                <w:rFonts w:ascii="Sylfaen" w:hAnsi="Sylfaen"/>
                <w:color w:val="17365D" w:themeColor="text2" w:themeShade="BF"/>
                <w:sz w:val="20"/>
                <w:szCs w:val="20"/>
              </w:rPr>
              <w:t xml:space="preserve">employer and the Government participate equally contributing 6% in total (2% each). For salaried workers, below 40 year’s old participation in the system will be on mandatory basis and for workers above 40 years and for self-employed persons, participation in the system will be on voluntary basis. It is important to mention that contributory pensions system (Pillar II) will enjoy exempt-exempt-exempt (EEE) tax regime, which means that contribution, accrued profit and distributed pension will be exempted from taxes. </w:t>
            </w:r>
          </w:p>
          <w:p w:rsidR="000370F5" w:rsidRPr="00351597" w:rsidRDefault="000370F5" w:rsidP="002933C5">
            <w:pPr>
              <w:pStyle w:val="af4"/>
              <w:spacing w:line="276" w:lineRule="auto"/>
              <w:ind w:right="0"/>
              <w:rPr>
                <w:rFonts w:ascii="Sylfaen" w:hAnsi="Sylfaen"/>
                <w:color w:val="17365D" w:themeColor="text2" w:themeShade="BF"/>
                <w:sz w:val="20"/>
                <w:szCs w:val="20"/>
              </w:rPr>
            </w:pPr>
          </w:p>
          <w:p w:rsidR="000370F5" w:rsidRPr="00351597" w:rsidRDefault="000370F5" w:rsidP="002933C5">
            <w:pPr>
              <w:spacing w:line="276" w:lineRule="auto"/>
              <w:ind w:right="1"/>
              <w:contextualSpacing/>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Employer shall pay into the Individual Pension Account of each enrolled Employee the Employee contribution equal to two percent (2%) of the Wage of such Employee not to exceed sixty thousand (60,000) </w:t>
            </w:r>
            <w:proofErr w:type="spellStart"/>
            <w:r w:rsidRPr="00351597">
              <w:rPr>
                <w:rFonts w:ascii="Sylfaen" w:hAnsi="Sylfaen"/>
                <w:color w:val="17365D" w:themeColor="text2" w:themeShade="BF"/>
                <w:sz w:val="20"/>
                <w:szCs w:val="20"/>
              </w:rPr>
              <w:t>Lari</w:t>
            </w:r>
            <w:proofErr w:type="spellEnd"/>
            <w:r w:rsidRPr="00351597">
              <w:rPr>
                <w:rFonts w:ascii="Sylfaen" w:hAnsi="Sylfaen"/>
                <w:color w:val="17365D" w:themeColor="text2" w:themeShade="BF"/>
                <w:sz w:val="20"/>
                <w:szCs w:val="20"/>
              </w:rPr>
              <w:t xml:space="preserve"> per year. </w:t>
            </w:r>
          </w:p>
          <w:p w:rsidR="000370F5" w:rsidRPr="00351597" w:rsidRDefault="000370F5" w:rsidP="002933C5">
            <w:pPr>
              <w:spacing w:line="276" w:lineRule="auto"/>
              <w:ind w:right="1"/>
              <w:contextualSpacing/>
              <w:jc w:val="both"/>
              <w:rPr>
                <w:rFonts w:ascii="Sylfaen" w:hAnsi="Sylfaen"/>
                <w:color w:val="17365D" w:themeColor="text2" w:themeShade="BF"/>
                <w:sz w:val="20"/>
                <w:szCs w:val="20"/>
              </w:rPr>
            </w:pPr>
          </w:p>
          <w:p w:rsidR="000370F5" w:rsidRPr="00351597" w:rsidRDefault="000370F5" w:rsidP="002933C5">
            <w:pPr>
              <w:spacing w:line="276" w:lineRule="auto"/>
              <w:ind w:right="1"/>
              <w:contextualSpacing/>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For the benefit of each enrolled Employee, the State shall make contributions, equal to two percent (2%) of Wage of each Employee not to exceed twenty four thousand (24,000) </w:t>
            </w:r>
            <w:proofErr w:type="spellStart"/>
            <w:r w:rsidRPr="00351597">
              <w:rPr>
                <w:rFonts w:ascii="Sylfaen" w:hAnsi="Sylfaen"/>
                <w:color w:val="17365D" w:themeColor="text2" w:themeShade="BF"/>
                <w:sz w:val="20"/>
                <w:szCs w:val="20"/>
              </w:rPr>
              <w:t>Lari</w:t>
            </w:r>
            <w:proofErr w:type="spellEnd"/>
            <w:r w:rsidRPr="00351597">
              <w:rPr>
                <w:rFonts w:ascii="Sylfaen" w:hAnsi="Sylfaen"/>
                <w:color w:val="17365D" w:themeColor="text2" w:themeShade="BF"/>
                <w:sz w:val="20"/>
                <w:szCs w:val="20"/>
              </w:rPr>
              <w:t xml:space="preserve"> per year and one percent (1%) of the Wage of the same Employee for the amount of Wage between twenty four thousand (24,000) </w:t>
            </w:r>
            <w:proofErr w:type="spellStart"/>
            <w:r w:rsidRPr="00351597">
              <w:rPr>
                <w:rFonts w:ascii="Sylfaen" w:hAnsi="Sylfaen"/>
                <w:color w:val="17365D" w:themeColor="text2" w:themeShade="BF"/>
                <w:sz w:val="20"/>
                <w:szCs w:val="20"/>
              </w:rPr>
              <w:t>Lari</w:t>
            </w:r>
            <w:proofErr w:type="spellEnd"/>
            <w:r w:rsidRPr="00351597">
              <w:rPr>
                <w:rFonts w:ascii="Sylfaen" w:hAnsi="Sylfaen"/>
                <w:color w:val="17365D" w:themeColor="text2" w:themeShade="BF"/>
                <w:sz w:val="20"/>
                <w:szCs w:val="20"/>
              </w:rPr>
              <w:t xml:space="preserve"> and sixty thousand (60,000) </w:t>
            </w:r>
            <w:proofErr w:type="spellStart"/>
            <w:r w:rsidRPr="00351597">
              <w:rPr>
                <w:rFonts w:ascii="Sylfaen" w:hAnsi="Sylfaen"/>
                <w:color w:val="17365D" w:themeColor="text2" w:themeShade="BF"/>
                <w:sz w:val="20"/>
                <w:szCs w:val="20"/>
              </w:rPr>
              <w:t>Lari</w:t>
            </w:r>
            <w:proofErr w:type="spellEnd"/>
            <w:r w:rsidRPr="00351597">
              <w:rPr>
                <w:rFonts w:ascii="Sylfaen" w:hAnsi="Sylfaen"/>
                <w:color w:val="17365D" w:themeColor="text2" w:themeShade="BF"/>
                <w:sz w:val="20"/>
                <w:szCs w:val="20"/>
              </w:rPr>
              <w:t xml:space="preserve"> per year. The State shall not contribute for the amount of Wage which annually exceeds sixty thousand (60,000) </w:t>
            </w:r>
            <w:proofErr w:type="spellStart"/>
            <w:r w:rsidRPr="00351597">
              <w:rPr>
                <w:rFonts w:ascii="Sylfaen" w:hAnsi="Sylfaen"/>
                <w:color w:val="17365D" w:themeColor="text2" w:themeShade="BF"/>
                <w:sz w:val="20"/>
                <w:szCs w:val="20"/>
              </w:rPr>
              <w:t>Lari</w:t>
            </w:r>
            <w:proofErr w:type="spellEnd"/>
            <w:r w:rsidRPr="00351597">
              <w:rPr>
                <w:rFonts w:ascii="Sylfaen" w:hAnsi="Sylfaen"/>
                <w:color w:val="17365D" w:themeColor="text2" w:themeShade="BF"/>
                <w:sz w:val="20"/>
                <w:szCs w:val="20"/>
              </w:rPr>
              <w:t xml:space="preserve">. </w:t>
            </w:r>
            <w:r w:rsidRPr="00351597">
              <w:rPr>
                <w:rFonts w:ascii="Sylfaen" w:hAnsi="Sylfaen" w:cstheme="majorBidi"/>
                <w:color w:val="17365D" w:themeColor="text2" w:themeShade="BF"/>
                <w:sz w:val="20"/>
                <w:szCs w:val="20"/>
              </w:rPr>
              <w:t xml:space="preserve">Each Self-Employed person shall pay four percent (4%) of his or her total personal income, up to an annual income ceiling of gross sixty thousand (60,000) </w:t>
            </w:r>
            <w:proofErr w:type="spellStart"/>
            <w:r w:rsidRPr="00351597">
              <w:rPr>
                <w:rFonts w:ascii="Sylfaen" w:hAnsi="Sylfaen" w:cstheme="majorBidi"/>
                <w:color w:val="17365D" w:themeColor="text2" w:themeShade="BF"/>
                <w:sz w:val="20"/>
                <w:szCs w:val="20"/>
              </w:rPr>
              <w:t>Lari</w:t>
            </w:r>
            <w:proofErr w:type="spellEnd"/>
            <w:r w:rsidRPr="00351597">
              <w:rPr>
                <w:rFonts w:ascii="Sylfaen" w:hAnsi="Sylfaen" w:cstheme="majorBidi"/>
                <w:color w:val="17365D" w:themeColor="text2" w:themeShade="BF"/>
                <w:sz w:val="20"/>
                <w:szCs w:val="20"/>
              </w:rPr>
              <w:t xml:space="preserve">. </w:t>
            </w:r>
            <w:r w:rsidRPr="00351597">
              <w:rPr>
                <w:rFonts w:ascii="Sylfaen" w:hAnsi="Sylfaen"/>
                <w:color w:val="17365D" w:themeColor="text2" w:themeShade="BF"/>
                <w:sz w:val="20"/>
                <w:szCs w:val="20"/>
              </w:rPr>
              <w:t xml:space="preserve"> </w:t>
            </w:r>
          </w:p>
          <w:p w:rsidR="000370F5" w:rsidRPr="00351597" w:rsidRDefault="000370F5" w:rsidP="002933C5">
            <w:pPr>
              <w:spacing w:line="276" w:lineRule="auto"/>
              <w:ind w:right="1"/>
              <w:contextualSpacing/>
              <w:jc w:val="both"/>
              <w:rPr>
                <w:rFonts w:ascii="Sylfaen" w:hAnsi="Sylfaen"/>
                <w:color w:val="17365D" w:themeColor="text2" w:themeShade="BF"/>
                <w:sz w:val="20"/>
                <w:szCs w:val="20"/>
              </w:rPr>
            </w:pPr>
          </w:p>
          <w:p w:rsidR="000370F5" w:rsidRPr="00351597" w:rsidRDefault="000370F5" w:rsidP="002933C5">
            <w:pPr>
              <w:pStyle w:val="af4"/>
              <w:spacing w:line="276" w:lineRule="auto"/>
              <w:ind w:right="0"/>
              <w:rPr>
                <w:rFonts w:ascii="Sylfaen" w:hAnsi="Sylfaen"/>
                <w:color w:val="17365D" w:themeColor="text2" w:themeShade="BF"/>
                <w:sz w:val="20"/>
                <w:szCs w:val="20"/>
              </w:rPr>
            </w:pPr>
            <w:r w:rsidRPr="00351597">
              <w:rPr>
                <w:rFonts w:ascii="Sylfaen" w:hAnsi="Sylfaen"/>
                <w:color w:val="17365D" w:themeColor="text2" w:themeShade="BF"/>
                <w:sz w:val="20"/>
                <w:szCs w:val="20"/>
              </w:rPr>
              <w:t>The scheme will be managed by a Pension Agency with the supervisory board made up of Ministers. Supervisory Board is responsible only for system administration and pension policy development. Agency will have independent, professional Investment Board, who will be responsible on the investment of the pension assets. Day to day Investment will be done by chief Investment officer.</w:t>
            </w:r>
          </w:p>
          <w:p w:rsidR="000370F5" w:rsidRPr="00351597" w:rsidRDefault="000370F5" w:rsidP="002933C5">
            <w:pPr>
              <w:pStyle w:val="af4"/>
              <w:spacing w:line="276" w:lineRule="auto"/>
              <w:ind w:right="0"/>
              <w:rPr>
                <w:rFonts w:ascii="Sylfaen" w:hAnsi="Sylfaen"/>
                <w:color w:val="17365D" w:themeColor="text2" w:themeShade="BF"/>
                <w:sz w:val="20"/>
                <w:szCs w:val="20"/>
              </w:rPr>
            </w:pPr>
          </w:p>
          <w:p w:rsidR="000370F5" w:rsidRPr="00351597" w:rsidRDefault="000370F5" w:rsidP="002933C5">
            <w:pPr>
              <w:pStyle w:val="af4"/>
              <w:spacing w:line="276" w:lineRule="auto"/>
              <w:ind w:right="0"/>
              <w:rPr>
                <w:rFonts w:ascii="Sylfaen" w:hAnsi="Sylfaen"/>
                <w:color w:val="17365D" w:themeColor="text2" w:themeShade="BF"/>
                <w:sz w:val="20"/>
                <w:szCs w:val="20"/>
                <w:lang w:val="ka-GE"/>
              </w:rPr>
            </w:pPr>
            <w:r w:rsidRPr="00351597">
              <w:rPr>
                <w:rFonts w:ascii="Sylfaen" w:hAnsi="Sylfaen"/>
                <w:color w:val="17365D" w:themeColor="text2" w:themeShade="BF"/>
                <w:sz w:val="20"/>
                <w:szCs w:val="20"/>
              </w:rPr>
              <w:t>The National Bank oversees the pension agency's investment activities in accordance with the law. Pension agency is accountable to the National Bank.</w:t>
            </w:r>
            <w:r w:rsidRPr="00351597">
              <w:rPr>
                <w:rFonts w:ascii="Sylfaen" w:hAnsi="Sylfaen"/>
                <w:color w:val="17365D" w:themeColor="text2" w:themeShade="BF"/>
                <w:sz w:val="20"/>
                <w:szCs w:val="20"/>
                <w:lang w:val="ka-GE"/>
              </w:rPr>
              <w:t xml:space="preserve"> </w:t>
            </w:r>
          </w:p>
          <w:p w:rsidR="000370F5" w:rsidRPr="00351597" w:rsidRDefault="000370F5" w:rsidP="002933C5">
            <w:pPr>
              <w:pStyle w:val="af4"/>
              <w:spacing w:line="276" w:lineRule="auto"/>
              <w:ind w:right="0"/>
              <w:rPr>
                <w:rFonts w:ascii="Sylfaen" w:hAnsi="Sylfaen"/>
                <w:color w:val="17365D" w:themeColor="text2" w:themeShade="BF"/>
                <w:sz w:val="20"/>
                <w:szCs w:val="20"/>
              </w:rPr>
            </w:pPr>
          </w:p>
          <w:p w:rsidR="000370F5" w:rsidRPr="00351597" w:rsidRDefault="000370F5" w:rsidP="002933C5">
            <w:pPr>
              <w:pStyle w:val="af4"/>
              <w:spacing w:line="276" w:lineRule="auto"/>
              <w:ind w:right="0"/>
              <w:rPr>
                <w:rFonts w:ascii="Sylfaen" w:hAnsi="Sylfaen"/>
                <w:color w:val="17365D" w:themeColor="text2" w:themeShade="BF"/>
                <w:sz w:val="20"/>
                <w:szCs w:val="20"/>
              </w:rPr>
            </w:pPr>
            <w:r w:rsidRPr="00351597">
              <w:rPr>
                <w:rFonts w:ascii="Sylfaen" w:hAnsi="Sylfaen"/>
                <w:color w:val="17365D" w:themeColor="text2" w:themeShade="BF"/>
                <w:sz w:val="20"/>
                <w:szCs w:val="20"/>
              </w:rPr>
              <w:lastRenderedPageBreak/>
              <w:t xml:space="preserve">Development of sound IT and financial infrastructure of the pension system is backbone of the reform and </w:t>
            </w:r>
            <w:proofErr w:type="spellStart"/>
            <w:r w:rsidRPr="00351597">
              <w:rPr>
                <w:rFonts w:ascii="Sylfaen" w:hAnsi="Sylfaen"/>
                <w:color w:val="17365D" w:themeColor="text2" w:themeShade="BF"/>
                <w:sz w:val="20"/>
                <w:szCs w:val="20"/>
              </w:rPr>
              <w:t>MoESD</w:t>
            </w:r>
            <w:proofErr w:type="spellEnd"/>
            <w:r w:rsidRPr="00351597">
              <w:rPr>
                <w:rFonts w:ascii="Sylfaen" w:hAnsi="Sylfaen"/>
                <w:color w:val="17365D" w:themeColor="text2" w:themeShade="BF"/>
                <w:sz w:val="20"/>
                <w:szCs w:val="20"/>
              </w:rPr>
              <w:t xml:space="preserve"> and Ministry of Finance are actively working in this direction with partners (IFI’s). An administrative architecture will have to be established for the new pension system to be able to receive contributions, individual account record keeping, asset management, and eventually the payment of pension benefits.  </w:t>
            </w:r>
          </w:p>
          <w:p w:rsidR="000370F5" w:rsidRPr="004A0468" w:rsidRDefault="000370F5" w:rsidP="004A0468">
            <w:pPr>
              <w:pStyle w:val="af4"/>
              <w:widowControl w:val="0"/>
              <w:kinsoku w:val="0"/>
              <w:overflowPunct w:val="0"/>
              <w:autoSpaceDE w:val="0"/>
              <w:autoSpaceDN w:val="0"/>
              <w:adjustRightInd w:val="0"/>
              <w:spacing w:before="120" w:line="258" w:lineRule="auto"/>
              <w:ind w:right="109"/>
              <w:rPr>
                <w:rFonts w:ascii="Sylfaen" w:hAnsi="Sylfaen"/>
                <w:color w:val="17365D" w:themeColor="text2" w:themeShade="BF"/>
                <w:sz w:val="20"/>
                <w:szCs w:val="20"/>
              </w:rPr>
            </w:pPr>
            <w:r w:rsidRPr="00351597">
              <w:rPr>
                <w:rFonts w:ascii="Sylfaen" w:hAnsi="Sylfaen"/>
                <w:color w:val="17365D" w:themeColor="text2" w:themeShade="BF"/>
                <w:sz w:val="20"/>
                <w:szCs w:val="20"/>
              </w:rPr>
              <w:t>It is expected that the Agency will start operate from first quarter 2018 and defined contributory pension system will start functioning from the 3</w:t>
            </w:r>
            <w:r w:rsidRPr="00351597">
              <w:rPr>
                <w:rFonts w:ascii="Sylfaen" w:hAnsi="Sylfaen"/>
                <w:color w:val="17365D" w:themeColor="text2" w:themeShade="BF"/>
                <w:sz w:val="20"/>
                <w:szCs w:val="20"/>
                <w:vertAlign w:val="superscript"/>
              </w:rPr>
              <w:t>rd</w:t>
            </w:r>
            <w:r w:rsidRPr="00351597">
              <w:rPr>
                <w:rFonts w:ascii="Sylfaen" w:hAnsi="Sylfaen"/>
                <w:color w:val="17365D" w:themeColor="text2" w:themeShade="BF"/>
                <w:sz w:val="20"/>
                <w:szCs w:val="20"/>
              </w:rPr>
              <w:t xml:space="preserve"> quarter of 2018.</w:t>
            </w:r>
          </w:p>
          <w:p w:rsidR="000370F5" w:rsidRPr="00351597" w:rsidRDefault="000370F5" w:rsidP="002933C5">
            <w:pPr>
              <w:jc w:val="both"/>
              <w:rPr>
                <w:rFonts w:ascii="Sylfaen" w:hAnsi="Sylfaen" w:cstheme="minorHAnsi"/>
                <w:i/>
                <w:color w:val="17365D" w:themeColor="text2" w:themeShade="BF"/>
                <w:sz w:val="20"/>
                <w:szCs w:val="20"/>
                <w:lang w:val="en-US"/>
              </w:rPr>
            </w:pPr>
          </w:p>
          <w:p w:rsidR="000370F5" w:rsidRPr="000A2DF4" w:rsidRDefault="000370F5" w:rsidP="002933C5">
            <w:pPr>
              <w:pStyle w:val="a3"/>
              <w:numPr>
                <w:ilvl w:val="0"/>
                <w:numId w:val="15"/>
              </w:numPr>
              <w:jc w:val="both"/>
              <w:rPr>
                <w:rFonts w:ascii="Sylfaen" w:hAnsi="Sylfaen"/>
                <w:b/>
                <w:color w:val="17365D" w:themeColor="text2" w:themeShade="BF"/>
                <w:sz w:val="20"/>
                <w:szCs w:val="20"/>
                <w:highlight w:val="lightGray"/>
              </w:rPr>
            </w:pPr>
            <w:r w:rsidRPr="000A2DF4">
              <w:rPr>
                <w:rFonts w:ascii="Sylfaen" w:hAnsi="Sylfaen" w:cstheme="minorHAnsi"/>
                <w:b/>
                <w:color w:val="17365D" w:themeColor="text2" w:themeShade="BF"/>
                <w:sz w:val="20"/>
                <w:szCs w:val="20"/>
                <w:highlight w:val="lightGray"/>
              </w:rPr>
              <w:t>Social services</w:t>
            </w:r>
          </w:p>
          <w:p w:rsidR="000370F5" w:rsidRPr="00351597" w:rsidRDefault="000370F5"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Development of social services for the most vulnerable people (people with disabilities, children lacking parental care, victims of domestic violence and elderly) has been high on the agenda for last couple of years. </w:t>
            </w:r>
          </w:p>
          <w:p w:rsidR="000370F5" w:rsidRPr="00351597" w:rsidRDefault="000370F5"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Ministry with its executive bodies and partners has been working on expanding and developing new services in the regions and partnering with professionals to develop and refine standards in order to provide quality services and support.</w:t>
            </w:r>
          </w:p>
          <w:p w:rsidR="000370F5" w:rsidRPr="00351597" w:rsidRDefault="000370F5" w:rsidP="00125A31">
            <w:pPr>
              <w:jc w:val="both"/>
              <w:rPr>
                <w:rFonts w:ascii="Sylfaen" w:hAnsi="Sylfaen"/>
                <w:color w:val="17365D" w:themeColor="text2" w:themeShade="BF"/>
                <w:sz w:val="20"/>
                <w:szCs w:val="20"/>
              </w:rPr>
            </w:pPr>
            <w:r w:rsidRPr="00351597">
              <w:rPr>
                <w:rFonts w:ascii="Sylfaen" w:hAnsi="Sylfaen"/>
                <w:color w:val="17365D" w:themeColor="text2" w:themeShade="BF"/>
                <w:sz w:val="20"/>
                <w:szCs w:val="20"/>
              </w:rPr>
              <w:t xml:space="preserve">Changes in the legal framework such as a new law on adoption and foster care, amendments to the law on social assistance and government decree on child protection referral procedures redefined the system to better respond to the best interest of a child. </w:t>
            </w:r>
          </w:p>
        </w:tc>
        <w:tc>
          <w:tcPr>
            <w:tcW w:w="810" w:type="dxa"/>
          </w:tcPr>
          <w:p w:rsidR="00372C1C" w:rsidRDefault="00372C1C" w:rsidP="00125A31">
            <w:pPr>
              <w:autoSpaceDE w:val="0"/>
              <w:autoSpaceDN w:val="0"/>
              <w:adjustRightInd w:val="0"/>
              <w:jc w:val="center"/>
              <w:rPr>
                <w:rFonts w:ascii="Sylfaen" w:hAnsi="Sylfaen" w:cstheme="minorHAnsi"/>
                <w:b/>
                <w:bCs/>
                <w:iCs/>
                <w:color w:val="17365D" w:themeColor="text2" w:themeShade="BF"/>
                <w:sz w:val="20"/>
                <w:szCs w:val="20"/>
              </w:rPr>
            </w:pPr>
          </w:p>
          <w:p w:rsidR="000370F5" w:rsidRPr="00351597" w:rsidRDefault="004F027A" w:rsidP="00125A31">
            <w:pPr>
              <w:autoSpaceDE w:val="0"/>
              <w:autoSpaceDN w:val="0"/>
              <w:adjustRightInd w:val="0"/>
              <w:jc w:val="center"/>
              <w:rPr>
                <w:rFonts w:ascii="Sylfaen" w:hAnsi="Sylfaen" w:cstheme="minorHAnsi"/>
                <w:b/>
                <w:bCs/>
                <w:iCs/>
                <w:color w:val="17365D" w:themeColor="text2" w:themeShade="BF"/>
                <w:sz w:val="20"/>
                <w:szCs w:val="20"/>
              </w:rPr>
            </w:pPr>
            <w:r>
              <w:rPr>
                <w:rFonts w:ascii="Sylfaen" w:hAnsi="Sylfaen" w:cstheme="minorHAnsi"/>
                <w:b/>
                <w:bCs/>
                <w:iCs/>
                <w:color w:val="17365D" w:themeColor="text2" w:themeShade="BF"/>
                <w:sz w:val="20"/>
                <w:szCs w:val="20"/>
              </w:rPr>
              <w:t>GE</w:t>
            </w:r>
          </w:p>
        </w:tc>
      </w:tr>
      <w:tr w:rsidR="00727FBB" w:rsidRPr="00351597" w:rsidTr="004F027A">
        <w:trPr>
          <w:trHeight w:val="566"/>
        </w:trPr>
        <w:tc>
          <w:tcPr>
            <w:tcW w:w="1548" w:type="dxa"/>
            <w:shd w:val="clear" w:color="auto" w:fill="auto"/>
            <w:vAlign w:val="center"/>
          </w:tcPr>
          <w:p w:rsidR="00727FBB" w:rsidRPr="00351597" w:rsidRDefault="00727FBB" w:rsidP="00125A31">
            <w:pPr>
              <w:autoSpaceDE w:val="0"/>
              <w:autoSpaceDN w:val="0"/>
              <w:adjustRightInd w:val="0"/>
              <w:jc w:val="center"/>
              <w:rPr>
                <w:rFonts w:ascii="Sylfaen" w:hAnsi="Sylfaen" w:cstheme="minorHAnsi"/>
                <w:bCs/>
                <w:iCs/>
                <w:color w:val="17365D" w:themeColor="text2" w:themeShade="BF"/>
                <w:sz w:val="20"/>
                <w:szCs w:val="20"/>
                <w:lang w:val="en-US"/>
              </w:rPr>
            </w:pPr>
          </w:p>
        </w:tc>
        <w:tc>
          <w:tcPr>
            <w:tcW w:w="7609" w:type="dxa"/>
            <w:shd w:val="clear" w:color="auto" w:fill="auto"/>
          </w:tcPr>
          <w:p w:rsidR="00727FBB" w:rsidRPr="00351597" w:rsidRDefault="00727FBB" w:rsidP="00125A31">
            <w:pPr>
              <w:autoSpaceDE w:val="0"/>
              <w:autoSpaceDN w:val="0"/>
              <w:adjustRightInd w:val="0"/>
              <w:jc w:val="center"/>
              <w:rPr>
                <w:rFonts w:ascii="Sylfaen" w:hAnsi="Sylfaen" w:cstheme="minorHAnsi"/>
                <w:bCs/>
                <w:iCs/>
                <w:color w:val="17365D" w:themeColor="text2" w:themeShade="BF"/>
                <w:sz w:val="20"/>
                <w:szCs w:val="20"/>
              </w:rPr>
            </w:pPr>
            <w:r w:rsidRPr="00351597">
              <w:rPr>
                <w:rFonts w:ascii="Sylfaen" w:hAnsi="Sylfaen" w:cstheme="minorHAnsi"/>
                <w:bCs/>
                <w:iCs/>
                <w:color w:val="17365D" w:themeColor="text2" w:themeShade="BF"/>
                <w:sz w:val="20"/>
                <w:szCs w:val="20"/>
              </w:rPr>
              <w:t>15</w:t>
            </w:r>
          </w:p>
          <w:p w:rsidR="00727FBB" w:rsidRPr="00351597" w:rsidRDefault="00727FBB" w:rsidP="00125A31">
            <w:pPr>
              <w:jc w:val="both"/>
              <w:rPr>
                <w:rFonts w:ascii="Sylfaen" w:hAnsi="Sylfaen" w:cstheme="minorHAnsi"/>
                <w:b/>
                <w:color w:val="17365D" w:themeColor="text2" w:themeShade="BF"/>
                <w:sz w:val="20"/>
                <w:szCs w:val="20"/>
              </w:rPr>
            </w:pPr>
            <w:r w:rsidRPr="00351597">
              <w:rPr>
                <w:rFonts w:ascii="Sylfaen" w:hAnsi="Sylfaen" w:cstheme="minorHAnsi"/>
                <w:b/>
                <w:color w:val="17365D" w:themeColor="text2" w:themeShade="BF"/>
                <w:sz w:val="20"/>
                <w:szCs w:val="20"/>
              </w:rPr>
              <w:t>Potential areas for cooperation, EU support, policy dialogue:</w:t>
            </w:r>
          </w:p>
          <w:p w:rsidR="00727FBB" w:rsidRPr="00351597" w:rsidRDefault="00727FBB" w:rsidP="00125A31">
            <w:pPr>
              <w:pStyle w:val="a3"/>
              <w:numPr>
                <w:ilvl w:val="0"/>
                <w:numId w:val="16"/>
              </w:numPr>
              <w:jc w:val="both"/>
              <w:rPr>
                <w:rFonts w:ascii="Sylfaen" w:hAnsi="Sylfaen" w:cstheme="minorHAnsi"/>
                <w:color w:val="17365D" w:themeColor="text2" w:themeShade="BF"/>
                <w:sz w:val="20"/>
                <w:szCs w:val="20"/>
              </w:rPr>
            </w:pPr>
            <w:proofErr w:type="spellStart"/>
            <w:r w:rsidRPr="00351597">
              <w:rPr>
                <w:rFonts w:ascii="Sylfaen" w:hAnsi="Sylfaen" w:cstheme="minorHAnsi"/>
                <w:b/>
                <w:color w:val="17365D" w:themeColor="text2" w:themeShade="BF"/>
                <w:sz w:val="20"/>
                <w:szCs w:val="20"/>
              </w:rPr>
              <w:t>Socieux</w:t>
            </w:r>
            <w:proofErr w:type="spellEnd"/>
            <w:r w:rsidRPr="00351597">
              <w:rPr>
                <w:rFonts w:ascii="Sylfaen" w:hAnsi="Sylfaen" w:cstheme="minorHAnsi"/>
                <w:b/>
                <w:color w:val="17365D" w:themeColor="text2" w:themeShade="BF"/>
                <w:sz w:val="20"/>
                <w:szCs w:val="20"/>
              </w:rPr>
              <w:t>+ programme</w:t>
            </w:r>
          </w:p>
        </w:tc>
        <w:tc>
          <w:tcPr>
            <w:tcW w:w="810" w:type="dxa"/>
            <w:shd w:val="clear" w:color="auto" w:fill="auto"/>
          </w:tcPr>
          <w:p w:rsidR="00727FBB" w:rsidRPr="00372C1C" w:rsidRDefault="00727FBB" w:rsidP="00125A31">
            <w:pPr>
              <w:autoSpaceDE w:val="0"/>
              <w:autoSpaceDN w:val="0"/>
              <w:adjustRightInd w:val="0"/>
              <w:jc w:val="center"/>
              <w:rPr>
                <w:rFonts w:ascii="Sylfaen" w:hAnsi="Sylfaen" w:cstheme="minorHAnsi"/>
                <w:b/>
                <w:bCs/>
                <w:iCs/>
                <w:color w:val="17365D" w:themeColor="text2" w:themeShade="BF"/>
                <w:sz w:val="20"/>
                <w:szCs w:val="20"/>
                <w:lang w:val="en-US"/>
              </w:rPr>
            </w:pPr>
            <w:r w:rsidRPr="00372C1C">
              <w:rPr>
                <w:rFonts w:ascii="Sylfaen" w:hAnsi="Sylfaen" w:cstheme="minorHAnsi"/>
                <w:b/>
                <w:bCs/>
                <w:iCs/>
                <w:color w:val="17365D" w:themeColor="text2" w:themeShade="BF"/>
                <w:sz w:val="20"/>
                <w:szCs w:val="20"/>
                <w:lang w:val="en-US"/>
              </w:rPr>
              <w:t>EU</w:t>
            </w:r>
          </w:p>
        </w:tc>
      </w:tr>
      <w:tr w:rsidR="00727FBB" w:rsidRPr="00351597" w:rsidTr="004F027A">
        <w:tc>
          <w:tcPr>
            <w:tcW w:w="1548" w:type="dxa"/>
            <w:vAlign w:val="center"/>
          </w:tcPr>
          <w:p w:rsidR="00727FBB" w:rsidRPr="00351597" w:rsidRDefault="00727FBB"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tcPr>
          <w:p w:rsidR="00727FBB" w:rsidRPr="00351597" w:rsidRDefault="00727FBB" w:rsidP="00125A31">
            <w:pPr>
              <w:autoSpaceDE w:val="0"/>
              <w:autoSpaceDN w:val="0"/>
              <w:adjustRightInd w:val="0"/>
              <w:jc w:val="center"/>
              <w:rPr>
                <w:rFonts w:ascii="Sylfaen" w:hAnsi="Sylfaen" w:cstheme="minorHAnsi"/>
                <w:b/>
                <w:bCs/>
                <w:iCs/>
                <w:color w:val="17365D" w:themeColor="text2" w:themeShade="BF"/>
                <w:sz w:val="20"/>
                <w:szCs w:val="20"/>
                <w:lang w:val="en-US"/>
              </w:rPr>
            </w:pPr>
            <w:r w:rsidRPr="00351597">
              <w:rPr>
                <w:rFonts w:ascii="Sylfaen" w:hAnsi="Sylfaen" w:cstheme="minorHAnsi"/>
                <w:b/>
                <w:bCs/>
                <w:iCs/>
                <w:color w:val="17365D" w:themeColor="text2" w:themeShade="BF"/>
                <w:sz w:val="20"/>
                <w:szCs w:val="20"/>
                <w:lang w:val="en-US"/>
              </w:rPr>
              <w:t>16</w:t>
            </w:r>
          </w:p>
          <w:p w:rsidR="00727FBB" w:rsidRPr="00351597" w:rsidRDefault="00727FBB" w:rsidP="00125A31">
            <w:pPr>
              <w:rPr>
                <w:rFonts w:ascii="Sylfaen" w:hAnsi="Sylfaen" w:cstheme="minorHAnsi"/>
                <w:b/>
                <w:color w:val="17365D" w:themeColor="text2" w:themeShade="BF"/>
                <w:sz w:val="20"/>
                <w:szCs w:val="20"/>
              </w:rPr>
            </w:pPr>
            <w:r w:rsidRPr="00351597">
              <w:rPr>
                <w:rFonts w:ascii="Sylfaen" w:hAnsi="Sylfaen" w:cstheme="minorHAnsi"/>
                <w:b/>
                <w:bCs/>
                <w:iCs/>
                <w:color w:val="17365D" w:themeColor="text2" w:themeShade="BF"/>
                <w:sz w:val="20"/>
                <w:szCs w:val="20"/>
              </w:rPr>
              <w:t xml:space="preserve">Review of the operational conclusions of the first EU-Georgia Sub-Committee </w:t>
            </w:r>
          </w:p>
        </w:tc>
        <w:tc>
          <w:tcPr>
            <w:tcW w:w="810" w:type="dxa"/>
          </w:tcPr>
          <w:p w:rsidR="00727FBB" w:rsidRPr="00351597" w:rsidRDefault="00727FBB" w:rsidP="00125A31">
            <w:pPr>
              <w:autoSpaceDE w:val="0"/>
              <w:autoSpaceDN w:val="0"/>
              <w:adjustRightInd w:val="0"/>
              <w:jc w:val="center"/>
              <w:rPr>
                <w:rFonts w:ascii="Sylfaen" w:hAnsi="Sylfaen" w:cstheme="minorHAnsi"/>
                <w:b/>
                <w:bCs/>
                <w:iCs/>
                <w:color w:val="17365D" w:themeColor="text2" w:themeShade="BF"/>
                <w:sz w:val="20"/>
                <w:szCs w:val="20"/>
              </w:rPr>
            </w:pPr>
          </w:p>
        </w:tc>
      </w:tr>
      <w:tr w:rsidR="00727FBB" w:rsidRPr="00351597" w:rsidTr="004F027A">
        <w:tc>
          <w:tcPr>
            <w:tcW w:w="1548" w:type="dxa"/>
            <w:shd w:val="clear" w:color="auto" w:fill="D9D9D9" w:themeFill="background1" w:themeFillShade="D9"/>
            <w:vAlign w:val="center"/>
          </w:tcPr>
          <w:p w:rsidR="00727FBB" w:rsidRPr="00351597" w:rsidRDefault="00727FBB" w:rsidP="00125A31">
            <w:pPr>
              <w:autoSpaceDE w:val="0"/>
              <w:autoSpaceDN w:val="0"/>
              <w:adjustRightInd w:val="0"/>
              <w:jc w:val="center"/>
              <w:rPr>
                <w:rFonts w:ascii="Sylfaen" w:hAnsi="Sylfaen" w:cstheme="minorHAnsi"/>
                <w:b/>
                <w:bCs/>
                <w:iCs/>
                <w:color w:val="17365D" w:themeColor="text2" w:themeShade="BF"/>
                <w:sz w:val="20"/>
                <w:szCs w:val="20"/>
                <w:lang w:val="en-US"/>
              </w:rPr>
            </w:pPr>
          </w:p>
        </w:tc>
        <w:tc>
          <w:tcPr>
            <w:tcW w:w="7609" w:type="dxa"/>
            <w:shd w:val="clear" w:color="auto" w:fill="D9D9D9" w:themeFill="background1" w:themeFillShade="D9"/>
          </w:tcPr>
          <w:p w:rsidR="00727FBB" w:rsidRPr="00351597" w:rsidRDefault="00727FBB" w:rsidP="00125A31">
            <w:pPr>
              <w:autoSpaceDE w:val="0"/>
              <w:autoSpaceDN w:val="0"/>
              <w:adjustRightInd w:val="0"/>
              <w:rPr>
                <w:rFonts w:ascii="Sylfaen" w:hAnsi="Sylfaen" w:cstheme="minorHAnsi"/>
                <w:b/>
                <w:bCs/>
                <w:iCs/>
                <w:color w:val="17365D" w:themeColor="text2" w:themeShade="BF"/>
                <w:sz w:val="20"/>
                <w:szCs w:val="20"/>
              </w:rPr>
            </w:pPr>
            <w:r w:rsidRPr="00351597">
              <w:rPr>
                <w:rFonts w:ascii="Sylfaen" w:hAnsi="Sylfaen" w:cstheme="minorHAnsi"/>
                <w:b/>
                <w:bCs/>
                <w:iCs/>
                <w:color w:val="17365D" w:themeColor="text2" w:themeShade="BF"/>
                <w:sz w:val="20"/>
                <w:szCs w:val="20"/>
              </w:rPr>
              <w:t>End</w:t>
            </w:r>
          </w:p>
        </w:tc>
        <w:tc>
          <w:tcPr>
            <w:tcW w:w="810" w:type="dxa"/>
            <w:shd w:val="clear" w:color="auto" w:fill="D9D9D9" w:themeFill="background1" w:themeFillShade="D9"/>
          </w:tcPr>
          <w:p w:rsidR="00727FBB" w:rsidRPr="00351597" w:rsidRDefault="00727FBB" w:rsidP="00125A31">
            <w:pPr>
              <w:autoSpaceDE w:val="0"/>
              <w:autoSpaceDN w:val="0"/>
              <w:adjustRightInd w:val="0"/>
              <w:jc w:val="center"/>
              <w:rPr>
                <w:rFonts w:ascii="Sylfaen" w:hAnsi="Sylfaen" w:cstheme="minorHAnsi"/>
                <w:b/>
                <w:bCs/>
                <w:iCs/>
                <w:color w:val="17365D" w:themeColor="text2" w:themeShade="BF"/>
                <w:sz w:val="20"/>
                <w:szCs w:val="20"/>
              </w:rPr>
            </w:pPr>
          </w:p>
        </w:tc>
      </w:tr>
    </w:tbl>
    <w:p w:rsidR="00637104" w:rsidRPr="004F027A" w:rsidRDefault="00637104" w:rsidP="004F027A">
      <w:pPr>
        <w:autoSpaceDE w:val="0"/>
        <w:autoSpaceDN w:val="0"/>
        <w:adjustRightInd w:val="0"/>
        <w:spacing w:after="0" w:line="240" w:lineRule="auto"/>
        <w:rPr>
          <w:rFonts w:ascii="Sylfaen" w:hAnsi="Sylfaen"/>
          <w:bCs/>
          <w:iCs/>
          <w:color w:val="17365D" w:themeColor="text2" w:themeShade="BF"/>
          <w:sz w:val="20"/>
          <w:szCs w:val="20"/>
        </w:rPr>
      </w:pPr>
    </w:p>
    <w:sectPr w:rsidR="00637104" w:rsidRPr="004F027A" w:rsidSect="001C0F3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44C" w:rsidRDefault="0032544C" w:rsidP="00011DA4">
      <w:pPr>
        <w:spacing w:after="0" w:line="240" w:lineRule="auto"/>
      </w:pPr>
      <w:r>
        <w:separator/>
      </w:r>
    </w:p>
  </w:endnote>
  <w:endnote w:type="continuationSeparator" w:id="0">
    <w:p w:rsidR="0032544C" w:rsidRDefault="0032544C" w:rsidP="0001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EUAlbertina-Regu">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835699"/>
      <w:docPartObj>
        <w:docPartGallery w:val="Page Numbers (Bottom of Page)"/>
        <w:docPartUnique/>
      </w:docPartObj>
    </w:sdtPr>
    <w:sdtEndPr>
      <w:rPr>
        <w:noProof/>
      </w:rPr>
    </w:sdtEndPr>
    <w:sdtContent>
      <w:p w:rsidR="00011DA4" w:rsidRDefault="00011DA4">
        <w:pPr>
          <w:pStyle w:val="a8"/>
          <w:jc w:val="right"/>
        </w:pPr>
        <w:r>
          <w:fldChar w:fldCharType="begin"/>
        </w:r>
        <w:r>
          <w:instrText xml:space="preserve"> PAGE   \* MERGEFORMAT </w:instrText>
        </w:r>
        <w:r>
          <w:fldChar w:fldCharType="separate"/>
        </w:r>
        <w:r w:rsidR="003A719B">
          <w:rPr>
            <w:noProof/>
          </w:rPr>
          <w:t>12</w:t>
        </w:r>
        <w:r>
          <w:rPr>
            <w:noProof/>
          </w:rPr>
          <w:fldChar w:fldCharType="end"/>
        </w:r>
      </w:p>
    </w:sdtContent>
  </w:sdt>
  <w:p w:rsidR="00011DA4" w:rsidRDefault="00011DA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44C" w:rsidRDefault="0032544C" w:rsidP="00011DA4">
      <w:pPr>
        <w:spacing w:after="0" w:line="240" w:lineRule="auto"/>
      </w:pPr>
      <w:r>
        <w:separator/>
      </w:r>
    </w:p>
  </w:footnote>
  <w:footnote w:type="continuationSeparator" w:id="0">
    <w:p w:rsidR="0032544C" w:rsidRDefault="0032544C" w:rsidP="00011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0E81"/>
    <w:multiLevelType w:val="hybridMultilevel"/>
    <w:tmpl w:val="3C82CA80"/>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32774C"/>
    <w:multiLevelType w:val="hybridMultilevel"/>
    <w:tmpl w:val="DEE2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62F22"/>
    <w:multiLevelType w:val="hybridMultilevel"/>
    <w:tmpl w:val="B1849C82"/>
    <w:lvl w:ilvl="0" w:tplc="D66A4C80">
      <w:start w:val="1"/>
      <w:numFmt w:val="bullet"/>
      <w:lvlText w:val="•"/>
      <w:lvlJc w:val="left"/>
      <w:pPr>
        <w:tabs>
          <w:tab w:val="num" w:pos="720"/>
        </w:tabs>
        <w:ind w:left="720" w:hanging="360"/>
      </w:pPr>
      <w:rPr>
        <w:rFonts w:ascii="Arial" w:hAnsi="Arial" w:hint="default"/>
      </w:rPr>
    </w:lvl>
    <w:lvl w:ilvl="1" w:tplc="3ADC728A" w:tentative="1">
      <w:start w:val="1"/>
      <w:numFmt w:val="bullet"/>
      <w:lvlText w:val="•"/>
      <w:lvlJc w:val="left"/>
      <w:pPr>
        <w:tabs>
          <w:tab w:val="num" w:pos="1440"/>
        </w:tabs>
        <w:ind w:left="1440" w:hanging="360"/>
      </w:pPr>
      <w:rPr>
        <w:rFonts w:ascii="Arial" w:hAnsi="Arial" w:hint="default"/>
      </w:rPr>
    </w:lvl>
    <w:lvl w:ilvl="2" w:tplc="AC8AC650" w:tentative="1">
      <w:start w:val="1"/>
      <w:numFmt w:val="bullet"/>
      <w:lvlText w:val="•"/>
      <w:lvlJc w:val="left"/>
      <w:pPr>
        <w:tabs>
          <w:tab w:val="num" w:pos="2160"/>
        </w:tabs>
        <w:ind w:left="2160" w:hanging="360"/>
      </w:pPr>
      <w:rPr>
        <w:rFonts w:ascii="Arial" w:hAnsi="Arial" w:hint="default"/>
      </w:rPr>
    </w:lvl>
    <w:lvl w:ilvl="3" w:tplc="73CA7DE2" w:tentative="1">
      <w:start w:val="1"/>
      <w:numFmt w:val="bullet"/>
      <w:lvlText w:val="•"/>
      <w:lvlJc w:val="left"/>
      <w:pPr>
        <w:tabs>
          <w:tab w:val="num" w:pos="2880"/>
        </w:tabs>
        <w:ind w:left="2880" w:hanging="360"/>
      </w:pPr>
      <w:rPr>
        <w:rFonts w:ascii="Arial" w:hAnsi="Arial" w:hint="default"/>
      </w:rPr>
    </w:lvl>
    <w:lvl w:ilvl="4" w:tplc="D56E86F4" w:tentative="1">
      <w:start w:val="1"/>
      <w:numFmt w:val="bullet"/>
      <w:lvlText w:val="•"/>
      <w:lvlJc w:val="left"/>
      <w:pPr>
        <w:tabs>
          <w:tab w:val="num" w:pos="3600"/>
        </w:tabs>
        <w:ind w:left="3600" w:hanging="360"/>
      </w:pPr>
      <w:rPr>
        <w:rFonts w:ascii="Arial" w:hAnsi="Arial" w:hint="default"/>
      </w:rPr>
    </w:lvl>
    <w:lvl w:ilvl="5" w:tplc="C868F59E" w:tentative="1">
      <w:start w:val="1"/>
      <w:numFmt w:val="bullet"/>
      <w:lvlText w:val="•"/>
      <w:lvlJc w:val="left"/>
      <w:pPr>
        <w:tabs>
          <w:tab w:val="num" w:pos="4320"/>
        </w:tabs>
        <w:ind w:left="4320" w:hanging="360"/>
      </w:pPr>
      <w:rPr>
        <w:rFonts w:ascii="Arial" w:hAnsi="Arial" w:hint="default"/>
      </w:rPr>
    </w:lvl>
    <w:lvl w:ilvl="6" w:tplc="5860F116" w:tentative="1">
      <w:start w:val="1"/>
      <w:numFmt w:val="bullet"/>
      <w:lvlText w:val="•"/>
      <w:lvlJc w:val="left"/>
      <w:pPr>
        <w:tabs>
          <w:tab w:val="num" w:pos="5040"/>
        </w:tabs>
        <w:ind w:left="5040" w:hanging="360"/>
      </w:pPr>
      <w:rPr>
        <w:rFonts w:ascii="Arial" w:hAnsi="Arial" w:hint="default"/>
      </w:rPr>
    </w:lvl>
    <w:lvl w:ilvl="7" w:tplc="94760298" w:tentative="1">
      <w:start w:val="1"/>
      <w:numFmt w:val="bullet"/>
      <w:lvlText w:val="•"/>
      <w:lvlJc w:val="left"/>
      <w:pPr>
        <w:tabs>
          <w:tab w:val="num" w:pos="5760"/>
        </w:tabs>
        <w:ind w:left="5760" w:hanging="360"/>
      </w:pPr>
      <w:rPr>
        <w:rFonts w:ascii="Arial" w:hAnsi="Arial" w:hint="default"/>
      </w:rPr>
    </w:lvl>
    <w:lvl w:ilvl="8" w:tplc="DE1A3D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A6D5B"/>
    <w:multiLevelType w:val="hybridMultilevel"/>
    <w:tmpl w:val="3968C95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1AC81FC5"/>
    <w:multiLevelType w:val="hybridMultilevel"/>
    <w:tmpl w:val="FD54069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D7250FC"/>
    <w:multiLevelType w:val="hybridMultilevel"/>
    <w:tmpl w:val="1D70C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E07975"/>
    <w:multiLevelType w:val="hybridMultilevel"/>
    <w:tmpl w:val="884EB7F8"/>
    <w:lvl w:ilvl="0" w:tplc="D6786C84">
      <w:numFmt w:val="bullet"/>
      <w:lvlText w:val="-"/>
      <w:lvlJc w:val="left"/>
      <w:pPr>
        <w:ind w:left="720" w:hanging="360"/>
      </w:pPr>
      <w:rPr>
        <w:rFonts w:ascii="Calibri" w:eastAsia="Calibri"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B3220"/>
    <w:multiLevelType w:val="hybridMultilevel"/>
    <w:tmpl w:val="5A12E5E2"/>
    <w:lvl w:ilvl="0" w:tplc="D0C231C4">
      <w:start w:val="1"/>
      <w:numFmt w:val="bullet"/>
      <w:lvlText w:val=""/>
      <w:lvlJc w:val="left"/>
      <w:pPr>
        <w:tabs>
          <w:tab w:val="num" w:pos="720"/>
        </w:tabs>
        <w:ind w:left="720" w:hanging="360"/>
      </w:pPr>
      <w:rPr>
        <w:rFonts w:ascii="Wingdings" w:hAnsi="Wingdings" w:hint="default"/>
      </w:rPr>
    </w:lvl>
    <w:lvl w:ilvl="1" w:tplc="8ABE304C" w:tentative="1">
      <w:start w:val="1"/>
      <w:numFmt w:val="bullet"/>
      <w:lvlText w:val=""/>
      <w:lvlJc w:val="left"/>
      <w:pPr>
        <w:tabs>
          <w:tab w:val="num" w:pos="1440"/>
        </w:tabs>
        <w:ind w:left="1440" w:hanging="360"/>
      </w:pPr>
      <w:rPr>
        <w:rFonts w:ascii="Wingdings" w:hAnsi="Wingdings" w:hint="default"/>
      </w:rPr>
    </w:lvl>
    <w:lvl w:ilvl="2" w:tplc="4A8C2C3A" w:tentative="1">
      <w:start w:val="1"/>
      <w:numFmt w:val="bullet"/>
      <w:lvlText w:val=""/>
      <w:lvlJc w:val="left"/>
      <w:pPr>
        <w:tabs>
          <w:tab w:val="num" w:pos="2160"/>
        </w:tabs>
        <w:ind w:left="2160" w:hanging="360"/>
      </w:pPr>
      <w:rPr>
        <w:rFonts w:ascii="Wingdings" w:hAnsi="Wingdings" w:hint="default"/>
      </w:rPr>
    </w:lvl>
    <w:lvl w:ilvl="3" w:tplc="27040B44" w:tentative="1">
      <w:start w:val="1"/>
      <w:numFmt w:val="bullet"/>
      <w:lvlText w:val=""/>
      <w:lvlJc w:val="left"/>
      <w:pPr>
        <w:tabs>
          <w:tab w:val="num" w:pos="2880"/>
        </w:tabs>
        <w:ind w:left="2880" w:hanging="360"/>
      </w:pPr>
      <w:rPr>
        <w:rFonts w:ascii="Wingdings" w:hAnsi="Wingdings" w:hint="default"/>
      </w:rPr>
    </w:lvl>
    <w:lvl w:ilvl="4" w:tplc="7E3E8C5C" w:tentative="1">
      <w:start w:val="1"/>
      <w:numFmt w:val="bullet"/>
      <w:lvlText w:val=""/>
      <w:lvlJc w:val="left"/>
      <w:pPr>
        <w:tabs>
          <w:tab w:val="num" w:pos="3600"/>
        </w:tabs>
        <w:ind w:left="3600" w:hanging="360"/>
      </w:pPr>
      <w:rPr>
        <w:rFonts w:ascii="Wingdings" w:hAnsi="Wingdings" w:hint="default"/>
      </w:rPr>
    </w:lvl>
    <w:lvl w:ilvl="5" w:tplc="4F087E38" w:tentative="1">
      <w:start w:val="1"/>
      <w:numFmt w:val="bullet"/>
      <w:lvlText w:val=""/>
      <w:lvlJc w:val="left"/>
      <w:pPr>
        <w:tabs>
          <w:tab w:val="num" w:pos="4320"/>
        </w:tabs>
        <w:ind w:left="4320" w:hanging="360"/>
      </w:pPr>
      <w:rPr>
        <w:rFonts w:ascii="Wingdings" w:hAnsi="Wingdings" w:hint="default"/>
      </w:rPr>
    </w:lvl>
    <w:lvl w:ilvl="6" w:tplc="95347D32" w:tentative="1">
      <w:start w:val="1"/>
      <w:numFmt w:val="bullet"/>
      <w:lvlText w:val=""/>
      <w:lvlJc w:val="left"/>
      <w:pPr>
        <w:tabs>
          <w:tab w:val="num" w:pos="5040"/>
        </w:tabs>
        <w:ind w:left="5040" w:hanging="360"/>
      </w:pPr>
      <w:rPr>
        <w:rFonts w:ascii="Wingdings" w:hAnsi="Wingdings" w:hint="default"/>
      </w:rPr>
    </w:lvl>
    <w:lvl w:ilvl="7" w:tplc="59DA8184" w:tentative="1">
      <w:start w:val="1"/>
      <w:numFmt w:val="bullet"/>
      <w:lvlText w:val=""/>
      <w:lvlJc w:val="left"/>
      <w:pPr>
        <w:tabs>
          <w:tab w:val="num" w:pos="5760"/>
        </w:tabs>
        <w:ind w:left="5760" w:hanging="360"/>
      </w:pPr>
      <w:rPr>
        <w:rFonts w:ascii="Wingdings" w:hAnsi="Wingdings" w:hint="default"/>
      </w:rPr>
    </w:lvl>
    <w:lvl w:ilvl="8" w:tplc="4A72783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752B25"/>
    <w:multiLevelType w:val="hybridMultilevel"/>
    <w:tmpl w:val="D0B2C7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F1706"/>
    <w:multiLevelType w:val="hybridMultilevel"/>
    <w:tmpl w:val="D6E2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C2C42"/>
    <w:multiLevelType w:val="hybridMultilevel"/>
    <w:tmpl w:val="4028C72E"/>
    <w:lvl w:ilvl="0" w:tplc="0409000F">
      <w:start w:val="1"/>
      <w:numFmt w:val="decimal"/>
      <w:lvlText w:val="%1."/>
      <w:lvlJc w:val="left"/>
      <w:pPr>
        <w:ind w:left="720" w:hanging="360"/>
      </w:pPr>
      <w:rPr>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4344CA"/>
    <w:multiLevelType w:val="hybridMultilevel"/>
    <w:tmpl w:val="98EE8CFA"/>
    <w:lvl w:ilvl="0" w:tplc="0809000D">
      <w:start w:val="1"/>
      <w:numFmt w:val="bullet"/>
      <w:lvlText w:val=""/>
      <w:lvlJc w:val="left"/>
      <w:pPr>
        <w:ind w:left="1977" w:hanging="360"/>
      </w:pPr>
      <w:rPr>
        <w:rFonts w:ascii="Wingdings" w:hAnsi="Wingdings"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13" w15:restartNumberingAfterBreak="0">
    <w:nsid w:val="386072AE"/>
    <w:multiLevelType w:val="hybridMultilevel"/>
    <w:tmpl w:val="181C4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F1F438B"/>
    <w:multiLevelType w:val="hybridMultilevel"/>
    <w:tmpl w:val="BB4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2141A"/>
    <w:multiLevelType w:val="hybridMultilevel"/>
    <w:tmpl w:val="BA4A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D15EE"/>
    <w:multiLevelType w:val="hybridMultilevel"/>
    <w:tmpl w:val="E926E752"/>
    <w:lvl w:ilvl="0" w:tplc="5148CA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3C04D3"/>
    <w:multiLevelType w:val="hybridMultilevel"/>
    <w:tmpl w:val="F686F6E4"/>
    <w:lvl w:ilvl="0" w:tplc="BF6C441A">
      <w:start w:val="1"/>
      <w:numFmt w:val="upperRoman"/>
      <w:lvlText w:val="%1."/>
      <w:lvlJc w:val="left"/>
      <w:pPr>
        <w:ind w:left="1080" w:hanging="72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15:restartNumberingAfterBreak="0">
    <w:nsid w:val="4C7B59AE"/>
    <w:multiLevelType w:val="hybridMultilevel"/>
    <w:tmpl w:val="FF4A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833921"/>
    <w:multiLevelType w:val="multilevel"/>
    <w:tmpl w:val="E71CDC30"/>
    <w:lvl w:ilvl="0">
      <w:start w:val="1"/>
      <w:numFmt w:val="decimal"/>
      <w:lvlText w:val="%1."/>
      <w:lvlJc w:val="left"/>
      <w:pPr>
        <w:ind w:left="720" w:hanging="360"/>
      </w:pPr>
    </w:lvl>
    <w:lvl w:ilvl="1">
      <w:start w:val="1"/>
      <w:numFmt w:val="decimal"/>
      <w:isLgl/>
      <w:lvlText w:val="%1.%2."/>
      <w:lvlJc w:val="left"/>
      <w:pPr>
        <w:ind w:left="1080" w:hanging="360"/>
      </w:pPr>
      <w:rPr>
        <w:rFonts w:cs="Times New Roman"/>
        <w:b w:val="0"/>
        <w:i w:val="0"/>
      </w:rPr>
    </w:lvl>
    <w:lvl w:ilvl="2">
      <w:start w:val="1"/>
      <w:numFmt w:val="decimal"/>
      <w:isLgl/>
      <w:lvlText w:val="%1.%2.%3."/>
      <w:lvlJc w:val="left"/>
      <w:pPr>
        <w:ind w:left="1800" w:hanging="720"/>
      </w:pPr>
      <w:rPr>
        <w:rFonts w:cs="Times New Roman"/>
        <w:b w:val="0"/>
        <w:i w:val="0"/>
      </w:rPr>
    </w:lvl>
    <w:lvl w:ilvl="3">
      <w:start w:val="1"/>
      <w:numFmt w:val="decimal"/>
      <w:isLgl/>
      <w:lvlText w:val="%1.%2.%3.%4."/>
      <w:lvlJc w:val="left"/>
      <w:pPr>
        <w:ind w:left="2160" w:hanging="720"/>
      </w:pPr>
      <w:rPr>
        <w:rFonts w:cs="Times New Roman"/>
        <w:b w:val="0"/>
        <w:i w:val="0"/>
      </w:rPr>
    </w:lvl>
    <w:lvl w:ilvl="4">
      <w:start w:val="1"/>
      <w:numFmt w:val="decimal"/>
      <w:isLgl/>
      <w:lvlText w:val="%1.%2.%3.%4.%5."/>
      <w:lvlJc w:val="left"/>
      <w:pPr>
        <w:ind w:left="2880" w:hanging="1080"/>
      </w:pPr>
      <w:rPr>
        <w:rFonts w:cs="Times New Roman"/>
        <w:b w:val="0"/>
        <w:i w:val="0"/>
      </w:rPr>
    </w:lvl>
    <w:lvl w:ilvl="5">
      <w:start w:val="1"/>
      <w:numFmt w:val="decimal"/>
      <w:isLgl/>
      <w:lvlText w:val="%1.%2.%3.%4.%5.%6."/>
      <w:lvlJc w:val="left"/>
      <w:pPr>
        <w:ind w:left="3240" w:hanging="1080"/>
      </w:pPr>
      <w:rPr>
        <w:rFonts w:cs="Times New Roman"/>
        <w:b w:val="0"/>
        <w:i w:val="0"/>
      </w:rPr>
    </w:lvl>
    <w:lvl w:ilvl="6">
      <w:start w:val="1"/>
      <w:numFmt w:val="decimal"/>
      <w:isLgl/>
      <w:lvlText w:val="%1.%2.%3.%4.%5.%6.%7."/>
      <w:lvlJc w:val="left"/>
      <w:pPr>
        <w:ind w:left="3960" w:hanging="1440"/>
      </w:pPr>
      <w:rPr>
        <w:rFonts w:cs="Times New Roman"/>
        <w:b w:val="0"/>
        <w:i w:val="0"/>
      </w:rPr>
    </w:lvl>
    <w:lvl w:ilvl="7">
      <w:start w:val="1"/>
      <w:numFmt w:val="decimal"/>
      <w:isLgl/>
      <w:lvlText w:val="%1.%2.%3.%4.%5.%6.%7.%8."/>
      <w:lvlJc w:val="left"/>
      <w:pPr>
        <w:ind w:left="4320" w:hanging="1440"/>
      </w:pPr>
      <w:rPr>
        <w:rFonts w:cs="Times New Roman"/>
        <w:b w:val="0"/>
        <w:i w:val="0"/>
      </w:rPr>
    </w:lvl>
    <w:lvl w:ilvl="8">
      <w:start w:val="1"/>
      <w:numFmt w:val="decimal"/>
      <w:isLgl/>
      <w:lvlText w:val="%1.%2.%3.%4.%5.%6.%7.%8.%9."/>
      <w:lvlJc w:val="left"/>
      <w:pPr>
        <w:ind w:left="5040" w:hanging="1800"/>
      </w:pPr>
      <w:rPr>
        <w:rFonts w:cs="Times New Roman"/>
        <w:b w:val="0"/>
        <w:i w:val="0"/>
      </w:rPr>
    </w:lvl>
  </w:abstractNum>
  <w:abstractNum w:abstractNumId="20" w15:restartNumberingAfterBreak="0">
    <w:nsid w:val="5BF10172"/>
    <w:multiLevelType w:val="hybridMultilevel"/>
    <w:tmpl w:val="4F22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E7727"/>
    <w:multiLevelType w:val="hybridMultilevel"/>
    <w:tmpl w:val="EEB8B9B4"/>
    <w:lvl w:ilvl="0" w:tplc="BFC8DE18">
      <w:start w:val="1"/>
      <w:numFmt w:val="bullet"/>
      <w:lvlText w:val="•"/>
      <w:lvlJc w:val="left"/>
      <w:pPr>
        <w:tabs>
          <w:tab w:val="num" w:pos="720"/>
        </w:tabs>
        <w:ind w:left="720" w:hanging="360"/>
      </w:pPr>
      <w:rPr>
        <w:rFonts w:ascii="Arial" w:hAnsi="Arial" w:hint="default"/>
      </w:rPr>
    </w:lvl>
    <w:lvl w:ilvl="1" w:tplc="CC4C07C8" w:tentative="1">
      <w:start w:val="1"/>
      <w:numFmt w:val="bullet"/>
      <w:lvlText w:val="•"/>
      <w:lvlJc w:val="left"/>
      <w:pPr>
        <w:tabs>
          <w:tab w:val="num" w:pos="1440"/>
        </w:tabs>
        <w:ind w:left="1440" w:hanging="360"/>
      </w:pPr>
      <w:rPr>
        <w:rFonts w:ascii="Arial" w:hAnsi="Arial" w:hint="default"/>
      </w:rPr>
    </w:lvl>
    <w:lvl w:ilvl="2" w:tplc="BD621128" w:tentative="1">
      <w:start w:val="1"/>
      <w:numFmt w:val="bullet"/>
      <w:lvlText w:val="•"/>
      <w:lvlJc w:val="left"/>
      <w:pPr>
        <w:tabs>
          <w:tab w:val="num" w:pos="2160"/>
        </w:tabs>
        <w:ind w:left="2160" w:hanging="360"/>
      </w:pPr>
      <w:rPr>
        <w:rFonts w:ascii="Arial" w:hAnsi="Arial" w:hint="default"/>
      </w:rPr>
    </w:lvl>
    <w:lvl w:ilvl="3" w:tplc="70503888" w:tentative="1">
      <w:start w:val="1"/>
      <w:numFmt w:val="bullet"/>
      <w:lvlText w:val="•"/>
      <w:lvlJc w:val="left"/>
      <w:pPr>
        <w:tabs>
          <w:tab w:val="num" w:pos="2880"/>
        </w:tabs>
        <w:ind w:left="2880" w:hanging="360"/>
      </w:pPr>
      <w:rPr>
        <w:rFonts w:ascii="Arial" w:hAnsi="Arial" w:hint="default"/>
      </w:rPr>
    </w:lvl>
    <w:lvl w:ilvl="4" w:tplc="2314260C" w:tentative="1">
      <w:start w:val="1"/>
      <w:numFmt w:val="bullet"/>
      <w:lvlText w:val="•"/>
      <w:lvlJc w:val="left"/>
      <w:pPr>
        <w:tabs>
          <w:tab w:val="num" w:pos="3600"/>
        </w:tabs>
        <w:ind w:left="3600" w:hanging="360"/>
      </w:pPr>
      <w:rPr>
        <w:rFonts w:ascii="Arial" w:hAnsi="Arial" w:hint="default"/>
      </w:rPr>
    </w:lvl>
    <w:lvl w:ilvl="5" w:tplc="15223F96" w:tentative="1">
      <w:start w:val="1"/>
      <w:numFmt w:val="bullet"/>
      <w:lvlText w:val="•"/>
      <w:lvlJc w:val="left"/>
      <w:pPr>
        <w:tabs>
          <w:tab w:val="num" w:pos="4320"/>
        </w:tabs>
        <w:ind w:left="4320" w:hanging="360"/>
      </w:pPr>
      <w:rPr>
        <w:rFonts w:ascii="Arial" w:hAnsi="Arial" w:hint="default"/>
      </w:rPr>
    </w:lvl>
    <w:lvl w:ilvl="6" w:tplc="DB6C5164" w:tentative="1">
      <w:start w:val="1"/>
      <w:numFmt w:val="bullet"/>
      <w:lvlText w:val="•"/>
      <w:lvlJc w:val="left"/>
      <w:pPr>
        <w:tabs>
          <w:tab w:val="num" w:pos="5040"/>
        </w:tabs>
        <w:ind w:left="5040" w:hanging="360"/>
      </w:pPr>
      <w:rPr>
        <w:rFonts w:ascii="Arial" w:hAnsi="Arial" w:hint="default"/>
      </w:rPr>
    </w:lvl>
    <w:lvl w:ilvl="7" w:tplc="F3500B9C" w:tentative="1">
      <w:start w:val="1"/>
      <w:numFmt w:val="bullet"/>
      <w:lvlText w:val="•"/>
      <w:lvlJc w:val="left"/>
      <w:pPr>
        <w:tabs>
          <w:tab w:val="num" w:pos="5760"/>
        </w:tabs>
        <w:ind w:left="5760" w:hanging="360"/>
      </w:pPr>
      <w:rPr>
        <w:rFonts w:ascii="Arial" w:hAnsi="Arial" w:hint="default"/>
      </w:rPr>
    </w:lvl>
    <w:lvl w:ilvl="8" w:tplc="AF083A9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BE33A8"/>
    <w:multiLevelType w:val="hybridMultilevel"/>
    <w:tmpl w:val="EECC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D130C"/>
    <w:multiLevelType w:val="hybridMultilevel"/>
    <w:tmpl w:val="5F00F6C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71580DAD"/>
    <w:multiLevelType w:val="hybridMultilevel"/>
    <w:tmpl w:val="ACEA0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0546FF"/>
    <w:multiLevelType w:val="hybridMultilevel"/>
    <w:tmpl w:val="7CD4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6"/>
  </w:num>
  <w:num w:numId="4">
    <w:abstractNumId w:val="5"/>
  </w:num>
  <w:num w:numId="5">
    <w:abstractNumId w:val="0"/>
  </w:num>
  <w:num w:numId="6">
    <w:abstractNumId w:val="12"/>
  </w:num>
  <w:num w:numId="7">
    <w:abstractNumId w:val="16"/>
  </w:num>
  <w:num w:numId="8">
    <w:abstractNumId w:val="23"/>
  </w:num>
  <w:num w:numId="9">
    <w:abstractNumId w:val="19"/>
  </w:num>
  <w:num w:numId="10">
    <w:abstractNumId w:val="15"/>
  </w:num>
  <w:num w:numId="11">
    <w:abstractNumId w:val="25"/>
  </w:num>
  <w:num w:numId="12">
    <w:abstractNumId w:val="20"/>
  </w:num>
  <w:num w:numId="13">
    <w:abstractNumId w:val="22"/>
  </w:num>
  <w:num w:numId="14">
    <w:abstractNumId w:val="3"/>
  </w:num>
  <w:num w:numId="15">
    <w:abstractNumId w:val="1"/>
  </w:num>
  <w:num w:numId="16">
    <w:abstractNumId w:val="14"/>
  </w:num>
  <w:num w:numId="17">
    <w:abstractNumId w:val="2"/>
  </w:num>
  <w:num w:numId="18">
    <w:abstractNumId w:val="21"/>
  </w:num>
  <w:num w:numId="19">
    <w:abstractNumId w:val="4"/>
  </w:num>
  <w:num w:numId="20">
    <w:abstractNumId w:val="8"/>
  </w:num>
  <w:num w:numId="21">
    <w:abstractNumId w:val="17"/>
  </w:num>
  <w:num w:numId="22">
    <w:abstractNumId w:val="11"/>
    <w:lvlOverride w:ilvl="0">
      <w:startOverride w:val="1"/>
    </w:lvlOverride>
    <w:lvlOverride w:ilvl="1"/>
    <w:lvlOverride w:ilvl="2"/>
    <w:lvlOverride w:ilvl="3"/>
    <w:lvlOverride w:ilvl="4"/>
    <w:lvlOverride w:ilvl="5"/>
    <w:lvlOverride w:ilvl="6"/>
    <w:lvlOverride w:ilvl="7"/>
    <w:lvlOverride w:ilvl="8"/>
  </w:num>
  <w:num w:numId="23">
    <w:abstractNumId w:val="7"/>
  </w:num>
  <w:num w:numId="24">
    <w:abstractNumId w:val="24"/>
  </w:num>
  <w:num w:numId="25">
    <w:abstractNumId w:val="1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YwMjM2MDc0MrcwMbBU0lEKTi0uzszPAykwqgUAODyYZSwAAAA="/>
    <w:docVar w:name="LW_DocType" w:val="NORMAL"/>
  </w:docVars>
  <w:rsids>
    <w:rsidRoot w:val="00A86829"/>
    <w:rsid w:val="00011DA4"/>
    <w:rsid w:val="000128B6"/>
    <w:rsid w:val="0002016F"/>
    <w:rsid w:val="0002732B"/>
    <w:rsid w:val="00031D69"/>
    <w:rsid w:val="000370F5"/>
    <w:rsid w:val="00070134"/>
    <w:rsid w:val="000727AD"/>
    <w:rsid w:val="00081504"/>
    <w:rsid w:val="000844CB"/>
    <w:rsid w:val="000972ED"/>
    <w:rsid w:val="000A2DF4"/>
    <w:rsid w:val="000A4162"/>
    <w:rsid w:val="000B0B2A"/>
    <w:rsid w:val="000B7F2F"/>
    <w:rsid w:val="000D3B89"/>
    <w:rsid w:val="000D67B9"/>
    <w:rsid w:val="000E16DB"/>
    <w:rsid w:val="000E1E46"/>
    <w:rsid w:val="000E40FE"/>
    <w:rsid w:val="00106BF0"/>
    <w:rsid w:val="00112725"/>
    <w:rsid w:val="001142A4"/>
    <w:rsid w:val="00123D49"/>
    <w:rsid w:val="00125A31"/>
    <w:rsid w:val="00126EDF"/>
    <w:rsid w:val="00144D3E"/>
    <w:rsid w:val="0016267E"/>
    <w:rsid w:val="00164520"/>
    <w:rsid w:val="00175AF5"/>
    <w:rsid w:val="00182EFA"/>
    <w:rsid w:val="00193036"/>
    <w:rsid w:val="001A0EE0"/>
    <w:rsid w:val="001A5386"/>
    <w:rsid w:val="001A5419"/>
    <w:rsid w:val="001B65E2"/>
    <w:rsid w:val="001B6865"/>
    <w:rsid w:val="001C0F33"/>
    <w:rsid w:val="001D4DF5"/>
    <w:rsid w:val="0020135E"/>
    <w:rsid w:val="00222EA4"/>
    <w:rsid w:val="002365C5"/>
    <w:rsid w:val="0025239F"/>
    <w:rsid w:val="002526BB"/>
    <w:rsid w:val="0026119F"/>
    <w:rsid w:val="002933C5"/>
    <w:rsid w:val="002A1E2C"/>
    <w:rsid w:val="002A5DF6"/>
    <w:rsid w:val="002A73A8"/>
    <w:rsid w:val="002B6F4E"/>
    <w:rsid w:val="002C025D"/>
    <w:rsid w:val="002C5F56"/>
    <w:rsid w:val="002D5659"/>
    <w:rsid w:val="002D7BF0"/>
    <w:rsid w:val="002E16D0"/>
    <w:rsid w:val="002F2DC7"/>
    <w:rsid w:val="00311567"/>
    <w:rsid w:val="00324A26"/>
    <w:rsid w:val="0032544C"/>
    <w:rsid w:val="00326B3E"/>
    <w:rsid w:val="003428A1"/>
    <w:rsid w:val="00347CB1"/>
    <w:rsid w:val="00351597"/>
    <w:rsid w:val="00372C1C"/>
    <w:rsid w:val="003732C8"/>
    <w:rsid w:val="003A0E12"/>
    <w:rsid w:val="003A4FDB"/>
    <w:rsid w:val="003A719B"/>
    <w:rsid w:val="003B0D19"/>
    <w:rsid w:val="003B159E"/>
    <w:rsid w:val="003B5162"/>
    <w:rsid w:val="003C1F50"/>
    <w:rsid w:val="003D103A"/>
    <w:rsid w:val="003E498A"/>
    <w:rsid w:val="00401C40"/>
    <w:rsid w:val="00403575"/>
    <w:rsid w:val="00411C29"/>
    <w:rsid w:val="00422107"/>
    <w:rsid w:val="00435CB3"/>
    <w:rsid w:val="00444F1F"/>
    <w:rsid w:val="00455936"/>
    <w:rsid w:val="00456239"/>
    <w:rsid w:val="00456C57"/>
    <w:rsid w:val="00464F03"/>
    <w:rsid w:val="004760FD"/>
    <w:rsid w:val="00481F1E"/>
    <w:rsid w:val="00487F24"/>
    <w:rsid w:val="00491BB9"/>
    <w:rsid w:val="004A0468"/>
    <w:rsid w:val="004A75EA"/>
    <w:rsid w:val="004D5CCE"/>
    <w:rsid w:val="004E0A9A"/>
    <w:rsid w:val="004E12A9"/>
    <w:rsid w:val="004E7CD7"/>
    <w:rsid w:val="004F027A"/>
    <w:rsid w:val="004F4A59"/>
    <w:rsid w:val="00530B33"/>
    <w:rsid w:val="00535AEA"/>
    <w:rsid w:val="005512BE"/>
    <w:rsid w:val="00577C2B"/>
    <w:rsid w:val="005842E5"/>
    <w:rsid w:val="005B3894"/>
    <w:rsid w:val="005D1C3E"/>
    <w:rsid w:val="005D6479"/>
    <w:rsid w:val="005E4A1C"/>
    <w:rsid w:val="005E6200"/>
    <w:rsid w:val="005F3176"/>
    <w:rsid w:val="005F55CD"/>
    <w:rsid w:val="005F6898"/>
    <w:rsid w:val="00600C2C"/>
    <w:rsid w:val="0060591E"/>
    <w:rsid w:val="00605F5C"/>
    <w:rsid w:val="00624093"/>
    <w:rsid w:val="00637104"/>
    <w:rsid w:val="006409C5"/>
    <w:rsid w:val="006512F3"/>
    <w:rsid w:val="00655E3F"/>
    <w:rsid w:val="006711DF"/>
    <w:rsid w:val="006767DA"/>
    <w:rsid w:val="00677C34"/>
    <w:rsid w:val="00691EB9"/>
    <w:rsid w:val="0069411F"/>
    <w:rsid w:val="006E1D9F"/>
    <w:rsid w:val="006F551F"/>
    <w:rsid w:val="006F57B7"/>
    <w:rsid w:val="006F6FAA"/>
    <w:rsid w:val="00727FBB"/>
    <w:rsid w:val="00730375"/>
    <w:rsid w:val="007512D1"/>
    <w:rsid w:val="00753D5A"/>
    <w:rsid w:val="00761BD8"/>
    <w:rsid w:val="00772C62"/>
    <w:rsid w:val="0077381E"/>
    <w:rsid w:val="00786BC2"/>
    <w:rsid w:val="00791438"/>
    <w:rsid w:val="007939BF"/>
    <w:rsid w:val="007A5967"/>
    <w:rsid w:val="007A5F77"/>
    <w:rsid w:val="007B4344"/>
    <w:rsid w:val="007B604A"/>
    <w:rsid w:val="007C1DDD"/>
    <w:rsid w:val="007E39A1"/>
    <w:rsid w:val="00830D33"/>
    <w:rsid w:val="008522F8"/>
    <w:rsid w:val="00871D83"/>
    <w:rsid w:val="0088084A"/>
    <w:rsid w:val="00884A24"/>
    <w:rsid w:val="008D51DF"/>
    <w:rsid w:val="008D776A"/>
    <w:rsid w:val="008D7992"/>
    <w:rsid w:val="008E5D81"/>
    <w:rsid w:val="008F5707"/>
    <w:rsid w:val="00910DFD"/>
    <w:rsid w:val="00930740"/>
    <w:rsid w:val="00943BA3"/>
    <w:rsid w:val="00950B1D"/>
    <w:rsid w:val="0095629A"/>
    <w:rsid w:val="00962CAA"/>
    <w:rsid w:val="009757B6"/>
    <w:rsid w:val="00976157"/>
    <w:rsid w:val="00980607"/>
    <w:rsid w:val="00980ECA"/>
    <w:rsid w:val="00991D9B"/>
    <w:rsid w:val="009A34EB"/>
    <w:rsid w:val="009D2A5F"/>
    <w:rsid w:val="009D75A6"/>
    <w:rsid w:val="009E4D81"/>
    <w:rsid w:val="00A279E4"/>
    <w:rsid w:val="00A27EC4"/>
    <w:rsid w:val="00A32FDD"/>
    <w:rsid w:val="00A34A0A"/>
    <w:rsid w:val="00A6564E"/>
    <w:rsid w:val="00A66B8A"/>
    <w:rsid w:val="00A773EF"/>
    <w:rsid w:val="00A82B58"/>
    <w:rsid w:val="00A842DE"/>
    <w:rsid w:val="00A86829"/>
    <w:rsid w:val="00AA114C"/>
    <w:rsid w:val="00AA1181"/>
    <w:rsid w:val="00AA6EE6"/>
    <w:rsid w:val="00AC21C1"/>
    <w:rsid w:val="00AC4D1B"/>
    <w:rsid w:val="00AD1A29"/>
    <w:rsid w:val="00AD4A70"/>
    <w:rsid w:val="00B10213"/>
    <w:rsid w:val="00B22F20"/>
    <w:rsid w:val="00B27590"/>
    <w:rsid w:val="00B3319B"/>
    <w:rsid w:val="00B43F0C"/>
    <w:rsid w:val="00B672B3"/>
    <w:rsid w:val="00B90AAF"/>
    <w:rsid w:val="00B90C0D"/>
    <w:rsid w:val="00BC44CE"/>
    <w:rsid w:val="00BC7A9F"/>
    <w:rsid w:val="00BD0C5D"/>
    <w:rsid w:val="00BD2A87"/>
    <w:rsid w:val="00BD4EBB"/>
    <w:rsid w:val="00BE33DE"/>
    <w:rsid w:val="00C025B5"/>
    <w:rsid w:val="00C03807"/>
    <w:rsid w:val="00C14306"/>
    <w:rsid w:val="00C14CC6"/>
    <w:rsid w:val="00C263A8"/>
    <w:rsid w:val="00C362D0"/>
    <w:rsid w:val="00C47AAB"/>
    <w:rsid w:val="00C56270"/>
    <w:rsid w:val="00C81462"/>
    <w:rsid w:val="00C91900"/>
    <w:rsid w:val="00C93C81"/>
    <w:rsid w:val="00CC5420"/>
    <w:rsid w:val="00CD42BB"/>
    <w:rsid w:val="00CD4FA5"/>
    <w:rsid w:val="00CE61EB"/>
    <w:rsid w:val="00CF7AFE"/>
    <w:rsid w:val="00D15500"/>
    <w:rsid w:val="00D253EA"/>
    <w:rsid w:val="00D263EC"/>
    <w:rsid w:val="00D34417"/>
    <w:rsid w:val="00D401ED"/>
    <w:rsid w:val="00D8373A"/>
    <w:rsid w:val="00D85273"/>
    <w:rsid w:val="00D9388C"/>
    <w:rsid w:val="00D939E1"/>
    <w:rsid w:val="00DA6E1A"/>
    <w:rsid w:val="00DC6FAE"/>
    <w:rsid w:val="00DD47FC"/>
    <w:rsid w:val="00DD7178"/>
    <w:rsid w:val="00DE0603"/>
    <w:rsid w:val="00DE5789"/>
    <w:rsid w:val="00E2570A"/>
    <w:rsid w:val="00E30D17"/>
    <w:rsid w:val="00E33178"/>
    <w:rsid w:val="00E34422"/>
    <w:rsid w:val="00E3793E"/>
    <w:rsid w:val="00E534BA"/>
    <w:rsid w:val="00E57C4D"/>
    <w:rsid w:val="00E64159"/>
    <w:rsid w:val="00E73A23"/>
    <w:rsid w:val="00E74F2B"/>
    <w:rsid w:val="00E77146"/>
    <w:rsid w:val="00E831EE"/>
    <w:rsid w:val="00E90BD2"/>
    <w:rsid w:val="00EA5850"/>
    <w:rsid w:val="00EC074F"/>
    <w:rsid w:val="00ED41F3"/>
    <w:rsid w:val="00ED7797"/>
    <w:rsid w:val="00EF1AC7"/>
    <w:rsid w:val="00EF24F3"/>
    <w:rsid w:val="00EF47BA"/>
    <w:rsid w:val="00EF7349"/>
    <w:rsid w:val="00F015B6"/>
    <w:rsid w:val="00F35A68"/>
    <w:rsid w:val="00F42920"/>
    <w:rsid w:val="00F56275"/>
    <w:rsid w:val="00F6251A"/>
    <w:rsid w:val="00F65730"/>
    <w:rsid w:val="00F65D08"/>
    <w:rsid w:val="00F758A8"/>
    <w:rsid w:val="00F85B70"/>
    <w:rsid w:val="00F86694"/>
    <w:rsid w:val="00F86A75"/>
    <w:rsid w:val="00F87B57"/>
    <w:rsid w:val="00F938B6"/>
    <w:rsid w:val="00FA395A"/>
    <w:rsid w:val="00FA48ED"/>
    <w:rsid w:val="00FB2330"/>
    <w:rsid w:val="00FB2BA7"/>
    <w:rsid w:val="00FD59F3"/>
    <w:rsid w:val="00FE1282"/>
    <w:rsid w:val="00FE4FF8"/>
    <w:rsid w:val="00FF6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89CA"/>
  <w15:docId w15:val="{393A3369-35C3-4F4A-8B7B-676EC3E9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8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ecommendation,List Paragraph1,Dot pt,F5 List Paragraph,List Paragraph Char Char Char,Indicator Text,Numbered Para 1,Bullet 1,Bullet Points,List Paragraph2,MAIN CONTENT,Normal numbered,Issue Action POC,3,POCG Table Text,No Spacing1"/>
    <w:basedOn w:val="a"/>
    <w:link w:val="a4"/>
    <w:uiPriority w:val="1"/>
    <w:qFormat/>
    <w:rsid w:val="00A86829"/>
    <w:pPr>
      <w:ind w:left="720"/>
      <w:contextualSpacing/>
    </w:pPr>
  </w:style>
  <w:style w:type="table" w:styleId="a5">
    <w:name w:val="Table Grid"/>
    <w:basedOn w:val="a1"/>
    <w:uiPriority w:val="59"/>
    <w:rsid w:val="001D4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11DA4"/>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011DA4"/>
  </w:style>
  <w:style w:type="paragraph" w:styleId="a8">
    <w:name w:val="footer"/>
    <w:basedOn w:val="a"/>
    <w:link w:val="a9"/>
    <w:uiPriority w:val="99"/>
    <w:unhideWhenUsed/>
    <w:rsid w:val="00011DA4"/>
    <w:pPr>
      <w:tabs>
        <w:tab w:val="center" w:pos="4844"/>
        <w:tab w:val="right" w:pos="9689"/>
      </w:tabs>
      <w:spacing w:after="0" w:line="240" w:lineRule="auto"/>
    </w:pPr>
  </w:style>
  <w:style w:type="character" w:customStyle="1" w:styleId="a9">
    <w:name w:val="Нижний колонтитул Знак"/>
    <w:basedOn w:val="a0"/>
    <w:link w:val="a8"/>
    <w:uiPriority w:val="99"/>
    <w:rsid w:val="00011DA4"/>
  </w:style>
  <w:style w:type="character" w:styleId="aa">
    <w:name w:val="Strong"/>
    <w:basedOn w:val="a0"/>
    <w:uiPriority w:val="22"/>
    <w:qFormat/>
    <w:rsid w:val="003B5162"/>
    <w:rPr>
      <w:b/>
      <w:bCs/>
    </w:rPr>
  </w:style>
  <w:style w:type="character" w:styleId="ab">
    <w:name w:val="Hyperlink"/>
    <w:basedOn w:val="a0"/>
    <w:uiPriority w:val="99"/>
    <w:semiHidden/>
    <w:unhideWhenUsed/>
    <w:rsid w:val="003B5162"/>
    <w:rPr>
      <w:color w:val="0000FF"/>
      <w:u w:val="single"/>
    </w:rPr>
  </w:style>
  <w:style w:type="character" w:styleId="ac">
    <w:name w:val="annotation reference"/>
    <w:basedOn w:val="a0"/>
    <w:uiPriority w:val="99"/>
    <w:semiHidden/>
    <w:unhideWhenUsed/>
    <w:rsid w:val="0095629A"/>
    <w:rPr>
      <w:sz w:val="16"/>
      <w:szCs w:val="16"/>
    </w:rPr>
  </w:style>
  <w:style w:type="paragraph" w:styleId="ad">
    <w:name w:val="annotation text"/>
    <w:basedOn w:val="a"/>
    <w:link w:val="ae"/>
    <w:uiPriority w:val="99"/>
    <w:unhideWhenUsed/>
    <w:rsid w:val="0095629A"/>
    <w:pPr>
      <w:spacing w:line="240" w:lineRule="auto"/>
    </w:pPr>
    <w:rPr>
      <w:sz w:val="20"/>
      <w:szCs w:val="20"/>
    </w:rPr>
  </w:style>
  <w:style w:type="character" w:customStyle="1" w:styleId="ae">
    <w:name w:val="Текст примечания Знак"/>
    <w:basedOn w:val="a0"/>
    <w:link w:val="ad"/>
    <w:uiPriority w:val="99"/>
    <w:rsid w:val="0095629A"/>
    <w:rPr>
      <w:sz w:val="20"/>
      <w:szCs w:val="20"/>
    </w:rPr>
  </w:style>
  <w:style w:type="paragraph" w:styleId="af">
    <w:name w:val="annotation subject"/>
    <w:basedOn w:val="ad"/>
    <w:next w:val="ad"/>
    <w:link w:val="af0"/>
    <w:uiPriority w:val="99"/>
    <w:semiHidden/>
    <w:unhideWhenUsed/>
    <w:rsid w:val="0095629A"/>
    <w:rPr>
      <w:b/>
      <w:bCs/>
    </w:rPr>
  </w:style>
  <w:style w:type="character" w:customStyle="1" w:styleId="af0">
    <w:name w:val="Тема примечания Знак"/>
    <w:basedOn w:val="ae"/>
    <w:link w:val="af"/>
    <w:uiPriority w:val="99"/>
    <w:semiHidden/>
    <w:rsid w:val="0095629A"/>
    <w:rPr>
      <w:b/>
      <w:bCs/>
      <w:sz w:val="20"/>
      <w:szCs w:val="20"/>
    </w:rPr>
  </w:style>
  <w:style w:type="paragraph" w:styleId="af1">
    <w:name w:val="Balloon Text"/>
    <w:basedOn w:val="a"/>
    <w:link w:val="af2"/>
    <w:uiPriority w:val="99"/>
    <w:semiHidden/>
    <w:unhideWhenUsed/>
    <w:rsid w:val="0095629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5629A"/>
    <w:rPr>
      <w:rFonts w:ascii="Tahoma" w:hAnsi="Tahoma" w:cs="Tahoma"/>
      <w:sz w:val="16"/>
      <w:szCs w:val="16"/>
    </w:rPr>
  </w:style>
  <w:style w:type="character" w:customStyle="1" w:styleId="a4">
    <w:name w:val="Абзац списка Знак"/>
    <w:aliases w:val="Recommendation Знак,List Paragraph1 Знак,Dot pt Знак,F5 List Paragraph Знак,List Paragraph Char Char Char Знак,Indicator Text Знак,Numbered Para 1 Знак,Bullet 1 Знак,Bullet Points Знак,List Paragraph2 Знак,MAIN CONTENT Знак,3 Знак"/>
    <w:link w:val="a3"/>
    <w:uiPriority w:val="34"/>
    <w:qFormat/>
    <w:locked/>
    <w:rsid w:val="00E57C4D"/>
  </w:style>
  <w:style w:type="paragraph" w:customStyle="1" w:styleId="doc-ti">
    <w:name w:val="doc-ti"/>
    <w:basedOn w:val="a"/>
    <w:rsid w:val="00F65730"/>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st">
    <w:name w:val="st"/>
    <w:basedOn w:val="a0"/>
    <w:rsid w:val="00B672B3"/>
  </w:style>
  <w:style w:type="character" w:styleId="af3">
    <w:name w:val="Emphasis"/>
    <w:basedOn w:val="a0"/>
    <w:uiPriority w:val="20"/>
    <w:qFormat/>
    <w:rsid w:val="00B672B3"/>
    <w:rPr>
      <w:i/>
      <w:iCs/>
    </w:rPr>
  </w:style>
  <w:style w:type="paragraph" w:styleId="af4">
    <w:name w:val="Body Text"/>
    <w:basedOn w:val="a"/>
    <w:link w:val="af5"/>
    <w:uiPriority w:val="1"/>
    <w:unhideWhenUsed/>
    <w:qFormat/>
    <w:rsid w:val="002933C5"/>
    <w:pPr>
      <w:spacing w:after="0" w:line="240" w:lineRule="auto"/>
      <w:ind w:right="-54"/>
      <w:jc w:val="both"/>
    </w:pPr>
    <w:rPr>
      <w:rFonts w:ascii="Times New Roman" w:hAnsi="Times New Roman" w:cs="Times New Roman"/>
      <w:lang w:val="en-US"/>
    </w:rPr>
  </w:style>
  <w:style w:type="character" w:customStyle="1" w:styleId="af5">
    <w:name w:val="Основной текст Знак"/>
    <w:basedOn w:val="a0"/>
    <w:link w:val="af4"/>
    <w:uiPriority w:val="1"/>
    <w:rsid w:val="002933C5"/>
    <w:rPr>
      <w:rFonts w:ascii="Times New Roman" w:hAnsi="Times New Roman" w:cs="Times New Roman"/>
      <w:lang w:val="en-US"/>
    </w:rPr>
  </w:style>
  <w:style w:type="paragraph" w:styleId="af6">
    <w:name w:val="No Spacing"/>
    <w:uiPriority w:val="1"/>
    <w:qFormat/>
    <w:rsid w:val="00DE0603"/>
    <w:pPr>
      <w:spacing w:after="0" w:line="240" w:lineRule="auto"/>
    </w:pPr>
    <w:rPr>
      <w:lang w:val="en-US"/>
    </w:rPr>
  </w:style>
  <w:style w:type="character" w:styleId="af7">
    <w:name w:val="FollowedHyperlink"/>
    <w:basedOn w:val="a0"/>
    <w:uiPriority w:val="99"/>
    <w:semiHidden/>
    <w:unhideWhenUsed/>
    <w:rsid w:val="00871D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065">
      <w:bodyDiv w:val="1"/>
      <w:marLeft w:val="0"/>
      <w:marRight w:val="0"/>
      <w:marTop w:val="0"/>
      <w:marBottom w:val="0"/>
      <w:divBdr>
        <w:top w:val="none" w:sz="0" w:space="0" w:color="auto"/>
        <w:left w:val="none" w:sz="0" w:space="0" w:color="auto"/>
        <w:bottom w:val="none" w:sz="0" w:space="0" w:color="auto"/>
        <w:right w:val="none" w:sz="0" w:space="0" w:color="auto"/>
      </w:divBdr>
      <w:divsChild>
        <w:div w:id="2051028931">
          <w:marLeft w:val="0"/>
          <w:marRight w:val="0"/>
          <w:marTop w:val="0"/>
          <w:marBottom w:val="0"/>
          <w:divBdr>
            <w:top w:val="none" w:sz="0" w:space="0" w:color="auto"/>
            <w:left w:val="none" w:sz="0" w:space="0" w:color="auto"/>
            <w:bottom w:val="none" w:sz="0" w:space="0" w:color="auto"/>
            <w:right w:val="none" w:sz="0" w:space="0" w:color="auto"/>
          </w:divBdr>
        </w:div>
        <w:div w:id="1380323446">
          <w:marLeft w:val="0"/>
          <w:marRight w:val="0"/>
          <w:marTop w:val="0"/>
          <w:marBottom w:val="0"/>
          <w:divBdr>
            <w:top w:val="none" w:sz="0" w:space="0" w:color="auto"/>
            <w:left w:val="none" w:sz="0" w:space="0" w:color="auto"/>
            <w:bottom w:val="none" w:sz="0" w:space="0" w:color="auto"/>
            <w:right w:val="none" w:sz="0" w:space="0" w:color="auto"/>
          </w:divBdr>
        </w:div>
      </w:divsChild>
    </w:div>
    <w:div w:id="344013418">
      <w:bodyDiv w:val="1"/>
      <w:marLeft w:val="0"/>
      <w:marRight w:val="0"/>
      <w:marTop w:val="0"/>
      <w:marBottom w:val="0"/>
      <w:divBdr>
        <w:top w:val="none" w:sz="0" w:space="0" w:color="auto"/>
        <w:left w:val="none" w:sz="0" w:space="0" w:color="auto"/>
        <w:bottom w:val="none" w:sz="0" w:space="0" w:color="auto"/>
        <w:right w:val="none" w:sz="0" w:space="0" w:color="auto"/>
      </w:divBdr>
    </w:div>
    <w:div w:id="552735820">
      <w:bodyDiv w:val="1"/>
      <w:marLeft w:val="0"/>
      <w:marRight w:val="0"/>
      <w:marTop w:val="0"/>
      <w:marBottom w:val="0"/>
      <w:divBdr>
        <w:top w:val="none" w:sz="0" w:space="0" w:color="auto"/>
        <w:left w:val="none" w:sz="0" w:space="0" w:color="auto"/>
        <w:bottom w:val="none" w:sz="0" w:space="0" w:color="auto"/>
        <w:right w:val="none" w:sz="0" w:space="0" w:color="auto"/>
      </w:divBdr>
    </w:div>
    <w:div w:id="577326726">
      <w:bodyDiv w:val="1"/>
      <w:marLeft w:val="0"/>
      <w:marRight w:val="0"/>
      <w:marTop w:val="0"/>
      <w:marBottom w:val="0"/>
      <w:divBdr>
        <w:top w:val="none" w:sz="0" w:space="0" w:color="auto"/>
        <w:left w:val="none" w:sz="0" w:space="0" w:color="auto"/>
        <w:bottom w:val="none" w:sz="0" w:space="0" w:color="auto"/>
        <w:right w:val="none" w:sz="0" w:space="0" w:color="auto"/>
      </w:divBdr>
    </w:div>
    <w:div w:id="579026571">
      <w:bodyDiv w:val="1"/>
      <w:marLeft w:val="0"/>
      <w:marRight w:val="0"/>
      <w:marTop w:val="0"/>
      <w:marBottom w:val="0"/>
      <w:divBdr>
        <w:top w:val="none" w:sz="0" w:space="0" w:color="auto"/>
        <w:left w:val="none" w:sz="0" w:space="0" w:color="auto"/>
        <w:bottom w:val="none" w:sz="0" w:space="0" w:color="auto"/>
        <w:right w:val="none" w:sz="0" w:space="0" w:color="auto"/>
      </w:divBdr>
    </w:div>
    <w:div w:id="1169835596">
      <w:bodyDiv w:val="1"/>
      <w:marLeft w:val="0"/>
      <w:marRight w:val="0"/>
      <w:marTop w:val="0"/>
      <w:marBottom w:val="0"/>
      <w:divBdr>
        <w:top w:val="none" w:sz="0" w:space="0" w:color="auto"/>
        <w:left w:val="none" w:sz="0" w:space="0" w:color="auto"/>
        <w:bottom w:val="none" w:sz="0" w:space="0" w:color="auto"/>
        <w:right w:val="none" w:sz="0" w:space="0" w:color="auto"/>
      </w:divBdr>
    </w:div>
    <w:div w:id="1272740794">
      <w:bodyDiv w:val="1"/>
      <w:marLeft w:val="0"/>
      <w:marRight w:val="0"/>
      <w:marTop w:val="0"/>
      <w:marBottom w:val="0"/>
      <w:divBdr>
        <w:top w:val="none" w:sz="0" w:space="0" w:color="auto"/>
        <w:left w:val="none" w:sz="0" w:space="0" w:color="auto"/>
        <w:bottom w:val="none" w:sz="0" w:space="0" w:color="auto"/>
        <w:right w:val="none" w:sz="0" w:space="0" w:color="auto"/>
      </w:divBdr>
    </w:div>
    <w:div w:id="1364593871">
      <w:bodyDiv w:val="1"/>
      <w:marLeft w:val="0"/>
      <w:marRight w:val="0"/>
      <w:marTop w:val="0"/>
      <w:marBottom w:val="0"/>
      <w:divBdr>
        <w:top w:val="none" w:sz="0" w:space="0" w:color="auto"/>
        <w:left w:val="none" w:sz="0" w:space="0" w:color="auto"/>
        <w:bottom w:val="none" w:sz="0" w:space="0" w:color="auto"/>
        <w:right w:val="none" w:sz="0" w:space="0" w:color="auto"/>
      </w:divBdr>
    </w:div>
    <w:div w:id="1529642707">
      <w:bodyDiv w:val="1"/>
      <w:marLeft w:val="0"/>
      <w:marRight w:val="0"/>
      <w:marTop w:val="0"/>
      <w:marBottom w:val="0"/>
      <w:divBdr>
        <w:top w:val="none" w:sz="0" w:space="0" w:color="auto"/>
        <w:left w:val="none" w:sz="0" w:space="0" w:color="auto"/>
        <w:bottom w:val="none" w:sz="0" w:space="0" w:color="auto"/>
        <w:right w:val="none" w:sz="0" w:space="0" w:color="auto"/>
      </w:divBdr>
    </w:div>
    <w:div w:id="1718969376">
      <w:bodyDiv w:val="1"/>
      <w:marLeft w:val="0"/>
      <w:marRight w:val="0"/>
      <w:marTop w:val="0"/>
      <w:marBottom w:val="0"/>
      <w:divBdr>
        <w:top w:val="none" w:sz="0" w:space="0" w:color="auto"/>
        <w:left w:val="none" w:sz="0" w:space="0" w:color="auto"/>
        <w:bottom w:val="none" w:sz="0" w:space="0" w:color="auto"/>
        <w:right w:val="none" w:sz="0" w:space="0" w:color="auto"/>
      </w:divBdr>
    </w:div>
    <w:div w:id="1821341325">
      <w:bodyDiv w:val="1"/>
      <w:marLeft w:val="0"/>
      <w:marRight w:val="0"/>
      <w:marTop w:val="0"/>
      <w:marBottom w:val="0"/>
      <w:divBdr>
        <w:top w:val="none" w:sz="0" w:space="0" w:color="auto"/>
        <w:left w:val="none" w:sz="0" w:space="0" w:color="auto"/>
        <w:bottom w:val="none" w:sz="0" w:space="0" w:color="auto"/>
        <w:right w:val="none" w:sz="0" w:space="0" w:color="auto"/>
      </w:divBdr>
    </w:div>
    <w:div w:id="205468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TMSWebRestrict/sendReports?eventID=66143&amp;view=list&amp;key=2fe05636a938e536394acf52aa1551a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AC179-7CDF-451E-9A89-B7F5D84A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5904</Words>
  <Characters>33656</Characters>
  <Application>Microsoft Office Word</Application>
  <DocSecurity>0</DocSecurity>
  <Lines>280</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RYCHENER Frederique (EMPL)</dc:creator>
  <cp:lastModifiedBy>Windows User</cp:lastModifiedBy>
  <cp:revision>4</cp:revision>
  <cp:lastPrinted>2015-11-25T06:07:00Z</cp:lastPrinted>
  <dcterms:created xsi:type="dcterms:W3CDTF">2019-01-31T05:55:00Z</dcterms:created>
  <dcterms:modified xsi:type="dcterms:W3CDTF">2019-01-31T06:26:00Z</dcterms:modified>
</cp:coreProperties>
</file>