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F5" w:rsidRDefault="00FD5DF5" w:rsidP="00FD5DF5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Times New Roman"/>
          <w:color w:val="0B479D"/>
          <w:kern w:val="36"/>
          <w:sz w:val="45"/>
          <w:szCs w:val="45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E74E07">
        <w:rPr>
          <w:rFonts w:ascii="Sylfaen" w:eastAsia="Times New Roman" w:hAnsi="Sylfaen" w:cs="Sylfaen"/>
          <w:b/>
          <w:color w:val="2B2C2D"/>
          <w:szCs w:val="24"/>
        </w:rPr>
        <w:t>ტექნიკური</w:t>
      </w:r>
      <w:proofErr w:type="spellEnd"/>
      <w:proofErr w:type="gramEnd"/>
      <w:r w:rsidRPr="00E74E07">
        <w:rPr>
          <w:rFonts w:ascii="Sylfaen" w:eastAsia="Times New Roman" w:hAnsi="Sylfaen" w:cs="Sylfaen"/>
          <w:b/>
          <w:color w:val="2B2C2D"/>
          <w:szCs w:val="24"/>
        </w:rPr>
        <w:t xml:space="preserve"> </w:t>
      </w:r>
      <w:proofErr w:type="spellStart"/>
      <w:r w:rsidRPr="00E74E07">
        <w:rPr>
          <w:rFonts w:ascii="Sylfaen" w:eastAsia="Times New Roman" w:hAnsi="Sylfaen" w:cs="Sylfaen"/>
          <w:b/>
          <w:color w:val="2B2C2D"/>
          <w:szCs w:val="24"/>
        </w:rPr>
        <w:t>დახმარება</w:t>
      </w:r>
      <w:proofErr w:type="spellEnd"/>
      <w:r w:rsidRPr="00E74E07">
        <w:rPr>
          <w:rFonts w:ascii="Sylfaen" w:eastAsia="Times New Roman" w:hAnsi="Sylfaen" w:cs="Sylfaen"/>
          <w:b/>
          <w:color w:val="2B2C2D"/>
          <w:szCs w:val="24"/>
        </w:rPr>
        <w:t xml:space="preserve"> </w:t>
      </w:r>
      <w:proofErr w:type="spellStart"/>
      <w:r w:rsidRPr="00E74E07">
        <w:rPr>
          <w:rFonts w:ascii="Sylfaen" w:eastAsia="Times New Roman" w:hAnsi="Sylfaen" w:cs="Sylfaen"/>
          <w:b/>
          <w:color w:val="2B2C2D"/>
          <w:szCs w:val="24"/>
        </w:rPr>
        <w:t>და</w:t>
      </w:r>
      <w:proofErr w:type="spellEnd"/>
      <w:r w:rsidRPr="00E74E07">
        <w:rPr>
          <w:rFonts w:ascii="Sylfaen" w:eastAsia="Times New Roman" w:hAnsi="Sylfaen" w:cs="Sylfaen"/>
          <w:b/>
          <w:color w:val="2B2C2D"/>
          <w:szCs w:val="24"/>
        </w:rPr>
        <w:t xml:space="preserve"> </w:t>
      </w:r>
      <w:proofErr w:type="spellStart"/>
      <w:r w:rsidRPr="00E74E07">
        <w:rPr>
          <w:rFonts w:ascii="Sylfaen" w:eastAsia="Times New Roman" w:hAnsi="Sylfaen" w:cs="Sylfaen"/>
          <w:b/>
          <w:color w:val="2B2C2D"/>
          <w:szCs w:val="24"/>
        </w:rPr>
        <w:t>ინფორმაციის</w:t>
      </w:r>
      <w:proofErr w:type="spellEnd"/>
      <w:r w:rsidRPr="00E74E07">
        <w:rPr>
          <w:rFonts w:ascii="Sylfaen" w:eastAsia="Times New Roman" w:hAnsi="Sylfaen" w:cs="Sylfaen"/>
          <w:b/>
          <w:color w:val="2B2C2D"/>
          <w:szCs w:val="24"/>
        </w:rPr>
        <w:t xml:space="preserve"> </w:t>
      </w:r>
      <w:proofErr w:type="spellStart"/>
      <w:r w:rsidRPr="00E74E07">
        <w:rPr>
          <w:rFonts w:ascii="Sylfaen" w:eastAsia="Times New Roman" w:hAnsi="Sylfaen" w:cs="Sylfaen"/>
          <w:b/>
          <w:color w:val="2B2C2D"/>
          <w:szCs w:val="24"/>
        </w:rPr>
        <w:t>გაცვლა</w:t>
      </w:r>
      <w:proofErr w:type="spellEnd"/>
      <w:r w:rsidRPr="00E74E07">
        <w:rPr>
          <w:rFonts w:ascii="Sylfaen" w:eastAsia="Times New Roman" w:hAnsi="Sylfaen" w:cs="Sylfaen"/>
          <w:color w:val="2B2C2D"/>
          <w:sz w:val="22"/>
        </w:rPr>
        <w:t xml:space="preserve"> -</w:t>
      </w:r>
      <w:r w:rsidRPr="00FD5DF5">
        <w:rPr>
          <w:rFonts w:ascii="Helvetica" w:eastAsia="Times New Roman" w:hAnsi="Helvetica" w:cs="Times New Roman"/>
          <w:color w:val="0B479D"/>
          <w:kern w:val="36"/>
          <w:sz w:val="45"/>
          <w:szCs w:val="45"/>
          <w:bdr w:val="none" w:sz="0" w:space="0" w:color="auto" w:frame="1"/>
          <w:shd w:val="clear" w:color="auto" w:fill="FFFFFF"/>
        </w:rPr>
        <w:t xml:space="preserve"> </w:t>
      </w:r>
      <w:r w:rsidRPr="00E74E07">
        <w:rPr>
          <w:rFonts w:ascii="Verdana" w:hAnsi="Verdana"/>
          <w:b/>
          <w:color w:val="0C000F"/>
          <w:szCs w:val="24"/>
          <w:shd w:val="clear" w:color="auto" w:fill="FFFFFF"/>
        </w:rPr>
        <w:t xml:space="preserve">TAIEX </w:t>
      </w:r>
      <w:r w:rsidR="00E74E07" w:rsidRPr="00E74E07">
        <w:rPr>
          <w:rFonts w:ascii="Sylfaen" w:eastAsia="Times New Roman" w:hAnsi="Sylfaen" w:cs="Sylfaen"/>
          <w:color w:val="2B2C2D"/>
          <w:sz w:val="22"/>
        </w:rPr>
        <w:t>-</w:t>
      </w:r>
      <w:r>
        <w:rPr>
          <w:rFonts w:ascii="Helvetica" w:eastAsia="Times New Roman" w:hAnsi="Helvetica" w:cs="Times New Roman"/>
          <w:color w:val="0B479D"/>
          <w:kern w:val="36"/>
          <w:sz w:val="45"/>
          <w:szCs w:val="45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C000F"/>
          <w:sz w:val="20"/>
          <w:szCs w:val="20"/>
          <w:shd w:val="clear" w:color="auto" w:fill="FFFFFF"/>
        </w:rPr>
        <w:t>Technical Assistance and Information Exchange instrument of the European Commission.</w:t>
      </w:r>
    </w:p>
    <w:p w:rsidR="00FD5DF5" w:rsidRPr="00FD5DF5" w:rsidRDefault="00FD5DF5" w:rsidP="00FD5DF5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Times New Roman"/>
          <w:color w:val="0B479D"/>
          <w:kern w:val="36"/>
          <w:sz w:val="45"/>
          <w:szCs w:val="45"/>
        </w:rPr>
      </w:pP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ტექნიკური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ინფორმაციის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გაცვლა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(TAIEX) -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წარმოადგენს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ევროკომისიის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მიერ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დანერგილ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ინსტიტუციონალური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განვითარების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ინსტრუმენტს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.</w:t>
      </w:r>
    </w:p>
    <w:p w:rsidR="00E74E07" w:rsidRPr="00E74E07" w:rsidRDefault="00FD5DF5" w:rsidP="00FD5DF5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მოცემული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პროგრამა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1996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წლიდან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ხორციელდება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მისი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მიზანია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წევრობის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კანდიდატი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ქვეყნებისა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პოტენციური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კანდიდატი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ქვეყნებისთვის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მიწოდება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მთელ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რიგ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სექტორებში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კანონმდებლობის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უფრო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სწრაფად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დანერგვის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მიზნით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. </w:t>
      </w:r>
    </w:p>
    <w:p w:rsidR="00FD5DF5" w:rsidRPr="00E74E07" w:rsidRDefault="00FD5DF5" w:rsidP="00FD5DF5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 xml:space="preserve">2006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წელს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მოცემული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ინსტრუმენტი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ასევე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მისაწვდომი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გახდა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სამხრეთსა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აღმოსავლეთით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მდებარე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მეზობელი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ქვეყნებისთვის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საქართველოსთვის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რუსეთის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ჩათვლით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.</w:t>
      </w:r>
      <w:proofErr w:type="gramEnd"/>
    </w:p>
    <w:p w:rsidR="00FD5DF5" w:rsidRPr="00E74E07" w:rsidRDefault="00FD5DF5" w:rsidP="00FD5DF5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  <w:lang w:val="ka-GE"/>
        </w:rPr>
      </w:pPr>
      <w:r w:rsidRPr="00E74E07">
        <w:rPr>
          <w:rFonts w:ascii="Sylfaen" w:eastAsia="Times New Roman" w:hAnsi="Sylfaen" w:cs="Times New Roman"/>
          <w:color w:val="2B2C2D"/>
          <w:sz w:val="22"/>
        </w:rPr>
        <w:t>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ინსტრუმენტი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სამი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ფორმით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აწვდის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დახმარებას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: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ბენეფიციარ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ქვეყანაში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ექსპერტთა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მისიის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მივლინება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ბენეფიციარ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ქვეყანაში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სემინარების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ორგანიზება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ბენეფიციარი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="00E74E07">
        <w:rPr>
          <w:rFonts w:ascii="Sylfaen" w:eastAsia="Times New Roman" w:hAnsi="Sylfaen" w:cs="Times New Roman"/>
          <w:color w:val="2B2C2D"/>
          <w:sz w:val="22"/>
        </w:rPr>
        <w:t>ქვეყ</w:t>
      </w:r>
      <w:r w:rsidRPr="00E74E07">
        <w:rPr>
          <w:rFonts w:ascii="Sylfaen" w:eastAsia="Times New Roman" w:hAnsi="Sylfaen" w:cs="Times New Roman"/>
          <w:color w:val="2B2C2D"/>
          <w:sz w:val="22"/>
        </w:rPr>
        <w:t>ნის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ოფიციალური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პირების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სასწავლო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ტურების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ორგანიზება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წევრი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ქვეყნების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ადმინისტრაციასთან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თანამშრომლობის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მიზნით</w:t>
      </w:r>
      <w:proofErr w:type="spellEnd"/>
      <w:r w:rsidR="00E74E07" w:rsidRPr="00E74E07">
        <w:rPr>
          <w:rFonts w:ascii="Sylfaen" w:eastAsia="Times New Roman" w:hAnsi="Sylfaen" w:cs="Times New Roman"/>
          <w:color w:val="2B2C2D"/>
          <w:sz w:val="22"/>
        </w:rPr>
        <w:t>.</w:t>
      </w:r>
    </w:p>
    <w:p w:rsidR="00E74E07" w:rsidRPr="00E74E07" w:rsidRDefault="00FD5DF5" w:rsidP="00FD5DF5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r w:rsidRPr="00E74E07">
        <w:rPr>
          <w:rFonts w:ascii="Sylfaen" w:eastAsia="Times New Roman" w:hAnsi="Sylfaen" w:cs="Times New Roman"/>
          <w:color w:val="2B2C2D"/>
          <w:sz w:val="22"/>
        </w:rPr>
        <w:t>PAO 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ეროვნული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საკონტაქტო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დანაყოფის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სტატუსში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მოქმედებს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საქართველოში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. </w:t>
      </w: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მოცემულ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სტატუსთან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დაკავშირებით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პროგრამების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ადმინისტრირების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სამსახური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პერსონალს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ცენტრალური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როლი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ეკისრება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ფარგლებში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ქვეყანაში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დაგეგმილი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ღონისძიებების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თაობაზე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კომუნიკაციისა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კოორდინაციის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თვალსაზრისით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. </w:t>
      </w:r>
    </w:p>
    <w:p w:rsidR="00FD5DF5" w:rsidRPr="00E74E07" w:rsidRDefault="00FD5DF5" w:rsidP="00FD5DF5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გარდა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ამისა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PAO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ასევე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პასუხისმგებელია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შემდეგზე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: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რეკომენდაციების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მიწოდება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საქართველოს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ბენეფიციარი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ადმინისტრაციისთვის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სარგებლობასთან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დაკავშირებით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წარდგენილი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წინადადებების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შესწავლა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მათი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მიწოდება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ევროკომისიის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ინსტიტუციონალური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განვითარების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განყოფილებისთვის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მათი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შეფასებისა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დამტკიცებისთვის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საქართველოს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წარმომადგენლების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მონაწილეობის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ორგანიზება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ღონისძიებებში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რომლებიც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საქართველოს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ფარგლებს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გარეთ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ტარდება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.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r w:rsidRPr="00E74E07">
        <w:rPr>
          <w:rFonts w:ascii="Sylfaen" w:eastAsia="Times New Roman" w:hAnsi="Sylfaen" w:cs="Times New Roman"/>
          <w:color w:val="2B2C2D"/>
          <w:sz w:val="22"/>
        </w:rPr>
        <w:t>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ძირითადი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მიზნებია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:</w:t>
      </w:r>
    </w:p>
    <w:p w:rsidR="00FD5DF5" w:rsidRPr="00E74E07" w:rsidRDefault="00FD5DF5" w:rsidP="00E74E07">
      <w:pPr>
        <w:pStyle w:val="ListParagraph"/>
        <w:numPr>
          <w:ilvl w:val="0"/>
          <w:numId w:val="4"/>
        </w:num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მოკლევადიანი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ტექნიკური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სამრჩევლო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მიწოდება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ეროვნული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კანონმდებლობის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კანონმდებლობასთან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ჰარმონიზაციის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მისი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შემდგომი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ადმინისტრირების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შესრულების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ხელშეწყობის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მიზნით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pStyle w:val="ListParagraph"/>
        <w:numPr>
          <w:ilvl w:val="0"/>
          <w:numId w:val="4"/>
        </w:num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lastRenderedPageBreak/>
        <w:t>ბენეფიციარი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ქვეყნების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პარტნიორი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ადმინისტრაციებისთვის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წევრი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სახელმწიფოების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ექსპერტების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მიწოდება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pStyle w:val="ListParagraph"/>
        <w:numPr>
          <w:ilvl w:val="0"/>
          <w:numId w:val="4"/>
        </w:num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მეზობელი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ქვეყნების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მათ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შორის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რუსეთს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წევრ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სახელმწიფოებს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შორის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ინფორმაციის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გაცვლის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ხელშეწყობა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pStyle w:val="ListParagraph"/>
        <w:numPr>
          <w:ilvl w:val="0"/>
          <w:numId w:val="4"/>
        </w:num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ევროკავშირთან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დაახლოების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პროცესის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მონიტორინგის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ხელშეწყობის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მიზნით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მონაცემთა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ბაზის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ინსტრუმენტების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დანერგვა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თვალსაზრისით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არსებული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საჭიროებების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გამოვლენა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საჯარო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სამსახურების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დაძმობილების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პროექტების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მეშვეობით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.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b/>
          <w:color w:val="2B2C2D"/>
          <w:sz w:val="22"/>
        </w:rPr>
      </w:pPr>
      <w:r w:rsidRPr="00E74E07">
        <w:rPr>
          <w:rFonts w:ascii="Sylfaen" w:eastAsia="Times New Roman" w:hAnsi="Sylfaen" w:cs="Times New Roman"/>
          <w:b/>
          <w:color w:val="2B2C2D"/>
          <w:sz w:val="22"/>
        </w:rPr>
        <w:t>TAIEX-</w:t>
      </w:r>
      <w:proofErr w:type="spellStart"/>
      <w:r w:rsidRPr="00E74E07">
        <w:rPr>
          <w:rFonts w:ascii="Sylfaen" w:eastAsia="Times New Roman" w:hAnsi="Sylfaen" w:cs="Times New Roman"/>
          <w:b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b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b/>
          <w:color w:val="2B2C2D"/>
          <w:sz w:val="22"/>
        </w:rPr>
        <w:t>ბენეფიციარები</w:t>
      </w:r>
      <w:proofErr w:type="spellEnd"/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r w:rsidRPr="00E74E07">
        <w:rPr>
          <w:rFonts w:ascii="Sylfaen" w:eastAsia="Times New Roman" w:hAnsi="Sylfaen" w:cs="Times New Roman"/>
          <w:color w:val="2B2C2D"/>
          <w:sz w:val="22"/>
        </w:rPr>
        <w:t>TAIEX-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ბენეფიციარი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შეიძლება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გახდეს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ინსტიტუტები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ორგანიზაციები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რომლებსაც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მნიშვნელოვანი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როლის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შესრულება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შეუძლიათ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ევროკავშირის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კანონმდებლობასთან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დაახლოების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მისი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შესრულების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ხელშეწყობის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პროცესში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ძირითადი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მიზნობრივი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ჯგუფებია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: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ნაციონალურ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სუბ-ნაციონალურ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ადგილობირი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ხელისუფლების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დონეზე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არსებული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სახელმწიფო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ადმინისტრაციების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საჯარო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მოხელეები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სასამართლო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ხელისუფლება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სამართალდამცავი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ორგანოების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ადმინისტრაცია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პარლამენტები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საპარლამენტო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საკანონმდებლო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საბჭოებში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მომუშავე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საჯარო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მოხელეები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პროფესიული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კომერციული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ასოციაციები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რომლებიც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სოციალურ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პარტნიორებს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წარმოადგენენ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პროფკავშირებისა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დამსაქმებელთა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ასოციაციების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წარმომადგენლები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საკანონმდებლო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ტექსტების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თარგმნაზე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გადასინჯვაზე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პასუხისმგებელი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პირები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;</w:t>
      </w:r>
    </w:p>
    <w:p w:rsidR="00FD5DF5" w:rsidRPr="00E74E07" w:rsidRDefault="00FD5DF5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  <w:proofErr w:type="spellStart"/>
      <w:proofErr w:type="gramStart"/>
      <w:r w:rsidRPr="00E74E07">
        <w:rPr>
          <w:rFonts w:ascii="Sylfaen" w:eastAsia="Times New Roman" w:hAnsi="Sylfaen" w:cs="Times New Roman"/>
          <w:color w:val="2B2C2D"/>
          <w:sz w:val="22"/>
        </w:rPr>
        <w:t>აღსანიშნავია</w:t>
      </w:r>
      <w:proofErr w:type="spellEnd"/>
      <w:proofErr w:type="gram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,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რომ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TAIEX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უწევს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პირდაპირ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დახმარებას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კერძო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პირებს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ან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 xml:space="preserve"> </w:t>
      </w:r>
      <w:proofErr w:type="spellStart"/>
      <w:r w:rsidRPr="00E74E07">
        <w:rPr>
          <w:rFonts w:ascii="Sylfaen" w:eastAsia="Times New Roman" w:hAnsi="Sylfaen" w:cs="Times New Roman"/>
          <w:color w:val="2B2C2D"/>
          <w:sz w:val="22"/>
        </w:rPr>
        <w:t>კომპანიებს</w:t>
      </w:r>
      <w:proofErr w:type="spellEnd"/>
      <w:r w:rsidRPr="00E74E07">
        <w:rPr>
          <w:rFonts w:ascii="Sylfaen" w:eastAsia="Times New Roman" w:hAnsi="Sylfaen" w:cs="Times New Roman"/>
          <w:color w:val="2B2C2D"/>
          <w:sz w:val="22"/>
        </w:rPr>
        <w:t>.</w:t>
      </w:r>
    </w:p>
    <w:p w:rsidR="00E74E07" w:rsidRPr="00E74E07" w:rsidRDefault="00E74E07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</w:p>
    <w:p w:rsidR="00E74E07" w:rsidRDefault="00E74E07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  <w:lang w:val="ka-GE"/>
        </w:rPr>
      </w:pPr>
    </w:p>
    <w:p w:rsidR="00E74E07" w:rsidRDefault="00E74E07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  <w:lang w:val="ka-GE"/>
        </w:rPr>
      </w:pPr>
    </w:p>
    <w:p w:rsidR="00E74E07" w:rsidRDefault="00E74E07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  <w:lang w:val="ka-GE"/>
        </w:rPr>
      </w:pPr>
    </w:p>
    <w:p w:rsidR="00E74E07" w:rsidRPr="00E74E07" w:rsidRDefault="00E74E07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  <w:lang w:val="ka-GE"/>
        </w:rPr>
      </w:pPr>
    </w:p>
    <w:p w:rsidR="00E74E07" w:rsidRPr="00E74E07" w:rsidRDefault="00E74E07" w:rsidP="00E74E07">
      <w:pPr>
        <w:spacing w:after="300" w:line="240" w:lineRule="auto"/>
        <w:jc w:val="both"/>
        <w:textAlignment w:val="baseline"/>
        <w:rPr>
          <w:rFonts w:ascii="Sylfaen" w:eastAsia="Times New Roman" w:hAnsi="Sylfaen" w:cs="Times New Roman"/>
          <w:color w:val="2B2C2D"/>
          <w:sz w:val="22"/>
        </w:rPr>
      </w:pPr>
    </w:p>
    <w:p w:rsidR="00FD5DF5" w:rsidRDefault="00E74E07" w:rsidP="00FD5DF5">
      <w:pPr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bCs/>
          <w:color w:val="2B2C2D"/>
          <w:sz w:val="22"/>
          <w:bdr w:val="none" w:sz="0" w:space="0" w:color="auto" w:frame="1"/>
        </w:rPr>
      </w:pPr>
      <w:r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</w:rPr>
        <w:lastRenderedPageBreak/>
        <w:t xml:space="preserve">TAIEX- </w:t>
      </w:r>
      <w:r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  <w:lang w:val="ka-GE"/>
        </w:rPr>
        <w:t xml:space="preserve">ის </w:t>
      </w:r>
      <w:bookmarkStart w:id="0" w:name="_GoBack"/>
      <w:bookmarkEnd w:id="0"/>
      <w:r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  <w:lang w:val="ka-GE"/>
        </w:rPr>
        <w:t xml:space="preserve">არსებული </w:t>
      </w:r>
      <w:proofErr w:type="spellStart"/>
      <w:r w:rsidR="00FD5DF5" w:rsidRPr="00E74E07"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</w:rPr>
        <w:t>სააპლიკაციო</w:t>
      </w:r>
      <w:proofErr w:type="spellEnd"/>
      <w:r w:rsidR="00FD5DF5" w:rsidRPr="00E74E07">
        <w:rPr>
          <w:rFonts w:ascii="Helvetica" w:eastAsia="Times New Roman" w:hAnsi="Helvetica" w:cs="Times New Roman"/>
          <w:bCs/>
          <w:color w:val="2B2C2D"/>
          <w:sz w:val="22"/>
          <w:bdr w:val="none" w:sz="0" w:space="0" w:color="auto" w:frame="1"/>
        </w:rPr>
        <w:t xml:space="preserve"> </w:t>
      </w:r>
      <w:proofErr w:type="spellStart"/>
      <w:r w:rsidR="00FD5DF5" w:rsidRPr="00E74E07"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</w:rPr>
        <w:t>ფორმები</w:t>
      </w:r>
      <w:proofErr w:type="spellEnd"/>
      <w:r w:rsidR="00FD5DF5" w:rsidRPr="00E74E07">
        <w:rPr>
          <w:rFonts w:ascii="Helvetica" w:eastAsia="Times New Roman" w:hAnsi="Helvetica" w:cs="Times New Roman"/>
          <w:bCs/>
          <w:color w:val="2B2C2D"/>
          <w:sz w:val="22"/>
          <w:bdr w:val="none" w:sz="0" w:space="0" w:color="auto" w:frame="1"/>
        </w:rPr>
        <w:t xml:space="preserve"> </w:t>
      </w:r>
      <w:proofErr w:type="spellStart"/>
      <w:r w:rsidR="00FD5DF5" w:rsidRPr="00E74E07"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</w:rPr>
        <w:t>განაცხადის</w:t>
      </w:r>
      <w:proofErr w:type="spellEnd"/>
      <w:r w:rsidR="00FD5DF5" w:rsidRPr="00E74E07">
        <w:rPr>
          <w:rFonts w:ascii="Helvetica" w:eastAsia="Times New Roman" w:hAnsi="Helvetica" w:cs="Times New Roman"/>
          <w:bCs/>
          <w:color w:val="2B2C2D"/>
          <w:sz w:val="22"/>
          <w:bdr w:val="none" w:sz="0" w:space="0" w:color="auto" w:frame="1"/>
        </w:rPr>
        <w:t xml:space="preserve"> </w:t>
      </w:r>
      <w:proofErr w:type="spellStart"/>
      <w:r w:rsidR="00FD5DF5" w:rsidRPr="00E74E07">
        <w:rPr>
          <w:rFonts w:ascii="Sylfaen" w:eastAsia="Times New Roman" w:hAnsi="Sylfaen" w:cs="Sylfaen"/>
          <w:bCs/>
          <w:color w:val="2B2C2D"/>
          <w:sz w:val="22"/>
          <w:bdr w:val="none" w:sz="0" w:space="0" w:color="auto" w:frame="1"/>
        </w:rPr>
        <w:t>წარსადგენად</w:t>
      </w:r>
      <w:proofErr w:type="spellEnd"/>
      <w:r w:rsidR="00FD5DF5" w:rsidRPr="00E74E07">
        <w:rPr>
          <w:rFonts w:ascii="Helvetica" w:eastAsia="Times New Roman" w:hAnsi="Helvetica" w:cs="Times New Roman"/>
          <w:bCs/>
          <w:color w:val="2B2C2D"/>
          <w:sz w:val="22"/>
          <w:bdr w:val="none" w:sz="0" w:space="0" w:color="auto" w:frame="1"/>
        </w:rPr>
        <w:t>:</w:t>
      </w:r>
    </w:p>
    <w:p w:rsidR="00E74E07" w:rsidRPr="00E74E07" w:rsidRDefault="00E74E07" w:rsidP="00FD5DF5">
      <w:pPr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</w:p>
    <w:p w:rsidR="00FD5DF5" w:rsidRPr="00FD5DF5" w:rsidRDefault="00852777" w:rsidP="00FD5DF5">
      <w:pPr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hyperlink r:id="rId6" w:tgtFrame="_blank" w:tooltip="სემინარი/სამუშაო შეხვედრა" w:history="1">
        <w:proofErr w:type="spellStart"/>
        <w:proofErr w:type="gram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სემინარის</w:t>
        </w:r>
        <w:proofErr w:type="spellEnd"/>
        <w:proofErr w:type="gram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ან</w:t>
        </w:r>
        <w:proofErr w:type="spell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სამუშაო</w:t>
        </w:r>
        <w:proofErr w:type="spell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შეხვედრის</w:t>
        </w:r>
        <w:proofErr w:type="spell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ორგანიზება</w:t>
        </w:r>
        <w:proofErr w:type="spellEnd"/>
      </w:hyperlink>
    </w:p>
    <w:p w:rsidR="00FD5DF5" w:rsidRPr="00FD5DF5" w:rsidRDefault="00FD5DF5" w:rsidP="00FD5DF5">
      <w:pPr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proofErr w:type="spellStart"/>
      <w:proofErr w:type="gramStart"/>
      <w:r w:rsidRPr="00FD5DF5">
        <w:rPr>
          <w:rFonts w:ascii="Sylfaen" w:eastAsia="Times New Roman" w:hAnsi="Sylfaen" w:cs="Sylfaen"/>
          <w:color w:val="2B2C2D"/>
          <w:sz w:val="22"/>
        </w:rPr>
        <w:t>სემინარის</w:t>
      </w:r>
      <w:proofErr w:type="spellEnd"/>
      <w:proofErr w:type="gram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სამუშაო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შეხვედრის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ორგანიზება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რომელზეც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დასმული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განმარტებული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იქნება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ევროკავშირის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პოლიტიკასთან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კანონმდებლობასთან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ფუნქციონირებასთან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დაკავშირებული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საკითხები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. </w:t>
      </w:r>
      <w:proofErr w:type="spellStart"/>
      <w:proofErr w:type="gramStart"/>
      <w:r w:rsidRPr="00FD5DF5">
        <w:rPr>
          <w:rFonts w:ascii="Sylfaen" w:eastAsia="Times New Roman" w:hAnsi="Sylfaen" w:cs="Sylfaen"/>
          <w:color w:val="2B2C2D"/>
          <w:sz w:val="22"/>
        </w:rPr>
        <w:t>ამგვარი</w:t>
      </w:r>
      <w:proofErr w:type="spellEnd"/>
      <w:proofErr w:type="gram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დახმარება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შეიძლება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განხორციელდეს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ერთი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მეტი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უწყების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მონაწილეობით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>.</w:t>
      </w:r>
    </w:p>
    <w:p w:rsidR="00FD5DF5" w:rsidRPr="00FD5DF5" w:rsidRDefault="00852777" w:rsidP="00FD5DF5">
      <w:pPr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hyperlink r:id="rId7" w:tgtFrame="_blank" w:tooltip="ექსპერტთა მისია / შემფასებელი მისია" w:history="1">
        <w:proofErr w:type="spellStart"/>
        <w:proofErr w:type="gram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ექსპერტთა</w:t>
        </w:r>
        <w:proofErr w:type="spellEnd"/>
        <w:proofErr w:type="gram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მისია</w:t>
        </w:r>
        <w:proofErr w:type="spellEnd"/>
      </w:hyperlink>
    </w:p>
    <w:p w:rsidR="00FD5DF5" w:rsidRPr="00FD5DF5" w:rsidRDefault="00FD5DF5" w:rsidP="00FD5DF5">
      <w:pPr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proofErr w:type="spellStart"/>
      <w:proofErr w:type="gramStart"/>
      <w:r w:rsidRPr="00FD5DF5">
        <w:rPr>
          <w:rFonts w:ascii="Sylfaen" w:eastAsia="Times New Roman" w:hAnsi="Sylfaen" w:cs="Sylfaen"/>
          <w:color w:val="2B2C2D"/>
          <w:sz w:val="22"/>
        </w:rPr>
        <w:t>ექსპერტთა</w:t>
      </w:r>
      <w:proofErr w:type="spellEnd"/>
      <w:proofErr w:type="gram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ვიზიტისას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თქვენ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შეგეძლებათ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უმასპინძლოთ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რამდენიმე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ექსპერტს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წევრი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სახელმწიფოებიდან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რომელთა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ამოცანასაც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შეიძლება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წარმოადგენდეს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ექსპერტული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დახმარების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გაწევა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რომელიმე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კონკრეტულ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სფეროში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ეროვნული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კანონმდებლობის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ევროკავშირის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კანონმდებლობასთან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ჰარმონიზების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საუკეთესო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გამოცდილების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გაზიარების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კუთხით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>.</w:t>
      </w:r>
    </w:p>
    <w:p w:rsidR="00FD5DF5" w:rsidRPr="00FD5DF5" w:rsidRDefault="00852777" w:rsidP="00FD5DF5">
      <w:pPr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hyperlink r:id="rId8" w:tgtFrame="_blank" w:tooltip="ექსპერტთა მისისა / შემფასებელი მისია" w:history="1">
        <w:proofErr w:type="spellStart"/>
        <w:proofErr w:type="gram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შემფასებელი</w:t>
        </w:r>
        <w:proofErr w:type="spellEnd"/>
        <w:proofErr w:type="gram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მისია</w:t>
        </w:r>
        <w:proofErr w:type="spellEnd"/>
      </w:hyperlink>
    </w:p>
    <w:p w:rsidR="00FD5DF5" w:rsidRPr="00FD5DF5" w:rsidRDefault="00FD5DF5" w:rsidP="00FD5DF5">
      <w:pPr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proofErr w:type="spellStart"/>
      <w:proofErr w:type="gramStart"/>
      <w:r w:rsidRPr="00FD5DF5">
        <w:rPr>
          <w:rFonts w:ascii="Sylfaen" w:eastAsia="Times New Roman" w:hAnsi="Sylfaen" w:cs="Sylfaen"/>
          <w:color w:val="2B2C2D"/>
          <w:sz w:val="22"/>
        </w:rPr>
        <w:t>შეფასების</w:t>
      </w:r>
      <w:proofErr w:type="spellEnd"/>
      <w:proofErr w:type="gram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მისია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წარმოადგენს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სპეციფიურ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ინსტრუმენტს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რომელიც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შექმნილია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ევროკავშირის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საკანონმდებლო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სტანდარტებთან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მიახლოებისა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საუკეთესო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გამოცდილების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გამოყენების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კუთხით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პროგრესის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კონტროლოს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უზრუნველსაყოფად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. </w:t>
      </w:r>
      <w:proofErr w:type="spellStart"/>
      <w:proofErr w:type="gramStart"/>
      <w:r w:rsidRPr="00FD5DF5">
        <w:rPr>
          <w:rFonts w:ascii="Sylfaen" w:eastAsia="Times New Roman" w:hAnsi="Sylfaen" w:cs="Sylfaen"/>
          <w:color w:val="2B2C2D"/>
          <w:sz w:val="22"/>
        </w:rPr>
        <w:t>შეფასება</w:t>
      </w:r>
      <w:proofErr w:type="spellEnd"/>
      <w:proofErr w:type="gram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ხორციელდება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ევროკავშირის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წევრი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სახელმწიფოების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მმართველი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ინსტიტუტების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კომპეტენტური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ექსპერტების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მიერ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ანალიტიკური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ანგარიშისა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შესაბამისი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რეკომენდაციების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სახით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>.</w:t>
      </w:r>
    </w:p>
    <w:p w:rsidR="00FD5DF5" w:rsidRPr="00FD5DF5" w:rsidRDefault="00852777" w:rsidP="00FD5DF5">
      <w:pPr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hyperlink r:id="rId9" w:tgtFrame="_blank" w:tooltip="სასწავლო ვიზიტი" w:history="1">
        <w:proofErr w:type="spellStart"/>
        <w:proofErr w:type="gram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სასწავლო</w:t>
        </w:r>
        <w:proofErr w:type="spellEnd"/>
        <w:proofErr w:type="gramEnd"/>
        <w:r w:rsidR="00FD5DF5" w:rsidRPr="00FD5DF5">
          <w:rPr>
            <w:rFonts w:ascii="Helvetica" w:eastAsia="Times New Roman" w:hAnsi="Helvetica" w:cs="Times New Roman"/>
            <w:b/>
            <w:bCs/>
            <w:color w:val="0B479D"/>
            <w:sz w:val="22"/>
            <w:u w:val="single"/>
            <w:bdr w:val="none" w:sz="0" w:space="0" w:color="auto" w:frame="1"/>
          </w:rPr>
          <w:t xml:space="preserve"> </w:t>
        </w:r>
        <w:proofErr w:type="spellStart"/>
        <w:r w:rsidR="00FD5DF5" w:rsidRPr="00FD5DF5">
          <w:rPr>
            <w:rFonts w:ascii="Sylfaen" w:eastAsia="Times New Roman" w:hAnsi="Sylfaen" w:cs="Sylfaen"/>
            <w:b/>
            <w:bCs/>
            <w:color w:val="0B479D"/>
            <w:sz w:val="22"/>
            <w:u w:val="single"/>
            <w:bdr w:val="none" w:sz="0" w:space="0" w:color="auto" w:frame="1"/>
          </w:rPr>
          <w:t>ვიზიტი</w:t>
        </w:r>
        <w:proofErr w:type="spellEnd"/>
      </w:hyperlink>
    </w:p>
    <w:p w:rsidR="00FD5DF5" w:rsidRPr="00FD5DF5" w:rsidRDefault="00FD5DF5" w:rsidP="00FD5DF5">
      <w:pPr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2B2C2D"/>
          <w:sz w:val="22"/>
        </w:rPr>
      </w:pPr>
      <w:proofErr w:type="spellStart"/>
      <w:proofErr w:type="gramStart"/>
      <w:r w:rsidRPr="00FD5DF5">
        <w:rPr>
          <w:rFonts w:ascii="Sylfaen" w:eastAsia="Times New Roman" w:hAnsi="Sylfaen" w:cs="Sylfaen"/>
          <w:color w:val="2B2C2D"/>
          <w:sz w:val="22"/>
        </w:rPr>
        <w:t>სასწავლო</w:t>
      </w:r>
      <w:proofErr w:type="spellEnd"/>
      <w:proofErr w:type="gram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ვიზიტისას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პროექტის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მიმღები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უწყების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წარმომადგენლებს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შესაძლებლობა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ეძლევათ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,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გაეცნონ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თუ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როგორ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ხდება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ევროკავშირის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კანონმდებლობასთან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დაკავშირებული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პრაქტიკული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საკითხების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გადაჭრა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ევროკავშირის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წევრ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 xml:space="preserve"> </w:t>
      </w:r>
      <w:proofErr w:type="spellStart"/>
      <w:r w:rsidRPr="00FD5DF5">
        <w:rPr>
          <w:rFonts w:ascii="Sylfaen" w:eastAsia="Times New Roman" w:hAnsi="Sylfaen" w:cs="Sylfaen"/>
          <w:color w:val="2B2C2D"/>
          <w:sz w:val="22"/>
        </w:rPr>
        <w:t>ქვეყნებში</w:t>
      </w:r>
      <w:proofErr w:type="spellEnd"/>
      <w:r w:rsidRPr="00FD5DF5">
        <w:rPr>
          <w:rFonts w:ascii="Helvetica" w:eastAsia="Times New Roman" w:hAnsi="Helvetica" w:cs="Times New Roman"/>
          <w:color w:val="2B2C2D"/>
          <w:sz w:val="22"/>
        </w:rPr>
        <w:t>.</w:t>
      </w:r>
    </w:p>
    <w:p w:rsidR="002E78F8" w:rsidRPr="00FD5DF5" w:rsidRDefault="002E78F8" w:rsidP="00FD5DF5">
      <w:pPr>
        <w:jc w:val="both"/>
        <w:rPr>
          <w:sz w:val="22"/>
        </w:rPr>
      </w:pPr>
    </w:p>
    <w:sectPr w:rsidR="002E78F8" w:rsidRPr="00FD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33D"/>
    <w:multiLevelType w:val="hybridMultilevel"/>
    <w:tmpl w:val="2136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51DF"/>
    <w:multiLevelType w:val="multilevel"/>
    <w:tmpl w:val="502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179D2"/>
    <w:multiLevelType w:val="multilevel"/>
    <w:tmpl w:val="8E0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41CD3"/>
    <w:multiLevelType w:val="multilevel"/>
    <w:tmpl w:val="EC3E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F5"/>
    <w:rsid w:val="002E78F8"/>
    <w:rsid w:val="00852777"/>
    <w:rsid w:val="00E74E07"/>
    <w:rsid w:val="00F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-nato.gov.ge/ge/page/%E1%83%94%E1%83%A5%E1%83%A1%E1%83%9E%E1%83%94%E1%83%A0%E1%83%A2%E1%83%97%E1%83%90-%E1%83%9B%E1%83%98%E1%83%A1%E1%83%98%E1%83%90-%E1%83%A8%E1%83%94%E1%83%9B%E1%83%A4%E1%83%90%E1%83%A1%E1%83%94%E1%83%91%E1%83%94%E1%83%9A%E1%83%98-%E1%83%9B%E1%83%98%E1%83%A1%E1%83%98%E1%83%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-nato.gov.ge/ge/page/%E1%83%94%E1%83%A5%E1%83%A1%E1%83%9E%E1%83%94%E1%83%A0%E1%83%A2%E1%83%97%E1%83%90-%E1%83%9B%E1%83%98%E1%83%A1%E1%83%98%E1%83%90-%E1%83%A8%E1%83%94%E1%83%9B%E1%83%A4%E1%83%90%E1%83%A1%E1%83%94%E1%83%91%E1%83%94%E1%83%9A%E1%83%98-%E1%83%9B%E1%83%98%E1%83%A1%E1%83%98%E1%83%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-nato.gov.ge/ge/page/%E1%83%A1%E1%83%94%E1%83%9B%E1%83%98%E1%83%9C%E1%83%90%E1%83%A0%E1%83%98%E1%83%A1%E1%83%90%E1%83%9B%E1%83%A3%E1%83%A8%E1%83%90%E1%83%9D-%E1%83%A8%E1%83%94%E1%83%AE%E1%83%95%E1%83%94%E1%83%93%E1%83%A0%E1%83%9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u-nato.gov.ge/ge/page/%E1%83%A1%E1%83%90%E1%83%A1%E1%83%AC%E1%83%90%E1%83%95%E1%83%9A%E1%83%9D-%E1%83%95%E1%83%98%E1%83%96%E1%83%98%E1%83%A0%E1%83%A2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2017-06-08T07:13:00Z</dcterms:created>
  <dcterms:modified xsi:type="dcterms:W3CDTF">2017-06-21T12:23:00Z</dcterms:modified>
</cp:coreProperties>
</file>