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bookmarkStart w:id="0" w:name="_GoBack"/>
      <w:bookmarkEnd w:id="0"/>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B41748" w:rsidRDefault="00AB3DE3" w:rsidP="007B64C5">
      <w:pPr>
        <w:spacing w:after="0" w:line="240" w:lineRule="auto"/>
        <w:jc w:val="center"/>
        <w:rPr>
          <w:rFonts w:ascii="Sylfaen" w:hAnsi="Sylfaen" w:cs="Sylfaen"/>
          <w:b/>
          <w:lang w:val="ka-GE"/>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B41748">
        <w:rPr>
          <w:rFonts w:ascii="Sylfaen" w:hAnsi="Sylfaen" w:cs="Sylfaen"/>
          <w:b/>
        </w:rPr>
        <w:t>1</w:t>
      </w:r>
      <w:r w:rsidR="00B41748">
        <w:rPr>
          <w:rFonts w:ascii="Sylfaen" w:hAnsi="Sylfaen" w:cs="Sylfaen"/>
          <w:b/>
          <w:lang w:val="ka-GE"/>
        </w:rPr>
        <w:t>2</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41748">
        <w:rPr>
          <w:rFonts w:ascii="Sylfaen" w:eastAsia="Sylfaen" w:hAnsi="Sylfaen"/>
        </w:rPr>
        <w:t xml:space="preserve">18 </w:t>
      </w:r>
      <w:r w:rsidR="00B41748">
        <w:rPr>
          <w:rFonts w:ascii="Sylfaen" w:eastAsia="Sylfaen" w:hAnsi="Sylfaen"/>
          <w:lang w:val="ka-GE"/>
        </w:rPr>
        <w:t>ივლისს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B84BA4"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ი) </w:t>
      </w:r>
      <w:r w:rsidR="00B84BA4">
        <w:rPr>
          <w:rFonts w:ascii="Sylfaen" w:eastAsia="Times New Roman" w:hAnsi="Sylfaen" w:cs="Times New Roman"/>
          <w:b/>
          <w:bCs/>
          <w:lang w:val="ka-GE"/>
        </w:rPr>
        <w:t>თამაზ მოდებაძე</w:t>
      </w:r>
      <w:r>
        <w:rPr>
          <w:rFonts w:ascii="Sylfaen" w:eastAsia="Times New Roman" w:hAnsi="Sylfaen" w:cs="Times New Roman"/>
          <w:b/>
          <w:bCs/>
          <w:lang w:val="ka-GE"/>
        </w:rPr>
        <w:t xml:space="preserve"> -</w:t>
      </w:r>
      <w:r>
        <w:rPr>
          <w:rFonts w:ascii="Sylfaen" w:eastAsia="Times New Roman" w:hAnsi="Sylfaen" w:cs="Times New Roman"/>
          <w:lang w:val="ka-GE"/>
        </w:rPr>
        <w:t xml:space="preserve"> </w:t>
      </w:r>
      <w:proofErr w:type="spellStart"/>
      <w:r w:rsidR="00B84BA4" w:rsidRPr="00683E6C">
        <w:rPr>
          <w:rFonts w:ascii="Sylfaen" w:eastAsia="Times New Roman" w:hAnsi="Sylfaen" w:cs="Times New Roman"/>
        </w:rPr>
        <w:t>საქართველოს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შრომის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ჯანმრთელობისა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დაცვის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სამინისტროს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სახელწიფო</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კონტროლს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დაქვემდებარებული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სსიპ</w:t>
      </w:r>
      <w:proofErr w:type="spellEnd"/>
      <w:r w:rsidR="00B84BA4" w:rsidRPr="00683E6C">
        <w:rPr>
          <w:rFonts w:ascii="Sylfaen" w:eastAsia="Times New Roman" w:hAnsi="Sylfaen" w:cs="Times New Roman"/>
        </w:rPr>
        <w:t xml:space="preserve"> -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მომსახურების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სააგენტოს</w:t>
      </w:r>
      <w:proofErr w:type="spellEnd"/>
      <w:r w:rsidR="00B84BA4" w:rsidRPr="00683E6C">
        <w:rPr>
          <w:rFonts w:ascii="Sylfaen" w:eastAsia="Times New Roman" w:hAnsi="Sylfaen" w:cs="Times New Roman"/>
        </w:rPr>
        <w:t xml:space="preserve"> </w:t>
      </w:r>
      <w:r w:rsidR="00B84BA4" w:rsidRPr="00683E6C">
        <w:rPr>
          <w:rFonts w:ascii="Sylfaen" w:eastAsia="Times New Roman" w:hAnsi="Sylfaen" w:cs="Times New Roman"/>
          <w:lang w:val="ka-GE"/>
        </w:rPr>
        <w:t>დირექტორის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9A5083" w:rsidRDefault="00AB3DE3" w:rsidP="009B2890">
      <w:pPr>
        <w:jc w:val="both"/>
        <w:rPr>
          <w:rFonts w:ascii="Sylfaen" w:hAnsi="Sylfaen" w:cs="Sylfaen"/>
          <w:b/>
          <w:highlight w:val="yellow"/>
          <w:lang w:val="ka-GE"/>
        </w:rPr>
      </w:pPr>
      <w:r w:rsidRPr="009A5083">
        <w:rPr>
          <w:rFonts w:ascii="Sylfaen" w:hAnsi="Sylfaen" w:cs="Sylfaen"/>
          <w:b/>
          <w:highlight w:val="yellow"/>
          <w:lang w:val="ka-GE"/>
        </w:rPr>
        <w:t>სხდომაზე</w:t>
      </w:r>
      <w:r w:rsidR="00C55257" w:rsidRPr="009A5083">
        <w:rPr>
          <w:rFonts w:ascii="Sylfaen" w:hAnsi="Sylfaen" w:cs="Sylfaen"/>
          <w:b/>
          <w:highlight w:val="yellow"/>
          <w:lang w:val="ka-GE"/>
        </w:rPr>
        <w:t xml:space="preserve"> განხილული იქნა „საყოველთაო ჯანმრთელობის დაცვის </w:t>
      </w:r>
      <w:r w:rsidR="00FE0C6D" w:rsidRPr="009A5083">
        <w:rPr>
          <w:rFonts w:ascii="Sylfaen" w:hAnsi="Sylfaen" w:cs="Sylfaen"/>
          <w:b/>
          <w:highlight w:val="yellow"/>
          <w:lang w:val="ka-GE"/>
        </w:rPr>
        <w:t>სახე</w:t>
      </w:r>
      <w:r w:rsidR="00C55257" w:rsidRPr="009A5083">
        <w:rPr>
          <w:rFonts w:ascii="Sylfaen" w:hAnsi="Sylfaen" w:cs="Sylfaen"/>
          <w:b/>
          <w:highlight w:val="yellow"/>
          <w:lang w:val="ka-GE"/>
        </w:rPr>
        <w:t xml:space="preserve">ლმწიფო პროგრამის“ </w:t>
      </w:r>
      <w:r w:rsidR="00AA038C" w:rsidRPr="009A5083">
        <w:rPr>
          <w:rFonts w:ascii="Sylfaen" w:hAnsi="Sylfaen" w:cs="Sylfaen"/>
          <w:b/>
          <w:highlight w:val="yellow"/>
          <w:lang w:val="ka-GE"/>
        </w:rPr>
        <w:t>ადმინისტრირების საკითხები, გადაჭრის გზები, საკანონმდებლო ცვლილებები:</w:t>
      </w:r>
    </w:p>
    <w:p w:rsidR="00223BD3" w:rsidRPr="009A5083" w:rsidRDefault="00F74981" w:rsidP="003A6F97">
      <w:pPr>
        <w:pStyle w:val="ListParagraph"/>
        <w:numPr>
          <w:ilvl w:val="0"/>
          <w:numId w:val="29"/>
        </w:numPr>
        <w:jc w:val="both"/>
        <w:rPr>
          <w:rFonts w:ascii="Sylfaen" w:hAnsi="Sylfaen" w:cs="Sylfaen"/>
          <w:b/>
          <w:highlight w:val="yellow"/>
          <w:lang w:val="ka-GE"/>
        </w:rPr>
      </w:pPr>
      <w:r w:rsidRPr="009A5083">
        <w:rPr>
          <w:rFonts w:ascii="Sylfaen" w:eastAsia="Sylfaen" w:hAnsi="Sylfaen"/>
          <w:b/>
          <w:highlight w:val="yellow"/>
          <w:lang w:val="ka-GE"/>
        </w:rPr>
        <w:t xml:space="preserve">„საყოველთაო ჯანრმთელობის დაცვის სახელმწიფო </w:t>
      </w:r>
      <w:r w:rsidR="00AD0375" w:rsidRPr="009A5083">
        <w:rPr>
          <w:rFonts w:ascii="Sylfaen" w:eastAsia="Sylfaen" w:hAnsi="Sylfaen"/>
          <w:b/>
          <w:highlight w:val="yellow"/>
          <w:lang w:val="ka-GE"/>
        </w:rPr>
        <w:t>პროგრამაში</w:t>
      </w:r>
      <w:r w:rsidRPr="009A5083">
        <w:rPr>
          <w:rFonts w:ascii="Sylfaen" w:eastAsia="Sylfaen" w:hAnsi="Sylfaen"/>
          <w:b/>
          <w:highlight w:val="yellow"/>
          <w:lang w:val="ka-GE"/>
        </w:rPr>
        <w:t xml:space="preserve">“ </w:t>
      </w:r>
      <w:r w:rsidR="00223BD3" w:rsidRPr="009A5083">
        <w:rPr>
          <w:rFonts w:ascii="Sylfaen" w:hAnsi="Sylfaen"/>
          <w:b/>
          <w:highlight w:val="yellow"/>
          <w:lang w:val="ka-GE"/>
        </w:rPr>
        <w:t>იმ პირთა ინტეგრირების საკითხი, რომლებიც 2017 წლის 1 იანვრის მდგომარეობით სარგებლობდნენ  “საყოველთაო ჯანმრთელობის დაცვის სახელმწიფო პროგრამით“ და ამავდროულად, კერძო სადაზღვევო კომპანიებში შეძენილი ჰქონდათ ე.წ. „დაშენებული პაკეტები“ - მინისტრის მრჩევლის ბ-ნი ლაშა ნიკოლაძის მოხსენებითი ბარათი N01-13040 21.06.17.</w:t>
      </w:r>
    </w:p>
    <w:p w:rsidR="00223BD3" w:rsidRPr="00223BD3" w:rsidRDefault="004F028B"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Pr>
          <w:rFonts w:ascii="Sylfaen" w:eastAsia="Sylfaen" w:hAnsi="Sylfaen" w:cs="Sylfaen"/>
          <w:lang w:val="ka-GE"/>
        </w:rPr>
        <w:tab/>
      </w:r>
      <w:r w:rsidR="000623D6" w:rsidRPr="009A5083">
        <w:rPr>
          <w:rFonts w:ascii="Sylfaen" w:hAnsi="Sylfaen"/>
          <w:highlight w:val="yellow"/>
          <w:lang w:val="ka-GE"/>
        </w:rPr>
        <w:t>როგორც ბ-მა ლაშა ნიკოლაძემ აღნიშნა</w:t>
      </w:r>
      <w:r w:rsidRPr="009A5083">
        <w:rPr>
          <w:rFonts w:ascii="Sylfaen" w:hAnsi="Sylfaen"/>
          <w:highlight w:val="yellow"/>
          <w:lang w:val="ka-GE"/>
        </w:rPr>
        <w:t>,</w:t>
      </w:r>
      <w:r w:rsidR="000623D6" w:rsidRPr="009A5083">
        <w:rPr>
          <w:rFonts w:ascii="Sylfaen" w:hAnsi="Sylfaen"/>
          <w:highlight w:val="yellow"/>
          <w:lang w:val="ka-GE"/>
        </w:rPr>
        <w:t xml:space="preserve"> </w:t>
      </w:r>
      <w:r w:rsidR="00223BD3" w:rsidRPr="009A5083">
        <w:rPr>
          <w:rFonts w:ascii="Sylfaen" w:hAnsi="Sylfaen"/>
          <w:highlight w:val="yellow"/>
          <w:lang w:val="ka-GE"/>
        </w:rPr>
        <w:t xml:space="preserve">2017 წლის 1 იანვარს დაზღვეულთა სიის საყოველთაო სერვისების შეზღუდვისთანავე (აპრილის თვეში) 4 სადაზღვევო კომპანია (ქართუ, ირაო, ჯიპიაი, იმედი </w:t>
      </w:r>
      <w:r w:rsidR="00E96719" w:rsidRPr="009A5083">
        <w:rPr>
          <w:rFonts w:ascii="Sylfaen" w:hAnsi="Sylfaen"/>
          <w:highlight w:val="yellow"/>
        </w:rPr>
        <w:t>L</w:t>
      </w:r>
      <w:r w:rsidR="00223BD3" w:rsidRPr="009A5083">
        <w:rPr>
          <w:rFonts w:ascii="Sylfaen" w:hAnsi="Sylfaen"/>
          <w:highlight w:val="yellow"/>
          <w:lang w:val="ka-GE"/>
        </w:rPr>
        <w:t>) (როგორც დაზღვევის ზედამხედველთან, ასევე ჯანდაცვის სამინისტროს წინაშე) აღნიშნავდა ისეთი სადაზღვევო პროდუქტების (კერძო დაზღვევის ნაირსახეობა) შესახებ, რომელიც ძალაში იყო მხოლოდ საყოველთაო ჯანდაცვის პროგრამის არსებობისას კონკრეტული ბენეფიციარის (დაზღვეულის) შემთხვევაში და როგორც წესი წარმოადგენდა საყოველთაო ჯანდაცვის თანაგადახდის შემავსებელ საშუალებას (ე.წ. დაშენებული პაკეტი).</w:t>
      </w:r>
      <w:r w:rsidR="00223BD3" w:rsidRPr="00223BD3">
        <w:rPr>
          <w:rFonts w:ascii="Sylfaen" w:hAnsi="Sylfaen"/>
          <w:lang w:val="ka-GE"/>
        </w:rPr>
        <w:t xml:space="preserve"> </w:t>
      </w:r>
    </w:p>
    <w:p w:rsidR="00223BD3" w:rsidRPr="00223BD3" w:rsidRDefault="00223BD3" w:rsidP="00223BD3">
      <w:pPr>
        <w:spacing w:before="100" w:beforeAutospacing="1" w:after="120" w:line="240" w:lineRule="auto"/>
        <w:ind w:firstLine="720"/>
        <w:jc w:val="both"/>
        <w:rPr>
          <w:rFonts w:ascii="Sylfaen" w:hAnsi="Sylfaen"/>
          <w:lang w:val="ka-GE"/>
        </w:rPr>
      </w:pPr>
      <w:r w:rsidRPr="009A5083">
        <w:rPr>
          <w:rFonts w:ascii="Sylfaen" w:hAnsi="Sylfaen"/>
          <w:highlight w:val="yellow"/>
          <w:lang w:val="ka-GE"/>
        </w:rPr>
        <w:t>ვინაიდან აღნიშნული შეზღუდვა (01.01.2017 სადაზღვევო სიებით შეზღუდვა) შენარჩუნდა ა.წ. 1 მაისის ცვლილებების (ბენეფიციართა კატეგორიზაციის ახალი წესი) შემდგომაც, ასეთი პაკეტით დაზღვეული  ადამიანები, ზემოთდასახელებული სადაზღვევო პირობის გამო, აღმოჩნდნენ როგორც საყოველთაო ჯანდაცვის (სახელმწიფო დაფინანსება), ასევე კერძო დაზღვევის (არასახელმწ. დაფინანსება) მიღმა, ანუ სრულიად ამოვარდნენ სისტემიდან.</w:t>
      </w:r>
      <w:r w:rsidRPr="00223BD3">
        <w:rPr>
          <w:rFonts w:ascii="Sylfaen" w:hAnsi="Sylfaen"/>
          <w:lang w:val="ka-GE"/>
        </w:rPr>
        <w:t xml:space="preserve"> </w:t>
      </w:r>
    </w:p>
    <w:p w:rsidR="00223BD3" w:rsidRP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გარდა ამისა, სსიპ საქართველოს დაზღვევის სახელმწიფო ზედამხედველობის სამსახურიდან მიღებული  (წერილიN57131 02.06.17) დაზღვეულთა სიების (სულ</w:t>
      </w:r>
      <w:r w:rsidR="00E96719">
        <w:rPr>
          <w:rFonts w:ascii="Sylfaen" w:hAnsi="Sylfaen"/>
        </w:rPr>
        <w:t xml:space="preserve"> </w:t>
      </w:r>
      <w:r w:rsidRPr="00223BD3">
        <w:rPr>
          <w:rFonts w:ascii="Sylfaen" w:hAnsi="Sylfaen"/>
          <w:lang w:val="ka-GE"/>
        </w:rPr>
        <w:t>24,834) ანალიზმა გვაჩვენა საერთო სურათი:</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მიზნობრივი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კატეგორია</w:t>
      </w:r>
      <w:r w:rsidRPr="00223BD3">
        <w:rPr>
          <w:rFonts w:ascii="Times New Roman" w:eastAsia="Times New Roman" w:hAnsi="Times New Roman" w:cs="Times New Roman"/>
          <w:lang w:val="ka-GE"/>
        </w:rPr>
        <w:t xml:space="preserve">: 7,021;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საბიუჯეტო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დაზღვეული</w:t>
      </w:r>
      <w:r w:rsidRPr="00223BD3">
        <w:rPr>
          <w:rFonts w:ascii="Times New Roman" w:eastAsia="Times New Roman" w:hAnsi="Times New Roman" w:cs="Times New Roman"/>
          <w:lang w:val="ka-GE"/>
        </w:rPr>
        <w:t xml:space="preserve">: 185;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ამ</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ორი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მიხედვით</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საყოველთაო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ჯანდაცვის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დანახარჯები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იცვლება</w:t>
      </w:r>
      <w:r w:rsidRPr="00223BD3">
        <w:rPr>
          <w:rFonts w:ascii="Times New Roman" w:eastAsia="Times New Roman" w:hAnsi="Times New Roman" w:cs="Times New Roman"/>
          <w:lang w:val="ka-GE"/>
        </w:rPr>
        <w:t xml:space="preserve">.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u w:val="single"/>
          <w:lang w:val="ka-GE"/>
        </w:rPr>
        <w:t>რაც</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შეხება</w:t>
      </w:r>
      <w:r w:rsidRPr="00223BD3">
        <w:rPr>
          <w:rFonts w:ascii="Times New Roman" w:eastAsia="Times New Roman" w:hAnsi="Times New Roman" w:cs="Times New Roman"/>
          <w:u w:val="single"/>
          <w:lang w:val="ka-GE"/>
        </w:rPr>
        <w:t xml:space="preserve"> 1 </w:t>
      </w:r>
      <w:r w:rsidRPr="00223BD3">
        <w:rPr>
          <w:rFonts w:ascii="Sylfaen" w:eastAsia="Times New Roman" w:hAnsi="Sylfaen" w:cs="Sylfaen"/>
          <w:u w:val="single"/>
          <w:lang w:val="ka-GE"/>
        </w:rPr>
        <w:t>მაისის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შემდგომი</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კატეგორიების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მიხედვით</w:t>
      </w:r>
      <w:r w:rsidRPr="00223BD3">
        <w:rPr>
          <w:rFonts w:ascii="Times New Roman" w:eastAsia="Times New Roman" w:hAnsi="Times New Roman" w:cs="Times New Roman"/>
          <w:u w:val="single"/>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მოზარდი</w:t>
      </w:r>
      <w:r w:rsidRPr="00223BD3">
        <w:rPr>
          <w:rFonts w:ascii="Times New Roman" w:eastAsia="Times New Roman" w:hAnsi="Times New Roman" w:cs="Times New Roman"/>
          <w:lang w:val="ka-GE"/>
        </w:rPr>
        <w:t xml:space="preserve"> (18 </w:t>
      </w:r>
      <w:r w:rsidRPr="00223BD3">
        <w:rPr>
          <w:rFonts w:ascii="Sylfaen" w:eastAsia="Times New Roman" w:hAnsi="Sylfaen" w:cs="Sylfaen"/>
          <w:lang w:val="ka-GE"/>
        </w:rPr>
        <w:t>წლამდე</w:t>
      </w:r>
      <w:r w:rsidRPr="00223BD3">
        <w:rPr>
          <w:rFonts w:ascii="Times New Roman" w:eastAsia="Times New Roman" w:hAnsi="Times New Roman" w:cs="Times New Roman"/>
          <w:lang w:val="ka-GE"/>
        </w:rPr>
        <w:t xml:space="preserve">), 70,000-100,000 </w:t>
      </w:r>
      <w:r w:rsidRPr="00223BD3">
        <w:rPr>
          <w:rFonts w:ascii="Sylfaen" w:eastAsia="Times New Roman" w:hAnsi="Sylfaen" w:cs="Sylfaen"/>
          <w:lang w:val="ka-GE"/>
        </w:rPr>
        <w:t>ქულა</w:t>
      </w:r>
      <w:r w:rsidRPr="00223BD3">
        <w:rPr>
          <w:rFonts w:ascii="Times New Roman" w:eastAsia="Times New Roman" w:hAnsi="Times New Roman" w:cs="Times New Roman"/>
          <w:lang w:val="ka-GE"/>
        </w:rPr>
        <w:t xml:space="preserve"> - 1,768 (</w:t>
      </w:r>
      <w:r w:rsidRPr="00223BD3">
        <w:rPr>
          <w:rFonts w:ascii="Sylfaen" w:eastAsia="Times New Roman" w:hAnsi="Sylfaen" w:cs="Sylfaen"/>
          <w:lang w:val="ka-GE"/>
        </w:rPr>
        <w:t>საბაზისო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&gt; 1,000 – 2,773 (</w:t>
      </w:r>
      <w:r w:rsidRPr="00223BD3">
        <w:rPr>
          <w:rFonts w:ascii="Sylfaen" w:eastAsia="Times New Roman" w:hAnsi="Sylfaen" w:cs="Sylfaen"/>
          <w:lang w:val="ka-GE"/>
        </w:rPr>
        <w:t>მნიშვნელოვანი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&lt;1,000 – 10,732 (</w:t>
      </w:r>
      <w:r w:rsidRPr="00223BD3">
        <w:rPr>
          <w:rFonts w:ascii="Sylfaen" w:eastAsia="Times New Roman" w:hAnsi="Sylfaen" w:cs="Sylfaen"/>
          <w:lang w:val="ka-GE"/>
        </w:rPr>
        <w:t>გეგმიურ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სერვისებზე</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lastRenderedPageBreak/>
        <w:t xml:space="preserve">(&gt; 40,000 – 1,146 )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w:t>
      </w:r>
      <w:r w:rsidRPr="00223BD3">
        <w:rPr>
          <w:rFonts w:ascii="Sylfaen" w:eastAsia="Times New Roman" w:hAnsi="Sylfaen" w:cs="Sylfaen"/>
          <w:lang w:val="ka-GE"/>
        </w:rPr>
        <w:t>ვეტერანი</w:t>
      </w:r>
      <w:r w:rsidRPr="00223BD3">
        <w:rPr>
          <w:rFonts w:ascii="Times New Roman" w:eastAsia="Times New Roman" w:hAnsi="Times New Roman" w:cs="Times New Roman"/>
          <w:lang w:val="ka-GE"/>
        </w:rPr>
        <w:t xml:space="preserve"> - 35)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 xml:space="preserve">. </w:t>
      </w:r>
    </w:p>
    <w:p w:rsidR="00223BD3" w:rsidRPr="00223BD3" w:rsidRDefault="00223BD3" w:rsidP="00E96719">
      <w:pPr>
        <w:spacing w:before="100" w:beforeAutospacing="1" w:after="120" w:line="240" w:lineRule="auto"/>
        <w:ind w:firstLine="720"/>
        <w:rPr>
          <w:rFonts w:ascii="Sylfaen" w:hAnsi="Sylfaen"/>
          <w:lang w:val="ka-GE"/>
        </w:rPr>
      </w:pPr>
      <w:r w:rsidRPr="00223BD3">
        <w:rPr>
          <w:rFonts w:ascii="Sylfaen" w:hAnsi="Sylfaen"/>
          <w:lang w:val="ka-GE"/>
        </w:rPr>
        <w:t>როგორც გამოიკვეთა ამ ბენეფიციართა სრული რაოდენობა (13,505 მათგანი შეზღუდული საყოველთაო სერვისით, 1,768 - საბაზისო საყოველთაო სერვისით) არ შორდება 15,273 ადამიანს. შესაბამისად, აღნიშნული ბენეფიციართა რაოდენობა არ წარმოადგენს მნიშვნელოვან ფისკალურ დატვირთვას საყოველთაო ჯანდაცვისათვის.</w:t>
      </w:r>
    </w:p>
    <w:p w:rsid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 xml:space="preserve">ამავე დროს, საყოველთაო ჯანდაცვის ბიუჯეტისათვის, უმჯობესია რომ ამ ადამიანებმა შეინარჩუნონ კერძო დაზღვევა თუნდაც ახალი კატეგორიზაციის ფარგლებში, ვიდრე გაწყვიტონ და მთლიანად საყოველთაო ჯანდაცვას დააწვენ დანახარჯებში. ყოველივე ზემოთქმულის გათვალისწინებით, ამ ადამიანების სისტემაში დასაბრუნებლად, </w:t>
      </w:r>
      <w:r w:rsidR="00E96719">
        <w:rPr>
          <w:rFonts w:ascii="Sylfaen" w:hAnsi="Sylfaen"/>
          <w:lang w:val="ka-GE"/>
        </w:rPr>
        <w:t>მიზანშეწონილია</w:t>
      </w:r>
      <w:r w:rsidRPr="00223BD3">
        <w:rPr>
          <w:rFonts w:ascii="Sylfaen" w:hAnsi="Sylfaen"/>
          <w:lang w:val="ka-GE"/>
        </w:rPr>
        <w:t xml:space="preserve"> აღნიშნული ადამიანები ამოღებულ იქნას 01.01.2017 სადაზღვევო სიებიდან, რათა მათ შეძლონ ახალი კატეგორიების და მიმდინარე დაზღვევის მიხედვით შესაბამისი სერვისების მიღება. </w:t>
      </w:r>
    </w:p>
    <w:p w:rsidR="00E96719" w:rsidRDefault="00E96719" w:rsidP="00E96719">
      <w:pPr>
        <w:spacing w:before="100" w:beforeAutospacing="1" w:after="120" w:line="240" w:lineRule="auto"/>
        <w:ind w:firstLine="720"/>
        <w:jc w:val="both"/>
        <w:rPr>
          <w:rFonts w:ascii="Sylfaen" w:hAnsi="Sylfaen"/>
          <w:lang w:val="ka-GE"/>
        </w:rPr>
      </w:pPr>
      <w:r>
        <w:rPr>
          <w:rFonts w:ascii="Sylfaen" w:hAnsi="Sylfaen"/>
          <w:lang w:val="ka-GE"/>
        </w:rPr>
        <w:t xml:space="preserve">ზემოაღნიშნულის თაობაზე ბ-ნი ლაშა ნიკოლაძის მიერ </w:t>
      </w:r>
      <w:r w:rsidR="00ED103C">
        <w:rPr>
          <w:rFonts w:ascii="Sylfaen" w:hAnsi="Sylfaen"/>
          <w:lang w:val="ka-GE"/>
        </w:rPr>
        <w:t xml:space="preserve">მინისტრის სახელზე </w:t>
      </w:r>
      <w:r>
        <w:rPr>
          <w:rFonts w:ascii="Sylfaen" w:hAnsi="Sylfaen"/>
          <w:lang w:val="ka-GE"/>
        </w:rPr>
        <w:t>მომზადდა მოხსენებითი</w:t>
      </w:r>
      <w:r w:rsidR="00ED103C">
        <w:rPr>
          <w:rFonts w:ascii="Sylfaen" w:hAnsi="Sylfaen"/>
          <w:lang w:val="ka-GE"/>
        </w:rPr>
        <w:t xml:space="preserve"> ბარათი, რომელზეც მინისტრის მიერ დადებულ იქნა დადებითი რეზოლუცია.</w:t>
      </w:r>
    </w:p>
    <w:p w:rsidR="00ED103C" w:rsidRPr="009A5083" w:rsidRDefault="00B84BA4" w:rsidP="00E96719">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 xml:space="preserve">ქ-ნი მარინა დარახველიძემ აღნიშნა, რომ </w:t>
      </w:r>
      <w:r w:rsidR="00CC33FC" w:rsidRPr="009A5083">
        <w:rPr>
          <w:rFonts w:ascii="Sylfaen" w:hAnsi="Sylfaen"/>
          <w:highlight w:val="yellow"/>
          <w:lang w:val="ka-GE"/>
        </w:rPr>
        <w:t>იმისათ</w:t>
      </w:r>
      <w:r w:rsidR="00ED103C" w:rsidRPr="009A5083">
        <w:rPr>
          <w:rFonts w:ascii="Sylfaen" w:hAnsi="Sylfaen"/>
          <w:highlight w:val="yellow"/>
          <w:lang w:val="ka-GE"/>
        </w:rPr>
        <w:t xml:space="preserve">ვის რომ </w:t>
      </w:r>
      <w:r w:rsidR="00CC33FC" w:rsidRPr="009A5083">
        <w:rPr>
          <w:rFonts w:ascii="Sylfaen" w:hAnsi="Sylfaen"/>
          <w:highlight w:val="yellow"/>
          <w:lang w:val="ka-GE"/>
        </w:rPr>
        <w:t>ზემოაღ</w:t>
      </w:r>
      <w:r w:rsidR="00ED103C" w:rsidRPr="009A5083">
        <w:rPr>
          <w:rFonts w:ascii="Sylfaen" w:hAnsi="Sylfaen"/>
          <w:highlight w:val="yellow"/>
          <w:lang w:val="ka-GE"/>
        </w:rPr>
        <w:t>ნიშნული კატეგორია კვლავ ჩაერთოს საყოველთაო ჯანდაცვის პროგრამაში, საჭიროა დადგენილების ცვლილება, რომლის მო</w:t>
      </w:r>
      <w:r w:rsidR="004A7006" w:rsidRPr="009A5083">
        <w:rPr>
          <w:rFonts w:ascii="Sylfaen" w:hAnsi="Sylfaen"/>
          <w:highlight w:val="yellow"/>
          <w:lang w:val="ka-GE"/>
        </w:rPr>
        <w:t>მზ</w:t>
      </w:r>
      <w:r w:rsidR="00ED103C" w:rsidRPr="009A5083">
        <w:rPr>
          <w:rFonts w:ascii="Sylfaen" w:hAnsi="Sylfaen"/>
          <w:highlight w:val="yellow"/>
          <w:lang w:val="ka-GE"/>
        </w:rPr>
        <w:t>ადების პროცესში გამოიკვეთა რიგი საკითხები. კერძოდ: სადაზღვევო კომპანიებიდან მიღებული შესაბამისი ხელშეკრულებების ანალიზით ირკვევა, რომ არ არსებობს ე.წ</w:t>
      </w:r>
      <w:r w:rsidRPr="009A5083">
        <w:rPr>
          <w:rFonts w:ascii="Sylfaen" w:hAnsi="Sylfaen"/>
          <w:highlight w:val="yellow"/>
          <w:lang w:val="ka-GE"/>
        </w:rPr>
        <w:t>. „</w:t>
      </w:r>
      <w:r w:rsidR="00ED103C" w:rsidRPr="009A5083">
        <w:rPr>
          <w:rFonts w:ascii="Sylfaen" w:hAnsi="Sylfaen"/>
          <w:highlight w:val="yellow"/>
          <w:lang w:val="ka-GE"/>
        </w:rPr>
        <w:t xml:space="preserve">დაშენებული პაკეტის“ ერთიანი დეფინიცია, ყველა ხელშეკრულებაში </w:t>
      </w:r>
      <w:r w:rsidR="004A7006" w:rsidRPr="009A5083">
        <w:rPr>
          <w:rFonts w:ascii="Sylfaen" w:hAnsi="Sylfaen"/>
          <w:highlight w:val="yellow"/>
          <w:lang w:val="ka-GE"/>
        </w:rPr>
        <w:t>აღნიშ</w:t>
      </w:r>
      <w:r w:rsidR="00ED103C" w:rsidRPr="009A5083">
        <w:rPr>
          <w:rFonts w:ascii="Sylfaen" w:hAnsi="Sylfaen"/>
          <w:highlight w:val="yellow"/>
          <w:lang w:val="ka-GE"/>
        </w:rPr>
        <w:t>ნული პაკეტები მოიხსენიება სხვადასხვა სახელწოდებით. მაგ „დამატებითი პაკეტი</w:t>
      </w:r>
      <w:r w:rsidR="004A7006" w:rsidRPr="009A5083">
        <w:rPr>
          <w:rFonts w:ascii="Sylfaen" w:hAnsi="Sylfaen"/>
          <w:highlight w:val="yellow"/>
          <w:lang w:val="ka-GE"/>
        </w:rPr>
        <w:t>“</w:t>
      </w:r>
      <w:r w:rsidR="00ED103C" w:rsidRPr="009A5083">
        <w:rPr>
          <w:rFonts w:ascii="Sylfaen" w:hAnsi="Sylfaen"/>
          <w:highlight w:val="yellow"/>
          <w:lang w:val="ka-GE"/>
        </w:rPr>
        <w:t xml:space="preserve">, </w:t>
      </w:r>
      <w:r w:rsidR="004A7006" w:rsidRPr="009A5083">
        <w:rPr>
          <w:rFonts w:ascii="Sylfaen" w:hAnsi="Sylfaen"/>
          <w:highlight w:val="yellow"/>
          <w:lang w:val="ka-GE"/>
        </w:rPr>
        <w:t>„</w:t>
      </w:r>
      <w:r w:rsidR="00ED103C" w:rsidRPr="009A5083">
        <w:rPr>
          <w:rFonts w:ascii="Sylfaen" w:hAnsi="Sylfaen"/>
          <w:highlight w:val="yellow"/>
          <w:lang w:val="ka-GE"/>
        </w:rPr>
        <w:t>პოლისი მედი“ და ა.შ.  ამასთან, ზოგ</w:t>
      </w:r>
      <w:r w:rsidR="004A7006" w:rsidRPr="009A5083">
        <w:rPr>
          <w:rFonts w:ascii="Sylfaen" w:hAnsi="Sylfaen"/>
          <w:highlight w:val="yellow"/>
          <w:lang w:val="ka-GE"/>
        </w:rPr>
        <w:t>იე</w:t>
      </w:r>
      <w:r w:rsidR="00ED103C" w:rsidRPr="009A5083">
        <w:rPr>
          <w:rFonts w:ascii="Sylfaen" w:hAnsi="Sylfaen"/>
          <w:highlight w:val="yellow"/>
          <w:lang w:val="ka-GE"/>
        </w:rPr>
        <w:t>რთ ხელშეკრულებაში არ ფიგურირებს ჩანაწერი, რომ ეს პაკეტები ძალაშია, მხოლოდ საყოველთაო ჯანდაცვის სახ. პროგრამასთან ერთად.</w:t>
      </w:r>
    </w:p>
    <w:p w:rsidR="00ED103C" w:rsidRPr="009A5083" w:rsidRDefault="00ED103C" w:rsidP="00E96719">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 xml:space="preserve">ამდენად, მიზანშეწონილია  განისაზღვროს  დეფინიცია, რომელიც იქნება უნიფიცირებული და </w:t>
      </w:r>
      <w:r w:rsidR="00B65CE0" w:rsidRPr="009A5083">
        <w:rPr>
          <w:rFonts w:ascii="Sylfaen" w:hAnsi="Sylfaen"/>
          <w:highlight w:val="yellow"/>
          <w:lang w:val="ka-GE"/>
        </w:rPr>
        <w:t>აისახება ნორმატიულ აქტში.</w:t>
      </w:r>
    </w:p>
    <w:p w:rsidR="003A6F97" w:rsidRPr="001C1608" w:rsidRDefault="00890366" w:rsidP="001C1608">
      <w:pPr>
        <w:ind w:left="360"/>
        <w:jc w:val="both"/>
        <w:rPr>
          <w:rFonts w:ascii="Sylfaen" w:hAnsi="Sylfaen"/>
          <w:b/>
          <w:i/>
          <w:u w:val="single"/>
          <w:lang w:val="ka-GE"/>
        </w:rPr>
      </w:pPr>
      <w:r w:rsidRPr="009A5083">
        <w:rPr>
          <w:rFonts w:ascii="Sylfaen" w:hAnsi="Sylfaen"/>
          <w:b/>
          <w:i/>
          <w:highlight w:val="yellow"/>
          <w:u w:val="single"/>
          <w:lang w:val="ka-GE"/>
        </w:rPr>
        <w:t xml:space="preserve">ჯგუფმა იმსჯელა წარმოდგენილ შემოთავაზებაზე და </w:t>
      </w:r>
      <w:r w:rsidR="003A6F97" w:rsidRPr="009A5083">
        <w:rPr>
          <w:rFonts w:ascii="Sylfaen" w:hAnsi="Sylfaen"/>
          <w:b/>
          <w:i/>
          <w:highlight w:val="yellow"/>
          <w:u w:val="single"/>
          <w:lang w:val="ka-GE"/>
        </w:rPr>
        <w:t>მიღებულ იქნა გადაწყვეტილება</w:t>
      </w:r>
      <w:r w:rsidR="004A7006" w:rsidRPr="009A5083">
        <w:rPr>
          <w:rFonts w:ascii="Sylfaen" w:hAnsi="Sylfaen"/>
          <w:b/>
          <w:i/>
          <w:highlight w:val="yellow"/>
          <w:u w:val="single"/>
          <w:lang w:val="ka-GE"/>
        </w:rPr>
        <w:t xml:space="preserve"> საკითხზე გაგრძელდეს მუშაობა</w:t>
      </w:r>
      <w:r w:rsidR="00756AD8" w:rsidRPr="009A5083">
        <w:rPr>
          <w:rFonts w:ascii="Sylfaen" w:hAnsi="Sylfaen"/>
          <w:b/>
          <w:i/>
          <w:highlight w:val="yellow"/>
          <w:u w:val="single"/>
          <w:lang w:val="ka-GE"/>
        </w:rPr>
        <w:t>.</w:t>
      </w:r>
    </w:p>
    <w:p w:rsidR="00B65CE0" w:rsidRPr="009A5083" w:rsidRDefault="00B65CE0" w:rsidP="00B65CE0">
      <w:pPr>
        <w:pStyle w:val="ListParagraph"/>
        <w:numPr>
          <w:ilvl w:val="0"/>
          <w:numId w:val="29"/>
        </w:numPr>
        <w:spacing w:after="120" w:line="240" w:lineRule="auto"/>
        <w:jc w:val="both"/>
        <w:rPr>
          <w:rFonts w:ascii="Sylfaen" w:eastAsia="Times New Roman" w:hAnsi="Sylfaen" w:cs="Sylfaen"/>
          <w:b/>
          <w:highlight w:val="yellow"/>
          <w:lang w:val="ka-GE" w:eastAsia="ka-GE"/>
        </w:rPr>
      </w:pPr>
      <w:r w:rsidRPr="009A5083">
        <w:rPr>
          <w:rFonts w:ascii="Sylfaen" w:eastAsia="Times New Roman" w:hAnsi="Sylfaen" w:cs="Sylfaen"/>
          <w:b/>
          <w:highlight w:val="yellow"/>
          <w:lang w:val="ka-GE" w:eastAsia="ka-GE"/>
        </w:rPr>
        <w:t>სსიპ შ</w:t>
      </w:r>
      <w:r w:rsidRPr="009A5083">
        <w:rPr>
          <w:rFonts w:ascii="Sylfaen" w:hAnsi="Sylfaen"/>
          <w:b/>
          <w:highlight w:val="yellow"/>
          <w:lang w:val="ka-GE"/>
        </w:rPr>
        <w:t>ემოსავლების სამსახური მოგვმართავს რეკომენდაციით  (N21-11/83053მ 07.06.17), რომ საქართველოს მთავრობის 2013 წლის 21 თებერვლის N36 დადგენილებაში გათვალისწინებულ იქნას მცირე მეწარმეთა დაბეგვრის სხვადასხვა პირობები და შესაბამისად, შეიცვალოს წლიური შემოსავლის განსაზღვრება;</w:t>
      </w:r>
    </w:p>
    <w:p w:rsidR="00B84BA4" w:rsidRDefault="00B84BA4" w:rsidP="00B84BA4">
      <w:pPr>
        <w:pStyle w:val="ListParagraph"/>
        <w:spacing w:after="120" w:line="240" w:lineRule="auto"/>
        <w:jc w:val="both"/>
        <w:rPr>
          <w:rFonts w:ascii="Sylfaen" w:hAnsi="Sylfaen"/>
          <w:lang w:val="ka-GE"/>
        </w:rPr>
      </w:pPr>
    </w:p>
    <w:p w:rsidR="00620447" w:rsidRPr="00620447" w:rsidRDefault="00B84BA4" w:rsidP="00620447">
      <w:pPr>
        <w:spacing w:before="100" w:beforeAutospacing="1" w:after="120" w:line="240" w:lineRule="auto"/>
        <w:ind w:firstLine="720"/>
        <w:jc w:val="both"/>
        <w:rPr>
          <w:rFonts w:ascii="Sylfaen" w:hAnsi="Sylfaen"/>
          <w:lang w:val="ka-GE"/>
        </w:rPr>
      </w:pPr>
      <w:r>
        <w:rPr>
          <w:rFonts w:ascii="Sylfaen" w:hAnsi="Sylfaen"/>
          <w:lang w:val="ka-GE"/>
        </w:rPr>
        <w:t>როგორც წერილშია აღნიშნული</w:t>
      </w:r>
      <w:r w:rsid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მე-80</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პირველი</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რეზიდენტი</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საშემოსავლო</w:t>
      </w:r>
      <w:r w:rsidR="00620447" w:rsidRPr="00620447">
        <w:rPr>
          <w:rFonts w:ascii="Sylfaen" w:hAnsi="Sylfaen"/>
          <w:lang w:val="ka-GE"/>
        </w:rPr>
        <w:t xml:space="preserve"> </w:t>
      </w:r>
      <w:r w:rsidR="00620447" w:rsidRPr="002A47E5">
        <w:rPr>
          <w:rFonts w:ascii="Sylfaen" w:hAnsi="Sylfaen"/>
          <w:lang w:val="ka-GE"/>
        </w:rPr>
        <w:t>გადასახადით</w:t>
      </w:r>
      <w:r w:rsidR="00620447" w:rsidRPr="00620447">
        <w:rPr>
          <w:rFonts w:ascii="Sylfaen" w:hAnsi="Sylfaen"/>
          <w:lang w:val="ka-GE"/>
        </w:rPr>
        <w:t xml:space="preserve"> </w:t>
      </w:r>
      <w:r w:rsidR="00620447" w:rsidRPr="002A47E5">
        <w:rPr>
          <w:rFonts w:ascii="Sylfaen" w:hAnsi="Sylfaen"/>
          <w:lang w:val="ka-GE"/>
        </w:rPr>
        <w:t>დაბეგვრის</w:t>
      </w:r>
      <w:r w:rsidR="00620447" w:rsidRPr="00620447">
        <w:rPr>
          <w:rFonts w:ascii="Sylfaen" w:hAnsi="Sylfaen"/>
          <w:lang w:val="ka-GE"/>
        </w:rPr>
        <w:t xml:space="preserve"> </w:t>
      </w:r>
      <w:r w:rsidR="00620447" w:rsidRPr="002A47E5">
        <w:rPr>
          <w:rFonts w:ascii="Sylfaen" w:hAnsi="Sylfaen"/>
          <w:lang w:val="ka-GE"/>
        </w:rPr>
        <w:t>ობიექტია</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რომელიც</w:t>
      </w:r>
      <w:r w:rsidR="00620447" w:rsidRPr="00620447">
        <w:rPr>
          <w:rFonts w:ascii="Sylfaen" w:hAnsi="Sylfaen"/>
          <w:lang w:val="ka-GE"/>
        </w:rPr>
        <w:t xml:space="preserve"> </w:t>
      </w:r>
      <w:r w:rsidR="00620447" w:rsidRPr="002A47E5">
        <w:rPr>
          <w:rFonts w:ascii="Sylfaen" w:hAnsi="Sylfaen"/>
          <w:lang w:val="ka-GE"/>
        </w:rPr>
        <w:t>განისაზღვრება,</w:t>
      </w:r>
      <w:r w:rsidR="00620447" w:rsidRPr="00620447">
        <w:rPr>
          <w:rFonts w:ascii="Sylfaen" w:hAnsi="Sylfaen"/>
          <w:lang w:val="ka-GE"/>
        </w:rPr>
        <w:t xml:space="preserve"> </w:t>
      </w:r>
      <w:r w:rsidR="00620447" w:rsidRPr="002A47E5">
        <w:rPr>
          <w:rFonts w:ascii="Sylfaen" w:hAnsi="Sylfaen"/>
          <w:lang w:val="ka-GE"/>
        </w:rPr>
        <w:t>როგორც</w:t>
      </w:r>
      <w:r w:rsidR="00620447" w:rsidRPr="00620447">
        <w:rPr>
          <w:rFonts w:ascii="Sylfaen" w:hAnsi="Sylfaen"/>
          <w:lang w:val="ka-GE"/>
        </w:rPr>
        <w:t xml:space="preserve"> </w:t>
      </w:r>
      <w:r w:rsidR="00620447" w:rsidRPr="002A47E5">
        <w:rPr>
          <w:rFonts w:ascii="Sylfaen" w:hAnsi="Sylfaen"/>
          <w:lang w:val="ka-GE"/>
        </w:rPr>
        <w:t>სხვაობა</w:t>
      </w:r>
      <w:r w:rsidR="00620447" w:rsidRPr="00620447">
        <w:rPr>
          <w:rFonts w:ascii="Sylfaen" w:hAnsi="Sylfaen"/>
          <w:lang w:val="ka-GE"/>
        </w:rPr>
        <w:t xml:space="preserve"> </w:t>
      </w:r>
      <w:r w:rsidR="00620447" w:rsidRPr="002A47E5">
        <w:rPr>
          <w:rFonts w:ascii="Sylfaen" w:hAnsi="Sylfaen"/>
          <w:lang w:val="ka-GE"/>
        </w:rPr>
        <w:t>კალენდარული</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w:t>
      </w:r>
      <w:r w:rsidR="00620447" w:rsidRPr="00620447">
        <w:rPr>
          <w:rFonts w:ascii="Sylfaen" w:hAnsi="Sylfaen"/>
          <w:lang w:val="ka-GE"/>
        </w:rPr>
        <w:t xml:space="preserve"> </w:t>
      </w:r>
      <w:r w:rsidR="00620447" w:rsidRPr="002A47E5">
        <w:rPr>
          <w:rFonts w:ascii="Sylfaen" w:hAnsi="Sylfaen"/>
          <w:lang w:val="ka-GE"/>
        </w:rPr>
        <w:t>ერთობლივ</w:t>
      </w:r>
      <w:r w:rsidR="00620447" w:rsidRPr="00620447">
        <w:rPr>
          <w:rFonts w:ascii="Sylfaen" w:hAnsi="Sylfaen"/>
          <w:lang w:val="ka-GE"/>
        </w:rPr>
        <w:t xml:space="preserve"> </w:t>
      </w:r>
      <w:r w:rsidR="00620447" w:rsidRPr="002A47E5">
        <w:rPr>
          <w:rFonts w:ascii="Sylfaen" w:hAnsi="Sylfaen"/>
          <w:lang w:val="ka-GE"/>
        </w:rPr>
        <w:t>შემოსავალსა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პერიოდისათვის</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კოდექსით</w:t>
      </w:r>
      <w:r w:rsidR="00620447" w:rsidRPr="00620447">
        <w:rPr>
          <w:rFonts w:ascii="Sylfaen" w:hAnsi="Sylfaen"/>
          <w:lang w:val="ka-GE"/>
        </w:rPr>
        <w:t xml:space="preserve"> </w:t>
      </w:r>
      <w:r w:rsidR="00620447" w:rsidRPr="002A47E5">
        <w:rPr>
          <w:rFonts w:ascii="Sylfaen" w:hAnsi="Sylfaen"/>
          <w:lang w:val="ka-GE"/>
        </w:rPr>
        <w:t>გათვალისწინებული</w:t>
      </w:r>
      <w:r w:rsidR="00620447" w:rsidRPr="00620447">
        <w:rPr>
          <w:rFonts w:ascii="Sylfaen" w:hAnsi="Sylfaen"/>
          <w:lang w:val="ka-GE"/>
        </w:rPr>
        <w:t xml:space="preserve"> </w:t>
      </w:r>
      <w:r w:rsidR="00620447" w:rsidRPr="002A47E5">
        <w:rPr>
          <w:rFonts w:ascii="Sylfaen" w:hAnsi="Sylfaen"/>
          <w:lang w:val="ka-GE"/>
        </w:rPr>
        <w:t>გამოქვითვების</w:t>
      </w:r>
      <w:r w:rsidR="00620447" w:rsidRPr="00620447">
        <w:rPr>
          <w:rFonts w:ascii="Sylfaen" w:hAnsi="Sylfaen"/>
          <w:lang w:val="ka-GE"/>
        </w:rPr>
        <w:t xml:space="preserve"> </w:t>
      </w:r>
      <w:r w:rsidR="00620447" w:rsidRPr="002A47E5">
        <w:rPr>
          <w:rFonts w:ascii="Sylfaen" w:hAnsi="Sylfaen"/>
          <w:lang w:val="ka-GE"/>
        </w:rPr>
        <w:t>თანხებს</w:t>
      </w:r>
      <w:r w:rsidR="00620447" w:rsidRPr="00620447">
        <w:rPr>
          <w:rFonts w:ascii="Sylfaen" w:hAnsi="Sylfaen"/>
          <w:lang w:val="ka-GE"/>
        </w:rPr>
        <w:t xml:space="preserve"> </w:t>
      </w:r>
      <w:r w:rsidR="00620447" w:rsidRPr="002A47E5">
        <w:rPr>
          <w:rFonts w:ascii="Sylfaen" w:hAnsi="Sylfaen"/>
          <w:lang w:val="ka-GE"/>
        </w:rPr>
        <w:t>შორის.</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90-ე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მე-3</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შედგება</w:t>
      </w:r>
      <w:r w:rsidR="00620447" w:rsidRPr="00620447">
        <w:rPr>
          <w:rFonts w:ascii="Sylfaen" w:hAnsi="Sylfaen"/>
          <w:lang w:val="ka-GE"/>
        </w:rPr>
        <w:t xml:space="preserve"> </w:t>
      </w:r>
      <w:r w:rsidR="00620447" w:rsidRPr="002A47E5">
        <w:rPr>
          <w:rFonts w:ascii="Sylfaen" w:hAnsi="Sylfaen"/>
          <w:lang w:val="ka-GE"/>
        </w:rPr>
        <w:t>საქართველოში</w:t>
      </w:r>
      <w:r w:rsidR="00620447" w:rsidRPr="00620447">
        <w:rPr>
          <w:rFonts w:ascii="Sylfaen" w:hAnsi="Sylfaen"/>
          <w:lang w:val="ka-GE"/>
        </w:rPr>
        <w:t xml:space="preserve"> </w:t>
      </w:r>
      <w:r w:rsidR="00620447" w:rsidRPr="002A47E5">
        <w:rPr>
          <w:rFonts w:ascii="Sylfaen" w:hAnsi="Sylfaen"/>
          <w:lang w:val="ka-GE"/>
        </w:rPr>
        <w:t>არსებული</w:t>
      </w:r>
      <w:r w:rsidR="00620447" w:rsidRPr="00620447">
        <w:rPr>
          <w:rFonts w:ascii="Sylfaen" w:hAnsi="Sylfaen"/>
          <w:lang w:val="ka-GE"/>
        </w:rPr>
        <w:t xml:space="preserve"> </w:t>
      </w:r>
      <w:r w:rsidR="00620447" w:rsidRPr="002A47E5">
        <w:rPr>
          <w:rFonts w:ascii="Sylfaen" w:hAnsi="Sylfaen"/>
          <w:lang w:val="ka-GE"/>
        </w:rPr>
        <w:t>წყაროდან</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შემოსავლებისაგან,</w:t>
      </w:r>
      <w:r w:rsidR="00620447" w:rsidRPr="00620447">
        <w:rPr>
          <w:rFonts w:ascii="Sylfaen" w:hAnsi="Sylfaen"/>
          <w:lang w:val="ka-GE"/>
        </w:rPr>
        <w:t xml:space="preserve"> </w:t>
      </w:r>
      <w:r w:rsidR="00620447" w:rsidRPr="002A47E5">
        <w:rPr>
          <w:rFonts w:ascii="Sylfaen" w:hAnsi="Sylfaen"/>
          <w:lang w:val="ka-GE"/>
        </w:rPr>
        <w:t>გარდა</w:t>
      </w:r>
      <w:r w:rsidR="00620447" w:rsidRPr="00620447">
        <w:rPr>
          <w:rFonts w:ascii="Sylfaen" w:hAnsi="Sylfaen"/>
          <w:lang w:val="ka-GE"/>
        </w:rPr>
        <w:t xml:space="preserve"> </w:t>
      </w:r>
      <w:r w:rsidR="00620447" w:rsidRPr="002A47E5">
        <w:rPr>
          <w:rFonts w:ascii="Sylfaen" w:hAnsi="Sylfaen"/>
          <w:lang w:val="ka-GE"/>
        </w:rPr>
        <w:t>ხელფასის</w:t>
      </w:r>
      <w:r w:rsidR="00620447" w:rsidRPr="00620447">
        <w:rPr>
          <w:rFonts w:ascii="Sylfaen" w:hAnsi="Sylfaen"/>
          <w:lang w:val="ka-GE"/>
        </w:rPr>
        <w:t xml:space="preserve"> </w:t>
      </w:r>
      <w:r w:rsidR="00620447" w:rsidRPr="002A47E5">
        <w:rPr>
          <w:rFonts w:ascii="Sylfaen" w:hAnsi="Sylfaen"/>
          <w:lang w:val="ka-GE"/>
        </w:rPr>
        <w:t>სახით</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შემოსავლებისა.</w:t>
      </w:r>
      <w:r w:rsidR="00620447" w:rsidRPr="00620447">
        <w:rPr>
          <w:rFonts w:ascii="Sylfaen" w:hAnsi="Sylfaen"/>
          <w:lang w:val="ka-GE"/>
        </w:rPr>
        <w:t xml:space="preserve"> </w:t>
      </w:r>
      <w:r w:rsidR="00620447" w:rsidRPr="002A47E5">
        <w:rPr>
          <w:rFonts w:ascii="Sylfaen" w:hAnsi="Sylfaen"/>
          <w:lang w:val="ka-GE"/>
        </w:rPr>
        <w:t>ზემოაღნიშნული</w:t>
      </w:r>
      <w:r w:rsidR="00620447" w:rsidRPr="00620447">
        <w:rPr>
          <w:rFonts w:ascii="Sylfaen" w:hAnsi="Sylfaen"/>
          <w:lang w:val="ka-GE"/>
        </w:rPr>
        <w:t xml:space="preserve"> </w:t>
      </w:r>
      <w:r w:rsidR="00620447" w:rsidRPr="002A47E5">
        <w:rPr>
          <w:rFonts w:ascii="Sylfaen" w:hAnsi="Sylfaen"/>
          <w:lang w:val="ka-GE"/>
        </w:rPr>
        <w:lastRenderedPageBreak/>
        <w:t>ნორმებიდან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არმქონე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80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გამოსაქვითი</w:t>
      </w:r>
      <w:r w:rsidR="00620447" w:rsidRPr="00620447">
        <w:rPr>
          <w:rFonts w:ascii="Sylfaen" w:hAnsi="Sylfaen"/>
          <w:lang w:val="ka-GE"/>
        </w:rPr>
        <w:t xml:space="preserve"> </w:t>
      </w:r>
      <w:r w:rsidR="00620447" w:rsidRPr="002A47E5">
        <w:rPr>
          <w:rFonts w:ascii="Sylfaen" w:hAnsi="Sylfaen"/>
          <w:lang w:val="ka-GE"/>
        </w:rPr>
        <w:t>ხარჯი</w:t>
      </w:r>
      <w:r w:rsidR="00620447" w:rsidRPr="00620447">
        <w:rPr>
          <w:rFonts w:ascii="Sylfaen" w:hAnsi="Sylfaen"/>
          <w:lang w:val="ka-GE"/>
        </w:rPr>
        <w:t xml:space="preserve"> </w:t>
      </w:r>
      <w:r w:rsidR="00620447" w:rsidRPr="002A47E5">
        <w:rPr>
          <w:rFonts w:ascii="Sylfaen" w:hAnsi="Sylfaen"/>
          <w:lang w:val="ka-GE"/>
        </w:rPr>
        <w:t xml:space="preserve">- </w:t>
      </w:r>
      <w:r w:rsidR="00620447" w:rsidRPr="00620447">
        <w:rPr>
          <w:rFonts w:ascii="Sylfaen" w:hAnsi="Sylfaen"/>
          <w:lang w:val="ka-GE"/>
        </w:rPr>
        <w:t xml:space="preserve"> </w:t>
      </w:r>
      <w:r w:rsidR="00620447" w:rsidRPr="002A47E5">
        <w:rPr>
          <w:rFonts w:ascii="Sylfaen" w:hAnsi="Sylfaen"/>
          <w:lang w:val="ka-GE"/>
        </w:rPr>
        <w:t>50 000</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ასეთი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 xml:space="preserve">(30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w:t>
      </w:r>
      <w:r w:rsidR="00620447" w:rsidRPr="00620447">
        <w:rPr>
          <w:rFonts w:ascii="Sylfaen" w:hAnsi="Sylfaen"/>
          <w:lang w:val="ka-GE"/>
        </w:rPr>
        <w:t xml:space="preserve"> </w:t>
      </w:r>
      <w:r w:rsidR="00620447" w:rsidRPr="002A47E5">
        <w:rPr>
          <w:rFonts w:ascii="Sylfaen" w:hAnsi="Sylfaen"/>
          <w:lang w:val="ka-GE"/>
        </w:rPr>
        <w:t>ნაკლებია</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ლარზე,</w:t>
      </w:r>
      <w:r w:rsidR="00620447" w:rsidRPr="00620447">
        <w:rPr>
          <w:rFonts w:ascii="Sylfaen" w:hAnsi="Sylfaen"/>
          <w:lang w:val="ka-GE"/>
        </w:rPr>
        <w:t xml:space="preserve"> </w:t>
      </w:r>
      <w:r w:rsidR="00620447" w:rsidRPr="002A47E5">
        <w:rPr>
          <w:rFonts w:ascii="Sylfaen" w:hAnsi="Sylfaen"/>
          <w:lang w:val="ka-GE"/>
        </w:rPr>
        <w:t>რაც</w:t>
      </w:r>
      <w:r w:rsidR="00620447" w:rsidRPr="00620447">
        <w:rPr>
          <w:rFonts w:ascii="Sylfaen" w:hAnsi="Sylfaen"/>
          <w:lang w:val="ka-GE"/>
        </w:rPr>
        <w:t xml:space="preserve"> </w:t>
      </w:r>
      <w:r w:rsidR="00620447" w:rsidRPr="002A47E5">
        <w:rPr>
          <w:rFonts w:ascii="Sylfaen" w:hAnsi="Sylfaen"/>
          <w:lang w:val="ka-GE"/>
        </w:rPr>
        <w:t>მას</w:t>
      </w:r>
      <w:r w:rsidR="00620447" w:rsidRPr="00620447">
        <w:rPr>
          <w:rFonts w:ascii="Sylfaen" w:hAnsi="Sylfaen"/>
          <w:lang w:val="ka-GE"/>
        </w:rPr>
        <w:t xml:space="preserve"> </w:t>
      </w:r>
      <w:r w:rsidR="00620447" w:rsidRPr="002A47E5">
        <w:rPr>
          <w:rFonts w:ascii="Sylfaen" w:hAnsi="Sylfaen"/>
          <w:lang w:val="ka-GE"/>
        </w:rPr>
        <w:t>აძლევს</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უფლებას.</w:t>
      </w:r>
      <w:r w:rsidR="00620447" w:rsidRPr="00620447">
        <w:rPr>
          <w:rFonts w:ascii="Sylfaen" w:hAnsi="Sylfaen"/>
          <w:lang w:val="ka-GE"/>
        </w:rPr>
        <w:t xml:space="preserve"> </w:t>
      </w:r>
      <w:r w:rsidR="00620447" w:rsidRPr="002A47E5">
        <w:rPr>
          <w:rFonts w:ascii="Sylfaen" w:hAnsi="Sylfaen"/>
          <w:lang w:val="ka-GE"/>
        </w:rPr>
        <w:t>მაგრამ</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მიუხედავად</w:t>
      </w:r>
      <w:r w:rsidR="00620447" w:rsidRPr="00620447">
        <w:rPr>
          <w:rFonts w:ascii="Sylfaen" w:hAnsi="Sylfaen"/>
          <w:lang w:val="ka-GE"/>
        </w:rPr>
        <w:t xml:space="preserve"> </w:t>
      </w:r>
      <w:r w:rsidR="00620447" w:rsidRPr="002A47E5">
        <w:rPr>
          <w:rFonts w:ascii="Sylfaen" w:hAnsi="Sylfaen"/>
          <w:lang w:val="ka-GE"/>
        </w:rPr>
        <w:t>ხარჯებისა,</w:t>
      </w:r>
      <w:r w:rsidR="00620447" w:rsidRPr="00620447">
        <w:rPr>
          <w:rFonts w:ascii="Sylfaen" w:hAnsi="Sylfaen"/>
          <w:lang w:val="ka-GE"/>
        </w:rPr>
        <w:t xml:space="preserve"> </w:t>
      </w:r>
      <w:r w:rsidR="00620447" w:rsidRPr="002A47E5">
        <w:rPr>
          <w:rFonts w:ascii="Sylfaen" w:hAnsi="Sylfaen"/>
          <w:lang w:val="ka-GE"/>
        </w:rPr>
        <w:t>მისი</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მაინც</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შესაბამისად,</w:t>
      </w:r>
      <w:r w:rsidR="00620447" w:rsidRPr="00620447">
        <w:rPr>
          <w:rFonts w:ascii="Sylfaen" w:hAnsi="Sylfaen"/>
          <w:lang w:val="ka-GE"/>
        </w:rPr>
        <w:t xml:space="preserve"> </w:t>
      </w:r>
      <w:r w:rsidR="00620447" w:rsidRPr="002A47E5">
        <w:rPr>
          <w:rFonts w:ascii="Sylfaen" w:hAnsi="Sylfaen"/>
          <w:lang w:val="ka-GE"/>
        </w:rPr>
        <w:t>ეზღუდება</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w:t>
      </w:r>
      <w:r w:rsidR="00620447" w:rsidRPr="00620447">
        <w:rPr>
          <w:rFonts w:ascii="Sylfaen" w:hAnsi="Sylfaen"/>
          <w:lang w:val="ka-GE"/>
        </w:rPr>
        <w:t xml:space="preserve"> </w:t>
      </w:r>
      <w:r w:rsidR="00620447" w:rsidRPr="002A47E5">
        <w:rPr>
          <w:rFonts w:ascii="Sylfaen" w:hAnsi="Sylfaen"/>
          <w:lang w:val="ka-GE"/>
        </w:rPr>
        <w:t>ამდენად,</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სარგებლობისას,</w:t>
      </w:r>
      <w:r w:rsidR="00620447" w:rsidRPr="00620447">
        <w:rPr>
          <w:rFonts w:ascii="Sylfaen" w:hAnsi="Sylfaen"/>
          <w:lang w:val="ka-GE"/>
        </w:rPr>
        <w:t xml:space="preserve"> </w:t>
      </w:r>
      <w:r w:rsidR="00620447" w:rsidRPr="002A47E5">
        <w:rPr>
          <w:rFonts w:ascii="Sylfaen" w:hAnsi="Sylfaen"/>
          <w:lang w:val="ka-GE"/>
        </w:rPr>
        <w:t>გარკვეული</w:t>
      </w:r>
      <w:r w:rsidR="00620447" w:rsidRPr="00620447">
        <w:rPr>
          <w:rFonts w:ascii="Sylfaen" w:hAnsi="Sylfaen"/>
          <w:lang w:val="ka-GE"/>
        </w:rPr>
        <w:t xml:space="preserve"> </w:t>
      </w:r>
      <w:r w:rsidR="00620447" w:rsidRPr="002A47E5">
        <w:rPr>
          <w:rFonts w:ascii="Sylfaen" w:hAnsi="Sylfaen"/>
          <w:lang w:val="ka-GE"/>
        </w:rPr>
        <w:t>პირები</w:t>
      </w:r>
      <w:r w:rsidR="00620447" w:rsidRPr="00620447">
        <w:rPr>
          <w:rFonts w:ascii="Sylfaen" w:hAnsi="Sylfaen"/>
          <w:lang w:val="ka-GE"/>
        </w:rPr>
        <w:t xml:space="preserve"> </w:t>
      </w:r>
      <w:r w:rsidR="00620447" w:rsidRPr="002A47E5">
        <w:rPr>
          <w:rFonts w:ascii="Sylfaen" w:hAnsi="Sylfaen"/>
          <w:lang w:val="ka-GE"/>
        </w:rPr>
        <w:t>შესაძლებელია</w:t>
      </w:r>
      <w:r w:rsidR="00620447" w:rsidRPr="00620447">
        <w:rPr>
          <w:rFonts w:ascii="Sylfaen" w:hAnsi="Sylfaen"/>
          <w:lang w:val="ka-GE"/>
        </w:rPr>
        <w:t xml:space="preserve"> </w:t>
      </w:r>
      <w:r w:rsidR="00620447" w:rsidRPr="002A47E5">
        <w:rPr>
          <w:rFonts w:ascii="Sylfaen" w:hAnsi="Sylfaen"/>
          <w:lang w:val="ka-GE"/>
        </w:rPr>
        <w:t>არათანაბარ</w:t>
      </w:r>
      <w:r w:rsidR="00620447" w:rsidRPr="00620447">
        <w:rPr>
          <w:rFonts w:ascii="Sylfaen" w:hAnsi="Sylfaen"/>
          <w:lang w:val="ka-GE"/>
        </w:rPr>
        <w:t xml:space="preserve"> </w:t>
      </w:r>
      <w:r w:rsidR="00620447" w:rsidRPr="002A47E5">
        <w:rPr>
          <w:rFonts w:ascii="Sylfaen" w:hAnsi="Sylfaen"/>
          <w:lang w:val="ka-GE"/>
        </w:rPr>
        <w:t>პირობებში</w:t>
      </w:r>
      <w:r w:rsidR="00620447" w:rsidRPr="00620447">
        <w:rPr>
          <w:rFonts w:ascii="Sylfaen" w:hAnsi="Sylfaen"/>
          <w:lang w:val="ka-GE"/>
        </w:rPr>
        <w:t xml:space="preserve"> </w:t>
      </w:r>
      <w:r w:rsidR="00620447" w:rsidRPr="002A47E5">
        <w:rPr>
          <w:rFonts w:ascii="Sylfaen" w:hAnsi="Sylfaen"/>
          <w:lang w:val="ka-GE"/>
        </w:rPr>
        <w:t>აღმოჩნდნენ.</w:t>
      </w:r>
      <w:r w:rsidR="00620447" w:rsidRPr="00620447">
        <w:rPr>
          <w:rFonts w:ascii="Sylfaen" w:hAnsi="Sylfaen"/>
          <w:lang w:val="ka-GE"/>
        </w:rPr>
        <w:t xml:space="preserve"> </w:t>
      </w:r>
      <w:r w:rsidR="00620447" w:rsidRPr="002A47E5">
        <w:rPr>
          <w:rFonts w:ascii="Sylfaen" w:hAnsi="Sylfaen"/>
          <w:lang w:val="ka-GE"/>
        </w:rPr>
        <w:t>აქვე</w:t>
      </w:r>
      <w:r w:rsidR="00620447" w:rsidRPr="00620447">
        <w:rPr>
          <w:rFonts w:ascii="Sylfaen" w:hAnsi="Sylfaen"/>
          <w:lang w:val="ka-GE"/>
        </w:rPr>
        <w:t xml:space="preserve"> </w:t>
      </w:r>
      <w:r w:rsidR="00620447" w:rsidRPr="002A47E5">
        <w:rPr>
          <w:rFonts w:ascii="Sylfaen" w:hAnsi="Sylfaen"/>
          <w:lang w:val="ka-GE"/>
        </w:rPr>
        <w:t>გასათვალისწინებელია,</w:t>
      </w:r>
      <w:r w:rsidR="00620447" w:rsidRPr="00620447">
        <w:rPr>
          <w:rFonts w:ascii="Sylfaen" w:hAnsi="Sylfaen"/>
          <w:lang w:val="ka-GE"/>
        </w:rPr>
        <w:t xml:space="preserve"> </w:t>
      </w:r>
      <w:r w:rsidR="00620447" w:rsidRPr="002A47E5">
        <w:rPr>
          <w:rFonts w:ascii="Sylfaen" w:hAnsi="Sylfaen"/>
          <w:lang w:val="ka-GE"/>
        </w:rPr>
        <w:t>რომ</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202-ე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მე-6</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,,დ“</w:t>
      </w:r>
      <w:r w:rsidR="00620447" w:rsidRPr="00620447">
        <w:rPr>
          <w:rFonts w:ascii="Sylfaen" w:hAnsi="Sylfaen"/>
          <w:lang w:val="ka-GE"/>
        </w:rPr>
        <w:t xml:space="preserve"> </w:t>
      </w:r>
      <w:r w:rsidR="00620447" w:rsidRPr="002A47E5">
        <w:rPr>
          <w:rFonts w:ascii="Sylfaen" w:hAnsi="Sylfaen"/>
          <w:lang w:val="ka-GE"/>
        </w:rPr>
        <w:t>ქვეპუნქტიდან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ოჯახის</w:t>
      </w:r>
      <w:r w:rsidR="00620447" w:rsidRPr="00620447">
        <w:rPr>
          <w:rFonts w:ascii="Sylfaen" w:hAnsi="Sylfaen"/>
          <w:lang w:val="ka-GE"/>
        </w:rPr>
        <w:t xml:space="preserve"> </w:t>
      </w:r>
      <w:r w:rsidR="00620447" w:rsidRPr="002A47E5">
        <w:rPr>
          <w:rFonts w:ascii="Sylfaen" w:hAnsi="Sylfaen"/>
          <w:lang w:val="ka-GE"/>
        </w:rPr>
        <w:t>მიერ</w:t>
      </w:r>
      <w:r w:rsidR="00620447" w:rsidRPr="00620447">
        <w:rPr>
          <w:rFonts w:ascii="Sylfaen" w:hAnsi="Sylfaen"/>
          <w:lang w:val="ka-GE"/>
        </w:rPr>
        <w:t xml:space="preserve"> </w:t>
      </w:r>
      <w:r w:rsidR="00620447" w:rsidRPr="002A47E5">
        <w:rPr>
          <w:rFonts w:ascii="Sylfaen" w:hAnsi="Sylfaen"/>
          <w:lang w:val="ka-GE"/>
        </w:rPr>
        <w:t>საგადასახადო</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000-ლარიანი</w:t>
      </w:r>
      <w:r w:rsidR="00620447" w:rsidRPr="00620447">
        <w:rPr>
          <w:rFonts w:ascii="Sylfaen" w:hAnsi="Sylfaen"/>
          <w:lang w:val="ka-GE"/>
        </w:rPr>
        <w:t xml:space="preserve"> </w:t>
      </w:r>
      <w:r w:rsidR="00620447" w:rsidRPr="002A47E5">
        <w:rPr>
          <w:rFonts w:ascii="Sylfaen" w:hAnsi="Sylfaen"/>
          <w:lang w:val="ka-GE"/>
        </w:rPr>
        <w:t>ზღვარის</w:t>
      </w:r>
      <w:r w:rsidR="00620447" w:rsidRPr="00620447">
        <w:rPr>
          <w:rFonts w:ascii="Sylfaen" w:hAnsi="Sylfaen"/>
          <w:lang w:val="ka-GE"/>
        </w:rPr>
        <w:t xml:space="preserve"> </w:t>
      </w:r>
      <w:r w:rsidR="00620447" w:rsidRPr="002A47E5">
        <w:rPr>
          <w:rFonts w:ascii="Sylfaen" w:hAnsi="Sylfaen"/>
          <w:lang w:val="ka-GE"/>
        </w:rPr>
        <w:t>გაანგარიშებისას,</w:t>
      </w:r>
      <w:r w:rsidR="00620447" w:rsidRPr="00620447">
        <w:rPr>
          <w:rFonts w:ascii="Sylfaen" w:hAnsi="Sylfaen"/>
          <w:lang w:val="ka-GE"/>
        </w:rPr>
        <w:t xml:space="preserve"> </w:t>
      </w:r>
      <w:r w:rsidR="00620447" w:rsidRPr="002A47E5">
        <w:rPr>
          <w:rFonts w:ascii="Sylfaen" w:hAnsi="Sylfaen"/>
          <w:lang w:val="ka-GE"/>
        </w:rPr>
        <w:t>მხედველობაში</w:t>
      </w:r>
      <w:r w:rsidR="00620447" w:rsidRPr="00620447">
        <w:rPr>
          <w:rFonts w:ascii="Sylfaen" w:hAnsi="Sylfaen"/>
          <w:lang w:val="ka-GE"/>
        </w:rPr>
        <w:t xml:space="preserve"> </w:t>
      </w:r>
      <w:r w:rsidR="00620447" w:rsidRPr="002A47E5">
        <w:rPr>
          <w:rFonts w:ascii="Sylfaen" w:hAnsi="Sylfaen"/>
          <w:lang w:val="ka-GE"/>
        </w:rPr>
        <w:t>მიიღება:</w:t>
      </w:r>
      <w:r w:rsidR="00620447"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ა)</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დაბეგვრას</w:t>
      </w:r>
      <w:r w:rsidRPr="00620447">
        <w:rPr>
          <w:rFonts w:ascii="Sylfaen" w:hAnsi="Sylfaen"/>
          <w:lang w:val="ka-GE"/>
        </w:rPr>
        <w:t xml:space="preserve"> </w:t>
      </w:r>
      <w:r w:rsidRPr="002A47E5">
        <w:rPr>
          <w:rFonts w:ascii="Sylfaen" w:hAnsi="Sylfaen"/>
          <w:lang w:val="ka-GE"/>
        </w:rPr>
        <w:t>დაქვემდებარებული</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შემოსავლის</w:t>
      </w:r>
      <w:r w:rsidRPr="00620447">
        <w:rPr>
          <w:rFonts w:ascii="Sylfaen" w:hAnsi="Sylfaen"/>
          <w:lang w:val="ka-GE"/>
        </w:rPr>
        <w:t xml:space="preserve"> </w:t>
      </w:r>
      <w:r w:rsidRPr="002A47E5">
        <w:rPr>
          <w:rFonts w:ascii="Sylfaen" w:hAnsi="Sylfaen"/>
          <w:lang w:val="ka-GE"/>
        </w:rPr>
        <w:t xml:space="preserve">25 </w:t>
      </w:r>
      <w:r w:rsidRPr="00620447">
        <w:rPr>
          <w:rFonts w:ascii="Sylfaen" w:hAnsi="Sylfaen"/>
          <w:lang w:val="ka-GE"/>
        </w:rPr>
        <w:t xml:space="preserve"> </w:t>
      </w:r>
      <w:r w:rsidRPr="002A47E5">
        <w:rPr>
          <w:rFonts w:ascii="Sylfaen" w:hAnsi="Sylfaen"/>
          <w:lang w:val="ka-GE"/>
        </w:rPr>
        <w:t>პროცენტი;</w:t>
      </w:r>
      <w:r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ბ)</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შემოსავალი,</w:t>
      </w:r>
      <w:r w:rsidRPr="00620447">
        <w:rPr>
          <w:rFonts w:ascii="Sylfaen" w:hAnsi="Sylfaen"/>
          <w:lang w:val="ka-GE"/>
        </w:rPr>
        <w:t xml:space="preserve"> </w:t>
      </w:r>
      <w:r w:rsidRPr="002A47E5">
        <w:rPr>
          <w:rFonts w:ascii="Sylfaen" w:hAnsi="Sylfaen"/>
          <w:lang w:val="ka-GE"/>
        </w:rPr>
        <w:t>რომელიც</w:t>
      </w:r>
      <w:r w:rsidRPr="00620447">
        <w:rPr>
          <w:rFonts w:ascii="Sylfaen" w:hAnsi="Sylfaen"/>
          <w:lang w:val="ka-GE"/>
        </w:rPr>
        <w:t xml:space="preserve"> </w:t>
      </w:r>
      <w:r w:rsidRPr="002A47E5">
        <w:rPr>
          <w:rFonts w:ascii="Sylfaen" w:hAnsi="Sylfaen"/>
          <w:lang w:val="ka-GE"/>
        </w:rPr>
        <w:t>არ</w:t>
      </w:r>
      <w:r w:rsidRPr="00620447">
        <w:rPr>
          <w:rFonts w:ascii="Sylfaen" w:hAnsi="Sylfaen"/>
          <w:lang w:val="ka-GE"/>
        </w:rPr>
        <w:t xml:space="preserve"> </w:t>
      </w:r>
      <w:r w:rsidRPr="002A47E5">
        <w:rPr>
          <w:rFonts w:ascii="Sylfaen" w:hAnsi="Sylfaen"/>
          <w:lang w:val="ka-GE"/>
        </w:rPr>
        <w:t>მიეკუთვნება</w:t>
      </w:r>
      <w:r w:rsidRPr="00620447">
        <w:rPr>
          <w:rFonts w:ascii="Sylfaen" w:hAnsi="Sylfaen"/>
          <w:lang w:val="ka-GE"/>
        </w:rPr>
        <w:t xml:space="preserve"> </w:t>
      </w:r>
      <w:r w:rsidRPr="002A47E5">
        <w:rPr>
          <w:rFonts w:ascii="Sylfaen" w:hAnsi="Sylfaen"/>
          <w:lang w:val="ka-GE"/>
        </w:rPr>
        <w:t>მცირე</w:t>
      </w:r>
      <w:r w:rsidRPr="00620447">
        <w:rPr>
          <w:rFonts w:ascii="Sylfaen" w:hAnsi="Sylfaen"/>
          <w:lang w:val="ka-GE"/>
        </w:rPr>
        <w:t xml:space="preserve">  </w:t>
      </w:r>
      <w:r w:rsidRPr="002A47E5">
        <w:rPr>
          <w:rFonts w:ascii="Sylfaen" w:hAnsi="Sylfaen"/>
          <w:lang w:val="ka-GE"/>
        </w:rPr>
        <w:t>ბიზნესის</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დასაბეგრ</w:t>
      </w:r>
      <w:r w:rsidRPr="00620447">
        <w:rPr>
          <w:rFonts w:ascii="Sylfaen" w:hAnsi="Sylfaen"/>
          <w:lang w:val="ka-GE"/>
        </w:rPr>
        <w:t xml:space="preserve"> </w:t>
      </w:r>
      <w:r w:rsidRPr="002A47E5">
        <w:rPr>
          <w:rFonts w:ascii="Sylfaen" w:hAnsi="Sylfaen"/>
          <w:lang w:val="ka-GE"/>
        </w:rPr>
        <w:t>შემოსავალს.</w:t>
      </w:r>
      <w:r w:rsidRPr="00620447">
        <w:rPr>
          <w:rFonts w:ascii="Sylfaen" w:hAnsi="Sylfaen"/>
          <w:lang w:val="ka-GE"/>
        </w:rPr>
        <w:t xml:space="preserve"> </w:t>
      </w:r>
    </w:p>
    <w:p w:rsidR="00620447" w:rsidRPr="009A5083" w:rsidRDefault="00620447" w:rsidP="00620447">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ყოველივე ზემოაღნიშნულდან გამომდინარე, შემოსავლების სამსახურს მიზანშეწონილად მიაჩნია,  განხილულ იქნეს  საკითხი ,,საყოველთაო ჯანდაცვაზე გადასვლის მიზნით გასატარებელ ზოგიერთ ღონისძიებათა შესახებ “  საქართველოს მთავრობის 2013  წლის 21  თებერვლის No36 დადგენილებაში ცვლილების შეტანის შესახებ და ფიზიკური პირის წლიური შემოსავალი განისაზღვროს ზემოაღნიშნული გარემოებების გათვალისწინებით.</w:t>
      </w:r>
    </w:p>
    <w:p w:rsidR="00B84BA4" w:rsidRPr="009A5083" w:rsidRDefault="00B84BA4" w:rsidP="00B84BA4">
      <w:pPr>
        <w:pStyle w:val="ListParagraph"/>
        <w:spacing w:after="120" w:line="240" w:lineRule="auto"/>
        <w:jc w:val="both"/>
        <w:rPr>
          <w:rFonts w:ascii="Sylfaen" w:eastAsia="Times New Roman" w:hAnsi="Sylfaen" w:cs="Sylfaen"/>
          <w:highlight w:val="yellow"/>
          <w:lang w:val="ka-GE" w:eastAsia="ka-GE"/>
        </w:rPr>
      </w:pPr>
    </w:p>
    <w:p w:rsidR="00620447" w:rsidRPr="00175B7C" w:rsidRDefault="000252FE" w:rsidP="000252FE">
      <w:pPr>
        <w:ind w:left="360"/>
        <w:jc w:val="both"/>
        <w:rPr>
          <w:rFonts w:ascii="Sylfaen" w:hAnsi="Sylfaen"/>
          <w:b/>
          <w:i/>
          <w:u w:val="single"/>
          <w:lang w:val="ka-GE"/>
        </w:rPr>
      </w:pPr>
      <w:r w:rsidRPr="009A5083">
        <w:rPr>
          <w:rFonts w:ascii="Sylfaen" w:hAnsi="Sylfaen"/>
          <w:b/>
          <w:i/>
          <w:highlight w:val="yellow"/>
          <w:u w:val="single"/>
          <w:lang w:val="ka-GE"/>
        </w:rPr>
        <w:t>ჯგუფმა იმსჯელა და დაეთანხმა შემოთავაზებულ რეკომენდაციას:</w:t>
      </w:r>
      <w:r w:rsidR="00620447" w:rsidRPr="009A5083">
        <w:rPr>
          <w:rFonts w:ascii="Sylfaen" w:hAnsi="Sylfaen"/>
          <w:b/>
          <w:i/>
          <w:highlight w:val="yellow"/>
          <w:u w:val="single"/>
          <w:lang w:val="ka-GE"/>
        </w:rPr>
        <w:t xml:space="preserve"> ამასთან, ეკონომიკურ სამსახურს დაევალა განსაზღვროს დადგენილების ცვლილებისთვის სწორი ფ</w:t>
      </w:r>
      <w:r w:rsidR="00175B7C" w:rsidRPr="009A5083">
        <w:rPr>
          <w:rFonts w:ascii="Sylfaen" w:hAnsi="Sylfaen"/>
          <w:b/>
          <w:i/>
          <w:highlight w:val="yellow"/>
          <w:u w:val="single"/>
          <w:lang w:val="ka-GE"/>
        </w:rPr>
        <w:t>ო</w:t>
      </w:r>
      <w:r w:rsidR="00620447" w:rsidRPr="009A5083">
        <w:rPr>
          <w:rFonts w:ascii="Sylfaen" w:hAnsi="Sylfaen"/>
          <w:b/>
          <w:i/>
          <w:highlight w:val="yellow"/>
          <w:u w:val="single"/>
          <w:lang w:val="ka-GE"/>
        </w:rPr>
        <w:t>რმულირება.</w:t>
      </w:r>
    </w:p>
    <w:p w:rsidR="005213EF" w:rsidRPr="009A5083" w:rsidRDefault="005213EF" w:rsidP="00B65CE0">
      <w:pPr>
        <w:pStyle w:val="ListParagraph"/>
        <w:numPr>
          <w:ilvl w:val="0"/>
          <w:numId w:val="29"/>
        </w:numPr>
        <w:spacing w:after="120" w:line="240" w:lineRule="auto"/>
        <w:jc w:val="both"/>
        <w:rPr>
          <w:rFonts w:ascii="Sylfaen" w:eastAsia="Times New Roman" w:hAnsi="Sylfaen" w:cs="Sylfaen"/>
          <w:highlight w:val="yellow"/>
          <w:lang w:val="ka-GE" w:eastAsia="ka-GE"/>
        </w:rPr>
      </w:pPr>
      <w:r w:rsidRPr="009A5083">
        <w:rPr>
          <w:rFonts w:ascii="Sylfaen" w:hAnsi="Sylfaen"/>
          <w:highlight w:val="yellow"/>
          <w:lang w:val="ka-GE"/>
        </w:rPr>
        <w:t>„საყოველთაო ჯანმრთელობის დაცვის სახელმწიფო პროგრამაში“ 2017 წლის 1 მაისიდან განხორციელებული ცვლილებების შემდეგ გადაუდებელი იმუნიზაციის მო</w:t>
      </w:r>
      <w:r w:rsidR="004E6F79" w:rsidRPr="009A5083">
        <w:rPr>
          <w:rFonts w:ascii="Sylfaen" w:hAnsi="Sylfaen"/>
          <w:highlight w:val="yellow"/>
          <w:lang w:val="ka-GE"/>
        </w:rPr>
        <w:t>მს</w:t>
      </w:r>
      <w:r w:rsidRPr="009A5083">
        <w:rPr>
          <w:rFonts w:ascii="Sylfaen" w:hAnsi="Sylfaen"/>
          <w:highlight w:val="yellow"/>
          <w:lang w:val="ka-GE"/>
        </w:rPr>
        <w:t xml:space="preserve">ახურების </w:t>
      </w:r>
      <w:r w:rsidR="004E6F79" w:rsidRPr="009A5083">
        <w:rPr>
          <w:rFonts w:ascii="Sylfaen" w:hAnsi="Sylfaen"/>
          <w:highlight w:val="yellow"/>
          <w:lang w:val="ka-GE"/>
        </w:rPr>
        <w:t>ფარგლებშ</w:t>
      </w:r>
      <w:r w:rsidRPr="009A5083">
        <w:rPr>
          <w:rFonts w:ascii="Sylfaen" w:hAnsi="Sylfaen"/>
          <w:highlight w:val="yellow"/>
          <w:lang w:val="ka-GE"/>
        </w:rPr>
        <w:t>ი არსებული პრობლემების განხილვა.</w:t>
      </w:r>
    </w:p>
    <w:p w:rsidR="00625E3C" w:rsidRPr="005213EF" w:rsidRDefault="00B65CE0" w:rsidP="005213EF">
      <w:pPr>
        <w:spacing w:after="120" w:line="240" w:lineRule="auto"/>
        <w:ind w:left="360"/>
        <w:jc w:val="both"/>
        <w:rPr>
          <w:rFonts w:ascii="Sylfaen" w:hAnsi="Sylfaen"/>
          <w:lang w:val="ka-GE"/>
        </w:rPr>
      </w:pPr>
      <w:r w:rsidRPr="009A5083">
        <w:rPr>
          <w:rFonts w:ascii="Sylfaen" w:hAnsi="Sylfaen" w:cs="Sylfaen"/>
          <w:b/>
          <w:highlight w:val="yellow"/>
          <w:lang w:val="ka-GE"/>
        </w:rPr>
        <w:t>სსიპ</w:t>
      </w:r>
      <w:r w:rsidRPr="009A5083">
        <w:rPr>
          <w:rFonts w:ascii="Sylfaen" w:hAnsi="Sylfaen"/>
          <w:b/>
          <w:highlight w:val="yellow"/>
          <w:lang w:val="ka-GE"/>
        </w:rPr>
        <w:t xml:space="preserve"> დაავადებათა კონტროლისა და საზოგადოებრივი ჯანმრთელობის ეროვნული ცენტრის გენერალური დირექტორის ბ-ნი ამირან გამყრელიძის წერილის</w:t>
      </w:r>
      <w:r w:rsidRPr="009A5083">
        <w:rPr>
          <w:rFonts w:ascii="Sylfaen" w:hAnsi="Sylfaen"/>
          <w:highlight w:val="yellow"/>
          <w:lang w:val="ka-GE"/>
        </w:rPr>
        <w:t xml:space="preserve"> (N06/2696 23.06.17) თანახმად, </w:t>
      </w:r>
      <w:r w:rsidR="00625E3C" w:rsidRPr="009A5083">
        <w:rPr>
          <w:rFonts w:ascii="Sylfaen" w:hAnsi="Sylfaen"/>
          <w:highlight w:val="yellow"/>
          <w:lang w:val="ka-GE"/>
        </w:rPr>
        <w:t>ცოფის გავრცელების თვალსაზრისით საქართველოში შექმნილია არასახარბიელო ეპიდსიტუაცია, რომლის შედეგადაც საქართველოს მოწინავე ადგილი უკავია ერთ სულ მოსახლეზე ცოფის საწინააღმდეგო მკურნალობის ჩატარების კუთხით.</w:t>
      </w:r>
      <w:r w:rsidR="00625E3C" w:rsidRPr="005213EF">
        <w:rPr>
          <w:rFonts w:ascii="Sylfaen" w:hAnsi="Sylfaen"/>
          <w:lang w:val="ka-GE"/>
        </w:rPr>
        <w:t xml:space="preserve"> მიუხედავად იმისა, რომ ქვეყანაში მსოფლიოში ყველაზე მეტი ადამიანი (100 ათას მცხოვრებზე) იტარებს პროფილაქტიკურ მკურნალობას ცხოველებთან კონტაქტის შემდეგ (წელიწადში საშუალოდ 55 ათასი) და ამისათვის სახელმწიფოს მიერ იხარჯება მნიშვნელოვანი ფინანსური რესურსები, 2015 წლამდე ყოველწლიურად ფიქსირდებოდა ადამიანებში ცოფით დაავადებისა და ლეტალობის 3-4 შემთხვევა. აღნიშნული პრობლემის წინააღმდეგ სხვადასხვა უწყებებისა და ადგილობრივი თვითმმართველი ერთეულების მიერ ღონისძიებების კოორდინირებულად გასატარებლად, საქართველოს მთავრობის მიერ 2014 </w:t>
      </w:r>
      <w:r w:rsidR="00625E3C" w:rsidRPr="005213EF">
        <w:rPr>
          <w:rFonts w:ascii="Sylfaen" w:hAnsi="Sylfaen"/>
          <w:lang w:val="ka-GE"/>
        </w:rPr>
        <w:lastRenderedPageBreak/>
        <w:t>წლის 14 აპრილს მიღებული იქნა N690 განკარგულება ცოფის წინააღმდეგ 2014-2018 წლებში გასატარებელი ღონისძიებების შესახებ., რომლის პირველი პუნქტის „გ.ა“ ქვეპუნქტით საქართველოს შრომის, ჯანმრთელობისა და სოციალური დაცვის სამინისტროს დაევალა მოსახლეობის ანტირაბიული სამკურნალო საშუალებებითა და სამედიცინო მომსახურებით უზრუნველყოფის გრძელვადიანი სტრატეგიის შემუშავება.</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სახელმწიფო უწყებებისა და ადგილობრივი თვითმმართველი ერთეულების მიერ კომპლექსურად გატარებულმა ღონისძიებებმა თავისი დადებითი შედეგი გამოიღო და ბოლო 3 წელია ქვეყანაში ადამიანებში ცოფით დაავადების არცერთი შემთხვევა არ დაფიქსირებულა. კერძოდ, სოფლის მეურნეობის სამინისტროს მიერ აქტიურად ხორციელდება შინაური ცხოველების ვაქცინაცია, თვითმმართველი ქალაქებისა და მუნიციპალური ერთეულების მიერ შემუშავდა შინაური ცხოველების მოვლისა და შენახვის წესები, უპატრონო/მაწანწალა ცხოველებისთვის მოეწყო ვოლიერები და ა.შ. მიუხედავად მრავალი სირთულისა, ბოლო რამდენიმე წელია საქართველოში არ დაფიქსირებულა ანტირაბიული ვაქცინისა და იმუნოგლობულინის მოწოდებაში წყვეტა და შესაბამისად ყველა მოქალაქე სახელმწიფოს მხრიდან სრულად იყო უზრუნველყოფილი ანტირაბიული სამკურნალო საშუალებებითა და სამედიცინო სერვისებით. აღნიშნულის მიღწევა შესაძლებელი გახდა სახელმწიფოს მხრიდან მზარდი ფინანსური დანახარჯების შედეგად.</w:t>
      </w:r>
    </w:p>
    <w:p w:rsidR="00625E3C" w:rsidRPr="005213EF" w:rsidRDefault="00625E3C" w:rsidP="005213EF">
      <w:pPr>
        <w:spacing w:after="120" w:line="240" w:lineRule="auto"/>
        <w:ind w:left="360"/>
        <w:jc w:val="both"/>
        <w:rPr>
          <w:rFonts w:ascii="Sylfaen" w:hAnsi="Sylfaen"/>
          <w:lang w:val="ka-GE"/>
        </w:rPr>
      </w:pPr>
      <w:r w:rsidRPr="009A5083">
        <w:rPr>
          <w:rFonts w:ascii="Sylfaen" w:hAnsi="Sylfaen"/>
          <w:highlight w:val="yellow"/>
          <w:lang w:val="ka-GE"/>
        </w:rPr>
        <w:t>ამასთან, დაავადებათა კონტროლის ეროვნული ცენტრი მიიჩნევს, რომ ცოფთან ბრძოლის კუთხით მიღწეული დადებითი ტენდენცია შესაძლოა კვლავ საფრთხის წინაშე დადგეს. კერძოდ, საყოველთაო ჯანდაცვის პროგრამაში შეტანილი ცვლილებების შედეგად, დამატებითი ფინანსური ბარიერის (გადაუდებელი ამბულატორიულ სერვისებში - ანტირაბიულ მომსახურებაში თანადაფინანსების შემოღება) შექმნის გამო, ცხოველისგან დაზიანებული მოსახლეობის გარკვეული ნაწილი სრულფასოვნად ვერ იტარებს ვაქცინაციის პირობით/სრულ კურსს (გთხ. იხილოთ გორის საზოგადოებრივი ჯანდაცვის სამსახურის წერილი N62 19.05.2017წ.), რამაც შესაძლოა მიგვიყვანოს ლეტალურ შედეგამდე.</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ყოველივე ზემოაღნიშნულის და მოსალოდნელი შედეგების გათვალისწინებით, ცენტრმა მოგვმართა რეკომენდაციით, გადაიხედოს ანტირაბიული სამედიცინო მომსახურების დაფინანსების საკითხი</w:t>
      </w:r>
      <w:r w:rsidR="005213EF" w:rsidRPr="005213EF">
        <w:rPr>
          <w:rFonts w:ascii="Sylfaen" w:hAnsi="Sylfaen"/>
          <w:lang w:val="ka-GE"/>
        </w:rPr>
        <w:t>.</w:t>
      </w:r>
      <w:r w:rsidRPr="005213EF">
        <w:rPr>
          <w:rFonts w:ascii="Sylfaen" w:hAnsi="Sylfaen"/>
          <w:lang w:val="ka-GE"/>
        </w:rPr>
        <w:t xml:space="preserve"> </w:t>
      </w:r>
    </w:p>
    <w:p w:rsidR="00B65CE0" w:rsidRPr="00625E3C" w:rsidRDefault="00B65CE0" w:rsidP="00B65CE0">
      <w:pPr>
        <w:pStyle w:val="ListParagraph"/>
        <w:jc w:val="both"/>
        <w:rPr>
          <w:rFonts w:ascii="Sylfaen" w:hAnsi="Sylfaen"/>
          <w:b/>
          <w:i/>
          <w:u w:val="single"/>
          <w:lang w:val="ka-GE"/>
        </w:rPr>
      </w:pPr>
    </w:p>
    <w:p w:rsidR="00B65CE0" w:rsidRDefault="00B65CE0" w:rsidP="00B65CE0">
      <w:pPr>
        <w:pStyle w:val="ListParagraph"/>
        <w:jc w:val="both"/>
        <w:rPr>
          <w:rFonts w:ascii="Sylfaen" w:hAnsi="Sylfaen"/>
          <w:b/>
          <w:i/>
          <w:u w:val="single"/>
          <w:lang w:val="ka-GE"/>
        </w:rPr>
      </w:pPr>
      <w:r w:rsidRPr="009A5083">
        <w:rPr>
          <w:rFonts w:ascii="Sylfaen" w:hAnsi="Sylfaen"/>
          <w:b/>
          <w:i/>
          <w:highlight w:val="yellow"/>
          <w:u w:val="single"/>
          <w:lang w:val="ka-GE"/>
        </w:rPr>
        <w:t>ჯგუფმა იმსჯელა და დაეთანხმა შემოთავაზებულ რეკომენდაციას</w:t>
      </w:r>
      <w:r w:rsidR="005213EF" w:rsidRPr="009A5083">
        <w:rPr>
          <w:rFonts w:ascii="Sylfaen" w:hAnsi="Sylfaen"/>
          <w:b/>
          <w:i/>
          <w:highlight w:val="yellow"/>
          <w:u w:val="single"/>
          <w:lang w:val="ka-GE"/>
        </w:rPr>
        <w:t xml:space="preserve">, კერძოდ, </w:t>
      </w:r>
      <w:r w:rsidR="00905632" w:rsidRPr="009A5083">
        <w:rPr>
          <w:rFonts w:ascii="Sylfaen" w:hAnsi="Sylfaen"/>
          <w:b/>
          <w:i/>
          <w:highlight w:val="yellow"/>
          <w:u w:val="single"/>
          <w:lang w:val="ka-GE"/>
        </w:rPr>
        <w:t xml:space="preserve">მიზანშეწონილად ჩათვალა </w:t>
      </w:r>
      <w:r w:rsidR="005213EF" w:rsidRPr="009A5083">
        <w:rPr>
          <w:rFonts w:ascii="Sylfaen" w:hAnsi="Sylfaen"/>
          <w:b/>
          <w:i/>
          <w:highlight w:val="yellow"/>
          <w:u w:val="single"/>
          <w:lang w:val="ka-GE"/>
        </w:rPr>
        <w:t>ბენეფიციართა იმ კატეგორიისთვის, რომელთაც ა.წ. 1 მაისიდან დაუწესდათ თანადაფინანსება, გადაუდებელი იმუნიზაციის მომსახურებაზე დაიშვას გამონაკლისი. ჯანდაცვის დეპარტამე</w:t>
      </w:r>
      <w:r w:rsidR="00756AD8" w:rsidRPr="009A5083">
        <w:rPr>
          <w:rFonts w:ascii="Sylfaen" w:hAnsi="Sylfaen"/>
          <w:b/>
          <w:i/>
          <w:highlight w:val="yellow"/>
          <w:u w:val="single"/>
          <w:lang w:val="ka-GE"/>
        </w:rPr>
        <w:t>ნტ</w:t>
      </w:r>
      <w:r w:rsidR="005213EF" w:rsidRPr="009A5083">
        <w:rPr>
          <w:rFonts w:ascii="Sylfaen" w:hAnsi="Sylfaen"/>
          <w:b/>
          <w:i/>
          <w:highlight w:val="yellow"/>
          <w:u w:val="single"/>
          <w:lang w:val="ka-GE"/>
        </w:rPr>
        <w:t>ს დაევალა ცვლილების პროექტის მო</w:t>
      </w:r>
      <w:r w:rsidR="009A5083" w:rsidRPr="009A5083">
        <w:rPr>
          <w:rFonts w:ascii="Sylfaen" w:hAnsi="Sylfaen"/>
          <w:b/>
          <w:i/>
          <w:highlight w:val="yellow"/>
          <w:u w:val="single"/>
          <w:lang w:val="ka-GE"/>
        </w:rPr>
        <w:t>მ</w:t>
      </w:r>
      <w:r w:rsidR="005213EF" w:rsidRPr="009A5083">
        <w:rPr>
          <w:rFonts w:ascii="Sylfaen" w:hAnsi="Sylfaen"/>
          <w:b/>
          <w:i/>
          <w:highlight w:val="yellow"/>
          <w:u w:val="single"/>
          <w:lang w:val="ka-GE"/>
        </w:rPr>
        <w:t>ზადება</w:t>
      </w:r>
      <w:r w:rsidR="00756AD8" w:rsidRPr="009A5083">
        <w:rPr>
          <w:rFonts w:ascii="Sylfaen" w:hAnsi="Sylfaen"/>
          <w:b/>
          <w:i/>
          <w:highlight w:val="yellow"/>
          <w:u w:val="single"/>
          <w:lang w:val="ka-GE"/>
        </w:rPr>
        <w:t>.</w:t>
      </w:r>
    </w:p>
    <w:p w:rsidR="00B65CE0" w:rsidRPr="00B65CE0" w:rsidRDefault="00B65CE0" w:rsidP="00B65CE0">
      <w:pPr>
        <w:pStyle w:val="ListParagraph"/>
        <w:jc w:val="both"/>
        <w:rPr>
          <w:rFonts w:ascii="Sylfaen" w:hAnsi="Sylfaen"/>
          <w:b/>
          <w:i/>
          <w:u w:val="single"/>
          <w:lang w:val="ka-GE"/>
        </w:rPr>
      </w:pPr>
    </w:p>
    <w:p w:rsidR="000252FE" w:rsidRPr="009A5083" w:rsidRDefault="00B65CE0" w:rsidP="00B65CE0">
      <w:pPr>
        <w:pStyle w:val="ListParagraph"/>
        <w:numPr>
          <w:ilvl w:val="0"/>
          <w:numId w:val="29"/>
        </w:numPr>
        <w:spacing w:after="120" w:line="240" w:lineRule="auto"/>
        <w:jc w:val="both"/>
        <w:rPr>
          <w:rFonts w:ascii="Sylfaen" w:eastAsia="Times New Roman" w:hAnsi="Sylfaen" w:cs="Sylfaen"/>
          <w:highlight w:val="yellow"/>
          <w:lang w:val="ka-GE" w:eastAsia="ka-GE"/>
        </w:rPr>
      </w:pPr>
      <w:r w:rsidRPr="009A5083">
        <w:rPr>
          <w:rFonts w:ascii="Sylfaen" w:hAnsi="Sylfaen"/>
          <w:b/>
          <w:highlight w:val="yellow"/>
          <w:lang w:val="ka-GE"/>
        </w:rPr>
        <w:t>საქართველოს სტომატოლოგთა და ყბა-სახის ქირურგთა ასოციაცია მოგვმართავს</w:t>
      </w:r>
      <w:r w:rsidRPr="009A5083">
        <w:rPr>
          <w:rFonts w:ascii="Sylfaen" w:hAnsi="Sylfaen"/>
          <w:highlight w:val="yellow"/>
          <w:lang w:val="ka-GE"/>
        </w:rPr>
        <w:t xml:space="preserve"> თხოვნით (N63229 19.06.17), საქართველოს მთავრობის 2013 წლის 21 თებერვლის N36 დადგენილების დანართი N1.2-ით დამტკიცებულ  გადაუდებელ მდგომარეობათა (100%-იანი დაფინანსების კოდები) ნუსხას დაემატოს გარკვეული  ნოზოლოგიების და ჩარევების კომბინაციები და, შესაბამისად, განისაზღვროს ახალი ტარიფები. </w:t>
      </w:r>
      <w:r w:rsidRPr="009A5083">
        <w:rPr>
          <w:highlight w:val="yellow"/>
        </w:rPr>
        <w:t>  </w:t>
      </w:r>
    </w:p>
    <w:p w:rsidR="00B65CE0" w:rsidRDefault="00B65CE0" w:rsidP="00B65CE0">
      <w:pPr>
        <w:pStyle w:val="ListParagraph"/>
        <w:jc w:val="both"/>
        <w:rPr>
          <w:rFonts w:ascii="Sylfaen" w:hAnsi="Sylfaen"/>
          <w:b/>
          <w:i/>
          <w:u w:val="single"/>
          <w:lang w:val="ka-GE"/>
        </w:rPr>
      </w:pPr>
    </w:p>
    <w:p w:rsidR="00620447" w:rsidRPr="00620447" w:rsidRDefault="00B65CE0" w:rsidP="00620447">
      <w:pPr>
        <w:ind w:firstLine="720"/>
        <w:jc w:val="both"/>
        <w:rPr>
          <w:rFonts w:ascii="Sylfaen" w:hAnsi="Sylfaen"/>
          <w:b/>
          <w:i/>
          <w:u w:val="single"/>
          <w:lang w:val="ka-GE"/>
        </w:rPr>
      </w:pPr>
      <w:r w:rsidRPr="009A5083">
        <w:rPr>
          <w:rFonts w:ascii="Sylfaen" w:hAnsi="Sylfaen"/>
          <w:b/>
          <w:i/>
          <w:highlight w:val="yellow"/>
          <w:u w:val="single"/>
          <w:lang w:val="ka-GE"/>
        </w:rPr>
        <w:lastRenderedPageBreak/>
        <w:t xml:space="preserve">ჯგუფმა იმსჯელა და </w:t>
      </w:r>
      <w:r w:rsidR="00620447" w:rsidRPr="009A5083">
        <w:rPr>
          <w:rFonts w:ascii="Sylfaen" w:hAnsi="Sylfaen"/>
          <w:b/>
          <w:i/>
          <w:highlight w:val="yellow"/>
          <w:u w:val="single"/>
          <w:lang w:val="ka-GE"/>
        </w:rPr>
        <w:t>მიიღო გადაწყვეტილება, რომ ამ ეტაპზე, არსებული გამოწვევებისა და პრიორიტეტების გათვალისწინებით, თქვენს მიერ წარმოდგენილი ცვლილებები ვერ იქნება გათვალისწინებული.</w:t>
      </w:r>
    </w:p>
    <w:p w:rsidR="00CE68E0" w:rsidRDefault="00CE68E0" w:rsidP="00B65CE0">
      <w:pPr>
        <w:pStyle w:val="ListParagraph"/>
        <w:jc w:val="both"/>
        <w:rPr>
          <w:rFonts w:ascii="Sylfaen" w:hAnsi="Sylfaen"/>
          <w:b/>
          <w:i/>
          <w:u w:val="single"/>
          <w:lang w:val="ka-GE"/>
        </w:rPr>
      </w:pPr>
    </w:p>
    <w:p w:rsidR="00B65CE0" w:rsidRPr="009A5083" w:rsidRDefault="00CE68E0" w:rsidP="00B65CE0">
      <w:pPr>
        <w:pStyle w:val="ListParagraph"/>
        <w:numPr>
          <w:ilvl w:val="0"/>
          <w:numId w:val="29"/>
        </w:numPr>
        <w:spacing w:after="120" w:line="240" w:lineRule="auto"/>
        <w:jc w:val="both"/>
        <w:rPr>
          <w:rFonts w:ascii="Sylfaen" w:eastAsia="Times New Roman" w:hAnsi="Sylfaen" w:cs="Sylfaen"/>
          <w:b/>
          <w:highlight w:val="yellow"/>
          <w:lang w:val="ka-GE" w:eastAsia="ka-GE"/>
        </w:rPr>
      </w:pPr>
      <w:r w:rsidRPr="009A5083">
        <w:rPr>
          <w:rFonts w:ascii="Sylfaen" w:eastAsia="Times New Roman" w:hAnsi="Sylfaen" w:cs="Sylfaen"/>
          <w:b/>
          <w:highlight w:val="yellow"/>
          <w:lang w:val="ka-GE" w:eastAsia="ka-GE"/>
        </w:rPr>
        <w:t>ქრონიკულ კრიტიკულ მდგომარეობაში მყოფი 18 წლამდე ასაკის ბავშვების სამედიცინო მომსახურების დაფინანსების მეთოდოლოგიის განსაზღვრა</w:t>
      </w:r>
      <w:r w:rsidR="00620447" w:rsidRPr="009A5083">
        <w:rPr>
          <w:rFonts w:ascii="Sylfaen" w:eastAsia="Times New Roman" w:hAnsi="Sylfaen" w:cs="Sylfaen"/>
          <w:b/>
          <w:highlight w:val="yellow"/>
          <w:lang w:val="ka-GE" w:eastAsia="ka-GE"/>
        </w:rPr>
        <w:t>.</w:t>
      </w:r>
    </w:p>
    <w:p w:rsidR="00620447" w:rsidRPr="00AE4B04" w:rsidRDefault="00620447" w:rsidP="00AE4B04">
      <w:pPr>
        <w:spacing w:after="120" w:line="240" w:lineRule="auto"/>
        <w:ind w:left="360"/>
        <w:jc w:val="both"/>
        <w:rPr>
          <w:rFonts w:ascii="Sylfaen" w:eastAsia="Times New Roman" w:hAnsi="Sylfaen" w:cs="Sylfaen"/>
          <w:lang w:val="ka-GE" w:eastAsia="ka-GE"/>
        </w:rPr>
      </w:pPr>
      <w:r w:rsidRPr="009A5083">
        <w:rPr>
          <w:rFonts w:ascii="Sylfaen" w:eastAsia="Times New Roman" w:hAnsi="Sylfaen" w:cs="Sylfaen"/>
          <w:highlight w:val="yellow"/>
          <w:lang w:val="ka-GE" w:eastAsia="ka-GE"/>
        </w:rPr>
        <w:t>ბ-მა ზაზა სოფრომაძემ ჯგუფის წევრებს გააცნო პრობლემის არსი. კერძოდ, ქრონიკულ კრიტიკულ მდგოამრეობასი მყოფი 18 წლამდე ასაკის ბავშვების უემტესი ნაწილი თავმოყრილია ბავშვთა ახალ კლინიკაში. როგორც კლინიკის ხელმძღვანელი აღნიშნავს, მას შემდეგ, რაც ინტენსიური მკურნალობა</w:t>
      </w:r>
      <w:r w:rsidR="00AE4B04" w:rsidRPr="009A5083">
        <w:rPr>
          <w:rFonts w:ascii="Sylfaen" w:eastAsia="Times New Roman" w:hAnsi="Sylfaen" w:cs="Sylfaen"/>
          <w:highlight w:val="yellow"/>
          <w:lang w:val="ka-GE" w:eastAsia="ka-GE"/>
        </w:rPr>
        <w:t>/ მოვლის და კრიტკიული მდგოამრეობების მართვის ტარიფებსი სევიდა ცვლილება და 45 დრიანი მკურნალობის შემდეგ ტარიფები გახდა პირველი დღეების ტარიფის 30%, კლინიკა დადგა მნიშვნელოვანი პრობლემების წინაშე.  გარდა იმისა, ფაქტური ხარჯები აღემატება დადგენილ ტარიფს, ჭირს კადრების დაკავება აშნიშნულ განყოფილებაში.</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ამ თ</w:t>
      </w:r>
      <w:r w:rsidR="004A7006">
        <w:rPr>
          <w:rFonts w:ascii="Sylfaen" w:eastAsia="Times New Roman" w:hAnsi="Sylfaen" w:cs="Sylfaen"/>
          <w:lang w:val="ka-GE" w:eastAsia="ka-GE"/>
        </w:rPr>
        <w:t>ე</w:t>
      </w:r>
      <w:r>
        <w:rPr>
          <w:rFonts w:ascii="Sylfaen" w:eastAsia="Times New Roman" w:hAnsi="Sylfaen" w:cs="Sylfaen"/>
          <w:lang w:val="ka-GE" w:eastAsia="ka-GE"/>
        </w:rPr>
        <w:t>მაზე გაიმართა რამდენიმე შეხევდრა კლინიკის წარმომადგენლების, სამინისტროს და საყოველთაო ჯანდაცვის დეპარტამენტის თანამშრომლების მონაწილეობით.</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საყოევლთაო ჯანდაცვის მარტვის დეპარტამენტის მიერ ამოღებულ იქნა ფაქტიური ხარჯები,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ქ-ნი მარინა დარახველიძემ აღნიშნა რომ პრობლემის მოგვარების 2 გზა არსებობს: </w:t>
      </w:r>
    </w:p>
    <w:p w:rsid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ჩამოყალიბდეს ქრონიკულ კ</w:t>
      </w:r>
      <w:r w:rsidR="004E6F79">
        <w:rPr>
          <w:rFonts w:ascii="Sylfaen" w:eastAsia="Times New Roman" w:hAnsi="Sylfaen" w:cs="Sylfaen"/>
          <w:lang w:val="ka-GE" w:eastAsia="ka-GE"/>
        </w:rPr>
        <w:t>რიტიკულ მდგომარეობაში მყოფი ბავ</w:t>
      </w:r>
      <w:r>
        <w:rPr>
          <w:rFonts w:ascii="Sylfaen" w:eastAsia="Times New Roman" w:hAnsi="Sylfaen" w:cs="Sylfaen"/>
          <w:lang w:val="ka-GE" w:eastAsia="ka-GE"/>
        </w:rPr>
        <w:t>შ</w:t>
      </w:r>
      <w:r w:rsidR="004E6F79">
        <w:rPr>
          <w:rFonts w:ascii="Sylfaen" w:eastAsia="Times New Roman" w:hAnsi="Sylfaen" w:cs="Sylfaen"/>
          <w:lang w:val="ka-GE" w:eastAsia="ka-GE"/>
        </w:rPr>
        <w:t>ვე</w:t>
      </w:r>
      <w:r>
        <w:rPr>
          <w:rFonts w:ascii="Sylfaen" w:eastAsia="Times New Roman" w:hAnsi="Sylfaen" w:cs="Sylfaen"/>
          <w:lang w:val="ka-GE" w:eastAsia="ka-GE"/>
        </w:rPr>
        <w:t>ბის კრიტერიუმები, რომელთათვისაც ფაქტი</w:t>
      </w:r>
      <w:r w:rsidR="004E6F79">
        <w:rPr>
          <w:rFonts w:ascii="Sylfaen" w:eastAsia="Times New Roman" w:hAnsi="Sylfaen" w:cs="Sylfaen"/>
          <w:lang w:val="ka-GE" w:eastAsia="ka-GE"/>
        </w:rPr>
        <w:t>ურ</w:t>
      </w:r>
      <w:r>
        <w:rPr>
          <w:rFonts w:ascii="Sylfaen" w:eastAsia="Times New Roman" w:hAnsi="Sylfaen" w:cs="Sylfaen"/>
          <w:lang w:val="ka-GE" w:eastAsia="ka-GE"/>
        </w:rPr>
        <w:t xml:space="preserve">ი </w:t>
      </w:r>
      <w:r w:rsidR="004E6F79">
        <w:rPr>
          <w:rFonts w:ascii="Sylfaen" w:eastAsia="Times New Roman" w:hAnsi="Sylfaen" w:cs="Sylfaen"/>
          <w:lang w:val="ka-GE" w:eastAsia="ka-GE"/>
        </w:rPr>
        <w:t>ხარჯების ანალიზის შემდგომ, შესაძ</w:t>
      </w:r>
      <w:r>
        <w:rPr>
          <w:rFonts w:ascii="Sylfaen" w:eastAsia="Times New Roman" w:hAnsi="Sylfaen" w:cs="Sylfaen"/>
          <w:lang w:val="ka-GE" w:eastAsia="ka-GE"/>
        </w:rPr>
        <w:t>ლებელია განსაზღვრულ იქნას განსხვავებული ტარიფი;</w:t>
      </w:r>
    </w:p>
    <w:p w:rsidR="00AE4B04" w:rsidRP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ზოგადად კრიტიკულ მდგო</w:t>
      </w:r>
      <w:r w:rsidR="004E6F79">
        <w:rPr>
          <w:rFonts w:ascii="Sylfaen" w:eastAsia="Times New Roman" w:hAnsi="Sylfaen" w:cs="Sylfaen"/>
          <w:lang w:val="ka-GE" w:eastAsia="ka-GE"/>
        </w:rPr>
        <w:t>მ</w:t>
      </w:r>
      <w:r>
        <w:rPr>
          <w:rFonts w:ascii="Sylfaen" w:eastAsia="Times New Roman" w:hAnsi="Sylfaen" w:cs="Sylfaen"/>
          <w:lang w:val="ka-GE" w:eastAsia="ka-GE"/>
        </w:rPr>
        <w:t xml:space="preserve">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კლინიკის წარმო</w:t>
      </w:r>
      <w:r w:rsidR="004E6F79">
        <w:rPr>
          <w:rFonts w:ascii="Sylfaen" w:eastAsia="Times New Roman" w:hAnsi="Sylfaen" w:cs="Sylfaen"/>
          <w:lang w:val="ka-GE" w:eastAsia="ka-GE"/>
        </w:rPr>
        <w:t>მ</w:t>
      </w:r>
      <w:r>
        <w:rPr>
          <w:rFonts w:ascii="Sylfaen" w:eastAsia="Times New Roman" w:hAnsi="Sylfaen" w:cs="Sylfaen"/>
          <w:lang w:val="ka-GE" w:eastAsia="ka-GE"/>
        </w:rPr>
        <w:t>ადგენლებს და ექსპერტებს ეთხოვათ გაეკ</w:t>
      </w:r>
      <w:r w:rsidR="00175B7C">
        <w:rPr>
          <w:rFonts w:ascii="Sylfaen" w:eastAsia="Times New Roman" w:hAnsi="Sylfaen" w:cs="Sylfaen"/>
          <w:lang w:val="ka-GE" w:eastAsia="ka-GE"/>
        </w:rPr>
        <w:t>ეთებინათ ქრონიკულ კრიტიკულ მდგო</w:t>
      </w:r>
      <w:r>
        <w:rPr>
          <w:rFonts w:ascii="Sylfaen" w:eastAsia="Times New Roman" w:hAnsi="Sylfaen" w:cs="Sylfaen"/>
          <w:lang w:val="ka-GE" w:eastAsia="ka-GE"/>
        </w:rPr>
        <w:t>მ</w:t>
      </w:r>
      <w:r w:rsidR="00175B7C">
        <w:rPr>
          <w:rFonts w:ascii="Sylfaen" w:eastAsia="Times New Roman" w:hAnsi="Sylfaen" w:cs="Sylfaen"/>
          <w:lang w:val="ka-GE" w:eastAsia="ka-GE"/>
        </w:rPr>
        <w:t>ა</w:t>
      </w:r>
      <w:r>
        <w:rPr>
          <w:rFonts w:ascii="Sylfaen" w:eastAsia="Times New Roman" w:hAnsi="Sylfaen" w:cs="Sylfaen"/>
          <w:lang w:val="ka-GE" w:eastAsia="ka-GE"/>
        </w:rPr>
        <w:t>რეობაში მყოფი ბავშვების დეფინიცია.</w:t>
      </w:r>
    </w:p>
    <w:p w:rsidR="00CE68E0" w:rsidRDefault="00AE4B04" w:rsidP="00175B7C">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მიღებული ინფორმაციით აღნიშნული დეფინიცია არ არსებობს, და მათ მიერ მოწოდებული კრიტერიუმები შესაძლებელია გამოყენებულ იქნას ნებისმეირი კრიტიკული მდგომარეობის დროს, როცა დაყოვნება 45 დღეზე მეტია.</w:t>
      </w:r>
    </w:p>
    <w:p w:rsidR="00175B7C" w:rsidRPr="00175B7C" w:rsidRDefault="00CE68E0" w:rsidP="00175B7C">
      <w:pPr>
        <w:spacing w:after="120" w:line="240" w:lineRule="auto"/>
        <w:jc w:val="both"/>
        <w:rPr>
          <w:rFonts w:ascii="Sylfaen" w:eastAsia="Times New Roman" w:hAnsi="Sylfaen" w:cs="Sylfaen"/>
          <w:b/>
          <w:i/>
          <w:u w:val="single"/>
          <w:lang w:val="ka-GE" w:eastAsia="ka-GE"/>
        </w:rPr>
      </w:pPr>
      <w:r w:rsidRPr="009A5083">
        <w:rPr>
          <w:rFonts w:ascii="Sylfaen" w:hAnsi="Sylfaen" w:cs="Sylfaen"/>
          <w:b/>
          <w:i/>
          <w:highlight w:val="yellow"/>
          <w:u w:val="single"/>
          <w:lang w:val="ka-GE"/>
        </w:rPr>
        <w:t>ჯგუფმა</w:t>
      </w:r>
      <w:r w:rsidRPr="009A5083">
        <w:rPr>
          <w:rFonts w:ascii="Sylfaen" w:hAnsi="Sylfaen"/>
          <w:b/>
          <w:i/>
          <w:highlight w:val="yellow"/>
          <w:u w:val="single"/>
          <w:lang w:val="ka-GE"/>
        </w:rPr>
        <w:t xml:space="preserve"> იმსჯელა </w:t>
      </w:r>
      <w:r w:rsidR="00AE4B04" w:rsidRPr="009A5083">
        <w:rPr>
          <w:rFonts w:ascii="Sylfaen" w:hAnsi="Sylfaen"/>
          <w:b/>
          <w:i/>
          <w:highlight w:val="yellow"/>
          <w:u w:val="single"/>
          <w:lang w:val="ka-GE"/>
        </w:rPr>
        <w:t>ზემოაღნი</w:t>
      </w:r>
      <w:r w:rsidR="00175B7C" w:rsidRPr="009A5083">
        <w:rPr>
          <w:rFonts w:ascii="Sylfaen" w:hAnsi="Sylfaen"/>
          <w:b/>
          <w:i/>
          <w:highlight w:val="yellow"/>
          <w:u w:val="single"/>
          <w:lang w:val="ka-GE"/>
        </w:rPr>
        <w:t>შ</w:t>
      </w:r>
      <w:r w:rsidR="00AE4B04" w:rsidRPr="009A5083">
        <w:rPr>
          <w:rFonts w:ascii="Sylfaen" w:hAnsi="Sylfaen"/>
          <w:b/>
          <w:i/>
          <w:highlight w:val="yellow"/>
          <w:u w:val="single"/>
          <w:lang w:val="ka-GE"/>
        </w:rPr>
        <w:t>ნულ შემოთავაზებებზე და მიიღო გადაწყვეტილება,</w:t>
      </w:r>
      <w:r w:rsidR="00175B7C" w:rsidRPr="009A5083">
        <w:rPr>
          <w:rFonts w:ascii="Sylfaen" w:hAnsi="Sylfaen"/>
          <w:b/>
          <w:i/>
          <w:highlight w:val="yellow"/>
          <w:u w:val="single"/>
          <w:lang w:val="ka-GE"/>
        </w:rPr>
        <w:t xml:space="preserve"> დაითვალოს რა ხარჯებთანა იქნება დაკავშირებული , რომ </w:t>
      </w:r>
      <w:r w:rsidR="00AE4B04" w:rsidRPr="009A5083">
        <w:rPr>
          <w:rFonts w:ascii="Sylfaen" w:hAnsi="Sylfaen"/>
          <w:b/>
          <w:i/>
          <w:highlight w:val="yellow"/>
          <w:u w:val="single"/>
          <w:lang w:val="ka-GE"/>
        </w:rPr>
        <w:t xml:space="preserve"> </w:t>
      </w:r>
      <w:r w:rsidR="00175B7C" w:rsidRPr="009A5083">
        <w:rPr>
          <w:rFonts w:ascii="Sylfaen" w:eastAsia="Times New Roman" w:hAnsi="Sylfaen" w:cs="Sylfaen"/>
          <w:b/>
          <w:i/>
          <w:highlight w:val="yellow"/>
          <w:u w:val="single"/>
          <w:lang w:val="ka-GE" w:eastAsia="ka-GE"/>
        </w:rPr>
        <w:t>ზოგადად კრიტიკულ მდგომარეობაში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(თავდაპირველი ტარიფის 35% ან 40%).</w:t>
      </w:r>
      <w:r w:rsidR="00175B7C" w:rsidRPr="00175B7C">
        <w:rPr>
          <w:rFonts w:ascii="Sylfaen" w:eastAsia="Times New Roman" w:hAnsi="Sylfaen" w:cs="Sylfaen"/>
          <w:b/>
          <w:i/>
          <w:u w:val="single"/>
          <w:lang w:val="ka-GE" w:eastAsia="ka-GE"/>
        </w:rPr>
        <w:t xml:space="preserve"> </w:t>
      </w:r>
    </w:p>
    <w:p w:rsidR="00CE68E0" w:rsidRDefault="00CE68E0" w:rsidP="00CE68E0">
      <w:pPr>
        <w:pStyle w:val="ListParagraph"/>
        <w:spacing w:after="120" w:line="240" w:lineRule="auto"/>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lastRenderedPageBreak/>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620447"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თამაზ მოდებაძე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21"/>
  </w:num>
  <w:num w:numId="5">
    <w:abstractNumId w:val="18"/>
  </w:num>
  <w:num w:numId="6">
    <w:abstractNumId w:val="1"/>
  </w:num>
  <w:num w:numId="7">
    <w:abstractNumId w:val="25"/>
  </w:num>
  <w:num w:numId="8">
    <w:abstractNumId w:val="15"/>
  </w:num>
  <w:num w:numId="9">
    <w:abstractNumId w:val="24"/>
  </w:num>
  <w:num w:numId="10">
    <w:abstractNumId w:val="11"/>
  </w:num>
  <w:num w:numId="11">
    <w:abstractNumId w:val="3"/>
  </w:num>
  <w:num w:numId="12">
    <w:abstractNumId w:val="26"/>
  </w:num>
  <w:num w:numId="13">
    <w:abstractNumId w:val="19"/>
  </w:num>
  <w:num w:numId="14">
    <w:abstractNumId w:val="27"/>
  </w:num>
  <w:num w:numId="15">
    <w:abstractNumId w:val="17"/>
  </w:num>
  <w:num w:numId="16">
    <w:abstractNumId w:val="10"/>
  </w:num>
  <w:num w:numId="17">
    <w:abstractNumId w:val="28"/>
  </w:num>
  <w:num w:numId="18">
    <w:abstractNumId w:val="6"/>
  </w:num>
  <w:num w:numId="19">
    <w:abstractNumId w:val="30"/>
  </w:num>
  <w:num w:numId="20">
    <w:abstractNumId w:val="4"/>
  </w:num>
  <w:num w:numId="21">
    <w:abstractNumId w:val="7"/>
  </w:num>
  <w:num w:numId="22">
    <w:abstractNumId w:val="9"/>
  </w:num>
  <w:num w:numId="23">
    <w:abstractNumId w:val="13"/>
  </w:num>
  <w:num w:numId="24">
    <w:abstractNumId w:val="22"/>
  </w:num>
  <w:num w:numId="25">
    <w:abstractNumId w:val="12"/>
  </w:num>
  <w:num w:numId="26">
    <w:abstractNumId w:val="16"/>
  </w:num>
  <w:num w:numId="27">
    <w:abstractNumId w:val="23"/>
  </w:num>
  <w:num w:numId="28">
    <w:abstractNumId w:val="2"/>
  </w:num>
  <w:num w:numId="29">
    <w:abstractNumId w:val="2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75B7C"/>
    <w:rsid w:val="00182891"/>
    <w:rsid w:val="0018614E"/>
    <w:rsid w:val="00192A86"/>
    <w:rsid w:val="001A3131"/>
    <w:rsid w:val="001C027B"/>
    <w:rsid w:val="001C1608"/>
    <w:rsid w:val="001D49EE"/>
    <w:rsid w:val="001F1502"/>
    <w:rsid w:val="00201127"/>
    <w:rsid w:val="00223BD3"/>
    <w:rsid w:val="00246996"/>
    <w:rsid w:val="002648DE"/>
    <w:rsid w:val="0029038A"/>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41080"/>
    <w:rsid w:val="00653FC9"/>
    <w:rsid w:val="0065530C"/>
    <w:rsid w:val="00676AB6"/>
    <w:rsid w:val="00683E6C"/>
    <w:rsid w:val="00695DE8"/>
    <w:rsid w:val="00697744"/>
    <w:rsid w:val="006E284B"/>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05632"/>
    <w:rsid w:val="00931A8C"/>
    <w:rsid w:val="009324DF"/>
    <w:rsid w:val="009358FF"/>
    <w:rsid w:val="0096028B"/>
    <w:rsid w:val="00961BD6"/>
    <w:rsid w:val="00961E02"/>
    <w:rsid w:val="00993C33"/>
    <w:rsid w:val="009A5083"/>
    <w:rsid w:val="009A7DC7"/>
    <w:rsid w:val="009B2890"/>
    <w:rsid w:val="009D2D3D"/>
    <w:rsid w:val="00A242B7"/>
    <w:rsid w:val="00A6161F"/>
    <w:rsid w:val="00A700E6"/>
    <w:rsid w:val="00A7063D"/>
    <w:rsid w:val="00A7234B"/>
    <w:rsid w:val="00A75289"/>
    <w:rsid w:val="00A95B09"/>
    <w:rsid w:val="00AA038C"/>
    <w:rsid w:val="00AA144E"/>
    <w:rsid w:val="00AA1A28"/>
    <w:rsid w:val="00AA5E82"/>
    <w:rsid w:val="00AB3DE3"/>
    <w:rsid w:val="00AC2D9C"/>
    <w:rsid w:val="00AD0375"/>
    <w:rsid w:val="00AD1ED4"/>
    <w:rsid w:val="00AD200B"/>
    <w:rsid w:val="00AD672B"/>
    <w:rsid w:val="00AE1A01"/>
    <w:rsid w:val="00AE1BD7"/>
    <w:rsid w:val="00AE309A"/>
    <w:rsid w:val="00AE4B04"/>
    <w:rsid w:val="00AE4CBF"/>
    <w:rsid w:val="00AF4190"/>
    <w:rsid w:val="00AF51CF"/>
    <w:rsid w:val="00B11771"/>
    <w:rsid w:val="00B15564"/>
    <w:rsid w:val="00B41748"/>
    <w:rsid w:val="00B46F95"/>
    <w:rsid w:val="00B53F32"/>
    <w:rsid w:val="00B54931"/>
    <w:rsid w:val="00B65CE0"/>
    <w:rsid w:val="00B720B1"/>
    <w:rsid w:val="00B84BA4"/>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33FC"/>
    <w:rsid w:val="00CC4B3A"/>
    <w:rsid w:val="00CC7FDF"/>
    <w:rsid w:val="00CD4338"/>
    <w:rsid w:val="00CE661D"/>
    <w:rsid w:val="00CE68E0"/>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F3A4A"/>
    <w:rsid w:val="00DF4E96"/>
    <w:rsid w:val="00E325CC"/>
    <w:rsid w:val="00E62845"/>
    <w:rsid w:val="00E66D99"/>
    <w:rsid w:val="00E81582"/>
    <w:rsid w:val="00E83676"/>
    <w:rsid w:val="00E96719"/>
    <w:rsid w:val="00EA2EF3"/>
    <w:rsid w:val="00ED103C"/>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EF7A-5FCD-482A-AE41-B2F86E20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Mariana Mkurnali</cp:lastModifiedBy>
  <cp:revision>2</cp:revision>
  <cp:lastPrinted>2017-10-13T09:56:00Z</cp:lastPrinted>
  <dcterms:created xsi:type="dcterms:W3CDTF">2018-02-20T16:50:00Z</dcterms:created>
  <dcterms:modified xsi:type="dcterms:W3CDTF">2018-02-20T16:50:00Z</dcterms:modified>
</cp:coreProperties>
</file>