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7E" w:rsidRDefault="009029C8">
      <w:r>
        <w:fldChar w:fldCharType="begin"/>
      </w:r>
      <w:r>
        <w:instrText xml:space="preserve"> HYPERLINK "</w:instrText>
      </w:r>
      <w:r w:rsidRPr="009029C8">
        <w:instrText>https://www.arup.com/</w:instrText>
      </w:r>
      <w:r>
        <w:instrText xml:space="preserve">" </w:instrText>
      </w:r>
      <w:r>
        <w:fldChar w:fldCharType="separate"/>
      </w:r>
      <w:r w:rsidRPr="00853C62">
        <w:rPr>
          <w:rStyle w:val="Hyperlink"/>
        </w:rPr>
        <w:t>https://www.arup.com/</w:t>
      </w:r>
      <w:r>
        <w:fldChar w:fldCharType="end"/>
      </w:r>
    </w:p>
    <w:p w:rsidR="009029C8" w:rsidRDefault="00690B1A">
      <w:pPr>
        <w:rPr>
          <w:rFonts w:ascii="Helvetica" w:hAnsi="Helvetica"/>
          <w:color w:val="333333"/>
          <w:sz w:val="26"/>
          <w:szCs w:val="26"/>
          <w:shd w:val="clear" w:color="auto" w:fill="FFFFFF"/>
        </w:rPr>
      </w:pPr>
      <w:r>
        <w:rPr>
          <w:rFonts w:ascii="Helvetica" w:hAnsi="Helvetica"/>
          <w:color w:val="333333"/>
          <w:sz w:val="26"/>
          <w:szCs w:val="26"/>
          <w:shd w:val="clear" w:color="auto" w:fill="FFFFFF"/>
        </w:rPr>
        <w:t xml:space="preserve">Groningen's academic medical </w:t>
      </w:r>
      <w:proofErr w:type="spellStart"/>
      <w:r>
        <w:rPr>
          <w:rFonts w:ascii="Helvetica" w:hAnsi="Helvetica"/>
          <w:color w:val="333333"/>
          <w:sz w:val="26"/>
          <w:szCs w:val="26"/>
          <w:shd w:val="clear" w:color="auto" w:fill="FFFFFF"/>
        </w:rPr>
        <w:t>centre</w:t>
      </w:r>
      <w:proofErr w:type="spellEnd"/>
      <w:r>
        <w:rPr>
          <w:rFonts w:ascii="Helvetica" w:hAnsi="Helvetica"/>
          <w:color w:val="333333"/>
          <w:sz w:val="26"/>
          <w:szCs w:val="26"/>
          <w:shd w:val="clear" w:color="auto" w:fill="FFFFFF"/>
        </w:rPr>
        <w:t xml:space="preserve"> (UMCG) had 6 years’ experience with CG and was considered a national model having initiated several CG activities. The UMCG has implemented CG as a bottom-up quality improvement activity in which it has attempted to involve all healthcare professionals. Since CG is diffused throughout the </w:t>
      </w:r>
      <w:proofErr w:type="spellStart"/>
      <w:r>
        <w:rPr>
          <w:rFonts w:ascii="Helvetica" w:hAnsi="Helvetica"/>
          <w:color w:val="333333"/>
          <w:sz w:val="26"/>
          <w:szCs w:val="26"/>
          <w:shd w:val="clear" w:color="auto" w:fill="FFFFFF"/>
        </w:rPr>
        <w:t>organisation</w:t>
      </w:r>
      <w:proofErr w:type="spellEnd"/>
      <w:r>
        <w:rPr>
          <w:rFonts w:ascii="Helvetica" w:hAnsi="Helvetica"/>
          <w:color w:val="333333"/>
          <w:sz w:val="26"/>
          <w:szCs w:val="26"/>
          <w:shd w:val="clear" w:color="auto" w:fill="FFFFFF"/>
        </w:rPr>
        <w:t xml:space="preserve"> by its healthcare professionals, the UMCG is seen as an appropriate environment to explore the views of healthcare professionals. The selected healthcare professionals had been leaders in disseminating CG within the UMCG and, as such, were considered CG experts.</w:t>
      </w:r>
    </w:p>
    <w:p w:rsidR="00690B1A" w:rsidRDefault="00690B1A">
      <w:pPr>
        <w:rPr>
          <w:rFonts w:ascii="Helvetica" w:hAnsi="Helvetica"/>
          <w:color w:val="333333"/>
          <w:sz w:val="26"/>
          <w:szCs w:val="26"/>
          <w:shd w:val="clear" w:color="auto" w:fill="FFFFFF"/>
        </w:rPr>
      </w:pPr>
      <w:r w:rsidRPr="00690B1A">
        <w:rPr>
          <w:rFonts w:ascii="Helvetica" w:hAnsi="Helvetica"/>
          <w:color w:val="333333"/>
          <w:sz w:val="26"/>
          <w:szCs w:val="26"/>
          <w:shd w:val="clear" w:color="auto" w:fill="FFFFFF"/>
        </w:rPr>
        <w:t xml:space="preserve"> UK, Ireland and New Zealand, CG was not centrally introduced in the Netherlands. Consequently, there is no national CG policy, and healthcare </w:t>
      </w:r>
      <w:proofErr w:type="spellStart"/>
      <w:r w:rsidRPr="00690B1A">
        <w:rPr>
          <w:rFonts w:ascii="Helvetica" w:hAnsi="Helvetica"/>
          <w:color w:val="333333"/>
          <w:sz w:val="26"/>
          <w:szCs w:val="26"/>
          <w:shd w:val="clear" w:color="auto" w:fill="FFFFFF"/>
        </w:rPr>
        <w:t>organisations</w:t>
      </w:r>
      <w:proofErr w:type="spellEnd"/>
      <w:r w:rsidRPr="00690B1A">
        <w:rPr>
          <w:rFonts w:ascii="Helvetica" w:hAnsi="Helvetica"/>
          <w:color w:val="333333"/>
          <w:sz w:val="26"/>
          <w:szCs w:val="26"/>
          <w:shd w:val="clear" w:color="auto" w:fill="FFFFFF"/>
        </w:rPr>
        <w:t xml:space="preserve"> shape their own version of CG.</w:t>
      </w:r>
      <w:hyperlink r:id="rId5" w:anchor="ref-34" w:history="1">
        <w:r w:rsidRPr="00690B1A">
          <w:rPr>
            <w:rFonts w:ascii="Helvetica" w:hAnsi="Helvetica"/>
            <w:color w:val="2A6EBB"/>
            <w:shd w:val="clear" w:color="auto" w:fill="FFFFFF"/>
            <w:vertAlign w:val="superscript"/>
          </w:rPr>
          <w:t>34</w:t>
        </w:r>
      </w:hyperlink>
      <w:r w:rsidRPr="00690B1A">
        <w:rPr>
          <w:rFonts w:ascii="Helvetica" w:hAnsi="Helvetica"/>
          <w:color w:val="333333"/>
          <w:sz w:val="26"/>
          <w:szCs w:val="26"/>
          <w:shd w:val="clear" w:color="auto" w:fill="FFFFFF"/>
        </w:rPr>
        <w:t> Second, compared to countries such as Germany, Portugal, Greece and Poland, the complex interplay between various stakeholders means that the healthcare system within the Netherlands has to be highly coordinated, leading to rigid managerial procedures such as target setting based on performance indicators. This red</w:t>
      </w:r>
    </w:p>
    <w:p w:rsidR="00690B1A" w:rsidRDefault="00690B1A">
      <w:pPr>
        <w:rPr>
          <w:rFonts w:ascii="Helvetica" w:hAnsi="Helvetica"/>
          <w:color w:val="333333"/>
          <w:sz w:val="26"/>
          <w:szCs w:val="26"/>
          <w:shd w:val="clear" w:color="auto" w:fill="FFFFFF"/>
        </w:rPr>
      </w:pPr>
      <w:r>
        <w:rPr>
          <w:rFonts w:ascii="Helvetica" w:hAnsi="Helvetica"/>
          <w:color w:val="333333"/>
          <w:sz w:val="26"/>
          <w:szCs w:val="26"/>
          <w:shd w:val="clear" w:color="auto" w:fill="FFFFFF"/>
        </w:rPr>
        <w:t> (</w:t>
      </w:r>
      <w:proofErr w:type="gramStart"/>
      <w:r>
        <w:rPr>
          <w:rFonts w:ascii="Helvetica" w:hAnsi="Helvetica"/>
          <w:color w:val="333333"/>
          <w:sz w:val="26"/>
          <w:szCs w:val="26"/>
          <w:shd w:val="clear" w:color="auto" w:fill="FFFFFF"/>
        </w:rPr>
        <w:t>involving</w:t>
      </w:r>
      <w:proofErr w:type="gramEnd"/>
      <w:r>
        <w:rPr>
          <w:rFonts w:ascii="Helvetica" w:hAnsi="Helvetica"/>
          <w:color w:val="333333"/>
          <w:sz w:val="26"/>
          <w:szCs w:val="26"/>
          <w:shd w:val="clear" w:color="auto" w:fill="FFFFFF"/>
        </w:rPr>
        <w:t xml:space="preserve"> Australia, Italy, New Zealand, Ireland and the UK), </w:t>
      </w:r>
    </w:p>
    <w:p w:rsidR="00D11E83" w:rsidRDefault="00D11E83">
      <w:pPr>
        <w:rPr>
          <w:rFonts w:ascii="Arial" w:hAnsi="Arial" w:cs="Arial"/>
          <w:color w:val="333333"/>
          <w:sz w:val="21"/>
          <w:szCs w:val="21"/>
          <w:shd w:val="clear" w:color="auto" w:fill="FFFFFF"/>
        </w:rPr>
      </w:pPr>
      <w:proofErr w:type="gramStart"/>
      <w:r>
        <w:rPr>
          <w:rFonts w:ascii="Arial" w:hAnsi="Arial" w:cs="Arial"/>
          <w:color w:val="333333"/>
          <w:sz w:val="21"/>
          <w:szCs w:val="21"/>
          <w:shd w:val="clear" w:color="auto" w:fill="FFFFFF"/>
        </w:rPr>
        <w:t>Czech Republic, England, Estonia, Israel, the Netherlands, Norway, Portugal and Spain.</w:t>
      </w:r>
      <w:proofErr w:type="gramEnd"/>
    </w:p>
    <w:p w:rsidR="00D11E83" w:rsidRDefault="00D11E83">
      <w:pPr>
        <w:rPr>
          <w:rFonts w:ascii="Helvetica" w:hAnsi="Helvetica"/>
          <w:color w:val="333333"/>
          <w:sz w:val="26"/>
          <w:szCs w:val="26"/>
          <w:shd w:val="clear" w:color="auto" w:fill="FFFFFF"/>
        </w:rPr>
      </w:pPr>
    </w:p>
    <w:p w:rsidR="00D11E83" w:rsidRDefault="00D11E83">
      <w:hyperlink r:id="rId6" w:history="1">
        <w:r w:rsidRPr="00853C62">
          <w:rPr>
            <w:rStyle w:val="Hyperlink"/>
          </w:rPr>
          <w:t>https://bmchealthservres.biomedcentral.com/articles/10.1186/s12913-016-1388-4</w:t>
        </w:r>
      </w:hyperlink>
    </w:p>
    <w:p w:rsidR="00D11E83" w:rsidRDefault="00D11E83">
      <w:bookmarkStart w:id="0" w:name="_GoBack"/>
      <w:bookmarkEnd w:id="0"/>
    </w:p>
    <w:sectPr w:rsidR="00D1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C8"/>
    <w:rsid w:val="00370A7E"/>
    <w:rsid w:val="00690B1A"/>
    <w:rsid w:val="007736AC"/>
    <w:rsid w:val="009029C8"/>
    <w:rsid w:val="00D1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9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mchealthservres.biomedcentral.com/articles/10.1186/s12913-016-1388-4" TargetMode="External"/><Relationship Id="rId5" Type="http://schemas.openxmlformats.org/officeDocument/2006/relationships/hyperlink" Target="http://bmjopen.bmj.com/content/7/1/e0125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2017-12-11T09:13:00Z</dcterms:created>
  <dcterms:modified xsi:type="dcterms:W3CDTF">2017-12-12T14:54:00Z</dcterms:modified>
</cp:coreProperties>
</file>