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84F93" w14:textId="77777777" w:rsidR="00D62BE4" w:rsidRPr="005A164B" w:rsidRDefault="00D62BE4" w:rsidP="00D62BE4">
      <w:pPr>
        <w:jc w:val="center"/>
        <w:rPr>
          <w:rFonts w:ascii="Sylfaen" w:hAnsi="Sylfaen"/>
          <w:b/>
          <w:sz w:val="24"/>
          <w:szCs w:val="24"/>
          <w:lang w:val="en-US"/>
        </w:rPr>
      </w:pPr>
      <w:r w:rsidRPr="005A164B">
        <w:rPr>
          <w:rFonts w:ascii="Sylfaen" w:hAnsi="Sylfaen"/>
          <w:b/>
          <w:sz w:val="24"/>
          <w:szCs w:val="24"/>
          <w:lang w:val="ka-GE"/>
        </w:rPr>
        <w:t xml:space="preserve">დანართი </w:t>
      </w:r>
      <w:r w:rsidR="003A5899" w:rsidRPr="005A164B">
        <w:rPr>
          <w:rFonts w:ascii="Sylfaen" w:hAnsi="Sylfaen"/>
          <w:b/>
          <w:sz w:val="24"/>
          <w:szCs w:val="24"/>
          <w:lang w:val="en-US"/>
        </w:rPr>
        <w:t>16-1</w:t>
      </w:r>
    </w:p>
    <w:p w14:paraId="08D18CAD" w14:textId="77777777" w:rsidR="00D62BE4" w:rsidRPr="005A164B" w:rsidRDefault="00D62BE4" w:rsidP="00D62BE4">
      <w:pPr>
        <w:jc w:val="center"/>
        <w:rPr>
          <w:rFonts w:ascii="Sylfaen" w:hAnsi="Sylfaen"/>
          <w:b/>
          <w:sz w:val="24"/>
          <w:szCs w:val="24"/>
          <w:lang w:val="ka-GE"/>
        </w:rPr>
      </w:pPr>
      <w:proofErr w:type="spellStart"/>
      <w:r w:rsidRPr="005A164B">
        <w:rPr>
          <w:rFonts w:ascii="Sylfaen" w:hAnsi="Sylfaen"/>
          <w:b/>
          <w:sz w:val="24"/>
          <w:szCs w:val="24"/>
          <w:lang w:val="ka-GE"/>
        </w:rPr>
        <w:t>საარბიტრაჟო</w:t>
      </w:r>
      <w:proofErr w:type="spellEnd"/>
      <w:r w:rsidRPr="005A164B">
        <w:rPr>
          <w:rFonts w:ascii="Sylfaen" w:hAnsi="Sylfaen"/>
          <w:b/>
          <w:sz w:val="24"/>
          <w:szCs w:val="24"/>
          <w:lang w:val="ka-GE"/>
        </w:rPr>
        <w:t xml:space="preserve"> ტრიბუნალის საპროცედურო წესები</w:t>
      </w:r>
    </w:p>
    <w:p w14:paraId="6A0E8D41" w14:textId="77777777" w:rsidR="00D62BE4" w:rsidRPr="005A164B" w:rsidRDefault="00D62BE4" w:rsidP="00D62BE4">
      <w:pPr>
        <w:jc w:val="center"/>
        <w:rPr>
          <w:rFonts w:ascii="Sylfaen" w:hAnsi="Sylfaen"/>
          <w:sz w:val="24"/>
          <w:szCs w:val="24"/>
          <w:lang w:val="ka-GE"/>
        </w:rPr>
      </w:pPr>
    </w:p>
    <w:p w14:paraId="4B4DF099" w14:textId="77777777" w:rsidR="00D62BE4" w:rsidRPr="005A164B" w:rsidRDefault="00D62BE4" w:rsidP="003A5899">
      <w:pPr>
        <w:jc w:val="center"/>
        <w:rPr>
          <w:rFonts w:ascii="Sylfaen" w:hAnsi="Sylfaen"/>
          <w:b/>
          <w:sz w:val="24"/>
          <w:szCs w:val="24"/>
          <w:lang w:val="ka-GE"/>
        </w:rPr>
      </w:pPr>
      <w:r w:rsidRPr="005A164B">
        <w:rPr>
          <w:rFonts w:ascii="Sylfaen" w:hAnsi="Sylfaen"/>
          <w:b/>
          <w:sz w:val="24"/>
          <w:szCs w:val="24"/>
          <w:lang w:val="ka-GE"/>
        </w:rPr>
        <w:t>პირველი წერილობითი წარდგინება</w:t>
      </w:r>
    </w:p>
    <w:p w14:paraId="0813EC56" w14:textId="77777777" w:rsidR="00D62BE4" w:rsidRPr="005A164B" w:rsidRDefault="00D62BE4" w:rsidP="003A5899">
      <w:pPr>
        <w:pStyle w:val="ListParagraph"/>
        <w:numPr>
          <w:ilvl w:val="0"/>
          <w:numId w:val="1"/>
        </w:numPr>
        <w:ind w:left="0" w:firstLine="0"/>
        <w:contextualSpacing w:val="0"/>
        <w:jc w:val="both"/>
        <w:rPr>
          <w:rFonts w:ascii="Sylfaen" w:hAnsi="Sylfaen"/>
          <w:sz w:val="24"/>
          <w:szCs w:val="24"/>
          <w:lang w:val="ka-GE"/>
        </w:rPr>
      </w:pPr>
      <w:r w:rsidRPr="005A164B">
        <w:rPr>
          <w:rFonts w:ascii="Sylfaen" w:hAnsi="Sylfaen"/>
          <w:sz w:val="24"/>
          <w:szCs w:val="24"/>
          <w:lang w:val="ka-GE"/>
        </w:rPr>
        <w:t xml:space="preserve">საჩივრის წარმდგენმა მხარემ უნდა მიაწოდოს </w:t>
      </w:r>
      <w:proofErr w:type="spellStart"/>
      <w:r w:rsidRPr="005A164B">
        <w:rPr>
          <w:rFonts w:ascii="Sylfaen" w:hAnsi="Sylfaen"/>
          <w:sz w:val="24"/>
          <w:szCs w:val="24"/>
          <w:lang w:val="ka-GE"/>
        </w:rPr>
        <w:t>საარბიტრაჟო</w:t>
      </w:r>
      <w:proofErr w:type="spellEnd"/>
      <w:r w:rsidRPr="005A164B">
        <w:rPr>
          <w:rFonts w:ascii="Sylfaen" w:hAnsi="Sylfaen"/>
          <w:sz w:val="24"/>
          <w:szCs w:val="24"/>
          <w:lang w:val="ka-GE"/>
        </w:rPr>
        <w:t xml:space="preserve"> ტრიბუნალს პირველი წერილობითი წარდგინება </w:t>
      </w:r>
      <w:proofErr w:type="spellStart"/>
      <w:r w:rsidRPr="005A164B">
        <w:rPr>
          <w:rFonts w:ascii="Sylfaen" w:hAnsi="Sylfaen"/>
          <w:sz w:val="24"/>
          <w:szCs w:val="24"/>
          <w:lang w:val="ka-GE"/>
        </w:rPr>
        <w:t>საარბიტრაჟო</w:t>
      </w:r>
      <w:proofErr w:type="spellEnd"/>
      <w:r w:rsidRPr="005A164B">
        <w:rPr>
          <w:rFonts w:ascii="Sylfaen" w:hAnsi="Sylfaen"/>
          <w:sz w:val="24"/>
          <w:szCs w:val="24"/>
          <w:lang w:val="ka-GE"/>
        </w:rPr>
        <w:t xml:space="preserve"> ტრიბუნალის შექმნიდან არაუგვიანეს 20 დღისა. მოპასუხე მხარემ უნდა მიაწოდოს </w:t>
      </w:r>
      <w:proofErr w:type="spellStart"/>
      <w:r w:rsidRPr="005A164B">
        <w:rPr>
          <w:rFonts w:ascii="Sylfaen" w:hAnsi="Sylfaen"/>
          <w:sz w:val="24"/>
          <w:szCs w:val="24"/>
          <w:lang w:val="ka-GE"/>
        </w:rPr>
        <w:t>საარბიტრაჟო</w:t>
      </w:r>
      <w:proofErr w:type="spellEnd"/>
      <w:r w:rsidRPr="005A164B">
        <w:rPr>
          <w:rFonts w:ascii="Sylfaen" w:hAnsi="Sylfaen"/>
          <w:sz w:val="24"/>
          <w:szCs w:val="24"/>
          <w:lang w:val="ka-GE"/>
        </w:rPr>
        <w:t xml:space="preserve"> ტრიბუნალს და მომჩივან მხარეს პირველი წერილობითი წარდგინება, საჩივრის წარმდგენი მხარის პირველი წერილობითი მოთხოვნის ჩაბარების თარიღიდან არაუგვიანეს 30 დღისა, გარდა იმ შემთხვევისა, თუ </w:t>
      </w:r>
      <w:proofErr w:type="spellStart"/>
      <w:r w:rsidRPr="005A164B">
        <w:rPr>
          <w:rFonts w:ascii="Sylfaen" w:hAnsi="Sylfaen"/>
          <w:sz w:val="24"/>
          <w:szCs w:val="24"/>
          <w:lang w:val="ka-GE"/>
        </w:rPr>
        <w:t>საარბიტრაჟო</w:t>
      </w:r>
      <w:proofErr w:type="spellEnd"/>
      <w:r w:rsidRPr="005A164B">
        <w:rPr>
          <w:rFonts w:ascii="Sylfaen" w:hAnsi="Sylfaen"/>
          <w:sz w:val="24"/>
          <w:szCs w:val="24"/>
          <w:lang w:val="ka-GE"/>
        </w:rPr>
        <w:t xml:space="preserve"> ტრიბუნალი სხვაგვარად გადაწყვეტს. </w:t>
      </w:r>
    </w:p>
    <w:p w14:paraId="600B54DA" w14:textId="6DB72063" w:rsidR="003A5899" w:rsidRPr="005A164B" w:rsidRDefault="00D62BE4" w:rsidP="003A5899">
      <w:pPr>
        <w:pStyle w:val="ListParagraph"/>
        <w:numPr>
          <w:ilvl w:val="0"/>
          <w:numId w:val="1"/>
        </w:numPr>
        <w:spacing w:after="0"/>
        <w:ind w:left="0" w:firstLine="0"/>
        <w:contextualSpacing w:val="0"/>
        <w:jc w:val="both"/>
        <w:rPr>
          <w:rFonts w:ascii="Sylfaen" w:hAnsi="Sylfaen"/>
          <w:sz w:val="24"/>
          <w:szCs w:val="24"/>
          <w:lang w:val="ka-GE"/>
        </w:rPr>
      </w:pPr>
      <w:r w:rsidRPr="005A164B">
        <w:rPr>
          <w:rFonts w:ascii="Sylfaen" w:hAnsi="Sylfaen"/>
          <w:sz w:val="24"/>
          <w:szCs w:val="24"/>
          <w:lang w:val="ka-GE"/>
        </w:rPr>
        <w:t xml:space="preserve">დავის მხარემ უნდა წარუდგინოს თავისი პირველი წერილობითი წარდგინების ასლი თითოეულ არბიტრს და მეორე მხარეს. </w:t>
      </w:r>
      <w:r w:rsidR="00C001BA" w:rsidRPr="005A164B">
        <w:rPr>
          <w:rFonts w:ascii="Sylfaen" w:hAnsi="Sylfaen"/>
          <w:sz w:val="24"/>
          <w:szCs w:val="24"/>
          <w:lang w:val="ka-GE"/>
        </w:rPr>
        <w:t xml:space="preserve">ასლი წარდგენილ უნდა იქნეს მიღების დამადასტურებელი ცნობის გაცემით, ან გაიგზავნოს, ფოსტის, კურიერის ან ფაქსიმილეს </w:t>
      </w:r>
      <w:proofErr w:type="spellStart"/>
      <w:r w:rsidR="00C001BA" w:rsidRPr="005A164B">
        <w:rPr>
          <w:rFonts w:ascii="Sylfaen" w:hAnsi="Sylfaen"/>
          <w:sz w:val="24"/>
          <w:szCs w:val="24"/>
          <w:lang w:val="ka-GE"/>
        </w:rPr>
        <w:t>მეშვეობით</w:t>
      </w:r>
      <w:r w:rsidRPr="005A164B">
        <w:rPr>
          <w:rFonts w:ascii="Sylfaen" w:hAnsi="Sylfaen"/>
          <w:sz w:val="24"/>
          <w:szCs w:val="24"/>
          <w:lang w:val="ka-GE"/>
        </w:rPr>
        <w:t>დოკუმენტის</w:t>
      </w:r>
      <w:proofErr w:type="spellEnd"/>
      <w:r w:rsidRPr="005A164B">
        <w:rPr>
          <w:rFonts w:ascii="Sylfaen" w:hAnsi="Sylfaen"/>
          <w:sz w:val="24"/>
          <w:szCs w:val="24"/>
          <w:lang w:val="ka-GE"/>
        </w:rPr>
        <w:t xml:space="preserve"> ასლი ასევე </w:t>
      </w:r>
      <w:r w:rsidR="00C001BA" w:rsidRPr="005A164B">
        <w:rPr>
          <w:rFonts w:ascii="Sylfaen" w:hAnsi="Sylfaen"/>
          <w:sz w:val="24"/>
          <w:szCs w:val="24"/>
          <w:lang w:val="ka-GE"/>
        </w:rPr>
        <w:t>წარდგენილ უნდა იქნეს</w:t>
      </w:r>
      <w:r w:rsidRPr="005A164B">
        <w:rPr>
          <w:rFonts w:ascii="Sylfaen" w:hAnsi="Sylfaen"/>
          <w:sz w:val="24"/>
          <w:szCs w:val="24"/>
          <w:lang w:val="ka-GE"/>
        </w:rPr>
        <w:t xml:space="preserve"> ელექტრონულ ფორმატში. </w:t>
      </w:r>
      <w:r w:rsidR="00C001BA" w:rsidRPr="005A164B">
        <w:rPr>
          <w:rFonts w:ascii="Sylfaen" w:hAnsi="Sylfaen"/>
          <w:sz w:val="24"/>
          <w:szCs w:val="24"/>
          <w:lang w:val="en-US"/>
        </w:rPr>
        <w:t xml:space="preserve"> </w:t>
      </w:r>
    </w:p>
    <w:p w14:paraId="2FB41F21" w14:textId="77777777" w:rsidR="00D62BE4" w:rsidRPr="005A164B" w:rsidRDefault="00D62BE4" w:rsidP="003A5899">
      <w:pPr>
        <w:jc w:val="center"/>
        <w:rPr>
          <w:rFonts w:ascii="Sylfaen" w:hAnsi="Sylfaen"/>
          <w:b/>
          <w:sz w:val="24"/>
          <w:szCs w:val="24"/>
          <w:lang w:val="ka-GE"/>
        </w:rPr>
      </w:pPr>
      <w:r w:rsidRPr="005A164B">
        <w:rPr>
          <w:rFonts w:ascii="Sylfaen" w:hAnsi="Sylfaen"/>
          <w:b/>
          <w:sz w:val="24"/>
          <w:szCs w:val="24"/>
          <w:lang w:val="ka-GE"/>
        </w:rPr>
        <w:t>საქმის განხილვები</w:t>
      </w:r>
    </w:p>
    <w:p w14:paraId="2C1B0FBA" w14:textId="77777777" w:rsidR="00D62BE4" w:rsidRPr="005A164B" w:rsidRDefault="00D62BE4" w:rsidP="003A5899">
      <w:pPr>
        <w:pStyle w:val="ListParagraph"/>
        <w:numPr>
          <w:ilvl w:val="0"/>
          <w:numId w:val="1"/>
        </w:numPr>
        <w:ind w:left="0" w:firstLine="0"/>
        <w:contextualSpacing w:val="0"/>
        <w:jc w:val="both"/>
        <w:rPr>
          <w:rFonts w:ascii="Sylfaen" w:hAnsi="Sylfaen"/>
          <w:sz w:val="24"/>
          <w:szCs w:val="24"/>
          <w:lang w:val="ka-GE"/>
        </w:rPr>
      </w:pPr>
      <w:proofErr w:type="spellStart"/>
      <w:r w:rsidRPr="005A164B">
        <w:rPr>
          <w:rFonts w:ascii="Sylfaen" w:hAnsi="Sylfaen"/>
          <w:sz w:val="24"/>
          <w:szCs w:val="24"/>
          <w:lang w:val="ka-GE"/>
        </w:rPr>
        <w:t>საარბიტრაჟო</w:t>
      </w:r>
      <w:proofErr w:type="spellEnd"/>
      <w:r w:rsidRPr="005A164B">
        <w:rPr>
          <w:rFonts w:ascii="Sylfaen" w:hAnsi="Sylfaen"/>
          <w:sz w:val="24"/>
          <w:szCs w:val="24"/>
          <w:lang w:val="ka-GE"/>
        </w:rPr>
        <w:t xml:space="preserve"> ტრიბუნალის თავმჯდომარემ უნდა დათქვას საქმის განხილვის თარიღი და დრო დავის მხარეებთან და </w:t>
      </w:r>
      <w:proofErr w:type="spellStart"/>
      <w:r w:rsidRPr="005A164B">
        <w:rPr>
          <w:rFonts w:ascii="Sylfaen" w:hAnsi="Sylfaen"/>
          <w:sz w:val="24"/>
          <w:szCs w:val="24"/>
          <w:lang w:val="ka-GE"/>
        </w:rPr>
        <w:t>საარბიტრაჟო</w:t>
      </w:r>
      <w:proofErr w:type="spellEnd"/>
      <w:r w:rsidRPr="005A164B">
        <w:rPr>
          <w:rFonts w:ascii="Sylfaen" w:hAnsi="Sylfaen"/>
          <w:sz w:val="24"/>
          <w:szCs w:val="24"/>
          <w:lang w:val="ka-GE"/>
        </w:rPr>
        <w:t xml:space="preserve"> ტრიბუნალის სხვა წევრებთან კონსულტაციით. საქმის განხილვის ადგილმდებარეობა უნდა გადაწყდეს დავის მხარეებს შორის ურთიერთშეთანხმების საფუძველზე. თუ დავის მხარეებს შორის ვერ შედგა შეთანხმება, საქმის განხილვის ადგილმდებარეობა უნდა განისაზღვროს დავის მხარეების სივრცეში მონაცვლეობის პრინციპის დაცვით ხოლო საქმის პირველი განხილვა უნდა შედგეს მოპასუხე მხარის სივრცეში. </w:t>
      </w:r>
      <w:proofErr w:type="spellStart"/>
      <w:r w:rsidRPr="005A164B">
        <w:rPr>
          <w:rFonts w:ascii="Sylfaen" w:hAnsi="Sylfaen"/>
          <w:sz w:val="24"/>
          <w:szCs w:val="24"/>
          <w:lang w:val="ka-GE"/>
        </w:rPr>
        <w:t>საარბიტრაჟო</w:t>
      </w:r>
      <w:proofErr w:type="spellEnd"/>
      <w:r w:rsidRPr="005A164B">
        <w:rPr>
          <w:rFonts w:ascii="Sylfaen" w:hAnsi="Sylfaen"/>
          <w:sz w:val="24"/>
          <w:szCs w:val="24"/>
          <w:lang w:val="ka-GE"/>
        </w:rPr>
        <w:t xml:space="preserve"> ტრიბუნალის თავმჯდომარე წერილობით შეატყობინებს დავის მხარეებს საქმის განხილვის თარიღს, დროსა და ადგილმდებარეობას.  </w:t>
      </w:r>
    </w:p>
    <w:p w14:paraId="507EAC04" w14:textId="77777777" w:rsidR="00D62BE4" w:rsidRPr="005A164B" w:rsidRDefault="00D62BE4" w:rsidP="003A5899">
      <w:pPr>
        <w:pStyle w:val="ListParagraph"/>
        <w:numPr>
          <w:ilvl w:val="0"/>
          <w:numId w:val="1"/>
        </w:numPr>
        <w:ind w:left="0" w:firstLine="0"/>
        <w:contextualSpacing w:val="0"/>
        <w:jc w:val="both"/>
        <w:rPr>
          <w:rFonts w:ascii="Sylfaen" w:hAnsi="Sylfaen"/>
          <w:sz w:val="24"/>
          <w:szCs w:val="24"/>
          <w:lang w:val="ka-GE"/>
        </w:rPr>
      </w:pPr>
      <w:r w:rsidRPr="005A164B">
        <w:rPr>
          <w:rFonts w:ascii="Sylfaen" w:hAnsi="Sylfaen"/>
          <w:sz w:val="24"/>
          <w:szCs w:val="24"/>
          <w:lang w:val="ka-GE"/>
        </w:rPr>
        <w:t xml:space="preserve">გარდა იმ შემთხვევისა, როდესაც ერთ-ერთი მხარე არ არის თანახმა, </w:t>
      </w:r>
      <w:proofErr w:type="spellStart"/>
      <w:r w:rsidRPr="005A164B">
        <w:rPr>
          <w:rFonts w:ascii="Sylfaen" w:hAnsi="Sylfaen"/>
          <w:sz w:val="24"/>
          <w:szCs w:val="24"/>
          <w:lang w:val="ka-GE"/>
        </w:rPr>
        <w:t>საარბიტრაჟო</w:t>
      </w:r>
      <w:proofErr w:type="spellEnd"/>
      <w:r w:rsidRPr="005A164B">
        <w:rPr>
          <w:rFonts w:ascii="Sylfaen" w:hAnsi="Sylfaen"/>
          <w:sz w:val="24"/>
          <w:szCs w:val="24"/>
          <w:lang w:val="ka-GE"/>
        </w:rPr>
        <w:t xml:space="preserve"> ტრიბუნალმა შესაძლოა დანიშნოს დამატებითი მოსმენები ან საერთოდ არ დანიშნოს სხდომა.</w:t>
      </w:r>
    </w:p>
    <w:p w14:paraId="796CCE33" w14:textId="77777777" w:rsidR="00D62BE4" w:rsidRPr="005A164B" w:rsidRDefault="003A5899" w:rsidP="003A5899">
      <w:pPr>
        <w:pStyle w:val="ListParagraph"/>
        <w:numPr>
          <w:ilvl w:val="0"/>
          <w:numId w:val="1"/>
        </w:numPr>
        <w:ind w:left="0" w:firstLine="0"/>
        <w:contextualSpacing w:val="0"/>
        <w:jc w:val="both"/>
        <w:rPr>
          <w:rFonts w:ascii="Sylfaen" w:hAnsi="Sylfaen"/>
          <w:sz w:val="24"/>
          <w:szCs w:val="24"/>
          <w:lang w:val="ka-GE"/>
        </w:rPr>
      </w:pPr>
      <w:r w:rsidRPr="005A164B">
        <w:rPr>
          <w:rFonts w:ascii="Sylfaen" w:hAnsi="Sylfaen"/>
          <w:sz w:val="24"/>
          <w:szCs w:val="24"/>
          <w:lang w:val="ka-GE"/>
        </w:rPr>
        <w:t>ყველა</w:t>
      </w:r>
      <w:r w:rsidR="00D62BE4" w:rsidRPr="005A164B">
        <w:rPr>
          <w:rFonts w:ascii="Sylfaen" w:hAnsi="Sylfaen"/>
          <w:sz w:val="24"/>
          <w:szCs w:val="24"/>
          <w:lang w:val="ka-GE"/>
        </w:rPr>
        <w:t xml:space="preserve"> არბიტრი წარმოდგენილი უნდა იყოს პროცესზე.</w:t>
      </w:r>
    </w:p>
    <w:p w14:paraId="5FA0BCF3" w14:textId="77777777" w:rsidR="00D62BE4" w:rsidRPr="005A164B" w:rsidRDefault="00D62BE4" w:rsidP="003A5899">
      <w:pPr>
        <w:pStyle w:val="ListParagraph"/>
        <w:numPr>
          <w:ilvl w:val="0"/>
          <w:numId w:val="1"/>
        </w:numPr>
        <w:ind w:left="0" w:firstLine="0"/>
        <w:contextualSpacing w:val="0"/>
        <w:jc w:val="both"/>
        <w:rPr>
          <w:rFonts w:ascii="Sylfaen" w:hAnsi="Sylfaen"/>
          <w:sz w:val="24"/>
          <w:szCs w:val="24"/>
          <w:lang w:val="ka-GE"/>
        </w:rPr>
      </w:pPr>
      <w:proofErr w:type="spellStart"/>
      <w:r w:rsidRPr="005A164B">
        <w:rPr>
          <w:rFonts w:ascii="Sylfaen" w:hAnsi="Sylfaen"/>
          <w:sz w:val="24"/>
          <w:szCs w:val="24"/>
          <w:lang w:val="ka-GE"/>
        </w:rPr>
        <w:t>საარბიტრაჟო</w:t>
      </w:r>
      <w:proofErr w:type="spellEnd"/>
      <w:r w:rsidRPr="005A164B">
        <w:rPr>
          <w:rFonts w:ascii="Sylfaen" w:hAnsi="Sylfaen"/>
          <w:sz w:val="24"/>
          <w:szCs w:val="24"/>
          <w:lang w:val="ka-GE"/>
        </w:rPr>
        <w:t xml:space="preserve"> ტრიბუნალის მიერ საქმის განხილვა უნდა ჩატარდეს დახურულ სხდომაზე.</w:t>
      </w:r>
    </w:p>
    <w:p w14:paraId="55641C6A" w14:textId="77777777" w:rsidR="005A164B" w:rsidRDefault="005A164B" w:rsidP="003A5899">
      <w:pPr>
        <w:jc w:val="center"/>
        <w:rPr>
          <w:rFonts w:ascii="Sylfaen" w:hAnsi="Sylfaen"/>
          <w:b/>
          <w:sz w:val="24"/>
          <w:szCs w:val="24"/>
          <w:lang w:val="ka-GE"/>
        </w:rPr>
      </w:pPr>
    </w:p>
    <w:p w14:paraId="347DAB9E" w14:textId="77777777" w:rsidR="00D62BE4" w:rsidRPr="005A164B" w:rsidRDefault="00D62BE4" w:rsidP="003A5899">
      <w:pPr>
        <w:jc w:val="center"/>
        <w:rPr>
          <w:rFonts w:ascii="Sylfaen" w:hAnsi="Sylfaen"/>
          <w:b/>
          <w:sz w:val="24"/>
          <w:szCs w:val="24"/>
          <w:lang w:val="ka-GE"/>
        </w:rPr>
      </w:pPr>
      <w:r w:rsidRPr="005A164B">
        <w:rPr>
          <w:rFonts w:ascii="Sylfaen" w:hAnsi="Sylfaen"/>
          <w:b/>
          <w:sz w:val="24"/>
          <w:szCs w:val="24"/>
          <w:lang w:val="ka-GE"/>
        </w:rPr>
        <w:lastRenderedPageBreak/>
        <w:t>დამატებითი წერილობით წარდგინებები</w:t>
      </w:r>
    </w:p>
    <w:p w14:paraId="542D911B" w14:textId="2199FBBC" w:rsidR="00D62BE4" w:rsidRPr="005A164B" w:rsidRDefault="00D62BE4" w:rsidP="005A164B">
      <w:pPr>
        <w:pStyle w:val="ListParagraph"/>
        <w:numPr>
          <w:ilvl w:val="0"/>
          <w:numId w:val="1"/>
        </w:numPr>
        <w:ind w:left="0" w:firstLine="0"/>
        <w:contextualSpacing w:val="0"/>
        <w:jc w:val="both"/>
        <w:rPr>
          <w:rFonts w:ascii="Sylfaen" w:hAnsi="Sylfaen"/>
          <w:sz w:val="24"/>
          <w:szCs w:val="24"/>
          <w:lang w:val="ka-GE"/>
        </w:rPr>
      </w:pPr>
      <w:r w:rsidRPr="005A164B">
        <w:rPr>
          <w:rFonts w:ascii="Sylfaen" w:hAnsi="Sylfaen"/>
          <w:sz w:val="24"/>
          <w:szCs w:val="24"/>
          <w:lang w:val="ka-GE"/>
        </w:rPr>
        <w:t xml:space="preserve">საქმის განხილვიდან 20 დღის განმავლობაში, თითოეული მხარე უფლებამოსილია გააკეთოს დამატებითი წერილობითი წარდგინება, რომელიც პასუხობს ნებისმიერ საკითხს, რაც </w:t>
      </w:r>
      <w:r w:rsidR="00C001BA" w:rsidRPr="005A164B">
        <w:rPr>
          <w:rFonts w:ascii="Sylfaen" w:hAnsi="Sylfaen"/>
          <w:sz w:val="24"/>
          <w:szCs w:val="24"/>
          <w:lang w:val="ka-GE"/>
        </w:rPr>
        <w:t xml:space="preserve">წამოიჭრა </w:t>
      </w:r>
      <w:r w:rsidRPr="005A164B">
        <w:rPr>
          <w:rFonts w:ascii="Sylfaen" w:hAnsi="Sylfaen"/>
          <w:sz w:val="24"/>
          <w:szCs w:val="24"/>
          <w:lang w:val="ka-GE"/>
        </w:rPr>
        <w:t xml:space="preserve">საქმის </w:t>
      </w:r>
      <w:r w:rsidR="00C001BA" w:rsidRPr="005A164B">
        <w:rPr>
          <w:rFonts w:ascii="Sylfaen" w:hAnsi="Sylfaen"/>
          <w:sz w:val="24"/>
          <w:szCs w:val="24"/>
          <w:lang w:val="ka-GE"/>
        </w:rPr>
        <w:t xml:space="preserve">განხილვისას. </w:t>
      </w:r>
      <w:r w:rsidRPr="005A164B">
        <w:rPr>
          <w:rFonts w:ascii="Sylfaen" w:hAnsi="Sylfaen"/>
          <w:sz w:val="24"/>
          <w:szCs w:val="24"/>
          <w:lang w:val="ka-GE"/>
        </w:rPr>
        <w:t xml:space="preserve">დავის მხარეები </w:t>
      </w:r>
      <w:proofErr w:type="spellStart"/>
      <w:r w:rsidRPr="005A164B">
        <w:rPr>
          <w:rFonts w:ascii="Sylfaen" w:hAnsi="Sylfaen"/>
          <w:sz w:val="24"/>
          <w:szCs w:val="24"/>
          <w:lang w:val="ka-GE"/>
        </w:rPr>
        <w:t>საარბიტრაჟო</w:t>
      </w:r>
      <w:proofErr w:type="spellEnd"/>
      <w:r w:rsidRPr="005A164B">
        <w:rPr>
          <w:rFonts w:ascii="Sylfaen" w:hAnsi="Sylfaen"/>
          <w:sz w:val="24"/>
          <w:szCs w:val="24"/>
          <w:lang w:val="ka-GE"/>
        </w:rPr>
        <w:t xml:space="preserve"> პროცედურის აღნიშნულ ეტაპზე არ არიან უფლებამოსილი წარადგინონ ახალი საჩივრები ან მტკიცებულებები თუ </w:t>
      </w:r>
      <w:proofErr w:type="spellStart"/>
      <w:r w:rsidRPr="005A164B">
        <w:rPr>
          <w:rFonts w:ascii="Sylfaen" w:hAnsi="Sylfaen"/>
          <w:sz w:val="24"/>
          <w:szCs w:val="24"/>
          <w:lang w:val="ka-GE"/>
        </w:rPr>
        <w:t>საარბიტრაჟო</w:t>
      </w:r>
      <w:proofErr w:type="spellEnd"/>
      <w:r w:rsidRPr="005A164B">
        <w:rPr>
          <w:rFonts w:ascii="Sylfaen" w:hAnsi="Sylfaen"/>
          <w:sz w:val="24"/>
          <w:szCs w:val="24"/>
          <w:lang w:val="ka-GE"/>
        </w:rPr>
        <w:t xml:space="preserve"> ტრიბუნალის მიერ არ მოხდება შესაბამისი მოთხოვნის წარდგენა უფლებამოსილებით აღჭურვა. დამატებითი წერილობითი წარდგინებები უნდა განხორციელდეს წინამდებარე წესების მე-2 </w:t>
      </w:r>
      <w:r w:rsidR="00D6214A" w:rsidRPr="005A164B">
        <w:rPr>
          <w:rFonts w:ascii="Sylfaen" w:hAnsi="Sylfaen"/>
          <w:sz w:val="24"/>
          <w:szCs w:val="24"/>
          <w:lang w:val="ka-GE"/>
        </w:rPr>
        <w:t xml:space="preserve">პუნქტის </w:t>
      </w:r>
      <w:r w:rsidRPr="005A164B">
        <w:rPr>
          <w:rFonts w:ascii="Sylfaen" w:hAnsi="Sylfaen"/>
          <w:sz w:val="24"/>
          <w:szCs w:val="24"/>
          <w:lang w:val="ka-GE"/>
        </w:rPr>
        <w:t xml:space="preserve">თანახმად. დავის მხარეებმა დამატებითი წერილობითი წარდგინებები უნდა განახორციელონ ერთდროულად. </w:t>
      </w:r>
    </w:p>
    <w:p w14:paraId="6059769A" w14:textId="77777777" w:rsidR="00D62BE4" w:rsidRPr="005A164B" w:rsidRDefault="00D62BE4" w:rsidP="003A5899">
      <w:pPr>
        <w:jc w:val="center"/>
        <w:rPr>
          <w:rFonts w:ascii="Sylfaen" w:hAnsi="Sylfaen"/>
          <w:b/>
          <w:sz w:val="24"/>
          <w:szCs w:val="24"/>
          <w:lang w:val="en-US"/>
        </w:rPr>
      </w:pPr>
      <w:r w:rsidRPr="005A164B">
        <w:rPr>
          <w:rFonts w:ascii="Sylfaen" w:hAnsi="Sylfaen"/>
          <w:b/>
          <w:sz w:val="24"/>
          <w:szCs w:val="24"/>
          <w:lang w:val="ka-GE"/>
        </w:rPr>
        <w:t>კითხვები წერილობითი ფორმით</w:t>
      </w:r>
    </w:p>
    <w:p w14:paraId="6327C9AF" w14:textId="77777777" w:rsidR="00D62BE4" w:rsidRPr="005A164B" w:rsidRDefault="00D62BE4" w:rsidP="00D62BE4">
      <w:pPr>
        <w:pStyle w:val="ListParagraph"/>
        <w:numPr>
          <w:ilvl w:val="0"/>
          <w:numId w:val="1"/>
        </w:numPr>
        <w:ind w:left="0" w:firstLine="0"/>
        <w:contextualSpacing w:val="0"/>
        <w:jc w:val="both"/>
        <w:rPr>
          <w:rFonts w:ascii="Sylfaen" w:hAnsi="Sylfaen"/>
          <w:sz w:val="24"/>
          <w:szCs w:val="24"/>
          <w:lang w:val="ka-GE"/>
        </w:rPr>
      </w:pPr>
      <w:proofErr w:type="spellStart"/>
      <w:r w:rsidRPr="005A164B">
        <w:rPr>
          <w:rFonts w:ascii="Sylfaen" w:hAnsi="Sylfaen"/>
          <w:sz w:val="24"/>
          <w:szCs w:val="24"/>
          <w:lang w:val="ka-GE"/>
        </w:rPr>
        <w:t>საარბიტრაჟო</w:t>
      </w:r>
      <w:proofErr w:type="spellEnd"/>
      <w:r w:rsidRPr="005A164B">
        <w:rPr>
          <w:rFonts w:ascii="Sylfaen" w:hAnsi="Sylfaen"/>
          <w:sz w:val="24"/>
          <w:szCs w:val="24"/>
          <w:lang w:val="ka-GE"/>
        </w:rPr>
        <w:t xml:space="preserve"> ტრიბუნალი უფლებამოსილია, სამართალწარმოების ნებისმიერ დროს, წერილობითი ფორმით დაუსვას დავის მხარეებს შეკითხვები.</w:t>
      </w:r>
    </w:p>
    <w:p w14:paraId="79CA5DC0" w14:textId="77777777" w:rsidR="00D62BE4" w:rsidRPr="005A164B" w:rsidRDefault="00D62BE4" w:rsidP="005A164B">
      <w:pPr>
        <w:pStyle w:val="ListParagraph"/>
        <w:numPr>
          <w:ilvl w:val="0"/>
          <w:numId w:val="1"/>
        </w:numPr>
        <w:ind w:left="0" w:firstLine="0"/>
        <w:contextualSpacing w:val="0"/>
        <w:jc w:val="both"/>
        <w:rPr>
          <w:rFonts w:ascii="Sylfaen" w:hAnsi="Sylfaen"/>
          <w:sz w:val="24"/>
          <w:szCs w:val="24"/>
          <w:lang w:val="ka-GE"/>
        </w:rPr>
      </w:pPr>
      <w:r w:rsidRPr="005A164B">
        <w:rPr>
          <w:rFonts w:ascii="Sylfaen" w:hAnsi="Sylfaen"/>
          <w:sz w:val="24"/>
          <w:szCs w:val="24"/>
          <w:lang w:val="ka-GE"/>
        </w:rPr>
        <w:t xml:space="preserve">მხარემ, რომელსაც </w:t>
      </w:r>
      <w:proofErr w:type="spellStart"/>
      <w:r w:rsidRPr="005A164B">
        <w:rPr>
          <w:rFonts w:ascii="Sylfaen" w:hAnsi="Sylfaen"/>
          <w:sz w:val="24"/>
          <w:szCs w:val="24"/>
          <w:lang w:val="ka-GE"/>
        </w:rPr>
        <w:t>საარბიტრაჟო</w:t>
      </w:r>
      <w:proofErr w:type="spellEnd"/>
      <w:r w:rsidRPr="005A164B">
        <w:rPr>
          <w:rFonts w:ascii="Sylfaen" w:hAnsi="Sylfaen"/>
          <w:sz w:val="24"/>
          <w:szCs w:val="24"/>
          <w:lang w:val="ka-GE"/>
        </w:rPr>
        <w:t xml:space="preserve"> ტრიბუნალი მიმართავს, უნდა მიაწოდოს წერილობითი პასუხი </w:t>
      </w:r>
      <w:proofErr w:type="spellStart"/>
      <w:r w:rsidRPr="005A164B">
        <w:rPr>
          <w:rFonts w:ascii="Sylfaen" w:hAnsi="Sylfaen"/>
          <w:sz w:val="24"/>
          <w:szCs w:val="24"/>
          <w:lang w:val="ka-GE"/>
        </w:rPr>
        <w:t>საარბიტრაჟო</w:t>
      </w:r>
      <w:proofErr w:type="spellEnd"/>
      <w:r w:rsidRPr="005A164B">
        <w:rPr>
          <w:rFonts w:ascii="Sylfaen" w:hAnsi="Sylfaen"/>
          <w:sz w:val="24"/>
          <w:szCs w:val="24"/>
          <w:lang w:val="ka-GE"/>
        </w:rPr>
        <w:t xml:space="preserve"> ტრიბუნალს და მეორე მხარეს </w:t>
      </w:r>
      <w:proofErr w:type="spellStart"/>
      <w:r w:rsidRPr="005A164B">
        <w:rPr>
          <w:rFonts w:ascii="Sylfaen" w:hAnsi="Sylfaen"/>
          <w:sz w:val="24"/>
          <w:szCs w:val="24"/>
          <w:lang w:val="ka-GE"/>
        </w:rPr>
        <w:t>საარბიტრაჟო</w:t>
      </w:r>
      <w:proofErr w:type="spellEnd"/>
      <w:r w:rsidRPr="005A164B">
        <w:rPr>
          <w:rFonts w:ascii="Sylfaen" w:hAnsi="Sylfaen"/>
          <w:sz w:val="24"/>
          <w:szCs w:val="24"/>
          <w:lang w:val="ka-GE"/>
        </w:rPr>
        <w:t xml:space="preserve"> ტრიბუნალის მიერ განსაზღვრულ ვადაში. თითოეულ მხარეს ეძლევა შესაძლებლობა წარმოადგინოს წერილობითი კომენტარები მეორე მხარის პასუხთან დაკავშირებით პასუხის წარდგენის თარიღიდან 5 დღის ვადაში. </w:t>
      </w:r>
    </w:p>
    <w:p w14:paraId="12D7FE77" w14:textId="77777777" w:rsidR="00D62BE4" w:rsidRPr="005A164B" w:rsidRDefault="00D62BE4" w:rsidP="003A5899">
      <w:pPr>
        <w:jc w:val="center"/>
        <w:rPr>
          <w:rFonts w:ascii="Sylfaen" w:hAnsi="Sylfaen"/>
          <w:b/>
          <w:sz w:val="24"/>
          <w:szCs w:val="24"/>
          <w:lang w:val="ka-GE"/>
        </w:rPr>
      </w:pPr>
      <w:r w:rsidRPr="005A164B">
        <w:rPr>
          <w:rFonts w:ascii="Sylfaen" w:hAnsi="Sylfaen"/>
          <w:b/>
          <w:sz w:val="24"/>
          <w:szCs w:val="24"/>
          <w:lang w:val="ka-GE"/>
        </w:rPr>
        <w:t>კონფიდენციალურობა</w:t>
      </w:r>
    </w:p>
    <w:p w14:paraId="0349E8B6" w14:textId="77777777" w:rsidR="00D62BE4" w:rsidRPr="005A164B" w:rsidRDefault="00D62BE4" w:rsidP="003A5899">
      <w:pPr>
        <w:pStyle w:val="ListParagraph"/>
        <w:numPr>
          <w:ilvl w:val="0"/>
          <w:numId w:val="1"/>
        </w:numPr>
        <w:ind w:left="0" w:firstLine="0"/>
        <w:contextualSpacing w:val="0"/>
        <w:jc w:val="both"/>
        <w:rPr>
          <w:rFonts w:ascii="Sylfaen" w:hAnsi="Sylfaen"/>
          <w:sz w:val="24"/>
          <w:szCs w:val="24"/>
          <w:lang w:val="ka-GE"/>
        </w:rPr>
      </w:pPr>
      <w:proofErr w:type="spellStart"/>
      <w:r w:rsidRPr="005A164B">
        <w:rPr>
          <w:rFonts w:ascii="Sylfaen" w:hAnsi="Sylfaen"/>
          <w:sz w:val="24"/>
          <w:szCs w:val="24"/>
          <w:lang w:val="ka-GE"/>
        </w:rPr>
        <w:t>საარბიტრაჟო</w:t>
      </w:r>
      <w:proofErr w:type="spellEnd"/>
      <w:r w:rsidRPr="005A164B">
        <w:rPr>
          <w:rFonts w:ascii="Sylfaen" w:hAnsi="Sylfaen"/>
          <w:sz w:val="24"/>
          <w:szCs w:val="24"/>
          <w:lang w:val="ka-GE"/>
        </w:rPr>
        <w:t xml:space="preserve"> ტრიბუნალის სამართალწარმოება, წერილობითი </w:t>
      </w:r>
      <w:proofErr w:type="spellStart"/>
      <w:r w:rsidRPr="005A164B">
        <w:rPr>
          <w:rFonts w:ascii="Sylfaen" w:hAnsi="Sylfaen"/>
          <w:sz w:val="24"/>
          <w:szCs w:val="24"/>
          <w:lang w:val="ka-GE"/>
        </w:rPr>
        <w:t>წარდგენილობები</w:t>
      </w:r>
      <w:proofErr w:type="spellEnd"/>
      <w:r w:rsidRPr="005A164B">
        <w:rPr>
          <w:rFonts w:ascii="Sylfaen" w:hAnsi="Sylfaen"/>
          <w:sz w:val="24"/>
          <w:szCs w:val="24"/>
          <w:lang w:val="ka-GE"/>
        </w:rPr>
        <w:t xml:space="preserve">, დოკუმენტები, </w:t>
      </w:r>
      <w:proofErr w:type="spellStart"/>
      <w:r w:rsidRPr="005A164B">
        <w:rPr>
          <w:rFonts w:ascii="Sylfaen" w:hAnsi="Sylfaen"/>
          <w:sz w:val="24"/>
          <w:szCs w:val="24"/>
          <w:lang w:val="ka-GE"/>
        </w:rPr>
        <w:t>საარბიტრაჟო</w:t>
      </w:r>
      <w:proofErr w:type="spellEnd"/>
      <w:r w:rsidRPr="005A164B">
        <w:rPr>
          <w:rFonts w:ascii="Sylfaen" w:hAnsi="Sylfaen"/>
          <w:sz w:val="24"/>
          <w:szCs w:val="24"/>
          <w:lang w:val="ka-GE"/>
        </w:rPr>
        <w:t xml:space="preserve"> ტრიბუნალისთვის წარდგენილი მოძიებული ინფორმაცია ან ტექნიკური რჩევა, ასევე </w:t>
      </w:r>
      <w:proofErr w:type="spellStart"/>
      <w:r w:rsidRPr="005A164B">
        <w:rPr>
          <w:rFonts w:ascii="Sylfaen" w:hAnsi="Sylfaen"/>
          <w:sz w:val="24"/>
          <w:szCs w:val="24"/>
          <w:lang w:val="ka-GE"/>
        </w:rPr>
        <w:t>საარბიტრაჟო</w:t>
      </w:r>
      <w:proofErr w:type="spellEnd"/>
      <w:r w:rsidRPr="005A164B">
        <w:rPr>
          <w:rFonts w:ascii="Sylfaen" w:hAnsi="Sylfaen"/>
          <w:sz w:val="24"/>
          <w:szCs w:val="24"/>
          <w:lang w:val="ka-GE"/>
        </w:rPr>
        <w:t xml:space="preserve"> ტრიბუნალის სხდომები და ხსენებული სხდომების მიმდინარეობისას დასმულ შეკითხვებზე მიწოდებული პასუხები უნდა იყოს კონფიდენციალური.  წინამდებარე თავი არანაირად არ უშლის ხელს დავის მხარეს, გაუმჟღავნოს საკუთარი პოზიციები საზოგადოებას, იმის გათვალისწინებით, რომ არ მოხდება დავის მეორე მხარის </w:t>
      </w:r>
      <w:r w:rsidR="003A5899" w:rsidRPr="005A164B">
        <w:rPr>
          <w:rFonts w:ascii="Sylfaen" w:hAnsi="Sylfaen"/>
          <w:sz w:val="24"/>
          <w:szCs w:val="24"/>
          <w:lang w:val="ka-GE"/>
        </w:rPr>
        <w:t>ამ</w:t>
      </w:r>
      <w:r w:rsidRPr="005A164B">
        <w:rPr>
          <w:rFonts w:ascii="Sylfaen" w:hAnsi="Sylfaen"/>
          <w:sz w:val="24"/>
          <w:szCs w:val="24"/>
          <w:lang w:val="ka-GE"/>
        </w:rPr>
        <w:t xml:space="preserve"> დანართი</w:t>
      </w:r>
      <w:r w:rsidR="003A5899" w:rsidRPr="005A164B">
        <w:rPr>
          <w:rFonts w:ascii="Sylfaen" w:hAnsi="Sylfaen"/>
          <w:sz w:val="24"/>
          <w:szCs w:val="24"/>
          <w:lang w:val="ka-GE"/>
        </w:rPr>
        <w:t>ს</w:t>
      </w:r>
      <w:r w:rsidRPr="005A164B">
        <w:rPr>
          <w:rFonts w:ascii="Sylfaen" w:hAnsi="Sylfaen"/>
          <w:sz w:val="24"/>
          <w:szCs w:val="24"/>
          <w:lang w:val="ka-GE"/>
        </w:rPr>
        <w:t xml:space="preserve"> მე-14 წესით დადგენილი სხვა ნებისმიერი პირის ან ორგანოს მიერ კონფიდენციალურად განსაზღვრული ინფორმაციის გამჟღვანება. დავის მეორე მხარის მიერ </w:t>
      </w:r>
      <w:proofErr w:type="spellStart"/>
      <w:r w:rsidRPr="005A164B">
        <w:rPr>
          <w:rFonts w:ascii="Sylfaen" w:hAnsi="Sylfaen"/>
          <w:sz w:val="24"/>
          <w:szCs w:val="24"/>
          <w:lang w:val="ka-GE"/>
        </w:rPr>
        <w:t>საარბიტრაჟო</w:t>
      </w:r>
      <w:proofErr w:type="spellEnd"/>
      <w:r w:rsidRPr="005A164B">
        <w:rPr>
          <w:rFonts w:ascii="Sylfaen" w:hAnsi="Sylfaen"/>
          <w:sz w:val="24"/>
          <w:szCs w:val="24"/>
          <w:lang w:val="ka-GE"/>
        </w:rPr>
        <w:t xml:space="preserve"> ტრიბუნალისთვის წარდგენილი ინფორმაცია, რომელიც აღნიშნულმა მხარემ განსაზღვრა კონფიდენციალურად, </w:t>
      </w:r>
      <w:proofErr w:type="spellStart"/>
      <w:r w:rsidRPr="005A164B">
        <w:rPr>
          <w:rFonts w:ascii="Sylfaen" w:hAnsi="Sylfaen"/>
          <w:sz w:val="24"/>
          <w:szCs w:val="24"/>
          <w:lang w:val="ka-GE"/>
        </w:rPr>
        <w:t>საარბიტრაჟო</w:t>
      </w:r>
      <w:proofErr w:type="spellEnd"/>
      <w:r w:rsidRPr="005A164B">
        <w:rPr>
          <w:rFonts w:ascii="Sylfaen" w:hAnsi="Sylfaen"/>
          <w:sz w:val="24"/>
          <w:szCs w:val="24"/>
          <w:lang w:val="ka-GE"/>
        </w:rPr>
        <w:t xml:space="preserve"> ტრიბუნალმა და დავის მეორე მხარემ უნდა განიხილოს, როგორც კონფიდენციალური. დავის მხარემ, მეორე მხარის მოთხოვნის საფუძველზე, უნდა უზრუნველყოს თავის წერილობით წარდგინებაში არსებული ინფორმაციის </w:t>
      </w:r>
      <w:proofErr w:type="spellStart"/>
      <w:r w:rsidRPr="005A164B">
        <w:rPr>
          <w:rFonts w:ascii="Sylfaen" w:hAnsi="Sylfaen"/>
          <w:sz w:val="24"/>
          <w:szCs w:val="24"/>
          <w:lang w:val="ka-GE"/>
        </w:rPr>
        <w:t>არაკონფიდენციალური</w:t>
      </w:r>
      <w:proofErr w:type="spellEnd"/>
      <w:r w:rsidRPr="005A164B">
        <w:rPr>
          <w:rFonts w:ascii="Sylfaen" w:hAnsi="Sylfaen"/>
          <w:sz w:val="24"/>
          <w:szCs w:val="24"/>
          <w:lang w:val="ka-GE"/>
        </w:rPr>
        <w:t xml:space="preserve"> მოკლე აღწერის დავის მეორე მხარისთვის გადაცემა, რაც შესაძლებელია საჯაროდ ხელმისაწვდომი გახდეს.</w:t>
      </w:r>
    </w:p>
    <w:p w14:paraId="45713A8D" w14:textId="77777777" w:rsidR="00D62BE4" w:rsidRPr="005A164B" w:rsidRDefault="00D62BE4" w:rsidP="003A5899">
      <w:pPr>
        <w:jc w:val="center"/>
        <w:rPr>
          <w:rFonts w:ascii="Sylfaen" w:hAnsi="Sylfaen"/>
          <w:b/>
          <w:sz w:val="24"/>
          <w:szCs w:val="24"/>
          <w:lang w:val="ka-GE"/>
        </w:rPr>
      </w:pPr>
      <w:bookmarkStart w:id="0" w:name="_GoBack"/>
      <w:bookmarkEnd w:id="0"/>
      <w:proofErr w:type="spellStart"/>
      <w:r w:rsidRPr="005A164B">
        <w:rPr>
          <w:rFonts w:ascii="Sylfaen" w:hAnsi="Sylfaen"/>
          <w:b/>
          <w:i/>
          <w:sz w:val="24"/>
          <w:szCs w:val="24"/>
          <w:lang w:val="ka-GE"/>
        </w:rPr>
        <w:lastRenderedPageBreak/>
        <w:t>Ex</w:t>
      </w:r>
      <w:proofErr w:type="spellEnd"/>
      <w:r w:rsidRPr="005A164B">
        <w:rPr>
          <w:rFonts w:ascii="Sylfaen" w:hAnsi="Sylfaen"/>
          <w:b/>
          <w:i/>
          <w:sz w:val="24"/>
          <w:szCs w:val="24"/>
          <w:lang w:val="ka-GE"/>
        </w:rPr>
        <w:t xml:space="preserve"> </w:t>
      </w:r>
      <w:proofErr w:type="spellStart"/>
      <w:r w:rsidRPr="005A164B">
        <w:rPr>
          <w:rFonts w:ascii="Sylfaen" w:hAnsi="Sylfaen"/>
          <w:b/>
          <w:i/>
          <w:sz w:val="24"/>
          <w:szCs w:val="24"/>
          <w:lang w:val="ka-GE"/>
        </w:rPr>
        <w:t>parte</w:t>
      </w:r>
      <w:proofErr w:type="spellEnd"/>
      <w:r w:rsidRPr="005A164B">
        <w:rPr>
          <w:rFonts w:ascii="Sylfaen" w:hAnsi="Sylfaen"/>
          <w:b/>
          <w:sz w:val="24"/>
          <w:szCs w:val="24"/>
          <w:lang w:val="ka-GE"/>
        </w:rPr>
        <w:t xml:space="preserve"> კონტაქტი</w:t>
      </w:r>
    </w:p>
    <w:p w14:paraId="23E0020D" w14:textId="77777777" w:rsidR="00D62BE4" w:rsidRPr="005A164B" w:rsidRDefault="00D62BE4" w:rsidP="00D62BE4">
      <w:pPr>
        <w:pStyle w:val="ListParagraph"/>
        <w:numPr>
          <w:ilvl w:val="0"/>
          <w:numId w:val="1"/>
        </w:numPr>
        <w:ind w:left="0" w:firstLine="0"/>
        <w:contextualSpacing w:val="0"/>
        <w:jc w:val="both"/>
        <w:rPr>
          <w:rFonts w:ascii="Sylfaen" w:hAnsi="Sylfaen"/>
          <w:sz w:val="24"/>
          <w:szCs w:val="24"/>
          <w:lang w:val="ka-GE"/>
        </w:rPr>
      </w:pPr>
      <w:proofErr w:type="spellStart"/>
      <w:r w:rsidRPr="005A164B">
        <w:rPr>
          <w:rFonts w:ascii="Sylfaen" w:hAnsi="Sylfaen"/>
          <w:sz w:val="24"/>
          <w:szCs w:val="24"/>
          <w:lang w:val="ka-GE"/>
        </w:rPr>
        <w:t>საარბიტრაჟო</w:t>
      </w:r>
      <w:proofErr w:type="spellEnd"/>
      <w:r w:rsidRPr="005A164B">
        <w:rPr>
          <w:rFonts w:ascii="Sylfaen" w:hAnsi="Sylfaen"/>
          <w:sz w:val="24"/>
          <w:szCs w:val="24"/>
          <w:lang w:val="ka-GE"/>
        </w:rPr>
        <w:t xml:space="preserve"> ტრიბუნალი არ უნდა შეიკრიბოს ან დაეკონტაქტოს დავის ერთ მხარეს, დავის მეორე მხარის გარეშე. </w:t>
      </w:r>
    </w:p>
    <w:p w14:paraId="2A5748CF" w14:textId="27C74F05" w:rsidR="00D62BE4" w:rsidRPr="005A164B" w:rsidRDefault="00D62BE4" w:rsidP="00D62BE4">
      <w:pPr>
        <w:pStyle w:val="ListParagraph"/>
        <w:numPr>
          <w:ilvl w:val="0"/>
          <w:numId w:val="1"/>
        </w:numPr>
        <w:ind w:left="0" w:firstLine="0"/>
        <w:contextualSpacing w:val="0"/>
        <w:jc w:val="both"/>
        <w:rPr>
          <w:rFonts w:ascii="Sylfaen" w:hAnsi="Sylfaen"/>
          <w:sz w:val="24"/>
          <w:szCs w:val="24"/>
          <w:lang w:val="ka-GE"/>
        </w:rPr>
      </w:pPr>
      <w:r w:rsidRPr="005A164B">
        <w:rPr>
          <w:rFonts w:ascii="Sylfaen" w:hAnsi="Sylfaen"/>
          <w:sz w:val="24"/>
          <w:szCs w:val="24"/>
          <w:lang w:val="ka-GE"/>
        </w:rPr>
        <w:t xml:space="preserve">არცერთ მხარეს არ შეუძლია საქმესთან დაკავშირებით დაეკონტაქტოს რომელიმე არბიტრს,  მეორე მხარის </w:t>
      </w:r>
      <w:r w:rsidR="00C001BA" w:rsidRPr="005A164B">
        <w:rPr>
          <w:rFonts w:ascii="Sylfaen" w:hAnsi="Sylfaen"/>
          <w:sz w:val="24"/>
          <w:szCs w:val="24"/>
          <w:lang w:val="ka-GE"/>
        </w:rPr>
        <w:t>და</w:t>
      </w:r>
      <w:r w:rsidR="00F67AC6" w:rsidRPr="005A164B">
        <w:rPr>
          <w:rFonts w:ascii="Sylfaen" w:hAnsi="Sylfaen"/>
          <w:sz w:val="24"/>
          <w:szCs w:val="24"/>
          <w:lang w:val="en-US"/>
        </w:rPr>
        <w:t xml:space="preserve"> </w:t>
      </w:r>
      <w:r w:rsidRPr="005A164B">
        <w:rPr>
          <w:rFonts w:ascii="Sylfaen" w:hAnsi="Sylfaen"/>
          <w:sz w:val="24"/>
          <w:szCs w:val="24"/>
          <w:lang w:val="ka-GE"/>
        </w:rPr>
        <w:t>რომელიმე სხვა არბიტრის გარეშე.</w:t>
      </w:r>
    </w:p>
    <w:p w14:paraId="5FA8EBC4" w14:textId="44D643A0" w:rsidR="00D62BE4" w:rsidRPr="005A164B" w:rsidRDefault="00D62BE4" w:rsidP="005A164B">
      <w:pPr>
        <w:pStyle w:val="ListParagraph"/>
        <w:numPr>
          <w:ilvl w:val="0"/>
          <w:numId w:val="1"/>
        </w:numPr>
        <w:ind w:left="0" w:firstLine="0"/>
        <w:contextualSpacing w:val="0"/>
        <w:jc w:val="both"/>
        <w:rPr>
          <w:rFonts w:ascii="Sylfaen" w:hAnsi="Sylfaen"/>
          <w:sz w:val="24"/>
          <w:szCs w:val="24"/>
          <w:lang w:val="ka-GE"/>
        </w:rPr>
      </w:pPr>
      <w:r w:rsidRPr="005A164B">
        <w:rPr>
          <w:rFonts w:ascii="Sylfaen" w:hAnsi="Sylfaen"/>
          <w:sz w:val="24"/>
          <w:szCs w:val="24"/>
          <w:lang w:val="ka-GE"/>
        </w:rPr>
        <w:t xml:space="preserve">არცერთ არბიტრს არ შეუძლია განიხილოს სამართალწარმოებასთან დაკავშირებული დავის საგნის რაიმე ასპექტი დავის მხარესთან, მეორე მხარის </w:t>
      </w:r>
      <w:r w:rsidR="00C001BA" w:rsidRPr="005A164B">
        <w:rPr>
          <w:rFonts w:ascii="Sylfaen" w:hAnsi="Sylfaen"/>
          <w:sz w:val="24"/>
          <w:szCs w:val="24"/>
          <w:lang w:val="ka-GE"/>
        </w:rPr>
        <w:t>და</w:t>
      </w:r>
      <w:r w:rsidR="00F67AC6" w:rsidRPr="005A164B">
        <w:rPr>
          <w:rFonts w:ascii="Sylfaen" w:hAnsi="Sylfaen"/>
          <w:sz w:val="24"/>
          <w:szCs w:val="24"/>
          <w:lang w:val="en-US"/>
        </w:rPr>
        <w:t xml:space="preserve"> </w:t>
      </w:r>
      <w:r w:rsidRPr="005A164B">
        <w:rPr>
          <w:rFonts w:ascii="Sylfaen" w:hAnsi="Sylfaen"/>
          <w:sz w:val="24"/>
          <w:szCs w:val="24"/>
          <w:lang w:val="ka-GE"/>
        </w:rPr>
        <w:t>რომელიმე სხვა არბიტრის გარეშე.</w:t>
      </w:r>
    </w:p>
    <w:p w14:paraId="665C1440" w14:textId="77777777" w:rsidR="00D62BE4" w:rsidRPr="005A164B" w:rsidRDefault="00D62BE4" w:rsidP="003A5899">
      <w:pPr>
        <w:jc w:val="center"/>
        <w:rPr>
          <w:rFonts w:ascii="Sylfaen" w:hAnsi="Sylfaen"/>
          <w:b/>
          <w:sz w:val="24"/>
          <w:szCs w:val="24"/>
          <w:lang w:val="ka-GE"/>
        </w:rPr>
      </w:pPr>
      <w:r w:rsidRPr="005A164B">
        <w:rPr>
          <w:rFonts w:ascii="Sylfaen" w:hAnsi="Sylfaen"/>
          <w:b/>
          <w:sz w:val="24"/>
          <w:szCs w:val="24"/>
          <w:lang w:val="ka-GE"/>
        </w:rPr>
        <w:t>ექსპერტების როლი</w:t>
      </w:r>
    </w:p>
    <w:p w14:paraId="7581BD7A" w14:textId="75B116F0" w:rsidR="00D62BE4" w:rsidRPr="005A164B" w:rsidRDefault="00D62BE4" w:rsidP="005A164B">
      <w:pPr>
        <w:pStyle w:val="ListParagraph"/>
        <w:numPr>
          <w:ilvl w:val="0"/>
          <w:numId w:val="1"/>
        </w:numPr>
        <w:ind w:left="0" w:firstLine="0"/>
        <w:contextualSpacing w:val="0"/>
        <w:jc w:val="both"/>
        <w:rPr>
          <w:rFonts w:ascii="Sylfaen" w:hAnsi="Sylfaen"/>
          <w:sz w:val="24"/>
          <w:szCs w:val="24"/>
          <w:lang w:val="ka-GE"/>
        </w:rPr>
      </w:pPr>
      <w:r w:rsidRPr="005A164B">
        <w:rPr>
          <w:rFonts w:ascii="Sylfaen" w:hAnsi="Sylfaen"/>
          <w:sz w:val="24"/>
          <w:szCs w:val="24"/>
          <w:lang w:val="ka-GE"/>
        </w:rPr>
        <w:t xml:space="preserve">დავის მხარის მოთხოვნით, ან საკუთარი ინიციატივით, </w:t>
      </w:r>
      <w:proofErr w:type="spellStart"/>
      <w:r w:rsidRPr="005A164B">
        <w:rPr>
          <w:rFonts w:ascii="Sylfaen" w:hAnsi="Sylfaen"/>
          <w:sz w:val="24"/>
          <w:szCs w:val="24"/>
          <w:lang w:val="ka-GE"/>
        </w:rPr>
        <w:t>საარბიტრაჟო</w:t>
      </w:r>
      <w:proofErr w:type="spellEnd"/>
      <w:r w:rsidRPr="005A164B">
        <w:rPr>
          <w:rFonts w:ascii="Sylfaen" w:hAnsi="Sylfaen"/>
          <w:sz w:val="24"/>
          <w:szCs w:val="24"/>
          <w:lang w:val="ka-GE"/>
        </w:rPr>
        <w:t xml:space="preserve"> ტრიბუნალი უფლებამოსილია მოიძიოს ინფორმაცია და ტექნიკური რჩევა ნებისმიერი პირის ან ორგანოსგან, რომელსაც იგი მიიჩნევს საჭიროდ. ნებისმიერ ინფორმაცია, ამგვარად მოპოვებული, უნდა წარედგინოს დავის მხარეებს კომენტარებისთვის. იმ შემთხვევაში თუ </w:t>
      </w:r>
      <w:proofErr w:type="spellStart"/>
      <w:r w:rsidRPr="005A164B">
        <w:rPr>
          <w:rFonts w:ascii="Sylfaen" w:hAnsi="Sylfaen"/>
          <w:sz w:val="24"/>
          <w:szCs w:val="24"/>
          <w:lang w:val="ka-GE"/>
        </w:rPr>
        <w:t>საარბიტრაჟო</w:t>
      </w:r>
      <w:proofErr w:type="spellEnd"/>
      <w:r w:rsidRPr="005A164B">
        <w:rPr>
          <w:rFonts w:ascii="Sylfaen" w:hAnsi="Sylfaen"/>
          <w:sz w:val="24"/>
          <w:szCs w:val="24"/>
          <w:lang w:val="ka-GE"/>
        </w:rPr>
        <w:t xml:space="preserve"> ტრიბუნალი გაითვალისწინებს მოძიებულ ინფორმაციასა და ტექნიკურ რჩევას თავისი ანგარიშის მომზადებისას, მან ასევე უნდა გაითვალისწინოს დავის მხარეების მიერ </w:t>
      </w:r>
      <w:proofErr w:type="spellStart"/>
      <w:r w:rsidRPr="005A164B">
        <w:rPr>
          <w:rFonts w:ascii="Sylfaen" w:hAnsi="Sylfaen"/>
          <w:sz w:val="24"/>
          <w:szCs w:val="24"/>
          <w:lang w:val="ka-GE"/>
        </w:rPr>
        <w:t>საარბიტრაჟო</w:t>
      </w:r>
      <w:proofErr w:type="spellEnd"/>
      <w:r w:rsidRPr="005A164B">
        <w:rPr>
          <w:rFonts w:ascii="Sylfaen" w:hAnsi="Sylfaen"/>
          <w:sz w:val="24"/>
          <w:szCs w:val="24"/>
          <w:lang w:val="ka-GE"/>
        </w:rPr>
        <w:t xml:space="preserve"> ტრიბუნალის მიერ მოძიებულ ინფორმაციასა და ტექნიკურ რჩევასთან დაკავშირებით მოწოდებული შენიშვნები</w:t>
      </w:r>
      <w:r w:rsidR="0086218E" w:rsidRPr="005A164B">
        <w:rPr>
          <w:rFonts w:ascii="Sylfaen" w:hAnsi="Sylfaen"/>
          <w:sz w:val="24"/>
          <w:szCs w:val="24"/>
          <w:lang w:val="ka-GE"/>
        </w:rPr>
        <w:t>.</w:t>
      </w:r>
      <w:r w:rsidRPr="005A164B">
        <w:rPr>
          <w:rFonts w:ascii="Sylfaen" w:hAnsi="Sylfaen"/>
          <w:sz w:val="24"/>
          <w:szCs w:val="24"/>
          <w:lang w:val="ka-GE"/>
        </w:rPr>
        <w:t xml:space="preserve"> </w:t>
      </w:r>
    </w:p>
    <w:p w14:paraId="29550AD7" w14:textId="77777777" w:rsidR="00D62BE4" w:rsidRPr="005A164B" w:rsidRDefault="00D62BE4" w:rsidP="003A5899">
      <w:pPr>
        <w:jc w:val="center"/>
        <w:rPr>
          <w:rFonts w:ascii="Sylfaen" w:hAnsi="Sylfaen"/>
          <w:b/>
          <w:sz w:val="24"/>
          <w:szCs w:val="24"/>
          <w:lang w:val="ka-GE"/>
        </w:rPr>
      </w:pPr>
      <w:r w:rsidRPr="005A164B">
        <w:rPr>
          <w:rFonts w:ascii="Sylfaen" w:hAnsi="Sylfaen"/>
          <w:b/>
          <w:sz w:val="24"/>
          <w:szCs w:val="24"/>
          <w:lang w:val="ka-GE"/>
        </w:rPr>
        <w:t>სამუშაო ენა</w:t>
      </w:r>
    </w:p>
    <w:p w14:paraId="3E8D9380" w14:textId="77777777" w:rsidR="00D62BE4" w:rsidRPr="005A164B" w:rsidRDefault="00D62BE4" w:rsidP="003A5899">
      <w:pPr>
        <w:pStyle w:val="ListParagraph"/>
        <w:numPr>
          <w:ilvl w:val="0"/>
          <w:numId w:val="1"/>
        </w:numPr>
        <w:ind w:left="0" w:firstLine="0"/>
        <w:contextualSpacing w:val="0"/>
        <w:jc w:val="both"/>
        <w:rPr>
          <w:rFonts w:ascii="Sylfaen" w:hAnsi="Sylfaen"/>
          <w:sz w:val="24"/>
          <w:szCs w:val="24"/>
          <w:lang w:val="ka-GE"/>
        </w:rPr>
      </w:pPr>
      <w:r w:rsidRPr="005A164B">
        <w:rPr>
          <w:rFonts w:ascii="Sylfaen" w:hAnsi="Sylfaen"/>
          <w:sz w:val="24"/>
          <w:szCs w:val="24"/>
          <w:lang w:val="ka-GE"/>
        </w:rPr>
        <w:t>დავების მოგვარების პროცესის სამუშაო ენა</w:t>
      </w:r>
      <w:r w:rsidR="007953CC" w:rsidRPr="005A164B">
        <w:rPr>
          <w:rFonts w:ascii="Sylfaen" w:hAnsi="Sylfaen"/>
          <w:sz w:val="24"/>
          <w:szCs w:val="24"/>
          <w:lang w:val="ka-GE"/>
        </w:rPr>
        <w:t>დ</w:t>
      </w:r>
      <w:r w:rsidRPr="005A164B">
        <w:rPr>
          <w:rFonts w:ascii="Sylfaen" w:hAnsi="Sylfaen"/>
          <w:sz w:val="24"/>
          <w:szCs w:val="24"/>
          <w:lang w:val="ka-GE"/>
        </w:rPr>
        <w:t xml:space="preserve"> წინამდებარე თავით განსაზღვრულია ინგლისური ენა.  წერილობითი წარდგინებები, დოკუმენტები, ზეპირი არგუმენტები ან პრეზენტაციები, </w:t>
      </w:r>
      <w:proofErr w:type="spellStart"/>
      <w:r w:rsidRPr="005A164B">
        <w:rPr>
          <w:rFonts w:ascii="Sylfaen" w:hAnsi="Sylfaen"/>
          <w:sz w:val="24"/>
          <w:szCs w:val="24"/>
          <w:lang w:val="ka-GE"/>
        </w:rPr>
        <w:t>საარბიტრაჟო</w:t>
      </w:r>
      <w:proofErr w:type="spellEnd"/>
      <w:r w:rsidRPr="005A164B">
        <w:rPr>
          <w:rFonts w:ascii="Sylfaen" w:hAnsi="Sylfaen"/>
          <w:sz w:val="24"/>
          <w:szCs w:val="24"/>
          <w:lang w:val="ka-GE"/>
        </w:rPr>
        <w:t xml:space="preserve"> ტრიბუნალის ანგარიშები და ყველანაირი წერილობითი ან ზეპირი კომუნიკაცია დავის მხარეებს შორის და </w:t>
      </w:r>
      <w:proofErr w:type="spellStart"/>
      <w:r w:rsidRPr="005A164B">
        <w:rPr>
          <w:rFonts w:ascii="Sylfaen" w:hAnsi="Sylfaen"/>
          <w:sz w:val="24"/>
          <w:szCs w:val="24"/>
          <w:lang w:val="ka-GE"/>
        </w:rPr>
        <w:t>საარბიტრაჟო</w:t>
      </w:r>
      <w:proofErr w:type="spellEnd"/>
      <w:r w:rsidRPr="005A164B">
        <w:rPr>
          <w:rFonts w:ascii="Sylfaen" w:hAnsi="Sylfaen"/>
          <w:sz w:val="24"/>
          <w:szCs w:val="24"/>
          <w:lang w:val="ka-GE"/>
        </w:rPr>
        <w:t xml:space="preserve"> ტრიბუნალთან ასევე უნდა განხორციელდეს ინგლისურ ენაზე. </w:t>
      </w:r>
    </w:p>
    <w:p w14:paraId="58607495" w14:textId="77777777" w:rsidR="00D62BE4" w:rsidRPr="005A164B" w:rsidRDefault="00D62BE4" w:rsidP="00D62BE4">
      <w:pPr>
        <w:jc w:val="both"/>
        <w:rPr>
          <w:rFonts w:ascii="Sylfaen" w:hAnsi="Sylfaen"/>
          <w:sz w:val="24"/>
          <w:szCs w:val="24"/>
          <w:lang w:val="ka-GE"/>
        </w:rPr>
      </w:pPr>
    </w:p>
    <w:p w14:paraId="0765653A" w14:textId="77777777" w:rsidR="00D62BE4" w:rsidRPr="005A164B" w:rsidRDefault="00D62BE4" w:rsidP="00D62BE4">
      <w:pPr>
        <w:jc w:val="both"/>
        <w:rPr>
          <w:rFonts w:ascii="Sylfaen" w:hAnsi="Sylfaen"/>
          <w:sz w:val="24"/>
          <w:szCs w:val="24"/>
          <w:lang w:val="ka-GE"/>
        </w:rPr>
      </w:pPr>
    </w:p>
    <w:p w14:paraId="57E92787" w14:textId="77777777" w:rsidR="0051278D" w:rsidRPr="005A164B" w:rsidRDefault="0051278D">
      <w:pPr>
        <w:rPr>
          <w:sz w:val="24"/>
          <w:szCs w:val="24"/>
        </w:rPr>
      </w:pPr>
    </w:p>
    <w:sectPr w:rsidR="0051278D" w:rsidRPr="005A164B" w:rsidSect="00FE0E61">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1B5402" w14:textId="77777777" w:rsidR="002D55F3" w:rsidRDefault="002D55F3" w:rsidP="007953CC">
      <w:pPr>
        <w:spacing w:after="0" w:line="240" w:lineRule="auto"/>
      </w:pPr>
      <w:r>
        <w:separator/>
      </w:r>
    </w:p>
  </w:endnote>
  <w:endnote w:type="continuationSeparator" w:id="0">
    <w:p w14:paraId="249B4518" w14:textId="77777777" w:rsidR="002D55F3" w:rsidRDefault="002D55F3" w:rsidP="00795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97D933" w14:textId="19416F38" w:rsidR="007953CC" w:rsidRPr="005A164B" w:rsidRDefault="005A164B" w:rsidP="005A164B">
    <w:pPr>
      <w:pStyle w:val="Footer"/>
      <w:jc w:val="center"/>
      <w:rPr>
        <w:rFonts w:ascii="Arial" w:hAnsi="Arial" w:cs="Arial"/>
        <w:sz w:val="20"/>
        <w:szCs w:val="24"/>
      </w:rPr>
    </w:pPr>
    <w:r w:rsidRPr="005A164B">
      <w:rPr>
        <w:rFonts w:ascii="Sylfaen" w:hAnsi="Sylfaen" w:cs="Arial"/>
        <w:sz w:val="20"/>
        <w:szCs w:val="24"/>
        <w:lang w:val="ka-GE"/>
      </w:rPr>
      <w:t>დანართი</w:t>
    </w:r>
    <w:r w:rsidRPr="005A164B">
      <w:rPr>
        <w:rFonts w:ascii="Arial" w:hAnsi="Arial" w:cs="Arial"/>
        <w:sz w:val="20"/>
        <w:szCs w:val="24"/>
      </w:rPr>
      <w:t xml:space="preserve"> 16-1-</w:t>
    </w:r>
    <w:sdt>
      <w:sdtPr>
        <w:rPr>
          <w:rFonts w:ascii="Arial" w:hAnsi="Arial" w:cs="Arial"/>
          <w:sz w:val="20"/>
          <w:szCs w:val="24"/>
        </w:rPr>
        <w:id w:val="-9842603"/>
        <w:docPartObj>
          <w:docPartGallery w:val="Page Numbers (Bottom of Page)"/>
          <w:docPartUnique/>
        </w:docPartObj>
      </w:sdtPr>
      <w:sdtEndPr/>
      <w:sdtContent>
        <w:r w:rsidRPr="005A164B">
          <w:rPr>
            <w:rFonts w:ascii="Arial" w:hAnsi="Arial" w:cs="Arial"/>
            <w:sz w:val="20"/>
            <w:szCs w:val="24"/>
          </w:rPr>
          <w:fldChar w:fldCharType="begin"/>
        </w:r>
        <w:r w:rsidRPr="005A164B">
          <w:rPr>
            <w:rFonts w:ascii="Arial" w:hAnsi="Arial" w:cs="Arial"/>
            <w:sz w:val="20"/>
            <w:szCs w:val="24"/>
          </w:rPr>
          <w:instrText>PAGE   \* MERGEFORMAT</w:instrText>
        </w:r>
        <w:r w:rsidRPr="005A164B">
          <w:rPr>
            <w:rFonts w:ascii="Arial" w:hAnsi="Arial" w:cs="Arial"/>
            <w:sz w:val="20"/>
            <w:szCs w:val="24"/>
          </w:rPr>
          <w:fldChar w:fldCharType="separate"/>
        </w:r>
        <w:r w:rsidR="00FE0E61" w:rsidRPr="00FE0E61">
          <w:rPr>
            <w:rFonts w:ascii="Arial" w:hAnsi="Arial" w:cs="Arial"/>
            <w:noProof/>
            <w:sz w:val="20"/>
            <w:szCs w:val="24"/>
            <w:lang w:val="zh-TW" w:eastAsia="zh-TW"/>
          </w:rPr>
          <w:t>3</w:t>
        </w:r>
        <w:r w:rsidRPr="005A164B">
          <w:rPr>
            <w:rFonts w:ascii="Arial" w:hAnsi="Arial" w:cs="Arial"/>
            <w:sz w:val="20"/>
            <w:szCs w:val="24"/>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B2470C" w14:textId="77777777" w:rsidR="002D55F3" w:rsidRDefault="002D55F3" w:rsidP="007953CC">
      <w:pPr>
        <w:spacing w:after="0" w:line="240" w:lineRule="auto"/>
      </w:pPr>
      <w:r>
        <w:separator/>
      </w:r>
    </w:p>
  </w:footnote>
  <w:footnote w:type="continuationSeparator" w:id="0">
    <w:p w14:paraId="5ACF63FD" w14:textId="77777777" w:rsidR="002D55F3" w:rsidRDefault="002D55F3" w:rsidP="007953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91CB6"/>
    <w:multiLevelType w:val="hybridMultilevel"/>
    <w:tmpl w:val="BFAE31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C6C"/>
    <w:rsid w:val="001F6D27"/>
    <w:rsid w:val="002D55F3"/>
    <w:rsid w:val="003A5899"/>
    <w:rsid w:val="003B79A7"/>
    <w:rsid w:val="00432956"/>
    <w:rsid w:val="004E4C6C"/>
    <w:rsid w:val="0051278D"/>
    <w:rsid w:val="0052638E"/>
    <w:rsid w:val="005A164B"/>
    <w:rsid w:val="0074468E"/>
    <w:rsid w:val="00777659"/>
    <w:rsid w:val="007953CC"/>
    <w:rsid w:val="008607D3"/>
    <w:rsid w:val="0086218E"/>
    <w:rsid w:val="00914315"/>
    <w:rsid w:val="00B06E8B"/>
    <w:rsid w:val="00C001BA"/>
    <w:rsid w:val="00D6214A"/>
    <w:rsid w:val="00D62BE4"/>
    <w:rsid w:val="00E25256"/>
    <w:rsid w:val="00F67AC6"/>
    <w:rsid w:val="00FD2BE5"/>
    <w:rsid w:val="00FE0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5F694"/>
  <w15:chartTrackingRefBased/>
  <w15:docId w15:val="{2C19FC95-1DD7-44C8-AD33-512BBCDC5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2BE4"/>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2BE4"/>
    <w:pPr>
      <w:ind w:left="720"/>
      <w:contextualSpacing/>
    </w:pPr>
  </w:style>
  <w:style w:type="paragraph" w:styleId="BalloonText">
    <w:name w:val="Balloon Text"/>
    <w:basedOn w:val="Normal"/>
    <w:link w:val="BalloonTextChar"/>
    <w:uiPriority w:val="99"/>
    <w:semiHidden/>
    <w:unhideWhenUsed/>
    <w:rsid w:val="00D62B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BE4"/>
    <w:rPr>
      <w:rFonts w:ascii="Segoe UI" w:hAnsi="Segoe UI" w:cs="Segoe UI"/>
      <w:sz w:val="18"/>
      <w:szCs w:val="18"/>
      <w:lang w:val="ru-RU"/>
    </w:rPr>
  </w:style>
  <w:style w:type="paragraph" w:styleId="Header">
    <w:name w:val="header"/>
    <w:basedOn w:val="Normal"/>
    <w:link w:val="HeaderChar"/>
    <w:uiPriority w:val="99"/>
    <w:unhideWhenUsed/>
    <w:rsid w:val="007953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3CC"/>
    <w:rPr>
      <w:lang w:val="ru-RU"/>
    </w:rPr>
  </w:style>
  <w:style w:type="paragraph" w:styleId="Footer">
    <w:name w:val="footer"/>
    <w:basedOn w:val="Normal"/>
    <w:link w:val="FooterChar"/>
    <w:uiPriority w:val="99"/>
    <w:unhideWhenUsed/>
    <w:rsid w:val="007953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3CC"/>
    <w:rPr>
      <w:lang w:val="ru-RU"/>
    </w:rPr>
  </w:style>
  <w:style w:type="character" w:styleId="CommentReference">
    <w:name w:val="annotation reference"/>
    <w:basedOn w:val="DefaultParagraphFont"/>
    <w:uiPriority w:val="99"/>
    <w:semiHidden/>
    <w:unhideWhenUsed/>
    <w:rsid w:val="00FD2BE5"/>
    <w:rPr>
      <w:sz w:val="16"/>
      <w:szCs w:val="16"/>
    </w:rPr>
  </w:style>
  <w:style w:type="paragraph" w:styleId="CommentText">
    <w:name w:val="annotation text"/>
    <w:basedOn w:val="Normal"/>
    <w:link w:val="CommentTextChar"/>
    <w:uiPriority w:val="99"/>
    <w:semiHidden/>
    <w:unhideWhenUsed/>
    <w:rsid w:val="00FD2BE5"/>
    <w:pPr>
      <w:spacing w:line="240" w:lineRule="auto"/>
    </w:pPr>
    <w:rPr>
      <w:sz w:val="20"/>
      <w:szCs w:val="20"/>
    </w:rPr>
  </w:style>
  <w:style w:type="character" w:customStyle="1" w:styleId="CommentTextChar">
    <w:name w:val="Comment Text Char"/>
    <w:basedOn w:val="DefaultParagraphFont"/>
    <w:link w:val="CommentText"/>
    <w:uiPriority w:val="99"/>
    <w:semiHidden/>
    <w:rsid w:val="00FD2BE5"/>
    <w:rPr>
      <w:sz w:val="20"/>
      <w:szCs w:val="20"/>
      <w:lang w:val="ru-RU"/>
    </w:rPr>
  </w:style>
  <w:style w:type="paragraph" w:styleId="CommentSubject">
    <w:name w:val="annotation subject"/>
    <w:basedOn w:val="CommentText"/>
    <w:next w:val="CommentText"/>
    <w:link w:val="CommentSubjectChar"/>
    <w:uiPriority w:val="99"/>
    <w:semiHidden/>
    <w:unhideWhenUsed/>
    <w:rsid w:val="00FD2BE5"/>
    <w:rPr>
      <w:b/>
      <w:bCs/>
    </w:rPr>
  </w:style>
  <w:style w:type="character" w:customStyle="1" w:styleId="CommentSubjectChar">
    <w:name w:val="Comment Subject Char"/>
    <w:basedOn w:val="CommentTextChar"/>
    <w:link w:val="CommentSubject"/>
    <w:uiPriority w:val="99"/>
    <w:semiHidden/>
    <w:rsid w:val="00FD2BE5"/>
    <w:rPr>
      <w:b/>
      <w:bCs/>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770</Words>
  <Characters>4394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Kunchulia</dc:creator>
  <cp:keywords/>
  <dc:description/>
  <cp:lastModifiedBy>Thea Kunchulia</cp:lastModifiedBy>
  <cp:revision>8</cp:revision>
  <dcterms:created xsi:type="dcterms:W3CDTF">2018-03-30T12:52:00Z</dcterms:created>
  <dcterms:modified xsi:type="dcterms:W3CDTF">2018-05-03T08:16:00Z</dcterms:modified>
</cp:coreProperties>
</file>