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1B" w:rsidRDefault="00B93E1B" w:rsidP="00B93E1B">
      <w:bookmarkStart w:id="0" w:name="_GoBack"/>
      <w:bookmarkEnd w:id="0"/>
      <w:proofErr w:type="gramStart"/>
      <w:r>
        <w:t>Your</w:t>
      </w:r>
      <w:proofErr w:type="gramEnd"/>
      <w:r>
        <w:t xml:space="preserve"> Excellency, </w:t>
      </w:r>
      <w:proofErr w:type="spellStart"/>
      <w:r>
        <w:t>Mr.Buskut</w:t>
      </w:r>
      <w:proofErr w:type="spellEnd"/>
      <w:r>
        <w:t xml:space="preserve"> </w:t>
      </w:r>
      <w:proofErr w:type="spellStart"/>
      <w:r>
        <w:t>Tuncak</w:t>
      </w:r>
      <w:proofErr w:type="spellEnd"/>
    </w:p>
    <w:p w:rsidR="00B93E1B" w:rsidRDefault="00B93E1B" w:rsidP="00B93E1B">
      <w:r>
        <w:t xml:space="preserve">Regarding your request on providing Governmental information on the main challenges faced in the protection of workers from hazardous substances in various </w:t>
      </w:r>
      <w:proofErr w:type="spellStart"/>
      <w:r>
        <w:t>contoxis</w:t>
      </w:r>
      <w:proofErr w:type="spellEnd"/>
      <w:r>
        <w:t xml:space="preserve"> in Georgia, we provide our answer on topics listed in your letter: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5186"/>
        <w:gridCol w:w="3941"/>
      </w:tblGrid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1.</w:t>
            </w:r>
          </w:p>
        </w:tc>
        <w:tc>
          <w:tcPr>
            <w:tcW w:w="5310" w:type="dxa"/>
          </w:tcPr>
          <w:p w:rsidR="00B93E1B" w:rsidRDefault="00B93E1B" w:rsidP="00C4111A">
            <w:r>
              <w:t xml:space="preserve">National Lows and Regulations that protect workers from hazardous substances and establish the right of workers to safe and healthy working </w:t>
            </w:r>
            <w:r w:rsidR="00496DB4">
              <w:t>conditions</w:t>
            </w:r>
            <w:r>
              <w:t xml:space="preserve">:    </w:t>
            </w:r>
          </w:p>
        </w:tc>
        <w:tc>
          <w:tcPr>
            <w:tcW w:w="4037" w:type="dxa"/>
          </w:tcPr>
          <w:p w:rsidR="00B93E1B" w:rsidRPr="005F509D" w:rsidRDefault="00C5226F" w:rsidP="00C4111A">
            <w:pPr>
              <w:pStyle w:val="titlelist"/>
              <w:numPr>
                <w:ilvl w:val="0"/>
                <w:numId w:val="1"/>
              </w:numPr>
              <w:spacing w:before="0" w:beforeAutospacing="0" w:after="19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  <w:hyperlink r:id="rId5" w:history="1">
              <w:r w:rsidR="00B93E1B" w:rsidRPr="005F509D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4F81BD" w:themeColor="accent1"/>
                  <w:sz w:val="14"/>
                  <w:szCs w:val="14"/>
                  <w:shd w:val="clear" w:color="auto" w:fill="FFFFFF"/>
                </w:rPr>
                <w:t>Law of Georgia on Radioactive Waste No. 4487-IS, adopted on 11 November 2015</w:t>
              </w:r>
            </w:hyperlink>
            <w:r w:rsidR="00B93E1B" w:rsidRPr="005F509D">
              <w:rPr>
                <w:rStyle w:val="pdf"/>
                <w:rFonts w:ascii="Arial" w:hAnsi="Arial" w:cs="Arial"/>
                <w:i/>
                <w:iCs/>
                <w:color w:val="4F81BD" w:themeColor="accent1"/>
                <w:sz w:val="14"/>
                <w:szCs w:val="14"/>
                <w:shd w:val="clear" w:color="auto" w:fill="FFFFFF"/>
              </w:rPr>
              <w:t> -</w:t>
            </w:r>
            <w:r w:rsidR="00B93E1B" w:rsidRPr="005F509D">
              <w:rPr>
                <w:b/>
                <w:bCs/>
                <w:color w:val="333333"/>
              </w:rPr>
              <w:t>  </w:t>
            </w:r>
          </w:p>
          <w:p w:rsidR="00B93E1B" w:rsidRPr="005F509D" w:rsidRDefault="00C5226F" w:rsidP="00C4111A">
            <w:pPr>
              <w:pStyle w:val="titlelist"/>
              <w:numPr>
                <w:ilvl w:val="0"/>
                <w:numId w:val="2"/>
              </w:numPr>
              <w:pBdr>
                <w:top w:val="dotted" w:sz="4" w:space="0" w:color="CCCCCC"/>
              </w:pBdr>
              <w:spacing w:before="0" w:beforeAutospacing="0" w:after="19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  <w:hyperlink r:id="rId6" w:history="1">
              <w:r w:rsidR="00B93E1B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t>Nuclear and Radiation Safety Law of Georgia (No. 5912 of 20 March of 2013).</w:t>
              </w:r>
            </w:hyperlink>
            <w:r w:rsidR="00B93E1B">
              <w:rPr>
                <w:rStyle w:val="pdf"/>
                <w:rFonts w:ascii="Arial" w:hAnsi="Arial" w:cs="Arial"/>
                <w:i/>
                <w:iCs/>
                <w:color w:val="333333"/>
                <w:sz w:val="14"/>
                <w:szCs w:val="14"/>
                <w:shd w:val="clear" w:color="auto" w:fill="FFFFFF"/>
              </w:rPr>
              <w:t>  </w:t>
            </w:r>
          </w:p>
          <w:p w:rsidR="00B93E1B" w:rsidRDefault="00C5226F" w:rsidP="00C4111A">
            <w:pPr>
              <w:pStyle w:val="titlelist"/>
              <w:numPr>
                <w:ilvl w:val="0"/>
                <w:numId w:val="3"/>
              </w:numPr>
              <w:pBdr>
                <w:top w:val="dotted" w:sz="4" w:space="0" w:color="CCCCCC"/>
              </w:pBdr>
              <w:spacing w:before="0" w:beforeAutospacing="0" w:after="0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  <w:hyperlink r:id="rId7" w:history="1">
              <w:r w:rsidR="00B93E1B">
                <w:rPr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br/>
              </w:r>
              <w:r w:rsidR="00B93E1B" w:rsidRPr="004C677C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t>Law No. 4059</w:t>
              </w:r>
              <w:r w:rsidR="00B93E1B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t xml:space="preserve"> of 15 December 2010 on Tobacco Control. </w:t>
              </w:r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(</w:t>
              </w:r>
              <w:r w:rsidR="005857E9">
                <w:rPr>
                  <w:rStyle w:val="translation1"/>
                  <w:rFonts w:ascii="Sylfaen" w:hAnsi="Sylfaen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recent amendment </w:t>
              </w:r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201</w:t>
              </w:r>
              <w:r w:rsidR="005857E9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7, May 17</w:t>
              </w:r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)</w:t>
              </w:r>
            </w:hyperlink>
            <w:r w:rsidR="00B93E1B">
              <w:rPr>
                <w:rStyle w:val="pdf"/>
                <w:rFonts w:ascii="Arial" w:hAnsi="Arial" w:cs="Arial"/>
                <w:i/>
                <w:iCs/>
                <w:color w:val="333333"/>
                <w:sz w:val="14"/>
                <w:szCs w:val="14"/>
                <w:shd w:val="clear" w:color="auto" w:fill="FFFFFF"/>
              </w:rPr>
              <w:t> - </w:t>
            </w:r>
          </w:p>
          <w:p w:rsidR="00B93E1B" w:rsidRDefault="00C5226F" w:rsidP="00C4111A">
            <w:pPr>
              <w:pStyle w:val="titlelist"/>
              <w:numPr>
                <w:ilvl w:val="0"/>
                <w:numId w:val="4"/>
              </w:numPr>
              <w:pBdr>
                <w:top w:val="dotted" w:sz="4" w:space="0" w:color="CCCCCC"/>
              </w:pBdr>
              <w:spacing w:before="0" w:beforeAutospacing="0" w:after="0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  <w:hyperlink r:id="rId8" w:history="1">
              <w:r w:rsidR="00B93E1B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t>Law No. 2911 of 8 April 2010 on Controlling Technical Hazards. </w:t>
              </w:r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(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ტექნიკური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 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საფრთხის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 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კონტროლის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 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შესახებ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, 2010-04-08)</w:t>
              </w:r>
            </w:hyperlink>
            <w:r w:rsidR="00B93E1B">
              <w:rPr>
                <w:rStyle w:val="pdf"/>
                <w:rFonts w:ascii="Arial" w:hAnsi="Arial" w:cs="Arial"/>
                <w:i/>
                <w:iCs/>
                <w:color w:val="333333"/>
                <w:sz w:val="14"/>
                <w:szCs w:val="14"/>
                <w:shd w:val="clear" w:color="auto" w:fill="FFFFFF"/>
              </w:rPr>
              <w:t> - </w:t>
            </w:r>
          </w:p>
          <w:p w:rsidR="00B93E1B" w:rsidRDefault="00C5226F" w:rsidP="00C4111A">
            <w:pPr>
              <w:pStyle w:val="titlelist"/>
              <w:numPr>
                <w:ilvl w:val="0"/>
                <w:numId w:val="5"/>
              </w:numPr>
              <w:pBdr>
                <w:top w:val="dotted" w:sz="4" w:space="0" w:color="CCCCCC"/>
              </w:pBdr>
              <w:spacing w:before="0" w:beforeAutospacing="0" w:after="0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  <w:hyperlink r:id="rId9" w:history="1">
              <w:r w:rsidR="00B93E1B">
                <w:rPr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br/>
              </w:r>
              <w:r w:rsidR="00B93E1B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644AA"/>
                  <w:sz w:val="14"/>
                  <w:szCs w:val="14"/>
                  <w:shd w:val="clear" w:color="auto" w:fill="FFFFFF"/>
                </w:rPr>
                <w:t>Law on HIV/AIDS (No. 2042-IIs of 17 November 2009). </w:t>
              </w:r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(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აივ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 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ინფექცია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/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შიდსის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 xml:space="preserve"> </w:t>
              </w:r>
              <w:proofErr w:type="spellStart"/>
              <w:r w:rsidR="00B93E1B">
                <w:rPr>
                  <w:rStyle w:val="translation1"/>
                  <w:rFonts w:ascii="Sylfaen" w:hAnsi="Sylfaen" w:cs="Sylfaen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შესახებ</w:t>
              </w:r>
              <w:proofErr w:type="spellEnd"/>
              <w:r w:rsidR="00B93E1B">
                <w:rPr>
                  <w:rStyle w:val="translation1"/>
                  <w:rFonts w:ascii="Arial" w:hAnsi="Arial" w:cs="Arial"/>
                  <w:i/>
                  <w:iCs/>
                  <w:color w:val="0644AA"/>
                  <w:sz w:val="11"/>
                  <w:szCs w:val="11"/>
                  <w:shd w:val="clear" w:color="auto" w:fill="FFFFFF"/>
                </w:rPr>
                <w:t>)</w:t>
              </w:r>
            </w:hyperlink>
            <w:r w:rsidR="00B93E1B">
              <w:rPr>
                <w:rStyle w:val="pdf"/>
                <w:rFonts w:ascii="Arial" w:hAnsi="Arial" w:cs="Arial"/>
                <w:i/>
                <w:iCs/>
                <w:color w:val="333333"/>
                <w:sz w:val="14"/>
                <w:szCs w:val="14"/>
                <w:shd w:val="clear" w:color="auto" w:fill="FFFFFF"/>
              </w:rPr>
              <w:t> - </w:t>
            </w:r>
            <w:r w:rsidR="00B93E1B">
              <w:rPr>
                <w:rFonts w:ascii="Arial" w:hAnsi="Arial" w:cs="Arial"/>
                <w:i/>
                <w:iCs/>
                <w:noProof/>
                <w:color w:val="0644AA"/>
                <w:sz w:val="14"/>
                <w:szCs w:val="14"/>
                <w:shd w:val="clear" w:color="auto" w:fill="FFFFFF"/>
                <w:lang w:val="ka-GE" w:eastAsia="ka-GE"/>
              </w:rPr>
              <w:drawing>
                <wp:inline distT="0" distB="0" distL="0" distR="0" wp14:anchorId="26ED3F31" wp14:editId="769E0CFE">
                  <wp:extent cx="164465" cy="133985"/>
                  <wp:effectExtent l="19050" t="0" r="6985" b="0"/>
                  <wp:docPr id="13" name="Picture 13" descr="Law on-line in Georgian">
                    <a:hlinkClick xmlns:a="http://schemas.openxmlformats.org/drawingml/2006/main" r:id="rId10" tooltip="&quot;Law on-line in Georgia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aw on-line in Georgian">
                            <a:hlinkClick r:id="rId10" tooltip="&quot;Law on-line in Georgia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E1B">
              <w:rPr>
                <w:rStyle w:val="pdf"/>
                <w:rFonts w:ascii="Arial" w:hAnsi="Arial" w:cs="Arial"/>
                <w:i/>
                <w:iCs/>
                <w:color w:val="333333"/>
                <w:sz w:val="14"/>
                <w:szCs w:val="14"/>
                <w:shd w:val="clear" w:color="auto" w:fill="FFFFFF"/>
              </w:rPr>
              <w:t> </w:t>
            </w:r>
            <w:r w:rsidR="00B93E1B">
              <w:rPr>
                <w:rFonts w:ascii="Arial" w:hAnsi="Arial" w:cs="Arial"/>
                <w:i/>
                <w:iCs/>
                <w:noProof/>
                <w:color w:val="EE3300"/>
                <w:sz w:val="14"/>
                <w:szCs w:val="14"/>
                <w:shd w:val="clear" w:color="auto" w:fill="FFFFFF"/>
                <w:lang w:val="ka-GE" w:eastAsia="ka-GE"/>
              </w:rPr>
              <w:drawing>
                <wp:inline distT="0" distB="0" distL="0" distR="0" wp14:anchorId="28657671" wp14:editId="577DA4CA">
                  <wp:extent cx="164465" cy="133985"/>
                  <wp:effectExtent l="19050" t="0" r="6985" b="0"/>
                  <wp:docPr id="14" name="Picture 14" descr="Legislation on-line">
                    <a:hlinkClick xmlns:a="http://schemas.openxmlformats.org/drawingml/2006/main" r:id="rId12" tooltip="&quot;Legislation on-lin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egislation on-line">
                            <a:hlinkClick r:id="rId12" tooltip="&quot;Legislation on-lin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E1B" w:rsidRDefault="00B93E1B" w:rsidP="00C4111A">
            <w:pPr>
              <w:pStyle w:val="titlelist"/>
              <w:numPr>
                <w:ilvl w:val="0"/>
                <w:numId w:val="2"/>
              </w:numPr>
              <w:pBdr>
                <w:top w:val="dotted" w:sz="4" w:space="0" w:color="CCCCCC"/>
              </w:pBdr>
              <w:spacing w:before="0" w:beforeAutospacing="0" w:after="19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</w:p>
          <w:p w:rsidR="00B93E1B" w:rsidRDefault="00B93E1B" w:rsidP="00C4111A">
            <w:pPr>
              <w:pStyle w:val="titlelist"/>
              <w:numPr>
                <w:ilvl w:val="0"/>
                <w:numId w:val="1"/>
              </w:numPr>
              <w:spacing w:before="0" w:beforeAutospacing="0" w:after="19" w:afterAutospacing="0" w:line="336" w:lineRule="atLeast"/>
              <w:ind w:left="0"/>
              <w:rPr>
                <w:rFonts w:ascii="Arial" w:hAnsi="Arial" w:cs="Arial"/>
                <w:b/>
                <w:bCs/>
                <w:i/>
                <w:iCs/>
                <w:color w:val="333333"/>
                <w:sz w:val="14"/>
                <w:szCs w:val="14"/>
                <w:shd w:val="clear" w:color="auto" w:fill="FFFFFF"/>
              </w:rPr>
            </w:pPr>
          </w:p>
          <w:p w:rsidR="00B93E1B" w:rsidRDefault="00B93E1B" w:rsidP="00C4111A"/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a)</w:t>
            </w:r>
          </w:p>
        </w:tc>
        <w:tc>
          <w:tcPr>
            <w:tcW w:w="5310" w:type="dxa"/>
          </w:tcPr>
          <w:p w:rsidR="00B93E1B" w:rsidRDefault="00B93E1B" w:rsidP="00C4111A">
            <w:r>
              <w:t>specific standards in place for the protection of health and safety in particular sectors of economic activity</w:t>
            </w:r>
          </w:p>
        </w:tc>
        <w:tc>
          <w:tcPr>
            <w:tcW w:w="4037" w:type="dxa"/>
          </w:tcPr>
          <w:p w:rsidR="00B93E1B" w:rsidRDefault="00B93E1B" w:rsidP="00C4111A">
            <w:r>
              <w:t>Yes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b)</w:t>
            </w:r>
          </w:p>
        </w:tc>
        <w:tc>
          <w:tcPr>
            <w:tcW w:w="5310" w:type="dxa"/>
          </w:tcPr>
          <w:p w:rsidR="00B93E1B" w:rsidRDefault="00B93E1B" w:rsidP="00C4111A">
            <w:r>
              <w:t>specific standards in place for the protection workers against specific risks such as the exposure to radiation, toxic substances etc.</w:t>
            </w:r>
          </w:p>
        </w:tc>
        <w:tc>
          <w:tcPr>
            <w:tcW w:w="4037" w:type="dxa"/>
          </w:tcPr>
          <w:p w:rsidR="00B93E1B" w:rsidRDefault="00B93E1B" w:rsidP="00C4111A">
            <w:r>
              <w:t>Yes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c)</w:t>
            </w:r>
          </w:p>
        </w:tc>
        <w:tc>
          <w:tcPr>
            <w:tcW w:w="5310" w:type="dxa"/>
          </w:tcPr>
          <w:p w:rsidR="00B93E1B" w:rsidRDefault="00B93E1B" w:rsidP="00C4111A">
            <w:proofErr w:type="gramStart"/>
            <w:r>
              <w:t>specific</w:t>
            </w:r>
            <w:proofErr w:type="gramEnd"/>
            <w:r>
              <w:t xml:space="preserve"> information on permissible exposure levels of workers to such risks, including URL links on established levels and information regarding procedures for establishment of such levels. </w:t>
            </w:r>
          </w:p>
        </w:tc>
        <w:tc>
          <w:tcPr>
            <w:tcW w:w="4037" w:type="dxa"/>
          </w:tcPr>
          <w:p w:rsidR="00B93E1B" w:rsidRDefault="00B93E1B" w:rsidP="00C4111A">
            <w:r>
              <w:t>Yes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2.</w:t>
            </w:r>
          </w:p>
        </w:tc>
        <w:tc>
          <w:tcPr>
            <w:tcW w:w="5310" w:type="dxa"/>
          </w:tcPr>
          <w:p w:rsidR="00B93E1B" w:rsidRPr="000E5ABE" w:rsidRDefault="00B93E1B" w:rsidP="00C4111A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The main Authorities tasked with overseeing the </w:t>
            </w:r>
            <w:r>
              <w:rPr>
                <w:rFonts w:ascii="Sylfaen" w:hAnsi="Sylfaen"/>
              </w:rPr>
              <w:t xml:space="preserve">implementation of occupational </w:t>
            </w:r>
            <w:proofErr w:type="spellStart"/>
            <w:r>
              <w:rPr>
                <w:rFonts w:ascii="Sylfaen" w:hAnsi="Sylfaen"/>
              </w:rPr>
              <w:t>heath</w:t>
            </w:r>
            <w:proofErr w:type="spellEnd"/>
            <w:r>
              <w:rPr>
                <w:rFonts w:ascii="Sylfaen" w:hAnsi="Sylfaen"/>
              </w:rPr>
              <w:t xml:space="preserve"> norms and </w:t>
            </w:r>
            <w:proofErr w:type="spellStart"/>
            <w:r>
              <w:rPr>
                <w:rFonts w:ascii="Sylfaen" w:hAnsi="Sylfaen"/>
              </w:rPr>
              <w:t>describtion</w:t>
            </w:r>
            <w:proofErr w:type="spellEnd"/>
            <w:r>
              <w:rPr>
                <w:rFonts w:ascii="Sylfaen" w:hAnsi="Sylfaen"/>
              </w:rPr>
              <w:t xml:space="preserve"> on their standards. </w:t>
            </w:r>
          </w:p>
        </w:tc>
        <w:tc>
          <w:tcPr>
            <w:tcW w:w="4037" w:type="dxa"/>
          </w:tcPr>
          <w:p w:rsidR="00B93E1B" w:rsidRDefault="00B93E1B" w:rsidP="00C4111A">
            <w:pPr>
              <w:numPr>
                <w:ilvl w:val="0"/>
                <w:numId w:val="6"/>
              </w:numPr>
              <w:spacing w:before="100" w:beforeAutospacing="1"/>
              <w:ind w:left="0"/>
            </w:pPr>
            <w:r w:rsidRPr="005F509D">
              <w:rPr>
                <w:rFonts w:ascii="Helvetica" w:eastAsia="Times New Roman" w:hAnsi="Helvetica" w:cs="Helvetica"/>
              </w:rPr>
              <w:t xml:space="preserve">Ministry of </w:t>
            </w:r>
            <w:proofErr w:type="spellStart"/>
            <w:r w:rsidRPr="005F509D">
              <w:rPr>
                <w:rFonts w:ascii="Helvetica" w:eastAsia="Times New Roman" w:hAnsi="Helvetica" w:cs="Helvetica"/>
              </w:rPr>
              <w:t>Labour</w:t>
            </w:r>
            <w:proofErr w:type="spellEnd"/>
            <w:r w:rsidRPr="005F509D">
              <w:rPr>
                <w:rFonts w:ascii="Helvetica" w:eastAsia="Times New Roman" w:hAnsi="Helvetica" w:cs="Helvetica"/>
              </w:rPr>
              <w:t xml:space="preserve"> Health and Social Affairs</w:t>
            </w:r>
            <w:r>
              <w:rPr>
                <w:rFonts w:ascii="Helvetica" w:eastAsia="Times New Roman" w:hAnsi="Helvetica" w:cs="Helvetica"/>
                <w:color w:val="4B4B4B"/>
                <w:sz w:val="13"/>
                <w:szCs w:val="13"/>
              </w:rPr>
              <w:t xml:space="preserve"> 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3</w:t>
            </w:r>
          </w:p>
        </w:tc>
        <w:tc>
          <w:tcPr>
            <w:tcW w:w="5310" w:type="dxa"/>
          </w:tcPr>
          <w:p w:rsidR="00B93E1B" w:rsidRDefault="00B93E1B" w:rsidP="00C4111A">
            <w:r>
              <w:t>The National Laws establishing the rights of workers to information on issues relating to their occupational health and safety</w:t>
            </w:r>
          </w:p>
        </w:tc>
        <w:tc>
          <w:tcPr>
            <w:tcW w:w="4037" w:type="dxa"/>
          </w:tcPr>
          <w:p w:rsidR="00B93E1B" w:rsidRDefault="00B93E1B" w:rsidP="00C4111A">
            <w:r>
              <w:t>See lows above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4</w:t>
            </w:r>
          </w:p>
        </w:tc>
        <w:tc>
          <w:tcPr>
            <w:tcW w:w="5310" w:type="dxa"/>
          </w:tcPr>
          <w:p w:rsidR="00B93E1B" w:rsidRDefault="00B93E1B" w:rsidP="00C4111A">
            <w:r>
              <w:t xml:space="preserve">The National Laws and </w:t>
            </w:r>
            <w:proofErr w:type="gramStart"/>
            <w:r>
              <w:t>regulations  providing</w:t>
            </w:r>
            <w:proofErr w:type="gramEnd"/>
            <w:r>
              <w:t xml:space="preserve"> protection to whistleblowers sharing information on their work activity and environment, particularly concerning disclosures on harms to the environment and public health. </w:t>
            </w:r>
            <w:proofErr w:type="spellStart"/>
            <w:r w:rsidRPr="00850A9E">
              <w:rPr>
                <w:rFonts w:ascii="Sylfaen" w:hAnsi="Sylfaen" w:cs="Sylfaen"/>
              </w:rPr>
              <w:t>ეროვნული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კანონები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და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რეგულაციები</w:t>
            </w:r>
            <w:proofErr w:type="spellEnd"/>
            <w:r w:rsidRPr="00850A9E">
              <w:t xml:space="preserve">, </w:t>
            </w:r>
            <w:proofErr w:type="spellStart"/>
            <w:r w:rsidRPr="00850A9E">
              <w:rPr>
                <w:rFonts w:ascii="Sylfaen" w:hAnsi="Sylfaen" w:cs="Sylfaen"/>
              </w:rPr>
              <w:t>რომლებიც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უზრუნველყოფენ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უშიშროებას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მათი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საქმიანობის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შესახებ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ინფორმაციის</w:t>
            </w:r>
            <w:proofErr w:type="spellEnd"/>
            <w:r w:rsidRPr="00850A9E">
              <w:t xml:space="preserve"> </w:t>
            </w:r>
            <w:proofErr w:type="spellStart"/>
            <w:r w:rsidRPr="00850A9E">
              <w:rPr>
                <w:rFonts w:ascii="Sylfaen" w:hAnsi="Sylfaen" w:cs="Sylfaen"/>
              </w:rPr>
              <w:t>გაზიარებაზე</w:t>
            </w:r>
            <w:proofErr w:type="spellEnd"/>
          </w:p>
        </w:tc>
        <w:tc>
          <w:tcPr>
            <w:tcW w:w="4037" w:type="dxa"/>
          </w:tcPr>
          <w:p w:rsidR="00B93E1B" w:rsidRDefault="00B93E1B" w:rsidP="00C4111A">
            <w:r>
              <w:t>LAW OF GEORGIA ON CONFLICT OF INTEREST AND CORRUPTION IN PUBLIC SERVICE [ON CONFLICT OF INTEREST AND CORRUPTION IN PUBLIC INSTITUTIONS (Shall enter into force from 1 January 2017)] Law of Georgia No 4358 of 27 October 2015 - website, 11.11.2015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lastRenderedPageBreak/>
              <w:t>5</w:t>
            </w:r>
          </w:p>
        </w:tc>
        <w:tc>
          <w:tcPr>
            <w:tcW w:w="5310" w:type="dxa"/>
          </w:tcPr>
          <w:p w:rsidR="00B93E1B" w:rsidRDefault="00B93E1B" w:rsidP="00C4111A">
            <w:r>
              <w:t>Existing national laws ensuring workers on realize their right to justice and an effective remedy for occupational exposure to hazardous substances.</w:t>
            </w:r>
          </w:p>
        </w:tc>
        <w:tc>
          <w:tcPr>
            <w:tcW w:w="4037" w:type="dxa"/>
          </w:tcPr>
          <w:p w:rsidR="00B93E1B" w:rsidRDefault="00B93E1B" w:rsidP="00C4111A">
            <w:r>
              <w:t>Action Plan of the Government of Georgia on the Protection of Human Rights 2014-2016</w:t>
            </w:r>
          </w:p>
          <w:p w:rsidR="00B93E1B" w:rsidRDefault="00B93E1B" w:rsidP="00C4111A">
            <w:r>
              <w:t xml:space="preserve">Human rights in Georgia are </w:t>
            </w:r>
            <w:r w:rsidRPr="00B37443">
              <w:rPr>
                <w:rFonts w:ascii="Arial" w:hAnsi="Arial" w:cs="Arial"/>
                <w:color w:val="222222"/>
                <w:shd w:val="clear" w:color="auto" w:fill="FFFFFF"/>
              </w:rPr>
              <w:t>guaranteed by the  Country Constitution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6</w:t>
            </w:r>
          </w:p>
        </w:tc>
        <w:tc>
          <w:tcPr>
            <w:tcW w:w="5310" w:type="dxa"/>
          </w:tcPr>
          <w:p w:rsidR="00B93E1B" w:rsidRDefault="00B93E1B" w:rsidP="00C4111A">
            <w:r>
              <w:t xml:space="preserve">Indicate if public officials periodically </w:t>
            </w:r>
            <w:proofErr w:type="spellStart"/>
            <w:r>
              <w:t>analyse</w:t>
            </w:r>
            <w:proofErr w:type="spellEnd"/>
            <w:r>
              <w:t xml:space="preserve"> the situation of occupational safety and health and how these assessments are published</w:t>
            </w:r>
          </w:p>
        </w:tc>
        <w:tc>
          <w:tcPr>
            <w:tcW w:w="4037" w:type="dxa"/>
          </w:tcPr>
          <w:p w:rsidR="00B93E1B" w:rsidRDefault="00B93E1B" w:rsidP="00C4111A">
            <w:proofErr w:type="gramStart"/>
            <w:r>
              <w:t>the</w:t>
            </w:r>
            <w:proofErr w:type="gramEnd"/>
            <w:r>
              <w:t xml:space="preserve"> Report of the Public Defender of Georgia for 2013 on the protection of human rights and freedoms in Georgia.</w:t>
            </w:r>
          </w:p>
          <w:p w:rsidR="00B93E1B" w:rsidRDefault="00B93E1B" w:rsidP="00C4111A"/>
          <w:p w:rsidR="00B93E1B" w:rsidRDefault="00B93E1B" w:rsidP="00C4111A">
            <w:r>
              <w:t xml:space="preserve">Not available periodically reports on </w:t>
            </w:r>
            <w:proofErr w:type="spellStart"/>
            <w:r>
              <w:t>analyse</w:t>
            </w:r>
            <w:proofErr w:type="spellEnd"/>
            <w:r>
              <w:t xml:space="preserve"> the situation of occupational safety and health. </w:t>
            </w:r>
          </w:p>
          <w:p w:rsidR="00B93E1B" w:rsidRDefault="00B93E1B" w:rsidP="00C4111A"/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  <w:r>
              <w:t>7</w:t>
            </w:r>
          </w:p>
        </w:tc>
        <w:tc>
          <w:tcPr>
            <w:tcW w:w="5310" w:type="dxa"/>
          </w:tcPr>
          <w:p w:rsidR="00B93E1B" w:rsidRDefault="00B93E1B" w:rsidP="00C4111A">
            <w:r>
              <w:t xml:space="preserve">Indicate if your Government considers </w:t>
            </w:r>
            <w:proofErr w:type="spellStart"/>
            <w:r>
              <w:t>revizing</w:t>
            </w:r>
            <w:proofErr w:type="spellEnd"/>
            <w:r>
              <w:t xml:space="preserve"> its exiting norms for occupational health and safety and </w:t>
            </w:r>
            <w:proofErr w:type="spellStart"/>
            <w:r>
              <w:t>resourses</w:t>
            </w:r>
            <w:proofErr w:type="spellEnd"/>
            <w:r>
              <w:t xml:space="preserve"> for this possible revision. </w:t>
            </w:r>
          </w:p>
        </w:tc>
        <w:tc>
          <w:tcPr>
            <w:tcW w:w="4037" w:type="dxa"/>
          </w:tcPr>
          <w:p w:rsidR="00B93E1B" w:rsidRDefault="00B93E1B" w:rsidP="00C4111A">
            <w:r>
              <w:t>No</w:t>
            </w:r>
          </w:p>
        </w:tc>
      </w:tr>
      <w:tr w:rsidR="00B93E1B" w:rsidTr="00C4111A">
        <w:tc>
          <w:tcPr>
            <w:tcW w:w="558" w:type="dxa"/>
          </w:tcPr>
          <w:p w:rsidR="00B93E1B" w:rsidRDefault="00B93E1B" w:rsidP="00C4111A">
            <w:pPr>
              <w:jc w:val="center"/>
            </w:pPr>
          </w:p>
        </w:tc>
        <w:tc>
          <w:tcPr>
            <w:tcW w:w="5310" w:type="dxa"/>
          </w:tcPr>
          <w:p w:rsidR="00B93E1B" w:rsidRDefault="00B93E1B" w:rsidP="00C4111A"/>
        </w:tc>
        <w:tc>
          <w:tcPr>
            <w:tcW w:w="4037" w:type="dxa"/>
          </w:tcPr>
          <w:p w:rsidR="00B93E1B" w:rsidRDefault="00B93E1B" w:rsidP="00C4111A"/>
        </w:tc>
      </w:tr>
    </w:tbl>
    <w:p w:rsidR="00B93E1B" w:rsidRDefault="00B93E1B" w:rsidP="00B93E1B"/>
    <w:p w:rsidR="00F40FD8" w:rsidRDefault="00F40FD8"/>
    <w:sectPr w:rsidR="00F40FD8" w:rsidSect="000B46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44414"/>
    <w:multiLevelType w:val="multilevel"/>
    <w:tmpl w:val="E4D0A6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A4B00D8"/>
    <w:multiLevelType w:val="multilevel"/>
    <w:tmpl w:val="022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A46D2"/>
    <w:multiLevelType w:val="multilevel"/>
    <w:tmpl w:val="67AC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557AA"/>
    <w:multiLevelType w:val="multilevel"/>
    <w:tmpl w:val="AD4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11EBA"/>
    <w:multiLevelType w:val="multilevel"/>
    <w:tmpl w:val="1360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133AF"/>
    <w:multiLevelType w:val="multilevel"/>
    <w:tmpl w:val="10F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1B"/>
    <w:rsid w:val="00496DB4"/>
    <w:rsid w:val="005857E9"/>
    <w:rsid w:val="00B93E1B"/>
    <w:rsid w:val="00C5226F"/>
    <w:rsid w:val="00F4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4EF43-E67F-4DE5-A04F-F0F1939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E1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list">
    <w:name w:val="titlelist"/>
    <w:basedOn w:val="Normal"/>
    <w:rsid w:val="00B9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3E1B"/>
    <w:rPr>
      <w:color w:val="0000FF"/>
      <w:u w:val="single"/>
    </w:rPr>
  </w:style>
  <w:style w:type="character" w:customStyle="1" w:styleId="pdf">
    <w:name w:val="pdf"/>
    <w:basedOn w:val="DefaultParagraphFont"/>
    <w:rsid w:val="00B93E1B"/>
  </w:style>
  <w:style w:type="character" w:customStyle="1" w:styleId="translation1">
    <w:name w:val="translation1"/>
    <w:basedOn w:val="DefaultParagraphFont"/>
    <w:rsid w:val="00B93E1B"/>
  </w:style>
  <w:style w:type="paragraph" w:styleId="BalloonText">
    <w:name w:val="Balloon Text"/>
    <w:basedOn w:val="Normal"/>
    <w:link w:val="BalloonTextChar"/>
    <w:uiPriority w:val="99"/>
    <w:semiHidden/>
    <w:unhideWhenUsed/>
    <w:rsid w:val="00B9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o.org/dyn/natlex/natlex4.detail?p_lang=en&amp;p_isn=88315&amp;p_country=GEO&amp;p_classification=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o.org/dyn/natlex/natlex4.detail?p_lang=en&amp;p_isn=88316&amp;p_country=GEO&amp;p_classification=14" TargetMode="External"/><Relationship Id="rId12" Type="http://schemas.openxmlformats.org/officeDocument/2006/relationships/hyperlink" Target="https://matsne.gov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lo.org/dyn/natlex/natlex4.detail?p_lang=en&amp;p_isn=94748&amp;p_country=GEO&amp;p_classification=14.01" TargetMode="External"/><Relationship Id="rId11" Type="http://schemas.openxmlformats.org/officeDocument/2006/relationships/image" Target="media/image1.gif"/><Relationship Id="rId5" Type="http://schemas.openxmlformats.org/officeDocument/2006/relationships/hyperlink" Target="http://www.ilo.org/dyn/natlex/natlex4.detail?p_lang=en&amp;p_isn=104538&amp;p_country=GEO&amp;p_classification=14.01" TargetMode="External"/><Relationship Id="rId10" Type="http://schemas.openxmlformats.org/officeDocument/2006/relationships/hyperlink" Target="http://www.parliament.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o.org/dyn/natlex/natlex4.detail?p_lang=en&amp;p_isn=85366&amp;p_country=GEO&amp;p_classification=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Tornike Robakidze</cp:lastModifiedBy>
  <cp:revision>2</cp:revision>
  <dcterms:created xsi:type="dcterms:W3CDTF">2018-03-02T13:33:00Z</dcterms:created>
  <dcterms:modified xsi:type="dcterms:W3CDTF">2018-03-02T13:33:00Z</dcterms:modified>
</cp:coreProperties>
</file>