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908" w:rsidRDefault="00064908" w:rsidP="00064908">
      <w:pPr>
        <w:tabs>
          <w:tab w:val="left" w:pos="567"/>
        </w:tabs>
        <w:jc w:val="both"/>
        <w:rPr>
          <w:rFonts w:ascii="Arial" w:hAnsi="Arial" w:cs="Arial"/>
          <w:b/>
          <w:lang w:val="en-AU" w:eastAsia="fi-FI"/>
        </w:rPr>
      </w:pPr>
    </w:p>
    <w:p w:rsidR="00064908" w:rsidRPr="003A6B14" w:rsidRDefault="00064908" w:rsidP="00064908">
      <w:pPr>
        <w:tabs>
          <w:tab w:val="left" w:pos="567"/>
        </w:tabs>
        <w:jc w:val="both"/>
        <w:rPr>
          <w:rFonts w:ascii="Arial" w:hAnsi="Arial" w:cs="Arial"/>
          <w:b/>
          <w:lang w:val="en-US" w:eastAsia="fi-FI"/>
        </w:rPr>
      </w:pPr>
    </w:p>
    <w:p w:rsidR="004E0F65" w:rsidRDefault="003C7899" w:rsidP="00064908">
      <w:pPr>
        <w:autoSpaceDE w:val="0"/>
        <w:autoSpaceDN w:val="0"/>
        <w:adjustRightInd w:val="0"/>
        <w:spacing w:after="160" w:line="259" w:lineRule="auto"/>
        <w:jc w:val="both"/>
        <w:rPr>
          <w:rFonts w:ascii="Calibri" w:eastAsia="Times New Roman" w:hAnsi="Calibri" w:cs="Arial"/>
          <w:b/>
          <w:sz w:val="24"/>
          <w:szCs w:val="24"/>
          <w:lang w:val="en-US" w:eastAsia="en-US" w:bidi="ar-SA"/>
        </w:rPr>
      </w:pPr>
      <w:r>
        <w:rPr>
          <w:rFonts w:ascii="Calibri" w:eastAsia="Times New Roman" w:hAnsi="Calibri" w:cs="Arial"/>
          <w:b/>
          <w:sz w:val="24"/>
          <w:szCs w:val="24"/>
          <w:lang w:val="en-US" w:eastAsia="en-US" w:bidi="ar-SA"/>
        </w:rPr>
        <w:t>O</w:t>
      </w:r>
      <w:r w:rsidR="009D7701" w:rsidRPr="009D7701">
        <w:rPr>
          <w:rFonts w:ascii="Calibri" w:eastAsia="Times New Roman" w:hAnsi="Calibri" w:cs="Arial"/>
          <w:b/>
          <w:sz w:val="24"/>
          <w:szCs w:val="24"/>
          <w:lang w:val="en-US" w:eastAsia="en-US" w:bidi="ar-SA"/>
        </w:rPr>
        <w:t>n the implementation of General Assembly resolution A/RES/70/126 of 17 December 2015, entitled “Promoting social integration through social inclusion”</w:t>
      </w:r>
    </w:p>
    <w:p w:rsidR="003C7899" w:rsidRDefault="003C7899" w:rsidP="00064908">
      <w:pPr>
        <w:autoSpaceDE w:val="0"/>
        <w:autoSpaceDN w:val="0"/>
        <w:adjustRightInd w:val="0"/>
        <w:spacing w:after="160" w:line="259" w:lineRule="auto"/>
        <w:jc w:val="both"/>
        <w:rPr>
          <w:rFonts w:ascii="Calibri" w:eastAsia="Times New Roman" w:hAnsi="Calibri" w:cs="Arial"/>
          <w:b/>
          <w:sz w:val="24"/>
          <w:szCs w:val="24"/>
          <w:lang w:val="en-US" w:eastAsia="en-US" w:bidi="ar-SA"/>
        </w:rPr>
      </w:pPr>
      <w:r>
        <w:rPr>
          <w:rFonts w:ascii="Calibri" w:eastAsia="Times New Roman" w:hAnsi="Calibri" w:cs="Arial"/>
          <w:b/>
          <w:sz w:val="24"/>
          <w:szCs w:val="24"/>
          <w:lang w:val="en-US" w:eastAsia="en-US" w:bidi="ar-SA"/>
        </w:rPr>
        <w:t xml:space="preserve">We would like to present the information about the progress of Georgia </w:t>
      </w:r>
      <w:r w:rsidR="008033EF">
        <w:rPr>
          <w:rFonts w:ascii="Calibri" w:eastAsia="Times New Roman" w:hAnsi="Calibri" w:cs="Arial"/>
          <w:b/>
          <w:sz w:val="24"/>
          <w:szCs w:val="24"/>
          <w:lang w:val="en-US" w:eastAsia="en-US" w:bidi="ar-SA"/>
        </w:rPr>
        <w:t>in the process of implementatio</w:t>
      </w:r>
      <w:r>
        <w:rPr>
          <w:rFonts w:ascii="Calibri" w:eastAsia="Times New Roman" w:hAnsi="Calibri" w:cs="Arial"/>
          <w:b/>
          <w:sz w:val="24"/>
          <w:szCs w:val="24"/>
          <w:lang w:val="en-US" w:eastAsia="en-US" w:bidi="ar-SA"/>
        </w:rPr>
        <w:t xml:space="preserve">n of activities envisaged </w:t>
      </w:r>
      <w:r w:rsidR="008033EF">
        <w:rPr>
          <w:rFonts w:ascii="Calibri" w:eastAsia="Times New Roman" w:hAnsi="Calibri" w:cs="Arial"/>
          <w:b/>
          <w:sz w:val="24"/>
          <w:szCs w:val="24"/>
          <w:lang w:val="en-US" w:eastAsia="en-US" w:bidi="ar-SA"/>
        </w:rPr>
        <w:t>by</w:t>
      </w:r>
      <w:r>
        <w:rPr>
          <w:rFonts w:ascii="Calibri" w:eastAsia="Times New Roman" w:hAnsi="Calibri" w:cs="Arial"/>
          <w:b/>
          <w:sz w:val="24"/>
          <w:szCs w:val="24"/>
          <w:lang w:val="en-US" w:eastAsia="en-US" w:bidi="ar-SA"/>
        </w:rPr>
        <w:t xml:space="preserve"> the </w:t>
      </w:r>
      <w:r w:rsidRPr="009D7701">
        <w:rPr>
          <w:rFonts w:ascii="Calibri" w:eastAsia="Times New Roman" w:hAnsi="Calibri" w:cs="Arial"/>
          <w:b/>
          <w:sz w:val="24"/>
          <w:szCs w:val="24"/>
          <w:lang w:val="en-US" w:eastAsia="en-US" w:bidi="ar-SA"/>
        </w:rPr>
        <w:t>General Assembly resolution</w:t>
      </w:r>
      <w:r>
        <w:rPr>
          <w:rFonts w:ascii="Calibri" w:eastAsia="Times New Roman" w:hAnsi="Calibri" w:cs="Arial"/>
          <w:b/>
          <w:sz w:val="24"/>
          <w:szCs w:val="24"/>
          <w:lang w:val="en-US" w:eastAsia="en-US" w:bidi="ar-SA"/>
        </w:rPr>
        <w:t xml:space="preserve"> A/RES/70/126</w:t>
      </w:r>
      <w:r w:rsidR="008033EF">
        <w:rPr>
          <w:rFonts w:ascii="Calibri" w:eastAsia="Times New Roman" w:hAnsi="Calibri" w:cs="Arial"/>
          <w:b/>
          <w:sz w:val="24"/>
          <w:szCs w:val="24"/>
          <w:lang w:val="en-US" w:eastAsia="en-US" w:bidi="ar-SA"/>
        </w:rPr>
        <w:t>:</w:t>
      </w:r>
    </w:p>
    <w:p w:rsidR="008033EF" w:rsidRPr="008033EF" w:rsidRDefault="007951A9" w:rsidP="008033EF">
      <w:pPr>
        <w:pStyle w:val="ListParagraph"/>
        <w:numPr>
          <w:ilvl w:val="0"/>
          <w:numId w:val="1"/>
        </w:numPr>
        <w:autoSpaceDE w:val="0"/>
        <w:autoSpaceDN w:val="0"/>
        <w:adjustRightInd w:val="0"/>
        <w:spacing w:after="160" w:line="259" w:lineRule="auto"/>
        <w:jc w:val="both"/>
        <w:rPr>
          <w:rFonts w:ascii="Calibri" w:eastAsia="Times New Roman" w:hAnsi="Calibri" w:cs="Arial"/>
          <w:b/>
          <w:sz w:val="24"/>
          <w:szCs w:val="24"/>
          <w:lang w:val="en-US" w:eastAsia="en-US" w:bidi="ar-SA"/>
        </w:rPr>
      </w:pPr>
      <w:r>
        <w:rPr>
          <w:rFonts w:ascii="Calibri" w:eastAsia="Times New Roman" w:hAnsi="Calibri" w:cs="Arial"/>
          <w:b/>
          <w:sz w:val="24"/>
          <w:szCs w:val="24"/>
          <w:lang w:val="en-US" w:eastAsia="en-US" w:bidi="ar-SA"/>
        </w:rPr>
        <w:t xml:space="preserve">b) </w:t>
      </w:r>
      <w:r w:rsidR="008033EF">
        <w:rPr>
          <w:rFonts w:ascii="Calibri" w:eastAsia="Times New Roman" w:hAnsi="Calibri" w:cs="Arial"/>
          <w:b/>
          <w:sz w:val="24"/>
          <w:szCs w:val="24"/>
          <w:lang w:val="en-US" w:eastAsia="en-US" w:bidi="ar-SA"/>
        </w:rPr>
        <w:t>anti-discrimination measures</w:t>
      </w:r>
      <w:r>
        <w:rPr>
          <w:rFonts w:ascii="Calibri" w:eastAsia="Times New Roman" w:hAnsi="Calibri" w:cs="Arial"/>
          <w:b/>
          <w:sz w:val="24"/>
          <w:szCs w:val="24"/>
          <w:lang w:val="en-US" w:eastAsia="en-US" w:bidi="ar-SA"/>
        </w:rPr>
        <w:t xml:space="preserve"> and c) other measures for advancing social integration</w:t>
      </w:r>
    </w:p>
    <w:p w:rsidR="00064908" w:rsidRPr="001D1262" w:rsidRDefault="007951A9" w:rsidP="00064908">
      <w:pPr>
        <w:autoSpaceDE w:val="0"/>
        <w:autoSpaceDN w:val="0"/>
        <w:adjustRightInd w:val="0"/>
        <w:spacing w:after="160" w:line="259" w:lineRule="auto"/>
        <w:jc w:val="both"/>
        <w:rPr>
          <w:rFonts w:ascii="Calibri" w:eastAsia="Times New Roman" w:hAnsi="Calibri" w:cs="Arial"/>
          <w:sz w:val="24"/>
          <w:szCs w:val="24"/>
          <w:lang w:val="en-US" w:eastAsia="en-US" w:bidi="ar-SA"/>
        </w:rPr>
      </w:pPr>
      <w:r>
        <w:rPr>
          <w:rFonts w:ascii="Calibri" w:eastAsia="Times New Roman" w:hAnsi="Calibri" w:cs="Arial"/>
          <w:sz w:val="24"/>
          <w:szCs w:val="24"/>
          <w:lang w:val="en-US" w:eastAsia="en-US" w:bidi="ar-SA"/>
        </w:rPr>
        <w:t xml:space="preserve">On </w:t>
      </w:r>
      <w:r w:rsidR="00064908" w:rsidRPr="001D1262">
        <w:rPr>
          <w:rFonts w:ascii="Calibri" w:eastAsia="Times New Roman" w:hAnsi="Calibri" w:cs="Arial"/>
          <w:sz w:val="24"/>
          <w:szCs w:val="24"/>
          <w:lang w:val="en-US" w:eastAsia="en-US" w:bidi="ar-SA"/>
        </w:rPr>
        <w:t xml:space="preserve">April 1, 2015, the Parliament of Georgia changed the legislative norms related to Articles 14, 16, 18, 36 and 42 of the Constitution of Georgia and made relevant amendments to the Civil Code of Georgia and 67 respective laws (hereinafter referred to as reform of the “legal incapacity”). Within the reform amendments have been made to over 200 statutory laws. Besides harmonization </w:t>
      </w:r>
      <w:r w:rsidR="007B6562">
        <w:rPr>
          <w:rFonts w:ascii="Calibri" w:eastAsia="Times New Roman" w:hAnsi="Calibri" w:cs="Arial"/>
          <w:sz w:val="24"/>
          <w:szCs w:val="24"/>
          <w:lang w:val="en-US" w:eastAsia="en-US" w:bidi="ar-SA"/>
        </w:rPr>
        <w:t>to</w:t>
      </w:r>
      <w:r w:rsidR="007B6562" w:rsidRPr="001D1262">
        <w:rPr>
          <w:rFonts w:ascii="Calibri" w:eastAsia="Times New Roman" w:hAnsi="Calibri" w:cs="Arial"/>
          <w:sz w:val="24"/>
          <w:szCs w:val="24"/>
          <w:lang w:val="en-US" w:eastAsia="en-US" w:bidi="ar-SA"/>
        </w:rPr>
        <w:t xml:space="preserve"> </w:t>
      </w:r>
      <w:r w:rsidR="00064908" w:rsidRPr="001D1262">
        <w:rPr>
          <w:rFonts w:ascii="Calibri" w:eastAsia="Times New Roman" w:hAnsi="Calibri" w:cs="Arial"/>
          <w:sz w:val="24"/>
          <w:szCs w:val="24"/>
          <w:lang w:val="en-US" w:eastAsia="en-US" w:bidi="ar-SA"/>
        </w:rPr>
        <w:t xml:space="preserve">the Decision of the Constitutional Court </w:t>
      </w:r>
      <w:r w:rsidR="007B6562">
        <w:rPr>
          <w:rFonts w:ascii="Calibri" w:eastAsia="Times New Roman" w:hAnsi="Calibri" w:cs="Arial"/>
          <w:sz w:val="24"/>
          <w:szCs w:val="24"/>
          <w:lang w:val="en-US" w:eastAsia="en-US" w:bidi="ar-SA"/>
        </w:rPr>
        <w:t>of</w:t>
      </w:r>
      <w:r w:rsidR="007B6562" w:rsidRPr="001D1262">
        <w:rPr>
          <w:rFonts w:ascii="Calibri" w:eastAsia="Times New Roman" w:hAnsi="Calibri" w:cs="Arial"/>
          <w:sz w:val="24"/>
          <w:szCs w:val="24"/>
          <w:lang w:val="en-US" w:eastAsia="en-US" w:bidi="ar-SA"/>
        </w:rPr>
        <w:t xml:space="preserve"> </w:t>
      </w:r>
      <w:r w:rsidR="00064908" w:rsidRPr="001D1262">
        <w:rPr>
          <w:rFonts w:ascii="Calibri" w:eastAsia="Times New Roman" w:hAnsi="Calibri" w:cs="Arial"/>
          <w:sz w:val="24"/>
          <w:szCs w:val="24"/>
          <w:lang w:val="en-US" w:eastAsia="en-US" w:bidi="ar-SA"/>
        </w:rPr>
        <w:t>the Georgian legislation, these amendments envisage systemic reform of the “legal incapacity” and its compatibility with the principles of Article 12 of the UN Convention.</w:t>
      </w:r>
    </w:p>
    <w:p w:rsidR="00781466" w:rsidRDefault="00064908" w:rsidP="00957E24">
      <w:pPr>
        <w:autoSpaceDE w:val="0"/>
        <w:autoSpaceDN w:val="0"/>
        <w:adjustRightInd w:val="0"/>
        <w:spacing w:after="160" w:line="259" w:lineRule="auto"/>
        <w:jc w:val="both"/>
        <w:rPr>
          <w:rFonts w:ascii="Calibri" w:eastAsia="Times New Roman" w:hAnsi="Calibri"/>
          <w:sz w:val="24"/>
          <w:szCs w:val="24"/>
          <w:lang w:val="en-US" w:eastAsia="en-US" w:bidi="ar-SA"/>
        </w:rPr>
      </w:pPr>
      <w:r w:rsidRPr="001D1262">
        <w:rPr>
          <w:rFonts w:ascii="Calibri" w:eastAsia="Times New Roman" w:hAnsi="Calibri"/>
          <w:sz w:val="24"/>
          <w:szCs w:val="24"/>
          <w:lang w:val="en-US" w:eastAsia="en-US" w:bidi="ar-SA"/>
        </w:rPr>
        <w:t xml:space="preserve">As a result of the reform, instead of a legally incapable person, a new concept of “a person with psychosocial needs” (receiver of assistance) </w:t>
      </w:r>
      <w:r w:rsidR="007B6562">
        <w:rPr>
          <w:rFonts w:ascii="Calibri" w:eastAsia="Times New Roman" w:hAnsi="Calibri"/>
          <w:sz w:val="24"/>
          <w:szCs w:val="24"/>
          <w:lang w:val="en-US" w:eastAsia="en-US" w:bidi="ar-SA"/>
        </w:rPr>
        <w:t xml:space="preserve">was </w:t>
      </w:r>
      <w:r w:rsidRPr="001D1262">
        <w:rPr>
          <w:rFonts w:ascii="Calibri" w:eastAsia="Times New Roman" w:hAnsi="Calibri"/>
          <w:sz w:val="24"/>
          <w:szCs w:val="24"/>
          <w:lang w:val="en-US" w:eastAsia="en-US" w:bidi="ar-SA"/>
        </w:rPr>
        <w:t xml:space="preserve"> introduced to the Civil Code of Georgia. According to the same Law, a person with psychosocial needs is a person with significant psychological, mental and intellectual disabilities interaction of which with other obstacles may prevent such a person from full and effective participation in social life in equal conditions with others. </w:t>
      </w:r>
    </w:p>
    <w:p w:rsidR="00781466" w:rsidRDefault="00064908" w:rsidP="00957E24">
      <w:pPr>
        <w:autoSpaceDE w:val="0"/>
        <w:autoSpaceDN w:val="0"/>
        <w:adjustRightInd w:val="0"/>
        <w:spacing w:after="160" w:line="259" w:lineRule="auto"/>
        <w:jc w:val="both"/>
        <w:rPr>
          <w:rFonts w:ascii="Calibri" w:eastAsia="Times New Roman" w:hAnsi="Calibri"/>
          <w:sz w:val="24"/>
          <w:szCs w:val="24"/>
          <w:lang w:val="en-US" w:eastAsia="en-US" w:bidi="ar-SA"/>
        </w:rPr>
      </w:pPr>
      <w:r w:rsidRPr="001D1262">
        <w:rPr>
          <w:rFonts w:ascii="Calibri" w:eastAsia="Times New Roman" w:hAnsi="Calibri"/>
          <w:sz w:val="24"/>
          <w:szCs w:val="24"/>
          <w:lang w:val="en-US" w:eastAsia="en-US" w:bidi="ar-SA"/>
        </w:rPr>
        <w:t xml:space="preserve">According to the Civil Procedure Code of Georgia, </w:t>
      </w:r>
      <w:r w:rsidR="00781466">
        <w:rPr>
          <w:rFonts w:ascii="Calibri" w:eastAsia="Times New Roman" w:hAnsi="Calibri"/>
          <w:sz w:val="24"/>
          <w:szCs w:val="24"/>
          <w:lang w:val="en-US" w:eastAsia="en-US" w:bidi="ar-SA"/>
        </w:rPr>
        <w:t>a</w:t>
      </w:r>
      <w:r w:rsidR="00957E24" w:rsidRPr="00957E24">
        <w:rPr>
          <w:rFonts w:ascii="Calibri" w:eastAsia="Times New Roman" w:hAnsi="Calibri"/>
          <w:sz w:val="24"/>
          <w:szCs w:val="24"/>
          <w:lang w:val="en-US" w:eastAsia="en-US" w:bidi="ar-SA"/>
        </w:rPr>
        <w:t>n application for declaring a person as a beneficiary</w:t>
      </w:r>
      <w:r w:rsidR="00957E24">
        <w:rPr>
          <w:rFonts w:ascii="Sylfaen" w:eastAsia="Times New Roman" w:hAnsi="Sylfaen"/>
          <w:sz w:val="24"/>
          <w:szCs w:val="24"/>
          <w:lang w:val="ka-GE" w:eastAsia="en-US" w:bidi="ar-SA"/>
        </w:rPr>
        <w:t xml:space="preserve"> </w:t>
      </w:r>
      <w:r w:rsidR="00957E24" w:rsidRPr="00957E24">
        <w:rPr>
          <w:rFonts w:ascii="Calibri" w:eastAsia="Times New Roman" w:hAnsi="Calibri"/>
          <w:sz w:val="24"/>
          <w:szCs w:val="24"/>
          <w:lang w:val="en-US" w:eastAsia="en-US" w:bidi="ar-SA"/>
        </w:rPr>
        <w:t>of support maybe filed</w:t>
      </w:r>
      <w:r w:rsidR="00957E24">
        <w:rPr>
          <w:rFonts w:ascii="Sylfaen" w:eastAsia="Times New Roman" w:hAnsi="Sylfaen"/>
          <w:sz w:val="24"/>
          <w:szCs w:val="24"/>
          <w:lang w:val="ka-GE" w:eastAsia="en-US" w:bidi="ar-SA"/>
        </w:rPr>
        <w:t xml:space="preserve"> </w:t>
      </w:r>
      <w:r w:rsidR="00957E24" w:rsidRPr="00957E24">
        <w:rPr>
          <w:rFonts w:ascii="Calibri" w:eastAsia="Times New Roman" w:hAnsi="Calibri"/>
          <w:sz w:val="24"/>
          <w:szCs w:val="24"/>
          <w:lang w:val="en-US" w:eastAsia="en-US" w:bidi="ar-SA"/>
        </w:rPr>
        <w:t>with</w:t>
      </w:r>
      <w:r w:rsidR="00957E24">
        <w:rPr>
          <w:rFonts w:ascii="Sylfaen" w:eastAsia="Times New Roman" w:hAnsi="Sylfaen"/>
          <w:sz w:val="24"/>
          <w:szCs w:val="24"/>
          <w:lang w:val="ka-GE" w:eastAsia="en-US" w:bidi="ar-SA"/>
        </w:rPr>
        <w:t xml:space="preserve"> </w:t>
      </w:r>
      <w:r w:rsidR="00957E24" w:rsidRPr="00957E24">
        <w:rPr>
          <w:rFonts w:ascii="Calibri" w:eastAsia="Times New Roman" w:hAnsi="Calibri"/>
          <w:sz w:val="24"/>
          <w:szCs w:val="24"/>
          <w:lang w:val="en-US" w:eastAsia="en-US" w:bidi="ar-SA"/>
        </w:rPr>
        <w:t>the</w:t>
      </w:r>
      <w:r w:rsidR="00957E24">
        <w:rPr>
          <w:rFonts w:ascii="Sylfaen" w:eastAsia="Times New Roman" w:hAnsi="Sylfaen"/>
          <w:sz w:val="24"/>
          <w:szCs w:val="24"/>
          <w:lang w:val="ka-GE" w:eastAsia="en-US" w:bidi="ar-SA"/>
        </w:rPr>
        <w:t xml:space="preserve"> </w:t>
      </w:r>
      <w:r w:rsidR="00957E24" w:rsidRPr="00957E24">
        <w:rPr>
          <w:rFonts w:ascii="Calibri" w:eastAsia="Times New Roman" w:hAnsi="Calibri"/>
          <w:sz w:val="24"/>
          <w:szCs w:val="24"/>
          <w:lang w:val="en-US" w:eastAsia="en-US" w:bidi="ar-SA"/>
        </w:rPr>
        <w:t>court</w:t>
      </w:r>
      <w:r w:rsidR="00957E24">
        <w:rPr>
          <w:rFonts w:ascii="Sylfaen" w:eastAsia="Times New Roman" w:hAnsi="Sylfaen"/>
          <w:sz w:val="24"/>
          <w:szCs w:val="24"/>
          <w:lang w:val="ka-GE" w:eastAsia="en-US" w:bidi="ar-SA"/>
        </w:rPr>
        <w:t xml:space="preserve"> </w:t>
      </w:r>
      <w:r w:rsidR="00957E24" w:rsidRPr="00957E24">
        <w:rPr>
          <w:rFonts w:ascii="Calibri" w:eastAsia="Times New Roman" w:hAnsi="Calibri"/>
          <w:sz w:val="24"/>
          <w:szCs w:val="24"/>
          <w:lang w:val="en-US" w:eastAsia="en-US" w:bidi="ar-SA"/>
        </w:rPr>
        <w:t>by this person,his/her</w:t>
      </w:r>
      <w:r w:rsidR="00957E24">
        <w:rPr>
          <w:rFonts w:ascii="Sylfaen" w:eastAsia="Times New Roman" w:hAnsi="Sylfaen"/>
          <w:sz w:val="24"/>
          <w:szCs w:val="24"/>
          <w:lang w:val="ka-GE" w:eastAsia="en-US" w:bidi="ar-SA"/>
        </w:rPr>
        <w:t xml:space="preserve"> </w:t>
      </w:r>
      <w:r w:rsidR="00957E24" w:rsidRPr="00957E24">
        <w:rPr>
          <w:rFonts w:ascii="Calibri" w:eastAsia="Times New Roman" w:hAnsi="Calibri"/>
          <w:sz w:val="24"/>
          <w:szCs w:val="24"/>
          <w:lang w:val="en-US" w:eastAsia="en-US" w:bidi="ar-SA"/>
        </w:rPr>
        <w:t>family</w:t>
      </w:r>
      <w:r w:rsidR="00957E24">
        <w:rPr>
          <w:rFonts w:ascii="Sylfaen" w:eastAsia="Times New Roman" w:hAnsi="Sylfaen"/>
          <w:sz w:val="24"/>
          <w:szCs w:val="24"/>
          <w:lang w:val="ka-GE" w:eastAsia="en-US" w:bidi="ar-SA"/>
        </w:rPr>
        <w:t xml:space="preserve"> </w:t>
      </w:r>
      <w:r w:rsidR="00957E24" w:rsidRPr="00957E24">
        <w:rPr>
          <w:rFonts w:ascii="Calibri" w:eastAsia="Times New Roman" w:hAnsi="Calibri"/>
          <w:sz w:val="24"/>
          <w:szCs w:val="24"/>
          <w:lang w:val="en-US" w:eastAsia="en-US" w:bidi="ar-SA"/>
        </w:rPr>
        <w:t>member, his/her</w:t>
      </w:r>
      <w:r w:rsidR="00957E24">
        <w:rPr>
          <w:rFonts w:ascii="Sylfaen" w:eastAsia="Times New Roman" w:hAnsi="Sylfaen"/>
          <w:sz w:val="24"/>
          <w:szCs w:val="24"/>
          <w:lang w:val="ka-GE" w:eastAsia="en-US" w:bidi="ar-SA"/>
        </w:rPr>
        <w:t xml:space="preserve"> </w:t>
      </w:r>
      <w:r w:rsidR="00957E24" w:rsidRPr="00957E24">
        <w:rPr>
          <w:rFonts w:ascii="Calibri" w:eastAsia="Times New Roman" w:hAnsi="Calibri"/>
          <w:sz w:val="24"/>
          <w:szCs w:val="24"/>
          <w:lang w:val="en-US" w:eastAsia="en-US" w:bidi="ar-SA"/>
        </w:rPr>
        <w:t>legal</w:t>
      </w:r>
      <w:r w:rsidR="00957E24">
        <w:rPr>
          <w:rFonts w:ascii="Sylfaen" w:eastAsia="Times New Roman" w:hAnsi="Sylfaen"/>
          <w:sz w:val="24"/>
          <w:szCs w:val="24"/>
          <w:lang w:val="ka-GE" w:eastAsia="en-US" w:bidi="ar-SA"/>
        </w:rPr>
        <w:t xml:space="preserve"> </w:t>
      </w:r>
      <w:r w:rsidR="00781466">
        <w:rPr>
          <w:rFonts w:ascii="Sylfaen" w:eastAsia="Times New Roman" w:hAnsi="Sylfaen"/>
          <w:sz w:val="24"/>
          <w:szCs w:val="24"/>
          <w:lang w:val="en-US" w:eastAsia="en-US" w:bidi="ar-SA"/>
        </w:rPr>
        <w:t xml:space="preserve"> </w:t>
      </w:r>
      <w:r w:rsidR="00957E24" w:rsidRPr="00957E24">
        <w:rPr>
          <w:rFonts w:ascii="Calibri" w:eastAsia="Times New Roman" w:hAnsi="Calibri"/>
          <w:sz w:val="24"/>
          <w:szCs w:val="24"/>
          <w:lang w:val="en-US" w:eastAsia="en-US" w:bidi="ar-SA"/>
        </w:rPr>
        <w:t>representative,</w:t>
      </w:r>
      <w:r w:rsidR="00781466">
        <w:rPr>
          <w:rFonts w:ascii="Calibri" w:eastAsia="Times New Roman" w:hAnsi="Calibri"/>
          <w:sz w:val="24"/>
          <w:szCs w:val="24"/>
          <w:lang w:val="en-US" w:eastAsia="en-US" w:bidi="ar-SA"/>
        </w:rPr>
        <w:t xml:space="preserve"> or a guardianship and custodianship authority, or a psychiatric or a specialised facility.</w:t>
      </w:r>
    </w:p>
    <w:p w:rsidR="00781466" w:rsidRDefault="00957E24" w:rsidP="00957E24">
      <w:pPr>
        <w:autoSpaceDE w:val="0"/>
        <w:autoSpaceDN w:val="0"/>
        <w:adjustRightInd w:val="0"/>
        <w:spacing w:after="160" w:line="259" w:lineRule="auto"/>
        <w:jc w:val="both"/>
        <w:rPr>
          <w:rFonts w:ascii="Sylfaen" w:eastAsia="Times New Roman" w:hAnsi="Sylfaen"/>
          <w:sz w:val="24"/>
          <w:szCs w:val="24"/>
          <w:lang w:val="en-US" w:eastAsia="en-US" w:bidi="ar-SA"/>
        </w:rPr>
      </w:pPr>
      <w:r w:rsidRPr="00957E24">
        <w:rPr>
          <w:rFonts w:ascii="Calibri" w:eastAsia="Times New Roman" w:hAnsi="Calibri"/>
          <w:sz w:val="24"/>
          <w:szCs w:val="24"/>
          <w:lang w:val="en-US" w:eastAsia="en-US" w:bidi="ar-SA"/>
        </w:rPr>
        <w:t> </w:t>
      </w:r>
      <w:r>
        <w:rPr>
          <w:rFonts w:ascii="Sylfaen" w:eastAsia="Times New Roman" w:hAnsi="Sylfaen"/>
          <w:sz w:val="24"/>
          <w:szCs w:val="24"/>
          <w:lang w:val="ka-GE" w:eastAsia="en-US" w:bidi="ar-SA"/>
        </w:rPr>
        <w:t xml:space="preserve"> </w:t>
      </w:r>
    </w:p>
    <w:p w:rsidR="00957E24" w:rsidRPr="00781466" w:rsidRDefault="00957E24" w:rsidP="00957E24">
      <w:pPr>
        <w:autoSpaceDE w:val="0"/>
        <w:autoSpaceDN w:val="0"/>
        <w:adjustRightInd w:val="0"/>
        <w:spacing w:after="160" w:line="259" w:lineRule="auto"/>
        <w:jc w:val="both"/>
        <w:rPr>
          <w:rFonts w:ascii="Calibri" w:eastAsia="Times New Roman" w:hAnsi="Calibri"/>
          <w:sz w:val="24"/>
          <w:szCs w:val="24"/>
          <w:lang w:val="en-US" w:eastAsia="en-US" w:bidi="ar-SA"/>
        </w:rPr>
      </w:pPr>
      <w:r w:rsidRPr="00781466">
        <w:rPr>
          <w:rFonts w:ascii="Calibri" w:eastAsia="Times New Roman" w:hAnsi="Calibri"/>
          <w:sz w:val="24"/>
          <w:szCs w:val="24"/>
          <w:lang w:val="en-US" w:eastAsia="en-US" w:bidi="ar-SA"/>
        </w:rPr>
        <w:t>An application for declaring a personas a beneficiary of support shall be filed with the court according to the place of residence of this person; and if the person is put in a health care facility, the application shall be filed according to the </w:t>
      </w:r>
      <w:r w:rsidR="00781466">
        <w:rPr>
          <w:rFonts w:ascii="Calibri" w:eastAsia="Times New Roman" w:hAnsi="Calibri"/>
          <w:sz w:val="24"/>
          <w:szCs w:val="24"/>
          <w:lang w:val="en-US" w:eastAsia="en-US" w:bidi="ar-SA"/>
        </w:rPr>
        <w:t xml:space="preserve">             </w:t>
      </w:r>
      <w:r w:rsidRPr="00781466">
        <w:rPr>
          <w:rFonts w:ascii="Calibri" w:eastAsia="Times New Roman" w:hAnsi="Calibri"/>
          <w:sz w:val="24"/>
          <w:szCs w:val="24"/>
          <w:lang w:val="en-US" w:eastAsia="en-US" w:bidi="ar-SA"/>
        </w:rPr>
        <w:t>locat</w:t>
      </w:r>
      <w:r w:rsidR="00C4462A" w:rsidRPr="00781466">
        <w:rPr>
          <w:rFonts w:ascii="Calibri" w:eastAsia="Times New Roman" w:hAnsi="Calibri"/>
          <w:sz w:val="24"/>
          <w:szCs w:val="24"/>
          <w:lang w:val="en-US" w:eastAsia="en-US" w:bidi="ar-SA"/>
        </w:rPr>
        <w:t>i</w:t>
      </w:r>
      <w:r w:rsidRPr="00781466">
        <w:rPr>
          <w:rFonts w:ascii="Calibri" w:eastAsia="Times New Roman" w:hAnsi="Calibri"/>
          <w:sz w:val="24"/>
          <w:szCs w:val="24"/>
          <w:lang w:val="en-US" w:eastAsia="en-US" w:bidi="ar-SA"/>
        </w:rPr>
        <w:t>on of the health care facility.</w:t>
      </w:r>
    </w:p>
    <w:p w:rsidR="00064908" w:rsidRPr="001D1262" w:rsidRDefault="00064908" w:rsidP="00957E24">
      <w:pPr>
        <w:autoSpaceDE w:val="0"/>
        <w:autoSpaceDN w:val="0"/>
        <w:adjustRightInd w:val="0"/>
        <w:spacing w:after="160" w:line="259" w:lineRule="auto"/>
        <w:jc w:val="both"/>
        <w:rPr>
          <w:rFonts w:ascii="Calibri" w:eastAsia="Times New Roman" w:hAnsi="Calibri" w:cs="Arial"/>
          <w:sz w:val="24"/>
          <w:szCs w:val="24"/>
          <w:lang w:val="en-US" w:eastAsia="en-US" w:bidi="ar-SA"/>
        </w:rPr>
      </w:pPr>
      <w:r w:rsidRPr="001D1262">
        <w:rPr>
          <w:rFonts w:ascii="Calibri" w:eastAsia="Times New Roman" w:hAnsi="Calibri"/>
          <w:sz w:val="24"/>
          <w:szCs w:val="24"/>
          <w:lang w:val="en-US" w:eastAsia="en-US" w:bidi="ar-SA"/>
        </w:rPr>
        <w:t xml:space="preserve">The application shall indicate the </w:t>
      </w:r>
      <w:r w:rsidR="007B6562">
        <w:rPr>
          <w:rFonts w:ascii="Calibri" w:eastAsia="Times New Roman" w:hAnsi="Calibri"/>
          <w:sz w:val="24"/>
          <w:szCs w:val="24"/>
          <w:lang w:val="en-US" w:eastAsia="en-US" w:bidi="ar-SA"/>
        </w:rPr>
        <w:t xml:space="preserve">field </w:t>
      </w:r>
      <w:r w:rsidRPr="001D1262">
        <w:rPr>
          <w:rFonts w:ascii="Calibri" w:eastAsia="Times New Roman" w:hAnsi="Calibri"/>
          <w:sz w:val="24"/>
          <w:szCs w:val="24"/>
          <w:lang w:val="en-US" w:eastAsia="en-US" w:bidi="ar-SA"/>
        </w:rPr>
        <w:t>area</w:t>
      </w:r>
      <w:r w:rsidR="007B6562">
        <w:rPr>
          <w:rFonts w:ascii="Calibri" w:eastAsia="Times New Roman" w:hAnsi="Calibri"/>
          <w:sz w:val="24"/>
          <w:szCs w:val="24"/>
          <w:lang w:val="en-US" w:eastAsia="en-US" w:bidi="ar-SA"/>
        </w:rPr>
        <w:t xml:space="preserve"> that a</w:t>
      </w:r>
      <w:r w:rsidRPr="001D1262">
        <w:rPr>
          <w:rFonts w:ascii="Calibri" w:eastAsia="Times New Roman" w:hAnsi="Calibri"/>
          <w:sz w:val="24"/>
          <w:szCs w:val="24"/>
          <w:lang w:val="en-US" w:eastAsia="en-US" w:bidi="ar-SA"/>
        </w:rPr>
        <w:t xml:space="preserve"> a person needs assistance</w:t>
      </w:r>
      <w:r w:rsidR="007B6562">
        <w:rPr>
          <w:rFonts w:ascii="Calibri" w:eastAsia="Times New Roman" w:hAnsi="Calibri"/>
          <w:sz w:val="24"/>
          <w:szCs w:val="24"/>
          <w:lang w:val="en-US" w:eastAsia="en-US" w:bidi="ar-SA"/>
        </w:rPr>
        <w:t xml:space="preserve"> in</w:t>
      </w:r>
      <w:r w:rsidRPr="001D1262">
        <w:rPr>
          <w:rFonts w:ascii="Calibri" w:eastAsia="Times New Roman" w:hAnsi="Calibri"/>
          <w:sz w:val="24"/>
          <w:szCs w:val="24"/>
          <w:lang w:val="en-US" w:eastAsia="en-US" w:bidi="ar-SA"/>
        </w:rPr>
        <w:t xml:space="preserve">. Moreover, an applicant shall submit to the court </w:t>
      </w:r>
      <w:r w:rsidR="007B6562">
        <w:rPr>
          <w:rFonts w:ascii="Calibri" w:eastAsia="Times New Roman" w:hAnsi="Calibri"/>
          <w:sz w:val="24"/>
          <w:szCs w:val="24"/>
          <w:lang w:val="en-US" w:eastAsia="en-US" w:bidi="ar-SA"/>
        </w:rPr>
        <w:t xml:space="preserve">assessment </w:t>
      </w:r>
      <w:r w:rsidRPr="001D1262">
        <w:rPr>
          <w:rFonts w:ascii="Calibri" w:eastAsia="Times New Roman" w:hAnsi="Calibri"/>
          <w:sz w:val="24"/>
          <w:szCs w:val="24"/>
          <w:lang w:val="en-US" w:eastAsia="en-US" w:bidi="ar-SA"/>
        </w:rPr>
        <w:t xml:space="preserve">conclusions of a </w:t>
      </w:r>
      <w:r w:rsidR="00294175">
        <w:rPr>
          <w:rFonts w:ascii="Calibri" w:eastAsia="Times New Roman" w:hAnsi="Calibri"/>
          <w:sz w:val="24"/>
          <w:szCs w:val="24"/>
          <w:lang w:val="en-US" w:eastAsia="en-US" w:bidi="ar-SA"/>
        </w:rPr>
        <w:t xml:space="preserve"> a multidisciplinary group. </w:t>
      </w:r>
    </w:p>
    <w:p w:rsidR="001F336A" w:rsidRPr="001F336A" w:rsidRDefault="001F336A" w:rsidP="001F336A">
      <w:pPr>
        <w:jc w:val="both"/>
        <w:rPr>
          <w:rFonts w:ascii="Arial" w:eastAsia="Times New Roman" w:hAnsi="Arial" w:cs="Arial"/>
          <w:sz w:val="23"/>
          <w:szCs w:val="23"/>
          <w:lang w:val="en-US" w:eastAsia="en-US" w:bidi="ar-SA"/>
        </w:rPr>
      </w:pPr>
    </w:p>
    <w:p w:rsidR="00064908" w:rsidRPr="001D1262" w:rsidRDefault="001F336A" w:rsidP="00064908">
      <w:pPr>
        <w:autoSpaceDE w:val="0"/>
        <w:autoSpaceDN w:val="0"/>
        <w:adjustRightInd w:val="0"/>
        <w:spacing w:after="160" w:line="259" w:lineRule="auto"/>
        <w:jc w:val="both"/>
        <w:rPr>
          <w:rFonts w:ascii="Calibri" w:eastAsia="Times New Roman" w:hAnsi="Calibri" w:cs="Arial"/>
          <w:sz w:val="24"/>
          <w:szCs w:val="24"/>
          <w:lang w:val="en-US" w:eastAsia="en-US" w:bidi="ar-SA"/>
        </w:rPr>
      </w:pPr>
      <w:r>
        <w:rPr>
          <w:rFonts w:ascii="Calibri" w:eastAsia="Times New Roman" w:hAnsi="Calibri"/>
          <w:sz w:val="24"/>
          <w:szCs w:val="24"/>
          <w:lang w:val="en-US" w:eastAsia="en-US" w:bidi="ar-SA"/>
        </w:rPr>
        <w:t>E</w:t>
      </w:r>
      <w:r w:rsidRPr="001F336A">
        <w:rPr>
          <w:rFonts w:ascii="Calibri" w:eastAsia="Times New Roman" w:hAnsi="Calibri"/>
          <w:sz w:val="24"/>
          <w:szCs w:val="24"/>
          <w:lang w:val="en-US" w:eastAsia="en-US" w:bidi="ar-SA"/>
        </w:rPr>
        <w:t>xpert examination based on the psychosocial need</w:t>
      </w:r>
      <w:r w:rsidRPr="001D1262" w:rsidDel="001F336A">
        <w:rPr>
          <w:rFonts w:ascii="Calibri" w:eastAsia="Times New Roman" w:hAnsi="Calibri"/>
          <w:sz w:val="24"/>
          <w:szCs w:val="24"/>
          <w:lang w:val="en-US" w:eastAsia="en-US" w:bidi="ar-SA"/>
        </w:rPr>
        <w:t xml:space="preserve"> </w:t>
      </w:r>
      <w:r w:rsidR="00294175">
        <w:rPr>
          <w:rFonts w:ascii="Calibri" w:eastAsia="Times New Roman" w:hAnsi="Calibri"/>
          <w:sz w:val="24"/>
          <w:szCs w:val="24"/>
          <w:lang w:val="en-US" w:eastAsia="en-US" w:bidi="ar-SA"/>
        </w:rPr>
        <w:t xml:space="preserve"> is</w:t>
      </w:r>
      <w:r w:rsidR="00064908" w:rsidRPr="001D1262">
        <w:rPr>
          <w:rFonts w:ascii="Calibri" w:eastAsia="Times New Roman" w:hAnsi="Calibri"/>
          <w:sz w:val="24"/>
          <w:szCs w:val="24"/>
          <w:lang w:val="en-US" w:eastAsia="en-US" w:bidi="ar-SA"/>
        </w:rPr>
        <w:t xml:space="preserve"> conducted according to the Rules and Standards for the </w:t>
      </w:r>
      <w:r w:rsidRPr="001F336A">
        <w:rPr>
          <w:rFonts w:ascii="Calibri" w:eastAsia="Times New Roman" w:hAnsi="Calibri"/>
          <w:sz w:val="24"/>
          <w:szCs w:val="24"/>
          <w:lang w:val="en-US" w:eastAsia="en-US" w:bidi="ar-SA"/>
        </w:rPr>
        <w:t>Conducting Expert Examinations Based on Psychosocial Needs</w:t>
      </w:r>
      <w:r w:rsidR="00064908" w:rsidRPr="001D1262">
        <w:rPr>
          <w:rFonts w:ascii="Calibri" w:eastAsia="Times New Roman" w:hAnsi="Calibri"/>
          <w:sz w:val="24"/>
          <w:szCs w:val="24"/>
          <w:lang w:val="en-US" w:eastAsia="en-US" w:bidi="ar-SA"/>
        </w:rPr>
        <w:t>, adopted by the Order N01-16/N dated May 29, 2015 of the Minister of Labour, Health and Social Affairs</w:t>
      </w:r>
      <w:r>
        <w:rPr>
          <w:rFonts w:ascii="Calibri" w:eastAsia="Times New Roman" w:hAnsi="Calibri"/>
          <w:sz w:val="24"/>
          <w:szCs w:val="24"/>
          <w:lang w:val="en-US" w:eastAsia="en-US" w:bidi="ar-SA"/>
        </w:rPr>
        <w:t xml:space="preserve"> of Georgia</w:t>
      </w:r>
      <w:r w:rsidR="00064908" w:rsidRPr="001D1262">
        <w:rPr>
          <w:rFonts w:ascii="Calibri" w:eastAsia="Times New Roman" w:hAnsi="Calibri"/>
          <w:sz w:val="24"/>
          <w:szCs w:val="24"/>
          <w:lang w:val="en-US" w:eastAsia="en-US" w:bidi="ar-SA"/>
        </w:rPr>
        <w:t xml:space="preserve">. According to the above Rule, an authorized body to conduct </w:t>
      </w:r>
      <w:r>
        <w:rPr>
          <w:rFonts w:ascii="Calibri" w:eastAsia="Times New Roman" w:hAnsi="Calibri"/>
          <w:sz w:val="24"/>
          <w:szCs w:val="24"/>
          <w:lang w:val="en-US" w:eastAsia="en-US" w:bidi="ar-SA"/>
        </w:rPr>
        <w:t>expert</w:t>
      </w:r>
      <w:r w:rsidRPr="001D1262">
        <w:rPr>
          <w:rFonts w:ascii="Calibri" w:eastAsia="Times New Roman" w:hAnsi="Calibri"/>
          <w:sz w:val="24"/>
          <w:szCs w:val="24"/>
          <w:lang w:val="en-US" w:eastAsia="en-US" w:bidi="ar-SA"/>
        </w:rPr>
        <w:t xml:space="preserve"> </w:t>
      </w:r>
      <w:r w:rsidR="00064908" w:rsidRPr="001D1262">
        <w:rPr>
          <w:rFonts w:ascii="Calibri" w:eastAsia="Times New Roman" w:hAnsi="Calibri"/>
          <w:sz w:val="24"/>
          <w:szCs w:val="24"/>
          <w:lang w:val="en-US" w:eastAsia="en-US" w:bidi="ar-SA"/>
        </w:rPr>
        <w:t>examination is LELP Levan Samkharauli National Forensic</w:t>
      </w:r>
      <w:r>
        <w:rPr>
          <w:rFonts w:ascii="Calibri" w:eastAsia="Times New Roman" w:hAnsi="Calibri"/>
          <w:sz w:val="24"/>
          <w:szCs w:val="24"/>
          <w:lang w:val="en-US" w:eastAsia="en-US" w:bidi="ar-SA"/>
        </w:rPr>
        <w:t>s</w:t>
      </w:r>
      <w:r w:rsidR="00064908" w:rsidRPr="001D1262">
        <w:rPr>
          <w:rFonts w:ascii="Calibri" w:eastAsia="Times New Roman" w:hAnsi="Calibri"/>
          <w:sz w:val="24"/>
          <w:szCs w:val="24"/>
          <w:lang w:val="en-US" w:eastAsia="en-US" w:bidi="ar-SA"/>
        </w:rPr>
        <w:t xml:space="preserve"> Bureau (in Tbilisi) and its two regional departments: West Georgia Regional Forensics Department in Kutaisi and A</w:t>
      </w:r>
      <w:r>
        <w:rPr>
          <w:rFonts w:ascii="Calibri" w:eastAsia="Times New Roman" w:hAnsi="Calibri"/>
          <w:sz w:val="24"/>
          <w:szCs w:val="24"/>
          <w:lang w:val="en-US" w:eastAsia="en-US" w:bidi="ar-SA"/>
        </w:rPr>
        <w:t>d</w:t>
      </w:r>
      <w:r w:rsidR="00064908" w:rsidRPr="001D1262">
        <w:rPr>
          <w:rFonts w:ascii="Calibri" w:eastAsia="Times New Roman" w:hAnsi="Calibri"/>
          <w:sz w:val="24"/>
          <w:szCs w:val="24"/>
          <w:lang w:val="en-US" w:eastAsia="en-US" w:bidi="ar-SA"/>
        </w:rPr>
        <w:t xml:space="preserve">jara Regional </w:t>
      </w:r>
      <w:r w:rsidR="00064908" w:rsidRPr="001D1262">
        <w:rPr>
          <w:rFonts w:ascii="Calibri" w:eastAsia="Times New Roman" w:hAnsi="Calibri"/>
          <w:sz w:val="24"/>
          <w:szCs w:val="24"/>
          <w:lang w:val="en-US" w:eastAsia="en-US" w:bidi="ar-SA"/>
        </w:rPr>
        <w:lastRenderedPageBreak/>
        <w:t xml:space="preserve">Forensics Department in Batumi. Examination of a person’s psychiatric, social, professional, employment and psychological </w:t>
      </w:r>
      <w:r>
        <w:rPr>
          <w:rFonts w:ascii="Calibri" w:eastAsia="Times New Roman" w:hAnsi="Calibri"/>
          <w:sz w:val="24"/>
          <w:szCs w:val="24"/>
          <w:lang w:val="en-US" w:eastAsia="en-US" w:bidi="ar-SA"/>
        </w:rPr>
        <w:t>state</w:t>
      </w:r>
      <w:r w:rsidRPr="001D1262">
        <w:rPr>
          <w:rFonts w:ascii="Calibri" w:eastAsia="Times New Roman" w:hAnsi="Calibri"/>
          <w:sz w:val="24"/>
          <w:szCs w:val="24"/>
          <w:lang w:val="en-US" w:eastAsia="en-US" w:bidi="ar-SA"/>
        </w:rPr>
        <w:t xml:space="preserve"> </w:t>
      </w:r>
      <w:r w:rsidR="00064908" w:rsidRPr="001D1262">
        <w:rPr>
          <w:rFonts w:ascii="Calibri" w:eastAsia="Times New Roman" w:hAnsi="Calibri"/>
          <w:sz w:val="24"/>
          <w:szCs w:val="24"/>
          <w:lang w:val="en-US" w:eastAsia="en-US" w:bidi="ar-SA"/>
        </w:rPr>
        <w:t>is conducted by a multidisciplinary group composed by the following</w:t>
      </w:r>
      <w:r>
        <w:rPr>
          <w:rFonts w:ascii="Calibri" w:eastAsia="Times New Roman" w:hAnsi="Calibri"/>
          <w:sz w:val="24"/>
          <w:szCs w:val="24"/>
          <w:lang w:val="en-US" w:eastAsia="en-US" w:bidi="ar-SA"/>
        </w:rPr>
        <w:t xml:space="preserve"> specialists</w:t>
      </w:r>
      <w:r w:rsidR="00064908" w:rsidRPr="001D1262">
        <w:rPr>
          <w:rFonts w:ascii="Calibri" w:eastAsia="Times New Roman" w:hAnsi="Calibri"/>
          <w:sz w:val="24"/>
          <w:szCs w:val="24"/>
          <w:lang w:val="en-US" w:eastAsia="en-US" w:bidi="ar-SA"/>
        </w:rPr>
        <w:t xml:space="preserve">: psychiatrist, psychologist, social worker and occupational therapist.  </w:t>
      </w:r>
    </w:p>
    <w:p w:rsidR="00B70837" w:rsidRDefault="00064908" w:rsidP="00064908">
      <w:pPr>
        <w:autoSpaceDE w:val="0"/>
        <w:autoSpaceDN w:val="0"/>
        <w:adjustRightInd w:val="0"/>
        <w:spacing w:after="160" w:line="259" w:lineRule="auto"/>
        <w:jc w:val="both"/>
        <w:rPr>
          <w:rFonts w:ascii="Calibri" w:eastAsia="Times New Roman" w:hAnsi="Calibri"/>
          <w:sz w:val="24"/>
          <w:szCs w:val="24"/>
          <w:lang w:val="en-US" w:eastAsia="en-US" w:bidi="ar-SA"/>
        </w:rPr>
      </w:pPr>
      <w:r w:rsidRPr="001D1262">
        <w:rPr>
          <w:rFonts w:ascii="Calibri" w:eastAsia="Times New Roman" w:hAnsi="Calibri"/>
          <w:sz w:val="24"/>
          <w:szCs w:val="24"/>
          <w:lang w:val="en-US" w:eastAsia="en-US" w:bidi="ar-SA"/>
        </w:rPr>
        <w:t xml:space="preserve">A court considers the application for </w:t>
      </w:r>
      <w:r w:rsidR="00294175">
        <w:rPr>
          <w:rFonts w:ascii="Calibri" w:eastAsia="Times New Roman" w:hAnsi="Calibri"/>
          <w:sz w:val="24"/>
          <w:szCs w:val="24"/>
          <w:lang w:val="en-US" w:eastAsia="en-US" w:bidi="ar-SA"/>
        </w:rPr>
        <w:t xml:space="preserve">determination </w:t>
      </w:r>
      <w:r w:rsidRPr="001D1262">
        <w:rPr>
          <w:rFonts w:ascii="Calibri" w:eastAsia="Times New Roman" w:hAnsi="Calibri"/>
          <w:sz w:val="24"/>
          <w:szCs w:val="24"/>
          <w:lang w:val="en-US" w:eastAsia="en-US" w:bidi="ar-SA"/>
        </w:rPr>
        <w:t xml:space="preserve">with the mandatory presence of the representative of a person concerned and his/her guardianship and curatorship agencies if the person, whose eligibility for is being considered, is unable to be present at the court due to a state of  </w:t>
      </w:r>
      <w:r w:rsidR="00294175">
        <w:rPr>
          <w:rFonts w:ascii="Calibri" w:eastAsia="Times New Roman" w:hAnsi="Calibri"/>
          <w:sz w:val="24"/>
          <w:szCs w:val="24"/>
          <w:lang w:val="en-US" w:eastAsia="en-US" w:bidi="ar-SA"/>
        </w:rPr>
        <w:t xml:space="preserve">his/her </w:t>
      </w:r>
      <w:r w:rsidRPr="001D1262">
        <w:rPr>
          <w:rFonts w:ascii="Calibri" w:eastAsia="Times New Roman" w:hAnsi="Calibri"/>
          <w:sz w:val="24"/>
          <w:szCs w:val="24"/>
          <w:lang w:val="en-US" w:eastAsia="en-US" w:bidi="ar-SA"/>
        </w:rPr>
        <w:t xml:space="preserve">health. In this case, </w:t>
      </w:r>
      <w:r w:rsidR="00294175">
        <w:rPr>
          <w:rFonts w:ascii="Calibri" w:eastAsia="Times New Roman" w:hAnsi="Calibri"/>
          <w:sz w:val="24"/>
          <w:szCs w:val="24"/>
          <w:lang w:val="en-US" w:eastAsia="en-US" w:bidi="ar-SA"/>
        </w:rPr>
        <w:t>s/</w:t>
      </w:r>
      <w:r w:rsidRPr="001D1262">
        <w:rPr>
          <w:rFonts w:ascii="Calibri" w:eastAsia="Times New Roman" w:hAnsi="Calibri"/>
          <w:sz w:val="24"/>
          <w:szCs w:val="24"/>
          <w:lang w:val="en-US" w:eastAsia="en-US" w:bidi="ar-SA"/>
        </w:rPr>
        <w:t>he shall participate through electronic communication or any other means, which would ensure direct contact of the person with a judge. In such a case, the court shall make a video recording of the court proceedings. The court shall indicate in the minutes of the proceedings that the person participated in court proceedings through electronic communication or other means. According to Article 363</w:t>
      </w:r>
      <w:r w:rsidRPr="001D1262">
        <w:rPr>
          <w:rFonts w:ascii="Calibri" w:eastAsia="Sylfaen" w:hAnsi="Calibri"/>
          <w:sz w:val="24"/>
          <w:szCs w:val="24"/>
          <w:vertAlign w:val="superscript"/>
          <w:lang w:val="ka-GE" w:eastAsia="en-US" w:bidi="ar-SA"/>
        </w:rPr>
        <w:t>19</w:t>
      </w:r>
      <w:r w:rsidRPr="001D1262">
        <w:rPr>
          <w:rFonts w:ascii="Calibri" w:eastAsia="Times New Roman" w:hAnsi="Calibri"/>
          <w:sz w:val="24"/>
          <w:szCs w:val="24"/>
          <w:lang w:val="en-US" w:eastAsia="en-US" w:bidi="ar-SA"/>
        </w:rPr>
        <w:t xml:space="preserve"> of the Civil Procedure Code of Georgia, a person whose eligibility for is being considered, shall have a lawyer</w:t>
      </w:r>
      <w:r w:rsidR="00B70837">
        <w:rPr>
          <w:rFonts w:ascii="Calibri" w:eastAsia="Times New Roman" w:hAnsi="Calibri"/>
          <w:sz w:val="24"/>
          <w:szCs w:val="24"/>
          <w:lang w:val="en-US" w:eastAsia="en-US" w:bidi="ar-SA"/>
        </w:rPr>
        <w:t>.</w:t>
      </w:r>
      <w:r w:rsidRPr="001D1262">
        <w:rPr>
          <w:rFonts w:ascii="Calibri" w:eastAsia="Times New Roman" w:hAnsi="Calibri"/>
          <w:sz w:val="24"/>
          <w:szCs w:val="24"/>
          <w:lang w:val="en-US" w:eastAsia="en-US" w:bidi="ar-SA"/>
        </w:rPr>
        <w:t xml:space="preserve"> </w:t>
      </w:r>
    </w:p>
    <w:p w:rsidR="00064908" w:rsidRPr="001D1262" w:rsidRDefault="00064908" w:rsidP="00064908">
      <w:pPr>
        <w:autoSpaceDE w:val="0"/>
        <w:autoSpaceDN w:val="0"/>
        <w:adjustRightInd w:val="0"/>
        <w:spacing w:after="160" w:line="259" w:lineRule="auto"/>
        <w:jc w:val="both"/>
        <w:rPr>
          <w:rFonts w:ascii="Calibri" w:eastAsia="Times New Roman" w:hAnsi="Calibri" w:cs="Arial"/>
          <w:sz w:val="24"/>
          <w:szCs w:val="24"/>
          <w:lang w:val="en-US" w:eastAsia="en-US" w:bidi="ar-SA"/>
        </w:rPr>
      </w:pPr>
      <w:r w:rsidRPr="001D1262">
        <w:rPr>
          <w:rFonts w:ascii="Calibri" w:eastAsia="Times New Roman" w:hAnsi="Calibri"/>
          <w:sz w:val="24"/>
          <w:szCs w:val="24"/>
          <w:lang w:val="en-US" w:eastAsia="en-US" w:bidi="ar-SA"/>
        </w:rPr>
        <w:t xml:space="preserve">Upon request of the applicant, the court is authorized to appoint temporary guardian/curator before the completion of court proceedings, if it is believed that the person, whose case of assistance recipient is considered, may be subject to irreversible damage. The court shall question every expert and member of a multidisciplinary group, whose findings are included in the case files. Based on findings of multidisciplinary group members and outcomes of their questioning, in accordance with the requirements stipulated in Article </w:t>
      </w:r>
      <w:r w:rsidRPr="001D1262">
        <w:rPr>
          <w:rFonts w:ascii="Calibri" w:eastAsia="Sylfaen" w:hAnsi="Calibri"/>
          <w:sz w:val="24"/>
          <w:szCs w:val="24"/>
          <w:lang w:val="ka-GE" w:eastAsia="en-US" w:bidi="ar-SA"/>
        </w:rPr>
        <w:t>1277</w:t>
      </w:r>
      <w:r w:rsidRPr="001D1262">
        <w:rPr>
          <w:rFonts w:ascii="Calibri" w:eastAsia="Sylfaen" w:hAnsi="Calibri"/>
          <w:position w:val="6"/>
          <w:sz w:val="24"/>
          <w:szCs w:val="24"/>
          <w:vertAlign w:val="superscript"/>
          <w:lang w:val="ka-GE" w:eastAsia="en-US" w:bidi="ar-SA"/>
        </w:rPr>
        <w:t>1</w:t>
      </w:r>
      <w:r w:rsidRPr="001D1262">
        <w:rPr>
          <w:rFonts w:ascii="Calibri" w:eastAsia="Times New Roman" w:hAnsi="Calibri"/>
          <w:sz w:val="24"/>
          <w:szCs w:val="24"/>
          <w:lang w:val="en-US" w:eastAsia="en-US" w:bidi="ar-SA"/>
        </w:rPr>
        <w:t xml:space="preserve">of the Civil Code of Georgia, the court appoints curator(s). According to Article </w:t>
      </w:r>
      <w:r w:rsidRPr="001D1262">
        <w:rPr>
          <w:rFonts w:ascii="Calibri" w:eastAsia="Sylfaen" w:hAnsi="Calibri"/>
          <w:sz w:val="24"/>
          <w:szCs w:val="24"/>
          <w:lang w:val="ka-GE" w:eastAsia="en-US" w:bidi="ar-SA"/>
        </w:rPr>
        <w:t>12</w:t>
      </w:r>
      <w:r w:rsidRPr="001D1262">
        <w:rPr>
          <w:rFonts w:ascii="Calibri" w:eastAsia="Sylfaen" w:hAnsi="Calibri"/>
          <w:sz w:val="24"/>
          <w:szCs w:val="24"/>
          <w:lang w:val="en-US" w:eastAsia="en-US" w:bidi="ar-SA"/>
        </w:rPr>
        <w:t xml:space="preserve">80 </w:t>
      </w:r>
      <w:r w:rsidRPr="001D1262">
        <w:rPr>
          <w:rFonts w:ascii="Calibri" w:eastAsia="Times New Roman" w:hAnsi="Calibri"/>
          <w:sz w:val="24"/>
          <w:szCs w:val="24"/>
          <w:lang w:val="en-US" w:eastAsia="en-US" w:bidi="ar-SA"/>
        </w:rPr>
        <w:t xml:space="preserve">of the Civil Code of Georgia, guardian (curator) shall be a family member, relative, friend or a specialist and shall be appointed only by consent of the person concerned and if a curator/guardian meets requirements defined by the Code. If a curator could not be selected from the categories listed in the above Article, the court appoints a person authorized by the guardianship and curatorship agencies, and if a recipient of assistance is in a specialized facility – the court appoints a representative of that facility. A court may appoint a guardian/curator with the purpose to assist a person concerned with performing work, reach small contracts, conduct business activities, manage/dispose real estate, identify a place of residence, consent to medical treatment, prevent damage and exercise other rights and responsibilities defined by the court based on individual assessment. A court in the court ruling shall indicate the right exercise of which authorizes the person concerned to become a recipient of assistance, and scope of assistance. In addition, the court defines reporting period for a guardian/curator to the guardianship and curatorship agencies, which shall not exceed 6 months, and defines the term of guardianship and revision period, which shall not exceed 5 years. The decision shall be submitted to the guardianship and curatorship agency within 3 days after its entrance into force by the place of residence of the recipient of assistance. </w:t>
      </w:r>
    </w:p>
    <w:p w:rsidR="009920D2" w:rsidRPr="009920D2" w:rsidRDefault="00064908" w:rsidP="009920D2">
      <w:pPr>
        <w:autoSpaceDE w:val="0"/>
        <w:autoSpaceDN w:val="0"/>
        <w:adjustRightInd w:val="0"/>
        <w:spacing w:after="160" w:line="259" w:lineRule="auto"/>
        <w:jc w:val="both"/>
        <w:rPr>
          <w:rFonts w:ascii="Calibri" w:eastAsia="Times New Roman" w:hAnsi="Calibri"/>
          <w:sz w:val="24"/>
          <w:szCs w:val="24"/>
          <w:lang w:val="en-US" w:eastAsia="en-US" w:bidi="ar-SA"/>
        </w:rPr>
      </w:pPr>
      <w:r w:rsidRPr="001D1262">
        <w:rPr>
          <w:rFonts w:ascii="Calibri" w:eastAsia="Times New Roman" w:hAnsi="Calibri"/>
          <w:sz w:val="24"/>
          <w:szCs w:val="24"/>
          <w:lang w:val="en-US" w:eastAsia="en-US" w:bidi="ar-SA"/>
        </w:rPr>
        <w:t xml:space="preserve">Article </w:t>
      </w:r>
      <w:r w:rsidRPr="001D1262">
        <w:rPr>
          <w:rFonts w:ascii="Calibri" w:eastAsia="Sylfaen" w:hAnsi="Calibri"/>
          <w:sz w:val="24"/>
          <w:szCs w:val="24"/>
          <w:lang w:val="ka-GE" w:eastAsia="en-US" w:bidi="ar-SA"/>
        </w:rPr>
        <w:t>1305</w:t>
      </w:r>
      <w:r w:rsidRPr="001D1262">
        <w:rPr>
          <w:rFonts w:ascii="Calibri" w:eastAsia="Sylfaen" w:hAnsi="Calibri"/>
          <w:position w:val="6"/>
          <w:sz w:val="24"/>
          <w:szCs w:val="24"/>
          <w:vertAlign w:val="superscript"/>
          <w:lang w:val="ka-GE" w:eastAsia="en-US" w:bidi="ar-SA"/>
        </w:rPr>
        <w:t>1</w:t>
      </w:r>
      <w:r w:rsidRPr="001D1262">
        <w:rPr>
          <w:rFonts w:ascii="Calibri" w:eastAsia="Sylfaen" w:hAnsi="Calibri"/>
          <w:sz w:val="24"/>
          <w:szCs w:val="24"/>
          <w:lang w:val="en-US" w:eastAsia="en-US" w:bidi="ar-SA"/>
        </w:rPr>
        <w:t>of the Civil Code of Georgia envisages that</w:t>
      </w:r>
      <w:r w:rsidRPr="001D1262">
        <w:rPr>
          <w:rFonts w:ascii="Calibri" w:eastAsia="Times New Roman" w:hAnsi="Calibri"/>
          <w:sz w:val="24"/>
          <w:szCs w:val="24"/>
          <w:lang w:val="en-US" w:eastAsia="en-US" w:bidi="ar-SA"/>
        </w:rPr>
        <w:t xml:space="preserve"> a guardianship and curatorship agency</w:t>
      </w:r>
      <w:r w:rsidRPr="001D1262">
        <w:rPr>
          <w:rFonts w:ascii="Calibri" w:eastAsia="Sylfaen" w:hAnsi="Calibri"/>
          <w:sz w:val="24"/>
          <w:szCs w:val="24"/>
          <w:lang w:val="en-US" w:eastAsia="en-US" w:bidi="ar-SA"/>
        </w:rPr>
        <w:t xml:space="preserve"> shall supervise activities of a </w:t>
      </w:r>
      <w:r w:rsidRPr="001D1262">
        <w:rPr>
          <w:rFonts w:ascii="Calibri" w:eastAsia="Times New Roman" w:hAnsi="Calibri"/>
          <w:sz w:val="24"/>
          <w:szCs w:val="24"/>
          <w:lang w:val="en-US" w:eastAsia="en-US" w:bidi="ar-SA"/>
        </w:rPr>
        <w:t>guardian (curator) in accordance with the place of residence of the ward. Guardianship and curatorship agency</w:t>
      </w:r>
      <w:r w:rsidRPr="001D1262">
        <w:rPr>
          <w:rFonts w:ascii="Calibri" w:eastAsia="Sylfaen" w:hAnsi="Calibri"/>
          <w:sz w:val="24"/>
          <w:szCs w:val="24"/>
          <w:lang w:val="en-US" w:eastAsia="en-US" w:bidi="ar-SA"/>
        </w:rPr>
        <w:t xml:space="preserve"> shall verify compliance of </w:t>
      </w:r>
      <w:r w:rsidRPr="001D1262">
        <w:rPr>
          <w:rFonts w:ascii="Calibri" w:eastAsia="Times New Roman" w:hAnsi="Calibri" w:cs="Arial"/>
          <w:sz w:val="24"/>
          <w:szCs w:val="24"/>
          <w:lang w:val="en" w:eastAsia="en-US" w:bidi="ar-SA"/>
        </w:rPr>
        <w:t xml:space="preserve">actions taken by </w:t>
      </w:r>
      <w:r w:rsidRPr="001D1262">
        <w:rPr>
          <w:rFonts w:ascii="Calibri" w:eastAsia="Sylfaen" w:hAnsi="Calibri"/>
          <w:sz w:val="24"/>
          <w:szCs w:val="24"/>
          <w:lang w:val="en-US" w:eastAsia="en-US" w:bidi="ar-SA"/>
        </w:rPr>
        <w:t xml:space="preserve">a </w:t>
      </w:r>
      <w:r w:rsidRPr="001D1262">
        <w:rPr>
          <w:rFonts w:ascii="Calibri" w:eastAsia="Times New Roman" w:hAnsi="Calibri"/>
          <w:sz w:val="24"/>
          <w:szCs w:val="24"/>
          <w:lang w:val="en-US" w:eastAsia="en-US" w:bidi="ar-SA"/>
        </w:rPr>
        <w:t xml:space="preserve">guardian (curator) </w:t>
      </w:r>
      <w:r w:rsidRPr="001D1262">
        <w:rPr>
          <w:rFonts w:ascii="Calibri" w:eastAsia="Times New Roman" w:hAnsi="Calibri" w:cs="Arial"/>
          <w:sz w:val="24"/>
          <w:szCs w:val="24"/>
          <w:lang w:val="en" w:eastAsia="en-US" w:bidi="ar-SA"/>
        </w:rPr>
        <w:t xml:space="preserve">with the framework established in accordance with the court decision. </w:t>
      </w:r>
      <w:r w:rsidRPr="001D1262">
        <w:rPr>
          <w:rFonts w:ascii="Calibri" w:eastAsia="Times New Roman" w:hAnsi="Calibri"/>
          <w:sz w:val="24"/>
          <w:szCs w:val="24"/>
          <w:lang w:val="en-US" w:eastAsia="en-US" w:bidi="ar-SA"/>
        </w:rPr>
        <w:t xml:space="preserve">According to Article </w:t>
      </w:r>
      <w:r w:rsidRPr="001D1262">
        <w:rPr>
          <w:rFonts w:ascii="Calibri" w:eastAsia="Sylfaen" w:hAnsi="Calibri"/>
          <w:sz w:val="24"/>
          <w:szCs w:val="24"/>
          <w:lang w:val="ka-GE" w:eastAsia="en-US" w:bidi="ar-SA"/>
        </w:rPr>
        <w:t>12</w:t>
      </w:r>
      <w:r w:rsidRPr="001D1262">
        <w:rPr>
          <w:rFonts w:ascii="Calibri" w:eastAsia="Sylfaen" w:hAnsi="Calibri"/>
          <w:sz w:val="24"/>
          <w:szCs w:val="24"/>
          <w:lang w:val="en-US" w:eastAsia="en-US" w:bidi="ar-SA"/>
        </w:rPr>
        <w:t xml:space="preserve">89 </w:t>
      </w:r>
      <w:r w:rsidRPr="001D1262">
        <w:rPr>
          <w:rFonts w:ascii="Calibri" w:eastAsia="Times New Roman" w:hAnsi="Calibri"/>
          <w:sz w:val="24"/>
          <w:szCs w:val="24"/>
          <w:lang w:val="en-US" w:eastAsia="en-US" w:bidi="ar-SA"/>
        </w:rPr>
        <w:t xml:space="preserve">of the Civil Code of Georgia, a guardian (curator) shall also submit the information on the performance of his/her duties defined by the court decision to the </w:t>
      </w:r>
      <w:r w:rsidRPr="001D1262">
        <w:rPr>
          <w:rFonts w:ascii="Calibri" w:eastAsia="Times New Roman" w:hAnsi="Calibri"/>
          <w:sz w:val="24"/>
          <w:szCs w:val="24"/>
          <w:lang w:val="en-US" w:eastAsia="en-US" w:bidi="ar-SA"/>
        </w:rPr>
        <w:lastRenderedPageBreak/>
        <w:t xml:space="preserve">guardianship and curatorship agency within the timeframe defined by the agency, which shall not exceed 6 months. </w:t>
      </w:r>
    </w:p>
    <w:p w:rsidR="00064908" w:rsidRPr="001D1262" w:rsidRDefault="009920D2" w:rsidP="009920D2">
      <w:pPr>
        <w:autoSpaceDE w:val="0"/>
        <w:autoSpaceDN w:val="0"/>
        <w:adjustRightInd w:val="0"/>
        <w:spacing w:after="160" w:line="259" w:lineRule="auto"/>
        <w:jc w:val="both"/>
        <w:rPr>
          <w:rFonts w:ascii="Calibri" w:eastAsia="Times New Roman" w:hAnsi="Calibri" w:cs="Arial"/>
          <w:sz w:val="24"/>
          <w:szCs w:val="24"/>
          <w:lang w:val="en-US" w:eastAsia="en-US" w:bidi="ar-SA"/>
        </w:rPr>
      </w:pPr>
      <w:r w:rsidRPr="009920D2">
        <w:rPr>
          <w:rFonts w:ascii="Calibri" w:eastAsia="Times New Roman" w:hAnsi="Calibri"/>
          <w:sz w:val="24"/>
          <w:szCs w:val="24"/>
          <w:lang w:val="en-US" w:eastAsia="en-US" w:bidi="ar-SA"/>
        </w:rPr>
        <w:t>If</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there</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is a</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ground for</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changing</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the</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limits</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of</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the</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support</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for</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a</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person,</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the</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court</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shall</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deliver</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a</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judgment</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on</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changing</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the</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limits</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of</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the</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support</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for</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this</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person</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on the</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basis of an</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application of</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the</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beneficiary</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of</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support,</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his/her</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family</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member,</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the</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supporter(supporters),</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the</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psychiatric</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treatment</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facility,</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or the</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guardianship and</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custodianship authority, and</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the</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report of an</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expert examination</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conducted</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according to</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the</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Law</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of Georgia</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on Conducting</w:t>
      </w:r>
      <w:r>
        <w:rPr>
          <w:rFonts w:ascii="Calibri" w:eastAsia="Times New Roman" w:hAnsi="Calibri"/>
          <w:sz w:val="24"/>
          <w:szCs w:val="24"/>
          <w:lang w:val="en-US" w:eastAsia="en-US" w:bidi="ar-SA"/>
        </w:rPr>
        <w:t xml:space="preserve"> </w:t>
      </w:r>
      <w:r w:rsidRPr="009920D2">
        <w:rPr>
          <w:rFonts w:ascii="Calibri" w:eastAsia="Times New Roman" w:hAnsi="Calibri"/>
          <w:sz w:val="24"/>
          <w:szCs w:val="24"/>
          <w:lang w:val="en-US" w:eastAsia="en-US" w:bidi="ar-SA"/>
        </w:rPr>
        <w:t>Expert Examinations Based on Psychosocial Needs.</w:t>
      </w:r>
      <w:r>
        <w:rPr>
          <w:rFonts w:ascii="Calibri" w:eastAsia="Times New Roman" w:hAnsi="Calibri"/>
          <w:sz w:val="24"/>
          <w:szCs w:val="24"/>
          <w:lang w:val="en-US" w:eastAsia="en-US" w:bidi="ar-SA"/>
        </w:rPr>
        <w:t xml:space="preserve"> </w:t>
      </w:r>
    </w:p>
    <w:p w:rsidR="00064908" w:rsidRPr="001D1262" w:rsidRDefault="00064908" w:rsidP="0015359B">
      <w:pPr>
        <w:autoSpaceDE w:val="0"/>
        <w:autoSpaceDN w:val="0"/>
        <w:adjustRightInd w:val="0"/>
        <w:spacing w:after="160" w:line="259" w:lineRule="auto"/>
        <w:jc w:val="both"/>
        <w:rPr>
          <w:rFonts w:ascii="Calibri" w:eastAsia="Times New Roman" w:hAnsi="Calibri" w:cs="Arial"/>
          <w:sz w:val="24"/>
          <w:szCs w:val="24"/>
          <w:lang w:val="en-US" w:eastAsia="en-US" w:bidi="ar-SA"/>
        </w:rPr>
      </w:pPr>
      <w:r w:rsidRPr="001D1262">
        <w:rPr>
          <w:rFonts w:ascii="Calibri" w:eastAsia="Times New Roman" w:hAnsi="Calibri"/>
          <w:sz w:val="24"/>
          <w:szCs w:val="24"/>
          <w:lang w:val="en-US" w:eastAsia="en-US" w:bidi="ar-SA"/>
        </w:rPr>
        <w:t xml:space="preserve">According to Article </w:t>
      </w:r>
      <w:r w:rsidRPr="001D1262">
        <w:rPr>
          <w:rFonts w:ascii="Calibri" w:eastAsia="Sylfaen" w:hAnsi="Calibri"/>
          <w:sz w:val="24"/>
          <w:szCs w:val="24"/>
          <w:lang w:val="en-US" w:eastAsia="en-US" w:bidi="ar-SA"/>
        </w:rPr>
        <w:t xml:space="preserve">1172 of the Civil Code of Georgia, if at least one of the spouses is an assistance recipient, </w:t>
      </w:r>
      <w:r w:rsidRPr="001D1262">
        <w:rPr>
          <w:rFonts w:ascii="Calibri" w:eastAsia="Times New Roman" w:hAnsi="Calibri" w:cs="TTE1690518t00"/>
          <w:sz w:val="24"/>
          <w:szCs w:val="24"/>
          <w:lang w:val="en-US" w:eastAsia="en-US" w:bidi="ar-SA"/>
        </w:rPr>
        <w:t xml:space="preserve">marital agreement shall be made prior to the registration of the marriage. Moreover, according to existing legislation, status of a child for adoption shall not be granted to children of parent(s) who is (are) an </w:t>
      </w:r>
      <w:r w:rsidR="00294175">
        <w:rPr>
          <w:rFonts w:ascii="Calibri" w:eastAsia="Times New Roman" w:hAnsi="Calibri" w:cs="TTE1690518t00"/>
          <w:sz w:val="24"/>
          <w:szCs w:val="24"/>
          <w:lang w:val="en-US" w:eastAsia="en-US" w:bidi="ar-SA"/>
        </w:rPr>
        <w:t xml:space="preserve">recipient person with psychosocial needs. </w:t>
      </w:r>
    </w:p>
    <w:p w:rsidR="00064908" w:rsidRPr="001D1262" w:rsidRDefault="00064908" w:rsidP="00064908">
      <w:pPr>
        <w:autoSpaceDE w:val="0"/>
        <w:autoSpaceDN w:val="0"/>
        <w:adjustRightInd w:val="0"/>
        <w:spacing w:after="160" w:line="259" w:lineRule="auto"/>
        <w:jc w:val="both"/>
        <w:rPr>
          <w:rFonts w:ascii="Calibri" w:eastAsia="Times New Roman" w:hAnsi="Calibri" w:cs="Arial"/>
          <w:sz w:val="24"/>
          <w:szCs w:val="24"/>
          <w:lang w:val="en-US" w:eastAsia="en-US" w:bidi="ar-SA"/>
        </w:rPr>
      </w:pPr>
      <w:r w:rsidRPr="001D1262">
        <w:rPr>
          <w:rFonts w:ascii="Calibri" w:eastAsia="Times New Roman" w:hAnsi="Calibri"/>
          <w:sz w:val="24"/>
          <w:szCs w:val="24"/>
          <w:lang w:val="en-US" w:eastAsia="en-US" w:bidi="ar-SA"/>
        </w:rPr>
        <w:t xml:space="preserve">Article </w:t>
      </w:r>
      <w:r w:rsidRPr="001D1262">
        <w:rPr>
          <w:rFonts w:ascii="Calibri" w:eastAsia="Sylfaen" w:hAnsi="Calibri"/>
          <w:sz w:val="24"/>
          <w:szCs w:val="24"/>
          <w:lang w:val="ka-GE" w:eastAsia="en-US" w:bidi="ar-SA"/>
        </w:rPr>
        <w:t>1508</w:t>
      </w:r>
      <w:r w:rsidRPr="001D1262">
        <w:rPr>
          <w:rFonts w:ascii="Calibri" w:eastAsia="Sylfaen" w:hAnsi="Calibri"/>
          <w:sz w:val="24"/>
          <w:szCs w:val="24"/>
          <w:vertAlign w:val="superscript"/>
          <w:lang w:val="ka-GE" w:eastAsia="en-US" w:bidi="ar-SA"/>
        </w:rPr>
        <w:t>3</w:t>
      </w:r>
      <w:r w:rsidRPr="001D1262">
        <w:rPr>
          <w:rFonts w:ascii="Calibri" w:eastAsia="Sylfaen" w:hAnsi="Calibri"/>
          <w:sz w:val="24"/>
          <w:szCs w:val="24"/>
          <w:vertAlign w:val="superscript"/>
          <w:lang w:val="en-US" w:eastAsia="en-US" w:bidi="ar-SA"/>
        </w:rPr>
        <w:t xml:space="preserve"> </w:t>
      </w:r>
      <w:r w:rsidRPr="001D1262">
        <w:rPr>
          <w:rFonts w:ascii="Calibri" w:eastAsia="Sylfaen" w:hAnsi="Calibri"/>
          <w:sz w:val="24"/>
          <w:szCs w:val="24"/>
          <w:lang w:val="en-US" w:eastAsia="en-US" w:bidi="ar-SA"/>
        </w:rPr>
        <w:t>of the Civil Code of Georgia</w:t>
      </w:r>
      <w:r w:rsidRPr="001D1262">
        <w:rPr>
          <w:rFonts w:ascii="Calibri" w:eastAsia="Sylfaen" w:hAnsi="Calibri"/>
          <w:sz w:val="24"/>
          <w:szCs w:val="24"/>
          <w:lang w:val="ka-GE" w:eastAsia="en-US" w:bidi="ar-SA"/>
        </w:rPr>
        <w:t xml:space="preserve"> provides that the </w:t>
      </w:r>
      <w:r w:rsidRPr="001D1262">
        <w:rPr>
          <w:rFonts w:ascii="Calibri" w:eastAsia="Sylfaen" w:hAnsi="Calibri"/>
          <w:sz w:val="24"/>
          <w:szCs w:val="24"/>
          <w:lang w:val="en-US" w:eastAsia="en-US" w:bidi="ar-SA"/>
        </w:rPr>
        <w:t xml:space="preserve">guardianship and curatorship agencies updated respective databases. </w:t>
      </w:r>
      <w:r w:rsidRPr="001D1262">
        <w:rPr>
          <w:rFonts w:ascii="Calibri" w:eastAsia="Times New Roman" w:hAnsi="Calibri"/>
          <w:sz w:val="24"/>
          <w:szCs w:val="24"/>
          <w:lang w:val="en-US" w:eastAsia="en-US" w:bidi="ar-SA"/>
        </w:rPr>
        <w:t xml:space="preserve">According to Article </w:t>
      </w:r>
      <w:r w:rsidRPr="001D1262">
        <w:rPr>
          <w:rFonts w:ascii="Calibri" w:eastAsia="Sylfaen" w:hAnsi="Calibri"/>
          <w:sz w:val="24"/>
          <w:szCs w:val="24"/>
          <w:lang w:val="ka-GE" w:eastAsia="en-US" w:bidi="ar-SA"/>
        </w:rPr>
        <w:t>1</w:t>
      </w:r>
      <w:r w:rsidRPr="001D1262">
        <w:rPr>
          <w:rFonts w:ascii="Calibri" w:eastAsia="Sylfaen" w:hAnsi="Calibri"/>
          <w:sz w:val="24"/>
          <w:szCs w:val="24"/>
          <w:lang w:val="en-US" w:eastAsia="en-US" w:bidi="ar-SA"/>
        </w:rPr>
        <w:t>5</w:t>
      </w:r>
      <w:r w:rsidRPr="001D1262">
        <w:rPr>
          <w:rFonts w:ascii="Calibri" w:eastAsia="Sylfaen" w:hAnsi="Calibri"/>
          <w:sz w:val="24"/>
          <w:szCs w:val="24"/>
          <w:lang w:val="ka-GE" w:eastAsia="en-US" w:bidi="ar-SA"/>
        </w:rPr>
        <w:t>0</w:t>
      </w:r>
      <w:r w:rsidRPr="001D1262">
        <w:rPr>
          <w:rFonts w:ascii="Calibri" w:eastAsia="Sylfaen" w:hAnsi="Calibri"/>
          <w:sz w:val="24"/>
          <w:szCs w:val="24"/>
          <w:lang w:val="en-US" w:eastAsia="en-US" w:bidi="ar-SA"/>
        </w:rPr>
        <w:t>8</w:t>
      </w:r>
      <w:r w:rsidRPr="001D1262">
        <w:rPr>
          <w:rFonts w:ascii="Calibri" w:eastAsia="Sylfaen" w:hAnsi="Calibri"/>
          <w:position w:val="6"/>
          <w:sz w:val="24"/>
          <w:szCs w:val="24"/>
          <w:vertAlign w:val="superscript"/>
          <w:lang w:val="ka-GE" w:eastAsia="en-US" w:bidi="ar-SA"/>
        </w:rPr>
        <w:t>1</w:t>
      </w:r>
      <w:r w:rsidRPr="001D1262">
        <w:rPr>
          <w:rFonts w:ascii="Calibri" w:eastAsia="Sylfaen" w:hAnsi="Calibri"/>
          <w:sz w:val="24"/>
          <w:szCs w:val="24"/>
          <w:lang w:val="en-US" w:eastAsia="en-US" w:bidi="ar-SA"/>
        </w:rPr>
        <w:t xml:space="preserve"> of the same Code, transition period for the revision of the status of a person without legal capacity shall be 5 years. In particular, guardians (curators) of a person considered as legally incapable over the recent 4 years since April 1, 2015, shall apply to the court for individual assessment and for definition of the level of assistance needed. Before the change of a status, guardians shall continue performing their duties. According to the same Article, inpatient psychiatric facilities shall apply to the court within 2 years, while 4-year timeframe shall be defined for specialized facilities to apply to court.  If the application is not submitted within the defined deadlines, guardianship and curatorship agency shall apply to court with the request to conduct an individual assessment of a person’s legal incapacity within 2 years following the deadline in the case of inpatient psychiatric facilities and within 1 year following the deadline in two remaining cases (</w:t>
      </w:r>
      <w:r w:rsidRPr="001D1262">
        <w:rPr>
          <w:rFonts w:ascii="Calibri" w:eastAsia="Times New Roman" w:hAnsi="Calibri"/>
          <w:sz w:val="24"/>
          <w:szCs w:val="24"/>
          <w:lang w:val="en-US" w:eastAsia="en-US" w:bidi="ar-SA"/>
        </w:rPr>
        <w:t xml:space="preserve">Article </w:t>
      </w:r>
      <w:r w:rsidRPr="001D1262">
        <w:rPr>
          <w:rFonts w:ascii="Calibri" w:eastAsia="Sylfaen" w:hAnsi="Calibri"/>
          <w:sz w:val="24"/>
          <w:szCs w:val="24"/>
          <w:lang w:val="ka-GE" w:eastAsia="en-US" w:bidi="ar-SA"/>
        </w:rPr>
        <w:t>1508</w:t>
      </w:r>
      <w:r w:rsidRPr="001D1262">
        <w:rPr>
          <w:rFonts w:ascii="Calibri" w:eastAsia="Sylfaen" w:hAnsi="Calibri"/>
          <w:sz w:val="24"/>
          <w:szCs w:val="24"/>
          <w:vertAlign w:val="superscript"/>
          <w:lang w:val="ka-GE" w:eastAsia="en-US" w:bidi="ar-SA"/>
        </w:rPr>
        <w:t>3</w:t>
      </w:r>
      <w:r w:rsidRPr="001D1262">
        <w:rPr>
          <w:rFonts w:ascii="Calibri" w:eastAsia="Times New Roman" w:hAnsi="Calibri"/>
          <w:sz w:val="24"/>
          <w:szCs w:val="24"/>
          <w:lang w:val="en-US" w:eastAsia="en-US" w:bidi="ar-SA"/>
        </w:rPr>
        <w:t xml:space="preserve">). </w:t>
      </w:r>
    </w:p>
    <w:p w:rsidR="00064908" w:rsidRPr="001D1262" w:rsidRDefault="00064908" w:rsidP="00064908">
      <w:pPr>
        <w:tabs>
          <w:tab w:val="left" w:pos="567"/>
        </w:tabs>
        <w:jc w:val="both"/>
        <w:rPr>
          <w:rFonts w:ascii="Arial" w:hAnsi="Arial" w:cs="Arial"/>
          <w:b/>
          <w:lang w:val="en-US" w:eastAsia="fi-FI"/>
        </w:rPr>
      </w:pPr>
    </w:p>
    <w:p w:rsidR="00A66A90" w:rsidRPr="000E0F54" w:rsidRDefault="00A66A90">
      <w:pPr>
        <w:rPr>
          <w:lang w:val="en-US"/>
        </w:rPr>
      </w:pPr>
    </w:p>
    <w:p w:rsidR="005E6B7C" w:rsidRDefault="005E6B7C">
      <w:pPr>
        <w:rPr>
          <w:lang w:val="en-AU"/>
        </w:rPr>
      </w:pPr>
    </w:p>
    <w:p w:rsidR="005E6B7C" w:rsidRPr="005E6B7C" w:rsidRDefault="005E6B7C" w:rsidP="005E6B7C">
      <w:pPr>
        <w:spacing w:after="120"/>
        <w:jc w:val="both"/>
        <w:rPr>
          <w:rFonts w:asciiTheme="minorHAnsi" w:eastAsia="Calibri" w:hAnsiTheme="minorHAnsi" w:cstheme="minorHAnsi"/>
          <w:color w:val="000000"/>
          <w:sz w:val="24"/>
          <w:szCs w:val="24"/>
          <w:lang w:val="en-US" w:eastAsia="en-US" w:bidi="ar-SA"/>
        </w:rPr>
      </w:pPr>
      <w:r w:rsidRPr="005E6B7C">
        <w:rPr>
          <w:rFonts w:asciiTheme="minorHAnsi" w:eastAsia="Merriweather" w:hAnsiTheme="minorHAnsi" w:cstheme="minorHAnsi"/>
          <w:b/>
          <w:color w:val="000000"/>
          <w:sz w:val="24"/>
          <w:szCs w:val="24"/>
          <w:lang w:val="en-US" w:eastAsia="en-US" w:bidi="ar-SA"/>
        </w:rPr>
        <w:t xml:space="preserve">Deinstitutionalization </w:t>
      </w:r>
    </w:p>
    <w:p w:rsidR="005E6B7C" w:rsidRPr="005E6B7C" w:rsidRDefault="005E6B7C" w:rsidP="005E6B7C">
      <w:pPr>
        <w:spacing w:after="120"/>
        <w:jc w:val="both"/>
        <w:rPr>
          <w:rFonts w:asciiTheme="minorHAnsi" w:eastAsia="Merriweather" w:hAnsiTheme="minorHAnsi" w:cstheme="minorHAnsi"/>
          <w:color w:val="000000"/>
          <w:sz w:val="24"/>
          <w:szCs w:val="24"/>
          <w:lang w:val="en-US" w:eastAsia="en-US" w:bidi="ar-SA"/>
        </w:rPr>
      </w:pPr>
      <w:r w:rsidRPr="005E6B7C">
        <w:rPr>
          <w:rFonts w:asciiTheme="minorHAnsi" w:eastAsia="Merriweather" w:hAnsiTheme="minorHAnsi" w:cstheme="minorHAnsi"/>
          <w:color w:val="000000"/>
          <w:sz w:val="24"/>
          <w:szCs w:val="24"/>
          <w:lang w:val="en-US" w:eastAsia="en-US" w:bidi="ar-SA"/>
        </w:rPr>
        <w:t xml:space="preserve">In order to ensure family type environment for children deprived of parental care, Georgia implemented successful reforms in the Child Welfare system. The main priorities of the reform is to close large Child care Facilities (so called orphanages) and substitute them with alternative </w:t>
      </w:r>
      <w:r w:rsidR="00D517B7">
        <w:rPr>
          <w:rFonts w:asciiTheme="minorHAnsi" w:eastAsia="Merriweather" w:hAnsiTheme="minorHAnsi" w:cstheme="minorHAnsi"/>
          <w:color w:val="000000"/>
          <w:sz w:val="24"/>
          <w:szCs w:val="24"/>
          <w:lang w:val="en-US" w:eastAsia="en-US" w:bidi="ar-SA"/>
        </w:rPr>
        <w:t xml:space="preserve">care </w:t>
      </w:r>
      <w:r w:rsidRPr="005E6B7C">
        <w:rPr>
          <w:rFonts w:asciiTheme="minorHAnsi" w:eastAsia="Merriweather" w:hAnsiTheme="minorHAnsi" w:cstheme="minorHAnsi"/>
          <w:color w:val="000000"/>
          <w:sz w:val="24"/>
          <w:szCs w:val="24"/>
          <w:lang w:val="en-US" w:eastAsia="en-US" w:bidi="ar-SA"/>
        </w:rPr>
        <w:t xml:space="preserve">services (foster care, small </w:t>
      </w:r>
      <w:r w:rsidR="00D517B7">
        <w:rPr>
          <w:rFonts w:asciiTheme="minorHAnsi" w:eastAsia="Merriweather" w:hAnsiTheme="minorHAnsi" w:cstheme="minorHAnsi"/>
          <w:color w:val="000000"/>
          <w:sz w:val="24"/>
          <w:szCs w:val="24"/>
          <w:lang w:val="en-US" w:eastAsia="en-US" w:bidi="ar-SA"/>
        </w:rPr>
        <w:t>group homes</w:t>
      </w:r>
      <w:r w:rsidRPr="005E6B7C">
        <w:rPr>
          <w:rFonts w:asciiTheme="minorHAnsi" w:eastAsia="Merriweather" w:hAnsiTheme="minorHAnsi" w:cstheme="minorHAnsi"/>
          <w:color w:val="000000"/>
          <w:sz w:val="24"/>
          <w:szCs w:val="24"/>
          <w:lang w:val="en-US" w:eastAsia="en-US" w:bidi="ar-SA"/>
        </w:rPr>
        <w:t xml:space="preserve">), as well as strengthen biological families and increase their social functions. At the initial phase of the reform, there were 48 large Childcare residential-type Facilities in Georgia, accommodating up to 5000 children. As a result of the reform, 46 large institutions have been closed down. Currently, there are two large childcare facilities operating for children with disabilities (0-10 years and 10-18 years). The number of children placed in State-run large institutions has decreased (from 1,239 in 2010 to 79 in 2016), while the number of children in foster care has increased (from 509 in 2010 to 1,343 in 2016 including more than </w:t>
      </w:r>
      <w:r w:rsidR="00D517B7">
        <w:rPr>
          <w:rFonts w:asciiTheme="minorHAnsi" w:eastAsia="Merriweather" w:hAnsiTheme="minorHAnsi" w:cstheme="minorHAnsi"/>
          <w:color w:val="000000"/>
          <w:sz w:val="24"/>
          <w:szCs w:val="24"/>
          <w:lang w:val="en-US" w:eastAsia="en-US" w:bidi="ar-SA"/>
        </w:rPr>
        <w:t>190</w:t>
      </w:r>
      <w:r w:rsidR="00D517B7" w:rsidRPr="005E6B7C">
        <w:rPr>
          <w:rFonts w:asciiTheme="minorHAnsi" w:eastAsia="Merriweather" w:hAnsiTheme="minorHAnsi" w:cstheme="minorHAnsi"/>
          <w:color w:val="000000"/>
          <w:sz w:val="24"/>
          <w:szCs w:val="24"/>
          <w:lang w:val="en-US" w:eastAsia="en-US" w:bidi="ar-SA"/>
        </w:rPr>
        <w:t xml:space="preserve"> </w:t>
      </w:r>
      <w:r w:rsidRPr="005E6B7C">
        <w:rPr>
          <w:rFonts w:asciiTheme="minorHAnsi" w:eastAsia="Merriweather" w:hAnsiTheme="minorHAnsi" w:cstheme="minorHAnsi"/>
          <w:color w:val="000000"/>
          <w:sz w:val="24"/>
          <w:szCs w:val="24"/>
          <w:lang w:val="en-US" w:eastAsia="en-US" w:bidi="ar-SA"/>
        </w:rPr>
        <w:t xml:space="preserve">children with disabilities). In addition, 47 small group homes provide care to 326 children. In 2016 the first small family-type house was </w:t>
      </w:r>
      <w:r w:rsidRPr="005E6B7C">
        <w:rPr>
          <w:rFonts w:asciiTheme="minorHAnsi" w:eastAsia="Merriweather" w:hAnsiTheme="minorHAnsi" w:cstheme="minorHAnsi"/>
          <w:color w:val="000000"/>
          <w:sz w:val="24"/>
          <w:szCs w:val="24"/>
          <w:lang w:val="en-US" w:eastAsia="en-US" w:bidi="ar-SA"/>
        </w:rPr>
        <w:lastRenderedPageBreak/>
        <w:t>opened for children with severe disabilities</w:t>
      </w:r>
      <w:r w:rsidR="00294175">
        <w:rPr>
          <w:rFonts w:asciiTheme="minorHAnsi" w:eastAsia="Merriweather" w:hAnsiTheme="minorHAnsi" w:cstheme="minorHAnsi"/>
          <w:color w:val="000000"/>
          <w:sz w:val="24"/>
          <w:szCs w:val="24"/>
          <w:lang w:val="en-US" w:eastAsia="en-US" w:bidi="ar-SA"/>
        </w:rPr>
        <w:t xml:space="preserve"> and hea</w:t>
      </w:r>
      <w:bookmarkStart w:id="0" w:name="_GoBack"/>
      <w:bookmarkEnd w:id="0"/>
      <w:r w:rsidR="00294175">
        <w:rPr>
          <w:rFonts w:asciiTheme="minorHAnsi" w:eastAsia="Merriweather" w:hAnsiTheme="minorHAnsi" w:cstheme="minorHAnsi"/>
          <w:color w:val="000000"/>
          <w:sz w:val="24"/>
          <w:szCs w:val="24"/>
          <w:lang w:val="en-US" w:eastAsia="en-US" w:bidi="ar-SA"/>
        </w:rPr>
        <w:t>lth</w:t>
      </w:r>
      <w:r w:rsidR="00DC6FAF">
        <w:rPr>
          <w:rFonts w:asciiTheme="minorHAnsi" w:eastAsia="Merriweather" w:hAnsiTheme="minorHAnsi" w:cstheme="minorHAnsi"/>
          <w:color w:val="000000"/>
          <w:sz w:val="24"/>
          <w:szCs w:val="24"/>
          <w:lang w:val="en-US" w:eastAsia="en-US" w:bidi="ar-SA"/>
        </w:rPr>
        <w:t xml:space="preserve"> problems</w:t>
      </w:r>
      <w:r w:rsidRPr="005E6B7C">
        <w:rPr>
          <w:rFonts w:asciiTheme="minorHAnsi" w:eastAsia="Merriweather" w:hAnsiTheme="minorHAnsi" w:cstheme="minorHAnsi"/>
          <w:color w:val="000000"/>
          <w:sz w:val="24"/>
          <w:szCs w:val="24"/>
          <w:lang w:val="en-US" w:eastAsia="en-US" w:bidi="ar-SA"/>
        </w:rPr>
        <w:t xml:space="preserve">. Gradual development of alternative </w:t>
      </w:r>
      <w:r w:rsidR="00D517B7">
        <w:rPr>
          <w:rFonts w:asciiTheme="minorHAnsi" w:eastAsia="Merriweather" w:hAnsiTheme="minorHAnsi" w:cstheme="minorHAnsi"/>
          <w:color w:val="000000"/>
          <w:sz w:val="24"/>
          <w:szCs w:val="24"/>
          <w:lang w:val="en-US" w:eastAsia="en-US" w:bidi="ar-SA"/>
        </w:rPr>
        <w:t xml:space="preserve">care </w:t>
      </w:r>
      <w:r w:rsidRPr="005E6B7C">
        <w:rPr>
          <w:rFonts w:asciiTheme="minorHAnsi" w:eastAsia="Merriweather" w:hAnsiTheme="minorHAnsi" w:cstheme="minorHAnsi"/>
          <w:color w:val="000000"/>
          <w:sz w:val="24"/>
          <w:szCs w:val="24"/>
          <w:lang w:val="en-US" w:eastAsia="en-US" w:bidi="ar-SA"/>
        </w:rPr>
        <w:t xml:space="preserve">services will support process of closure of remaining 2 big state </w:t>
      </w:r>
      <w:r w:rsidR="00D517B7">
        <w:rPr>
          <w:rFonts w:asciiTheme="minorHAnsi" w:eastAsia="Merriweather" w:hAnsiTheme="minorHAnsi" w:cstheme="minorHAnsi"/>
          <w:color w:val="000000"/>
          <w:sz w:val="24"/>
          <w:szCs w:val="24"/>
          <w:lang w:val="en-US" w:eastAsia="en-US" w:bidi="ar-SA"/>
        </w:rPr>
        <w:t>facilities</w:t>
      </w:r>
      <w:r w:rsidRPr="005E6B7C">
        <w:rPr>
          <w:rFonts w:asciiTheme="minorHAnsi" w:eastAsia="Merriweather" w:hAnsiTheme="minorHAnsi" w:cstheme="minorHAnsi"/>
          <w:color w:val="000000"/>
          <w:sz w:val="24"/>
          <w:szCs w:val="24"/>
          <w:lang w:val="en-US" w:eastAsia="en-US" w:bidi="ar-SA"/>
        </w:rPr>
        <w:t xml:space="preserve">. </w:t>
      </w:r>
    </w:p>
    <w:p w:rsidR="005E6B7C" w:rsidRPr="00335D34" w:rsidRDefault="005E6B7C">
      <w:pPr>
        <w:rPr>
          <w:lang w:val="en-GB"/>
        </w:rPr>
      </w:pPr>
    </w:p>
    <w:p w:rsidR="007752D3" w:rsidRPr="00335D34" w:rsidRDefault="007752D3" w:rsidP="004E0F65">
      <w:pPr>
        <w:jc w:val="both"/>
        <w:rPr>
          <w:rFonts w:asciiTheme="minorHAnsi" w:eastAsia="Merriweather" w:hAnsiTheme="minorHAnsi" w:cstheme="minorHAnsi"/>
          <w:b/>
          <w:sz w:val="24"/>
          <w:szCs w:val="24"/>
          <w:lang w:val="en-GB"/>
        </w:rPr>
      </w:pPr>
      <w:r w:rsidRPr="00335D34">
        <w:rPr>
          <w:rFonts w:asciiTheme="minorHAnsi" w:eastAsia="Merriweather" w:hAnsiTheme="minorHAnsi" w:cstheme="minorHAnsi"/>
          <w:b/>
          <w:sz w:val="24"/>
          <w:szCs w:val="24"/>
          <w:lang w:val="en-GB"/>
        </w:rPr>
        <w:t>Response</w:t>
      </w:r>
      <w:r w:rsidRPr="007752D3">
        <w:rPr>
          <w:rFonts w:asciiTheme="minorHAnsi" w:eastAsia="Merriweather" w:hAnsiTheme="minorHAnsi" w:cstheme="minorHAnsi"/>
          <w:b/>
          <w:sz w:val="24"/>
          <w:szCs w:val="24"/>
        </w:rPr>
        <w:t xml:space="preserve"> to Violence issues</w:t>
      </w:r>
    </w:p>
    <w:p w:rsidR="005E6B7C" w:rsidRDefault="005E6B7C" w:rsidP="004E0F65">
      <w:pPr>
        <w:jc w:val="both"/>
        <w:rPr>
          <w:lang w:val="en-US"/>
        </w:rPr>
      </w:pPr>
      <w:r w:rsidRPr="00335D34">
        <w:rPr>
          <w:rFonts w:asciiTheme="minorHAnsi" w:eastAsia="Merriweather" w:hAnsiTheme="minorHAnsi" w:cstheme="minorHAnsi"/>
          <w:sz w:val="24"/>
          <w:szCs w:val="24"/>
          <w:lang w:val="en-GB"/>
        </w:rPr>
        <w:t>Significant</w:t>
      </w:r>
      <w:r w:rsidRPr="00061730">
        <w:rPr>
          <w:rFonts w:asciiTheme="minorHAnsi" w:eastAsia="Merriweather" w:hAnsiTheme="minorHAnsi" w:cstheme="minorHAnsi"/>
          <w:sz w:val="24"/>
          <w:szCs w:val="24"/>
        </w:rPr>
        <w:t xml:space="preserve"> investments have been made in development of social work profession. </w:t>
      </w:r>
      <w:r w:rsidRPr="00CC4C10">
        <w:rPr>
          <w:rFonts w:asciiTheme="minorHAnsi" w:eastAsia="Merriweather" w:hAnsiTheme="minorHAnsi" w:cstheme="minorHAnsi"/>
          <w:sz w:val="24"/>
          <w:szCs w:val="24"/>
        </w:rPr>
        <w:t>Two hundred and forty</w:t>
      </w:r>
      <w:r w:rsidRPr="00061730">
        <w:rPr>
          <w:rFonts w:asciiTheme="minorHAnsi" w:eastAsia="Merriweather" w:hAnsiTheme="minorHAnsi" w:cstheme="minorHAnsi"/>
          <w:sz w:val="24"/>
          <w:szCs w:val="24"/>
        </w:rPr>
        <w:t xml:space="preserve"> trained state social </w:t>
      </w:r>
      <w:r>
        <w:rPr>
          <w:rFonts w:asciiTheme="minorHAnsi" w:eastAsia="Merriweather" w:hAnsiTheme="minorHAnsi" w:cstheme="minorHAnsi"/>
          <w:sz w:val="24"/>
          <w:szCs w:val="24"/>
        </w:rPr>
        <w:t>workers are now in place in all</w:t>
      </w:r>
      <w:r w:rsidRPr="00061730">
        <w:rPr>
          <w:rFonts w:asciiTheme="minorHAnsi" w:eastAsia="Merriweather" w:hAnsiTheme="minorHAnsi" w:cstheme="minorHAnsi"/>
          <w:sz w:val="24"/>
          <w:szCs w:val="24"/>
        </w:rPr>
        <w:t xml:space="preserve"> municipalities and their number and qualification is growing.</w:t>
      </w:r>
      <w:r>
        <w:rPr>
          <w:rFonts w:asciiTheme="minorHAnsi" w:eastAsia="Merriweather" w:hAnsiTheme="minorHAnsi" w:cstheme="minorHAnsi"/>
          <w:sz w:val="24"/>
          <w:szCs w:val="24"/>
        </w:rPr>
        <w:t xml:space="preserve"> In </w:t>
      </w:r>
      <w:r w:rsidRPr="007E0630">
        <w:rPr>
          <w:rFonts w:asciiTheme="minorHAnsi" w:eastAsia="Merriweather" w:hAnsiTheme="minorHAnsi" w:cstheme="minorHAnsi"/>
          <w:sz w:val="24"/>
          <w:szCs w:val="24"/>
        </w:rPr>
        <w:t xml:space="preserve">2016, 255 </w:t>
      </w:r>
      <w:r w:rsidR="004E0F65">
        <w:rPr>
          <w:rFonts w:asciiTheme="minorHAnsi" w:eastAsia="Merriweather" w:hAnsiTheme="minorHAnsi" w:cstheme="minorHAnsi"/>
          <w:sz w:val="24"/>
          <w:szCs w:val="24"/>
        </w:rPr>
        <w:t>social workers</w:t>
      </w:r>
      <w:r w:rsidRPr="007E0630">
        <w:rPr>
          <w:rFonts w:asciiTheme="minorHAnsi" w:eastAsia="Merriweather" w:hAnsiTheme="minorHAnsi" w:cstheme="minorHAnsi"/>
          <w:sz w:val="24"/>
          <w:szCs w:val="24"/>
        </w:rPr>
        <w:t xml:space="preserve"> have been retrained on </w:t>
      </w:r>
      <w:r w:rsidR="003470A7">
        <w:rPr>
          <w:rFonts w:asciiTheme="minorHAnsi" w:eastAsia="Merriweather" w:hAnsiTheme="minorHAnsi" w:cstheme="minorHAnsi"/>
          <w:sz w:val="24"/>
          <w:szCs w:val="24"/>
        </w:rPr>
        <w:t xml:space="preserve">domestic </w:t>
      </w:r>
      <w:r w:rsidRPr="007E0630">
        <w:rPr>
          <w:rFonts w:asciiTheme="minorHAnsi" w:eastAsia="Merriweather" w:hAnsiTheme="minorHAnsi" w:cstheme="minorHAnsi"/>
          <w:sz w:val="24"/>
          <w:szCs w:val="24"/>
        </w:rPr>
        <w:t>violence issues.</w:t>
      </w:r>
    </w:p>
    <w:p w:rsidR="00680D73" w:rsidRPr="00680D73" w:rsidRDefault="00680D73" w:rsidP="00680D73">
      <w:pPr>
        <w:jc w:val="both"/>
        <w:rPr>
          <w:rFonts w:asciiTheme="minorHAnsi" w:eastAsia="Merriweather" w:hAnsiTheme="minorHAnsi" w:cstheme="minorHAnsi"/>
          <w:sz w:val="24"/>
          <w:szCs w:val="24"/>
        </w:rPr>
      </w:pPr>
      <w:r w:rsidRPr="00680D73">
        <w:rPr>
          <w:rFonts w:asciiTheme="minorHAnsi" w:eastAsia="Merriweather" w:hAnsiTheme="minorHAnsi" w:cstheme="minorHAnsi"/>
          <w:sz w:val="24"/>
          <w:szCs w:val="24"/>
        </w:rPr>
        <w:t xml:space="preserve">The State Crisis Center </w:t>
      </w:r>
      <w:r>
        <w:rPr>
          <w:rFonts w:asciiTheme="minorHAnsi" w:eastAsia="Merriweather" w:hAnsiTheme="minorHAnsi" w:cstheme="minorHAnsi"/>
          <w:sz w:val="24"/>
          <w:szCs w:val="24"/>
        </w:rPr>
        <w:t xml:space="preserve">(in Tbilisi) </w:t>
      </w:r>
      <w:r w:rsidRPr="00680D73">
        <w:rPr>
          <w:rFonts w:asciiTheme="minorHAnsi" w:eastAsia="Merriweather" w:hAnsiTheme="minorHAnsi" w:cstheme="minorHAnsi"/>
          <w:sz w:val="24"/>
          <w:szCs w:val="24"/>
        </w:rPr>
        <w:t xml:space="preserve">has started functioning on September, 2016 under the LEPL- State Fund for Protection and Assistance of (Statutory) Victims of Human Trafficking. From this period alleged victims of domestic violence </w:t>
      </w:r>
      <w:r>
        <w:rPr>
          <w:rFonts w:asciiTheme="minorHAnsi" w:eastAsia="Merriweather" w:hAnsiTheme="minorHAnsi" w:cstheme="minorHAnsi"/>
          <w:sz w:val="24"/>
          <w:szCs w:val="24"/>
        </w:rPr>
        <w:t>are</w:t>
      </w:r>
      <w:r w:rsidRPr="00680D73">
        <w:rPr>
          <w:rFonts w:asciiTheme="minorHAnsi" w:eastAsia="Merriweather" w:hAnsiTheme="minorHAnsi" w:cstheme="minorHAnsi"/>
          <w:sz w:val="24"/>
          <w:szCs w:val="24"/>
        </w:rPr>
        <w:t xml:space="preserve"> provided with the service of the crisis center (psycho-social rehabilitation, legal and emergency medical assistance) before obtaining the status of the victim. (Crisis center is a place for temporary accommodation of alleged victims and victims of domestic violence and it is intended for psychological and social rehabilitation, primary and emergency medical aid and legal assistance). </w:t>
      </w:r>
    </w:p>
    <w:p w:rsidR="00680D73" w:rsidRPr="00680D73" w:rsidRDefault="00680D73" w:rsidP="00680D73">
      <w:pPr>
        <w:jc w:val="both"/>
        <w:rPr>
          <w:rFonts w:asciiTheme="minorHAnsi" w:eastAsia="Merriweather" w:hAnsiTheme="minorHAnsi" w:cstheme="minorHAnsi"/>
          <w:sz w:val="24"/>
          <w:szCs w:val="24"/>
        </w:rPr>
      </w:pPr>
      <w:r w:rsidRPr="00680D73">
        <w:rPr>
          <w:rFonts w:asciiTheme="minorHAnsi" w:eastAsia="Merriweather" w:hAnsiTheme="minorHAnsi" w:cstheme="minorHAnsi"/>
          <w:sz w:val="24"/>
          <w:szCs w:val="24"/>
        </w:rPr>
        <w:t xml:space="preserve">Moreover, the services of the State Fund are available to (statutory) victims of human trafficking and domestic violence regardless of their race, skin color, language, sex, religion, political or other opinions, national, ethnic, and social affiliation, origin, property or social status, place of residence. The Georgian legislation prohibits any kind of discrimination in public and private spheres. The internal regulations of the State Fund are in accordance with the Georgian legislation. </w:t>
      </w:r>
    </w:p>
    <w:p w:rsidR="005E6B7C" w:rsidRPr="00680D73" w:rsidRDefault="005E6B7C">
      <w:pPr>
        <w:rPr>
          <w:rFonts w:asciiTheme="minorHAnsi" w:eastAsia="Merriweather" w:hAnsiTheme="minorHAnsi" w:cstheme="minorHAnsi"/>
          <w:sz w:val="24"/>
          <w:szCs w:val="24"/>
        </w:rPr>
      </w:pPr>
    </w:p>
    <w:sectPr w:rsidR="005E6B7C" w:rsidRPr="00680D73" w:rsidSect="001C0395">
      <w:pgSz w:w="12240" w:h="15840"/>
      <w:pgMar w:top="1134" w:right="1325"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TE1690518t00">
    <w:panose1 w:val="00000000000000000000"/>
    <w:charset w:val="00"/>
    <w:family w:val="auto"/>
    <w:notTrueType/>
    <w:pitch w:val="default"/>
    <w:sig w:usb0="00000003" w:usb1="00000000" w:usb2="00000000" w:usb3="00000000" w:csb0="00000001" w:csb1="00000000"/>
  </w:font>
  <w:font w:name="Merriweather">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957FF3"/>
    <w:multiLevelType w:val="hybridMultilevel"/>
    <w:tmpl w:val="D4B6C2D2"/>
    <w:lvl w:ilvl="0" w:tplc="DCD8F418">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908"/>
    <w:rsid w:val="00061D0F"/>
    <w:rsid w:val="00064908"/>
    <w:rsid w:val="000E0F54"/>
    <w:rsid w:val="0015359B"/>
    <w:rsid w:val="001F336A"/>
    <w:rsid w:val="00294175"/>
    <w:rsid w:val="00335D34"/>
    <w:rsid w:val="003470A7"/>
    <w:rsid w:val="003C7899"/>
    <w:rsid w:val="003E57BB"/>
    <w:rsid w:val="004B46F7"/>
    <w:rsid w:val="004E0F65"/>
    <w:rsid w:val="005E6B7C"/>
    <w:rsid w:val="00680D73"/>
    <w:rsid w:val="007752D3"/>
    <w:rsid w:val="00781466"/>
    <w:rsid w:val="007951A9"/>
    <w:rsid w:val="007B6562"/>
    <w:rsid w:val="008033EF"/>
    <w:rsid w:val="00957E24"/>
    <w:rsid w:val="009920D2"/>
    <w:rsid w:val="009D7701"/>
    <w:rsid w:val="00A66A90"/>
    <w:rsid w:val="00AA3BC8"/>
    <w:rsid w:val="00B70837"/>
    <w:rsid w:val="00B8287E"/>
    <w:rsid w:val="00C4462A"/>
    <w:rsid w:val="00CE7251"/>
    <w:rsid w:val="00D517B7"/>
    <w:rsid w:val="00DC6FAF"/>
    <w:rsid w:val="00E43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908"/>
    <w:pPr>
      <w:spacing w:after="0" w:line="240" w:lineRule="auto"/>
    </w:pPr>
    <w:rPr>
      <w:rFonts w:ascii="Times New Roman" w:eastAsia="Cambria" w:hAnsi="Times New Roman" w:cs="Times New Roman"/>
      <w:sz w:val="20"/>
      <w:szCs w:val="20"/>
      <w:lang w:val="fr-FR" w:eastAsia="fr-FR" w:bidi="fr-FR"/>
    </w:rPr>
  </w:style>
  <w:style w:type="paragraph" w:styleId="Heading2">
    <w:name w:val="heading 2"/>
    <w:basedOn w:val="Normal"/>
    <w:next w:val="Normal"/>
    <w:link w:val="Heading2Char"/>
    <w:uiPriority w:val="9"/>
    <w:semiHidden/>
    <w:unhideWhenUsed/>
    <w:qFormat/>
    <w:rsid w:val="00064908"/>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64908"/>
    <w:rPr>
      <w:rFonts w:ascii="Cambria" w:eastAsia="Times New Roman" w:hAnsi="Cambria" w:cs="Times New Roman"/>
      <w:b/>
      <w:bCs/>
      <w:color w:val="4F81BD"/>
      <w:sz w:val="26"/>
      <w:szCs w:val="26"/>
      <w:lang w:val="fr-FR" w:eastAsia="fr-FR" w:bidi="fr-FR"/>
    </w:rPr>
  </w:style>
  <w:style w:type="paragraph" w:styleId="BalloonText">
    <w:name w:val="Balloon Text"/>
    <w:basedOn w:val="Normal"/>
    <w:link w:val="BalloonTextChar"/>
    <w:uiPriority w:val="99"/>
    <w:semiHidden/>
    <w:unhideWhenUsed/>
    <w:rsid w:val="001F336A"/>
    <w:rPr>
      <w:rFonts w:ascii="Tahoma" w:hAnsi="Tahoma" w:cs="Tahoma"/>
      <w:sz w:val="16"/>
      <w:szCs w:val="16"/>
    </w:rPr>
  </w:style>
  <w:style w:type="character" w:customStyle="1" w:styleId="BalloonTextChar">
    <w:name w:val="Balloon Text Char"/>
    <w:basedOn w:val="DefaultParagraphFont"/>
    <w:link w:val="BalloonText"/>
    <w:uiPriority w:val="99"/>
    <w:semiHidden/>
    <w:rsid w:val="001F336A"/>
    <w:rPr>
      <w:rFonts w:ascii="Tahoma" w:eastAsia="Cambria" w:hAnsi="Tahoma" w:cs="Tahoma"/>
      <w:sz w:val="16"/>
      <w:szCs w:val="16"/>
      <w:lang w:val="fr-FR" w:eastAsia="fr-FR" w:bidi="fr-FR"/>
    </w:rPr>
  </w:style>
  <w:style w:type="paragraph" w:styleId="ListParagraph">
    <w:name w:val="List Paragraph"/>
    <w:basedOn w:val="Normal"/>
    <w:uiPriority w:val="34"/>
    <w:qFormat/>
    <w:rsid w:val="008033EF"/>
    <w:pPr>
      <w:ind w:left="720"/>
      <w:contextualSpacing/>
    </w:pPr>
  </w:style>
  <w:style w:type="character" w:styleId="CommentReference">
    <w:name w:val="annotation reference"/>
    <w:basedOn w:val="DefaultParagraphFont"/>
    <w:uiPriority w:val="99"/>
    <w:semiHidden/>
    <w:unhideWhenUsed/>
    <w:rsid w:val="007B6562"/>
    <w:rPr>
      <w:sz w:val="16"/>
      <w:szCs w:val="16"/>
    </w:rPr>
  </w:style>
  <w:style w:type="paragraph" w:styleId="CommentText">
    <w:name w:val="annotation text"/>
    <w:basedOn w:val="Normal"/>
    <w:link w:val="CommentTextChar"/>
    <w:uiPriority w:val="99"/>
    <w:semiHidden/>
    <w:unhideWhenUsed/>
    <w:rsid w:val="007B6562"/>
  </w:style>
  <w:style w:type="character" w:customStyle="1" w:styleId="CommentTextChar">
    <w:name w:val="Comment Text Char"/>
    <w:basedOn w:val="DefaultParagraphFont"/>
    <w:link w:val="CommentText"/>
    <w:uiPriority w:val="99"/>
    <w:semiHidden/>
    <w:rsid w:val="007B6562"/>
    <w:rPr>
      <w:rFonts w:ascii="Times New Roman" w:eastAsia="Cambria" w:hAnsi="Times New Roman" w:cs="Times New Roman"/>
      <w:sz w:val="20"/>
      <w:szCs w:val="20"/>
      <w:lang w:val="fr-FR" w:eastAsia="fr-FR" w:bidi="fr-FR"/>
    </w:rPr>
  </w:style>
  <w:style w:type="paragraph" w:styleId="CommentSubject">
    <w:name w:val="annotation subject"/>
    <w:basedOn w:val="CommentText"/>
    <w:next w:val="CommentText"/>
    <w:link w:val="CommentSubjectChar"/>
    <w:uiPriority w:val="99"/>
    <w:semiHidden/>
    <w:unhideWhenUsed/>
    <w:rsid w:val="007B6562"/>
    <w:rPr>
      <w:b/>
      <w:bCs/>
    </w:rPr>
  </w:style>
  <w:style w:type="character" w:customStyle="1" w:styleId="CommentSubjectChar">
    <w:name w:val="Comment Subject Char"/>
    <w:basedOn w:val="CommentTextChar"/>
    <w:link w:val="CommentSubject"/>
    <w:uiPriority w:val="99"/>
    <w:semiHidden/>
    <w:rsid w:val="007B6562"/>
    <w:rPr>
      <w:rFonts w:ascii="Times New Roman" w:eastAsia="Cambria" w:hAnsi="Times New Roman" w:cs="Times New Roman"/>
      <w:b/>
      <w:bCs/>
      <w:sz w:val="20"/>
      <w:szCs w:val="20"/>
      <w:lang w:val="fr-FR" w:eastAsia="fr-FR" w:bidi="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908"/>
    <w:pPr>
      <w:spacing w:after="0" w:line="240" w:lineRule="auto"/>
    </w:pPr>
    <w:rPr>
      <w:rFonts w:ascii="Times New Roman" w:eastAsia="Cambria" w:hAnsi="Times New Roman" w:cs="Times New Roman"/>
      <w:sz w:val="20"/>
      <w:szCs w:val="20"/>
      <w:lang w:val="fr-FR" w:eastAsia="fr-FR" w:bidi="fr-FR"/>
    </w:rPr>
  </w:style>
  <w:style w:type="paragraph" w:styleId="Heading2">
    <w:name w:val="heading 2"/>
    <w:basedOn w:val="Normal"/>
    <w:next w:val="Normal"/>
    <w:link w:val="Heading2Char"/>
    <w:uiPriority w:val="9"/>
    <w:semiHidden/>
    <w:unhideWhenUsed/>
    <w:qFormat/>
    <w:rsid w:val="00064908"/>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64908"/>
    <w:rPr>
      <w:rFonts w:ascii="Cambria" w:eastAsia="Times New Roman" w:hAnsi="Cambria" w:cs="Times New Roman"/>
      <w:b/>
      <w:bCs/>
      <w:color w:val="4F81BD"/>
      <w:sz w:val="26"/>
      <w:szCs w:val="26"/>
      <w:lang w:val="fr-FR" w:eastAsia="fr-FR" w:bidi="fr-FR"/>
    </w:rPr>
  </w:style>
  <w:style w:type="paragraph" w:styleId="BalloonText">
    <w:name w:val="Balloon Text"/>
    <w:basedOn w:val="Normal"/>
    <w:link w:val="BalloonTextChar"/>
    <w:uiPriority w:val="99"/>
    <w:semiHidden/>
    <w:unhideWhenUsed/>
    <w:rsid w:val="001F336A"/>
    <w:rPr>
      <w:rFonts w:ascii="Tahoma" w:hAnsi="Tahoma" w:cs="Tahoma"/>
      <w:sz w:val="16"/>
      <w:szCs w:val="16"/>
    </w:rPr>
  </w:style>
  <w:style w:type="character" w:customStyle="1" w:styleId="BalloonTextChar">
    <w:name w:val="Balloon Text Char"/>
    <w:basedOn w:val="DefaultParagraphFont"/>
    <w:link w:val="BalloonText"/>
    <w:uiPriority w:val="99"/>
    <w:semiHidden/>
    <w:rsid w:val="001F336A"/>
    <w:rPr>
      <w:rFonts w:ascii="Tahoma" w:eastAsia="Cambria" w:hAnsi="Tahoma" w:cs="Tahoma"/>
      <w:sz w:val="16"/>
      <w:szCs w:val="16"/>
      <w:lang w:val="fr-FR" w:eastAsia="fr-FR" w:bidi="fr-FR"/>
    </w:rPr>
  </w:style>
  <w:style w:type="paragraph" w:styleId="ListParagraph">
    <w:name w:val="List Paragraph"/>
    <w:basedOn w:val="Normal"/>
    <w:uiPriority w:val="34"/>
    <w:qFormat/>
    <w:rsid w:val="008033EF"/>
    <w:pPr>
      <w:ind w:left="720"/>
      <w:contextualSpacing/>
    </w:pPr>
  </w:style>
  <w:style w:type="character" w:styleId="CommentReference">
    <w:name w:val="annotation reference"/>
    <w:basedOn w:val="DefaultParagraphFont"/>
    <w:uiPriority w:val="99"/>
    <w:semiHidden/>
    <w:unhideWhenUsed/>
    <w:rsid w:val="007B6562"/>
    <w:rPr>
      <w:sz w:val="16"/>
      <w:szCs w:val="16"/>
    </w:rPr>
  </w:style>
  <w:style w:type="paragraph" w:styleId="CommentText">
    <w:name w:val="annotation text"/>
    <w:basedOn w:val="Normal"/>
    <w:link w:val="CommentTextChar"/>
    <w:uiPriority w:val="99"/>
    <w:semiHidden/>
    <w:unhideWhenUsed/>
    <w:rsid w:val="007B6562"/>
  </w:style>
  <w:style w:type="character" w:customStyle="1" w:styleId="CommentTextChar">
    <w:name w:val="Comment Text Char"/>
    <w:basedOn w:val="DefaultParagraphFont"/>
    <w:link w:val="CommentText"/>
    <w:uiPriority w:val="99"/>
    <w:semiHidden/>
    <w:rsid w:val="007B6562"/>
    <w:rPr>
      <w:rFonts w:ascii="Times New Roman" w:eastAsia="Cambria" w:hAnsi="Times New Roman" w:cs="Times New Roman"/>
      <w:sz w:val="20"/>
      <w:szCs w:val="20"/>
      <w:lang w:val="fr-FR" w:eastAsia="fr-FR" w:bidi="fr-FR"/>
    </w:rPr>
  </w:style>
  <w:style w:type="paragraph" w:styleId="CommentSubject">
    <w:name w:val="annotation subject"/>
    <w:basedOn w:val="CommentText"/>
    <w:next w:val="CommentText"/>
    <w:link w:val="CommentSubjectChar"/>
    <w:uiPriority w:val="99"/>
    <w:semiHidden/>
    <w:unhideWhenUsed/>
    <w:rsid w:val="007B6562"/>
    <w:rPr>
      <w:b/>
      <w:bCs/>
    </w:rPr>
  </w:style>
  <w:style w:type="character" w:customStyle="1" w:styleId="CommentSubjectChar">
    <w:name w:val="Comment Subject Char"/>
    <w:basedOn w:val="CommentTextChar"/>
    <w:link w:val="CommentSubject"/>
    <w:uiPriority w:val="99"/>
    <w:semiHidden/>
    <w:rsid w:val="007B6562"/>
    <w:rPr>
      <w:rFonts w:ascii="Times New Roman" w:eastAsia="Cambria" w:hAnsi="Times New Roman" w:cs="Times New Roman"/>
      <w:b/>
      <w:bCs/>
      <w:sz w:val="20"/>
      <w:szCs w:val="20"/>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844877">
      <w:bodyDiv w:val="1"/>
      <w:marLeft w:val="0"/>
      <w:marRight w:val="0"/>
      <w:marTop w:val="0"/>
      <w:marBottom w:val="0"/>
      <w:divBdr>
        <w:top w:val="none" w:sz="0" w:space="0" w:color="auto"/>
        <w:left w:val="none" w:sz="0" w:space="0" w:color="auto"/>
        <w:bottom w:val="none" w:sz="0" w:space="0" w:color="auto"/>
        <w:right w:val="none" w:sz="0" w:space="0" w:color="auto"/>
      </w:divBdr>
      <w:divsChild>
        <w:div w:id="776293172">
          <w:marLeft w:val="0"/>
          <w:marRight w:val="0"/>
          <w:marTop w:val="0"/>
          <w:marBottom w:val="0"/>
          <w:divBdr>
            <w:top w:val="none" w:sz="0" w:space="0" w:color="auto"/>
            <w:left w:val="none" w:sz="0" w:space="0" w:color="auto"/>
            <w:bottom w:val="none" w:sz="0" w:space="0" w:color="auto"/>
            <w:right w:val="none" w:sz="0" w:space="0" w:color="auto"/>
          </w:divBdr>
        </w:div>
        <w:div w:id="816073863">
          <w:marLeft w:val="0"/>
          <w:marRight w:val="0"/>
          <w:marTop w:val="0"/>
          <w:marBottom w:val="0"/>
          <w:divBdr>
            <w:top w:val="none" w:sz="0" w:space="0" w:color="auto"/>
            <w:left w:val="none" w:sz="0" w:space="0" w:color="auto"/>
            <w:bottom w:val="none" w:sz="0" w:space="0" w:color="auto"/>
            <w:right w:val="none" w:sz="0" w:space="0" w:color="auto"/>
          </w:divBdr>
        </w:div>
        <w:div w:id="1796289936">
          <w:marLeft w:val="0"/>
          <w:marRight w:val="0"/>
          <w:marTop w:val="0"/>
          <w:marBottom w:val="0"/>
          <w:divBdr>
            <w:top w:val="none" w:sz="0" w:space="0" w:color="auto"/>
            <w:left w:val="none" w:sz="0" w:space="0" w:color="auto"/>
            <w:bottom w:val="none" w:sz="0" w:space="0" w:color="auto"/>
            <w:right w:val="none" w:sz="0" w:space="0" w:color="auto"/>
          </w:divBdr>
        </w:div>
        <w:div w:id="1835996427">
          <w:marLeft w:val="0"/>
          <w:marRight w:val="0"/>
          <w:marTop w:val="0"/>
          <w:marBottom w:val="0"/>
          <w:divBdr>
            <w:top w:val="none" w:sz="0" w:space="0" w:color="auto"/>
            <w:left w:val="none" w:sz="0" w:space="0" w:color="auto"/>
            <w:bottom w:val="none" w:sz="0" w:space="0" w:color="auto"/>
            <w:right w:val="none" w:sz="0" w:space="0" w:color="auto"/>
          </w:divBdr>
        </w:div>
        <w:div w:id="1187912331">
          <w:marLeft w:val="0"/>
          <w:marRight w:val="0"/>
          <w:marTop w:val="0"/>
          <w:marBottom w:val="0"/>
          <w:divBdr>
            <w:top w:val="none" w:sz="0" w:space="0" w:color="auto"/>
            <w:left w:val="none" w:sz="0" w:space="0" w:color="auto"/>
            <w:bottom w:val="none" w:sz="0" w:space="0" w:color="auto"/>
            <w:right w:val="none" w:sz="0" w:space="0" w:color="auto"/>
          </w:divBdr>
        </w:div>
        <w:div w:id="1749226221">
          <w:marLeft w:val="0"/>
          <w:marRight w:val="0"/>
          <w:marTop w:val="0"/>
          <w:marBottom w:val="0"/>
          <w:divBdr>
            <w:top w:val="none" w:sz="0" w:space="0" w:color="auto"/>
            <w:left w:val="none" w:sz="0" w:space="0" w:color="auto"/>
            <w:bottom w:val="none" w:sz="0" w:space="0" w:color="auto"/>
            <w:right w:val="none" w:sz="0" w:space="0" w:color="auto"/>
          </w:divBdr>
        </w:div>
        <w:div w:id="328795996">
          <w:marLeft w:val="0"/>
          <w:marRight w:val="0"/>
          <w:marTop w:val="0"/>
          <w:marBottom w:val="0"/>
          <w:divBdr>
            <w:top w:val="none" w:sz="0" w:space="0" w:color="auto"/>
            <w:left w:val="none" w:sz="0" w:space="0" w:color="auto"/>
            <w:bottom w:val="none" w:sz="0" w:space="0" w:color="auto"/>
            <w:right w:val="none" w:sz="0" w:space="0" w:color="auto"/>
          </w:divBdr>
        </w:div>
        <w:div w:id="1298416443">
          <w:marLeft w:val="0"/>
          <w:marRight w:val="0"/>
          <w:marTop w:val="0"/>
          <w:marBottom w:val="0"/>
          <w:divBdr>
            <w:top w:val="none" w:sz="0" w:space="0" w:color="auto"/>
            <w:left w:val="none" w:sz="0" w:space="0" w:color="auto"/>
            <w:bottom w:val="none" w:sz="0" w:space="0" w:color="auto"/>
            <w:right w:val="none" w:sz="0" w:space="0" w:color="auto"/>
          </w:divBdr>
        </w:div>
        <w:div w:id="997418727">
          <w:marLeft w:val="0"/>
          <w:marRight w:val="0"/>
          <w:marTop w:val="0"/>
          <w:marBottom w:val="0"/>
          <w:divBdr>
            <w:top w:val="none" w:sz="0" w:space="0" w:color="auto"/>
            <w:left w:val="none" w:sz="0" w:space="0" w:color="auto"/>
            <w:bottom w:val="none" w:sz="0" w:space="0" w:color="auto"/>
            <w:right w:val="none" w:sz="0" w:space="0" w:color="auto"/>
          </w:divBdr>
        </w:div>
        <w:div w:id="1432552780">
          <w:marLeft w:val="0"/>
          <w:marRight w:val="0"/>
          <w:marTop w:val="0"/>
          <w:marBottom w:val="0"/>
          <w:divBdr>
            <w:top w:val="none" w:sz="0" w:space="0" w:color="auto"/>
            <w:left w:val="none" w:sz="0" w:space="0" w:color="auto"/>
            <w:bottom w:val="none" w:sz="0" w:space="0" w:color="auto"/>
            <w:right w:val="none" w:sz="0" w:space="0" w:color="auto"/>
          </w:divBdr>
        </w:div>
        <w:div w:id="793914039">
          <w:marLeft w:val="0"/>
          <w:marRight w:val="0"/>
          <w:marTop w:val="0"/>
          <w:marBottom w:val="0"/>
          <w:divBdr>
            <w:top w:val="none" w:sz="0" w:space="0" w:color="auto"/>
            <w:left w:val="none" w:sz="0" w:space="0" w:color="auto"/>
            <w:bottom w:val="none" w:sz="0" w:space="0" w:color="auto"/>
            <w:right w:val="none" w:sz="0" w:space="0" w:color="auto"/>
          </w:divBdr>
        </w:div>
        <w:div w:id="1291011732">
          <w:marLeft w:val="0"/>
          <w:marRight w:val="0"/>
          <w:marTop w:val="0"/>
          <w:marBottom w:val="0"/>
          <w:divBdr>
            <w:top w:val="none" w:sz="0" w:space="0" w:color="auto"/>
            <w:left w:val="none" w:sz="0" w:space="0" w:color="auto"/>
            <w:bottom w:val="none" w:sz="0" w:space="0" w:color="auto"/>
            <w:right w:val="none" w:sz="0" w:space="0" w:color="auto"/>
          </w:divBdr>
        </w:div>
        <w:div w:id="720861914">
          <w:marLeft w:val="0"/>
          <w:marRight w:val="0"/>
          <w:marTop w:val="0"/>
          <w:marBottom w:val="0"/>
          <w:divBdr>
            <w:top w:val="none" w:sz="0" w:space="0" w:color="auto"/>
            <w:left w:val="none" w:sz="0" w:space="0" w:color="auto"/>
            <w:bottom w:val="none" w:sz="0" w:space="0" w:color="auto"/>
            <w:right w:val="none" w:sz="0" w:space="0" w:color="auto"/>
          </w:divBdr>
        </w:div>
        <w:div w:id="959996639">
          <w:marLeft w:val="0"/>
          <w:marRight w:val="0"/>
          <w:marTop w:val="0"/>
          <w:marBottom w:val="0"/>
          <w:divBdr>
            <w:top w:val="none" w:sz="0" w:space="0" w:color="auto"/>
            <w:left w:val="none" w:sz="0" w:space="0" w:color="auto"/>
            <w:bottom w:val="none" w:sz="0" w:space="0" w:color="auto"/>
            <w:right w:val="none" w:sz="0" w:space="0" w:color="auto"/>
          </w:divBdr>
        </w:div>
        <w:div w:id="470755597">
          <w:marLeft w:val="0"/>
          <w:marRight w:val="0"/>
          <w:marTop w:val="0"/>
          <w:marBottom w:val="0"/>
          <w:divBdr>
            <w:top w:val="none" w:sz="0" w:space="0" w:color="auto"/>
            <w:left w:val="none" w:sz="0" w:space="0" w:color="auto"/>
            <w:bottom w:val="none" w:sz="0" w:space="0" w:color="auto"/>
            <w:right w:val="none" w:sz="0" w:space="0" w:color="auto"/>
          </w:divBdr>
        </w:div>
        <w:div w:id="1815217256">
          <w:marLeft w:val="0"/>
          <w:marRight w:val="0"/>
          <w:marTop w:val="0"/>
          <w:marBottom w:val="0"/>
          <w:divBdr>
            <w:top w:val="none" w:sz="0" w:space="0" w:color="auto"/>
            <w:left w:val="none" w:sz="0" w:space="0" w:color="auto"/>
            <w:bottom w:val="none" w:sz="0" w:space="0" w:color="auto"/>
            <w:right w:val="none" w:sz="0" w:space="0" w:color="auto"/>
          </w:divBdr>
        </w:div>
        <w:div w:id="258099779">
          <w:marLeft w:val="0"/>
          <w:marRight w:val="0"/>
          <w:marTop w:val="0"/>
          <w:marBottom w:val="0"/>
          <w:divBdr>
            <w:top w:val="none" w:sz="0" w:space="0" w:color="auto"/>
            <w:left w:val="none" w:sz="0" w:space="0" w:color="auto"/>
            <w:bottom w:val="none" w:sz="0" w:space="0" w:color="auto"/>
            <w:right w:val="none" w:sz="0" w:space="0" w:color="auto"/>
          </w:divBdr>
        </w:div>
        <w:div w:id="436606270">
          <w:marLeft w:val="0"/>
          <w:marRight w:val="0"/>
          <w:marTop w:val="0"/>
          <w:marBottom w:val="0"/>
          <w:divBdr>
            <w:top w:val="none" w:sz="0" w:space="0" w:color="auto"/>
            <w:left w:val="none" w:sz="0" w:space="0" w:color="auto"/>
            <w:bottom w:val="none" w:sz="0" w:space="0" w:color="auto"/>
            <w:right w:val="none" w:sz="0" w:space="0" w:color="auto"/>
          </w:divBdr>
        </w:div>
        <w:div w:id="4132133">
          <w:marLeft w:val="0"/>
          <w:marRight w:val="0"/>
          <w:marTop w:val="0"/>
          <w:marBottom w:val="0"/>
          <w:divBdr>
            <w:top w:val="none" w:sz="0" w:space="0" w:color="auto"/>
            <w:left w:val="none" w:sz="0" w:space="0" w:color="auto"/>
            <w:bottom w:val="none" w:sz="0" w:space="0" w:color="auto"/>
            <w:right w:val="none" w:sz="0" w:space="0" w:color="auto"/>
          </w:divBdr>
        </w:div>
        <w:div w:id="1068573804">
          <w:marLeft w:val="0"/>
          <w:marRight w:val="0"/>
          <w:marTop w:val="0"/>
          <w:marBottom w:val="0"/>
          <w:divBdr>
            <w:top w:val="none" w:sz="0" w:space="0" w:color="auto"/>
            <w:left w:val="none" w:sz="0" w:space="0" w:color="auto"/>
            <w:bottom w:val="none" w:sz="0" w:space="0" w:color="auto"/>
            <w:right w:val="none" w:sz="0" w:space="0" w:color="auto"/>
          </w:divBdr>
        </w:div>
        <w:div w:id="1455710296">
          <w:marLeft w:val="0"/>
          <w:marRight w:val="0"/>
          <w:marTop w:val="0"/>
          <w:marBottom w:val="0"/>
          <w:divBdr>
            <w:top w:val="none" w:sz="0" w:space="0" w:color="auto"/>
            <w:left w:val="none" w:sz="0" w:space="0" w:color="auto"/>
            <w:bottom w:val="none" w:sz="0" w:space="0" w:color="auto"/>
            <w:right w:val="none" w:sz="0" w:space="0" w:color="auto"/>
          </w:divBdr>
        </w:div>
        <w:div w:id="625282449">
          <w:marLeft w:val="0"/>
          <w:marRight w:val="0"/>
          <w:marTop w:val="0"/>
          <w:marBottom w:val="0"/>
          <w:divBdr>
            <w:top w:val="none" w:sz="0" w:space="0" w:color="auto"/>
            <w:left w:val="none" w:sz="0" w:space="0" w:color="auto"/>
            <w:bottom w:val="none" w:sz="0" w:space="0" w:color="auto"/>
            <w:right w:val="none" w:sz="0" w:space="0" w:color="auto"/>
          </w:divBdr>
        </w:div>
        <w:div w:id="1324879">
          <w:marLeft w:val="0"/>
          <w:marRight w:val="0"/>
          <w:marTop w:val="0"/>
          <w:marBottom w:val="0"/>
          <w:divBdr>
            <w:top w:val="none" w:sz="0" w:space="0" w:color="auto"/>
            <w:left w:val="none" w:sz="0" w:space="0" w:color="auto"/>
            <w:bottom w:val="none" w:sz="0" w:space="0" w:color="auto"/>
            <w:right w:val="none" w:sz="0" w:space="0" w:color="auto"/>
          </w:divBdr>
        </w:div>
        <w:div w:id="1689943811">
          <w:marLeft w:val="0"/>
          <w:marRight w:val="0"/>
          <w:marTop w:val="0"/>
          <w:marBottom w:val="0"/>
          <w:divBdr>
            <w:top w:val="none" w:sz="0" w:space="0" w:color="auto"/>
            <w:left w:val="none" w:sz="0" w:space="0" w:color="auto"/>
            <w:bottom w:val="none" w:sz="0" w:space="0" w:color="auto"/>
            <w:right w:val="none" w:sz="0" w:space="0" w:color="auto"/>
          </w:divBdr>
        </w:div>
        <w:div w:id="1103303138">
          <w:marLeft w:val="0"/>
          <w:marRight w:val="0"/>
          <w:marTop w:val="0"/>
          <w:marBottom w:val="0"/>
          <w:divBdr>
            <w:top w:val="none" w:sz="0" w:space="0" w:color="auto"/>
            <w:left w:val="none" w:sz="0" w:space="0" w:color="auto"/>
            <w:bottom w:val="none" w:sz="0" w:space="0" w:color="auto"/>
            <w:right w:val="none" w:sz="0" w:space="0" w:color="auto"/>
          </w:divBdr>
        </w:div>
        <w:div w:id="491258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B70A7-951A-4A3E-8096-4BE4A4BDD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1720</Words>
  <Characters>9807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Amiran Dateshidze</dc:creator>
  <cp:lastModifiedBy>Nino Japaridze</cp:lastModifiedBy>
  <cp:revision>3</cp:revision>
  <cp:lastPrinted>2017-03-22T11:17:00Z</cp:lastPrinted>
  <dcterms:created xsi:type="dcterms:W3CDTF">2017-03-22T13:06:00Z</dcterms:created>
  <dcterms:modified xsi:type="dcterms:W3CDTF">2017-03-22T13:12:00Z</dcterms:modified>
</cp:coreProperties>
</file>