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NNEX</w:t>
      </w:r>
      <w:r w:rsidRPr="00F04686">
        <w:rPr>
          <w:rFonts w:ascii="Arial" w:hAnsi="Arial" w:cs="Arial"/>
          <w:b/>
          <w:sz w:val="28"/>
          <w:szCs w:val="28"/>
        </w:rPr>
        <w:t xml:space="preserve"> 16-1</w:t>
      </w:r>
    </w:p>
    <w:p w:rsidR="00406354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>RULES OF PROCEDURE OF ARBITRAL TRIBUNAL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>First Written Submissions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>1.</w:t>
      </w:r>
      <w:r w:rsidRPr="00F04686">
        <w:rPr>
          <w:rFonts w:ascii="Arial" w:hAnsi="Arial" w:cs="Arial"/>
          <w:sz w:val="28"/>
          <w:szCs w:val="28"/>
        </w:rPr>
        <w:tab/>
        <w:t>The complaining Party shall deliver its first written su</w:t>
      </w:r>
      <w:r w:rsidRPr="00F04686">
        <w:rPr>
          <w:rFonts w:ascii="Arial" w:hAnsi="Arial" w:cs="Arial"/>
          <w:color w:val="000000"/>
          <w:sz w:val="28"/>
          <w:szCs w:val="28"/>
        </w:rPr>
        <w:t>bmission to the Arbitral Tribunal and to the Party complained against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no later than 20 days after the date of the establishment of </w:t>
      </w:r>
      <w:r>
        <w:rPr>
          <w:rFonts w:ascii="Arial" w:hAnsi="Arial" w:cs="Arial"/>
          <w:color w:val="000000"/>
          <w:sz w:val="28"/>
          <w:szCs w:val="28"/>
        </w:rPr>
        <w:t xml:space="preserve">the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Arbitral Tribunal.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The Party </w:t>
      </w:r>
      <w:r w:rsidRPr="00F04686">
        <w:rPr>
          <w:rFonts w:ascii="Arial" w:hAnsi="Arial" w:cs="Arial"/>
          <w:color w:val="000000"/>
          <w:sz w:val="28"/>
          <w:szCs w:val="28"/>
          <w:lang w:val="en-AU"/>
        </w:rPr>
        <w:t>complained against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shall deliver its first written submission to the Arbitral Tribunal and to the complaining Party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no later than 30 days after the date of delivery of the complaining Party’s first </w:t>
      </w:r>
      <w:r w:rsidRPr="00F04686">
        <w:rPr>
          <w:rFonts w:ascii="Arial" w:hAnsi="Arial" w:cs="Arial"/>
          <w:sz w:val="28"/>
          <w:szCs w:val="28"/>
        </w:rPr>
        <w:t xml:space="preserve">written submission, unless the Arbitral Tribunal </w:t>
      </w:r>
      <w:r w:rsidRPr="00ED791F">
        <w:rPr>
          <w:rFonts w:ascii="Arial" w:hAnsi="Arial" w:cs="Arial"/>
          <w:sz w:val="28"/>
          <w:szCs w:val="28"/>
        </w:rPr>
        <w:t>decides</w:t>
      </w:r>
      <w:r w:rsidRPr="000531ED">
        <w:rPr>
          <w:rFonts w:ascii="Arial" w:hAnsi="Arial" w:cs="Arial"/>
          <w:sz w:val="28"/>
          <w:szCs w:val="28"/>
        </w:rPr>
        <w:t xml:space="preserve"> </w:t>
      </w:r>
      <w:r w:rsidRPr="00F04686">
        <w:rPr>
          <w:rFonts w:ascii="Arial" w:hAnsi="Arial" w:cs="Arial"/>
          <w:sz w:val="28"/>
          <w:szCs w:val="28"/>
        </w:rPr>
        <w:t xml:space="preserve">otherwise.  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color w:val="000000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>2.</w:t>
      </w:r>
      <w:r w:rsidRPr="00F04686">
        <w:rPr>
          <w:rFonts w:ascii="Arial" w:hAnsi="Arial" w:cs="Arial"/>
          <w:sz w:val="28"/>
          <w:szCs w:val="28"/>
        </w:rPr>
        <w:tab/>
        <w:t>A Party shall p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rovide a copy of its first written submission to each of the arbitrators and to the other Party.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  <w:lang w:val="en-GB" w:eastAsia="zh-HK"/>
        </w:rPr>
        <w:t>The cop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>y</w:t>
      </w:r>
      <w:r w:rsidRPr="00F04686">
        <w:rPr>
          <w:rFonts w:ascii="Arial" w:hAnsi="Arial" w:cs="Arial"/>
          <w:color w:val="000000"/>
          <w:sz w:val="28"/>
          <w:szCs w:val="28"/>
          <w:lang w:val="en-GB" w:eastAsia="zh-HK"/>
        </w:rPr>
        <w:t xml:space="preserve"> shall be delivered against receipt, or by registered post, courier, or facsimile.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 xml:space="preserve"> </w:t>
      </w:r>
      <w:r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>A copy of the document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shall also be provided in electronic format.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>Hearings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 xml:space="preserve">3. </w:t>
      </w:r>
      <w:r w:rsidRPr="00F04686">
        <w:rPr>
          <w:rFonts w:ascii="Arial" w:hAnsi="Arial" w:cs="Arial"/>
          <w:sz w:val="28"/>
          <w:szCs w:val="28"/>
        </w:rPr>
        <w:tab/>
      </w:r>
      <w:r w:rsidRPr="00F04686">
        <w:rPr>
          <w:rFonts w:ascii="Arial" w:hAnsi="Arial" w:cs="Arial"/>
          <w:color w:val="000000"/>
          <w:sz w:val="28"/>
          <w:szCs w:val="28"/>
        </w:rPr>
        <w:t xml:space="preserve">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c</w:t>
      </w:r>
      <w:r w:rsidRPr="00F04686">
        <w:rPr>
          <w:rFonts w:ascii="Arial" w:hAnsi="Arial" w:cs="Arial"/>
          <w:color w:val="000000"/>
          <w:sz w:val="28"/>
          <w:szCs w:val="28"/>
        </w:rPr>
        <w:t>hair of the Arbitral Tribunal shall fix the date and time of the hearing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in consultation with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 xml:space="preserve">Parties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and the other members of the Arbitral Tribunal. </w:t>
      </w:r>
      <w:r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The venue of the hearings shall be decided by mutual agreement </w:t>
      </w:r>
      <w:r>
        <w:rPr>
          <w:rFonts w:ascii="Arial" w:hAnsi="Arial" w:cs="Arial"/>
          <w:color w:val="000000"/>
          <w:sz w:val="28"/>
          <w:szCs w:val="28"/>
        </w:rPr>
        <w:t>of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the Parties.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If there is no agreement, the venue shall alternate between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</w:t>
      </w:r>
      <w:r w:rsidRPr="00F04686">
        <w:rPr>
          <w:rFonts w:ascii="Arial" w:hAnsi="Arial" w:cs="Arial"/>
          <w:color w:val="000000"/>
          <w:sz w:val="28"/>
          <w:szCs w:val="28"/>
        </w:rPr>
        <w:t>rea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of the Parties with the first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hearing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to be held in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</w:t>
      </w:r>
      <w:r w:rsidRPr="00F04686">
        <w:rPr>
          <w:rFonts w:ascii="Arial" w:hAnsi="Arial" w:cs="Arial"/>
          <w:color w:val="000000"/>
          <w:sz w:val="28"/>
          <w:szCs w:val="28"/>
        </w:rPr>
        <w:t>rea of the Party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complained against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c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hair of the Arbitral Tribunal shall notify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 xml:space="preserve">Parties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in writing of the date, time and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venue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sz w:val="28"/>
          <w:szCs w:val="28"/>
        </w:rPr>
        <w:t>of the hearing</w:t>
      </w:r>
      <w:r>
        <w:rPr>
          <w:rFonts w:ascii="Arial" w:hAnsi="Arial" w:cs="Arial"/>
          <w:sz w:val="28"/>
          <w:szCs w:val="28"/>
        </w:rPr>
        <w:t>s</w:t>
      </w:r>
      <w:r w:rsidRPr="00F04686">
        <w:rPr>
          <w:rFonts w:ascii="Arial" w:hAnsi="Arial" w:cs="Arial"/>
          <w:sz w:val="28"/>
          <w:szCs w:val="28"/>
        </w:rPr>
        <w:t xml:space="preserve">. 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color w:val="000000"/>
          <w:sz w:val="28"/>
          <w:szCs w:val="28"/>
        </w:rPr>
      </w:pP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4.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ab/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>Unless a Part</w:t>
      </w:r>
      <w:r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>y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 xml:space="preserve"> disagrees, the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Arbitral Tribunal 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>may decide to convene additional hearings or not to convene a hearing at all.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lastRenderedPageBreak/>
        <w:t xml:space="preserve">5. </w:t>
      </w:r>
      <w:r w:rsidRPr="00F04686">
        <w:rPr>
          <w:rFonts w:ascii="Arial" w:hAnsi="Arial" w:cs="Arial"/>
          <w:sz w:val="28"/>
          <w:szCs w:val="28"/>
        </w:rPr>
        <w:tab/>
        <w:t xml:space="preserve">All arbitrators shall be present at the hearings.  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>6.</w:t>
      </w:r>
      <w:r w:rsidRPr="00F04686">
        <w:rPr>
          <w:rFonts w:ascii="Arial" w:hAnsi="Arial" w:cs="Arial"/>
          <w:sz w:val="28"/>
          <w:szCs w:val="28"/>
        </w:rPr>
        <w:tab/>
        <w:t xml:space="preserve">The hearings of the Arbitral Tribunal shall be held in closed session.  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>Supplementary Written Submissions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hAnsi="Arial" w:cs="Arial"/>
          <w:color w:val="000000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 xml:space="preserve">7. </w:t>
      </w:r>
      <w:r w:rsidRPr="00F04686">
        <w:rPr>
          <w:rFonts w:ascii="Arial" w:hAnsi="Arial" w:cs="Arial"/>
          <w:sz w:val="28"/>
          <w:szCs w:val="28"/>
        </w:rPr>
        <w:tab/>
        <w:t>Within 20 days after the date of the hearing, each Party may deliver a supplementary written submission responding to any matter that arose during the hearing.</w:t>
      </w:r>
      <w:r w:rsidRPr="00F04686"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The Parties shall not make new complaints or present new evidence at this stage of the arbitral proceedings unless requested or </w:t>
      </w:r>
      <w:proofErr w:type="spellStart"/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authori</w:t>
      </w:r>
      <w:r>
        <w:rPr>
          <w:rFonts w:ascii="Arial" w:eastAsia="新細明體" w:hAnsi="Arial" w:cs="Arial"/>
          <w:color w:val="000000"/>
          <w:sz w:val="28"/>
          <w:szCs w:val="28"/>
          <w:lang w:eastAsia="zh-HK"/>
        </w:rPr>
        <w:t>s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ed</w:t>
      </w:r>
      <w:proofErr w:type="spellEnd"/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by the Arbitral Tribunal. </w:t>
      </w:r>
      <w:r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>The supplementary written submissions shall be deli</w:t>
      </w:r>
      <w:r w:rsidRPr="00F04686">
        <w:rPr>
          <w:rFonts w:ascii="Arial" w:hAnsi="Arial" w:cs="Arial"/>
          <w:sz w:val="28"/>
          <w:szCs w:val="28"/>
        </w:rPr>
        <w:t>ve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red in accordance with paragraph 2 of </w:t>
      </w:r>
      <w:r>
        <w:rPr>
          <w:rFonts w:ascii="Arial" w:hAnsi="Arial" w:cs="Arial"/>
          <w:color w:val="000000"/>
          <w:sz w:val="28"/>
          <w:szCs w:val="28"/>
        </w:rPr>
        <w:t>this Annex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The Parties shall deliver </w:t>
      </w:r>
      <w:r>
        <w:rPr>
          <w:rFonts w:ascii="Arial" w:hAnsi="Arial" w:cs="Arial"/>
          <w:color w:val="000000"/>
          <w:sz w:val="28"/>
          <w:szCs w:val="28"/>
        </w:rPr>
        <w:t xml:space="preserve">their </w:t>
      </w:r>
      <w:r w:rsidRPr="00F04686">
        <w:rPr>
          <w:rFonts w:ascii="Arial" w:hAnsi="Arial" w:cs="Arial"/>
          <w:color w:val="000000"/>
          <w:sz w:val="28"/>
          <w:szCs w:val="28"/>
        </w:rPr>
        <w:t>supplementary written submissions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simultaneously. 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 xml:space="preserve">Questions in </w:t>
      </w:r>
      <w:r>
        <w:rPr>
          <w:rFonts w:ascii="Arial" w:hAnsi="Arial" w:cs="Arial"/>
          <w:b/>
          <w:sz w:val="28"/>
          <w:szCs w:val="28"/>
        </w:rPr>
        <w:t>W</w:t>
      </w:r>
      <w:r w:rsidRPr="00F04686">
        <w:rPr>
          <w:rFonts w:ascii="Arial" w:hAnsi="Arial" w:cs="Arial"/>
          <w:b/>
          <w:sz w:val="28"/>
          <w:szCs w:val="28"/>
        </w:rPr>
        <w:t>riting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 xml:space="preserve">8. </w:t>
      </w:r>
      <w:r w:rsidRPr="00F04686">
        <w:rPr>
          <w:rFonts w:ascii="Arial" w:hAnsi="Arial" w:cs="Arial"/>
          <w:sz w:val="28"/>
          <w:szCs w:val="28"/>
        </w:rPr>
        <w:tab/>
        <w:t>Th</w:t>
      </w:r>
      <w:r w:rsidRPr="00F04686">
        <w:rPr>
          <w:rFonts w:ascii="Arial" w:hAnsi="Arial" w:cs="Arial"/>
          <w:color w:val="000000"/>
          <w:sz w:val="28"/>
          <w:szCs w:val="28"/>
        </w:rPr>
        <w:t>e Arbitral Tribunal may at any time during the proceedings put questions to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 xml:space="preserve"> the Parties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in writing. 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eastAsia="新細明體" w:hAnsi="Arial" w:cs="Arial"/>
          <w:color w:val="000000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color w:val="000000"/>
          <w:sz w:val="28"/>
          <w:szCs w:val="28"/>
        </w:rPr>
      </w:pPr>
      <w:r w:rsidRPr="00F04686">
        <w:rPr>
          <w:rFonts w:ascii="Arial" w:hAnsi="Arial" w:cs="Arial"/>
          <w:color w:val="000000"/>
          <w:sz w:val="28"/>
          <w:szCs w:val="28"/>
        </w:rPr>
        <w:t xml:space="preserve">9. </w:t>
      </w:r>
      <w:r w:rsidRPr="00F04686">
        <w:rPr>
          <w:rFonts w:ascii="Arial" w:hAnsi="Arial" w:cs="Arial"/>
          <w:color w:val="000000"/>
          <w:sz w:val="28"/>
          <w:szCs w:val="28"/>
        </w:rPr>
        <w:tab/>
        <w:t>A Party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to whom the Arbitral Tribunal addresses a written question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shall deliver the written reply to the Arbitral Tribunal and the other Party in accordance with the timetable established by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rbitral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T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ribunal.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Each Party shall be given the opportunity to provide written comments on the reply of the other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Party </w:t>
      </w:r>
      <w:r w:rsidRPr="00F04686">
        <w:rPr>
          <w:rFonts w:ascii="Arial" w:hAnsi="Arial" w:cs="Arial"/>
          <w:color w:val="000000"/>
          <w:sz w:val="28"/>
          <w:szCs w:val="28"/>
        </w:rPr>
        <w:t>within five days after the date of delivery</w:t>
      </w:r>
      <w:r>
        <w:rPr>
          <w:rFonts w:ascii="Arial" w:hAnsi="Arial" w:cs="Arial"/>
          <w:color w:val="000000"/>
          <w:sz w:val="28"/>
          <w:szCs w:val="28"/>
        </w:rPr>
        <w:t xml:space="preserve"> of the reply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.  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val="en-GB"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>Confidentiality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 xml:space="preserve">10. </w:t>
      </w:r>
      <w:r>
        <w:rPr>
          <w:rFonts w:ascii="Arial" w:hAnsi="Arial" w:cs="Arial"/>
          <w:sz w:val="28"/>
          <w:szCs w:val="28"/>
        </w:rPr>
        <w:tab/>
      </w:r>
      <w:r w:rsidRPr="00F04686">
        <w:rPr>
          <w:rFonts w:ascii="Arial" w:hAnsi="Arial" w:cs="Arial"/>
          <w:color w:val="000000"/>
          <w:sz w:val="28"/>
          <w:szCs w:val="28"/>
        </w:rPr>
        <w:t xml:space="preserve">The deliberations of the Arbitral Tribunal and written submissions, documents, information or technical advice submitted to the Arbitral Tribunal as well as the </w:t>
      </w:r>
      <w:r>
        <w:rPr>
          <w:rFonts w:ascii="Arial" w:hAnsi="Arial" w:cs="Arial"/>
          <w:color w:val="000000"/>
          <w:sz w:val="28"/>
          <w:szCs w:val="28"/>
        </w:rPr>
        <w:t xml:space="preserve">hearings of the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Arbitral Tribunal and replies to questions made during the </w:t>
      </w:r>
      <w:r>
        <w:rPr>
          <w:rFonts w:ascii="Arial" w:hAnsi="Arial" w:cs="Arial"/>
          <w:color w:val="000000"/>
          <w:sz w:val="28"/>
          <w:szCs w:val="28"/>
        </w:rPr>
        <w:t xml:space="preserve">hearings of the </w:t>
      </w:r>
      <w:r w:rsidRPr="00F04686">
        <w:rPr>
          <w:rFonts w:ascii="Arial" w:hAnsi="Arial" w:cs="Arial"/>
          <w:color w:val="000000"/>
          <w:sz w:val="28"/>
          <w:szCs w:val="28"/>
        </w:rPr>
        <w:t>Arbitral Tribunal sha</w:t>
      </w:r>
      <w:r w:rsidRPr="00F04686">
        <w:rPr>
          <w:rFonts w:ascii="Arial" w:hAnsi="Arial" w:cs="Arial"/>
          <w:sz w:val="28"/>
          <w:szCs w:val="28"/>
        </w:rPr>
        <w:t xml:space="preserve">ll be kept confidential. </w:t>
      </w:r>
      <w:r>
        <w:rPr>
          <w:rFonts w:ascii="Arial" w:hAnsi="Arial" w:cs="Arial"/>
          <w:sz w:val="28"/>
          <w:szCs w:val="28"/>
        </w:rPr>
        <w:t xml:space="preserve"> </w:t>
      </w:r>
      <w:r w:rsidRPr="00F04686">
        <w:rPr>
          <w:rFonts w:ascii="Arial" w:hAnsi="Arial" w:cs="Arial"/>
          <w:sz w:val="28"/>
          <w:szCs w:val="28"/>
        </w:rPr>
        <w:t>Nothing in this Chapter shall preclude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a 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 xml:space="preserve">Party </w:t>
      </w:r>
      <w:r w:rsidRPr="00F04686">
        <w:rPr>
          <w:rFonts w:ascii="Arial" w:hAnsi="Arial" w:cs="Arial"/>
          <w:sz w:val="28"/>
          <w:szCs w:val="28"/>
        </w:rPr>
        <w:t>from disclosing statements of its own positions to the public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provided that </w:t>
      </w:r>
      <w:r w:rsidRPr="00F04686">
        <w:rPr>
          <w:rFonts w:ascii="Arial" w:hAnsi="Arial" w:cs="Arial"/>
          <w:color w:val="000000"/>
          <w:sz w:val="28"/>
          <w:szCs w:val="28"/>
        </w:rPr>
        <w:lastRenderedPageBreak/>
        <w:t xml:space="preserve">there is no disclosure of information which has been designated as confidential by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the other Party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or any individual or body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referred to in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paragraph </w:t>
      </w:r>
      <w:r w:rsidRPr="00F04686">
        <w:rPr>
          <w:rFonts w:ascii="Arial" w:hAnsi="Arial" w:cs="Arial"/>
          <w:color w:val="000000"/>
          <w:sz w:val="28"/>
          <w:szCs w:val="28"/>
        </w:rPr>
        <w:t>14 of</w:t>
      </w:r>
      <w:r>
        <w:rPr>
          <w:rFonts w:ascii="Arial" w:hAnsi="Arial" w:cs="Arial"/>
          <w:color w:val="000000"/>
          <w:sz w:val="28"/>
          <w:szCs w:val="28"/>
        </w:rPr>
        <w:t xml:space="preserve"> this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Annex.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The information submitted by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Party to the Arbitral Tribunal which that Party has designated as confidential shall be treated as confidential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information by the Arbitral Tribunal and the other Party.  A Party shall within 28 days </w:t>
      </w:r>
      <w:r>
        <w:rPr>
          <w:rFonts w:ascii="Arial" w:eastAsia="新細明體" w:hAnsi="Arial" w:cs="Arial"/>
          <w:color w:val="000000"/>
          <w:sz w:val="28"/>
          <w:szCs w:val="28"/>
          <w:lang w:eastAsia="zh-HK"/>
        </w:rPr>
        <w:t>after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a request of the other Party provide a non-confidential summary of the information contained in its written submissions that could be disclosed to the public.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val="en-GB"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b/>
          <w:i/>
          <w:sz w:val="28"/>
          <w:szCs w:val="28"/>
        </w:rPr>
        <w:t>Ex parte</w:t>
      </w:r>
      <w:r w:rsidRPr="00F0468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  <w:r w:rsidRPr="00F04686">
        <w:rPr>
          <w:rFonts w:ascii="Arial" w:hAnsi="Arial" w:cs="Arial"/>
          <w:b/>
          <w:sz w:val="28"/>
          <w:szCs w:val="28"/>
        </w:rPr>
        <w:t>ontacts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>11.</w:t>
      </w:r>
      <w:r w:rsidRPr="00F04686">
        <w:rPr>
          <w:rFonts w:ascii="Arial" w:hAnsi="Arial" w:cs="Arial"/>
          <w:sz w:val="28"/>
          <w:szCs w:val="28"/>
        </w:rPr>
        <w:tab/>
        <w:t>The Arbitral Tribunal shall not meet or contact a Party in the absence of the other Party.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>12.</w:t>
      </w:r>
      <w:r w:rsidRPr="00F04686">
        <w:rPr>
          <w:rFonts w:ascii="Arial" w:hAnsi="Arial" w:cs="Arial"/>
          <w:sz w:val="28"/>
          <w:szCs w:val="28"/>
        </w:rPr>
        <w:tab/>
        <w:t>No Part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y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shall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contact any arbitrator in relation to the dispute in the absence of the other Party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and other arbitrators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.  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1F21BC" w:rsidP="001F21BC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406354" w:rsidRPr="00F04686">
        <w:rPr>
          <w:rFonts w:ascii="Arial" w:hAnsi="Arial" w:cs="Arial"/>
          <w:sz w:val="28"/>
          <w:szCs w:val="28"/>
        </w:rPr>
        <w:t>No ar</w:t>
      </w:r>
      <w:r w:rsidR="00406354" w:rsidRPr="00F04686">
        <w:rPr>
          <w:rFonts w:ascii="Arial" w:hAnsi="Arial" w:cs="Arial"/>
          <w:color w:val="000000"/>
          <w:sz w:val="28"/>
          <w:szCs w:val="28"/>
        </w:rPr>
        <w:t xml:space="preserve">bitrator </w:t>
      </w:r>
      <w:r w:rsidR="00406354"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shall</w:t>
      </w:r>
      <w:r w:rsidR="00406354" w:rsidRPr="00F04686">
        <w:rPr>
          <w:rFonts w:ascii="Arial" w:hAnsi="Arial" w:cs="Arial"/>
          <w:color w:val="000000"/>
          <w:sz w:val="28"/>
          <w:szCs w:val="28"/>
        </w:rPr>
        <w:t xml:space="preserve"> discuss any aspect of the subject</w:t>
      </w:r>
      <w:r w:rsidR="00406354">
        <w:rPr>
          <w:rFonts w:ascii="Arial" w:hAnsi="Arial" w:cs="Arial"/>
          <w:color w:val="000000"/>
          <w:sz w:val="28"/>
          <w:szCs w:val="28"/>
        </w:rPr>
        <w:t xml:space="preserve"> </w:t>
      </w:r>
      <w:r w:rsidR="00406354" w:rsidRPr="00F04686">
        <w:rPr>
          <w:rFonts w:ascii="Arial" w:hAnsi="Arial" w:cs="Arial"/>
          <w:color w:val="000000"/>
          <w:sz w:val="28"/>
          <w:szCs w:val="28"/>
        </w:rPr>
        <w:t>matter of the proceeding</w:t>
      </w:r>
      <w:r w:rsidR="00406354">
        <w:rPr>
          <w:rFonts w:ascii="Arial" w:hAnsi="Arial" w:cs="Arial"/>
          <w:color w:val="000000"/>
          <w:sz w:val="28"/>
          <w:szCs w:val="28"/>
        </w:rPr>
        <w:t>s</w:t>
      </w:r>
      <w:r w:rsidR="00406354" w:rsidRPr="00F04686">
        <w:rPr>
          <w:rFonts w:ascii="Arial" w:hAnsi="Arial" w:cs="Arial"/>
          <w:color w:val="000000"/>
          <w:sz w:val="28"/>
          <w:szCs w:val="28"/>
        </w:rPr>
        <w:t xml:space="preserve"> with a Party in the absence of the other Party</w:t>
      </w:r>
      <w:r w:rsidR="00406354"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and other arbitrators</w:t>
      </w:r>
      <w:r w:rsidR="00406354" w:rsidRPr="00F04686">
        <w:rPr>
          <w:rFonts w:ascii="Arial" w:hAnsi="Arial" w:cs="Arial"/>
          <w:color w:val="000000"/>
          <w:sz w:val="28"/>
          <w:szCs w:val="28"/>
        </w:rPr>
        <w:t xml:space="preserve">.  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 xml:space="preserve">Role of </w:t>
      </w:r>
      <w:r>
        <w:rPr>
          <w:rFonts w:ascii="Arial" w:hAnsi="Arial" w:cs="Arial"/>
          <w:b/>
          <w:sz w:val="28"/>
          <w:szCs w:val="28"/>
        </w:rPr>
        <w:t>E</w:t>
      </w:r>
      <w:r w:rsidRPr="00F04686">
        <w:rPr>
          <w:rFonts w:ascii="Arial" w:hAnsi="Arial" w:cs="Arial"/>
          <w:b/>
          <w:sz w:val="28"/>
          <w:szCs w:val="28"/>
        </w:rPr>
        <w:t>xperts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color w:val="000000"/>
          <w:sz w:val="28"/>
          <w:szCs w:val="28"/>
        </w:rPr>
      </w:pPr>
      <w:r w:rsidRPr="00F04686">
        <w:rPr>
          <w:rFonts w:ascii="Arial" w:hAnsi="Arial" w:cs="Arial"/>
          <w:sz w:val="28"/>
          <w:szCs w:val="28"/>
        </w:rPr>
        <w:t>14.</w:t>
      </w:r>
      <w:r w:rsidRPr="00F04686">
        <w:rPr>
          <w:rFonts w:ascii="Arial" w:hAnsi="Arial" w:cs="Arial"/>
          <w:sz w:val="28"/>
          <w:szCs w:val="28"/>
        </w:rPr>
        <w:tab/>
        <w:t>Upon request of a Par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ty or on its own initiative, the Arbitral Tribunal may seek information and technical advice from any individual or body that it deems appropriate.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Any information so obtained shall be provided to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val="en-GB" w:eastAsia="zh-HK"/>
        </w:rPr>
        <w:t>Parties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for comments.  Where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rbitral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T</w:t>
      </w:r>
      <w:r w:rsidRPr="00F04686">
        <w:rPr>
          <w:rFonts w:ascii="Arial" w:hAnsi="Arial" w:cs="Arial"/>
          <w:color w:val="000000"/>
          <w:sz w:val="28"/>
          <w:szCs w:val="28"/>
        </w:rPr>
        <w:t>ribunal takes the information or technical advice into account in the preparation of its report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F04686">
        <w:rPr>
          <w:rFonts w:ascii="Arial" w:hAnsi="Arial" w:cs="Arial"/>
          <w:color w:val="000000"/>
          <w:sz w:val="28"/>
          <w:szCs w:val="28"/>
        </w:rPr>
        <w:t>, it shall also take into account any comments by the Parties on the information or technical advice.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F04686">
        <w:rPr>
          <w:rFonts w:ascii="Arial" w:hAnsi="Arial" w:cs="Arial"/>
          <w:b/>
          <w:sz w:val="28"/>
          <w:szCs w:val="28"/>
        </w:rPr>
        <w:t xml:space="preserve">Working </w:t>
      </w:r>
      <w:r>
        <w:rPr>
          <w:rFonts w:ascii="Arial" w:hAnsi="Arial" w:cs="Arial"/>
          <w:b/>
          <w:sz w:val="28"/>
          <w:szCs w:val="28"/>
        </w:rPr>
        <w:t>L</w:t>
      </w:r>
      <w:r w:rsidRPr="00F04686">
        <w:rPr>
          <w:rFonts w:ascii="Arial" w:hAnsi="Arial" w:cs="Arial"/>
          <w:b/>
          <w:sz w:val="28"/>
          <w:szCs w:val="28"/>
        </w:rPr>
        <w:t>anguage</w:t>
      </w: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hAnsi="Arial" w:cs="Arial"/>
          <w:sz w:val="28"/>
          <w:szCs w:val="28"/>
        </w:rPr>
      </w:pPr>
    </w:p>
    <w:p w:rsidR="00406354" w:rsidRPr="00F04686" w:rsidRDefault="00406354" w:rsidP="00406354">
      <w:pPr>
        <w:tabs>
          <w:tab w:val="left" w:pos="0"/>
          <w:tab w:val="left" w:pos="851"/>
        </w:tabs>
        <w:snapToGrid w:val="0"/>
        <w:rPr>
          <w:rFonts w:ascii="Arial" w:eastAsia="新細明體" w:hAnsi="Arial" w:cs="Arial"/>
          <w:color w:val="000000"/>
          <w:sz w:val="28"/>
          <w:szCs w:val="28"/>
          <w:lang w:eastAsia="zh-HK"/>
        </w:rPr>
      </w:pPr>
      <w:r w:rsidRPr="00F04686">
        <w:rPr>
          <w:rFonts w:ascii="Arial" w:hAnsi="Arial" w:cs="Arial"/>
          <w:sz w:val="28"/>
          <w:szCs w:val="28"/>
        </w:rPr>
        <w:t>15.</w:t>
      </w:r>
      <w:r w:rsidRPr="00F04686">
        <w:rPr>
          <w:rFonts w:ascii="Arial" w:hAnsi="Arial" w:cs="Arial"/>
          <w:sz w:val="28"/>
          <w:szCs w:val="28"/>
        </w:rPr>
        <w:tab/>
        <w:t>The working language of the dispute settlement proce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edings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under this Chapter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shall be English.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W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ritten submissions,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documents, 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oral arguments or presentations, </w:t>
      </w:r>
      <w:r w:rsidRPr="00F04686">
        <w:rPr>
          <w:rFonts w:ascii="Arial" w:hAnsi="Arial" w:cs="Arial"/>
          <w:color w:val="000000"/>
          <w:sz w:val="28"/>
          <w:szCs w:val="28"/>
        </w:rPr>
        <w:lastRenderedPageBreak/>
        <w:t>the report</w:t>
      </w:r>
      <w:r>
        <w:rPr>
          <w:rFonts w:ascii="Arial" w:eastAsia="新細明體" w:hAnsi="Arial" w:cs="Arial"/>
          <w:color w:val="000000"/>
          <w:sz w:val="28"/>
          <w:szCs w:val="28"/>
          <w:lang w:eastAsia="zh-HK"/>
        </w:rPr>
        <w:t>s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 of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rbitral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T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ribunal and all written and oral communications between the Parties and with the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A</w:t>
      </w:r>
      <w:r w:rsidRPr="00F04686">
        <w:rPr>
          <w:rFonts w:ascii="Arial" w:hAnsi="Arial" w:cs="Arial"/>
          <w:color w:val="000000"/>
          <w:sz w:val="28"/>
          <w:szCs w:val="28"/>
        </w:rPr>
        <w:t xml:space="preserve">rbitral 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>T</w:t>
      </w:r>
      <w:r w:rsidRPr="00F04686">
        <w:rPr>
          <w:rFonts w:ascii="Arial" w:hAnsi="Arial" w:cs="Arial"/>
          <w:color w:val="000000"/>
          <w:sz w:val="28"/>
          <w:szCs w:val="28"/>
        </w:rPr>
        <w:t>ribunal</w:t>
      </w:r>
      <w:r w:rsidRPr="00F04686">
        <w:rPr>
          <w:rFonts w:ascii="Arial" w:eastAsia="新細明體" w:hAnsi="Arial" w:cs="Arial"/>
          <w:color w:val="000000"/>
          <w:sz w:val="28"/>
          <w:szCs w:val="28"/>
          <w:lang w:eastAsia="zh-HK"/>
        </w:rPr>
        <w:t xml:space="preserve"> shall be in the English language.</w:t>
      </w:r>
    </w:p>
    <w:p w:rsidR="00406354" w:rsidRPr="00F04686" w:rsidRDefault="00406354" w:rsidP="00406354">
      <w:pPr>
        <w:tabs>
          <w:tab w:val="left" w:pos="851"/>
        </w:tabs>
        <w:snapToGrid w:val="0"/>
        <w:rPr>
          <w:rFonts w:ascii="Arial" w:eastAsia="新細明體" w:hAnsi="Arial" w:cs="Arial"/>
          <w:sz w:val="28"/>
          <w:szCs w:val="28"/>
          <w:lang w:eastAsia="zh-HK"/>
        </w:rPr>
      </w:pPr>
    </w:p>
    <w:p w:rsidR="00231815" w:rsidRPr="00406354" w:rsidRDefault="00231815"/>
    <w:sectPr w:rsidR="00231815" w:rsidRPr="00406354" w:rsidSect="00AA55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2155" w:bottom="1814" w:left="215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87" w:rsidRDefault="00951887">
      <w:r>
        <w:separator/>
      </w:r>
    </w:p>
  </w:endnote>
  <w:endnote w:type="continuationSeparator" w:id="0">
    <w:p w:rsidR="00951887" w:rsidRDefault="0095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15" w:rsidRDefault="005479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78" w:rsidRPr="002B5D78" w:rsidRDefault="002B5D78">
    <w:pPr>
      <w:pStyle w:val="a5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Annex 16-1</w:t>
    </w:r>
    <w:r w:rsidR="00547915">
      <w:rPr>
        <w:rFonts w:ascii="Arial" w:hAnsi="Arial" w:cs="Arial"/>
        <w:sz w:val="24"/>
        <w:szCs w:val="24"/>
      </w:rPr>
      <w:t>-</w:t>
    </w:r>
    <w:sdt>
      <w:sdtPr>
        <w:rPr>
          <w:rFonts w:ascii="Arial" w:hAnsi="Arial" w:cs="Arial"/>
          <w:sz w:val="24"/>
          <w:szCs w:val="24"/>
        </w:rPr>
        <w:id w:val="-9842603"/>
        <w:docPartObj>
          <w:docPartGallery w:val="Page Numbers (Bottom of Page)"/>
          <w:docPartUnique/>
        </w:docPartObj>
      </w:sdtPr>
      <w:sdtEndPr/>
      <w:sdtContent>
        <w:r w:rsidRPr="002B5D78">
          <w:rPr>
            <w:rFonts w:ascii="Arial" w:hAnsi="Arial" w:cs="Arial"/>
            <w:sz w:val="24"/>
            <w:szCs w:val="24"/>
          </w:rPr>
          <w:fldChar w:fldCharType="begin"/>
        </w:r>
        <w:r w:rsidRPr="002B5D78">
          <w:rPr>
            <w:rFonts w:ascii="Arial" w:hAnsi="Arial" w:cs="Arial"/>
            <w:sz w:val="24"/>
            <w:szCs w:val="24"/>
          </w:rPr>
          <w:instrText>PAGE   \* MERGEFORMAT</w:instrText>
        </w:r>
        <w:r w:rsidRPr="002B5D78">
          <w:rPr>
            <w:rFonts w:ascii="Arial" w:hAnsi="Arial" w:cs="Arial"/>
            <w:sz w:val="24"/>
            <w:szCs w:val="24"/>
          </w:rPr>
          <w:fldChar w:fldCharType="separate"/>
        </w:r>
        <w:r w:rsidR="001F21BC" w:rsidRPr="001F21BC">
          <w:rPr>
            <w:rFonts w:ascii="Arial" w:hAnsi="Arial" w:cs="Arial"/>
            <w:noProof/>
            <w:sz w:val="24"/>
            <w:szCs w:val="24"/>
            <w:lang w:val="zh-TW" w:eastAsia="zh-TW"/>
          </w:rPr>
          <w:t>4</w:t>
        </w:r>
        <w:r w:rsidRPr="002B5D78">
          <w:rPr>
            <w:rFonts w:ascii="Arial" w:hAnsi="Arial" w:cs="Arial"/>
            <w:sz w:val="24"/>
            <w:szCs w:val="24"/>
          </w:rPr>
          <w:fldChar w:fldCharType="end"/>
        </w:r>
      </w:sdtContent>
    </w:sdt>
  </w:p>
  <w:p w:rsidR="002A31CB" w:rsidRPr="002B5D78" w:rsidRDefault="00951887">
    <w:pPr>
      <w:pStyle w:val="a5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15" w:rsidRDefault="00547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87" w:rsidRDefault="00951887">
      <w:r>
        <w:separator/>
      </w:r>
    </w:p>
  </w:footnote>
  <w:footnote w:type="continuationSeparator" w:id="0">
    <w:p w:rsidR="00951887" w:rsidRDefault="0095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15" w:rsidRDefault="005479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15" w:rsidRDefault="005479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15" w:rsidRDefault="00547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54"/>
    <w:rsid w:val="001F21BC"/>
    <w:rsid w:val="001F5A7D"/>
    <w:rsid w:val="00231815"/>
    <w:rsid w:val="002B5D78"/>
    <w:rsid w:val="00406354"/>
    <w:rsid w:val="00547915"/>
    <w:rsid w:val="00590683"/>
    <w:rsid w:val="00951887"/>
    <w:rsid w:val="009568C5"/>
    <w:rsid w:val="00AA559F"/>
    <w:rsid w:val="00C30D0F"/>
    <w:rsid w:val="00DF21AE"/>
    <w:rsid w:val="00F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7EC6C"/>
  <w15:chartTrackingRefBased/>
  <w15:docId w15:val="{DEC7E9D1-7B55-4BEA-92E6-92AA63F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54"/>
    <w:pPr>
      <w:widowControl w:val="0"/>
      <w:jc w:val="both"/>
    </w:pPr>
    <w:rPr>
      <w:rFonts w:ascii="Calibri" w:eastAsia="SimSun" w:hAnsi="Calibri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頁首 字元"/>
    <w:basedOn w:val="a0"/>
    <w:link w:val="a3"/>
    <w:uiPriority w:val="99"/>
    <w:rsid w:val="00406354"/>
    <w:rPr>
      <w:rFonts w:ascii="Calibri" w:eastAsia="SimSun" w:hAnsi="Calibri" w:cs="Times New Roman"/>
      <w:sz w:val="18"/>
      <w:lang w:eastAsia="zh-CN"/>
    </w:rPr>
  </w:style>
  <w:style w:type="paragraph" w:styleId="a5">
    <w:name w:val="footer"/>
    <w:basedOn w:val="a"/>
    <w:link w:val="a6"/>
    <w:uiPriority w:val="99"/>
    <w:unhideWhenUsed/>
    <w:rsid w:val="004063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頁尾 字元"/>
    <w:basedOn w:val="a0"/>
    <w:link w:val="a5"/>
    <w:uiPriority w:val="99"/>
    <w:rsid w:val="00406354"/>
    <w:rPr>
      <w:rFonts w:ascii="Calibri" w:eastAsia="SimSun" w:hAnsi="Calibri" w:cs="Times New Roman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HKC</cp:lastModifiedBy>
  <cp:revision>7</cp:revision>
  <dcterms:created xsi:type="dcterms:W3CDTF">2018-01-10T02:47:00Z</dcterms:created>
  <dcterms:modified xsi:type="dcterms:W3CDTF">2018-04-26T10:56:00Z</dcterms:modified>
</cp:coreProperties>
</file>