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4A" w:rsidRDefault="0037324A" w:rsidP="004B21B6">
      <w:pPr>
        <w:pStyle w:val="ListParagraph"/>
        <w:numPr>
          <w:ilvl w:val="0"/>
          <w:numId w:val="1"/>
        </w:numPr>
        <w:autoSpaceDE w:val="0"/>
        <w:autoSpaceDN w:val="0"/>
        <w:adjustRightInd w:val="0"/>
        <w:spacing w:after="0" w:line="240" w:lineRule="auto"/>
        <w:ind w:left="360"/>
        <w:rPr>
          <w:rFonts w:ascii="Times New Roman" w:hAnsi="Times New Roman" w:cs="Times New Roman"/>
          <w:color w:val="393939"/>
          <w:sz w:val="24"/>
        </w:rPr>
      </w:pPr>
      <w:r w:rsidRPr="004B21B6">
        <w:rPr>
          <w:rFonts w:ascii="Times New Roman" w:hAnsi="Times New Roman" w:cs="Times New Roman"/>
          <w:color w:val="393939"/>
          <w:sz w:val="24"/>
        </w:rPr>
        <w:t xml:space="preserve">What steps has your Government or organization taken to utilize human rights based approach in policies and </w:t>
      </w:r>
      <w:proofErr w:type="spellStart"/>
      <w:r w:rsidRPr="004B21B6">
        <w:rPr>
          <w:rFonts w:ascii="Times New Roman" w:hAnsi="Times New Roman" w:cs="Times New Roman"/>
          <w:color w:val="393939"/>
          <w:sz w:val="24"/>
        </w:rPr>
        <w:t>programmes</w:t>
      </w:r>
      <w:proofErr w:type="spellEnd"/>
      <w:r w:rsidRPr="004B21B6">
        <w:rPr>
          <w:rFonts w:ascii="Times New Roman" w:hAnsi="Times New Roman" w:cs="Times New Roman"/>
          <w:color w:val="393939"/>
          <w:sz w:val="24"/>
        </w:rPr>
        <w:t xml:space="preserve"> to eliminate preventable maternal mortality and morbidity? How has the technical guidance assisted your Government or organization in designing, implementing, revising and/or evaluating such policies and </w:t>
      </w:r>
      <w:proofErr w:type="spellStart"/>
      <w:r w:rsidRPr="004B21B6">
        <w:rPr>
          <w:rFonts w:ascii="Times New Roman" w:hAnsi="Times New Roman" w:cs="Times New Roman"/>
          <w:color w:val="393939"/>
          <w:sz w:val="24"/>
        </w:rPr>
        <w:t>programmes</w:t>
      </w:r>
      <w:proofErr w:type="spellEnd"/>
      <w:r w:rsidRPr="004B21B6">
        <w:rPr>
          <w:rFonts w:ascii="Times New Roman" w:hAnsi="Times New Roman" w:cs="Times New Roman"/>
          <w:color w:val="393939"/>
          <w:sz w:val="24"/>
        </w:rPr>
        <w:t>?</w:t>
      </w:r>
    </w:p>
    <w:p w:rsidR="004B21B6" w:rsidRPr="004B21B6" w:rsidRDefault="004B21B6" w:rsidP="004B21B6">
      <w:pPr>
        <w:pStyle w:val="ListParagraph"/>
        <w:autoSpaceDE w:val="0"/>
        <w:autoSpaceDN w:val="0"/>
        <w:adjustRightInd w:val="0"/>
        <w:spacing w:after="0" w:line="240" w:lineRule="auto"/>
        <w:ind w:left="360"/>
        <w:rPr>
          <w:rFonts w:ascii="Times New Roman" w:hAnsi="Times New Roman" w:cs="Times New Roman"/>
          <w:color w:val="393939"/>
          <w:sz w:val="24"/>
        </w:rPr>
      </w:pPr>
    </w:p>
    <w:p w:rsidR="006D6661" w:rsidRDefault="004B21B6"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4B21B6">
        <w:rPr>
          <w:rFonts w:ascii="Times New Roman" w:hAnsi="Times New Roman" w:cs="Times New Roman"/>
          <w:color w:val="393939"/>
          <w:sz w:val="24"/>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w:t>
      </w:r>
      <w:proofErr w:type="gramStart"/>
      <w:r w:rsidRPr="006D6661">
        <w:rPr>
          <w:rFonts w:ascii="Times New Roman" w:hAnsi="Times New Roman" w:cs="Times New Roman"/>
          <w:color w:val="393939"/>
          <w:sz w:val="24"/>
        </w:rPr>
        <w:t>State</w:t>
      </w:r>
      <w:proofErr w:type="gramEnd"/>
      <w:r w:rsidRPr="006D6661">
        <w:rPr>
          <w:rFonts w:ascii="Times New Roman" w:hAnsi="Times New Roman" w:cs="Times New Roman"/>
          <w:color w:val="393939"/>
          <w:sz w:val="24"/>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has been completed in 2017. 105 facilities were assessed, 82 facilities have designated level of care. All 82 facilities strengthened their capacity for infrastructure/equipment and competencies of service providers according to the level requirements. </w:t>
      </w: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In 2016, Ministry of Labour, Health and Social Affairs of Georgia in alliance with NCDC launched the nationwide electronic registry “Mother’s and neonate’s health surveillance system”, so called “Georgian Birth Registry” (GBR). The system tracks information on all cases of pregnancy, delivery, postpartum, neonatal care and abortion.</w:t>
      </w: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The GBR provides an opportunity:</w:t>
      </w:r>
    </w:p>
    <w:p w:rsidR="006D6661" w:rsidRPr="006D6661" w:rsidRDefault="006D6661" w:rsidP="006D6661">
      <w:pPr>
        <w:pStyle w:val="ListParagraph"/>
        <w:numPr>
          <w:ilvl w:val="0"/>
          <w:numId w:val="3"/>
        </w:numPr>
        <w:autoSpaceDE w:val="0"/>
        <w:autoSpaceDN w:val="0"/>
        <w:adjustRightInd w:val="0"/>
        <w:spacing w:after="0" w:line="240" w:lineRule="auto"/>
        <w:rPr>
          <w:rFonts w:ascii="Times New Roman" w:hAnsi="Times New Roman" w:cs="Times New Roman"/>
          <w:color w:val="393939"/>
          <w:sz w:val="24"/>
        </w:rPr>
      </w:pPr>
      <w:r w:rsidRPr="006D6661">
        <w:rPr>
          <w:rFonts w:ascii="Times New Roman" w:hAnsi="Times New Roman" w:cs="Times New Roman"/>
          <w:color w:val="393939"/>
          <w:sz w:val="24"/>
        </w:rPr>
        <w:t>to get comprehensive knowledge on a wide area of indicators, related to the maternal and newborn health, morbidity and mortality along with the quality of antenatal, obstetric and neonatal care;</w:t>
      </w:r>
    </w:p>
    <w:p w:rsidR="006D6661" w:rsidRPr="006D6661" w:rsidRDefault="006D6661" w:rsidP="006D6661">
      <w:pPr>
        <w:pStyle w:val="ListParagraph"/>
        <w:numPr>
          <w:ilvl w:val="0"/>
          <w:numId w:val="3"/>
        </w:numPr>
        <w:autoSpaceDE w:val="0"/>
        <w:autoSpaceDN w:val="0"/>
        <w:adjustRightInd w:val="0"/>
        <w:spacing w:after="0" w:line="240" w:lineRule="auto"/>
        <w:rPr>
          <w:rFonts w:ascii="Times New Roman" w:hAnsi="Times New Roman" w:cs="Times New Roman"/>
          <w:color w:val="393939"/>
          <w:sz w:val="24"/>
        </w:rPr>
      </w:pPr>
      <w:proofErr w:type="gramStart"/>
      <w:r w:rsidRPr="006D6661">
        <w:rPr>
          <w:rFonts w:ascii="Times New Roman" w:hAnsi="Times New Roman" w:cs="Times New Roman"/>
          <w:color w:val="393939"/>
          <w:sz w:val="24"/>
        </w:rPr>
        <w:t>to</w:t>
      </w:r>
      <w:proofErr w:type="gramEnd"/>
      <w:r w:rsidRPr="006D6661">
        <w:rPr>
          <w:rFonts w:ascii="Times New Roman" w:hAnsi="Times New Roman" w:cs="Times New Roman"/>
          <w:color w:val="393939"/>
          <w:sz w:val="24"/>
        </w:rPr>
        <w:t xml:space="preserve"> make evidence-based policy decisions.</w:t>
      </w:r>
    </w:p>
    <w:p w:rsidR="006D6661" w:rsidRPr="00AB3D4A" w:rsidRDefault="006D6661" w:rsidP="006D6661">
      <w:pPr>
        <w:pStyle w:val="ListParagraph"/>
        <w:spacing w:after="0" w:line="240" w:lineRule="auto"/>
        <w:jc w:val="both"/>
        <w:rPr>
          <w:rFonts w:ascii="Sylfaen" w:hAnsi="Sylfaen"/>
          <w:sz w:val="24"/>
          <w:szCs w:val="24"/>
        </w:rPr>
      </w:pP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The GBR also allows monitoring the regionalization of perinatal care services through providing data on selected maternal and neonatal health indicators.</w:t>
      </w: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The coverage of pregnancy and childbirth by GBR increased from 47% in 2016 to 96 % in 2017.</w:t>
      </w: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 xml:space="preserve">In March, 2017 Ministry of Labour, Health and Social Affairs of Georgia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w:t>
      </w:r>
      <w:r w:rsidRPr="006D6661">
        <w:rPr>
          <w:rFonts w:ascii="Times New Roman" w:hAnsi="Times New Roman" w:cs="Times New Roman"/>
          <w:color w:val="393939"/>
          <w:sz w:val="24"/>
        </w:rPr>
        <w:lastRenderedPageBreak/>
        <w:t xml:space="preserve">and Batumi) are involved in selective contracting process. The existed contract includes 10 quality indicators, covering the critical issues related to obstetric and neonatal care in Georgia. </w:t>
      </w: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 xml:space="preserve">The routine clinical audit of cases of stillbirth and maternal and neonatal mortality has been introduced by the </w:t>
      </w:r>
      <w:proofErr w:type="spellStart"/>
      <w:r w:rsidRPr="006D6661">
        <w:rPr>
          <w:rFonts w:ascii="Times New Roman" w:hAnsi="Times New Roman" w:cs="Times New Roman"/>
          <w:color w:val="393939"/>
          <w:sz w:val="24"/>
        </w:rPr>
        <w:t>MoLSHA</w:t>
      </w:r>
      <w:proofErr w:type="spellEnd"/>
      <w:r w:rsidRPr="006D6661">
        <w:rPr>
          <w:rFonts w:ascii="Times New Roman" w:hAnsi="Times New Roman" w:cs="Times New Roman"/>
          <w:color w:val="393939"/>
          <w:sz w:val="24"/>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E36AF1" w:rsidRPr="006D6661" w:rsidRDefault="00E36AF1" w:rsidP="006D6661">
      <w:pPr>
        <w:pStyle w:val="ListParagraph"/>
        <w:autoSpaceDE w:val="0"/>
        <w:autoSpaceDN w:val="0"/>
        <w:adjustRightInd w:val="0"/>
        <w:spacing w:after="0" w:line="240" w:lineRule="auto"/>
        <w:ind w:left="360"/>
        <w:rPr>
          <w:rFonts w:ascii="Times New Roman" w:hAnsi="Times New Roman" w:cs="Times New Roman"/>
          <w:color w:val="393939"/>
          <w:sz w:val="24"/>
        </w:rPr>
      </w:pP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p>
    <w:p w:rsidR="006D6661" w:rsidRPr="006D6661" w:rsidRDefault="006D6661" w:rsidP="006D6661">
      <w:pPr>
        <w:pStyle w:val="ListParagraph"/>
        <w:autoSpaceDE w:val="0"/>
        <w:autoSpaceDN w:val="0"/>
        <w:adjustRightInd w:val="0"/>
        <w:spacing w:after="0" w:line="240" w:lineRule="auto"/>
        <w:ind w:left="360"/>
        <w:rPr>
          <w:rFonts w:ascii="Times New Roman" w:hAnsi="Times New Roman" w:cs="Times New Roman"/>
          <w:color w:val="393939"/>
          <w:sz w:val="24"/>
        </w:rPr>
      </w:pPr>
      <w:r w:rsidRPr="006D6661">
        <w:rPr>
          <w:rFonts w:ascii="Times New Roman" w:hAnsi="Times New Roman" w:cs="Times New Roman"/>
          <w:color w:val="393939"/>
          <w:sz w:val="24"/>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 Some steps were also taken by the Georgian government to respond Adolescent health and women’s violence.</w:t>
      </w:r>
    </w:p>
    <w:p w:rsidR="0037324A" w:rsidRDefault="0037324A" w:rsidP="004B21B6">
      <w:pPr>
        <w:pStyle w:val="ListParagraph"/>
        <w:autoSpaceDE w:val="0"/>
        <w:autoSpaceDN w:val="0"/>
        <w:adjustRightInd w:val="0"/>
        <w:spacing w:after="0" w:line="240" w:lineRule="auto"/>
        <w:ind w:left="360"/>
        <w:rPr>
          <w:rFonts w:ascii="Times New Roman" w:hAnsi="Times New Roman" w:cs="Times New Roman"/>
          <w:color w:val="393939"/>
          <w:sz w:val="24"/>
        </w:rPr>
      </w:pPr>
    </w:p>
    <w:p w:rsidR="000D3B6C" w:rsidRDefault="000D3B6C" w:rsidP="000D3B6C">
      <w:pPr>
        <w:pStyle w:val="ListParagraph"/>
        <w:autoSpaceDE w:val="0"/>
        <w:autoSpaceDN w:val="0"/>
        <w:adjustRightInd w:val="0"/>
        <w:spacing w:after="0" w:line="240" w:lineRule="auto"/>
        <w:ind w:left="360"/>
        <w:rPr>
          <w:rFonts w:ascii="Times New Roman" w:hAnsi="Times New Roman" w:cs="Times New Roman"/>
          <w:color w:val="393939"/>
          <w:sz w:val="24"/>
        </w:rPr>
      </w:pPr>
      <w:r w:rsidRPr="000D3B6C">
        <w:rPr>
          <w:rFonts w:ascii="Times New Roman" w:hAnsi="Times New Roman" w:cs="Times New Roman"/>
          <w:color w:val="393939"/>
          <w:sz w:val="24"/>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rsidR="000D3B6C" w:rsidRPr="000D3B6C" w:rsidRDefault="000D3B6C" w:rsidP="000D3B6C">
      <w:pPr>
        <w:pStyle w:val="ListParagraph"/>
        <w:autoSpaceDE w:val="0"/>
        <w:autoSpaceDN w:val="0"/>
        <w:adjustRightInd w:val="0"/>
        <w:spacing w:after="0" w:line="240" w:lineRule="auto"/>
        <w:ind w:left="360"/>
        <w:rPr>
          <w:rFonts w:ascii="Times New Roman" w:hAnsi="Times New Roman" w:cs="Times New Roman"/>
          <w:color w:val="393939"/>
          <w:sz w:val="24"/>
        </w:rPr>
      </w:pPr>
    </w:p>
    <w:p w:rsidR="000D3B6C" w:rsidRPr="004B21B6" w:rsidRDefault="000D3B6C" w:rsidP="000D3B6C">
      <w:pPr>
        <w:pStyle w:val="ListParagraph"/>
        <w:autoSpaceDE w:val="0"/>
        <w:autoSpaceDN w:val="0"/>
        <w:adjustRightInd w:val="0"/>
        <w:spacing w:after="0" w:line="240" w:lineRule="auto"/>
        <w:ind w:left="360"/>
        <w:rPr>
          <w:rFonts w:ascii="Times New Roman" w:hAnsi="Times New Roman" w:cs="Times New Roman"/>
          <w:color w:val="393939"/>
          <w:sz w:val="24"/>
        </w:rPr>
      </w:pPr>
      <w:r w:rsidRPr="000D3B6C">
        <w:rPr>
          <w:rFonts w:ascii="Times New Roman" w:hAnsi="Times New Roman" w:cs="Times New Roman"/>
          <w:color w:val="393939"/>
          <w:sz w:val="24"/>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22.9 per 100 000 livebirth in 2016.</w:t>
      </w:r>
    </w:p>
    <w:p w:rsidR="004B21B6" w:rsidRPr="004B21B6" w:rsidRDefault="004B21B6" w:rsidP="004B21B6">
      <w:pPr>
        <w:pStyle w:val="ListParagraph"/>
        <w:autoSpaceDE w:val="0"/>
        <w:autoSpaceDN w:val="0"/>
        <w:adjustRightInd w:val="0"/>
        <w:spacing w:after="0" w:line="240" w:lineRule="auto"/>
        <w:ind w:left="360"/>
        <w:rPr>
          <w:rFonts w:ascii="Times New Roman" w:hAnsi="Times New Roman" w:cs="Times New Roman"/>
          <w:color w:val="393939"/>
          <w:sz w:val="24"/>
        </w:rPr>
      </w:pPr>
    </w:p>
    <w:p w:rsidR="0037324A" w:rsidRDefault="0037324A" w:rsidP="004B21B6">
      <w:pPr>
        <w:pStyle w:val="ListParagraph"/>
        <w:numPr>
          <w:ilvl w:val="0"/>
          <w:numId w:val="1"/>
        </w:numPr>
        <w:autoSpaceDE w:val="0"/>
        <w:autoSpaceDN w:val="0"/>
        <w:adjustRightInd w:val="0"/>
        <w:spacing w:after="0" w:line="240" w:lineRule="auto"/>
        <w:ind w:left="360"/>
        <w:rPr>
          <w:rFonts w:ascii="Times New Roman" w:hAnsi="Times New Roman" w:cs="Times New Roman"/>
          <w:color w:val="393939"/>
          <w:sz w:val="24"/>
        </w:rPr>
      </w:pPr>
      <w:r w:rsidRPr="004B21B6">
        <w:rPr>
          <w:rFonts w:ascii="Times New Roman" w:hAnsi="Times New Roman" w:cs="Times New Roman"/>
          <w:color w:val="393939"/>
          <w:sz w:val="24"/>
        </w:rPr>
        <w:t xml:space="preserve">Has the technical guidance assisted your Government or organization in building enhanced understanding of the requirements of a human rights-based approach? If so, please expand upon the impact that such enhanced understanding bas for the design and implementation of policies and </w:t>
      </w:r>
      <w:proofErr w:type="spellStart"/>
      <w:r w:rsidRPr="004B21B6">
        <w:rPr>
          <w:rFonts w:ascii="Times New Roman" w:hAnsi="Times New Roman" w:cs="Times New Roman"/>
          <w:color w:val="393939"/>
          <w:sz w:val="24"/>
        </w:rPr>
        <w:t>programmes</w:t>
      </w:r>
      <w:proofErr w:type="spellEnd"/>
      <w:r w:rsidRPr="004B21B6">
        <w:rPr>
          <w:rFonts w:ascii="Times New Roman" w:hAnsi="Times New Roman" w:cs="Times New Roman"/>
          <w:color w:val="393939"/>
          <w:sz w:val="24"/>
        </w:rPr>
        <w:t xml:space="preserve"> in this area. </w:t>
      </w:r>
    </w:p>
    <w:p w:rsidR="004B21B6" w:rsidRDefault="004B21B6" w:rsidP="004B21B6">
      <w:pPr>
        <w:pStyle w:val="ListParagraph"/>
        <w:autoSpaceDE w:val="0"/>
        <w:autoSpaceDN w:val="0"/>
        <w:adjustRightInd w:val="0"/>
        <w:spacing w:after="0" w:line="240" w:lineRule="auto"/>
        <w:ind w:left="360"/>
        <w:rPr>
          <w:rFonts w:ascii="Times New Roman" w:hAnsi="Times New Roman" w:cs="Times New Roman"/>
          <w:color w:val="393939"/>
          <w:sz w:val="24"/>
        </w:rPr>
      </w:pPr>
    </w:p>
    <w:p w:rsidR="00741DD6" w:rsidRDefault="001D5683" w:rsidP="004B21B6">
      <w:pPr>
        <w:pStyle w:val="ListParagraph"/>
        <w:autoSpaceDE w:val="0"/>
        <w:autoSpaceDN w:val="0"/>
        <w:adjustRightInd w:val="0"/>
        <w:spacing w:after="0" w:line="240" w:lineRule="auto"/>
        <w:ind w:left="360"/>
        <w:rPr>
          <w:rFonts w:ascii="Times New Roman" w:hAnsi="Times New Roman" w:cs="Times New Roman"/>
          <w:color w:val="393939"/>
          <w:sz w:val="24"/>
        </w:rPr>
      </w:pPr>
      <w:r w:rsidRPr="001D5683">
        <w:rPr>
          <w:rFonts w:ascii="Times New Roman" w:hAnsi="Times New Roman" w:cs="Times New Roman"/>
          <w:color w:val="393939"/>
          <w:sz w:val="24"/>
        </w:rPr>
        <w:t xml:space="preserve">The </w:t>
      </w:r>
      <w:r w:rsidRPr="004B21B6">
        <w:rPr>
          <w:rFonts w:ascii="Times New Roman" w:hAnsi="Times New Roman" w:cs="Times New Roman"/>
          <w:color w:val="393939"/>
          <w:sz w:val="24"/>
        </w:rPr>
        <w:t>technical guidance</w:t>
      </w:r>
      <w:r w:rsidRPr="001D5683">
        <w:rPr>
          <w:rFonts w:ascii="Times New Roman" w:hAnsi="Times New Roman" w:cs="Times New Roman"/>
          <w:color w:val="393939"/>
          <w:sz w:val="24"/>
        </w:rPr>
        <w:t xml:space="preserve"> provided great assistance in the process of identification</w:t>
      </w:r>
      <w:r>
        <w:rPr>
          <w:rFonts w:ascii="Times New Roman" w:hAnsi="Times New Roman" w:cs="Times New Roman"/>
          <w:color w:val="393939"/>
          <w:sz w:val="24"/>
        </w:rPr>
        <w:t xml:space="preserve"> and </w:t>
      </w:r>
      <w:r w:rsidRPr="001D5683">
        <w:rPr>
          <w:rFonts w:ascii="Times New Roman" w:hAnsi="Times New Roman" w:cs="Times New Roman"/>
          <w:color w:val="393939"/>
          <w:sz w:val="24"/>
        </w:rPr>
        <w:t>measure of problems</w:t>
      </w:r>
      <w:r w:rsidR="00E066DE">
        <w:rPr>
          <w:rFonts w:ascii="Times New Roman" w:hAnsi="Times New Roman" w:cs="Times New Roman"/>
          <w:color w:val="393939"/>
          <w:sz w:val="24"/>
        </w:rPr>
        <w:t xml:space="preserve">, </w:t>
      </w:r>
      <w:r w:rsidR="00E066DE" w:rsidRPr="00E066DE">
        <w:rPr>
          <w:rFonts w:ascii="Times New Roman" w:hAnsi="Times New Roman" w:cs="Times New Roman"/>
          <w:color w:val="393939"/>
          <w:sz w:val="24"/>
        </w:rPr>
        <w:t>to the development of the strategy and the process of d</w:t>
      </w:r>
      <w:r w:rsidR="00E066DE">
        <w:rPr>
          <w:rFonts w:ascii="Times New Roman" w:hAnsi="Times New Roman" w:cs="Times New Roman"/>
          <w:color w:val="393939"/>
          <w:sz w:val="24"/>
        </w:rPr>
        <w:t xml:space="preserve">efining the budget of the activities. By the methodology </w:t>
      </w:r>
      <w:r w:rsidR="00E066DE" w:rsidRPr="00E066DE">
        <w:rPr>
          <w:rFonts w:ascii="Times New Roman" w:hAnsi="Times New Roman" w:cs="Times New Roman"/>
          <w:color w:val="393939"/>
          <w:sz w:val="24"/>
        </w:rPr>
        <w:t xml:space="preserve">provided in the </w:t>
      </w:r>
      <w:r w:rsidR="00E066DE">
        <w:rPr>
          <w:rFonts w:ascii="Times New Roman" w:hAnsi="Times New Roman" w:cs="Times New Roman"/>
          <w:color w:val="393939"/>
          <w:sz w:val="24"/>
        </w:rPr>
        <w:t>guidance was developed</w:t>
      </w:r>
      <w:r w:rsidR="00E066DE" w:rsidRPr="00E066DE">
        <w:rPr>
          <w:rFonts w:ascii="Times New Roman" w:hAnsi="Times New Roman" w:cs="Times New Roman"/>
          <w:color w:val="393939"/>
          <w:sz w:val="24"/>
        </w:rPr>
        <w:t xml:space="preserve"> Monitoring and </w:t>
      </w:r>
      <w:r w:rsidR="00E066DE">
        <w:rPr>
          <w:rFonts w:ascii="Times New Roman" w:hAnsi="Times New Roman" w:cs="Times New Roman"/>
          <w:color w:val="393939"/>
          <w:sz w:val="24"/>
        </w:rPr>
        <w:t>evaluation f</w:t>
      </w:r>
      <w:r w:rsidR="00E066DE" w:rsidRPr="00E066DE">
        <w:rPr>
          <w:rFonts w:ascii="Times New Roman" w:hAnsi="Times New Roman" w:cs="Times New Roman"/>
          <w:color w:val="393939"/>
          <w:sz w:val="24"/>
        </w:rPr>
        <w:t>ramework.</w:t>
      </w:r>
      <w:r w:rsidR="00E066DE">
        <w:rPr>
          <w:rFonts w:ascii="Times New Roman" w:hAnsi="Times New Roman" w:cs="Times New Roman"/>
          <w:color w:val="393939"/>
          <w:sz w:val="24"/>
        </w:rPr>
        <w:t xml:space="preserve"> </w:t>
      </w:r>
    </w:p>
    <w:p w:rsidR="00741DD6" w:rsidRDefault="00741DD6" w:rsidP="004B21B6">
      <w:pPr>
        <w:pStyle w:val="ListParagraph"/>
        <w:autoSpaceDE w:val="0"/>
        <w:autoSpaceDN w:val="0"/>
        <w:adjustRightInd w:val="0"/>
        <w:spacing w:after="0" w:line="240" w:lineRule="auto"/>
        <w:ind w:left="360"/>
        <w:rPr>
          <w:rFonts w:ascii="Times New Roman" w:hAnsi="Times New Roman" w:cs="Times New Roman"/>
          <w:color w:val="393939"/>
          <w:sz w:val="24"/>
        </w:rPr>
      </w:pPr>
    </w:p>
    <w:p w:rsidR="00741DD6" w:rsidRPr="004B21B6" w:rsidRDefault="00741DD6" w:rsidP="004B21B6">
      <w:pPr>
        <w:pStyle w:val="ListParagraph"/>
        <w:autoSpaceDE w:val="0"/>
        <w:autoSpaceDN w:val="0"/>
        <w:adjustRightInd w:val="0"/>
        <w:spacing w:after="0" w:line="240" w:lineRule="auto"/>
        <w:ind w:left="360"/>
        <w:rPr>
          <w:rFonts w:ascii="Times New Roman" w:hAnsi="Times New Roman" w:cs="Times New Roman"/>
          <w:color w:val="393939"/>
          <w:sz w:val="24"/>
        </w:rPr>
      </w:pPr>
      <w:r w:rsidRPr="00741DD6">
        <w:rPr>
          <w:rFonts w:ascii="Times New Roman" w:hAnsi="Times New Roman" w:cs="Times New Roman"/>
          <w:color w:val="393939"/>
          <w:sz w:val="24"/>
        </w:rPr>
        <w:lastRenderedPageBreak/>
        <w:t>At ICPD (Cairo 1994) a definition of Reproductive Health was adopted, which is still the international standard. This definition indicates that reproductive health includes three overlapping areas: sexual health, family planning and mother &amp; new-born health. The same definition has also been the starting point of the MCH strategy mentioned above. The same starting point has led to the conclusion that family planning and adolescent SRH (a very important topic in ICPD/</w:t>
      </w:r>
      <w:proofErr w:type="spellStart"/>
      <w:r w:rsidRPr="00741DD6">
        <w:rPr>
          <w:rFonts w:ascii="Times New Roman" w:hAnsi="Times New Roman" w:cs="Times New Roman"/>
          <w:color w:val="393939"/>
          <w:sz w:val="24"/>
        </w:rPr>
        <w:t>PoA</w:t>
      </w:r>
      <w:proofErr w:type="spellEnd"/>
      <w:r w:rsidRPr="00741DD6">
        <w:rPr>
          <w:rFonts w:ascii="Times New Roman" w:hAnsi="Times New Roman" w:cs="Times New Roman"/>
          <w:color w:val="393939"/>
          <w:sz w:val="24"/>
        </w:rPr>
        <w:t>) should be integrate</w:t>
      </w:r>
      <w:bookmarkStart w:id="0" w:name="_GoBack"/>
      <w:bookmarkEnd w:id="0"/>
      <w:r w:rsidRPr="00741DD6">
        <w:rPr>
          <w:rFonts w:ascii="Times New Roman" w:hAnsi="Times New Roman" w:cs="Times New Roman"/>
          <w:color w:val="393939"/>
          <w:sz w:val="24"/>
        </w:rPr>
        <w:t xml:space="preserve">d in this strategic document on maternal and newborn health. Family planning is not only the right of parents to decide on the number and spacing of their children, but is also an important strategy for reducing the burden of unintended pregnancies and thereby incidence of induced abortion and abortion-related morbidity and mortality.  Adolescents are more likely to engage in unprotected sex, which can result in sexually transmitted infections (STIs) or pregnancy, most of which are unwanted and are more likely to end in induced unsafe abortions, particularly among those who are around 20 years </w:t>
      </w:r>
      <w:proofErr w:type="gramStart"/>
      <w:r w:rsidRPr="00741DD6">
        <w:rPr>
          <w:rFonts w:ascii="Times New Roman" w:hAnsi="Times New Roman" w:cs="Times New Roman"/>
          <w:color w:val="393939"/>
          <w:sz w:val="24"/>
        </w:rPr>
        <w:t>old .</w:t>
      </w:r>
      <w:proofErr w:type="gramEnd"/>
      <w:r w:rsidRPr="00741DD6">
        <w:rPr>
          <w:rFonts w:ascii="Times New Roman" w:hAnsi="Times New Roman" w:cs="Times New Roman"/>
          <w:color w:val="393939"/>
          <w:sz w:val="24"/>
        </w:rPr>
        <w:t xml:space="preserve"> It should be stressed that, for a broad variety of reasons, Family Planning and Adolescent SRH have until now remained relatively neglected fields in Georgia that urgently need to be brought in focus in the coming years in view of life-course approach to reproductive health.</w:t>
      </w:r>
    </w:p>
    <w:p w:rsidR="0037324A" w:rsidRPr="004B21B6" w:rsidRDefault="0037324A" w:rsidP="004B21B6">
      <w:pPr>
        <w:pStyle w:val="ListParagraph"/>
        <w:ind w:left="360"/>
        <w:rPr>
          <w:rFonts w:ascii="Times New Roman" w:hAnsi="Times New Roman" w:cs="Times New Roman"/>
          <w:color w:val="393939"/>
          <w:sz w:val="24"/>
        </w:rPr>
      </w:pPr>
    </w:p>
    <w:p w:rsidR="0037324A" w:rsidRDefault="0037324A" w:rsidP="004B21B6">
      <w:pPr>
        <w:pStyle w:val="ListParagraph"/>
        <w:numPr>
          <w:ilvl w:val="0"/>
          <w:numId w:val="1"/>
        </w:numPr>
        <w:autoSpaceDE w:val="0"/>
        <w:autoSpaceDN w:val="0"/>
        <w:adjustRightInd w:val="0"/>
        <w:spacing w:after="0" w:line="240" w:lineRule="auto"/>
        <w:ind w:left="360"/>
        <w:rPr>
          <w:rFonts w:ascii="Times New Roman" w:hAnsi="Times New Roman" w:cs="Times New Roman"/>
          <w:color w:val="393939"/>
          <w:sz w:val="24"/>
        </w:rPr>
      </w:pPr>
      <w:r w:rsidRPr="004B21B6">
        <w:rPr>
          <w:rFonts w:ascii="Times New Roman" w:hAnsi="Times New Roman" w:cs="Times New Roman"/>
          <w:color w:val="393939"/>
          <w:sz w:val="24"/>
        </w:rPr>
        <w:t>What challenges does your Government or orga</w:t>
      </w:r>
      <w:r w:rsidR="000A5704">
        <w:rPr>
          <w:rFonts w:ascii="Times New Roman" w:hAnsi="Times New Roman" w:cs="Times New Roman"/>
          <w:color w:val="393939"/>
          <w:sz w:val="24"/>
        </w:rPr>
        <w:t xml:space="preserve">nization face in implementing </w:t>
      </w:r>
      <w:proofErr w:type="gramStart"/>
      <w:r w:rsidR="000A5704">
        <w:rPr>
          <w:rFonts w:ascii="Times New Roman" w:hAnsi="Times New Roman" w:cs="Times New Roman"/>
          <w:color w:val="393939"/>
          <w:sz w:val="24"/>
        </w:rPr>
        <w:t xml:space="preserve">a </w:t>
      </w:r>
      <w:r w:rsidRPr="004B21B6">
        <w:rPr>
          <w:rFonts w:ascii="Times New Roman" w:hAnsi="Times New Roman" w:cs="Times New Roman"/>
          <w:color w:val="393939"/>
          <w:sz w:val="24"/>
        </w:rPr>
        <w:t>human</w:t>
      </w:r>
      <w:proofErr w:type="gramEnd"/>
      <w:r w:rsidRPr="004B21B6">
        <w:rPr>
          <w:rFonts w:ascii="Times New Roman" w:hAnsi="Times New Roman" w:cs="Times New Roman"/>
          <w:color w:val="393939"/>
          <w:sz w:val="24"/>
        </w:rPr>
        <w:t xml:space="preserve"> rights based approach in policies and </w:t>
      </w:r>
      <w:proofErr w:type="spellStart"/>
      <w:r w:rsidRPr="004B21B6">
        <w:rPr>
          <w:rFonts w:ascii="Times New Roman" w:hAnsi="Times New Roman" w:cs="Times New Roman"/>
          <w:color w:val="393939"/>
          <w:sz w:val="24"/>
        </w:rPr>
        <w:t>programmes</w:t>
      </w:r>
      <w:proofErr w:type="spellEnd"/>
      <w:r w:rsidRPr="004B21B6">
        <w:rPr>
          <w:rFonts w:ascii="Times New Roman" w:hAnsi="Times New Roman" w:cs="Times New Roman"/>
          <w:color w:val="393939"/>
          <w:sz w:val="24"/>
        </w:rPr>
        <w:t xml:space="preserve"> to eliminate preventable maternal mortality and morbidity? Please elaborate on the nature of these challenges and steps taken to address them. </w:t>
      </w:r>
    </w:p>
    <w:p w:rsidR="004B21B6" w:rsidRDefault="004B21B6" w:rsidP="004B21B6">
      <w:pPr>
        <w:pStyle w:val="ListParagraph"/>
        <w:autoSpaceDE w:val="0"/>
        <w:autoSpaceDN w:val="0"/>
        <w:adjustRightInd w:val="0"/>
        <w:spacing w:after="0" w:line="240" w:lineRule="auto"/>
        <w:ind w:left="360"/>
        <w:rPr>
          <w:rFonts w:ascii="Times New Roman" w:hAnsi="Times New Roman" w:cs="Times New Roman"/>
          <w:color w:val="393939"/>
          <w:sz w:val="24"/>
        </w:rPr>
      </w:pPr>
    </w:p>
    <w:p w:rsidR="0037324A" w:rsidRPr="004B21B6" w:rsidRDefault="00741DD6" w:rsidP="00741DD6">
      <w:pPr>
        <w:ind w:left="360"/>
        <w:rPr>
          <w:rFonts w:ascii="Times New Roman" w:hAnsi="Times New Roman" w:cs="Times New Roman"/>
          <w:color w:val="393939"/>
          <w:sz w:val="24"/>
        </w:rPr>
      </w:pPr>
      <w:r w:rsidRPr="00741DD6">
        <w:rPr>
          <w:rFonts w:ascii="Times New Roman" w:hAnsi="Times New Roman" w:cs="Times New Roman"/>
          <w:color w:val="393939"/>
          <w:sz w:val="24"/>
        </w:rPr>
        <w:t>Reducing maternal and neonatal mortality requires coordinated long term efforts. Many factors affect the ability of women and newborns to survive pregnancy and childbirth. It is increasingly recognized that high rates of maternal and newborn mortality are the result of problems in the health sector. However a variety of other issues related to gender, socio-cultural values, and the economic circumstances of households, communities and national political will also contribute to the high rates of maternal and newborn mortality. Other factors which also contribute to maternal and newborn deaths are: delays in recognizing problems, deciding to seek care, reaching care and receiving care. All aforementioned factors are the major elements of “Three delays” described in Thaddeus and Maine's model</w:t>
      </w:r>
      <w:r w:rsidRPr="00741DD6">
        <w:rPr>
          <w:rFonts w:ascii="Times New Roman" w:hAnsi="Times New Roman"/>
          <w:color w:val="393939"/>
          <w:sz w:val="24"/>
        </w:rPr>
        <w:footnoteReference w:id="1"/>
      </w:r>
      <w:r w:rsidRPr="00741DD6">
        <w:rPr>
          <w:rFonts w:ascii="Times New Roman" w:hAnsi="Times New Roman" w:cs="Times New Roman"/>
          <w:color w:val="393939"/>
          <w:sz w:val="24"/>
        </w:rPr>
        <w:t xml:space="preserve"> and still present real challenges facing pregnant women and newborns in Georgia. Therefore, collective and creative strategies are needed to mobilize resources and generate popular support and political will that are critical to bringing about changes at multiple levels and achieving sustainable improvements in maternal and newborn health</w:t>
      </w:r>
      <w:r>
        <w:t>.</w:t>
      </w:r>
    </w:p>
    <w:p w:rsidR="0037324A" w:rsidRDefault="0037324A" w:rsidP="004B21B6">
      <w:pPr>
        <w:pStyle w:val="ListParagraph"/>
        <w:numPr>
          <w:ilvl w:val="0"/>
          <w:numId w:val="1"/>
        </w:numPr>
        <w:autoSpaceDE w:val="0"/>
        <w:autoSpaceDN w:val="0"/>
        <w:adjustRightInd w:val="0"/>
        <w:spacing w:after="0" w:line="240" w:lineRule="auto"/>
        <w:ind w:left="360"/>
        <w:rPr>
          <w:rFonts w:ascii="Times New Roman" w:hAnsi="Times New Roman" w:cs="Times New Roman"/>
          <w:color w:val="393939"/>
          <w:sz w:val="24"/>
        </w:rPr>
      </w:pPr>
      <w:r w:rsidRPr="004B21B6">
        <w:rPr>
          <w:rFonts w:ascii="Times New Roman" w:hAnsi="Times New Roman" w:cs="Times New Roman"/>
          <w:color w:val="393939"/>
          <w:sz w:val="24"/>
        </w:rPr>
        <w:t>With evidence indicating that a majority of maternal deaths occur ill fragile and humanitarian settings and that pregnant women may have increased medical risks in crises settings, how does your Government  or organization work to apply a human rights based approach to reducing maternal mortality and morbidity in these contexts? Please elaborate on good practices and challenges in this regard.</w:t>
      </w:r>
    </w:p>
    <w:p w:rsidR="004B21B6" w:rsidRDefault="004B21B6" w:rsidP="004B21B6">
      <w:pPr>
        <w:pStyle w:val="ListParagraph"/>
        <w:autoSpaceDE w:val="0"/>
        <w:autoSpaceDN w:val="0"/>
        <w:adjustRightInd w:val="0"/>
        <w:spacing w:after="0" w:line="240" w:lineRule="auto"/>
        <w:ind w:left="360"/>
        <w:rPr>
          <w:rFonts w:ascii="Times New Roman" w:hAnsi="Times New Roman" w:cs="Times New Roman"/>
          <w:color w:val="393939"/>
          <w:sz w:val="24"/>
        </w:rPr>
      </w:pPr>
    </w:p>
    <w:p w:rsidR="00E36AF1" w:rsidRPr="00E36AF1" w:rsidRDefault="00E36AF1" w:rsidP="00E36AF1">
      <w:pPr>
        <w:pStyle w:val="ListParagraph"/>
        <w:autoSpaceDE w:val="0"/>
        <w:autoSpaceDN w:val="0"/>
        <w:adjustRightInd w:val="0"/>
        <w:spacing w:after="0" w:line="240" w:lineRule="auto"/>
        <w:ind w:left="360"/>
        <w:rPr>
          <w:rFonts w:ascii="Times New Roman" w:hAnsi="Times New Roman" w:cs="Times New Roman"/>
          <w:color w:val="393939"/>
          <w:sz w:val="24"/>
        </w:rPr>
      </w:pPr>
      <w:r w:rsidRPr="00E36AF1">
        <w:rPr>
          <w:rFonts w:ascii="Times New Roman" w:hAnsi="Times New Roman" w:cs="Times New Roman"/>
          <w:color w:val="393939"/>
          <w:sz w:val="24"/>
        </w:rPr>
        <w:t xml:space="preserve">The Disaster Management Country Team (DMCT) promoted emergency response preparedness to enable concerted action by all national and international actors to optimize the speed and volume of critical assistance delivered immediately after the onset of a humanitarian emergency. </w:t>
      </w:r>
    </w:p>
    <w:p w:rsidR="00E36AF1" w:rsidRPr="00E36AF1" w:rsidRDefault="00E36AF1" w:rsidP="00E36AF1">
      <w:pPr>
        <w:pStyle w:val="ListParagraph"/>
        <w:autoSpaceDE w:val="0"/>
        <w:autoSpaceDN w:val="0"/>
        <w:adjustRightInd w:val="0"/>
        <w:spacing w:after="0" w:line="240" w:lineRule="auto"/>
        <w:ind w:left="360"/>
        <w:rPr>
          <w:rFonts w:ascii="Times New Roman" w:hAnsi="Times New Roman" w:cs="Times New Roman"/>
          <w:color w:val="393939"/>
          <w:sz w:val="24"/>
        </w:rPr>
      </w:pPr>
    </w:p>
    <w:p w:rsidR="00E36AF1" w:rsidRDefault="00E36AF1" w:rsidP="00E36AF1">
      <w:pPr>
        <w:pStyle w:val="ListParagraph"/>
        <w:autoSpaceDE w:val="0"/>
        <w:autoSpaceDN w:val="0"/>
        <w:adjustRightInd w:val="0"/>
        <w:spacing w:after="0" w:line="240" w:lineRule="auto"/>
        <w:ind w:left="360"/>
        <w:rPr>
          <w:rFonts w:ascii="Times New Roman" w:hAnsi="Times New Roman" w:cs="Times New Roman"/>
          <w:color w:val="393939"/>
          <w:sz w:val="24"/>
        </w:rPr>
      </w:pPr>
      <w:r w:rsidRPr="00E36AF1">
        <w:rPr>
          <w:rFonts w:ascii="Times New Roman" w:hAnsi="Times New Roman" w:cs="Times New Roman"/>
          <w:color w:val="393939"/>
          <w:sz w:val="24"/>
        </w:rPr>
        <w:lastRenderedPageBreak/>
        <w:t xml:space="preserve">In partnership with UNFPA country office </w:t>
      </w:r>
      <w:proofErr w:type="spellStart"/>
      <w:r w:rsidRPr="00E36AF1">
        <w:rPr>
          <w:rFonts w:ascii="Times New Roman" w:hAnsi="Times New Roman" w:cs="Times New Roman"/>
          <w:color w:val="393939"/>
          <w:sz w:val="24"/>
        </w:rPr>
        <w:t>MoLHSA</w:t>
      </w:r>
      <w:proofErr w:type="spellEnd"/>
      <w:r w:rsidRPr="00E36AF1">
        <w:rPr>
          <w:rFonts w:ascii="Times New Roman" w:hAnsi="Times New Roman" w:cs="Times New Roman"/>
          <w:color w:val="393939"/>
          <w:sz w:val="24"/>
        </w:rPr>
        <w:t xml:space="preserve"> </w:t>
      </w:r>
      <w:r w:rsidRPr="00E36AF1">
        <w:rPr>
          <w:rFonts w:ascii="Times New Roman" w:hAnsi="Times New Roman" w:cs="Times New Roman"/>
          <w:color w:val="393939"/>
          <w:sz w:val="24"/>
        </w:rPr>
        <w:t>elaborate Minimum</w:t>
      </w:r>
      <w:r w:rsidRPr="00E36AF1">
        <w:rPr>
          <w:rFonts w:ascii="Times New Roman" w:hAnsi="Times New Roman" w:cs="Times New Roman"/>
          <w:color w:val="393939"/>
          <w:sz w:val="24"/>
        </w:rPr>
        <w:t xml:space="preserve"> Initial Service Package (MISP) Emergency Preparedness/Contingency Action Plan for its further integration into the </w:t>
      </w:r>
      <w:proofErr w:type="spellStart"/>
      <w:r w:rsidRPr="00E36AF1">
        <w:rPr>
          <w:rFonts w:ascii="Times New Roman" w:hAnsi="Times New Roman" w:cs="Times New Roman"/>
          <w:color w:val="393939"/>
          <w:sz w:val="24"/>
        </w:rPr>
        <w:t>MoLHSA’s</w:t>
      </w:r>
      <w:proofErr w:type="spellEnd"/>
      <w:r w:rsidRPr="00E36AF1">
        <w:rPr>
          <w:rFonts w:ascii="Times New Roman" w:hAnsi="Times New Roman" w:cs="Times New Roman"/>
          <w:color w:val="393939"/>
          <w:sz w:val="24"/>
        </w:rPr>
        <w:t xml:space="preserve"> Sectorial Response Plan to Disaster and Emergency Situations and consequently into the National Emergency Response Plan on provision of sexual and reproductive health services as per MISP recommendations. The plan is designed to respond life-saving activities at the onset of every humanitarian crisis for the people affected by Flooding and related Water-caused threats.</w:t>
      </w:r>
    </w:p>
    <w:p w:rsidR="00E36AF1" w:rsidRPr="004B21B6" w:rsidRDefault="00E36AF1" w:rsidP="00E36AF1">
      <w:pPr>
        <w:pStyle w:val="ListParagraph"/>
        <w:autoSpaceDE w:val="0"/>
        <w:autoSpaceDN w:val="0"/>
        <w:adjustRightInd w:val="0"/>
        <w:spacing w:after="0" w:line="240" w:lineRule="auto"/>
        <w:ind w:left="360"/>
        <w:rPr>
          <w:rFonts w:ascii="Times New Roman" w:hAnsi="Times New Roman" w:cs="Times New Roman"/>
          <w:color w:val="393939"/>
          <w:sz w:val="24"/>
        </w:rPr>
      </w:pPr>
    </w:p>
    <w:p w:rsidR="009E5AB8" w:rsidRDefault="000D3B6C" w:rsidP="009E5AB8">
      <w:pPr>
        <w:pStyle w:val="ListParagraph"/>
        <w:autoSpaceDE w:val="0"/>
        <w:autoSpaceDN w:val="0"/>
        <w:adjustRightInd w:val="0"/>
        <w:spacing w:after="0" w:line="240" w:lineRule="auto"/>
        <w:ind w:left="360"/>
        <w:rPr>
          <w:rFonts w:ascii="Times New Roman" w:hAnsi="Times New Roman" w:cs="Times New Roman"/>
          <w:color w:val="393939"/>
          <w:sz w:val="24"/>
        </w:rPr>
      </w:pPr>
      <w:r>
        <w:rPr>
          <w:rFonts w:ascii="Arial" w:hAnsi="Arial" w:cs="Arial"/>
          <w:color w:val="0B5394"/>
        </w:rPr>
        <w:t>​</w:t>
      </w:r>
      <w:r w:rsidR="009E5AB8" w:rsidRPr="009E5AB8">
        <w:rPr>
          <w:rFonts w:ascii="Times New Roman" w:hAnsi="Times New Roman" w:cs="Times New Roman"/>
          <w:color w:val="393939"/>
          <w:sz w:val="24"/>
        </w:rPr>
        <w:t>The conflict-affected population</w:t>
      </w:r>
      <w:r w:rsidR="009E5AB8" w:rsidRPr="009E5AB8">
        <w:rPr>
          <w:rFonts w:ascii="Times New Roman" w:hAnsi="Times New Roman" w:cs="Times New Roman"/>
          <w:color w:val="393939"/>
          <w:sz w:val="24"/>
        </w:rPr>
        <w:footnoteReference w:id="2"/>
      </w:r>
      <w:r w:rsidR="009E5AB8" w:rsidRPr="009E5AB8">
        <w:rPr>
          <w:rFonts w:ascii="Times New Roman" w:hAnsi="Times New Roman" w:cs="Times New Roman"/>
          <w:color w:val="393939"/>
          <w:sz w:val="24"/>
        </w:rPr>
        <w:t xml:space="preserve"> in Abkhazia, Georgia is deprived of the minimal safeguards for the protection of their rights provided by the international conventions. Reproductive Health (RH), including Maternal Health is of particular concern, with a lack of services, programmes and information for youth, women and mothers. A 2012 UNICEF assessment identified that care during normal pregnancy, delivery and neonatal period, as well as management of the most common obstetrical and neonatal conditions and complications, does not comply with international standards and evidence-based guidelines. Three out of five women do not go for a routine health exam for their child or themselves after birth, and 23% of women do not see an OB&amp;GYN for consultations before giving birth. At the same time, Family Planning (FP) services are limited due to high informal payments and the absence of contraceptive commodities in pharmacies, as well as in public stocks. Modern contraceptive methods prevalence remains at low, as abortion is still used as a common method of family planning (FP). According to the available information publicized by de facto authorities, over 700 abortions have been performed in 2015; 1 in 11 women undergoing an abortion is an adolescent (2013). Also, due to unsafe abortions, 20% of families experience secondary infertility. On Feb-2016 de facto Parliament has outlawed abortion in an apparent effort to boost the number of population. The legislation includes a full ban on pregnancy terminations from the moment of conception. </w:t>
      </w:r>
    </w:p>
    <w:p w:rsidR="009E5AB8" w:rsidRPr="009E5AB8" w:rsidRDefault="009E5AB8" w:rsidP="009E5AB8">
      <w:pPr>
        <w:pStyle w:val="ListParagraph"/>
        <w:autoSpaceDE w:val="0"/>
        <w:autoSpaceDN w:val="0"/>
        <w:adjustRightInd w:val="0"/>
        <w:spacing w:after="0" w:line="240" w:lineRule="auto"/>
        <w:ind w:left="360"/>
        <w:rPr>
          <w:rFonts w:ascii="Times New Roman" w:hAnsi="Times New Roman" w:cs="Times New Roman"/>
          <w:color w:val="393939"/>
          <w:sz w:val="24"/>
        </w:rPr>
      </w:pPr>
    </w:p>
    <w:p w:rsidR="009E5AB8" w:rsidRPr="009E5AB8" w:rsidRDefault="009E5AB8" w:rsidP="009E5AB8">
      <w:pPr>
        <w:pStyle w:val="ListParagraph"/>
        <w:autoSpaceDE w:val="0"/>
        <w:autoSpaceDN w:val="0"/>
        <w:adjustRightInd w:val="0"/>
        <w:spacing w:after="0" w:line="240" w:lineRule="auto"/>
        <w:ind w:left="360"/>
        <w:rPr>
          <w:rFonts w:ascii="Times New Roman" w:hAnsi="Times New Roman" w:cs="Times New Roman"/>
          <w:color w:val="393939"/>
          <w:sz w:val="24"/>
        </w:rPr>
      </w:pPr>
      <w:r w:rsidRPr="009E5AB8">
        <w:rPr>
          <w:rFonts w:ascii="Times New Roman" w:hAnsi="Times New Roman" w:cs="Times New Roman"/>
          <w:color w:val="393939"/>
          <w:sz w:val="24"/>
        </w:rPr>
        <w:t>Against this background, since 2006, UNFPA/Georgia CO has been supporting provision of basic RH/FP services in the “break-away” region of Abkhazia, Georgia, and since 2012 - provision of the cervical cancer screening services that would otherwise remain uncovered for the local conflict-affected population neither by local healthcare system, nor by international aid. Specifically:</w:t>
      </w:r>
    </w:p>
    <w:p w:rsidR="009E5AB8" w:rsidRPr="009E5AB8" w:rsidRDefault="009E5AB8" w:rsidP="009E5AB8">
      <w:pPr>
        <w:pStyle w:val="ListParagraph"/>
        <w:numPr>
          <w:ilvl w:val="0"/>
          <w:numId w:val="5"/>
        </w:numPr>
        <w:autoSpaceDE w:val="0"/>
        <w:autoSpaceDN w:val="0"/>
        <w:adjustRightInd w:val="0"/>
        <w:spacing w:after="0" w:line="240" w:lineRule="auto"/>
        <w:rPr>
          <w:rFonts w:ascii="Times New Roman" w:hAnsi="Times New Roman" w:cs="Times New Roman"/>
          <w:color w:val="393939"/>
          <w:sz w:val="24"/>
        </w:rPr>
      </w:pPr>
      <w:r w:rsidRPr="009E5AB8">
        <w:rPr>
          <w:rFonts w:ascii="Times New Roman" w:hAnsi="Times New Roman" w:cs="Times New Roman"/>
          <w:color w:val="393939"/>
          <w:sz w:val="24"/>
        </w:rPr>
        <w:t>Introduction and endorsement of the 7 WHO FP clinical protocols adapted for Abkhazia, Georgia context; protocols were endorsed by the de facto Ministry of Health in Sep 2015.</w:t>
      </w:r>
    </w:p>
    <w:p w:rsidR="009E5AB8" w:rsidRPr="009E5AB8" w:rsidRDefault="009E5AB8" w:rsidP="009E5AB8">
      <w:pPr>
        <w:pStyle w:val="ListParagraph"/>
        <w:numPr>
          <w:ilvl w:val="0"/>
          <w:numId w:val="5"/>
        </w:numPr>
        <w:autoSpaceDE w:val="0"/>
        <w:autoSpaceDN w:val="0"/>
        <w:adjustRightInd w:val="0"/>
        <w:spacing w:after="0" w:line="240" w:lineRule="auto"/>
        <w:rPr>
          <w:rFonts w:ascii="Times New Roman" w:hAnsi="Times New Roman" w:cs="Times New Roman"/>
          <w:color w:val="393939"/>
          <w:sz w:val="24"/>
        </w:rPr>
      </w:pPr>
      <w:r w:rsidRPr="009E5AB8">
        <w:rPr>
          <w:rFonts w:ascii="Times New Roman" w:hAnsi="Times New Roman" w:cs="Times New Roman"/>
          <w:color w:val="393939"/>
          <w:sz w:val="24"/>
        </w:rPr>
        <w:t xml:space="preserve">Free-of-charge cervical cancer screening services provided to the 25-60 age women at the RH Centre in Sukhumi and 10 affiliated facilities Abkhazia-wide. Screening services management follows the practice and experience of the similar </w:t>
      </w:r>
      <w:proofErr w:type="spellStart"/>
      <w:r w:rsidRPr="009E5AB8">
        <w:rPr>
          <w:rFonts w:ascii="Times New Roman" w:hAnsi="Times New Roman" w:cs="Times New Roman"/>
          <w:color w:val="393939"/>
          <w:sz w:val="24"/>
        </w:rPr>
        <w:t>programme</w:t>
      </w:r>
      <w:proofErr w:type="spellEnd"/>
      <w:r w:rsidRPr="009E5AB8">
        <w:rPr>
          <w:rFonts w:ascii="Times New Roman" w:hAnsi="Times New Roman" w:cs="Times New Roman"/>
          <w:color w:val="393939"/>
          <w:sz w:val="24"/>
        </w:rPr>
        <w:t xml:space="preserve"> in other parts of Georgia. The reference check and quality assurance of cytology diagnostics and morphology of samples is conducted in Tbilisi.</w:t>
      </w:r>
    </w:p>
    <w:p w:rsidR="009E5AB8" w:rsidRPr="009E5AB8" w:rsidRDefault="009E5AB8" w:rsidP="009E5AB8">
      <w:pPr>
        <w:pStyle w:val="ListParagraph"/>
        <w:numPr>
          <w:ilvl w:val="0"/>
          <w:numId w:val="5"/>
        </w:numPr>
        <w:autoSpaceDE w:val="0"/>
        <w:autoSpaceDN w:val="0"/>
        <w:adjustRightInd w:val="0"/>
        <w:spacing w:after="0" w:line="240" w:lineRule="auto"/>
        <w:rPr>
          <w:rFonts w:ascii="Times New Roman" w:hAnsi="Times New Roman" w:cs="Times New Roman"/>
          <w:color w:val="393939"/>
          <w:sz w:val="24"/>
        </w:rPr>
      </w:pPr>
      <w:r w:rsidRPr="009E5AB8">
        <w:rPr>
          <w:rFonts w:ascii="Times New Roman" w:hAnsi="Times New Roman" w:cs="Times New Roman"/>
          <w:color w:val="393939"/>
          <w:sz w:val="24"/>
        </w:rPr>
        <w:t>Capacity development training of local RH/FP service providers delivered by International Russian-language speaking experts/trainers; over 60 RH specialist and nurses and over 100 PHC doctors have been trained on in modern methods of FP and other RH issues.</w:t>
      </w:r>
    </w:p>
    <w:p w:rsidR="009E5AB8" w:rsidRPr="009E5AB8" w:rsidRDefault="009E5AB8" w:rsidP="009E5AB8">
      <w:pPr>
        <w:pStyle w:val="ListParagraph"/>
        <w:numPr>
          <w:ilvl w:val="0"/>
          <w:numId w:val="5"/>
        </w:numPr>
        <w:autoSpaceDE w:val="0"/>
        <w:autoSpaceDN w:val="0"/>
        <w:adjustRightInd w:val="0"/>
        <w:spacing w:after="0" w:line="240" w:lineRule="auto"/>
        <w:rPr>
          <w:rFonts w:ascii="Times New Roman" w:hAnsi="Times New Roman" w:cs="Times New Roman"/>
          <w:color w:val="393939"/>
          <w:sz w:val="24"/>
        </w:rPr>
      </w:pPr>
      <w:r w:rsidRPr="009E5AB8">
        <w:rPr>
          <w:rFonts w:ascii="Times New Roman" w:hAnsi="Times New Roman" w:cs="Times New Roman"/>
          <w:color w:val="393939"/>
          <w:sz w:val="24"/>
        </w:rPr>
        <w:t>Procurement and distribution of the modern methods of Family Planning (contraceptives), STI tests and basic medical equipment.</w:t>
      </w:r>
    </w:p>
    <w:p w:rsidR="009E5AB8" w:rsidRPr="009E5AB8" w:rsidRDefault="009E5AB8" w:rsidP="009E5AB8">
      <w:pPr>
        <w:pStyle w:val="ListParagraph"/>
        <w:numPr>
          <w:ilvl w:val="0"/>
          <w:numId w:val="5"/>
        </w:numPr>
        <w:autoSpaceDE w:val="0"/>
        <w:autoSpaceDN w:val="0"/>
        <w:adjustRightInd w:val="0"/>
        <w:spacing w:after="0" w:line="240" w:lineRule="auto"/>
        <w:rPr>
          <w:rFonts w:ascii="Times New Roman" w:hAnsi="Times New Roman" w:cs="Times New Roman"/>
          <w:color w:val="393939"/>
          <w:sz w:val="24"/>
        </w:rPr>
      </w:pPr>
      <w:r w:rsidRPr="009E5AB8">
        <w:rPr>
          <w:rFonts w:ascii="Times New Roman" w:hAnsi="Times New Roman" w:cs="Times New Roman"/>
          <w:color w:val="393939"/>
          <w:sz w:val="24"/>
        </w:rPr>
        <w:lastRenderedPageBreak/>
        <w:t>Development, production and dissemination of Information Communication and Education (IEC) materials and TV ads/shows regarding RH/FP topics.</w:t>
      </w:r>
    </w:p>
    <w:p w:rsidR="009E5AB8" w:rsidRPr="009E5AB8" w:rsidRDefault="009E5AB8" w:rsidP="009E5AB8">
      <w:pPr>
        <w:pStyle w:val="ListParagraph"/>
        <w:numPr>
          <w:ilvl w:val="0"/>
          <w:numId w:val="5"/>
        </w:numPr>
        <w:autoSpaceDE w:val="0"/>
        <w:autoSpaceDN w:val="0"/>
        <w:adjustRightInd w:val="0"/>
        <w:spacing w:after="0" w:line="240" w:lineRule="auto"/>
        <w:rPr>
          <w:rFonts w:ascii="Times New Roman" w:hAnsi="Times New Roman" w:cs="Times New Roman"/>
          <w:color w:val="393939"/>
          <w:sz w:val="24"/>
        </w:rPr>
      </w:pPr>
      <w:r w:rsidRPr="009E5AB8">
        <w:rPr>
          <w:rFonts w:ascii="Times New Roman" w:hAnsi="Times New Roman" w:cs="Times New Roman"/>
          <w:color w:val="393939"/>
          <w:sz w:val="24"/>
        </w:rPr>
        <w:t>Confidence Building workshops are organized biannually to foster networking and direct people-to-people contacts among the leading RH professionals from Tbilisi and Sukhumi. Usually, these workshop(s) are followed by exchange of visits of professionals to get first-hand information and experience and share knowledge and practices.</w:t>
      </w:r>
    </w:p>
    <w:p w:rsidR="009E5AB8" w:rsidRDefault="009E5AB8" w:rsidP="009E5AB8">
      <w:pPr>
        <w:pStyle w:val="ListParagraph"/>
        <w:autoSpaceDE w:val="0"/>
        <w:autoSpaceDN w:val="0"/>
        <w:adjustRightInd w:val="0"/>
        <w:spacing w:after="0" w:line="240" w:lineRule="auto"/>
        <w:ind w:left="360"/>
        <w:rPr>
          <w:rFonts w:ascii="Times New Roman" w:hAnsi="Times New Roman" w:cs="Times New Roman"/>
          <w:color w:val="393939"/>
          <w:sz w:val="24"/>
        </w:rPr>
      </w:pPr>
    </w:p>
    <w:p w:rsidR="009E5AB8" w:rsidRPr="009E5AB8" w:rsidRDefault="009E5AB8" w:rsidP="009E5AB8">
      <w:pPr>
        <w:pStyle w:val="ListParagraph"/>
        <w:autoSpaceDE w:val="0"/>
        <w:autoSpaceDN w:val="0"/>
        <w:adjustRightInd w:val="0"/>
        <w:spacing w:after="0" w:line="240" w:lineRule="auto"/>
        <w:ind w:left="360"/>
        <w:rPr>
          <w:rFonts w:ascii="Times New Roman" w:hAnsi="Times New Roman" w:cs="Times New Roman"/>
          <w:color w:val="393939"/>
          <w:sz w:val="24"/>
        </w:rPr>
      </w:pPr>
      <w:r w:rsidRPr="009E5AB8">
        <w:rPr>
          <w:rFonts w:ascii="Times New Roman" w:hAnsi="Times New Roman" w:cs="Times New Roman"/>
          <w:color w:val="393939"/>
          <w:sz w:val="24"/>
        </w:rPr>
        <w:t>In overall, through UNFPA support over 5,000 women benefit each year from increased access to quality RH/FP services in Abkhazia, Georgia.</w:t>
      </w:r>
    </w:p>
    <w:p w:rsidR="000D3B6C" w:rsidRPr="000D3B6C" w:rsidRDefault="000D3B6C" w:rsidP="000D3B6C">
      <w:pPr>
        <w:ind w:left="360"/>
        <w:rPr>
          <w:rFonts w:ascii="Times New Roman" w:hAnsi="Times New Roman" w:cs="Times New Roman"/>
          <w:color w:val="393939"/>
          <w:sz w:val="24"/>
        </w:rPr>
      </w:pPr>
      <w:r>
        <w:rPr>
          <w:rFonts w:ascii="Times New Roman" w:hAnsi="Times New Roman" w:cs="Times New Roman"/>
          <w:color w:val="393939"/>
          <w:sz w:val="24"/>
        </w:rPr>
        <w:t xml:space="preserve"> </w:t>
      </w:r>
    </w:p>
    <w:p w:rsidR="0037324A" w:rsidRDefault="0037324A" w:rsidP="004B21B6">
      <w:pPr>
        <w:pStyle w:val="ListParagraph"/>
        <w:numPr>
          <w:ilvl w:val="0"/>
          <w:numId w:val="1"/>
        </w:numPr>
        <w:autoSpaceDE w:val="0"/>
        <w:autoSpaceDN w:val="0"/>
        <w:adjustRightInd w:val="0"/>
        <w:spacing w:after="0" w:line="240" w:lineRule="auto"/>
        <w:ind w:left="360"/>
        <w:rPr>
          <w:rFonts w:ascii="Times New Roman" w:hAnsi="Times New Roman" w:cs="Times New Roman"/>
          <w:color w:val="393939"/>
          <w:sz w:val="24"/>
        </w:rPr>
      </w:pPr>
      <w:r w:rsidRPr="004B21B6">
        <w:rPr>
          <w:rFonts w:ascii="Times New Roman" w:hAnsi="Times New Roman" w:cs="Times New Roman"/>
          <w:color w:val="393939"/>
          <w:sz w:val="24"/>
        </w:rPr>
        <w:t>Does your Government or organization regularly collect data on sexual and reproductive health in crisis settings? Please elaborate on good practices and challenges in this regards</w:t>
      </w:r>
    </w:p>
    <w:p w:rsidR="00E66994" w:rsidRDefault="00E66994" w:rsidP="00E66994">
      <w:pPr>
        <w:pStyle w:val="ListParagraph"/>
        <w:autoSpaceDE w:val="0"/>
        <w:autoSpaceDN w:val="0"/>
        <w:adjustRightInd w:val="0"/>
        <w:spacing w:after="0" w:line="240" w:lineRule="auto"/>
        <w:ind w:left="360"/>
        <w:rPr>
          <w:rFonts w:ascii="Times New Roman" w:hAnsi="Times New Roman" w:cs="Times New Roman"/>
          <w:color w:val="393939"/>
          <w:sz w:val="24"/>
        </w:rPr>
      </w:pPr>
    </w:p>
    <w:p w:rsidR="00E66994" w:rsidRPr="004B21B6" w:rsidRDefault="006725BF" w:rsidP="006725BF">
      <w:pPr>
        <w:pStyle w:val="ListParagraph"/>
        <w:autoSpaceDE w:val="0"/>
        <w:autoSpaceDN w:val="0"/>
        <w:adjustRightInd w:val="0"/>
        <w:spacing w:after="0" w:line="240" w:lineRule="auto"/>
        <w:ind w:left="360"/>
        <w:rPr>
          <w:rFonts w:ascii="Times New Roman" w:hAnsi="Times New Roman" w:cs="Times New Roman"/>
          <w:color w:val="393939"/>
          <w:sz w:val="24"/>
        </w:rPr>
      </w:pPr>
      <w:proofErr w:type="spellStart"/>
      <w:r w:rsidRPr="006725BF">
        <w:rPr>
          <w:rFonts w:ascii="Times New Roman" w:hAnsi="Times New Roman" w:cs="Times New Roman"/>
          <w:color w:val="393939"/>
          <w:sz w:val="24"/>
        </w:rPr>
        <w:t>MoLHSA</w:t>
      </w:r>
      <w:proofErr w:type="spellEnd"/>
      <w:r w:rsidRPr="006725BF">
        <w:rPr>
          <w:rFonts w:ascii="Times New Roman" w:hAnsi="Times New Roman" w:cs="Times New Roman"/>
          <w:color w:val="393939"/>
          <w:sz w:val="24"/>
        </w:rPr>
        <w:t xml:space="preserve"> regularly does not collect data on sexual and reproductive health in crisis.</w:t>
      </w:r>
      <w:r>
        <w:rPr>
          <w:rFonts w:ascii="Times New Roman" w:hAnsi="Times New Roman" w:cs="Times New Roman"/>
          <w:color w:val="393939"/>
          <w:sz w:val="24"/>
        </w:rPr>
        <w:t xml:space="preserve"> </w:t>
      </w:r>
      <w:r w:rsidR="009F5EBD">
        <w:rPr>
          <w:rFonts w:ascii="Times New Roman" w:hAnsi="Times New Roman" w:cs="Times New Roman"/>
          <w:color w:val="393939"/>
          <w:sz w:val="24"/>
        </w:rPr>
        <w:t xml:space="preserve">As a mentioned above, </w:t>
      </w:r>
      <w:r w:rsidR="00E36AF1" w:rsidRPr="00E36AF1">
        <w:rPr>
          <w:rFonts w:ascii="Times New Roman" w:hAnsi="Times New Roman" w:cs="Times New Roman"/>
          <w:color w:val="393939"/>
          <w:sz w:val="24"/>
        </w:rPr>
        <w:t xml:space="preserve">Minimum Initial Service Package </w:t>
      </w:r>
      <w:r w:rsidR="00E36AF1">
        <w:rPr>
          <w:rFonts w:ascii="Times New Roman" w:hAnsi="Times New Roman" w:cs="Times New Roman"/>
          <w:color w:val="393939"/>
          <w:sz w:val="24"/>
        </w:rPr>
        <w:t>(</w:t>
      </w:r>
      <w:r w:rsidR="009F5EBD" w:rsidRPr="00E36AF1">
        <w:rPr>
          <w:rFonts w:ascii="Times New Roman" w:hAnsi="Times New Roman" w:cs="Times New Roman"/>
          <w:color w:val="393939"/>
          <w:sz w:val="24"/>
        </w:rPr>
        <w:t>MISP</w:t>
      </w:r>
      <w:r w:rsidR="00E36AF1" w:rsidRPr="00E36AF1">
        <w:rPr>
          <w:rFonts w:ascii="Times New Roman" w:hAnsi="Times New Roman" w:cs="Times New Roman"/>
          <w:color w:val="393939"/>
          <w:sz w:val="24"/>
        </w:rPr>
        <w:t>)</w:t>
      </w:r>
      <w:r w:rsidR="009F5EBD">
        <w:rPr>
          <w:rFonts w:ascii="Times New Roman" w:hAnsi="Times New Roman" w:cs="Times New Roman"/>
          <w:color w:val="393939"/>
          <w:sz w:val="24"/>
        </w:rPr>
        <w:t xml:space="preserve"> </w:t>
      </w:r>
      <w:r w:rsidR="00E36AF1">
        <w:rPr>
          <w:rFonts w:ascii="Times New Roman" w:hAnsi="Times New Roman" w:cs="Times New Roman"/>
          <w:color w:val="393939"/>
          <w:sz w:val="24"/>
        </w:rPr>
        <w:t>is elaborate, which include accountability mechanisms.</w:t>
      </w:r>
    </w:p>
    <w:sectPr w:rsidR="00E66994" w:rsidRPr="004B21B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1E3" w:rsidRDefault="00EC61E3" w:rsidP="009E5AB8">
      <w:pPr>
        <w:spacing w:after="0" w:line="240" w:lineRule="auto"/>
      </w:pPr>
      <w:r>
        <w:separator/>
      </w:r>
    </w:p>
  </w:endnote>
  <w:endnote w:type="continuationSeparator" w:id="0">
    <w:p w:rsidR="00EC61E3" w:rsidRDefault="00EC61E3" w:rsidP="009E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1E3" w:rsidRDefault="00EC61E3" w:rsidP="009E5AB8">
      <w:pPr>
        <w:spacing w:after="0" w:line="240" w:lineRule="auto"/>
      </w:pPr>
      <w:r>
        <w:separator/>
      </w:r>
    </w:p>
  </w:footnote>
  <w:footnote w:type="continuationSeparator" w:id="0">
    <w:p w:rsidR="00EC61E3" w:rsidRDefault="00EC61E3" w:rsidP="009E5AB8">
      <w:pPr>
        <w:spacing w:after="0" w:line="240" w:lineRule="auto"/>
      </w:pPr>
      <w:r>
        <w:continuationSeparator/>
      </w:r>
    </w:p>
  </w:footnote>
  <w:footnote w:id="1">
    <w:p w:rsidR="00741DD6" w:rsidRPr="0059746A" w:rsidRDefault="00741DD6" w:rsidP="00741DD6">
      <w:pPr>
        <w:pStyle w:val="Quote"/>
        <w:rPr>
          <w:lang w:val="en-GB"/>
        </w:rPr>
      </w:pPr>
      <w:r>
        <w:rPr>
          <w:rStyle w:val="FootnoteReference"/>
        </w:rPr>
        <w:footnoteRef/>
      </w:r>
      <w:r>
        <w:t xml:space="preserve"> </w:t>
      </w:r>
      <w:r w:rsidRPr="0059746A">
        <w:rPr>
          <w:lang w:val="en-GB"/>
        </w:rPr>
        <w:t xml:space="preserve">Thaddeus S, Maine D. Too far to walk: maternal mortality in context. </w:t>
      </w:r>
      <w:proofErr w:type="spellStart"/>
      <w:r w:rsidRPr="0059746A">
        <w:rPr>
          <w:lang w:val="en-GB"/>
        </w:rPr>
        <w:t>Soc</w:t>
      </w:r>
      <w:proofErr w:type="spellEnd"/>
      <w:r w:rsidRPr="0059746A">
        <w:rPr>
          <w:lang w:val="en-GB"/>
        </w:rPr>
        <w:t xml:space="preserve"> </w:t>
      </w:r>
      <w:proofErr w:type="spellStart"/>
      <w:r w:rsidRPr="0059746A">
        <w:rPr>
          <w:lang w:val="en-GB"/>
        </w:rPr>
        <w:t>Sci</w:t>
      </w:r>
      <w:proofErr w:type="spellEnd"/>
      <w:r w:rsidRPr="0059746A">
        <w:rPr>
          <w:lang w:val="en-GB"/>
        </w:rPr>
        <w:t xml:space="preserve"> Med 1994; 38: 1091-1110</w:t>
      </w:r>
    </w:p>
  </w:footnote>
  <w:footnote w:id="2">
    <w:p w:rsidR="009E5AB8" w:rsidRPr="00C45C92" w:rsidRDefault="009E5AB8" w:rsidP="009E5AB8">
      <w:pPr>
        <w:pStyle w:val="FootnoteText"/>
        <w:spacing w:before="40" w:after="40"/>
        <w:rPr>
          <w:rFonts w:ascii="Times New Roman" w:hAnsi="Times New Roman" w:cs="Times New Roman"/>
          <w:sz w:val="18"/>
          <w:szCs w:val="18"/>
          <w:lang w:val="en-GB"/>
        </w:rPr>
      </w:pPr>
      <w:r w:rsidRPr="00DD0192">
        <w:rPr>
          <w:rStyle w:val="FootnoteReference"/>
          <w:rFonts w:ascii="Times New Roman" w:hAnsi="Times New Roman"/>
          <w:sz w:val="18"/>
          <w:szCs w:val="18"/>
        </w:rPr>
        <w:footnoteRef/>
      </w:r>
      <w:r w:rsidRPr="00DD0192">
        <w:rPr>
          <w:rFonts w:ascii="Times New Roman" w:hAnsi="Times New Roman" w:cs="Times New Roman"/>
          <w:sz w:val="18"/>
          <w:szCs w:val="18"/>
          <w:lang w:val="en-GB"/>
        </w:rPr>
        <w:t xml:space="preserve"> </w:t>
      </w:r>
      <w:r w:rsidRPr="00C45C92">
        <w:rPr>
          <w:rFonts w:ascii="Times New Roman" w:hAnsi="Times New Roman" w:cs="Times New Roman"/>
          <w:sz w:val="18"/>
          <w:szCs w:val="18"/>
          <w:lang w:val="en-US"/>
        </w:rPr>
        <w:t>According to the de facto authorities total population in Abkhazia, Georgia is approximately 240,000 (2011 Census).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800"/>
    <w:multiLevelType w:val="hybridMultilevel"/>
    <w:tmpl w:val="55FE48DC"/>
    <w:lvl w:ilvl="0" w:tplc="28D02F28">
      <w:start w:val="1"/>
      <w:numFmt w:val="decimal"/>
      <w:lvlText w:val="%1."/>
      <w:lvlJc w:val="left"/>
      <w:pPr>
        <w:ind w:left="720" w:hanging="360"/>
      </w:pPr>
      <w:rPr>
        <w:rFonts w:ascii="Times New Roman" w:hAnsi="Times New Roman" w:cs="Times New Roman" w:hint="default"/>
        <w:color w:val="262626"/>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3220C"/>
    <w:multiLevelType w:val="hybridMultilevel"/>
    <w:tmpl w:val="A5764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132ABD"/>
    <w:multiLevelType w:val="hybridMultilevel"/>
    <w:tmpl w:val="BDEEF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4A"/>
    <w:rsid w:val="000A5704"/>
    <w:rsid w:val="000D3B6C"/>
    <w:rsid w:val="0012119E"/>
    <w:rsid w:val="001D5683"/>
    <w:rsid w:val="0027392C"/>
    <w:rsid w:val="00302550"/>
    <w:rsid w:val="0037324A"/>
    <w:rsid w:val="004B21B6"/>
    <w:rsid w:val="005B33CA"/>
    <w:rsid w:val="006725BF"/>
    <w:rsid w:val="006D6661"/>
    <w:rsid w:val="00741DD6"/>
    <w:rsid w:val="009E5AB8"/>
    <w:rsid w:val="009F5EBD"/>
    <w:rsid w:val="00E066DE"/>
    <w:rsid w:val="00E36AF1"/>
    <w:rsid w:val="00E523B6"/>
    <w:rsid w:val="00E66994"/>
    <w:rsid w:val="00EC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37324A"/>
    <w:pPr>
      <w:ind w:left="720"/>
      <w:contextualSpacing/>
    </w:p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4B21B6"/>
  </w:style>
  <w:style w:type="paragraph" w:styleId="NormalWeb">
    <w:name w:val="Normal (Web)"/>
    <w:basedOn w:val="Normal"/>
    <w:uiPriority w:val="99"/>
    <w:unhideWhenUsed/>
    <w:rsid w:val="006D6661"/>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D3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6C"/>
    <w:rPr>
      <w:rFonts w:ascii="Tahoma" w:hAnsi="Tahoma" w:cs="Tahoma"/>
      <w:sz w:val="16"/>
      <w:szCs w:val="16"/>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
    <w:basedOn w:val="Normal"/>
    <w:link w:val="FootnoteTextChar"/>
    <w:uiPriority w:val="99"/>
    <w:unhideWhenUsed/>
    <w:rsid w:val="009E5AB8"/>
    <w:pPr>
      <w:spacing w:before="120" w:after="120" w:line="240" w:lineRule="auto"/>
      <w:jc w:val="both"/>
    </w:pPr>
    <w:rPr>
      <w:rFonts w:ascii="Calibri" w:eastAsia="Calibri" w:hAnsi="Calibri"/>
      <w:lang w:val="ru-RU" w:eastAsia="x-none"/>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9E5AB8"/>
    <w:rPr>
      <w:rFonts w:ascii="Calibri" w:eastAsia="Calibri" w:hAnsi="Calibri"/>
      <w:lang w:val="ru-RU" w:eastAsia="x-none"/>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uiPriority w:val="99"/>
    <w:rsid w:val="009E5AB8"/>
    <w:rPr>
      <w:rFonts w:cs="Times New Roman"/>
      <w:vertAlign w:val="superscript"/>
    </w:rPr>
  </w:style>
  <w:style w:type="paragraph" w:styleId="Quote">
    <w:name w:val="Quote"/>
    <w:basedOn w:val="Normal"/>
    <w:next w:val="Normal"/>
    <w:link w:val="QuoteChar"/>
    <w:uiPriority w:val="29"/>
    <w:qFormat/>
    <w:rsid w:val="00741DD6"/>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741DD6"/>
    <w:rPr>
      <w:rFonts w:ascii="Times New Roman" w:hAnsi="Times New Roman"/>
      <w:i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37324A"/>
    <w:pPr>
      <w:ind w:left="720"/>
      <w:contextualSpacing/>
    </w:p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4B21B6"/>
  </w:style>
  <w:style w:type="paragraph" w:styleId="NormalWeb">
    <w:name w:val="Normal (Web)"/>
    <w:basedOn w:val="Normal"/>
    <w:uiPriority w:val="99"/>
    <w:unhideWhenUsed/>
    <w:rsid w:val="006D6661"/>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D3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6C"/>
    <w:rPr>
      <w:rFonts w:ascii="Tahoma" w:hAnsi="Tahoma" w:cs="Tahoma"/>
      <w:sz w:val="16"/>
      <w:szCs w:val="16"/>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
    <w:basedOn w:val="Normal"/>
    <w:link w:val="FootnoteTextChar"/>
    <w:uiPriority w:val="99"/>
    <w:unhideWhenUsed/>
    <w:rsid w:val="009E5AB8"/>
    <w:pPr>
      <w:spacing w:before="120" w:after="120" w:line="240" w:lineRule="auto"/>
      <w:jc w:val="both"/>
    </w:pPr>
    <w:rPr>
      <w:rFonts w:ascii="Calibri" w:eastAsia="Calibri" w:hAnsi="Calibri"/>
      <w:lang w:val="ru-RU" w:eastAsia="x-none"/>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9E5AB8"/>
    <w:rPr>
      <w:rFonts w:ascii="Calibri" w:eastAsia="Calibri" w:hAnsi="Calibri"/>
      <w:lang w:val="ru-RU" w:eastAsia="x-none"/>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uiPriority w:val="99"/>
    <w:rsid w:val="009E5AB8"/>
    <w:rPr>
      <w:rFonts w:cs="Times New Roman"/>
      <w:vertAlign w:val="superscript"/>
    </w:rPr>
  </w:style>
  <w:style w:type="paragraph" w:styleId="Quote">
    <w:name w:val="Quote"/>
    <w:basedOn w:val="Normal"/>
    <w:next w:val="Normal"/>
    <w:link w:val="QuoteChar"/>
    <w:uiPriority w:val="29"/>
    <w:qFormat/>
    <w:rsid w:val="00741DD6"/>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741DD6"/>
    <w:rPr>
      <w:rFonts w:ascii="Times New Roman" w:hAnsi="Times New Roman"/>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20650">
      <w:bodyDiv w:val="1"/>
      <w:marLeft w:val="0"/>
      <w:marRight w:val="0"/>
      <w:marTop w:val="0"/>
      <w:marBottom w:val="0"/>
      <w:divBdr>
        <w:top w:val="none" w:sz="0" w:space="0" w:color="auto"/>
        <w:left w:val="none" w:sz="0" w:space="0" w:color="auto"/>
        <w:bottom w:val="none" w:sz="0" w:space="0" w:color="auto"/>
        <w:right w:val="none" w:sz="0" w:space="0" w:color="auto"/>
      </w:divBdr>
    </w:div>
    <w:div w:id="106630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12</cp:revision>
  <dcterms:created xsi:type="dcterms:W3CDTF">2018-01-23T12:43:00Z</dcterms:created>
  <dcterms:modified xsi:type="dcterms:W3CDTF">2018-01-26T10:37:00Z</dcterms:modified>
</cp:coreProperties>
</file>