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4F793" w14:textId="77777777" w:rsidR="00981CE4" w:rsidRPr="008D397B" w:rsidRDefault="00981CE4" w:rsidP="00C84DCB">
      <w:pPr>
        <w:autoSpaceDE w:val="0"/>
        <w:autoSpaceDN w:val="0"/>
        <w:adjustRightInd w:val="0"/>
        <w:spacing w:after="0" w:line="276" w:lineRule="auto"/>
        <w:jc w:val="center"/>
        <w:rPr>
          <w:rFonts w:asciiTheme="minorHAnsi" w:hAnsiTheme="minorHAnsi" w:cstheme="minorHAnsi"/>
          <w:b/>
          <w:sz w:val="24"/>
        </w:rPr>
      </w:pPr>
      <w:r w:rsidRPr="008D397B">
        <w:rPr>
          <w:rFonts w:asciiTheme="minorHAnsi" w:hAnsiTheme="minorHAnsi" w:cstheme="minorHAnsi"/>
          <w:b/>
          <w:sz w:val="24"/>
        </w:rPr>
        <w:t>Implementation of the roadmap to implement the 2030 Agenda for Sustainable Development</w:t>
      </w:r>
    </w:p>
    <w:p w14:paraId="3EDB8CCC" w14:textId="0BB78569" w:rsidR="00691307" w:rsidRPr="008D397B" w:rsidRDefault="00691307" w:rsidP="00C84DCB">
      <w:pPr>
        <w:autoSpaceDE w:val="0"/>
        <w:autoSpaceDN w:val="0"/>
        <w:adjustRightInd w:val="0"/>
        <w:spacing w:after="0" w:line="276" w:lineRule="auto"/>
        <w:jc w:val="center"/>
        <w:rPr>
          <w:rFonts w:asciiTheme="minorHAnsi" w:hAnsiTheme="minorHAnsi" w:cstheme="minorHAnsi"/>
          <w:b/>
          <w:sz w:val="24"/>
        </w:rPr>
      </w:pPr>
      <w:r w:rsidRPr="008D397B">
        <w:rPr>
          <w:rFonts w:asciiTheme="minorHAnsi" w:hAnsiTheme="minorHAnsi" w:cstheme="minorHAnsi"/>
          <w:b/>
          <w:sz w:val="24"/>
        </w:rPr>
        <w:t>Tuesday,</w:t>
      </w:r>
      <w:r w:rsidR="009F2762" w:rsidRPr="008D397B">
        <w:rPr>
          <w:rFonts w:asciiTheme="minorHAnsi" w:hAnsiTheme="minorHAnsi" w:cstheme="minorHAnsi"/>
          <w:b/>
          <w:sz w:val="24"/>
        </w:rPr>
        <w:t xml:space="preserve"> 18 September 2018, 9:00-11:00</w:t>
      </w:r>
    </w:p>
    <w:p w14:paraId="1A85B635" w14:textId="77777777" w:rsidR="009F2762" w:rsidRPr="008D397B" w:rsidRDefault="009F2762" w:rsidP="00C84DCB">
      <w:pPr>
        <w:autoSpaceDE w:val="0"/>
        <w:autoSpaceDN w:val="0"/>
        <w:adjustRightInd w:val="0"/>
        <w:spacing w:after="0" w:line="276" w:lineRule="auto"/>
        <w:jc w:val="center"/>
        <w:rPr>
          <w:rFonts w:asciiTheme="minorHAnsi" w:hAnsiTheme="minorHAnsi" w:cstheme="minorHAnsi"/>
          <w:b/>
          <w:sz w:val="24"/>
        </w:rPr>
      </w:pPr>
    </w:p>
    <w:p w14:paraId="1699AA67" w14:textId="77777777" w:rsidR="00981CE4" w:rsidRPr="008D397B" w:rsidRDefault="00981CE4" w:rsidP="00C84DCB">
      <w:pPr>
        <w:autoSpaceDE w:val="0"/>
        <w:autoSpaceDN w:val="0"/>
        <w:adjustRightInd w:val="0"/>
        <w:spacing w:after="0" w:line="276" w:lineRule="auto"/>
        <w:jc w:val="center"/>
        <w:rPr>
          <w:rFonts w:asciiTheme="minorHAnsi" w:hAnsiTheme="minorHAnsi" w:cstheme="minorHAnsi"/>
          <w:b/>
          <w:sz w:val="24"/>
        </w:rPr>
      </w:pPr>
      <w:r w:rsidRPr="008D397B">
        <w:rPr>
          <w:rFonts w:asciiTheme="minorHAnsi" w:hAnsiTheme="minorHAnsi" w:cstheme="minorHAnsi"/>
          <w:b/>
          <w:sz w:val="24"/>
        </w:rPr>
        <w:t>Dr. David Sergeenko, Minister of Internally Displaced Persons from the Occupied Territories, Labour, Health and Social Affairs of Georgia</w:t>
      </w:r>
    </w:p>
    <w:p w14:paraId="4B1190A2" w14:textId="77777777" w:rsidR="00C84DCB" w:rsidRDefault="00C84DCB" w:rsidP="001B3CBA">
      <w:pPr>
        <w:spacing w:after="0" w:line="240" w:lineRule="auto"/>
        <w:ind w:right="-475"/>
        <w:jc w:val="center"/>
        <w:rPr>
          <w:rFonts w:ascii="Arial" w:hAnsi="Arial" w:cs="Arial"/>
          <w:b/>
          <w:sz w:val="24"/>
        </w:rPr>
      </w:pPr>
    </w:p>
    <w:p w14:paraId="5136C281" w14:textId="79AB7393" w:rsidR="00C84DCB" w:rsidRPr="00184410" w:rsidRDefault="00C84DCB" w:rsidP="00351E3C">
      <w:pPr>
        <w:jc w:val="both"/>
        <w:rPr>
          <w:rFonts w:ascii="Sylfaen" w:hAnsi="Sylfaen" w:cs="Sylfaen"/>
          <w:sz w:val="24"/>
          <w:szCs w:val="24"/>
        </w:rPr>
      </w:pPr>
      <w:r w:rsidRPr="00184410">
        <w:rPr>
          <w:rFonts w:ascii="Sylfaen" w:hAnsi="Sylfaen" w:cs="Sylfaen"/>
          <w:sz w:val="24"/>
          <w:szCs w:val="24"/>
        </w:rPr>
        <w:t>On 25 September 2015 the United Nations General Assembly adopted Document “Transforming our world: the 2030 Agenda for Sustainable Development”.  Health is an essential component and driver of the SDGs, which reflect the complexity, as well as the multidimensional and multisectoral nature, of health and its determinants.</w:t>
      </w:r>
    </w:p>
    <w:p w14:paraId="7CF515A2" w14:textId="6CC33291" w:rsidR="000C1891" w:rsidRPr="00184410" w:rsidRDefault="00C84DCB" w:rsidP="000C1891">
      <w:pPr>
        <w:jc w:val="both"/>
        <w:rPr>
          <w:rFonts w:ascii="Sylfaen" w:hAnsi="Sylfaen" w:cs="Sylfaen"/>
          <w:sz w:val="24"/>
          <w:szCs w:val="24"/>
        </w:rPr>
      </w:pPr>
      <w:r w:rsidRPr="00184410">
        <w:rPr>
          <w:rFonts w:ascii="Sylfaen" w:hAnsi="Sylfaen" w:cs="Sylfaen"/>
          <w:sz w:val="24"/>
          <w:szCs w:val="24"/>
        </w:rPr>
        <w:t>Georgia has already reported voluntarily to the United Nations High-level Political Forum on their implementation of Agenda 2030. All 17 SDGs have been declared a priority, and the goals and targets are integrated in the Government of Georgia (</w:t>
      </w:r>
      <w:proofErr w:type="spellStart"/>
      <w:r w:rsidRPr="00184410">
        <w:rPr>
          <w:rFonts w:ascii="Sylfaen" w:hAnsi="Sylfaen" w:cs="Sylfaen"/>
          <w:sz w:val="24"/>
          <w:szCs w:val="24"/>
        </w:rPr>
        <w:t>GoG</w:t>
      </w:r>
      <w:proofErr w:type="spellEnd"/>
      <w:r w:rsidRPr="00184410">
        <w:rPr>
          <w:rFonts w:ascii="Sylfaen" w:hAnsi="Sylfaen" w:cs="Sylfaen"/>
          <w:sz w:val="24"/>
          <w:szCs w:val="24"/>
        </w:rPr>
        <w:t xml:space="preserve">) Annual Action Plan. </w:t>
      </w:r>
      <w:r w:rsidR="00351E3C" w:rsidRPr="00184410">
        <w:rPr>
          <w:rFonts w:ascii="Sylfaen" w:hAnsi="Sylfaen" w:cs="Sylfaen"/>
          <w:sz w:val="24"/>
          <w:szCs w:val="24"/>
        </w:rPr>
        <w:t>In 2017 an SDG Council, has been created, and is in charge of coordination of nationalization of goals, as well as for monitoring their implementation.</w:t>
      </w:r>
      <w:r w:rsidR="000C1891" w:rsidRPr="00184410">
        <w:rPr>
          <w:rFonts w:ascii="Sylfaen" w:hAnsi="Sylfaen" w:cs="Sylfaen"/>
          <w:sz w:val="24"/>
          <w:szCs w:val="24"/>
        </w:rPr>
        <w:t xml:space="preserve"> Health is an essential component and driver of the SDGs, which reflect the complexity, as well as the multidimensional and multisectoral nature, of health and its determinants. </w:t>
      </w:r>
    </w:p>
    <w:p w14:paraId="443D4C77" w14:textId="21D444FC" w:rsidR="000C1891" w:rsidRPr="00184410" w:rsidRDefault="000C1891" w:rsidP="000C1891">
      <w:pPr>
        <w:jc w:val="both"/>
        <w:rPr>
          <w:rFonts w:ascii="Sylfaen" w:hAnsi="Sylfaen" w:cs="Sylfaen"/>
          <w:sz w:val="24"/>
          <w:szCs w:val="24"/>
        </w:rPr>
      </w:pPr>
      <w:r w:rsidRPr="00184410">
        <w:rPr>
          <w:rFonts w:ascii="Sylfaen" w:hAnsi="Sylfaen" w:cs="Sylfaen"/>
          <w:sz w:val="24"/>
          <w:szCs w:val="24"/>
        </w:rPr>
        <w:t>Health is one of the key priorities for the government of Georgia and are fully aligned with the SDG Goals as well as with the WHO’s 13th General Program of Work. To achieve the health-related SDGs by quickly expanding whole-of-government approaches, improving health governance and moving toward universal health coverage (UHC) the national SDGs targets, have been defined for Georgia.</w:t>
      </w:r>
    </w:p>
    <w:p w14:paraId="364A076D" w14:textId="77777777" w:rsidR="000C1891" w:rsidRPr="00184410" w:rsidRDefault="000C1891" w:rsidP="000C1891">
      <w:pPr>
        <w:jc w:val="both"/>
        <w:rPr>
          <w:rFonts w:ascii="Sylfaen" w:hAnsi="Sylfaen" w:cs="Sylfaen"/>
          <w:sz w:val="24"/>
          <w:szCs w:val="24"/>
        </w:rPr>
      </w:pPr>
      <w:r w:rsidRPr="00184410">
        <w:rPr>
          <w:rFonts w:ascii="Sylfaen" w:hAnsi="Sylfaen" w:cs="Sylfaen"/>
          <w:sz w:val="24"/>
          <w:szCs w:val="24"/>
        </w:rPr>
        <w:t xml:space="preserve">There are already recent successes in advancing the SDG related health targets: </w:t>
      </w:r>
    </w:p>
    <w:p w14:paraId="7AECFB67" w14:textId="59B31633" w:rsidR="00636AE2" w:rsidRPr="00184410" w:rsidRDefault="00636AE2" w:rsidP="00636AE2">
      <w:pPr>
        <w:jc w:val="both"/>
        <w:rPr>
          <w:rFonts w:ascii="Sylfaen" w:hAnsi="Sylfaen" w:cs="Sylfaen"/>
          <w:sz w:val="24"/>
          <w:szCs w:val="24"/>
        </w:rPr>
      </w:pPr>
      <w:r w:rsidRPr="00184410">
        <w:rPr>
          <w:rFonts w:ascii="Sylfaen" w:hAnsi="Sylfaen" w:cs="Sylfaen"/>
          <w:sz w:val="24"/>
          <w:szCs w:val="24"/>
        </w:rPr>
        <w:t xml:space="preserve">Universal health coverage - is the best way to achieve the health related SDGs and is an important way to expand access to effective health-care services, reduce financial hardship during illness, and improve health outcomes. As </w:t>
      </w:r>
      <w:proofErr w:type="spellStart"/>
      <w:r w:rsidRPr="00184410">
        <w:rPr>
          <w:rFonts w:ascii="Sylfaen" w:hAnsi="Sylfaen" w:cs="Sylfaen"/>
          <w:sz w:val="24"/>
          <w:szCs w:val="24"/>
        </w:rPr>
        <w:t>Dr</w:t>
      </w:r>
      <w:proofErr w:type="spellEnd"/>
      <w:r w:rsidRPr="00184410">
        <w:rPr>
          <w:rFonts w:ascii="Sylfaen" w:hAnsi="Sylfaen" w:cs="Sylfaen"/>
          <w:sz w:val="24"/>
          <w:szCs w:val="24"/>
        </w:rPr>
        <w:t xml:space="preserve"> </w:t>
      </w:r>
      <w:proofErr w:type="spellStart"/>
      <w:r w:rsidRPr="00184410">
        <w:rPr>
          <w:rFonts w:ascii="Sylfaen" w:hAnsi="Sylfaen" w:cs="Sylfaen"/>
          <w:sz w:val="24"/>
          <w:szCs w:val="24"/>
        </w:rPr>
        <w:t>Tedros</w:t>
      </w:r>
      <w:proofErr w:type="spellEnd"/>
      <w:r w:rsidRPr="00184410">
        <w:rPr>
          <w:rFonts w:ascii="Sylfaen" w:hAnsi="Sylfaen" w:cs="Sylfaen"/>
          <w:sz w:val="24"/>
          <w:szCs w:val="24"/>
        </w:rPr>
        <w:t xml:space="preserve"> </w:t>
      </w:r>
      <w:proofErr w:type="spellStart"/>
      <w:r w:rsidRPr="00184410">
        <w:rPr>
          <w:rFonts w:ascii="Sylfaen" w:hAnsi="Sylfaen" w:cs="Sylfaen"/>
          <w:sz w:val="24"/>
          <w:szCs w:val="24"/>
        </w:rPr>
        <w:t>Adhanom</w:t>
      </w:r>
      <w:proofErr w:type="spellEnd"/>
      <w:r w:rsidRPr="00184410">
        <w:rPr>
          <w:rFonts w:ascii="Sylfaen" w:hAnsi="Sylfaen" w:cs="Sylfaen"/>
          <w:sz w:val="24"/>
          <w:szCs w:val="24"/>
        </w:rPr>
        <w:t xml:space="preserve"> </w:t>
      </w:r>
      <w:proofErr w:type="spellStart"/>
      <w:r w:rsidRPr="00184410">
        <w:rPr>
          <w:rFonts w:ascii="Sylfaen" w:hAnsi="Sylfaen" w:cs="Sylfaen"/>
          <w:sz w:val="24"/>
          <w:szCs w:val="24"/>
        </w:rPr>
        <w:t>Ghebreyesus</w:t>
      </w:r>
      <w:proofErr w:type="spellEnd"/>
      <w:r w:rsidRPr="00184410">
        <w:rPr>
          <w:rFonts w:ascii="Sylfaen" w:hAnsi="Sylfaen" w:cs="Sylfaen"/>
          <w:sz w:val="24"/>
          <w:szCs w:val="24"/>
        </w:rPr>
        <w:t xml:space="preserve"> says “Our top priority must be to support national health authorities’ efforts to strengthen all the building blocks of health systems and to enact policies aimed at ensuring health care is equitable and affordable for all”.</w:t>
      </w:r>
    </w:p>
    <w:p w14:paraId="6D07F7D9" w14:textId="1BB98FB2" w:rsidR="00636AE2" w:rsidRPr="00184410" w:rsidRDefault="00636AE2" w:rsidP="00636AE2">
      <w:pPr>
        <w:jc w:val="both"/>
        <w:rPr>
          <w:rFonts w:ascii="Sylfaen" w:hAnsi="Sylfaen" w:cs="Sylfaen"/>
          <w:sz w:val="24"/>
          <w:szCs w:val="24"/>
        </w:rPr>
      </w:pPr>
      <w:r w:rsidRPr="00184410">
        <w:rPr>
          <w:rFonts w:ascii="Sylfaen" w:hAnsi="Sylfaen" w:cs="Sylfaen"/>
          <w:sz w:val="24"/>
          <w:szCs w:val="24"/>
        </w:rPr>
        <w:t>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w:t>
      </w:r>
      <w:r w:rsidR="001929E8" w:rsidRPr="00184410">
        <w:rPr>
          <w:rFonts w:ascii="Sylfaen" w:hAnsi="Sylfaen" w:cs="Sylfaen"/>
          <w:sz w:val="24"/>
          <w:szCs w:val="24"/>
        </w:rPr>
        <w:t xml:space="preserve"> </w:t>
      </w:r>
      <w:r w:rsidR="001929E8" w:rsidRPr="00890CB7">
        <w:rPr>
          <w:rFonts w:ascii="Sylfaen" w:hAnsi="Sylfaen" w:cs="Sylfaen"/>
          <w:sz w:val="24"/>
          <w:szCs w:val="24"/>
        </w:rPr>
        <w:t>If until 2013, visits to the outpatient-hospital did not exceed 2 visits per person annually, in 201</w:t>
      </w:r>
      <w:r w:rsidR="001929E8" w:rsidRPr="00184410">
        <w:rPr>
          <w:rFonts w:ascii="Sylfaen" w:hAnsi="Sylfaen" w:cs="Sylfaen"/>
          <w:sz w:val="24"/>
          <w:szCs w:val="24"/>
        </w:rPr>
        <w:t>7</w:t>
      </w:r>
      <w:r w:rsidR="001929E8" w:rsidRPr="00890CB7">
        <w:rPr>
          <w:rFonts w:ascii="Sylfaen" w:hAnsi="Sylfaen" w:cs="Sylfaen"/>
          <w:sz w:val="24"/>
          <w:szCs w:val="24"/>
        </w:rPr>
        <w:t xml:space="preserve"> </w:t>
      </w:r>
      <w:r w:rsidR="001929E8">
        <w:rPr>
          <w:rFonts w:ascii="Sylfaen" w:hAnsi="Sylfaen" w:cs="Sylfaen"/>
          <w:sz w:val="24"/>
          <w:szCs w:val="24"/>
        </w:rPr>
        <w:t>it was</w:t>
      </w:r>
      <w:r w:rsidR="001929E8" w:rsidRPr="00890CB7">
        <w:rPr>
          <w:rFonts w:ascii="Sylfaen" w:hAnsi="Sylfaen" w:cs="Sylfaen"/>
          <w:sz w:val="24"/>
          <w:szCs w:val="24"/>
        </w:rPr>
        <w:t xml:space="preserve"> 4 and exceeded the level recommended by the World Bank for developing countries. The hospitalization rate per 100 inhabitants </w:t>
      </w:r>
      <w:r w:rsidR="001929E8">
        <w:rPr>
          <w:rFonts w:ascii="Sylfaen" w:hAnsi="Sylfaen" w:cs="Sylfaen"/>
          <w:sz w:val="24"/>
          <w:szCs w:val="24"/>
        </w:rPr>
        <w:t xml:space="preserve">increased to 11.3 (2012) to 14.0 </w:t>
      </w:r>
      <w:r w:rsidR="001929E8" w:rsidRPr="00890CB7">
        <w:rPr>
          <w:rFonts w:ascii="Sylfaen" w:hAnsi="Sylfaen" w:cs="Sylfaen"/>
          <w:sz w:val="24"/>
          <w:szCs w:val="24"/>
        </w:rPr>
        <w:t>(201</w:t>
      </w:r>
      <w:r w:rsidR="001929E8">
        <w:rPr>
          <w:rFonts w:ascii="Sylfaen" w:hAnsi="Sylfaen" w:cs="Sylfaen"/>
          <w:sz w:val="24"/>
          <w:szCs w:val="24"/>
        </w:rPr>
        <w:t>7</w:t>
      </w:r>
      <w:r w:rsidR="001929E8" w:rsidRPr="00890CB7">
        <w:rPr>
          <w:rFonts w:ascii="Sylfaen" w:hAnsi="Sylfaen" w:cs="Sylfaen"/>
          <w:sz w:val="24"/>
          <w:szCs w:val="24"/>
        </w:rPr>
        <w:t>).</w:t>
      </w:r>
      <w:r w:rsidRPr="00184410">
        <w:rPr>
          <w:rFonts w:ascii="Sylfaen" w:hAnsi="Sylfaen" w:cs="Sylfaen"/>
          <w:sz w:val="24"/>
          <w:szCs w:val="24"/>
        </w:rPr>
        <w:t xml:space="preserve"> Out of pocket expenses on health and likelihood of impoverishment due to out-of-pocket payments have reduced by 25%, and satisfaction of the population. </w:t>
      </w:r>
    </w:p>
    <w:p w14:paraId="634803CD" w14:textId="77777777" w:rsidR="00636AE2" w:rsidRPr="00184410" w:rsidRDefault="00636AE2" w:rsidP="00636AE2">
      <w:pPr>
        <w:jc w:val="both"/>
        <w:rPr>
          <w:rFonts w:ascii="Sylfaen" w:hAnsi="Sylfaen" w:cs="Sylfaen"/>
          <w:sz w:val="24"/>
          <w:szCs w:val="24"/>
        </w:rPr>
      </w:pPr>
      <w:r w:rsidRPr="00184410">
        <w:rPr>
          <w:rFonts w:ascii="Sylfaen" w:hAnsi="Sylfaen" w:cs="Sylfaen"/>
          <w:sz w:val="24"/>
          <w:szCs w:val="24"/>
        </w:rPr>
        <w:lastRenderedPageBreak/>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14:paraId="4DCA232E" w14:textId="0AB3787B" w:rsidR="00636AE2" w:rsidRPr="00184410" w:rsidRDefault="00636AE2" w:rsidP="00636AE2">
      <w:pPr>
        <w:jc w:val="both"/>
        <w:rPr>
          <w:rFonts w:ascii="Sylfaen" w:hAnsi="Sylfaen" w:cs="Sylfaen"/>
          <w:sz w:val="24"/>
          <w:szCs w:val="24"/>
        </w:rPr>
      </w:pPr>
      <w:r w:rsidRPr="00184410">
        <w:rPr>
          <w:rFonts w:ascii="Sylfaen" w:hAnsi="Sylfaen" w:cs="Sylfaen"/>
          <w:sz w:val="24"/>
          <w:szCs w:val="24"/>
        </w:rPr>
        <w:t xml:space="preserve">In this regard I want to highlight our key developments: In July 2017, the Georgian Ministry of Labor, Health, and Social Affairs introduced policies for enhanced protection for vulnerable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14:paraId="4BF76BEC" w14:textId="77777777" w:rsidR="001929E8" w:rsidRPr="00184410" w:rsidRDefault="00636AE2" w:rsidP="001929E8">
      <w:pPr>
        <w:jc w:val="both"/>
        <w:rPr>
          <w:rFonts w:ascii="Sylfaen" w:hAnsi="Sylfaen" w:cs="Sylfaen"/>
          <w:sz w:val="24"/>
          <w:szCs w:val="24"/>
        </w:rPr>
      </w:pPr>
      <w:r w:rsidRPr="00184410">
        <w:rPr>
          <w:rFonts w:ascii="Sylfaen" w:hAnsi="Sylfaen" w:cs="Sylfaen"/>
          <w:sz w:val="24"/>
          <w:szCs w:val="24"/>
        </w:rPr>
        <w:t>Achieving universal health coverage is an ambitious goal, but it is one that can and must be achieved to create a healthier and more equitable world. </w:t>
      </w:r>
      <w:r w:rsidR="001929E8" w:rsidRPr="00184410">
        <w:rPr>
          <w:rFonts w:ascii="Sylfaen" w:hAnsi="Sylfaen" w:cs="Sylfaen"/>
          <w:sz w:val="24"/>
          <w:szCs w:val="24"/>
        </w:rPr>
        <w:t xml:space="preserve">With support of our international partners US CDC, WHO and pharmaceutical company Gilead Sciences Ministry has launched - the world first Hepatitis C elimination, which is the risk of a slow progression to chronic liver disease, cancer, and death. I would like to share with you the recent progress and the numbers we have over 98% treatment success rate and the best coverage - 30% when the world's rate is 7-9%. </w:t>
      </w:r>
    </w:p>
    <w:p w14:paraId="6B52B3BE" w14:textId="6ED396CC" w:rsidR="00D325C9" w:rsidRPr="00184410" w:rsidRDefault="00D325C9" w:rsidP="00D325C9">
      <w:pPr>
        <w:pStyle w:val="Default"/>
        <w:jc w:val="both"/>
        <w:rPr>
          <w:rFonts w:eastAsia="Calibri"/>
          <w:lang w:eastAsia="en-US"/>
        </w:rPr>
      </w:pPr>
      <w:r w:rsidRPr="00184410">
        <w:rPr>
          <w:rFonts w:eastAsia="Calibri"/>
          <w:lang w:eastAsia="en-US"/>
        </w:rPr>
        <w:t xml:space="preserve">Flagman program - Hepatitis C elimination is main driver of public health in Georgia. Infection control and prevention monitoring and evaluation system has been established in medical and non-medical facilities. Great attention is paid to improving the quality of safe blood donation services. Georgia was awarded the title of </w:t>
      </w:r>
      <w:proofErr w:type="spellStart"/>
      <w:r w:rsidRPr="00184410">
        <w:rPr>
          <w:rFonts w:eastAsia="Calibri"/>
          <w:lang w:eastAsia="en-US"/>
        </w:rPr>
        <w:t>NOhep</w:t>
      </w:r>
      <w:proofErr w:type="spellEnd"/>
      <w:r w:rsidRPr="00184410">
        <w:rPr>
          <w:rFonts w:eastAsia="Calibri"/>
          <w:lang w:eastAsia="en-US"/>
        </w:rPr>
        <w:t xml:space="preserve"> Visionary for the European Region at the World Hepatitis Summit in Sao Paulo, Brazil, on November 1</w:t>
      </w:r>
      <w:proofErr w:type="spellStart"/>
      <w:r w:rsidRPr="00184410">
        <w:rPr>
          <w:rFonts w:eastAsia="Calibri"/>
          <w:lang w:eastAsia="en-US"/>
        </w:rPr>
        <w:t>st</w:t>
      </w:r>
      <w:proofErr w:type="spellEnd"/>
      <w:r w:rsidRPr="00184410">
        <w:rPr>
          <w:rFonts w:eastAsia="Calibri"/>
          <w:lang w:eastAsia="en-US"/>
        </w:rPr>
        <w:t xml:space="preserve">, 2017. </w:t>
      </w:r>
    </w:p>
    <w:p w14:paraId="6C5DBD2D" w14:textId="464D1482" w:rsidR="00D325C9" w:rsidRPr="00184410" w:rsidRDefault="00D325C9" w:rsidP="00D325C9">
      <w:pPr>
        <w:pStyle w:val="Default"/>
        <w:jc w:val="both"/>
        <w:rPr>
          <w:rFonts w:eastAsia="Calibri"/>
          <w:lang w:eastAsia="en-US"/>
        </w:rPr>
      </w:pPr>
      <w:r w:rsidRPr="00184410">
        <w:rPr>
          <w:rFonts w:eastAsia="Calibri"/>
          <w:lang w:eastAsia="en-US"/>
        </w:rPr>
        <w:t xml:space="preserve"> </w:t>
      </w:r>
    </w:p>
    <w:p w14:paraId="38CA5025" w14:textId="5ADD06E1" w:rsidR="001929E8" w:rsidRPr="00184410" w:rsidRDefault="00D325C9" w:rsidP="00636AE2">
      <w:pPr>
        <w:jc w:val="both"/>
        <w:rPr>
          <w:rFonts w:ascii="Sylfaen" w:hAnsi="Sylfaen" w:cs="Sylfaen"/>
          <w:sz w:val="24"/>
          <w:szCs w:val="24"/>
        </w:rPr>
      </w:pPr>
      <w:r w:rsidRPr="00184410">
        <w:rPr>
          <w:rFonts w:ascii="Sylfaen" w:hAnsi="Sylfaen" w:cs="Sylfaen"/>
          <w:sz w:val="24"/>
          <w:szCs w:val="24"/>
        </w:rPr>
        <w:t xml:space="preserve">Georgia also achieved universal access in TB treatment. </w:t>
      </w:r>
      <w:r w:rsidR="001929E8" w:rsidRPr="00184410">
        <w:rPr>
          <w:rFonts w:ascii="Sylfaen" w:hAnsi="Sylfaen" w:cs="Sylfaen"/>
          <w:sz w:val="24"/>
          <w:szCs w:val="24"/>
        </w:rPr>
        <w:t xml:space="preserve">The Georgian Antiretroviral therapy (ART) was recognized by the international experts as one of the best in the region due to universal access to HIV treatment, high coverage of target population and improved quality of the program interventions. </w:t>
      </w:r>
    </w:p>
    <w:p w14:paraId="3E524862" w14:textId="5841F8C1" w:rsidR="00636AE2" w:rsidRPr="00184410" w:rsidRDefault="00636AE2" w:rsidP="00636AE2">
      <w:pPr>
        <w:jc w:val="both"/>
        <w:rPr>
          <w:rFonts w:ascii="Sylfaen" w:hAnsi="Sylfaen" w:cs="Sylfaen"/>
          <w:sz w:val="24"/>
          <w:szCs w:val="24"/>
        </w:rPr>
      </w:pPr>
      <w:r w:rsidRPr="00184410">
        <w:rPr>
          <w:rFonts w:ascii="Sylfaen" w:hAnsi="Sylfaen" w:cs="Sylfaen"/>
          <w:sz w:val="24"/>
          <w:szCs w:val="24"/>
        </w:rPr>
        <w:t>It worth to say that quite a serious success has been achieved since May 1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14:paraId="6C9FC602" w14:textId="77777777" w:rsidR="00636AE2" w:rsidRPr="00184410" w:rsidRDefault="00636AE2" w:rsidP="00636AE2">
      <w:pPr>
        <w:jc w:val="both"/>
        <w:rPr>
          <w:rFonts w:ascii="Sylfaen" w:hAnsi="Sylfaen" w:cs="Sylfaen"/>
          <w:sz w:val="24"/>
          <w:szCs w:val="24"/>
        </w:rPr>
      </w:pPr>
      <w:r w:rsidRPr="00184410">
        <w:rPr>
          <w:rFonts w:ascii="Sylfaen" w:hAnsi="Sylfaen" w:cs="Sylfaen"/>
          <w:sz w:val="24"/>
          <w:szCs w:val="24"/>
        </w:rPr>
        <w:t xml:space="preserve">With towards achieving the 2030 Agenda for Sustainable Development - leaving no one behind, I want to highlight our sharper focus on innovative approaches for improving maternal and child health, and reproductive health. Georgia has made a steady progress in </w:t>
      </w:r>
      <w:r w:rsidRPr="00184410">
        <w:rPr>
          <w:rFonts w:ascii="Sylfaen" w:hAnsi="Sylfaen" w:cs="Sylfaen"/>
          <w:sz w:val="24"/>
          <w:szCs w:val="24"/>
        </w:rPr>
        <w:lastRenderedPageBreak/>
        <w:t xml:space="preserve">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14:paraId="0717B0CD" w14:textId="77777777" w:rsidR="002B3646" w:rsidRPr="00184410" w:rsidRDefault="000C1891" w:rsidP="002B3646">
      <w:pPr>
        <w:jc w:val="both"/>
        <w:rPr>
          <w:rFonts w:ascii="Sylfaen" w:hAnsi="Sylfaen" w:cs="Sylfaen"/>
          <w:sz w:val="24"/>
          <w:szCs w:val="24"/>
        </w:rPr>
      </w:pPr>
      <w:r w:rsidRPr="00184410">
        <w:rPr>
          <w:rFonts w:ascii="Sylfaen" w:hAnsi="Sylfaen" w:cs="Sylfaen"/>
          <w:sz w:val="24"/>
          <w:szCs w:val="24"/>
        </w:rPr>
        <w:t>As part of advancing the emergency preparedness over 100 hospitals across the country were included in “Evaluation of Hospital Safety in Georgia”. The assessment provided important insights into mostly private health care providers.</w:t>
      </w:r>
    </w:p>
    <w:p w14:paraId="53118AD3" w14:textId="59F4CA5F" w:rsidR="002B3646" w:rsidRPr="00184410" w:rsidRDefault="000C1891" w:rsidP="002B3646">
      <w:pPr>
        <w:jc w:val="both"/>
        <w:rPr>
          <w:rFonts w:ascii="Sylfaen" w:hAnsi="Sylfaen" w:cs="Sylfaen"/>
          <w:sz w:val="24"/>
          <w:szCs w:val="24"/>
        </w:rPr>
      </w:pPr>
      <w:r w:rsidRPr="00184410">
        <w:rPr>
          <w:rFonts w:ascii="Sylfaen" w:hAnsi="Sylfaen" w:cs="Sylfaen"/>
          <w:sz w:val="24"/>
          <w:szCs w:val="24"/>
        </w:rPr>
        <w:t xml:space="preserve">Despite remarkable increase in health budget </w:t>
      </w:r>
      <w:r w:rsidR="009C6B1E" w:rsidRPr="00184410">
        <w:rPr>
          <w:rFonts w:ascii="Sylfaen" w:hAnsi="Sylfaen" w:cs="Sylfaen"/>
          <w:sz w:val="24"/>
          <w:szCs w:val="24"/>
        </w:rPr>
        <w:t xml:space="preserve">(375 mill GEL in 2012 and in 1111 mill GEL in 2017) </w:t>
      </w:r>
      <w:r w:rsidRPr="00184410">
        <w:rPr>
          <w:rFonts w:ascii="Sylfaen" w:hAnsi="Sylfaen" w:cs="Sylfaen"/>
          <w:sz w:val="24"/>
          <w:szCs w:val="24"/>
        </w:rPr>
        <w:t xml:space="preserve">the resources are still very limited, having in mind needs and expectations of population. We need to increase the budget, but we also need to optimize the utilization of available resources. For that we need strong </w:t>
      </w:r>
      <w:r w:rsidR="002B3646" w:rsidRPr="00184410">
        <w:rPr>
          <w:rFonts w:ascii="Sylfaen" w:hAnsi="Sylfaen" w:cs="Sylfaen"/>
          <w:sz w:val="24"/>
          <w:szCs w:val="24"/>
        </w:rPr>
        <w:t>health financing syste</w:t>
      </w:r>
      <w:r w:rsidR="009C6B1E" w:rsidRPr="00184410">
        <w:rPr>
          <w:rFonts w:ascii="Sylfaen" w:hAnsi="Sylfaen" w:cs="Sylfaen"/>
          <w:sz w:val="24"/>
          <w:szCs w:val="24"/>
        </w:rPr>
        <w:t xml:space="preserve">m, improvement of E-health and </w:t>
      </w:r>
      <w:r w:rsidRPr="00184410">
        <w:rPr>
          <w:rFonts w:ascii="Sylfaen" w:hAnsi="Sylfaen" w:cs="Sylfaen"/>
          <w:sz w:val="24"/>
          <w:szCs w:val="24"/>
        </w:rPr>
        <w:t xml:space="preserve">strengthen primary health care. </w:t>
      </w:r>
    </w:p>
    <w:p w14:paraId="66057E96" w14:textId="7BD63F44" w:rsidR="00542F49" w:rsidRPr="00184410" w:rsidRDefault="00542F49" w:rsidP="002B3646">
      <w:pPr>
        <w:jc w:val="both"/>
        <w:rPr>
          <w:rFonts w:ascii="Sylfaen" w:hAnsi="Sylfaen" w:cs="Sylfaen"/>
          <w:sz w:val="24"/>
          <w:szCs w:val="24"/>
        </w:rPr>
      </w:pPr>
      <w:r w:rsidRPr="00184410">
        <w:rPr>
          <w:rFonts w:ascii="Sylfaen" w:hAnsi="Sylfaen" w:cs="Sylfaen"/>
          <w:sz w:val="24"/>
          <w:szCs w:val="24"/>
        </w:rPr>
        <w:t>As it was mentioned above, Georgia is working closely with the WHO. Georgia has currently representatives in the Executive Board and SCRC. Second sessions of the 25th Standing Committee of the Regional Committee for Europe takes place in Tbilisi, 28-29 Nov 2017, as Georgia is chairing the SCRC for 2017-2018.</w:t>
      </w:r>
    </w:p>
    <w:p w14:paraId="3B195A53" w14:textId="6307A5A7" w:rsidR="000C1891" w:rsidRPr="00184410" w:rsidRDefault="000C1891" w:rsidP="002B3646">
      <w:pPr>
        <w:jc w:val="both"/>
        <w:rPr>
          <w:rFonts w:ascii="Sylfaen" w:hAnsi="Sylfaen" w:cs="Sylfaen"/>
          <w:sz w:val="24"/>
          <w:szCs w:val="24"/>
        </w:rPr>
      </w:pPr>
      <w:r w:rsidRPr="00184410">
        <w:rPr>
          <w:rFonts w:ascii="Sylfaen" w:hAnsi="Sylfaen" w:cs="Sylfaen"/>
          <w:sz w:val="24"/>
          <w:szCs w:val="24"/>
        </w:rPr>
        <w:t xml:space="preserve">We are very much looking forward for the WHO support in the implementation of the SDG roadmap, the WHOs 13th General </w:t>
      </w:r>
      <w:proofErr w:type="spellStart"/>
      <w:r w:rsidRPr="00184410">
        <w:rPr>
          <w:rFonts w:ascii="Sylfaen" w:hAnsi="Sylfaen" w:cs="Sylfaen"/>
          <w:sz w:val="24"/>
          <w:szCs w:val="24"/>
        </w:rPr>
        <w:t>Programme</w:t>
      </w:r>
      <w:proofErr w:type="spellEnd"/>
      <w:r w:rsidRPr="00184410">
        <w:rPr>
          <w:rFonts w:ascii="Sylfaen" w:hAnsi="Sylfaen" w:cs="Sylfaen"/>
          <w:sz w:val="24"/>
          <w:szCs w:val="24"/>
        </w:rPr>
        <w:t xml:space="preserve"> of Work and to use the Joint Monitoring Framework. </w:t>
      </w:r>
    </w:p>
    <w:p w14:paraId="549D6778" w14:textId="77777777" w:rsidR="000C1891" w:rsidRPr="00184410" w:rsidRDefault="000C1891" w:rsidP="000C1891">
      <w:pPr>
        <w:jc w:val="both"/>
        <w:rPr>
          <w:rFonts w:ascii="Sylfaen" w:hAnsi="Sylfaen" w:cs="Sylfaen"/>
          <w:sz w:val="24"/>
          <w:szCs w:val="24"/>
        </w:rPr>
      </w:pPr>
      <w:bookmarkStart w:id="0" w:name="_GoBack"/>
      <w:bookmarkEnd w:id="0"/>
    </w:p>
    <w:sectPr w:rsidR="000C1891" w:rsidRPr="00184410" w:rsidSect="002B3646">
      <w:pgSz w:w="12240" w:h="15840"/>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94AE2" w14:textId="77777777" w:rsidR="007C16F5" w:rsidRDefault="007C16F5" w:rsidP="007E727E">
      <w:pPr>
        <w:spacing w:after="0" w:line="240" w:lineRule="auto"/>
      </w:pPr>
      <w:r>
        <w:separator/>
      </w:r>
    </w:p>
  </w:endnote>
  <w:endnote w:type="continuationSeparator" w:id="0">
    <w:p w14:paraId="4B27FF91" w14:textId="77777777" w:rsidR="007C16F5" w:rsidRDefault="007C16F5" w:rsidP="007E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C128A" w14:textId="77777777" w:rsidR="007C16F5" w:rsidRDefault="007C16F5" w:rsidP="007E727E">
      <w:pPr>
        <w:spacing w:after="0" w:line="240" w:lineRule="auto"/>
      </w:pPr>
      <w:r>
        <w:separator/>
      </w:r>
    </w:p>
  </w:footnote>
  <w:footnote w:type="continuationSeparator" w:id="0">
    <w:p w14:paraId="4E123229" w14:textId="77777777" w:rsidR="007C16F5" w:rsidRDefault="007C16F5" w:rsidP="007E7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755"/>
    <w:multiLevelType w:val="hybridMultilevel"/>
    <w:tmpl w:val="8BBC1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B97D3B"/>
    <w:multiLevelType w:val="hybridMultilevel"/>
    <w:tmpl w:val="4C54C516"/>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01">
      <w:start w:val="1"/>
      <w:numFmt w:val="bullet"/>
      <w:lvlText w:val=""/>
      <w:lvlJc w:val="left"/>
      <w:pPr>
        <w:ind w:left="180" w:hanging="180"/>
      </w:pPr>
      <w:rPr>
        <w:rFonts w:ascii="Symbol" w:hAnsi="Symbol" w:hint="default"/>
      </w:rPr>
    </w:lvl>
    <w:lvl w:ilvl="3" w:tplc="04090001">
      <w:start w:val="1"/>
      <w:numFmt w:val="bullet"/>
      <w:lvlText w:val=""/>
      <w:lvlJc w:val="left"/>
      <w:pPr>
        <w:ind w:left="360" w:hanging="360"/>
      </w:pPr>
      <w:rPr>
        <w:rFonts w:ascii="Symbol" w:hAnsi="Symbol" w:hint="default"/>
      </w:rPr>
    </w:lvl>
    <w:lvl w:ilvl="4" w:tplc="21AAE56C">
      <w:numFmt w:val="bullet"/>
      <w:lvlText w:val="-"/>
      <w:lvlJc w:val="left"/>
      <w:pPr>
        <w:ind w:left="720" w:hanging="360"/>
      </w:pPr>
      <w:rPr>
        <w:rFonts w:ascii="Calibri" w:eastAsiaTheme="minorEastAsia" w:hAnsi="Calibri" w:cstheme="minorBidi" w:hint="default"/>
      </w:rPr>
    </w:lvl>
    <w:lvl w:ilvl="5" w:tplc="0409001B">
      <w:start w:val="1"/>
      <w:numFmt w:val="lowerRoman"/>
      <w:lvlText w:val="%6."/>
      <w:lvlJc w:val="right"/>
      <w:pPr>
        <w:ind w:left="126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B7F78"/>
    <w:multiLevelType w:val="hybridMultilevel"/>
    <w:tmpl w:val="EF424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467A0"/>
    <w:multiLevelType w:val="hybridMultilevel"/>
    <w:tmpl w:val="6852981C"/>
    <w:lvl w:ilvl="0" w:tplc="9DC2A22E">
      <w:numFmt w:val="bullet"/>
      <w:lvlText w:val=""/>
      <w:lvlJc w:val="left"/>
      <w:pPr>
        <w:ind w:left="720" w:hanging="360"/>
      </w:pPr>
      <w:rPr>
        <w:rFonts w:ascii="Symbol" w:eastAsia="Calibri" w:hAnsi="Symbol" w:cs="Consola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A52EA"/>
    <w:multiLevelType w:val="hybridMultilevel"/>
    <w:tmpl w:val="26F2625A"/>
    <w:lvl w:ilvl="0" w:tplc="91E232A0">
      <w:start w:val="1"/>
      <w:numFmt w:val="decimal"/>
      <w:lvlText w:val="%1."/>
      <w:lvlJc w:val="left"/>
      <w:pPr>
        <w:tabs>
          <w:tab w:val="num" w:pos="720"/>
        </w:tabs>
        <w:ind w:left="720" w:hanging="360"/>
      </w:pPr>
    </w:lvl>
    <w:lvl w:ilvl="1" w:tplc="7D7EE618">
      <w:start w:val="1364"/>
      <w:numFmt w:val="bullet"/>
      <w:lvlText w:val="–"/>
      <w:lvlJc w:val="left"/>
      <w:pPr>
        <w:tabs>
          <w:tab w:val="num" w:pos="1440"/>
        </w:tabs>
        <w:ind w:left="1440" w:hanging="360"/>
      </w:pPr>
      <w:rPr>
        <w:rFonts w:ascii="Arial" w:hAnsi="Arial" w:hint="default"/>
      </w:rPr>
    </w:lvl>
    <w:lvl w:ilvl="2" w:tplc="C1EC2B0E" w:tentative="1">
      <w:start w:val="1"/>
      <w:numFmt w:val="decimal"/>
      <w:lvlText w:val="%3."/>
      <w:lvlJc w:val="left"/>
      <w:pPr>
        <w:tabs>
          <w:tab w:val="num" w:pos="2160"/>
        </w:tabs>
        <w:ind w:left="2160" w:hanging="360"/>
      </w:pPr>
    </w:lvl>
    <w:lvl w:ilvl="3" w:tplc="1EC03260" w:tentative="1">
      <w:start w:val="1"/>
      <w:numFmt w:val="decimal"/>
      <w:lvlText w:val="%4."/>
      <w:lvlJc w:val="left"/>
      <w:pPr>
        <w:tabs>
          <w:tab w:val="num" w:pos="2880"/>
        </w:tabs>
        <w:ind w:left="2880" w:hanging="360"/>
      </w:pPr>
    </w:lvl>
    <w:lvl w:ilvl="4" w:tplc="F4087A5E" w:tentative="1">
      <w:start w:val="1"/>
      <w:numFmt w:val="decimal"/>
      <w:lvlText w:val="%5."/>
      <w:lvlJc w:val="left"/>
      <w:pPr>
        <w:tabs>
          <w:tab w:val="num" w:pos="3600"/>
        </w:tabs>
        <w:ind w:left="3600" w:hanging="360"/>
      </w:pPr>
    </w:lvl>
    <w:lvl w:ilvl="5" w:tplc="EB32A500" w:tentative="1">
      <w:start w:val="1"/>
      <w:numFmt w:val="decimal"/>
      <w:lvlText w:val="%6."/>
      <w:lvlJc w:val="left"/>
      <w:pPr>
        <w:tabs>
          <w:tab w:val="num" w:pos="4320"/>
        </w:tabs>
        <w:ind w:left="4320" w:hanging="360"/>
      </w:pPr>
    </w:lvl>
    <w:lvl w:ilvl="6" w:tplc="7452E00A" w:tentative="1">
      <w:start w:val="1"/>
      <w:numFmt w:val="decimal"/>
      <w:lvlText w:val="%7."/>
      <w:lvlJc w:val="left"/>
      <w:pPr>
        <w:tabs>
          <w:tab w:val="num" w:pos="5040"/>
        </w:tabs>
        <w:ind w:left="5040" w:hanging="360"/>
      </w:pPr>
    </w:lvl>
    <w:lvl w:ilvl="7" w:tplc="7750D618" w:tentative="1">
      <w:start w:val="1"/>
      <w:numFmt w:val="decimal"/>
      <w:lvlText w:val="%8."/>
      <w:lvlJc w:val="left"/>
      <w:pPr>
        <w:tabs>
          <w:tab w:val="num" w:pos="5760"/>
        </w:tabs>
        <w:ind w:left="5760" w:hanging="360"/>
      </w:pPr>
    </w:lvl>
    <w:lvl w:ilvl="8" w:tplc="E0B66710" w:tentative="1">
      <w:start w:val="1"/>
      <w:numFmt w:val="decimal"/>
      <w:lvlText w:val="%9."/>
      <w:lvlJc w:val="left"/>
      <w:pPr>
        <w:tabs>
          <w:tab w:val="num" w:pos="6480"/>
        </w:tabs>
        <w:ind w:left="6480" w:hanging="360"/>
      </w:pPr>
    </w:lvl>
  </w:abstractNum>
  <w:abstractNum w:abstractNumId="6">
    <w:nsid w:val="2D374FBF"/>
    <w:multiLevelType w:val="hybridMultilevel"/>
    <w:tmpl w:val="0F881288"/>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3143CA"/>
    <w:multiLevelType w:val="hybridMultilevel"/>
    <w:tmpl w:val="E2E4E8F4"/>
    <w:lvl w:ilvl="0" w:tplc="957AE3B4">
      <w:start w:val="4"/>
      <w:numFmt w:val="decimal"/>
      <w:lvlText w:val="%1."/>
      <w:lvlJc w:val="left"/>
      <w:pPr>
        <w:tabs>
          <w:tab w:val="num" w:pos="720"/>
        </w:tabs>
        <w:ind w:left="720" w:hanging="360"/>
      </w:pPr>
    </w:lvl>
    <w:lvl w:ilvl="1" w:tplc="1E5029EA">
      <w:start w:val="1364"/>
      <w:numFmt w:val="bullet"/>
      <w:lvlText w:val="–"/>
      <w:lvlJc w:val="left"/>
      <w:pPr>
        <w:tabs>
          <w:tab w:val="num" w:pos="1440"/>
        </w:tabs>
        <w:ind w:left="1440" w:hanging="360"/>
      </w:pPr>
      <w:rPr>
        <w:rFonts w:ascii="Arial" w:hAnsi="Arial" w:hint="default"/>
      </w:rPr>
    </w:lvl>
    <w:lvl w:ilvl="2" w:tplc="673E383C" w:tentative="1">
      <w:start w:val="1"/>
      <w:numFmt w:val="decimal"/>
      <w:lvlText w:val="%3."/>
      <w:lvlJc w:val="left"/>
      <w:pPr>
        <w:tabs>
          <w:tab w:val="num" w:pos="2160"/>
        </w:tabs>
        <w:ind w:left="2160" w:hanging="360"/>
      </w:pPr>
    </w:lvl>
    <w:lvl w:ilvl="3" w:tplc="C20CDF02" w:tentative="1">
      <w:start w:val="1"/>
      <w:numFmt w:val="decimal"/>
      <w:lvlText w:val="%4."/>
      <w:lvlJc w:val="left"/>
      <w:pPr>
        <w:tabs>
          <w:tab w:val="num" w:pos="2880"/>
        </w:tabs>
        <w:ind w:left="2880" w:hanging="360"/>
      </w:pPr>
    </w:lvl>
    <w:lvl w:ilvl="4" w:tplc="DDD85E4A" w:tentative="1">
      <w:start w:val="1"/>
      <w:numFmt w:val="decimal"/>
      <w:lvlText w:val="%5."/>
      <w:lvlJc w:val="left"/>
      <w:pPr>
        <w:tabs>
          <w:tab w:val="num" w:pos="3600"/>
        </w:tabs>
        <w:ind w:left="3600" w:hanging="360"/>
      </w:pPr>
    </w:lvl>
    <w:lvl w:ilvl="5" w:tplc="C1ECF128" w:tentative="1">
      <w:start w:val="1"/>
      <w:numFmt w:val="decimal"/>
      <w:lvlText w:val="%6."/>
      <w:lvlJc w:val="left"/>
      <w:pPr>
        <w:tabs>
          <w:tab w:val="num" w:pos="4320"/>
        </w:tabs>
        <w:ind w:left="4320" w:hanging="360"/>
      </w:pPr>
    </w:lvl>
    <w:lvl w:ilvl="6" w:tplc="44C00984" w:tentative="1">
      <w:start w:val="1"/>
      <w:numFmt w:val="decimal"/>
      <w:lvlText w:val="%7."/>
      <w:lvlJc w:val="left"/>
      <w:pPr>
        <w:tabs>
          <w:tab w:val="num" w:pos="5040"/>
        </w:tabs>
        <w:ind w:left="5040" w:hanging="360"/>
      </w:pPr>
    </w:lvl>
    <w:lvl w:ilvl="7" w:tplc="8D36CF50" w:tentative="1">
      <w:start w:val="1"/>
      <w:numFmt w:val="decimal"/>
      <w:lvlText w:val="%8."/>
      <w:lvlJc w:val="left"/>
      <w:pPr>
        <w:tabs>
          <w:tab w:val="num" w:pos="5760"/>
        </w:tabs>
        <w:ind w:left="5760" w:hanging="360"/>
      </w:pPr>
    </w:lvl>
    <w:lvl w:ilvl="8" w:tplc="E9202A8C" w:tentative="1">
      <w:start w:val="1"/>
      <w:numFmt w:val="decimal"/>
      <w:lvlText w:val="%9."/>
      <w:lvlJc w:val="left"/>
      <w:pPr>
        <w:tabs>
          <w:tab w:val="num" w:pos="6480"/>
        </w:tabs>
        <w:ind w:left="6480" w:hanging="360"/>
      </w:pPr>
    </w:lvl>
  </w:abstractNum>
  <w:abstractNum w:abstractNumId="8">
    <w:nsid w:val="3AE236FE"/>
    <w:multiLevelType w:val="hybridMultilevel"/>
    <w:tmpl w:val="B5B2EEDC"/>
    <w:lvl w:ilvl="0" w:tplc="04090003">
      <w:start w:val="1"/>
      <w:numFmt w:val="bullet"/>
      <w:lvlText w:val="o"/>
      <w:lvlJc w:val="left"/>
      <w:pPr>
        <w:ind w:left="436" w:hanging="360"/>
      </w:pPr>
      <w:rPr>
        <w:rFonts w:ascii="Courier New" w:hAnsi="Courier New" w:cs="Courier New"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3B7128C8"/>
    <w:multiLevelType w:val="hybridMultilevel"/>
    <w:tmpl w:val="55620ECE"/>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37908"/>
    <w:multiLevelType w:val="hybridMultilevel"/>
    <w:tmpl w:val="0F881288"/>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D7F0E08"/>
    <w:multiLevelType w:val="hybridMultilevel"/>
    <w:tmpl w:val="DEC6D198"/>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nsid w:val="5DB6465F"/>
    <w:multiLevelType w:val="hybridMultilevel"/>
    <w:tmpl w:val="1E40F08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9D05BD"/>
    <w:multiLevelType w:val="hybridMultilevel"/>
    <w:tmpl w:val="9CA049E6"/>
    <w:lvl w:ilvl="0" w:tplc="9488C752">
      <w:start w:val="1"/>
      <w:numFmt w:val="bullet"/>
      <w:lvlText w:val="-"/>
      <w:lvlJc w:val="left"/>
      <w:pPr>
        <w:ind w:left="1080" w:hanging="360"/>
      </w:pPr>
      <w:rPr>
        <w:rFonts w:ascii="Sylfaen" w:eastAsiaTheme="minorEastAsia" w:hAnsi="Sylfaen" w:cs="Sylfae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76123F"/>
    <w:multiLevelType w:val="hybridMultilevel"/>
    <w:tmpl w:val="3B6ABEEE"/>
    <w:lvl w:ilvl="0" w:tplc="9488C752">
      <w:start w:val="1"/>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7B624E"/>
    <w:multiLevelType w:val="hybridMultilevel"/>
    <w:tmpl w:val="1E40F08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14"/>
  </w:num>
  <w:num w:numId="5">
    <w:abstractNumId w:val="13"/>
  </w:num>
  <w:num w:numId="6">
    <w:abstractNumId w:val="11"/>
  </w:num>
  <w:num w:numId="7">
    <w:abstractNumId w:val="8"/>
  </w:num>
  <w:num w:numId="8">
    <w:abstractNumId w:val="5"/>
  </w:num>
  <w:num w:numId="9">
    <w:abstractNumId w:val="7"/>
  </w:num>
  <w:num w:numId="10">
    <w:abstractNumId w:val="0"/>
  </w:num>
  <w:num w:numId="11">
    <w:abstractNumId w:val="16"/>
  </w:num>
  <w:num w:numId="12">
    <w:abstractNumId w:val="9"/>
  </w:num>
  <w:num w:numId="13">
    <w:abstractNumId w:val="12"/>
  </w:num>
  <w:num w:numId="14">
    <w:abstractNumId w:val="10"/>
  </w:num>
  <w:num w:numId="15">
    <w:abstractNumId w:val="6"/>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7E"/>
    <w:rsid w:val="000846E9"/>
    <w:rsid w:val="000C1891"/>
    <w:rsid w:val="00111B02"/>
    <w:rsid w:val="00122D54"/>
    <w:rsid w:val="00184410"/>
    <w:rsid w:val="001929E8"/>
    <w:rsid w:val="001B3CBA"/>
    <w:rsid w:val="00227B0B"/>
    <w:rsid w:val="002412C2"/>
    <w:rsid w:val="0025748E"/>
    <w:rsid w:val="00275A41"/>
    <w:rsid w:val="002A0F64"/>
    <w:rsid w:val="002B3646"/>
    <w:rsid w:val="002F2C03"/>
    <w:rsid w:val="00351E3C"/>
    <w:rsid w:val="00542F49"/>
    <w:rsid w:val="00583607"/>
    <w:rsid w:val="00604147"/>
    <w:rsid w:val="006160DE"/>
    <w:rsid w:val="00616F1D"/>
    <w:rsid w:val="006236A8"/>
    <w:rsid w:val="00636AE2"/>
    <w:rsid w:val="00672474"/>
    <w:rsid w:val="00691307"/>
    <w:rsid w:val="00764F4F"/>
    <w:rsid w:val="007A7E14"/>
    <w:rsid w:val="007B02BF"/>
    <w:rsid w:val="007C16F5"/>
    <w:rsid w:val="007D74D5"/>
    <w:rsid w:val="007E727E"/>
    <w:rsid w:val="008060D9"/>
    <w:rsid w:val="00826D29"/>
    <w:rsid w:val="008277BF"/>
    <w:rsid w:val="0088004E"/>
    <w:rsid w:val="00884DD7"/>
    <w:rsid w:val="008C1776"/>
    <w:rsid w:val="008D397B"/>
    <w:rsid w:val="008F743E"/>
    <w:rsid w:val="00975BFC"/>
    <w:rsid w:val="00981CE4"/>
    <w:rsid w:val="009C6B1E"/>
    <w:rsid w:val="009E3F9F"/>
    <w:rsid w:val="009F2762"/>
    <w:rsid w:val="00A705C6"/>
    <w:rsid w:val="00AF131A"/>
    <w:rsid w:val="00B051E6"/>
    <w:rsid w:val="00BC226B"/>
    <w:rsid w:val="00C00549"/>
    <w:rsid w:val="00C17C0B"/>
    <w:rsid w:val="00C84DCB"/>
    <w:rsid w:val="00CB7D5E"/>
    <w:rsid w:val="00D14E99"/>
    <w:rsid w:val="00D325C9"/>
    <w:rsid w:val="00DE6905"/>
    <w:rsid w:val="00EA2E9D"/>
    <w:rsid w:val="00EF68AF"/>
    <w:rsid w:val="00F12653"/>
    <w:rsid w:val="00F703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27E"/>
    <w:pPr>
      <w:spacing w:after="160" w:line="259" w:lineRule="auto"/>
    </w:pPr>
    <w:rPr>
      <w:rFonts w:ascii="Calibri" w:eastAsia="Calibri" w:hAnsi="Calibri" w:cs="Calibri"/>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7E"/>
    <w:pPr>
      <w:spacing w:after="200" w:line="276" w:lineRule="auto"/>
      <w:ind w:left="720"/>
      <w:contextualSpacing/>
    </w:pPr>
    <w:rPr>
      <w:rFonts w:asciiTheme="minorHAnsi" w:eastAsiaTheme="minorEastAsia" w:hAnsiTheme="minorHAnsi" w:cstheme="minorBidi"/>
      <w:color w:val="auto"/>
      <w:lang w:eastAsia="zh-CN"/>
    </w:rPr>
  </w:style>
  <w:style w:type="paragraph" w:styleId="PlainText">
    <w:name w:val="Plain Text"/>
    <w:basedOn w:val="Normal"/>
    <w:link w:val="PlainTextChar"/>
    <w:uiPriority w:val="99"/>
    <w:unhideWhenUsed/>
    <w:rsid w:val="007E727E"/>
    <w:pPr>
      <w:spacing w:after="0" w:line="240" w:lineRule="auto"/>
    </w:pPr>
    <w:rPr>
      <w:rFonts w:eastAsiaTheme="minorHAnsi" w:cs="Times New Roman"/>
      <w:color w:val="auto"/>
      <w:lang w:eastAsia="zh-CN"/>
    </w:rPr>
  </w:style>
  <w:style w:type="character" w:customStyle="1" w:styleId="PlainTextChar">
    <w:name w:val="Plain Text Char"/>
    <w:basedOn w:val="DefaultParagraphFont"/>
    <w:link w:val="PlainText"/>
    <w:uiPriority w:val="99"/>
    <w:rsid w:val="007E727E"/>
    <w:rPr>
      <w:rFonts w:ascii="Calibri" w:eastAsiaTheme="minorHAnsi" w:hAnsi="Calibri" w:cs="Times New Roman"/>
    </w:rPr>
  </w:style>
  <w:style w:type="paragraph" w:styleId="FootnoteText">
    <w:name w:val="footnote text"/>
    <w:basedOn w:val="Normal"/>
    <w:link w:val="FootnoteTextChar"/>
    <w:uiPriority w:val="99"/>
    <w:semiHidden/>
    <w:unhideWhenUsed/>
    <w:rsid w:val="007E7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7E"/>
    <w:rPr>
      <w:rFonts w:ascii="Calibri" w:eastAsia="Calibri" w:hAnsi="Calibri" w:cs="Calibri"/>
      <w:color w:val="000000"/>
      <w:sz w:val="20"/>
      <w:szCs w:val="20"/>
      <w:lang w:eastAsia="en-US"/>
    </w:rPr>
  </w:style>
  <w:style w:type="character" w:styleId="FootnoteReference">
    <w:name w:val="footnote reference"/>
    <w:basedOn w:val="DefaultParagraphFont"/>
    <w:uiPriority w:val="99"/>
    <w:semiHidden/>
    <w:unhideWhenUsed/>
    <w:rsid w:val="007E727E"/>
    <w:rPr>
      <w:vertAlign w:val="superscript"/>
    </w:rPr>
  </w:style>
  <w:style w:type="paragraph" w:customStyle="1" w:styleId="Default">
    <w:name w:val="Default"/>
    <w:rsid w:val="007E727E"/>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67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74"/>
    <w:rPr>
      <w:rFonts w:ascii="Segoe UI" w:eastAsia="Calibri" w:hAnsi="Segoe UI" w:cs="Segoe UI"/>
      <w:color w:val="000000"/>
      <w:sz w:val="18"/>
      <w:szCs w:val="18"/>
      <w:lang w:eastAsia="en-US"/>
    </w:rPr>
  </w:style>
  <w:style w:type="character" w:styleId="CommentReference">
    <w:name w:val="annotation reference"/>
    <w:basedOn w:val="DefaultParagraphFont"/>
    <w:uiPriority w:val="99"/>
    <w:semiHidden/>
    <w:unhideWhenUsed/>
    <w:rsid w:val="00672474"/>
    <w:rPr>
      <w:sz w:val="16"/>
      <w:szCs w:val="16"/>
    </w:rPr>
  </w:style>
  <w:style w:type="paragraph" w:styleId="CommentText">
    <w:name w:val="annotation text"/>
    <w:basedOn w:val="Normal"/>
    <w:link w:val="CommentTextChar"/>
    <w:uiPriority w:val="99"/>
    <w:semiHidden/>
    <w:unhideWhenUsed/>
    <w:rsid w:val="00672474"/>
    <w:pPr>
      <w:spacing w:line="240" w:lineRule="auto"/>
    </w:pPr>
    <w:rPr>
      <w:sz w:val="20"/>
      <w:szCs w:val="20"/>
    </w:rPr>
  </w:style>
  <w:style w:type="character" w:customStyle="1" w:styleId="CommentTextChar">
    <w:name w:val="Comment Text Char"/>
    <w:basedOn w:val="DefaultParagraphFont"/>
    <w:link w:val="CommentText"/>
    <w:uiPriority w:val="99"/>
    <w:semiHidden/>
    <w:rsid w:val="00672474"/>
    <w:rPr>
      <w:rFonts w:ascii="Calibri" w:eastAsia="Calibri" w:hAnsi="Calibri" w:cs="Calibr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672474"/>
    <w:rPr>
      <w:b/>
      <w:bCs/>
    </w:rPr>
  </w:style>
  <w:style w:type="character" w:customStyle="1" w:styleId="CommentSubjectChar">
    <w:name w:val="Comment Subject Char"/>
    <w:basedOn w:val="CommentTextChar"/>
    <w:link w:val="CommentSubject"/>
    <w:uiPriority w:val="99"/>
    <w:semiHidden/>
    <w:rsid w:val="00672474"/>
    <w:rPr>
      <w:rFonts w:ascii="Calibri" w:eastAsia="Calibri" w:hAnsi="Calibri" w:cs="Calibri"/>
      <w:b/>
      <w:bCs/>
      <w:color w:val="000000"/>
      <w:sz w:val="20"/>
      <w:szCs w:val="20"/>
      <w:lang w:eastAsia="en-US"/>
    </w:rPr>
  </w:style>
  <w:style w:type="paragraph" w:styleId="NoSpacing">
    <w:name w:val="No Spacing"/>
    <w:basedOn w:val="Normal"/>
    <w:uiPriority w:val="1"/>
    <w:qFormat/>
    <w:rsid w:val="00BC226B"/>
    <w:pPr>
      <w:spacing w:after="0" w:line="240" w:lineRule="auto"/>
    </w:pPr>
    <w:rPr>
      <w:rFonts w:asciiTheme="majorHAnsi" w:eastAsiaTheme="minorEastAsia" w:hAnsiTheme="majorHAnsi" w:cstheme="maj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27E"/>
    <w:pPr>
      <w:spacing w:after="160" w:line="259" w:lineRule="auto"/>
    </w:pPr>
    <w:rPr>
      <w:rFonts w:ascii="Calibri" w:eastAsia="Calibri" w:hAnsi="Calibri" w:cs="Calibri"/>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7E"/>
    <w:pPr>
      <w:spacing w:after="200" w:line="276" w:lineRule="auto"/>
      <w:ind w:left="720"/>
      <w:contextualSpacing/>
    </w:pPr>
    <w:rPr>
      <w:rFonts w:asciiTheme="minorHAnsi" w:eastAsiaTheme="minorEastAsia" w:hAnsiTheme="minorHAnsi" w:cstheme="minorBidi"/>
      <w:color w:val="auto"/>
      <w:lang w:eastAsia="zh-CN"/>
    </w:rPr>
  </w:style>
  <w:style w:type="paragraph" w:styleId="PlainText">
    <w:name w:val="Plain Text"/>
    <w:basedOn w:val="Normal"/>
    <w:link w:val="PlainTextChar"/>
    <w:uiPriority w:val="99"/>
    <w:unhideWhenUsed/>
    <w:rsid w:val="007E727E"/>
    <w:pPr>
      <w:spacing w:after="0" w:line="240" w:lineRule="auto"/>
    </w:pPr>
    <w:rPr>
      <w:rFonts w:eastAsiaTheme="minorHAnsi" w:cs="Times New Roman"/>
      <w:color w:val="auto"/>
      <w:lang w:eastAsia="zh-CN"/>
    </w:rPr>
  </w:style>
  <w:style w:type="character" w:customStyle="1" w:styleId="PlainTextChar">
    <w:name w:val="Plain Text Char"/>
    <w:basedOn w:val="DefaultParagraphFont"/>
    <w:link w:val="PlainText"/>
    <w:uiPriority w:val="99"/>
    <w:rsid w:val="007E727E"/>
    <w:rPr>
      <w:rFonts w:ascii="Calibri" w:eastAsiaTheme="minorHAnsi" w:hAnsi="Calibri" w:cs="Times New Roman"/>
    </w:rPr>
  </w:style>
  <w:style w:type="paragraph" w:styleId="FootnoteText">
    <w:name w:val="footnote text"/>
    <w:basedOn w:val="Normal"/>
    <w:link w:val="FootnoteTextChar"/>
    <w:uiPriority w:val="99"/>
    <w:semiHidden/>
    <w:unhideWhenUsed/>
    <w:rsid w:val="007E7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7E"/>
    <w:rPr>
      <w:rFonts w:ascii="Calibri" w:eastAsia="Calibri" w:hAnsi="Calibri" w:cs="Calibri"/>
      <w:color w:val="000000"/>
      <w:sz w:val="20"/>
      <w:szCs w:val="20"/>
      <w:lang w:eastAsia="en-US"/>
    </w:rPr>
  </w:style>
  <w:style w:type="character" w:styleId="FootnoteReference">
    <w:name w:val="footnote reference"/>
    <w:basedOn w:val="DefaultParagraphFont"/>
    <w:uiPriority w:val="99"/>
    <w:semiHidden/>
    <w:unhideWhenUsed/>
    <w:rsid w:val="007E727E"/>
    <w:rPr>
      <w:vertAlign w:val="superscript"/>
    </w:rPr>
  </w:style>
  <w:style w:type="paragraph" w:customStyle="1" w:styleId="Default">
    <w:name w:val="Default"/>
    <w:rsid w:val="007E727E"/>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67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74"/>
    <w:rPr>
      <w:rFonts w:ascii="Segoe UI" w:eastAsia="Calibri" w:hAnsi="Segoe UI" w:cs="Segoe UI"/>
      <w:color w:val="000000"/>
      <w:sz w:val="18"/>
      <w:szCs w:val="18"/>
      <w:lang w:eastAsia="en-US"/>
    </w:rPr>
  </w:style>
  <w:style w:type="character" w:styleId="CommentReference">
    <w:name w:val="annotation reference"/>
    <w:basedOn w:val="DefaultParagraphFont"/>
    <w:uiPriority w:val="99"/>
    <w:semiHidden/>
    <w:unhideWhenUsed/>
    <w:rsid w:val="00672474"/>
    <w:rPr>
      <w:sz w:val="16"/>
      <w:szCs w:val="16"/>
    </w:rPr>
  </w:style>
  <w:style w:type="paragraph" w:styleId="CommentText">
    <w:name w:val="annotation text"/>
    <w:basedOn w:val="Normal"/>
    <w:link w:val="CommentTextChar"/>
    <w:uiPriority w:val="99"/>
    <w:semiHidden/>
    <w:unhideWhenUsed/>
    <w:rsid w:val="00672474"/>
    <w:pPr>
      <w:spacing w:line="240" w:lineRule="auto"/>
    </w:pPr>
    <w:rPr>
      <w:sz w:val="20"/>
      <w:szCs w:val="20"/>
    </w:rPr>
  </w:style>
  <w:style w:type="character" w:customStyle="1" w:styleId="CommentTextChar">
    <w:name w:val="Comment Text Char"/>
    <w:basedOn w:val="DefaultParagraphFont"/>
    <w:link w:val="CommentText"/>
    <w:uiPriority w:val="99"/>
    <w:semiHidden/>
    <w:rsid w:val="00672474"/>
    <w:rPr>
      <w:rFonts w:ascii="Calibri" w:eastAsia="Calibri" w:hAnsi="Calibri" w:cs="Calibr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672474"/>
    <w:rPr>
      <w:b/>
      <w:bCs/>
    </w:rPr>
  </w:style>
  <w:style w:type="character" w:customStyle="1" w:styleId="CommentSubjectChar">
    <w:name w:val="Comment Subject Char"/>
    <w:basedOn w:val="CommentTextChar"/>
    <w:link w:val="CommentSubject"/>
    <w:uiPriority w:val="99"/>
    <w:semiHidden/>
    <w:rsid w:val="00672474"/>
    <w:rPr>
      <w:rFonts w:ascii="Calibri" w:eastAsia="Calibri" w:hAnsi="Calibri" w:cs="Calibri"/>
      <w:b/>
      <w:bCs/>
      <w:color w:val="000000"/>
      <w:sz w:val="20"/>
      <w:szCs w:val="20"/>
      <w:lang w:eastAsia="en-US"/>
    </w:rPr>
  </w:style>
  <w:style w:type="paragraph" w:styleId="NoSpacing">
    <w:name w:val="No Spacing"/>
    <w:basedOn w:val="Normal"/>
    <w:uiPriority w:val="1"/>
    <w:qFormat/>
    <w:rsid w:val="00BC226B"/>
    <w:pPr>
      <w:spacing w:after="0" w:line="240" w:lineRule="auto"/>
    </w:pPr>
    <w:rPr>
      <w:rFonts w:asciiTheme="majorHAnsi" w:eastAsiaTheme="minorEastAsia" w:hAnsiTheme="majorHAnsi" w:cstheme="maj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97637">
      <w:bodyDiv w:val="1"/>
      <w:marLeft w:val="0"/>
      <w:marRight w:val="0"/>
      <w:marTop w:val="0"/>
      <w:marBottom w:val="0"/>
      <w:divBdr>
        <w:top w:val="none" w:sz="0" w:space="0" w:color="auto"/>
        <w:left w:val="none" w:sz="0" w:space="0" w:color="auto"/>
        <w:bottom w:val="none" w:sz="0" w:space="0" w:color="auto"/>
        <w:right w:val="none" w:sz="0" w:space="0" w:color="auto"/>
      </w:divBdr>
    </w:div>
    <w:div w:id="17515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E4535-9128-4E00-A3A1-85030DEA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IVANUSA, Marijan</dc:creator>
  <cp:lastModifiedBy>Mariana Mkurnali</cp:lastModifiedBy>
  <cp:revision>2</cp:revision>
  <dcterms:created xsi:type="dcterms:W3CDTF">2018-09-14T14:18:00Z</dcterms:created>
  <dcterms:modified xsi:type="dcterms:W3CDTF">2018-09-14T14:18:00Z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-1339174643</vt:i4>
  </property>
  <property fmtid="{D5CDD505-2E9C-101B-9397-08002B2CF9AE}" pid="4" name="_EmailSubject">
    <vt:lpwstr>WHO/Europe RC68 Letter from Dr Jakab  </vt:lpwstr>
  </property>
  <property fmtid="{D5CDD505-2E9C-101B-9397-08002B2CF9AE}" pid="5" name="_AuthorEmail">
    <vt:lpwstr>ivanusam@who.int</vt:lpwstr>
  </property>
  <property fmtid="{D5CDD505-2E9C-101B-9397-08002B2CF9AE}" pid="6" name="_AuthorEmailDisplayName">
    <vt:lpwstr>IVANUSA, Marijan</vt:lpwstr>
  </property>
  <property fmtid="{D5CDD505-2E9C-101B-9397-08002B2CF9AE}" pid="7" name="_ReviewingToolsShownOnce">
    <vt:lpwstr/>
  </property>
</Properties>
</file>