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515A4B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515A4B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BD0D7F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8F1BCD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45C36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</w:t>
            </w:r>
            <w:bookmarkStart w:id="0" w:name="_GoBack"/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bookmarkEnd w:id="0"/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45C36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45C36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6003F8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Белорусская сторона направит по дипломатическим каналам в адрес </w:t>
            </w: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Финансов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5. О сотрудничестве в сфере транспорта</w:t>
            </w:r>
          </w:p>
        </w:tc>
      </w:tr>
      <w:tr w:rsidR="00AA5D0F" w:rsidRPr="006003F8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</w:t>
            </w: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E12F5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E12F5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6003F8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6003F8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Культуры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684499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684499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684499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684499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AA5D0F" w:rsidRPr="00CD3088" w:rsidTr="00B161FA">
        <w:tc>
          <w:tcPr>
            <w:tcW w:w="719" w:type="dxa"/>
          </w:tcPr>
          <w:p w:rsidR="00AA5D0F" w:rsidRPr="00CD3088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684499" w:rsidRPr="00684499" w:rsidRDefault="00CD3088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6003F8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AA5D0F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CD3088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10.4.</w:t>
            </w:r>
          </w:p>
        </w:tc>
        <w:tc>
          <w:tcPr>
            <w:tcW w:w="6481" w:type="dxa"/>
          </w:tcPr>
          <w:p w:rsidR="00CD3088" w:rsidRPr="00CD3088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CD3088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CD3088" w:rsidTr="00B161FA">
        <w:tc>
          <w:tcPr>
            <w:tcW w:w="719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10.5.</w:t>
            </w:r>
          </w:p>
        </w:tc>
        <w:tc>
          <w:tcPr>
            <w:tcW w:w="6481" w:type="dxa"/>
          </w:tcPr>
          <w:p w:rsidR="00CD3088" w:rsidRPr="00CD3088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CD3088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AA5D0F" w:rsidRPr="00327804" w:rsidRDefault="00AA5D0F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AA5D0F" w:rsidRPr="00066D41" w:rsidRDefault="00CD3088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11.3.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CD3088" w:rsidRPr="00066D41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 w:rsidR="006003F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6003F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CD308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 w:rsidR="00CD308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Национальной академией наук Беларуси и Научно-исследовательским центром Министерства охраны природы и сельского хозяйства Грузии;</w:t>
            </w:r>
          </w:p>
          <w:p w:rsidR="00AA5D0F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AA3801" w:rsidRDefault="00AA380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3801" w:rsidRPr="00AA3801" w:rsidRDefault="00AA380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Соответствующие ведомства</w:t>
            </w:r>
          </w:p>
        </w:tc>
        <w:tc>
          <w:tcPr>
            <w:tcW w:w="4500" w:type="dxa"/>
          </w:tcPr>
          <w:p w:rsidR="00AA5D0F" w:rsidRPr="00CD3088" w:rsidRDefault="00AA5D0F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12.2.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официально уведомить Грузинскую сторону о вступлении в силу Таможенного Кодекса ЕАЭС.</w:t>
            </w:r>
          </w:p>
        </w:tc>
        <w:tc>
          <w:tcPr>
            <w:tcW w:w="3060" w:type="dxa"/>
          </w:tcPr>
          <w:p w:rsidR="00CD3088" w:rsidRDefault="00A72923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12.3.</w:t>
            </w:r>
          </w:p>
        </w:tc>
        <w:tc>
          <w:tcPr>
            <w:tcW w:w="6481" w:type="dxa"/>
          </w:tcPr>
          <w:p w:rsidR="00CD3088" w:rsidRPr="00066D41" w:rsidRDefault="00CD3088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CD3088" w:rsidRDefault="00A72923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7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8"/>
      <w:footerReference w:type="default" r:id="rId9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77" w:rsidRDefault="008B3477" w:rsidP="005D4F31">
      <w:pPr>
        <w:spacing w:after="0" w:line="240" w:lineRule="auto"/>
      </w:pPr>
      <w:r>
        <w:separator/>
      </w:r>
    </w:p>
  </w:endnote>
  <w:endnote w:type="continuationSeparator" w:id="0">
    <w:p w:rsidR="008B3477" w:rsidRDefault="008B3477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38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77" w:rsidRDefault="008B3477" w:rsidP="005D4F31">
      <w:pPr>
        <w:spacing w:after="0" w:line="240" w:lineRule="auto"/>
      </w:pPr>
      <w:r>
        <w:separator/>
      </w:r>
    </w:p>
  </w:footnote>
  <w:footnote w:type="continuationSeparator" w:id="0">
    <w:p w:rsidR="008B3477" w:rsidRDefault="008B3477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>
      <w:rPr>
        <w:rFonts w:ascii="Sylfaen" w:hAnsi="Sylfaen"/>
        <w:b/>
        <w:color w:val="1F497D" w:themeColor="text2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35C56"/>
    <w:rsid w:val="000416C0"/>
    <w:rsid w:val="00056F67"/>
    <w:rsid w:val="00063446"/>
    <w:rsid w:val="00066D41"/>
    <w:rsid w:val="00071738"/>
    <w:rsid w:val="000A7B6C"/>
    <w:rsid w:val="000C7FEC"/>
    <w:rsid w:val="000D1484"/>
    <w:rsid w:val="000E6DB2"/>
    <w:rsid w:val="000E7583"/>
    <w:rsid w:val="00107FDF"/>
    <w:rsid w:val="00163571"/>
    <w:rsid w:val="00174DE5"/>
    <w:rsid w:val="001A2B98"/>
    <w:rsid w:val="001A54AF"/>
    <w:rsid w:val="001B037D"/>
    <w:rsid w:val="001B68C0"/>
    <w:rsid w:val="001C5D63"/>
    <w:rsid w:val="001E4A57"/>
    <w:rsid w:val="00211AD1"/>
    <w:rsid w:val="002279A7"/>
    <w:rsid w:val="002630DC"/>
    <w:rsid w:val="0029283E"/>
    <w:rsid w:val="002B4BEC"/>
    <w:rsid w:val="002E3B1B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66ED"/>
    <w:rsid w:val="00684499"/>
    <w:rsid w:val="00692EE2"/>
    <w:rsid w:val="006940DD"/>
    <w:rsid w:val="006B326D"/>
    <w:rsid w:val="006B5AC5"/>
    <w:rsid w:val="006C18E0"/>
    <w:rsid w:val="006D4ED2"/>
    <w:rsid w:val="00720902"/>
    <w:rsid w:val="007224A2"/>
    <w:rsid w:val="00740D01"/>
    <w:rsid w:val="0075359B"/>
    <w:rsid w:val="00772902"/>
    <w:rsid w:val="00775D99"/>
    <w:rsid w:val="007851F8"/>
    <w:rsid w:val="007D7080"/>
    <w:rsid w:val="008627C4"/>
    <w:rsid w:val="0087002C"/>
    <w:rsid w:val="00872FE7"/>
    <w:rsid w:val="008B3477"/>
    <w:rsid w:val="008C7598"/>
    <w:rsid w:val="008D045C"/>
    <w:rsid w:val="008F1BCD"/>
    <w:rsid w:val="008F7B07"/>
    <w:rsid w:val="0090701A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3628"/>
    <w:rsid w:val="00BD0D7F"/>
    <w:rsid w:val="00BF23C1"/>
    <w:rsid w:val="00C00CB2"/>
    <w:rsid w:val="00C463AE"/>
    <w:rsid w:val="00C778BB"/>
    <w:rsid w:val="00C77B4D"/>
    <w:rsid w:val="00C8254D"/>
    <w:rsid w:val="00C8547D"/>
    <w:rsid w:val="00CC0C27"/>
    <w:rsid w:val="00CC27D4"/>
    <w:rsid w:val="00CC5248"/>
    <w:rsid w:val="00CD2EB4"/>
    <w:rsid w:val="00CD3088"/>
    <w:rsid w:val="00CD4548"/>
    <w:rsid w:val="00D015F2"/>
    <w:rsid w:val="00DA1CDB"/>
    <w:rsid w:val="00DA3D55"/>
    <w:rsid w:val="00E12F57"/>
    <w:rsid w:val="00E13F22"/>
    <w:rsid w:val="00E21983"/>
    <w:rsid w:val="00E468D4"/>
    <w:rsid w:val="00E5222F"/>
    <w:rsid w:val="00E61477"/>
    <w:rsid w:val="00E82920"/>
    <w:rsid w:val="00EB3C57"/>
    <w:rsid w:val="00EB597F"/>
    <w:rsid w:val="00EB6A09"/>
    <w:rsid w:val="00F02209"/>
    <w:rsid w:val="00F358AA"/>
    <w:rsid w:val="00F41BDF"/>
    <w:rsid w:val="00F423EC"/>
    <w:rsid w:val="00F515CB"/>
    <w:rsid w:val="00F579D4"/>
    <w:rsid w:val="00F90FD2"/>
    <w:rsid w:val="00F945C0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D219B-2D13-4687-A776-E197B91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havidze@moesd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2437</Words>
  <Characters>17839</Characters>
  <Application>Microsoft Office Word</Application>
  <DocSecurity>0</DocSecurity>
  <Lines>356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Shavidze</dc:creator>
  <cp:keywords/>
  <dc:description/>
  <cp:lastModifiedBy>Nana Shavidze</cp:lastModifiedBy>
  <cp:revision>103</cp:revision>
  <dcterms:created xsi:type="dcterms:W3CDTF">2016-08-05T09:45:00Z</dcterms:created>
  <dcterms:modified xsi:type="dcterms:W3CDTF">2018-03-12T11:43:00Z</dcterms:modified>
</cp:coreProperties>
</file>