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049" w:rsidRPr="00B541B8" w:rsidRDefault="00E77049" w:rsidP="00E77049">
      <w:pPr>
        <w:pStyle w:val="Heading1"/>
      </w:pPr>
      <w:bookmarkStart w:id="0" w:name="_Toc455652213"/>
      <w:r w:rsidRPr="009C02D1">
        <w:t>EU agencies and programmes</w:t>
      </w:r>
      <w:bookmarkEnd w:id="0"/>
    </w:p>
    <w:p w:rsidR="00E77049" w:rsidRDefault="00E77049" w:rsidP="00E77049">
      <w:pPr>
        <w:widowControl w:val="0"/>
        <w:spacing w:after="120"/>
        <w:ind w:firstLine="0"/>
      </w:pPr>
      <w:r w:rsidRPr="009C02D1">
        <w:t xml:space="preserve">The EU operates 46 ‘agencies’, which are semi-autonomous and specialised bodies funded and controlled by the EU, with the objective of supporting the functioning of EU policies. There are also around 45 </w:t>
      </w:r>
      <w:r w:rsidRPr="009C02D1">
        <w:rPr>
          <w:i/>
        </w:rPr>
        <w:t>‘</w:t>
      </w:r>
      <w:r w:rsidRPr="009C02D1">
        <w:t xml:space="preserve">programmes’, most of which (but not all) are funded and administered by the European Commission. Of these a considerable number are open to participation by Georgia as </w:t>
      </w:r>
      <w:r>
        <w:t xml:space="preserve">a </w:t>
      </w:r>
      <w:r w:rsidRPr="009C02D1">
        <w:t xml:space="preserve">partner under the Association Agreement, notably the 20 agencies and 19 programmes listed in </w:t>
      </w:r>
      <w:r>
        <w:t>Boxe</w:t>
      </w:r>
      <w:r w:rsidRPr="009C02D1">
        <w:t xml:space="preserve">s 26.1 and 26.2. </w:t>
      </w:r>
      <w:r>
        <w:t>The text in bold indicates</w:t>
      </w:r>
      <w:r w:rsidRPr="009C02D1">
        <w:t xml:space="preserve"> the agencies and programmes with which Georgia already has ongoing cooperation at different levels (projects, seminars, study visits, etc.)</w:t>
      </w:r>
      <w:r>
        <w:t>.</w:t>
      </w:r>
    </w:p>
    <w:tbl>
      <w:tblPr>
        <w:tblStyle w:val="TableGrid"/>
        <w:tblW w:w="6237" w:type="dxa"/>
        <w:tblLook w:val="04A0" w:firstRow="1" w:lastRow="0" w:firstColumn="1" w:lastColumn="0" w:noHBand="0" w:noVBand="1"/>
      </w:tblPr>
      <w:tblGrid>
        <w:gridCol w:w="6237"/>
      </w:tblGrid>
      <w:tr w:rsidR="00E77049" w:rsidTr="00902CC9">
        <w:tc>
          <w:tcPr>
            <w:tcW w:w="6237" w:type="dxa"/>
          </w:tcPr>
          <w:p w:rsidR="00E77049" w:rsidRPr="00C27076" w:rsidRDefault="00E77049" w:rsidP="00902CC9">
            <w:pPr>
              <w:pStyle w:val="Caption"/>
              <w:keepNext w:val="0"/>
              <w:widowControl w:val="0"/>
              <w:spacing w:before="120" w:after="120"/>
            </w:pPr>
            <w:bookmarkStart w:id="1" w:name="_Toc455391253"/>
            <w:r>
              <w:t xml:space="preserve">Box </w:t>
            </w:r>
            <w:r w:rsidR="006D6B70">
              <w:fldChar w:fldCharType="begin"/>
            </w:r>
            <w:r>
              <w:instrText xml:space="preserve"> STYLEREF 1 \s </w:instrText>
            </w:r>
            <w:r w:rsidR="006D6B70">
              <w:fldChar w:fldCharType="separate"/>
            </w:r>
            <w:r>
              <w:rPr>
                <w:noProof/>
              </w:rPr>
              <w:t>26</w:t>
            </w:r>
            <w:r w:rsidR="006D6B70">
              <w:fldChar w:fldCharType="end"/>
            </w:r>
            <w:r>
              <w:t>.</w:t>
            </w:r>
            <w:r w:rsidR="006D6B70">
              <w:fldChar w:fldCharType="begin"/>
            </w:r>
            <w:r>
              <w:instrText xml:space="preserve"> SEQ Box \* ARABIC \s 1 </w:instrText>
            </w:r>
            <w:r w:rsidR="006D6B70">
              <w:fldChar w:fldCharType="separate"/>
            </w:r>
            <w:r>
              <w:rPr>
                <w:noProof/>
              </w:rPr>
              <w:t>1</w:t>
            </w:r>
            <w:r w:rsidR="006D6B70">
              <w:fldChar w:fldCharType="end"/>
            </w:r>
            <w:r>
              <w:t xml:space="preserve"> </w:t>
            </w:r>
            <w:r w:rsidRPr="00C27076">
              <w:t>EU agencies open to Ukraine, Moldova and Georgia</w:t>
            </w:r>
            <w:r>
              <w:t>*</w:t>
            </w:r>
            <w:bookmarkEnd w:id="1"/>
          </w:p>
          <w:p w:rsidR="00E77049" w:rsidRPr="00D12F77" w:rsidRDefault="00553B84" w:rsidP="00902CC9">
            <w:pPr>
              <w:pStyle w:val="NoSpacing"/>
              <w:widowControl w:val="0"/>
              <w:spacing w:after="30"/>
              <w:rPr>
                <w:rStyle w:val="at1"/>
                <w:rFonts w:ascii="Book Antiqua" w:hAnsi="Book Antiqua"/>
                <w:sz w:val="19"/>
                <w:szCs w:val="19"/>
              </w:rPr>
            </w:pPr>
            <w:hyperlink r:id="rId7" w:history="1">
              <w:r w:rsidR="00E77049" w:rsidRPr="00D12F77">
                <w:rPr>
                  <w:rFonts w:ascii="Book Antiqua" w:hAnsi="Book Antiqua"/>
                  <w:b/>
                  <w:sz w:val="19"/>
                  <w:szCs w:val="19"/>
                </w:rPr>
                <w:t>European Agency for Safety and Health at Work (EU-OSHA)</w:t>
              </w:r>
            </w:hyperlink>
          </w:p>
          <w:p w:rsidR="00E77049" w:rsidRPr="00D12F77" w:rsidRDefault="00553B84" w:rsidP="00902CC9">
            <w:pPr>
              <w:pStyle w:val="NoSpacing"/>
              <w:widowControl w:val="0"/>
              <w:spacing w:after="30"/>
              <w:rPr>
                <w:rStyle w:val="at1"/>
                <w:rFonts w:ascii="Book Antiqua" w:hAnsi="Book Antiqua"/>
                <w:sz w:val="19"/>
                <w:szCs w:val="19"/>
              </w:rPr>
            </w:pPr>
            <w:hyperlink r:id="rId8" w:history="1">
              <w:r w:rsidR="00E77049" w:rsidRPr="00D12F77">
                <w:rPr>
                  <w:rFonts w:ascii="Book Antiqua" w:hAnsi="Book Antiqua"/>
                  <w:b/>
                  <w:sz w:val="19"/>
                  <w:szCs w:val="19"/>
                </w:rPr>
                <w:t>European Agency for the Management of Operational Cooperation at the External Borders (FRONTEX)</w:t>
              </w:r>
            </w:hyperlink>
          </w:p>
          <w:p w:rsidR="00E77049" w:rsidRPr="00D12F77" w:rsidRDefault="00553B84" w:rsidP="00902CC9">
            <w:pPr>
              <w:pStyle w:val="NoSpacing"/>
              <w:widowControl w:val="0"/>
              <w:spacing w:after="30"/>
              <w:rPr>
                <w:rStyle w:val="at1"/>
                <w:rFonts w:ascii="Book Antiqua" w:hAnsi="Book Antiqua"/>
                <w:sz w:val="19"/>
                <w:szCs w:val="19"/>
              </w:rPr>
            </w:pPr>
            <w:hyperlink r:id="rId9" w:history="1">
              <w:r w:rsidR="00E77049" w:rsidRPr="00D12F77">
                <w:rPr>
                  <w:rFonts w:ascii="Book Antiqua" w:hAnsi="Book Antiqua"/>
                  <w:b/>
                  <w:sz w:val="19"/>
                  <w:szCs w:val="19"/>
                </w:rPr>
                <w:t>European Asylum Support Office (EASO)</w:t>
              </w:r>
            </w:hyperlink>
          </w:p>
          <w:p w:rsidR="00E77049" w:rsidRPr="00D12F77" w:rsidRDefault="00553B84" w:rsidP="00902CC9">
            <w:pPr>
              <w:pStyle w:val="NoSpacing"/>
              <w:widowControl w:val="0"/>
              <w:spacing w:after="30"/>
              <w:rPr>
                <w:rStyle w:val="at1"/>
                <w:rFonts w:ascii="Book Antiqua" w:hAnsi="Book Antiqua"/>
                <w:sz w:val="19"/>
                <w:szCs w:val="19"/>
              </w:rPr>
            </w:pPr>
            <w:hyperlink r:id="rId10" w:history="1">
              <w:r w:rsidR="00E77049" w:rsidRPr="00D12F77">
                <w:rPr>
                  <w:rFonts w:ascii="Book Antiqua" w:hAnsi="Book Antiqua"/>
                  <w:b/>
                  <w:sz w:val="19"/>
                  <w:szCs w:val="19"/>
                </w:rPr>
                <w:t>European Aviation Safety Agency (EASA)</w:t>
              </w:r>
            </w:hyperlink>
          </w:p>
          <w:p w:rsidR="00E77049" w:rsidRPr="00D12F77" w:rsidRDefault="00553B84" w:rsidP="00902CC9">
            <w:pPr>
              <w:widowControl w:val="0"/>
              <w:spacing w:after="30"/>
              <w:ind w:firstLine="0"/>
              <w:jc w:val="left"/>
              <w:rPr>
                <w:sz w:val="19"/>
                <w:szCs w:val="19"/>
              </w:rPr>
            </w:pPr>
            <w:hyperlink r:id="rId11" w:history="1">
              <w:r w:rsidR="00E77049" w:rsidRPr="00D12F77">
                <w:rPr>
                  <w:b/>
                  <w:sz w:val="19"/>
                  <w:szCs w:val="19"/>
                </w:rPr>
                <w:t>European Centre for Disease Prevention and Control (ECDC)</w:t>
              </w:r>
            </w:hyperlink>
          </w:p>
          <w:p w:rsidR="00E77049" w:rsidRPr="00D12F77" w:rsidRDefault="00553B84" w:rsidP="00902CC9">
            <w:pPr>
              <w:pStyle w:val="NoSpacing"/>
              <w:widowControl w:val="0"/>
              <w:spacing w:after="30"/>
              <w:rPr>
                <w:rStyle w:val="at1"/>
                <w:rFonts w:ascii="Book Antiqua" w:hAnsi="Book Antiqua"/>
                <w:sz w:val="19"/>
                <w:szCs w:val="19"/>
              </w:rPr>
            </w:pPr>
            <w:hyperlink r:id="rId12" w:history="1">
              <w:r w:rsidR="00E77049" w:rsidRPr="00D12F77">
                <w:rPr>
                  <w:rFonts w:ascii="Book Antiqua" w:hAnsi="Book Antiqua"/>
                  <w:sz w:val="19"/>
                  <w:szCs w:val="19"/>
                </w:rPr>
                <w:t>European Chemicals Agency (ECHA)</w:t>
              </w:r>
            </w:hyperlink>
          </w:p>
          <w:p w:rsidR="00E77049" w:rsidRPr="00D12F77" w:rsidRDefault="00553B84" w:rsidP="00902CC9">
            <w:pPr>
              <w:pStyle w:val="NoSpacing"/>
              <w:widowControl w:val="0"/>
              <w:spacing w:after="30"/>
              <w:rPr>
                <w:rStyle w:val="at1"/>
                <w:rFonts w:ascii="Book Antiqua" w:hAnsi="Book Antiqua"/>
                <w:sz w:val="19"/>
                <w:szCs w:val="19"/>
              </w:rPr>
            </w:pPr>
            <w:hyperlink r:id="rId13" w:history="1">
              <w:r w:rsidR="00E77049" w:rsidRPr="00D12F77">
                <w:rPr>
                  <w:rFonts w:ascii="Book Antiqua" w:hAnsi="Book Antiqua"/>
                  <w:b/>
                  <w:sz w:val="19"/>
                  <w:szCs w:val="19"/>
                </w:rPr>
                <w:t>European Defence Agency (EDA)</w:t>
              </w:r>
            </w:hyperlink>
          </w:p>
          <w:p w:rsidR="00E77049" w:rsidRPr="00D12F77" w:rsidRDefault="00553B84" w:rsidP="00902CC9">
            <w:pPr>
              <w:pStyle w:val="NoSpacing"/>
              <w:widowControl w:val="0"/>
              <w:spacing w:after="30"/>
              <w:rPr>
                <w:rFonts w:ascii="Book Antiqua" w:hAnsi="Book Antiqua"/>
                <w:b/>
                <w:sz w:val="19"/>
                <w:szCs w:val="19"/>
              </w:rPr>
            </w:pPr>
            <w:hyperlink r:id="rId14" w:history="1">
              <w:r w:rsidR="00E77049" w:rsidRPr="00D12F77">
                <w:rPr>
                  <w:rFonts w:ascii="Book Antiqua" w:hAnsi="Book Antiqua"/>
                  <w:b/>
                  <w:sz w:val="19"/>
                  <w:szCs w:val="19"/>
                </w:rPr>
                <w:t>European Environment Agency (EEA)</w:t>
              </w:r>
            </w:hyperlink>
          </w:p>
          <w:p w:rsidR="00E77049" w:rsidRPr="00D12F77" w:rsidRDefault="00553B84" w:rsidP="00902CC9">
            <w:pPr>
              <w:pStyle w:val="NoSpacing"/>
              <w:widowControl w:val="0"/>
              <w:spacing w:after="30"/>
              <w:rPr>
                <w:rStyle w:val="at1"/>
                <w:rFonts w:ascii="Book Antiqua" w:hAnsi="Book Antiqua"/>
                <w:bCs/>
                <w:i/>
                <w:sz w:val="19"/>
                <w:szCs w:val="19"/>
              </w:rPr>
            </w:pPr>
            <w:hyperlink r:id="rId15" w:history="1">
              <w:r w:rsidR="00E77049" w:rsidRPr="00D12F77">
                <w:rPr>
                  <w:rFonts w:ascii="Book Antiqua" w:hAnsi="Book Antiqua"/>
                  <w:sz w:val="19"/>
                  <w:szCs w:val="19"/>
                </w:rPr>
                <w:t>European Fisheries Control Agency (EFCA)</w:t>
              </w:r>
            </w:hyperlink>
          </w:p>
          <w:p w:rsidR="00E77049" w:rsidRPr="00D12F77" w:rsidRDefault="00E77049" w:rsidP="00902CC9">
            <w:pPr>
              <w:pStyle w:val="NoSpacing"/>
              <w:widowControl w:val="0"/>
              <w:spacing w:after="30"/>
              <w:rPr>
                <w:rFonts w:ascii="Book Antiqua" w:hAnsi="Book Antiqua"/>
                <w:sz w:val="19"/>
                <w:szCs w:val="19"/>
              </w:rPr>
            </w:pPr>
            <w:r w:rsidRPr="00D12F77">
              <w:rPr>
                <w:rFonts w:ascii="Book Antiqua" w:hAnsi="Book Antiqua"/>
                <w:sz w:val="19"/>
                <w:szCs w:val="19"/>
              </w:rPr>
              <w:t>European Food Safety Authority (EFSA)</w:t>
            </w:r>
          </w:p>
          <w:p w:rsidR="00E77049" w:rsidRPr="00D12F77" w:rsidRDefault="00553B84" w:rsidP="00902CC9">
            <w:pPr>
              <w:pStyle w:val="NoSpacing"/>
              <w:widowControl w:val="0"/>
              <w:spacing w:after="30"/>
              <w:rPr>
                <w:rStyle w:val="at1"/>
                <w:rFonts w:ascii="Book Antiqua" w:hAnsi="Book Antiqua"/>
                <w:sz w:val="19"/>
                <w:szCs w:val="19"/>
              </w:rPr>
            </w:pPr>
            <w:hyperlink r:id="rId16" w:history="1">
              <w:r w:rsidR="00E77049" w:rsidRPr="00D12F77">
                <w:rPr>
                  <w:rFonts w:ascii="Book Antiqua" w:hAnsi="Book Antiqua"/>
                  <w:sz w:val="19"/>
                  <w:szCs w:val="19"/>
                </w:rPr>
                <w:t>European Foundation for the Improvement of Living and Working Conditions (EUROFOUND)</w:t>
              </w:r>
            </w:hyperlink>
          </w:p>
          <w:p w:rsidR="00E77049" w:rsidRPr="00D12F77" w:rsidRDefault="00553B84" w:rsidP="00902CC9">
            <w:pPr>
              <w:pStyle w:val="NoSpacing"/>
              <w:widowControl w:val="0"/>
              <w:spacing w:after="30"/>
              <w:rPr>
                <w:rStyle w:val="at1"/>
                <w:rFonts w:ascii="Book Antiqua" w:hAnsi="Book Antiqua"/>
                <w:sz w:val="19"/>
                <w:szCs w:val="19"/>
              </w:rPr>
            </w:pPr>
            <w:hyperlink r:id="rId17" w:history="1">
              <w:r w:rsidR="00E77049" w:rsidRPr="00D12F77">
                <w:rPr>
                  <w:rFonts w:ascii="Book Antiqua" w:hAnsi="Book Antiqua"/>
                  <w:sz w:val="19"/>
                  <w:szCs w:val="19"/>
                </w:rPr>
                <w:t>European GNSS Agency (GSA)</w:t>
              </w:r>
            </w:hyperlink>
          </w:p>
          <w:p w:rsidR="00E77049" w:rsidRPr="00D12F77" w:rsidRDefault="00553B84" w:rsidP="00902CC9">
            <w:pPr>
              <w:widowControl w:val="0"/>
              <w:spacing w:after="30"/>
              <w:ind w:firstLine="0"/>
              <w:jc w:val="left"/>
              <w:rPr>
                <w:sz w:val="19"/>
                <w:szCs w:val="19"/>
              </w:rPr>
            </w:pPr>
            <w:hyperlink r:id="rId18" w:history="1">
              <w:r w:rsidR="00E77049" w:rsidRPr="00D12F77">
                <w:rPr>
                  <w:sz w:val="19"/>
                  <w:szCs w:val="19"/>
                </w:rPr>
                <w:t>European Institute for Gender Equality (EIGE)</w:t>
              </w:r>
            </w:hyperlink>
          </w:p>
          <w:p w:rsidR="00E77049" w:rsidRPr="00D12F77" w:rsidRDefault="00553B84" w:rsidP="00902CC9">
            <w:pPr>
              <w:pStyle w:val="NoSpacing"/>
              <w:widowControl w:val="0"/>
              <w:spacing w:after="30"/>
              <w:rPr>
                <w:rStyle w:val="at1"/>
                <w:rFonts w:ascii="Book Antiqua" w:hAnsi="Book Antiqua"/>
                <w:sz w:val="19"/>
                <w:szCs w:val="19"/>
              </w:rPr>
            </w:pPr>
            <w:hyperlink r:id="rId19" w:history="1">
              <w:r w:rsidR="00E77049" w:rsidRPr="00D12F77">
                <w:rPr>
                  <w:rFonts w:ascii="Book Antiqua" w:hAnsi="Book Antiqua"/>
                  <w:b/>
                  <w:sz w:val="19"/>
                  <w:szCs w:val="19"/>
                </w:rPr>
                <w:t>European Maritime Safety Agency (EMSA)</w:t>
              </w:r>
            </w:hyperlink>
          </w:p>
          <w:p w:rsidR="00E77049" w:rsidRPr="00AB5BA3" w:rsidRDefault="006D6B70" w:rsidP="00902CC9">
            <w:pPr>
              <w:pStyle w:val="NoSpacing"/>
              <w:widowControl w:val="0"/>
              <w:spacing w:after="30"/>
              <w:rPr>
                <w:rStyle w:val="at1"/>
                <w:rFonts w:ascii="Book Antiqua" w:hAnsi="Book Antiqua"/>
                <w:b/>
                <w:sz w:val="19"/>
                <w:szCs w:val="19"/>
              </w:rPr>
            </w:pPr>
            <w:hyperlink r:id="rId20" w:history="1">
              <w:r w:rsidR="00E77049" w:rsidRPr="00AB5BA3">
                <w:rPr>
                  <w:rFonts w:ascii="Book Antiqua" w:hAnsi="Book Antiqua"/>
                  <w:b/>
                  <w:sz w:val="19"/>
                  <w:szCs w:val="19"/>
                </w:rPr>
                <w:t>European Monitoring Centre for Drugs and Drug Addiction (EMCDDA)</w:t>
              </w:r>
            </w:hyperlink>
          </w:p>
          <w:p w:rsidR="00E77049" w:rsidRPr="00D12F77" w:rsidRDefault="00553B84" w:rsidP="00902CC9">
            <w:pPr>
              <w:pStyle w:val="NoSpacing"/>
              <w:widowControl w:val="0"/>
              <w:spacing w:after="30"/>
              <w:rPr>
                <w:rStyle w:val="at1"/>
                <w:rFonts w:ascii="Book Antiqua" w:hAnsi="Book Antiqua"/>
                <w:sz w:val="19"/>
                <w:szCs w:val="19"/>
              </w:rPr>
            </w:pPr>
            <w:hyperlink r:id="rId21" w:history="1">
              <w:r w:rsidR="00E77049" w:rsidRPr="00D12F77">
                <w:rPr>
                  <w:rFonts w:ascii="Book Antiqua" w:hAnsi="Book Antiqua"/>
                  <w:sz w:val="19"/>
                  <w:szCs w:val="19"/>
                </w:rPr>
                <w:t>European Network and Information Security Agency (ENISA)</w:t>
              </w:r>
            </w:hyperlink>
          </w:p>
          <w:p w:rsidR="00E77049" w:rsidRPr="00D12F77" w:rsidRDefault="00553B84" w:rsidP="00902CC9">
            <w:pPr>
              <w:pStyle w:val="NoSpacing"/>
              <w:widowControl w:val="0"/>
              <w:spacing w:after="30"/>
              <w:rPr>
                <w:rStyle w:val="at1"/>
                <w:rFonts w:ascii="Book Antiqua" w:hAnsi="Book Antiqua"/>
                <w:sz w:val="19"/>
                <w:szCs w:val="19"/>
              </w:rPr>
            </w:pPr>
            <w:hyperlink r:id="rId22" w:history="1">
              <w:r w:rsidR="00E77049" w:rsidRPr="00D12F77">
                <w:rPr>
                  <w:rFonts w:ascii="Book Antiqua" w:hAnsi="Book Antiqua"/>
                  <w:b/>
                  <w:sz w:val="19"/>
                  <w:szCs w:val="19"/>
                </w:rPr>
                <w:t>European Police College (CEPOL)</w:t>
              </w:r>
            </w:hyperlink>
          </w:p>
          <w:p w:rsidR="00E77049" w:rsidRPr="00AB5BA3" w:rsidRDefault="006D6B70" w:rsidP="00902CC9">
            <w:pPr>
              <w:pStyle w:val="NoSpacing"/>
              <w:widowControl w:val="0"/>
              <w:spacing w:after="30"/>
              <w:rPr>
                <w:rStyle w:val="at1"/>
                <w:rFonts w:ascii="Book Antiqua" w:hAnsi="Book Antiqua"/>
                <w:b/>
                <w:sz w:val="19"/>
                <w:szCs w:val="19"/>
              </w:rPr>
            </w:pPr>
            <w:hyperlink r:id="rId23" w:history="1">
              <w:r w:rsidR="00E77049" w:rsidRPr="00AB5BA3">
                <w:rPr>
                  <w:rFonts w:ascii="Book Antiqua" w:hAnsi="Book Antiqua"/>
                  <w:b/>
                  <w:sz w:val="19"/>
                  <w:szCs w:val="19"/>
                </w:rPr>
                <w:t>European Police Office (Europol)</w:t>
              </w:r>
            </w:hyperlink>
          </w:p>
          <w:p w:rsidR="00E77049" w:rsidRPr="00D12F77" w:rsidRDefault="00553B84" w:rsidP="00902CC9">
            <w:pPr>
              <w:pStyle w:val="NoSpacing"/>
              <w:widowControl w:val="0"/>
              <w:spacing w:after="30"/>
              <w:rPr>
                <w:rStyle w:val="at1"/>
                <w:rFonts w:ascii="Book Antiqua" w:hAnsi="Book Antiqua"/>
                <w:sz w:val="19"/>
                <w:szCs w:val="19"/>
              </w:rPr>
            </w:pPr>
            <w:hyperlink r:id="rId24" w:history="1">
              <w:r w:rsidR="00E77049" w:rsidRPr="00D12F77">
                <w:rPr>
                  <w:rFonts w:ascii="Book Antiqua" w:hAnsi="Book Antiqua"/>
                  <w:sz w:val="19"/>
                  <w:szCs w:val="19"/>
                </w:rPr>
                <w:t>European Union Institute for Security Studies (EUISS)</w:t>
              </w:r>
            </w:hyperlink>
          </w:p>
          <w:p w:rsidR="00E77049" w:rsidRPr="00D12F77" w:rsidRDefault="00553B84" w:rsidP="00902CC9">
            <w:pPr>
              <w:widowControl w:val="0"/>
              <w:spacing w:after="30"/>
              <w:ind w:firstLine="0"/>
              <w:jc w:val="left"/>
              <w:rPr>
                <w:b/>
                <w:sz w:val="19"/>
                <w:szCs w:val="19"/>
              </w:rPr>
            </w:pPr>
            <w:hyperlink r:id="rId25" w:history="1">
              <w:r w:rsidR="00E77049" w:rsidRPr="00D12F77">
                <w:rPr>
                  <w:b/>
                  <w:sz w:val="19"/>
                  <w:szCs w:val="19"/>
                </w:rPr>
                <w:t>European Union’s Judicial Cooperation Unit (EUROJUST)</w:t>
              </w:r>
            </w:hyperlink>
          </w:p>
          <w:p w:rsidR="00E77049" w:rsidRPr="00D12F77" w:rsidRDefault="00E77049" w:rsidP="00902CC9">
            <w:pPr>
              <w:keepNext/>
              <w:widowControl w:val="0"/>
              <w:spacing w:before="120" w:after="120"/>
              <w:ind w:firstLine="0"/>
              <w:jc w:val="left"/>
              <w:rPr>
                <w:sz w:val="17"/>
                <w:szCs w:val="17"/>
              </w:rPr>
            </w:pPr>
            <w:r w:rsidRPr="00D12F77">
              <w:rPr>
                <w:sz w:val="17"/>
                <w:szCs w:val="17"/>
              </w:rPr>
              <w:t>* Bold type denotes those agencies with which Georgia already has ongoing cooperation at different levels (projects, seminars, study visits, etc.).</w:t>
            </w:r>
          </w:p>
        </w:tc>
      </w:tr>
    </w:tbl>
    <w:p w:rsidR="00E77049" w:rsidRPr="000D5853" w:rsidRDefault="00E77049" w:rsidP="00E77049">
      <w:pPr>
        <w:spacing w:after="0"/>
      </w:pPr>
    </w:p>
    <w:tbl>
      <w:tblPr>
        <w:tblStyle w:val="TableGrid"/>
        <w:tblW w:w="6232" w:type="dxa"/>
        <w:tblLook w:val="04A0" w:firstRow="1" w:lastRow="0" w:firstColumn="1" w:lastColumn="0" w:noHBand="0" w:noVBand="1"/>
      </w:tblPr>
      <w:tblGrid>
        <w:gridCol w:w="6232"/>
      </w:tblGrid>
      <w:tr w:rsidR="00E77049" w:rsidRPr="00B541B8" w:rsidTr="00902CC9">
        <w:trPr>
          <w:trHeight w:val="70"/>
        </w:trPr>
        <w:tc>
          <w:tcPr>
            <w:tcW w:w="6232" w:type="dxa"/>
            <w:tcBorders>
              <w:bottom w:val="single" w:sz="4" w:space="0" w:color="auto"/>
            </w:tcBorders>
            <w:tcMar>
              <w:left w:w="85" w:type="dxa"/>
              <w:right w:w="85" w:type="dxa"/>
            </w:tcMar>
          </w:tcPr>
          <w:p w:rsidR="00E77049" w:rsidRPr="00001E4C" w:rsidRDefault="00E77049" w:rsidP="00902CC9">
            <w:pPr>
              <w:spacing w:before="120" w:after="120"/>
              <w:ind w:firstLine="0"/>
              <w:jc w:val="left"/>
              <w:rPr>
                <w:i/>
              </w:rPr>
            </w:pPr>
            <w:bookmarkStart w:id="2" w:name="_Toc328841706"/>
            <w:bookmarkStart w:id="3" w:name="_Toc455391254"/>
            <w:r w:rsidRPr="00D04E18">
              <w:rPr>
                <w:i/>
              </w:rPr>
              <w:t xml:space="preserve">Box </w:t>
            </w:r>
            <w:r w:rsidR="006D6B70" w:rsidRPr="00D04E18">
              <w:rPr>
                <w:i/>
              </w:rPr>
              <w:fldChar w:fldCharType="begin"/>
            </w:r>
            <w:r w:rsidRPr="00D04E18">
              <w:rPr>
                <w:i/>
              </w:rPr>
              <w:instrText xml:space="preserve"> STYLEREF 1 \s </w:instrText>
            </w:r>
            <w:r w:rsidR="006D6B70" w:rsidRPr="00D04E18">
              <w:rPr>
                <w:i/>
              </w:rPr>
              <w:fldChar w:fldCharType="separate"/>
            </w:r>
            <w:r>
              <w:rPr>
                <w:i/>
                <w:noProof/>
              </w:rPr>
              <w:t>26</w:t>
            </w:r>
            <w:r w:rsidR="006D6B70" w:rsidRPr="00D04E18">
              <w:rPr>
                <w:i/>
              </w:rPr>
              <w:fldChar w:fldCharType="end"/>
            </w:r>
            <w:r>
              <w:rPr>
                <w:i/>
              </w:rPr>
              <w:t>.</w:t>
            </w:r>
            <w:r w:rsidR="006D6B70">
              <w:fldChar w:fldCharType="begin"/>
            </w:r>
            <w:r>
              <w:instrText xml:space="preserve"> SEQ Box \* ARABIC \s 1 </w:instrText>
            </w:r>
            <w:r w:rsidR="006D6B70">
              <w:fldChar w:fldCharType="separate"/>
            </w:r>
            <w:r>
              <w:rPr>
                <w:noProof/>
              </w:rPr>
              <w:t>2</w:t>
            </w:r>
            <w:r w:rsidR="006D6B70">
              <w:fldChar w:fldCharType="end"/>
            </w:r>
            <w:r>
              <w:t xml:space="preserve"> </w:t>
            </w:r>
            <w:r w:rsidRPr="00001E4C">
              <w:rPr>
                <w:i/>
              </w:rPr>
              <w:t xml:space="preserve">EU programmes </w:t>
            </w:r>
            <w:r w:rsidRPr="00001E4C">
              <w:rPr>
                <w:rStyle w:val="at1"/>
                <w:i/>
              </w:rPr>
              <w:t>open to Ukraine, Moldova and Georgia</w:t>
            </w:r>
            <w:bookmarkEnd w:id="2"/>
            <w:r>
              <w:rPr>
                <w:rStyle w:val="at1"/>
                <w:i/>
              </w:rPr>
              <w:t>*</w:t>
            </w:r>
            <w:bookmarkEnd w:id="3"/>
          </w:p>
          <w:p w:rsidR="00E77049" w:rsidRPr="00D12F77" w:rsidRDefault="00E77049" w:rsidP="00902CC9">
            <w:pPr>
              <w:spacing w:after="30"/>
              <w:ind w:firstLine="0"/>
              <w:jc w:val="left"/>
              <w:rPr>
                <w:sz w:val="19"/>
                <w:szCs w:val="19"/>
              </w:rPr>
            </w:pPr>
            <w:r w:rsidRPr="00D12F77">
              <w:rPr>
                <w:sz w:val="19"/>
                <w:szCs w:val="19"/>
              </w:rPr>
              <w:t>Asylum, Migration and Integration Fund</w:t>
            </w:r>
          </w:p>
          <w:p w:rsidR="00E77049" w:rsidRPr="00D12F77" w:rsidRDefault="00E77049" w:rsidP="00902CC9">
            <w:pPr>
              <w:spacing w:after="30"/>
              <w:ind w:firstLine="0"/>
              <w:jc w:val="left"/>
              <w:rPr>
                <w:sz w:val="19"/>
                <w:szCs w:val="19"/>
              </w:rPr>
            </w:pPr>
            <w:r w:rsidRPr="00D12F77">
              <w:rPr>
                <w:sz w:val="19"/>
                <w:szCs w:val="19"/>
              </w:rPr>
              <w:t>Competitiveness of Enterprises and SMEs (COSME)</w:t>
            </w:r>
          </w:p>
          <w:p w:rsidR="00E77049" w:rsidRPr="00D12F77" w:rsidRDefault="00E77049" w:rsidP="00902CC9">
            <w:pPr>
              <w:spacing w:after="30"/>
              <w:ind w:firstLine="0"/>
              <w:jc w:val="left"/>
              <w:rPr>
                <w:sz w:val="19"/>
                <w:szCs w:val="19"/>
              </w:rPr>
            </w:pPr>
            <w:r w:rsidRPr="00D12F77">
              <w:rPr>
                <w:sz w:val="19"/>
                <w:szCs w:val="19"/>
              </w:rPr>
              <w:t>Copernicus, European Earth Observation Programme</w:t>
            </w:r>
          </w:p>
          <w:p w:rsidR="00E77049" w:rsidRPr="00D12F77" w:rsidRDefault="00E77049" w:rsidP="00902CC9">
            <w:pPr>
              <w:spacing w:after="30"/>
              <w:ind w:firstLine="0"/>
              <w:jc w:val="left"/>
              <w:rPr>
                <w:b/>
                <w:sz w:val="19"/>
                <w:szCs w:val="19"/>
              </w:rPr>
            </w:pPr>
            <w:r w:rsidRPr="00D12F77">
              <w:rPr>
                <w:b/>
                <w:sz w:val="19"/>
                <w:szCs w:val="19"/>
              </w:rPr>
              <w:t>Creative Europe, Programme for the cultural and creative sectors</w:t>
            </w:r>
          </w:p>
          <w:p w:rsidR="00E77049" w:rsidRPr="00D12F77" w:rsidRDefault="00553B84" w:rsidP="00902CC9">
            <w:pPr>
              <w:spacing w:after="30"/>
              <w:ind w:firstLine="0"/>
              <w:jc w:val="left"/>
              <w:rPr>
                <w:sz w:val="19"/>
                <w:szCs w:val="19"/>
              </w:rPr>
            </w:pPr>
            <w:hyperlink r:id="rId26" w:tgtFrame="_blank" w:tooltip="Customs 2020" w:history="1">
              <w:r w:rsidR="00E77049" w:rsidRPr="00D12F77">
                <w:rPr>
                  <w:rStyle w:val="Hyperlink"/>
                  <w:sz w:val="19"/>
                  <w:szCs w:val="19"/>
                </w:rPr>
                <w:t>Customs 2020</w:t>
              </w:r>
            </w:hyperlink>
          </w:p>
          <w:p w:rsidR="00E77049" w:rsidRPr="00AB5BA3" w:rsidRDefault="00E77049" w:rsidP="00902CC9">
            <w:pPr>
              <w:spacing w:after="30"/>
              <w:ind w:firstLine="0"/>
              <w:jc w:val="left"/>
              <w:rPr>
                <w:b/>
                <w:sz w:val="19"/>
                <w:szCs w:val="19"/>
              </w:rPr>
            </w:pPr>
            <w:r w:rsidRPr="00AB5BA3">
              <w:rPr>
                <w:b/>
                <w:sz w:val="19"/>
                <w:szCs w:val="19"/>
              </w:rPr>
              <w:t>Erasmus+</w:t>
            </w:r>
          </w:p>
          <w:p w:rsidR="00E77049" w:rsidRPr="00D12F77" w:rsidRDefault="00553B84" w:rsidP="00902CC9">
            <w:pPr>
              <w:spacing w:after="30"/>
              <w:ind w:firstLine="0"/>
              <w:jc w:val="left"/>
              <w:rPr>
                <w:sz w:val="19"/>
                <w:szCs w:val="19"/>
              </w:rPr>
            </w:pPr>
            <w:hyperlink r:id="rId27" w:tgtFrame="_blank" w:tooltip="European Maritime and Fisheries Fund" w:history="1">
              <w:r w:rsidR="00E77049" w:rsidRPr="00D12F77">
                <w:rPr>
                  <w:rStyle w:val="Hyperlink"/>
                  <w:sz w:val="19"/>
                  <w:szCs w:val="19"/>
                </w:rPr>
                <w:t>European Maritime and Fisheries Fund</w:t>
              </w:r>
            </w:hyperlink>
          </w:p>
          <w:p w:rsidR="00E77049" w:rsidRPr="00D12F77" w:rsidRDefault="00553B84" w:rsidP="00902CC9">
            <w:pPr>
              <w:spacing w:after="30"/>
              <w:ind w:firstLine="0"/>
              <w:jc w:val="left"/>
              <w:rPr>
                <w:sz w:val="19"/>
                <w:szCs w:val="19"/>
              </w:rPr>
            </w:pPr>
            <w:hyperlink r:id="rId28" w:tgtFrame="_blank" w:tooltip="European Statistical Programme" w:history="1">
              <w:r w:rsidR="00E77049" w:rsidRPr="00D12F77">
                <w:rPr>
                  <w:rStyle w:val="Hyperlink"/>
                  <w:sz w:val="19"/>
                  <w:szCs w:val="19"/>
                </w:rPr>
                <w:t>European Statistical Programme</w:t>
              </w:r>
            </w:hyperlink>
          </w:p>
          <w:p w:rsidR="00E77049" w:rsidRPr="00D12F77" w:rsidRDefault="00553B84" w:rsidP="00902CC9">
            <w:pPr>
              <w:spacing w:after="30"/>
              <w:ind w:firstLine="0"/>
              <w:jc w:val="left"/>
              <w:rPr>
                <w:sz w:val="19"/>
                <w:szCs w:val="19"/>
              </w:rPr>
            </w:pPr>
            <w:hyperlink r:id="rId29" w:tgtFrame="_blank" w:tooltip="European Territorial Cooperation" w:history="1">
              <w:r w:rsidR="00E77049" w:rsidRPr="00D12F77">
                <w:rPr>
                  <w:rStyle w:val="Hyperlink"/>
                  <w:sz w:val="19"/>
                  <w:szCs w:val="19"/>
                </w:rPr>
                <w:t>European Territorial Cooperation</w:t>
              </w:r>
            </w:hyperlink>
          </w:p>
          <w:p w:rsidR="00E77049" w:rsidRPr="00AB5BA3" w:rsidRDefault="00E77049" w:rsidP="00902CC9">
            <w:pPr>
              <w:spacing w:after="30"/>
              <w:ind w:firstLine="0"/>
              <w:jc w:val="left"/>
              <w:rPr>
                <w:b/>
                <w:sz w:val="19"/>
                <w:szCs w:val="19"/>
              </w:rPr>
            </w:pPr>
            <w:r w:rsidRPr="00AB5BA3">
              <w:rPr>
                <w:b/>
                <w:sz w:val="19"/>
                <w:szCs w:val="19"/>
              </w:rPr>
              <w:t xml:space="preserve">European </w:t>
            </w:r>
            <w:hyperlink r:id="rId30" w:tgtFrame="_blank" w:tooltip=" Union Civil Protection Mechanism" w:history="1">
              <w:r w:rsidRPr="00AB5BA3">
                <w:rPr>
                  <w:rStyle w:val="Hyperlink"/>
                  <w:b/>
                  <w:sz w:val="19"/>
                  <w:szCs w:val="19"/>
                </w:rPr>
                <w:t>Union Civil Protection Mechanism</w:t>
              </w:r>
            </w:hyperlink>
          </w:p>
          <w:p w:rsidR="00E77049" w:rsidRPr="00D12F77" w:rsidRDefault="00553B84" w:rsidP="00902CC9">
            <w:pPr>
              <w:spacing w:after="30"/>
              <w:ind w:firstLine="0"/>
              <w:jc w:val="left"/>
              <w:rPr>
                <w:sz w:val="19"/>
                <w:szCs w:val="19"/>
              </w:rPr>
            </w:pPr>
            <w:hyperlink r:id="rId31" w:tgtFrame="_blank" w:tooltip="Fiscalis 2020" w:history="1">
              <w:r w:rsidR="00E77049" w:rsidRPr="00D12F77">
                <w:rPr>
                  <w:rStyle w:val="Hyperlink"/>
                  <w:sz w:val="19"/>
                  <w:szCs w:val="19"/>
                </w:rPr>
                <w:t>Fiscalis 2020</w:t>
              </w:r>
            </w:hyperlink>
            <w:r w:rsidR="00E77049" w:rsidRPr="00D12F77">
              <w:rPr>
                <w:rStyle w:val="Hyperlink"/>
                <w:sz w:val="19"/>
                <w:szCs w:val="19"/>
              </w:rPr>
              <w:t xml:space="preserve"> (</w:t>
            </w:r>
            <w:r w:rsidR="00E77049" w:rsidRPr="00D12F77">
              <w:rPr>
                <w:sz w:val="19"/>
                <w:szCs w:val="19"/>
                <w:shd w:val="clear" w:color="auto" w:fill="FFFFFF"/>
              </w:rPr>
              <w:t>tax administration support</w:t>
            </w:r>
            <w:r w:rsidR="00E77049" w:rsidRPr="00D12F77">
              <w:rPr>
                <w:rStyle w:val="Hyperlink"/>
                <w:sz w:val="19"/>
                <w:szCs w:val="19"/>
              </w:rPr>
              <w:t>)</w:t>
            </w:r>
          </w:p>
          <w:p w:rsidR="00E77049" w:rsidRPr="00D12F77" w:rsidRDefault="00553B84" w:rsidP="00902CC9">
            <w:pPr>
              <w:spacing w:after="30"/>
              <w:ind w:firstLine="0"/>
              <w:jc w:val="left"/>
              <w:rPr>
                <w:sz w:val="19"/>
                <w:szCs w:val="19"/>
              </w:rPr>
            </w:pPr>
            <w:hyperlink r:id="rId32" w:tgtFrame="_blank" w:tooltip="Galileo and EGNOS Programmes" w:history="1">
              <w:r w:rsidR="00E77049" w:rsidRPr="00D12F77">
                <w:rPr>
                  <w:rStyle w:val="Hyperlink"/>
                  <w:sz w:val="19"/>
                  <w:szCs w:val="19"/>
                </w:rPr>
                <w:t>Galileo and EGNOS Programmes</w:t>
              </w:r>
            </w:hyperlink>
            <w:r w:rsidR="00E77049" w:rsidRPr="00D12F77">
              <w:rPr>
                <w:rStyle w:val="Hyperlink"/>
                <w:sz w:val="19"/>
                <w:szCs w:val="19"/>
              </w:rPr>
              <w:t xml:space="preserve">, </w:t>
            </w:r>
            <w:r w:rsidR="00E77049" w:rsidRPr="00D12F77">
              <w:rPr>
                <w:sz w:val="19"/>
                <w:szCs w:val="19"/>
                <w:shd w:val="clear" w:color="auto" w:fill="FFFFFF"/>
              </w:rPr>
              <w:t>Global satellite navigation system</w:t>
            </w:r>
          </w:p>
          <w:p w:rsidR="00E77049" w:rsidRPr="00D12F77" w:rsidRDefault="00553B84" w:rsidP="00902CC9">
            <w:pPr>
              <w:spacing w:after="30"/>
              <w:ind w:firstLine="0"/>
              <w:jc w:val="left"/>
              <w:rPr>
                <w:b/>
                <w:sz w:val="19"/>
                <w:szCs w:val="19"/>
              </w:rPr>
            </w:pPr>
            <w:hyperlink r:id="rId33" w:tgtFrame="_blank" w:tooltip="             Health for Growth           " w:history="1">
              <w:r w:rsidR="00E77049" w:rsidRPr="00D12F77">
                <w:rPr>
                  <w:rStyle w:val="Hyperlink"/>
                  <w:b/>
                  <w:sz w:val="19"/>
                  <w:szCs w:val="19"/>
                </w:rPr>
                <w:t>Health for Growth</w:t>
              </w:r>
            </w:hyperlink>
            <w:r w:rsidR="00E77049" w:rsidRPr="00D12F77">
              <w:rPr>
                <w:b/>
                <w:sz w:val="19"/>
                <w:szCs w:val="19"/>
              </w:rPr>
              <w:t xml:space="preserve"> </w:t>
            </w:r>
          </w:p>
          <w:p w:rsidR="00E77049" w:rsidRPr="00D12F77" w:rsidRDefault="00553B84" w:rsidP="00902CC9">
            <w:pPr>
              <w:spacing w:after="30"/>
              <w:ind w:firstLine="0"/>
              <w:jc w:val="left"/>
              <w:rPr>
                <w:sz w:val="19"/>
                <w:szCs w:val="19"/>
              </w:rPr>
            </w:pPr>
            <w:hyperlink r:id="rId34" w:tgtFrame="_blank" w:tooltip="             Hercule III           " w:history="1">
              <w:r w:rsidR="00E77049" w:rsidRPr="00D12F77">
                <w:rPr>
                  <w:rStyle w:val="Hyperlink"/>
                  <w:sz w:val="19"/>
                  <w:szCs w:val="19"/>
                </w:rPr>
                <w:t>Hercule III</w:t>
              </w:r>
            </w:hyperlink>
            <w:r w:rsidR="00E77049" w:rsidRPr="00D12F77">
              <w:rPr>
                <w:rStyle w:val="Hyperlink"/>
                <w:sz w:val="19"/>
                <w:szCs w:val="19"/>
              </w:rPr>
              <w:t xml:space="preserve"> </w:t>
            </w:r>
            <w:r w:rsidR="00E77049" w:rsidRPr="00D12F77">
              <w:rPr>
                <w:sz w:val="19"/>
                <w:szCs w:val="19"/>
                <w:shd w:val="clear" w:color="auto" w:fill="FFFFFF"/>
              </w:rPr>
              <w:t>Anti-fraud Programme</w:t>
            </w:r>
          </w:p>
          <w:p w:rsidR="00E77049" w:rsidRPr="00D12F77" w:rsidRDefault="00E77049" w:rsidP="00902CC9">
            <w:pPr>
              <w:spacing w:after="30"/>
              <w:ind w:firstLine="0"/>
              <w:jc w:val="left"/>
              <w:rPr>
                <w:b/>
                <w:sz w:val="19"/>
                <w:szCs w:val="19"/>
              </w:rPr>
            </w:pPr>
            <w:r w:rsidRPr="00D12F77">
              <w:rPr>
                <w:b/>
                <w:sz w:val="19"/>
                <w:szCs w:val="19"/>
              </w:rPr>
              <w:t>Horizon 2020</w:t>
            </w:r>
          </w:p>
          <w:p w:rsidR="00E77049" w:rsidRPr="00D12F77" w:rsidRDefault="00553B84" w:rsidP="00902CC9">
            <w:pPr>
              <w:spacing w:after="30"/>
              <w:ind w:firstLine="0"/>
              <w:jc w:val="left"/>
              <w:rPr>
                <w:sz w:val="19"/>
                <w:szCs w:val="19"/>
              </w:rPr>
            </w:pPr>
            <w:hyperlink r:id="rId35" w:tgtFrame="_blank" w:tooltip="             Internal Security Fund           " w:history="1">
              <w:r w:rsidR="00E77049" w:rsidRPr="00D12F77">
                <w:rPr>
                  <w:rStyle w:val="Hyperlink"/>
                  <w:sz w:val="19"/>
                  <w:szCs w:val="19"/>
                </w:rPr>
                <w:t>Internal Security Fund</w:t>
              </w:r>
            </w:hyperlink>
          </w:p>
          <w:p w:rsidR="00E77049" w:rsidRPr="00D12F77" w:rsidRDefault="00553B84" w:rsidP="00902CC9">
            <w:pPr>
              <w:spacing w:after="30"/>
              <w:ind w:firstLine="0"/>
              <w:jc w:val="left"/>
              <w:rPr>
                <w:sz w:val="19"/>
                <w:szCs w:val="19"/>
              </w:rPr>
            </w:pPr>
            <w:hyperlink r:id="rId36" w:tgtFrame="_blank" w:tooltip="Life Programme" w:history="1">
              <w:r w:rsidR="00E77049" w:rsidRPr="00D12F77">
                <w:rPr>
                  <w:rStyle w:val="Hyperlink"/>
                  <w:sz w:val="19"/>
                  <w:szCs w:val="19"/>
                </w:rPr>
                <w:t>Life Programme</w:t>
              </w:r>
            </w:hyperlink>
            <w:r w:rsidR="00E77049" w:rsidRPr="00D12F77">
              <w:rPr>
                <w:sz w:val="19"/>
                <w:szCs w:val="19"/>
              </w:rPr>
              <w:br/>
            </w:r>
            <w:hyperlink r:id="rId37" w:tgtFrame="_blank" w:tooltip="Environment and climate change" w:history="1">
              <w:r w:rsidR="00E77049" w:rsidRPr="00D12F77">
                <w:rPr>
                  <w:rStyle w:val="Hyperlink"/>
                  <w:sz w:val="19"/>
                  <w:szCs w:val="19"/>
                </w:rPr>
                <w:t>Environment and climate change</w:t>
              </w:r>
            </w:hyperlink>
          </w:p>
          <w:p w:rsidR="00E77049" w:rsidRPr="00D12F77" w:rsidRDefault="00553B84" w:rsidP="00902CC9">
            <w:pPr>
              <w:spacing w:after="30"/>
              <w:ind w:firstLine="0"/>
              <w:jc w:val="left"/>
              <w:rPr>
                <w:sz w:val="19"/>
                <w:szCs w:val="19"/>
              </w:rPr>
            </w:pPr>
            <w:hyperlink r:id="rId38" w:tgtFrame="_blank" w:tooltip="             Pericles 2020           " w:history="1">
              <w:r w:rsidR="00E77049" w:rsidRPr="00D12F77">
                <w:rPr>
                  <w:rStyle w:val="Hyperlink"/>
                  <w:sz w:val="19"/>
                  <w:szCs w:val="19"/>
                </w:rPr>
                <w:t>Pericles 2020</w:t>
              </w:r>
            </w:hyperlink>
            <w:r w:rsidR="00E77049" w:rsidRPr="00D12F77">
              <w:rPr>
                <w:rStyle w:val="apple-converted-space"/>
                <w:sz w:val="19"/>
                <w:szCs w:val="19"/>
              </w:rPr>
              <w:t xml:space="preserve">, </w:t>
            </w:r>
            <w:hyperlink r:id="rId39" w:tgtFrame="_blank" w:tooltip="Programme for the protection of the euro against counterfeiting" w:history="1">
              <w:r w:rsidR="00E77049" w:rsidRPr="00D12F77">
                <w:rPr>
                  <w:rStyle w:val="Hyperlink"/>
                  <w:sz w:val="19"/>
                  <w:szCs w:val="19"/>
                </w:rPr>
                <w:t>Programme for the protection of the euro against counterfeiting</w:t>
              </w:r>
            </w:hyperlink>
          </w:p>
          <w:p w:rsidR="00E77049" w:rsidRPr="00D12F77" w:rsidRDefault="00553B84" w:rsidP="00902CC9">
            <w:pPr>
              <w:spacing w:after="30"/>
              <w:ind w:firstLine="0"/>
              <w:jc w:val="left"/>
              <w:rPr>
                <w:rStyle w:val="Hyperlink"/>
                <w:sz w:val="19"/>
                <w:szCs w:val="19"/>
                <w:lang w:val="fr-BE"/>
              </w:rPr>
            </w:pPr>
            <w:hyperlink r:id="rId40" w:tgtFrame="_blank" w:tooltip="             SESAR JU           " w:history="1">
              <w:r w:rsidR="00E77049" w:rsidRPr="00D12F77">
                <w:rPr>
                  <w:rStyle w:val="Hyperlink"/>
                  <w:sz w:val="19"/>
                  <w:szCs w:val="19"/>
                  <w:lang w:val="fr-BE"/>
                </w:rPr>
                <w:t>SESAR JU</w:t>
              </w:r>
            </w:hyperlink>
            <w:r w:rsidR="00E77049" w:rsidRPr="00D12F77">
              <w:rPr>
                <w:sz w:val="19"/>
                <w:szCs w:val="19"/>
                <w:lang w:val="fr-BE"/>
              </w:rPr>
              <w:t xml:space="preserve">, </w:t>
            </w:r>
            <w:hyperlink r:id="rId41" w:tgtFrame="_blank" w:tooltip="Air Traffic Management modernisation" w:history="1">
              <w:r w:rsidR="00E77049" w:rsidRPr="00D12F77">
                <w:rPr>
                  <w:rStyle w:val="Hyperlink"/>
                  <w:sz w:val="19"/>
                  <w:szCs w:val="19"/>
                  <w:lang w:val="fr-BE"/>
                </w:rPr>
                <w:t>Air Traffic Management modernisation</w:t>
              </w:r>
            </w:hyperlink>
          </w:p>
          <w:p w:rsidR="00E77049" w:rsidRPr="00D12F77" w:rsidRDefault="00E77049" w:rsidP="00902CC9">
            <w:pPr>
              <w:keepNext/>
              <w:spacing w:before="120" w:after="120"/>
              <w:ind w:firstLine="0"/>
              <w:jc w:val="left"/>
              <w:rPr>
                <w:sz w:val="17"/>
                <w:szCs w:val="17"/>
              </w:rPr>
            </w:pPr>
            <w:r w:rsidRPr="00D12F77">
              <w:rPr>
                <w:sz w:val="17"/>
                <w:szCs w:val="17"/>
              </w:rPr>
              <w:t>* Bold type denotes those programmes with which Georgia already has ongoing cooperation at different levels (projects, seminars, study visits, etc.).</w:t>
            </w:r>
          </w:p>
        </w:tc>
      </w:tr>
    </w:tbl>
    <w:p w:rsidR="00E77049" w:rsidRPr="00B541B8" w:rsidRDefault="00E77049" w:rsidP="00E77049">
      <w:pPr>
        <w:rPr>
          <w:szCs w:val="21"/>
        </w:rPr>
      </w:pPr>
      <w:r w:rsidRPr="009C02D1">
        <w:rPr>
          <w:szCs w:val="21"/>
        </w:rPr>
        <w:lastRenderedPageBreak/>
        <w:t>Such participation offers a useful means of in-depth integration of professional experts and administrative organisations with EU counterparts, and aids reform processes.</w:t>
      </w:r>
    </w:p>
    <w:p w:rsidR="00E77049" w:rsidRPr="00B541B8" w:rsidRDefault="00E77049" w:rsidP="00E77049">
      <w:pPr>
        <w:rPr>
          <w:szCs w:val="21"/>
        </w:rPr>
      </w:pPr>
      <w:r w:rsidRPr="009C02D1">
        <w:rPr>
          <w:szCs w:val="21"/>
        </w:rPr>
        <w:t>Membership in an agency requires negotiation of a specific international agreement, and a decision on the financial contribution of the partner. Cooperation with a programme is carried out on the basis of a protocol or Memorandum of Understanding</w:t>
      </w:r>
      <w:r>
        <w:rPr>
          <w:szCs w:val="21"/>
        </w:rPr>
        <w:t xml:space="preserve"> (MoU),</w:t>
      </w:r>
      <w:r w:rsidRPr="009C02D1">
        <w:rPr>
          <w:szCs w:val="21"/>
        </w:rPr>
        <w:t xml:space="preserve"> stating the details of participation. Participation in these EU agencies and programmes is subject to regular dialogue and review.</w:t>
      </w:r>
    </w:p>
    <w:p w:rsidR="00E77049" w:rsidRPr="00B541B8" w:rsidRDefault="00E77049" w:rsidP="00E77049">
      <w:pPr>
        <w:rPr>
          <w:rFonts w:cstheme="minorHAnsi"/>
          <w:szCs w:val="21"/>
        </w:rPr>
      </w:pPr>
      <w:r w:rsidRPr="009C02D1">
        <w:rPr>
          <w:rFonts w:cstheme="minorHAnsi"/>
          <w:szCs w:val="21"/>
        </w:rPr>
        <w:t>M</w:t>
      </w:r>
      <w:r w:rsidRPr="009C02D1">
        <w:rPr>
          <w:rStyle w:val="at1"/>
          <w:rFonts w:eastAsiaTheme="majorEastAsia" w:cstheme="minorHAnsi"/>
          <w:szCs w:val="21"/>
          <w:bdr w:val="none" w:sz="0" w:space="0" w:color="auto" w:frame="1"/>
        </w:rPr>
        <w:t xml:space="preserve">embership of the agencies and inclusion in programmes gives full access to the infrastructure and governing bodies, but also involves costs. To ease the financial burden Georgia is able to pay up to 50% of membership fees from EU aid funds, in addition to which temporary rebates may be negotiated. </w:t>
      </w:r>
      <w:r w:rsidRPr="009C02D1">
        <w:rPr>
          <w:rFonts w:cstheme="minorHAnsi"/>
          <w:szCs w:val="21"/>
        </w:rPr>
        <w:t>The process of participating in various programmes can be extremely competitive, such as for research projects under Horizon 2020, but Georgian institutes will normally be joining consortia and counterparts in EU member states in these initiatives.</w:t>
      </w:r>
    </w:p>
    <w:p w:rsidR="00E77049" w:rsidRPr="00B541B8" w:rsidRDefault="00E77049" w:rsidP="00E77049">
      <w:pPr>
        <w:rPr>
          <w:szCs w:val="21"/>
        </w:rPr>
      </w:pPr>
      <w:r w:rsidRPr="009C02D1">
        <w:rPr>
          <w:szCs w:val="21"/>
        </w:rPr>
        <w:t>Georgia has ongoing cooperation at different levels (projects, participation in seminars, study visits, etc.) with the following agencies:</w:t>
      </w:r>
    </w:p>
    <w:p w:rsidR="00E77049" w:rsidRPr="00B541B8" w:rsidRDefault="00553B84" w:rsidP="00E77049">
      <w:pPr>
        <w:rPr>
          <w:b/>
          <w:szCs w:val="21"/>
        </w:rPr>
      </w:pPr>
      <w:hyperlink r:id="rId42" w:history="1">
        <w:r w:rsidR="00E77049" w:rsidRPr="009C02D1">
          <w:rPr>
            <w:b/>
            <w:i/>
            <w:szCs w:val="21"/>
          </w:rPr>
          <w:t>European Aviation Safety Agency (EASA)</w:t>
        </w:r>
      </w:hyperlink>
      <w:r w:rsidR="00E77049" w:rsidRPr="009C02D1">
        <w:rPr>
          <w:b/>
          <w:i/>
          <w:szCs w:val="21"/>
        </w:rPr>
        <w:t>.</w:t>
      </w:r>
      <w:r w:rsidR="00E77049" w:rsidRPr="009C02D1">
        <w:rPr>
          <w:b/>
          <w:szCs w:val="21"/>
        </w:rPr>
        <w:t xml:space="preserve"> </w:t>
      </w:r>
      <w:r w:rsidR="00E77049" w:rsidRPr="009C02D1">
        <w:rPr>
          <w:szCs w:val="21"/>
        </w:rPr>
        <w:t>Cooperation between Georgia and the EASA reflects a shared interest in a high level of civil aviation safety and environmental compatibility. Within this framework several working groups are active, including the pan-European partnership group (EASA</w:t>
      </w:r>
      <w:r w:rsidR="00E77049">
        <w:rPr>
          <w:szCs w:val="21"/>
        </w:rPr>
        <w:t>–</w:t>
      </w:r>
      <w:r w:rsidR="00E77049" w:rsidRPr="009C02D1">
        <w:rPr>
          <w:szCs w:val="21"/>
        </w:rPr>
        <w:t>PANEP). In 2011, Georgia and the EU started implementing a twinning project on harmonisation with EU norms of legislation and standards.</w:t>
      </w:r>
      <w:r w:rsidR="00E77049" w:rsidRPr="009C02D1">
        <w:rPr>
          <w:b/>
          <w:szCs w:val="21"/>
        </w:rPr>
        <w:t xml:space="preserve"> </w:t>
      </w:r>
      <w:r w:rsidR="00E77049" w:rsidRPr="009C02D1">
        <w:rPr>
          <w:szCs w:val="21"/>
        </w:rPr>
        <w:t>In 2014, Georgia became the 40</w:t>
      </w:r>
      <w:r w:rsidR="00E77049" w:rsidRPr="009C02D1">
        <w:rPr>
          <w:szCs w:val="21"/>
          <w:vertAlign w:val="superscript"/>
        </w:rPr>
        <w:t>th</w:t>
      </w:r>
      <w:r w:rsidR="00E77049" w:rsidRPr="009C02D1">
        <w:rPr>
          <w:szCs w:val="21"/>
        </w:rPr>
        <w:t xml:space="preserve"> member of </w:t>
      </w:r>
      <w:r w:rsidR="00E77049">
        <w:rPr>
          <w:szCs w:val="21"/>
        </w:rPr>
        <w:t xml:space="preserve">the </w:t>
      </w:r>
      <w:r w:rsidR="00E77049" w:rsidRPr="009C02D1">
        <w:rPr>
          <w:szCs w:val="21"/>
        </w:rPr>
        <w:t>European Organisation for the Safety of Air Navigation (EUROCONTROL), which will help the integration of Georgian air navigation systems into the European system.</w:t>
      </w:r>
    </w:p>
    <w:p w:rsidR="00E77049" w:rsidRPr="00B541B8" w:rsidRDefault="00553B84" w:rsidP="00E77049">
      <w:pPr>
        <w:rPr>
          <w:b/>
          <w:szCs w:val="21"/>
        </w:rPr>
      </w:pPr>
      <w:hyperlink r:id="rId43" w:history="1">
        <w:r w:rsidR="00E77049" w:rsidRPr="009C02D1">
          <w:rPr>
            <w:b/>
            <w:i/>
            <w:szCs w:val="21"/>
          </w:rPr>
          <w:t>European Maritime Safety Agency (EMSA)</w:t>
        </w:r>
      </w:hyperlink>
      <w:r w:rsidR="00E77049" w:rsidRPr="009C02D1">
        <w:rPr>
          <w:b/>
          <w:i/>
          <w:szCs w:val="21"/>
        </w:rPr>
        <w:t>.</w:t>
      </w:r>
      <w:r w:rsidR="00E77049" w:rsidRPr="009C02D1">
        <w:rPr>
          <w:b/>
          <w:szCs w:val="21"/>
        </w:rPr>
        <w:t xml:space="preserve"> </w:t>
      </w:r>
      <w:r w:rsidR="00E77049" w:rsidRPr="009C02D1">
        <w:rPr>
          <w:szCs w:val="21"/>
        </w:rPr>
        <w:t>The cooperation between Georgia and the EMSA</w:t>
      </w:r>
      <w:r w:rsidR="00E77049">
        <w:rPr>
          <w:szCs w:val="21"/>
        </w:rPr>
        <w:t xml:space="preserve"> seeks</w:t>
      </w:r>
      <w:r w:rsidR="00E77049" w:rsidRPr="009C02D1">
        <w:rPr>
          <w:szCs w:val="21"/>
        </w:rPr>
        <w:t xml:space="preserve"> to ensure a high, uniform and effective level of maritime safety</w:t>
      </w:r>
      <w:r w:rsidR="00E77049">
        <w:rPr>
          <w:szCs w:val="21"/>
        </w:rPr>
        <w:t xml:space="preserve"> and</w:t>
      </w:r>
      <w:r w:rsidR="00E77049" w:rsidRPr="009C02D1">
        <w:rPr>
          <w:szCs w:val="21"/>
        </w:rPr>
        <w:t xml:space="preserve"> security</w:t>
      </w:r>
      <w:r w:rsidR="00E77049">
        <w:rPr>
          <w:szCs w:val="21"/>
        </w:rPr>
        <w:t>,</w:t>
      </w:r>
      <w:r w:rsidR="00E77049" w:rsidRPr="009C02D1">
        <w:rPr>
          <w:szCs w:val="21"/>
        </w:rPr>
        <w:t xml:space="preserve"> and t</w:t>
      </w:r>
      <w:r w:rsidR="00E77049">
        <w:rPr>
          <w:szCs w:val="21"/>
        </w:rPr>
        <w:t>o</w:t>
      </w:r>
      <w:r w:rsidR="00E77049" w:rsidRPr="009C02D1">
        <w:rPr>
          <w:szCs w:val="21"/>
        </w:rPr>
        <w:t xml:space="preserve"> prevent and respon</w:t>
      </w:r>
      <w:r w:rsidR="00E77049">
        <w:rPr>
          <w:szCs w:val="21"/>
        </w:rPr>
        <w:t>d</w:t>
      </w:r>
      <w:r w:rsidR="00E77049" w:rsidRPr="009C02D1">
        <w:rPr>
          <w:szCs w:val="21"/>
        </w:rPr>
        <w:t xml:space="preserve"> to sea pollution. EMSA organises training seminars and supports analysis, research and other projects that envisage the protection of the environment, port control, vessel traffic management and state flag control. As a result, Georgia has considerably improved its education, training and certification of seafarers, and regained the EU recognition of certificates for Georgian seafarers that had been revoked in late 2010.</w:t>
      </w:r>
    </w:p>
    <w:p w:rsidR="00E77049" w:rsidRPr="00B541B8" w:rsidRDefault="00E77049" w:rsidP="00E77049">
      <w:pPr>
        <w:rPr>
          <w:b/>
          <w:szCs w:val="21"/>
        </w:rPr>
      </w:pPr>
      <w:r w:rsidRPr="009C02D1">
        <w:rPr>
          <w:b/>
          <w:i/>
          <w:szCs w:val="21"/>
        </w:rPr>
        <w:t>European Agency for Safety and Health at Work (EU-OSHA).</w:t>
      </w:r>
      <w:r w:rsidRPr="009C02D1">
        <w:rPr>
          <w:b/>
          <w:szCs w:val="21"/>
        </w:rPr>
        <w:t xml:space="preserve"> </w:t>
      </w:r>
      <w:r w:rsidRPr="009C02D1">
        <w:rPr>
          <w:szCs w:val="21"/>
        </w:rPr>
        <w:t xml:space="preserve">Georgia is in the process of developing </w:t>
      </w:r>
      <w:r>
        <w:rPr>
          <w:szCs w:val="21"/>
        </w:rPr>
        <w:t>framework</w:t>
      </w:r>
      <w:r w:rsidRPr="009C02D1">
        <w:rPr>
          <w:szCs w:val="21"/>
        </w:rPr>
        <w:t>s to improve workplace health and safety and in this respect the Ministry of Labour, Health and Social Affairs has been largely supported by the EU-OSHA in providing expertise to improve occupational safety and health through sharing EU experience and improving risk assessment capacity. Cooperation with the EU-OSHA follows from the obligations in the Association Agreement to bring its legislation in this field in line with EU directives.</w:t>
      </w:r>
    </w:p>
    <w:p w:rsidR="00E77049" w:rsidRPr="00B541B8" w:rsidRDefault="00553B84" w:rsidP="00E77049">
      <w:pPr>
        <w:rPr>
          <w:b/>
          <w:szCs w:val="21"/>
        </w:rPr>
      </w:pPr>
      <w:hyperlink r:id="rId44" w:history="1">
        <w:r w:rsidR="00E77049" w:rsidRPr="009C02D1">
          <w:rPr>
            <w:b/>
            <w:i/>
            <w:szCs w:val="21"/>
          </w:rPr>
          <w:t>European Defence Agency (EDA)</w:t>
        </w:r>
      </w:hyperlink>
      <w:r w:rsidR="00E77049" w:rsidRPr="009C02D1">
        <w:rPr>
          <w:b/>
          <w:i/>
          <w:szCs w:val="21"/>
        </w:rPr>
        <w:t>.</w:t>
      </w:r>
      <w:r w:rsidR="00E77049" w:rsidRPr="009C02D1">
        <w:rPr>
          <w:b/>
          <w:szCs w:val="21"/>
        </w:rPr>
        <w:t xml:space="preserve"> </w:t>
      </w:r>
      <w:r w:rsidR="00E77049" w:rsidRPr="009C02D1">
        <w:rPr>
          <w:szCs w:val="21"/>
        </w:rPr>
        <w:t xml:space="preserve">There is significant potential to cooperate between Georgia and EDA, although this has not yet been reflected in practice. The </w:t>
      </w:r>
      <w:r w:rsidR="00E77049">
        <w:rPr>
          <w:szCs w:val="21"/>
        </w:rPr>
        <w:t>g</w:t>
      </w:r>
      <w:r w:rsidR="00E77049" w:rsidRPr="009C02D1">
        <w:rPr>
          <w:szCs w:val="21"/>
        </w:rPr>
        <w:t>overnment is currently considering specific opportunities for mutually beneficial cooperation with the Agency.</w:t>
      </w:r>
    </w:p>
    <w:p w:rsidR="00E77049" w:rsidRPr="00B541B8" w:rsidRDefault="00553B84" w:rsidP="00E77049">
      <w:pPr>
        <w:rPr>
          <w:b/>
          <w:szCs w:val="21"/>
        </w:rPr>
      </w:pPr>
      <w:hyperlink r:id="rId45" w:history="1">
        <w:r w:rsidR="00E77049" w:rsidRPr="009C02D1">
          <w:rPr>
            <w:b/>
            <w:i/>
            <w:szCs w:val="21"/>
          </w:rPr>
          <w:t>European Monitoring Centre for Drugs and Drug Addiction (EMCDDA)</w:t>
        </w:r>
      </w:hyperlink>
      <w:r w:rsidR="00E77049" w:rsidRPr="009C02D1">
        <w:rPr>
          <w:b/>
          <w:i/>
          <w:szCs w:val="21"/>
        </w:rPr>
        <w:t>.</w:t>
      </w:r>
      <w:r w:rsidR="00E77049" w:rsidRPr="009C02D1">
        <w:rPr>
          <w:b/>
          <w:szCs w:val="21"/>
        </w:rPr>
        <w:t xml:space="preserve"> </w:t>
      </w:r>
      <w:r w:rsidR="00E77049" w:rsidRPr="009C02D1">
        <w:rPr>
          <w:szCs w:val="21"/>
        </w:rPr>
        <w:t xml:space="preserve">Georgia has cooperated with the EMCDDA since 2014. The MoU signed by the Ministry of Justice and the EMCDDA </w:t>
      </w:r>
      <w:r w:rsidR="00E77049">
        <w:rPr>
          <w:szCs w:val="21"/>
        </w:rPr>
        <w:t>aims</w:t>
      </w:r>
      <w:r w:rsidR="00E77049" w:rsidRPr="009C02D1">
        <w:rPr>
          <w:szCs w:val="21"/>
        </w:rPr>
        <w:t xml:space="preserve"> to help Georgia implement its commitments under the Association Agreement. By applying evidence-based</w:t>
      </w:r>
      <w:r w:rsidR="00E77049">
        <w:rPr>
          <w:szCs w:val="21"/>
        </w:rPr>
        <w:t>,</w:t>
      </w:r>
      <w:r w:rsidR="00E77049" w:rsidRPr="009C02D1">
        <w:rPr>
          <w:szCs w:val="21"/>
        </w:rPr>
        <w:t xml:space="preserve"> scientific practical methodologies</w:t>
      </w:r>
      <w:r w:rsidR="00E77049">
        <w:rPr>
          <w:szCs w:val="21"/>
        </w:rPr>
        <w:t>,</w:t>
      </w:r>
      <w:r w:rsidR="00E77049" w:rsidRPr="009C02D1">
        <w:rPr>
          <w:szCs w:val="21"/>
        </w:rPr>
        <w:t xml:space="preserve"> Georgia has considerably improved the collection and </w:t>
      </w:r>
      <w:r w:rsidR="00E77049" w:rsidRPr="009C02D1">
        <w:rPr>
          <w:szCs w:val="21"/>
        </w:rPr>
        <w:lastRenderedPageBreak/>
        <w:t xml:space="preserve">analysis of information. The </w:t>
      </w:r>
      <w:r w:rsidR="00E77049">
        <w:rPr>
          <w:szCs w:val="21"/>
        </w:rPr>
        <w:t>parties</w:t>
      </w:r>
      <w:r w:rsidR="00E77049" w:rsidRPr="009C02D1">
        <w:rPr>
          <w:szCs w:val="21"/>
        </w:rPr>
        <w:t xml:space="preserve"> will regularly exchange information on illegal trafficking of drugs and psychotropic substances, and on their production and use.</w:t>
      </w:r>
    </w:p>
    <w:p w:rsidR="00E77049" w:rsidRPr="00B541B8" w:rsidRDefault="00553B84" w:rsidP="00E77049">
      <w:pPr>
        <w:rPr>
          <w:szCs w:val="21"/>
          <w:lang w:eastAsia="en-GB"/>
        </w:rPr>
      </w:pPr>
      <w:hyperlink r:id="rId46" w:history="1">
        <w:r w:rsidR="00E77049" w:rsidRPr="009C02D1">
          <w:rPr>
            <w:b/>
            <w:i/>
            <w:szCs w:val="21"/>
          </w:rPr>
          <w:t>European Police College (CEPOL)</w:t>
        </w:r>
      </w:hyperlink>
      <w:r w:rsidR="00E77049" w:rsidRPr="009C02D1">
        <w:rPr>
          <w:b/>
          <w:i/>
          <w:szCs w:val="21"/>
        </w:rPr>
        <w:t>.</w:t>
      </w:r>
      <w:r w:rsidR="00E77049" w:rsidRPr="009C02D1">
        <w:rPr>
          <w:b/>
          <w:szCs w:val="21"/>
        </w:rPr>
        <w:t xml:space="preserve"> </w:t>
      </w:r>
      <w:r w:rsidR="00E77049" w:rsidRPr="009C02D1">
        <w:rPr>
          <w:szCs w:val="21"/>
        </w:rPr>
        <w:t xml:space="preserve">Cooperation with the European Police College </w:t>
      </w:r>
      <w:r w:rsidR="00E77049">
        <w:rPr>
          <w:szCs w:val="21"/>
        </w:rPr>
        <w:t>involves</w:t>
      </w:r>
      <w:r w:rsidR="00E77049" w:rsidRPr="009C02D1">
        <w:rPr>
          <w:szCs w:val="21"/>
        </w:rPr>
        <w:t xml:space="preserve"> shar</w:t>
      </w:r>
      <w:r w:rsidR="00E77049">
        <w:rPr>
          <w:szCs w:val="21"/>
        </w:rPr>
        <w:t>ing</w:t>
      </w:r>
      <w:r w:rsidR="00E77049" w:rsidRPr="009C02D1">
        <w:rPr>
          <w:szCs w:val="21"/>
        </w:rPr>
        <w:t xml:space="preserve"> experience and import</w:t>
      </w:r>
      <w:r w:rsidR="00E77049">
        <w:rPr>
          <w:szCs w:val="21"/>
        </w:rPr>
        <w:t>ing</w:t>
      </w:r>
      <w:r w:rsidR="00E77049" w:rsidRPr="009C02D1">
        <w:rPr>
          <w:szCs w:val="21"/>
        </w:rPr>
        <w:t xml:space="preserve"> the best practices of advanced European training institutions. </w:t>
      </w:r>
      <w:r w:rsidR="00133F1C">
        <w:rPr>
          <w:szCs w:val="21"/>
        </w:rPr>
        <w:t xml:space="preserve">Bilateral cooperation agreement was signed between CEPOL and the Ministry of Internal Affairs </w:t>
      </w:r>
      <w:r w:rsidR="00197DFC">
        <w:rPr>
          <w:szCs w:val="21"/>
        </w:rPr>
        <w:t xml:space="preserve">(MIA) </w:t>
      </w:r>
      <w:r w:rsidR="00133F1C">
        <w:rPr>
          <w:szCs w:val="21"/>
        </w:rPr>
        <w:t xml:space="preserve">of Georgia in 2011. </w:t>
      </w:r>
      <w:r w:rsidR="00E77049" w:rsidRPr="009C02D1">
        <w:rPr>
          <w:szCs w:val="21"/>
          <w:lang w:eastAsia="en-GB"/>
        </w:rPr>
        <w:t>Since 2013</w:t>
      </w:r>
      <w:r w:rsidR="00E77049">
        <w:rPr>
          <w:szCs w:val="21"/>
          <w:lang w:eastAsia="en-GB"/>
        </w:rPr>
        <w:t>,</w:t>
      </w:r>
      <w:r w:rsidR="00E77049" w:rsidRPr="009C02D1">
        <w:rPr>
          <w:szCs w:val="21"/>
          <w:lang w:eastAsia="en-GB"/>
        </w:rPr>
        <w:t xml:space="preserve"> the Ministry of Internal Affairs has been actively engaged in an exchange programme </w:t>
      </w:r>
      <w:r w:rsidR="00E77049">
        <w:rPr>
          <w:szCs w:val="21"/>
          <w:lang w:eastAsia="en-GB"/>
        </w:rPr>
        <w:t>with</w:t>
      </w:r>
      <w:r w:rsidR="00E77049" w:rsidRPr="009C02D1">
        <w:rPr>
          <w:szCs w:val="21"/>
          <w:lang w:eastAsia="en-GB"/>
        </w:rPr>
        <w:t xml:space="preserve"> the European Police College, which enables the ministry’s officials to visit the law enforcement agencies of partner states. The programme offers experience-sharing in the fields of illegal migration, human trafficking, cybercrime, organised crime and human rights.</w:t>
      </w:r>
    </w:p>
    <w:p w:rsidR="00E77049" w:rsidRPr="009C02D1" w:rsidRDefault="00553B84" w:rsidP="00E77049">
      <w:pPr>
        <w:rPr>
          <w:i/>
          <w:szCs w:val="21"/>
        </w:rPr>
      </w:pPr>
      <w:hyperlink r:id="rId47" w:history="1">
        <w:r w:rsidR="00E77049" w:rsidRPr="009C02D1">
          <w:rPr>
            <w:b/>
            <w:i/>
            <w:szCs w:val="21"/>
          </w:rPr>
          <w:t>European Union’s Judicial Cooperation Unit (EUROJUST)</w:t>
        </w:r>
      </w:hyperlink>
      <w:r w:rsidR="00E77049" w:rsidRPr="009C02D1">
        <w:rPr>
          <w:b/>
          <w:i/>
          <w:szCs w:val="21"/>
        </w:rPr>
        <w:t>.</w:t>
      </w:r>
      <w:r w:rsidR="00E77049" w:rsidRPr="009C02D1">
        <w:rPr>
          <w:b/>
          <w:szCs w:val="21"/>
        </w:rPr>
        <w:t xml:space="preserve"> </w:t>
      </w:r>
      <w:r w:rsidR="00E77049" w:rsidRPr="009C02D1">
        <w:rPr>
          <w:szCs w:val="21"/>
        </w:rPr>
        <w:t>Since January 2015, Georgia has been officially included in the priority country list of EUROJUST, which triggers the process of concluding a cooperation agreement with EUROJUST</w:t>
      </w:r>
      <w:r w:rsidR="00E77049" w:rsidRPr="009C02D1">
        <w:rPr>
          <w:i/>
          <w:szCs w:val="21"/>
        </w:rPr>
        <w:t>.</w:t>
      </w:r>
    </w:p>
    <w:p w:rsidR="00E77049" w:rsidRDefault="00553B84" w:rsidP="00E77049">
      <w:pPr>
        <w:rPr>
          <w:szCs w:val="21"/>
        </w:rPr>
      </w:pPr>
      <w:hyperlink r:id="rId48" w:history="1">
        <w:r w:rsidR="00E77049" w:rsidRPr="009C02D1">
          <w:rPr>
            <w:b/>
            <w:i/>
            <w:szCs w:val="21"/>
          </w:rPr>
          <w:t>European Agency for the Management of Operational Cooperation at the External Borders (FRONTEX)</w:t>
        </w:r>
      </w:hyperlink>
      <w:r w:rsidR="00E77049" w:rsidRPr="009C02D1">
        <w:rPr>
          <w:b/>
          <w:i/>
          <w:szCs w:val="21"/>
        </w:rPr>
        <w:t>.</w:t>
      </w:r>
      <w:r w:rsidR="00E77049" w:rsidRPr="009C02D1">
        <w:rPr>
          <w:b/>
          <w:szCs w:val="21"/>
        </w:rPr>
        <w:t xml:space="preserve"> </w:t>
      </w:r>
      <w:r w:rsidR="00E77049" w:rsidRPr="009C02D1">
        <w:rPr>
          <w:szCs w:val="21"/>
        </w:rPr>
        <w:t>In 2013</w:t>
      </w:r>
      <w:r w:rsidR="00E77049">
        <w:rPr>
          <w:szCs w:val="21"/>
        </w:rPr>
        <w:t>,</w:t>
      </w:r>
      <w:r w:rsidR="00E77049" w:rsidRPr="009C02D1">
        <w:rPr>
          <w:szCs w:val="21"/>
        </w:rPr>
        <w:t xml:space="preserve"> FRONTEX and the Ministry of Internal Affairs of Georgia signed a cooperation plan for the period of 2013</w:t>
      </w:r>
      <w:r w:rsidR="00E77049">
        <w:rPr>
          <w:szCs w:val="21"/>
        </w:rPr>
        <w:t>–</w:t>
      </w:r>
      <w:r w:rsidR="00E77049" w:rsidRPr="009C02D1">
        <w:rPr>
          <w:szCs w:val="21"/>
        </w:rPr>
        <w:t>15, providing for participation in training seminars and operations in various European countries. For 2014</w:t>
      </w:r>
      <w:r w:rsidR="00E77049">
        <w:rPr>
          <w:szCs w:val="21"/>
        </w:rPr>
        <w:t>–</w:t>
      </w:r>
      <w:r w:rsidR="00E77049" w:rsidRPr="009C02D1">
        <w:rPr>
          <w:szCs w:val="21"/>
        </w:rPr>
        <w:t xml:space="preserve">17, FRONTEX implements a project on Integrated Border Management Capacity, which aims to improve the training capacity of </w:t>
      </w:r>
      <w:r w:rsidR="00E77049">
        <w:rPr>
          <w:szCs w:val="21"/>
        </w:rPr>
        <w:t>b</w:t>
      </w:r>
      <w:r w:rsidR="00E77049" w:rsidRPr="009C02D1">
        <w:rPr>
          <w:szCs w:val="21"/>
        </w:rPr>
        <w:t xml:space="preserve">order </w:t>
      </w:r>
      <w:r w:rsidR="00E77049">
        <w:rPr>
          <w:szCs w:val="21"/>
        </w:rPr>
        <w:t>a</w:t>
      </w:r>
      <w:r w:rsidR="00E77049" w:rsidRPr="009C02D1">
        <w:rPr>
          <w:szCs w:val="21"/>
        </w:rPr>
        <w:t>gencies in Georgia and all six Eastern Partnership states. The Common Integrated Risk Analysis Model methodology, developed by FRONTEX, has been translated into Georgian.</w:t>
      </w:r>
      <w:r w:rsidR="00197DFC">
        <w:rPr>
          <w:szCs w:val="21"/>
        </w:rPr>
        <w:t xml:space="preserve"> Representatives of the MIA Migration Department participate in joint return operations and trainings organized by FRONTEX , in accordance with the EU-Georgia Readmission Agreement.</w:t>
      </w:r>
    </w:p>
    <w:p w:rsidR="00E77049" w:rsidRPr="00B541B8" w:rsidRDefault="00553B84" w:rsidP="00E77049">
      <w:pPr>
        <w:rPr>
          <w:szCs w:val="21"/>
        </w:rPr>
      </w:pPr>
      <w:hyperlink r:id="rId49" w:history="1">
        <w:r w:rsidR="00E77049" w:rsidRPr="009C02D1">
          <w:rPr>
            <w:b/>
            <w:i/>
            <w:szCs w:val="21"/>
          </w:rPr>
          <w:t>European Environment Agency (EEA)</w:t>
        </w:r>
      </w:hyperlink>
      <w:r w:rsidR="00E77049" w:rsidRPr="009C02D1">
        <w:rPr>
          <w:b/>
          <w:i/>
          <w:szCs w:val="21"/>
        </w:rPr>
        <w:t>.</w:t>
      </w:r>
      <w:r w:rsidR="00E77049" w:rsidRPr="009C02D1">
        <w:rPr>
          <w:szCs w:val="21"/>
        </w:rPr>
        <w:t xml:space="preserve"> Cooperation between Georgia and the EEA has been underway since 2010 within the framework of the project on extending the Shared Environment Information System to the European Neighbourhood Policy Countries (SEIS). In 2015 this project was extended to 2016</w:t>
      </w:r>
      <w:r w:rsidR="00E77049">
        <w:rPr>
          <w:szCs w:val="21"/>
        </w:rPr>
        <w:t>–</w:t>
      </w:r>
      <w:r w:rsidR="008A0455">
        <w:rPr>
          <w:szCs w:val="21"/>
        </w:rPr>
        <w:t>20 (SEIS II EAST)</w:t>
      </w:r>
      <w:r w:rsidR="00E77049" w:rsidRPr="009C02D1">
        <w:rPr>
          <w:szCs w:val="21"/>
        </w:rPr>
        <w:t>, and involves the sharing of best practices in analysing, storing and managing environmental information; enhancing capacity in data reporting mechanisms; and producing National State of the Environment Reports.</w:t>
      </w:r>
    </w:p>
    <w:p w:rsidR="00E77049" w:rsidRPr="00B541B8" w:rsidRDefault="00E77049" w:rsidP="00E77049">
      <w:pPr>
        <w:rPr>
          <w:szCs w:val="21"/>
        </w:rPr>
      </w:pPr>
      <w:r w:rsidRPr="009C02D1">
        <w:rPr>
          <w:szCs w:val="21"/>
        </w:rPr>
        <w:t>Of all the EU programmes</w:t>
      </w:r>
      <w:r>
        <w:rPr>
          <w:szCs w:val="21"/>
        </w:rPr>
        <w:t>,</w:t>
      </w:r>
      <w:r w:rsidRPr="009C02D1">
        <w:rPr>
          <w:szCs w:val="21"/>
        </w:rPr>
        <w:t xml:space="preserve"> Georgia is most actively engaged </w:t>
      </w:r>
      <w:r>
        <w:rPr>
          <w:szCs w:val="21"/>
        </w:rPr>
        <w:t>in</w:t>
      </w:r>
      <w:r w:rsidRPr="009C02D1">
        <w:rPr>
          <w:szCs w:val="21"/>
        </w:rPr>
        <w:t xml:space="preserve"> the </w:t>
      </w:r>
      <w:r w:rsidRPr="009C02D1">
        <w:rPr>
          <w:b/>
          <w:i/>
          <w:szCs w:val="21"/>
        </w:rPr>
        <w:t>Horizon 2020</w:t>
      </w:r>
      <w:r w:rsidRPr="009C02D1">
        <w:rPr>
          <w:szCs w:val="21"/>
        </w:rPr>
        <w:t xml:space="preserve">, the </w:t>
      </w:r>
      <w:r w:rsidRPr="009C02D1">
        <w:rPr>
          <w:b/>
          <w:i/>
          <w:szCs w:val="21"/>
        </w:rPr>
        <w:t>Erasmus+</w:t>
      </w:r>
      <w:r w:rsidRPr="009C02D1">
        <w:rPr>
          <w:szCs w:val="21"/>
        </w:rPr>
        <w:t xml:space="preserve"> (on which see the chapters on science and education respectively) and the new </w:t>
      </w:r>
      <w:r w:rsidRPr="009C02D1">
        <w:rPr>
          <w:b/>
          <w:i/>
          <w:szCs w:val="21"/>
        </w:rPr>
        <w:t>Creative Europe</w:t>
      </w:r>
      <w:r w:rsidRPr="009C02D1">
        <w:rPr>
          <w:szCs w:val="21"/>
        </w:rPr>
        <w:t xml:space="preserve"> programmes. Creative Europe enables professionals and organisations in the cultural, artistic and creative sectors from Georgia to work throughout Europe, address new audiences and implement projects with European partners.</w:t>
      </w:r>
    </w:p>
    <w:p w:rsidR="00E77049" w:rsidRPr="00B541B8" w:rsidRDefault="00E77049" w:rsidP="00E77049">
      <w:pPr>
        <w:rPr>
          <w:szCs w:val="21"/>
        </w:rPr>
      </w:pPr>
    </w:p>
    <w:p w:rsidR="00E77049" w:rsidRPr="00B541B8" w:rsidRDefault="00E77049" w:rsidP="00E77049">
      <w:pPr>
        <w:pBdr>
          <w:top w:val="single" w:sz="4" w:space="6" w:color="auto"/>
          <w:left w:val="single" w:sz="4" w:space="6" w:color="auto"/>
          <w:bottom w:val="single" w:sz="4" w:space="6" w:color="auto"/>
          <w:right w:val="single" w:sz="4" w:space="6" w:color="auto"/>
        </w:pBdr>
        <w:spacing w:after="120"/>
        <w:ind w:left="113" w:right="113" w:firstLine="0"/>
        <w:rPr>
          <w:b/>
          <w:i/>
        </w:rPr>
      </w:pPr>
      <w:r w:rsidRPr="009C02D1">
        <w:rPr>
          <w:b/>
          <w:i/>
        </w:rPr>
        <w:t>The EU agencies and programmes at a glance</w:t>
      </w:r>
    </w:p>
    <w:p w:rsidR="00E77049" w:rsidRPr="00B541B8" w:rsidRDefault="00E77049" w:rsidP="00E77049">
      <w:pPr>
        <w:pBdr>
          <w:top w:val="single" w:sz="4" w:space="6" w:color="auto"/>
          <w:left w:val="single" w:sz="4" w:space="6" w:color="auto"/>
          <w:bottom w:val="single" w:sz="4" w:space="6" w:color="auto"/>
          <w:right w:val="single" w:sz="4" w:space="6" w:color="auto"/>
        </w:pBdr>
        <w:spacing w:after="120"/>
        <w:ind w:left="113" w:right="113" w:firstLine="0"/>
        <w:rPr>
          <w:i/>
        </w:rPr>
      </w:pPr>
      <w:r w:rsidRPr="009C02D1">
        <w:rPr>
          <w:i/>
        </w:rPr>
        <w:t>There are extensive possibilities for inclusion in EU agencies and programmes, with the potential to develop institutional capabilities and advance reforms.</w:t>
      </w:r>
    </w:p>
    <w:p w:rsidR="00E77049" w:rsidRDefault="00E77049" w:rsidP="00E77049">
      <w:pPr>
        <w:pBdr>
          <w:top w:val="single" w:sz="4" w:space="6" w:color="auto"/>
          <w:left w:val="single" w:sz="4" w:space="6" w:color="auto"/>
          <w:bottom w:val="single" w:sz="4" w:space="6" w:color="auto"/>
          <w:right w:val="single" w:sz="4" w:space="6" w:color="auto"/>
        </w:pBdr>
        <w:spacing w:after="120"/>
        <w:ind w:left="113" w:right="113" w:firstLine="0"/>
        <w:rPr>
          <w:i/>
        </w:rPr>
      </w:pPr>
      <w:r w:rsidRPr="009C02D1">
        <w:rPr>
          <w:i/>
        </w:rPr>
        <w:t>Georgia is taking up a considerable number of these possibilities, which relate to important aspects of Georgia’s modernisation and integration with Europe, for example health and safety standards, policing and justice, research, education and culture.</w:t>
      </w:r>
    </w:p>
    <w:p w:rsidR="00AE189A" w:rsidRDefault="00E77049" w:rsidP="00CB26C3">
      <w:pPr>
        <w:pBdr>
          <w:top w:val="single" w:sz="4" w:space="6" w:color="auto"/>
          <w:left w:val="single" w:sz="4" w:space="6" w:color="auto"/>
          <w:bottom w:val="single" w:sz="4" w:space="6" w:color="auto"/>
          <w:right w:val="single" w:sz="4" w:space="6" w:color="auto"/>
        </w:pBdr>
        <w:spacing w:after="120"/>
        <w:ind w:left="113" w:right="113" w:firstLine="0"/>
      </w:pPr>
      <w:r w:rsidRPr="009C02D1">
        <w:rPr>
          <w:i/>
        </w:rPr>
        <w:t>The EU offers financial assistance to contribut</w:t>
      </w:r>
      <w:r w:rsidR="00CB26C3">
        <w:rPr>
          <w:i/>
        </w:rPr>
        <w:t>e to the costs of participation.</w:t>
      </w:r>
      <w:r w:rsidR="00CB26C3">
        <w:t xml:space="preserve"> </w:t>
      </w:r>
    </w:p>
    <w:p w:rsidR="00AB5BA3" w:rsidRDefault="00AB5BA3" w:rsidP="00AB5BA3">
      <w:pPr>
        <w:tabs>
          <w:tab w:val="left" w:pos="3156"/>
        </w:tabs>
        <w:ind w:firstLine="0"/>
      </w:pPr>
    </w:p>
    <w:p w:rsidR="000F491F" w:rsidRPr="00AB5BA3" w:rsidRDefault="00AE189A" w:rsidP="00AB5BA3">
      <w:pPr>
        <w:tabs>
          <w:tab w:val="left" w:pos="3156"/>
        </w:tabs>
        <w:ind w:firstLine="0"/>
      </w:pPr>
      <w:bookmarkStart w:id="4" w:name="_GoBack"/>
      <w:bookmarkEnd w:id="4"/>
      <w:r w:rsidRPr="00A103E1">
        <w:rPr>
          <w:b/>
          <w:color w:val="FF0000"/>
          <w:szCs w:val="21"/>
        </w:rPr>
        <w:t xml:space="preserve">The European Training Foundation (ETF).  </w:t>
      </w:r>
      <w:r w:rsidRPr="00A103E1">
        <w:rPr>
          <w:color w:val="FF0000"/>
          <w:szCs w:val="21"/>
        </w:rPr>
        <w:t xml:space="preserve">ETF helps Georgia </w:t>
      </w:r>
      <w:r w:rsidR="000F491F" w:rsidRPr="00A103E1">
        <w:rPr>
          <w:color w:val="FF0000"/>
          <w:szCs w:val="21"/>
        </w:rPr>
        <w:t xml:space="preserve">in capacity development for stakeholders in the VET dialogue at national and sector levels.  As well as supports the EU delegation in its actions on employment and VET enforcement. </w:t>
      </w:r>
    </w:p>
    <w:p w:rsidR="00BE5937" w:rsidRPr="00A103E1" w:rsidRDefault="00BE5937" w:rsidP="00AE189A">
      <w:pPr>
        <w:tabs>
          <w:tab w:val="left" w:pos="3156"/>
        </w:tabs>
        <w:ind w:firstLine="0"/>
        <w:rPr>
          <w:color w:val="FF0000"/>
          <w:szCs w:val="21"/>
        </w:rPr>
      </w:pPr>
    </w:p>
    <w:p w:rsidR="00AE189A" w:rsidRPr="00A103E1" w:rsidRDefault="00BE5937" w:rsidP="00BE5937">
      <w:pPr>
        <w:tabs>
          <w:tab w:val="left" w:pos="3156"/>
        </w:tabs>
        <w:ind w:firstLine="0"/>
        <w:rPr>
          <w:color w:val="FF0000"/>
          <w:szCs w:val="21"/>
        </w:rPr>
      </w:pPr>
      <w:r w:rsidRPr="00A103E1">
        <w:rPr>
          <w:b/>
          <w:color w:val="FF0000"/>
          <w:szCs w:val="21"/>
        </w:rPr>
        <w:t xml:space="preserve">European Centre for Prevention and Disease  Control (ECDC). </w:t>
      </w:r>
      <w:r w:rsidRPr="00A103E1">
        <w:rPr>
          <w:color w:val="FF0000"/>
          <w:szCs w:val="21"/>
        </w:rPr>
        <w:t xml:space="preserve">During 2015-2016 Georgian epidemiologists and Public Health Practitioners have been participating as an external participants in the MediPIET </w:t>
      </w:r>
      <w:r w:rsidR="009A0439" w:rsidRPr="00A103E1">
        <w:rPr>
          <w:color w:val="FF0000"/>
          <w:szCs w:val="21"/>
        </w:rPr>
        <w:t xml:space="preserve">training </w:t>
      </w:r>
      <w:r w:rsidRPr="00A103E1">
        <w:rPr>
          <w:color w:val="FF0000"/>
          <w:szCs w:val="21"/>
        </w:rPr>
        <w:t xml:space="preserve">modules. </w:t>
      </w:r>
    </w:p>
    <w:p w:rsidR="00133F1C" w:rsidRPr="00A103E1" w:rsidRDefault="00133F1C" w:rsidP="00BE5937">
      <w:pPr>
        <w:tabs>
          <w:tab w:val="left" w:pos="3156"/>
        </w:tabs>
        <w:ind w:firstLine="0"/>
        <w:rPr>
          <w:color w:val="FF0000"/>
          <w:szCs w:val="21"/>
        </w:rPr>
      </w:pPr>
    </w:p>
    <w:p w:rsidR="004E15A1" w:rsidRPr="00A103E1" w:rsidRDefault="004B046A" w:rsidP="00BE5937">
      <w:pPr>
        <w:tabs>
          <w:tab w:val="left" w:pos="3156"/>
        </w:tabs>
        <w:ind w:firstLine="0"/>
        <w:rPr>
          <w:color w:val="FF0000"/>
          <w:szCs w:val="21"/>
        </w:rPr>
      </w:pPr>
      <w:r w:rsidRPr="00A103E1">
        <w:rPr>
          <w:b/>
          <w:color w:val="FF0000"/>
          <w:szCs w:val="21"/>
        </w:rPr>
        <w:lastRenderedPageBreak/>
        <w:t xml:space="preserve">European Police Office (Europol).  </w:t>
      </w:r>
      <w:r w:rsidR="004E15A1" w:rsidRPr="00A103E1">
        <w:rPr>
          <w:color w:val="FF0000"/>
          <w:szCs w:val="21"/>
        </w:rPr>
        <w:t>In April 2017, the Europol and the Ministry of Internal Affairs of Georgia signed the Agreement on Operational and Strategic Cooperation.  The Agreement aims to expand cooperation to combat serious and organised cross-border criminal activities.  The posting of the Georgian liaison officer to Europol will be possible after the conclusion of the s.c. ‘liaison agreement’ which is planned for 2018.</w:t>
      </w:r>
    </w:p>
    <w:p w:rsidR="004E15A1" w:rsidRDefault="004E15A1" w:rsidP="00BE5937">
      <w:pPr>
        <w:tabs>
          <w:tab w:val="left" w:pos="3156"/>
        </w:tabs>
        <w:ind w:firstLine="0"/>
        <w:rPr>
          <w:szCs w:val="21"/>
        </w:rPr>
      </w:pPr>
    </w:p>
    <w:p w:rsidR="004E15A1" w:rsidRDefault="004E15A1" w:rsidP="00BE5937">
      <w:pPr>
        <w:tabs>
          <w:tab w:val="left" w:pos="3156"/>
        </w:tabs>
        <w:ind w:firstLine="0"/>
        <w:rPr>
          <w:szCs w:val="21"/>
        </w:rPr>
      </w:pPr>
    </w:p>
    <w:p w:rsidR="001D57F4" w:rsidRDefault="001D57F4" w:rsidP="00BE5937">
      <w:pPr>
        <w:tabs>
          <w:tab w:val="left" w:pos="3156"/>
        </w:tabs>
        <w:ind w:firstLine="0"/>
        <w:rPr>
          <w:szCs w:val="21"/>
        </w:rPr>
      </w:pPr>
    </w:p>
    <w:p w:rsidR="001D57F4" w:rsidRDefault="001D57F4" w:rsidP="00BE5937">
      <w:pPr>
        <w:tabs>
          <w:tab w:val="left" w:pos="3156"/>
        </w:tabs>
        <w:ind w:firstLine="0"/>
        <w:rPr>
          <w:szCs w:val="21"/>
        </w:rPr>
      </w:pPr>
    </w:p>
    <w:p w:rsidR="001D57F4" w:rsidRDefault="001D57F4" w:rsidP="00BE5937">
      <w:pPr>
        <w:tabs>
          <w:tab w:val="left" w:pos="3156"/>
        </w:tabs>
        <w:ind w:firstLine="0"/>
        <w:rPr>
          <w:szCs w:val="21"/>
        </w:rPr>
      </w:pPr>
    </w:p>
    <w:p w:rsidR="001D57F4" w:rsidRDefault="001D57F4" w:rsidP="00BE5937">
      <w:pPr>
        <w:tabs>
          <w:tab w:val="left" w:pos="3156"/>
        </w:tabs>
        <w:ind w:firstLine="0"/>
        <w:rPr>
          <w:szCs w:val="21"/>
        </w:rPr>
      </w:pPr>
    </w:p>
    <w:p w:rsidR="004E15A1" w:rsidRDefault="004E15A1" w:rsidP="00BE5937">
      <w:pPr>
        <w:tabs>
          <w:tab w:val="left" w:pos="3156"/>
        </w:tabs>
        <w:ind w:firstLine="0"/>
        <w:rPr>
          <w:szCs w:val="21"/>
        </w:rPr>
      </w:pPr>
    </w:p>
    <w:p w:rsidR="004E15A1" w:rsidRPr="004E15A1" w:rsidRDefault="004E15A1" w:rsidP="00BE5937">
      <w:pPr>
        <w:tabs>
          <w:tab w:val="left" w:pos="3156"/>
        </w:tabs>
        <w:ind w:firstLine="0"/>
        <w:rPr>
          <w:szCs w:val="21"/>
        </w:rPr>
      </w:pPr>
      <w:r>
        <w:rPr>
          <w:szCs w:val="21"/>
        </w:rPr>
        <w:t xml:space="preserve"> </w:t>
      </w:r>
    </w:p>
    <w:p w:rsidR="004B046A" w:rsidRDefault="004B046A" w:rsidP="00BE5937">
      <w:pPr>
        <w:tabs>
          <w:tab w:val="left" w:pos="3156"/>
        </w:tabs>
        <w:ind w:firstLine="0"/>
        <w:rPr>
          <w:b/>
          <w:szCs w:val="21"/>
        </w:rPr>
      </w:pPr>
    </w:p>
    <w:p w:rsidR="004B046A" w:rsidRPr="00121150" w:rsidRDefault="00DE2814" w:rsidP="00BE5937">
      <w:pPr>
        <w:tabs>
          <w:tab w:val="left" w:pos="3156"/>
        </w:tabs>
        <w:ind w:firstLine="0"/>
        <w:rPr>
          <w:b/>
          <w:color w:val="FF0000"/>
          <w:szCs w:val="21"/>
        </w:rPr>
      </w:pPr>
      <w:r w:rsidRPr="00121150">
        <w:rPr>
          <w:b/>
          <w:color w:val="FF0000"/>
          <w:szCs w:val="21"/>
        </w:rPr>
        <w:t xml:space="preserve">EU Civil Protection Mechanism. </w:t>
      </w:r>
      <w:r w:rsidRPr="00121150">
        <w:rPr>
          <w:color w:val="FF0000"/>
          <w:szCs w:val="21"/>
        </w:rPr>
        <w:t xml:space="preserve"> DG ECHO and Emergency Management Service (EMS) of Georgia are in the final stage for the signature of an administrative arrangement with respect to disaster risk management cooperation. This arrangement provides the necessary framework for the various activities to be undertaken, including trainings, projects and peer reviews and brings Georgia closer to the UCPM. </w:t>
      </w:r>
      <w:r w:rsidRPr="00121150">
        <w:rPr>
          <w:b/>
          <w:color w:val="FF0000"/>
          <w:szCs w:val="21"/>
        </w:rPr>
        <w:t xml:space="preserve"> </w:t>
      </w:r>
    </w:p>
    <w:sectPr w:rsidR="004B046A" w:rsidRPr="00121150" w:rsidSect="006D6B70">
      <w:footerReference w:type="first" r:id="rId5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B84" w:rsidRDefault="00553B84">
      <w:pPr>
        <w:spacing w:after="0"/>
      </w:pPr>
      <w:r>
        <w:separator/>
      </w:r>
    </w:p>
  </w:endnote>
  <w:endnote w:type="continuationSeparator" w:id="0">
    <w:p w:rsidR="00553B84" w:rsidRDefault="00553B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4B" w:rsidRDefault="00E77049" w:rsidP="00D12F77">
    <w:pPr>
      <w:pStyle w:val="Footer"/>
      <w:ind w:firstLine="0"/>
      <w:jc w:val="right"/>
    </w:pPr>
    <w:r w:rsidRPr="003A724D">
      <w:rPr>
        <w:sz w:val="19"/>
        <w:szCs w:val="19"/>
      </w:rPr>
      <w:sym w:font="Symbol" w:char="F0BD"/>
    </w:r>
    <w:r>
      <w:rPr>
        <w:sz w:val="19"/>
        <w:szCs w:val="19"/>
      </w:rPr>
      <w:t xml:space="preserve"> </w:t>
    </w:r>
    <w:r w:rsidR="006D6B70" w:rsidRPr="003A724D">
      <w:rPr>
        <w:rStyle w:val="PageNumber"/>
        <w:sz w:val="19"/>
        <w:szCs w:val="19"/>
      </w:rPr>
      <w:fldChar w:fldCharType="begin"/>
    </w:r>
    <w:r w:rsidRPr="003A724D">
      <w:rPr>
        <w:rStyle w:val="PageNumber"/>
        <w:sz w:val="19"/>
        <w:szCs w:val="19"/>
      </w:rPr>
      <w:instrText xml:space="preserve"> PAGE </w:instrText>
    </w:r>
    <w:r w:rsidR="006D6B70" w:rsidRPr="003A724D">
      <w:rPr>
        <w:rStyle w:val="PageNumber"/>
        <w:sz w:val="19"/>
        <w:szCs w:val="19"/>
      </w:rPr>
      <w:fldChar w:fldCharType="separate"/>
    </w:r>
    <w:r w:rsidR="00CB26C3">
      <w:rPr>
        <w:rStyle w:val="PageNumber"/>
        <w:noProof/>
        <w:sz w:val="19"/>
        <w:szCs w:val="19"/>
      </w:rPr>
      <w:t>1</w:t>
    </w:r>
    <w:r w:rsidR="006D6B70" w:rsidRPr="003A724D">
      <w:rPr>
        <w:rStyle w:val="PageNumber"/>
        <w:sz w:val="19"/>
        <w:szCs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B84" w:rsidRDefault="00553B84">
      <w:pPr>
        <w:spacing w:after="0"/>
      </w:pPr>
      <w:r>
        <w:separator/>
      </w:r>
    </w:p>
  </w:footnote>
  <w:footnote w:type="continuationSeparator" w:id="0">
    <w:p w:rsidR="00553B84" w:rsidRDefault="00553B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0484D"/>
    <w:multiLevelType w:val="multilevel"/>
    <w:tmpl w:val="33244130"/>
    <w:lvl w:ilvl="0">
      <w:start w:val="1"/>
      <w:numFmt w:val="decimal"/>
      <w:pStyle w:val="Heading1"/>
      <w:lvlText w:val="%1."/>
      <w:lvlJc w:val="left"/>
      <w:pPr>
        <w:tabs>
          <w:tab w:val="num" w:pos="0"/>
        </w:tabs>
        <w:ind w:left="567" w:hanging="567"/>
      </w:pPr>
      <w:rPr>
        <w:rFonts w:hint="default"/>
      </w:rPr>
    </w:lvl>
    <w:lvl w:ilvl="1">
      <w:start w:val="1"/>
      <w:numFmt w:val="decimal"/>
      <w:pStyle w:val="Heading2"/>
      <w:isLgl/>
      <w:lvlText w:val="%1.%2"/>
      <w:lvlJc w:val="left"/>
      <w:pPr>
        <w:tabs>
          <w:tab w:val="num" w:pos="567"/>
        </w:tabs>
        <w:ind w:left="567" w:hanging="567"/>
      </w:pPr>
      <w:rPr>
        <w:rFonts w:cs="Times New Roman" w:hint="default"/>
      </w:rPr>
    </w:lvl>
    <w:lvl w:ilvl="2">
      <w:start w:val="1"/>
      <w:numFmt w:val="decimal"/>
      <w:pStyle w:val="Heading3"/>
      <w:isLgl/>
      <w:lvlText w:val="%1.%2.%3"/>
      <w:lvlJc w:val="left"/>
      <w:pPr>
        <w:tabs>
          <w:tab w:val="num" w:pos="567"/>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360"/>
        </w:tabs>
        <w:ind w:left="1080" w:hanging="1080"/>
      </w:pPr>
      <w:rPr>
        <w:rFonts w:cs="Times New Roman" w:hint="default"/>
      </w:rPr>
    </w:lvl>
    <w:lvl w:ilvl="5">
      <w:start w:val="1"/>
      <w:numFmt w:val="decimal"/>
      <w:isLgl/>
      <w:lvlText w:val="%1.%2.%3.%4.%5.%6"/>
      <w:lvlJc w:val="left"/>
      <w:pPr>
        <w:tabs>
          <w:tab w:val="num" w:pos="-360"/>
        </w:tabs>
        <w:ind w:left="1440" w:hanging="1440"/>
      </w:pPr>
      <w:rPr>
        <w:rFonts w:cs="Times New Roman" w:hint="default"/>
      </w:rPr>
    </w:lvl>
    <w:lvl w:ilvl="6">
      <w:start w:val="1"/>
      <w:numFmt w:val="decimal"/>
      <w:isLgl/>
      <w:lvlText w:val="%1.%2.%3.%4.%5.%6.%7"/>
      <w:lvlJc w:val="left"/>
      <w:pPr>
        <w:tabs>
          <w:tab w:val="num" w:pos="-360"/>
        </w:tabs>
        <w:ind w:left="1440" w:hanging="1440"/>
      </w:pPr>
      <w:rPr>
        <w:rFonts w:cs="Times New Roman" w:hint="default"/>
      </w:rPr>
    </w:lvl>
    <w:lvl w:ilvl="7">
      <w:start w:val="1"/>
      <w:numFmt w:val="decimal"/>
      <w:isLgl/>
      <w:lvlText w:val="%1.%2.%3.%4.%5.%6.%7.%8"/>
      <w:lvlJc w:val="left"/>
      <w:pPr>
        <w:tabs>
          <w:tab w:val="num" w:pos="-360"/>
        </w:tabs>
        <w:ind w:left="1800" w:hanging="1800"/>
      </w:pPr>
      <w:rPr>
        <w:rFonts w:cs="Times New Roman" w:hint="default"/>
      </w:rPr>
    </w:lvl>
    <w:lvl w:ilvl="8">
      <w:start w:val="1"/>
      <w:numFmt w:val="decimal"/>
      <w:isLgl/>
      <w:lvlText w:val="%1.%2.%3.%4.%5.%6.%7.%8.%9"/>
      <w:lvlJc w:val="left"/>
      <w:pPr>
        <w:tabs>
          <w:tab w:val="num" w:pos="-36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AF"/>
    <w:rsid w:val="000A3B0D"/>
    <w:rsid w:val="000F491F"/>
    <w:rsid w:val="00121150"/>
    <w:rsid w:val="00133F1C"/>
    <w:rsid w:val="00197DFC"/>
    <w:rsid w:val="001D57F4"/>
    <w:rsid w:val="00384031"/>
    <w:rsid w:val="00457573"/>
    <w:rsid w:val="00486A4C"/>
    <w:rsid w:val="004B046A"/>
    <w:rsid w:val="004E15A1"/>
    <w:rsid w:val="00501800"/>
    <w:rsid w:val="00553B84"/>
    <w:rsid w:val="005D09D9"/>
    <w:rsid w:val="00685B83"/>
    <w:rsid w:val="006D6B70"/>
    <w:rsid w:val="00857F1E"/>
    <w:rsid w:val="008A0455"/>
    <w:rsid w:val="008A5DB7"/>
    <w:rsid w:val="009455AD"/>
    <w:rsid w:val="009A0439"/>
    <w:rsid w:val="009B7DAF"/>
    <w:rsid w:val="00A103E1"/>
    <w:rsid w:val="00AB5BA3"/>
    <w:rsid w:val="00AE189A"/>
    <w:rsid w:val="00BE5937"/>
    <w:rsid w:val="00CB26C3"/>
    <w:rsid w:val="00D357B7"/>
    <w:rsid w:val="00DE2814"/>
    <w:rsid w:val="00E77049"/>
    <w:rsid w:val="00F5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390EEE5-6214-4A23-8F5A-61B046F3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049"/>
    <w:pPr>
      <w:spacing w:after="60" w:line="240" w:lineRule="auto"/>
      <w:ind w:firstLine="567"/>
      <w:jc w:val="both"/>
    </w:pPr>
    <w:rPr>
      <w:rFonts w:ascii="Book Antiqua" w:eastAsia="Times New Roman" w:hAnsi="Book Antiqua" w:cs="Times New Roman"/>
      <w:sz w:val="20"/>
    </w:rPr>
  </w:style>
  <w:style w:type="paragraph" w:styleId="Heading1">
    <w:name w:val="heading 1"/>
    <w:basedOn w:val="Normal"/>
    <w:next w:val="Normal"/>
    <w:link w:val="Heading1Char"/>
    <w:uiPriority w:val="9"/>
    <w:qFormat/>
    <w:rsid w:val="00E77049"/>
    <w:pPr>
      <w:keepNext/>
      <w:keepLines/>
      <w:numPr>
        <w:numId w:val="1"/>
      </w:numPr>
      <w:pBdr>
        <w:bottom w:val="single" w:sz="12" w:space="6" w:color="808080"/>
      </w:pBdr>
      <w:spacing w:after="360"/>
      <w:jc w:val="left"/>
      <w:outlineLvl w:val="0"/>
    </w:pPr>
    <w:rPr>
      <w:rFonts w:eastAsia="MS Gothic"/>
      <w:b/>
      <w:smallCaps/>
      <w:sz w:val="40"/>
      <w:szCs w:val="40"/>
      <w:shd w:val="clear" w:color="auto" w:fill="FFFFFF"/>
    </w:rPr>
  </w:style>
  <w:style w:type="paragraph" w:styleId="Heading2">
    <w:name w:val="heading 2"/>
    <w:basedOn w:val="Normal"/>
    <w:next w:val="Normal"/>
    <w:link w:val="Heading2Char"/>
    <w:uiPriority w:val="9"/>
    <w:qFormat/>
    <w:rsid w:val="00E77049"/>
    <w:pPr>
      <w:keepNext/>
      <w:keepLines/>
      <w:numPr>
        <w:ilvl w:val="1"/>
        <w:numId w:val="1"/>
      </w:numPr>
      <w:spacing w:before="240" w:after="120"/>
      <w:jc w:val="left"/>
      <w:outlineLvl w:val="1"/>
    </w:pPr>
    <w:rPr>
      <w:rFonts w:eastAsia="MS Gothic"/>
      <w:b/>
      <w:bCs/>
      <w:sz w:val="26"/>
      <w:szCs w:val="26"/>
    </w:rPr>
  </w:style>
  <w:style w:type="paragraph" w:styleId="Heading3">
    <w:name w:val="heading 3"/>
    <w:basedOn w:val="Normal"/>
    <w:next w:val="Normal"/>
    <w:link w:val="Heading3Char"/>
    <w:qFormat/>
    <w:rsid w:val="00E77049"/>
    <w:pPr>
      <w:keepNext/>
      <w:numPr>
        <w:ilvl w:val="2"/>
        <w:numId w:val="1"/>
      </w:numPr>
      <w:spacing w:before="240" w:after="120"/>
      <w:jc w:val="left"/>
      <w:outlineLvl w:val="2"/>
    </w:pPr>
    <w:rPr>
      <w:rFonts w:cs="Arial"/>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49"/>
    <w:rPr>
      <w:rFonts w:ascii="Book Antiqua" w:eastAsia="MS Gothic" w:hAnsi="Book Antiqua" w:cs="Times New Roman"/>
      <w:b/>
      <w:smallCaps/>
      <w:sz w:val="40"/>
      <w:szCs w:val="40"/>
    </w:rPr>
  </w:style>
  <w:style w:type="character" w:customStyle="1" w:styleId="Heading2Char">
    <w:name w:val="Heading 2 Char"/>
    <w:basedOn w:val="DefaultParagraphFont"/>
    <w:link w:val="Heading2"/>
    <w:uiPriority w:val="9"/>
    <w:rsid w:val="00E77049"/>
    <w:rPr>
      <w:rFonts w:ascii="Book Antiqua" w:eastAsia="MS Gothic" w:hAnsi="Book Antiqua" w:cs="Times New Roman"/>
      <w:b/>
      <w:bCs/>
      <w:sz w:val="26"/>
      <w:szCs w:val="26"/>
    </w:rPr>
  </w:style>
  <w:style w:type="character" w:customStyle="1" w:styleId="Heading3Char">
    <w:name w:val="Heading 3 Char"/>
    <w:basedOn w:val="DefaultParagraphFont"/>
    <w:link w:val="Heading3"/>
    <w:rsid w:val="00E77049"/>
    <w:rPr>
      <w:rFonts w:ascii="Book Antiqua" w:eastAsia="Times New Roman" w:hAnsi="Book Antiqua" w:cs="Arial"/>
      <w:b/>
      <w:bCs/>
      <w:i/>
      <w:sz w:val="26"/>
      <w:szCs w:val="26"/>
    </w:rPr>
  </w:style>
  <w:style w:type="paragraph" w:styleId="Footer">
    <w:name w:val="footer"/>
    <w:aliases w:val="Netgreen_Footer"/>
    <w:basedOn w:val="Normal"/>
    <w:link w:val="FooterChar"/>
    <w:uiPriority w:val="99"/>
    <w:unhideWhenUsed/>
    <w:rsid w:val="00E77049"/>
    <w:pPr>
      <w:tabs>
        <w:tab w:val="center" w:pos="4320"/>
        <w:tab w:val="right" w:pos="8640"/>
      </w:tabs>
      <w:spacing w:after="0"/>
    </w:pPr>
  </w:style>
  <w:style w:type="character" w:customStyle="1" w:styleId="FooterChar">
    <w:name w:val="Footer Char"/>
    <w:aliases w:val="Netgreen_Footer Char"/>
    <w:basedOn w:val="DefaultParagraphFont"/>
    <w:link w:val="Footer"/>
    <w:uiPriority w:val="99"/>
    <w:rsid w:val="00E77049"/>
    <w:rPr>
      <w:rFonts w:ascii="Book Antiqua" w:eastAsia="Times New Roman" w:hAnsi="Book Antiqua" w:cs="Times New Roman"/>
      <w:sz w:val="20"/>
    </w:rPr>
  </w:style>
  <w:style w:type="character" w:styleId="PageNumber">
    <w:name w:val="page number"/>
    <w:uiPriority w:val="99"/>
    <w:semiHidden/>
    <w:unhideWhenUsed/>
    <w:rsid w:val="00E77049"/>
    <w:rPr>
      <w:rFonts w:cs="Times New Roman"/>
    </w:rPr>
  </w:style>
  <w:style w:type="paragraph" w:styleId="NoSpacing">
    <w:name w:val="No Spacing"/>
    <w:uiPriority w:val="1"/>
    <w:qFormat/>
    <w:rsid w:val="00E77049"/>
    <w:pPr>
      <w:spacing w:after="0" w:line="240" w:lineRule="auto"/>
    </w:pPr>
    <w:rPr>
      <w:rFonts w:ascii="Calibri" w:eastAsia="Times New Roman" w:hAnsi="Calibri" w:cs="Times New Roman"/>
    </w:rPr>
  </w:style>
  <w:style w:type="character" w:styleId="Hyperlink">
    <w:name w:val="Hyperlink"/>
    <w:uiPriority w:val="99"/>
    <w:unhideWhenUsed/>
    <w:rsid w:val="00E77049"/>
    <w:rPr>
      <w:rFonts w:cs="Times New Roman"/>
      <w:color w:val="0563C1"/>
      <w:u w:val="single"/>
    </w:rPr>
  </w:style>
  <w:style w:type="character" w:customStyle="1" w:styleId="apple-converted-space">
    <w:name w:val="apple-converted-space"/>
    <w:rsid w:val="00E77049"/>
    <w:rPr>
      <w:rFonts w:cs="Times New Roman"/>
    </w:rPr>
  </w:style>
  <w:style w:type="table" w:styleId="TableGrid">
    <w:name w:val="Table Grid"/>
    <w:basedOn w:val="TableNormal"/>
    <w:uiPriority w:val="59"/>
    <w:rsid w:val="00E77049"/>
    <w:pPr>
      <w:spacing w:after="0" w:line="240" w:lineRule="auto"/>
    </w:pPr>
    <w:rPr>
      <w:rFonts w:ascii="Calibri" w:eastAsia="MS Mincho"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E77049"/>
    <w:pPr>
      <w:keepNext/>
      <w:spacing w:before="240"/>
      <w:ind w:firstLine="0"/>
      <w:jc w:val="left"/>
    </w:pPr>
    <w:rPr>
      <w:bCs/>
      <w:i/>
      <w:szCs w:val="18"/>
    </w:rPr>
  </w:style>
  <w:style w:type="character" w:customStyle="1" w:styleId="at1">
    <w:name w:val="a__t1"/>
    <w:basedOn w:val="DefaultParagraphFont"/>
    <w:rsid w:val="00E77049"/>
  </w:style>
  <w:style w:type="paragraph" w:styleId="BalloonText">
    <w:name w:val="Balloon Text"/>
    <w:basedOn w:val="Normal"/>
    <w:link w:val="BalloonTextChar"/>
    <w:uiPriority w:val="99"/>
    <w:semiHidden/>
    <w:unhideWhenUsed/>
    <w:rsid w:val="00BE59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3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B046A"/>
    <w:pPr>
      <w:spacing w:after="0"/>
      <w:ind w:firstLine="0"/>
      <w:jc w:val="left"/>
    </w:pPr>
    <w:rPr>
      <w:rFonts w:ascii="Calibri" w:eastAsiaTheme="minorHAnsi" w:hAnsi="Calibri"/>
      <w:szCs w:val="20"/>
      <w:lang w:val="en-US"/>
    </w:rPr>
  </w:style>
  <w:style w:type="character" w:customStyle="1" w:styleId="FootnoteTextChar">
    <w:name w:val="Footnote Text Char"/>
    <w:basedOn w:val="DefaultParagraphFont"/>
    <w:link w:val="FootnoteText"/>
    <w:uiPriority w:val="99"/>
    <w:semiHidden/>
    <w:rsid w:val="004B046A"/>
    <w:rPr>
      <w:rFonts w:ascii="Calibri" w:hAnsi="Calibri" w:cs="Times New Roman"/>
      <w:sz w:val="20"/>
      <w:szCs w:val="20"/>
      <w:lang w:val="en-US"/>
    </w:rPr>
  </w:style>
  <w:style w:type="character" w:styleId="FootnoteReference">
    <w:name w:val="footnote reference"/>
    <w:basedOn w:val="DefaultParagraphFont"/>
    <w:uiPriority w:val="99"/>
    <w:semiHidden/>
    <w:unhideWhenUsed/>
    <w:rsid w:val="004B04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opa.eu/about-eu/agencies/regulatory_agencies_bodies/security_agencies/eda/index_en.htm" TargetMode="External"/><Relationship Id="rId18" Type="http://schemas.openxmlformats.org/officeDocument/2006/relationships/hyperlink" Target="http://europa.eu/about-eu/agencies/regulatory_agencies_bodies/policy_agencies/eige/index_en.htm" TargetMode="External"/><Relationship Id="rId26" Type="http://schemas.openxmlformats.org/officeDocument/2006/relationships/hyperlink" Target="http://eeas.europa.eu/enp/eu-programmes/pdf/5-customs-2020-presentation_en.pdf" TargetMode="External"/><Relationship Id="rId39" Type="http://schemas.openxmlformats.org/officeDocument/2006/relationships/hyperlink" Target="http://eeas.europa.eu/enp/eu-programmes/pdf/17-fiche-programme-pericles-2020_en.pdf" TargetMode="External"/><Relationship Id="rId21" Type="http://schemas.openxmlformats.org/officeDocument/2006/relationships/hyperlink" Target="http://europa.eu/about-eu/agencies/regulatory_agencies_bodies/policy_agencies/enisa/index_en.htm" TargetMode="External"/><Relationship Id="rId34" Type="http://schemas.openxmlformats.org/officeDocument/2006/relationships/hyperlink" Target="http://eeas.europa.eu/enp/eu-programmes/pdf/13-hercule-iii-presentation_en.pdf" TargetMode="External"/><Relationship Id="rId42" Type="http://schemas.openxmlformats.org/officeDocument/2006/relationships/hyperlink" Target="http://europa.eu/about-eu/agencies/regulatory_agencies_bodies/policy_agencies/easa/index_en.htm" TargetMode="External"/><Relationship Id="rId47" Type="http://schemas.openxmlformats.org/officeDocument/2006/relationships/hyperlink" Target="http://europa.eu/about-eu/agencies/regulatory_agencies_bodies/pol_agencies/eurojust/index_en.htm" TargetMode="External"/><Relationship Id="rId50" Type="http://schemas.openxmlformats.org/officeDocument/2006/relationships/footer" Target="footer1.xml"/><Relationship Id="rId7" Type="http://schemas.openxmlformats.org/officeDocument/2006/relationships/hyperlink" Target="http://europa.eu/about-eu/agencies/regulatory_agencies_bodies/policy_agencies/osha/index_en.htm" TargetMode="External"/><Relationship Id="rId2" Type="http://schemas.openxmlformats.org/officeDocument/2006/relationships/styles" Target="styles.xml"/><Relationship Id="rId16" Type="http://schemas.openxmlformats.org/officeDocument/2006/relationships/hyperlink" Target="http://europa.eu/about-eu/agencies/regulatory_agencies_bodies/policy_agencies/eurofound/index_en.htm" TargetMode="External"/><Relationship Id="rId29" Type="http://schemas.openxmlformats.org/officeDocument/2006/relationships/hyperlink" Target="http://eeas.europa.eu/enp/eu-programmes/pdf/9-etc-presentation_en.pdf" TargetMode="External"/><Relationship Id="rId11" Type="http://schemas.openxmlformats.org/officeDocument/2006/relationships/hyperlink" Target="http://europa.eu/about-eu/agencies/regulatory_agencies_bodies/policy_agencies/ecdc/index_en.htm" TargetMode="External"/><Relationship Id="rId24" Type="http://schemas.openxmlformats.org/officeDocument/2006/relationships/hyperlink" Target="http://europa.eu/about-eu/agencies/regulatory_agencies_bodies/security_agencies/iss/index_en.htm" TargetMode="External"/><Relationship Id="rId32" Type="http://schemas.openxmlformats.org/officeDocument/2006/relationships/hyperlink" Target="http://eeas.europa.eu/enp/eu-programmes/pdf/11-galileo-and-egnos_en.pdf" TargetMode="External"/><Relationship Id="rId37" Type="http://schemas.openxmlformats.org/officeDocument/2006/relationships/hyperlink" Target="http://eeas.europa.eu/enp/eu-programmes/pdf/16-fiche-programme-life_en.pdf" TargetMode="External"/><Relationship Id="rId40" Type="http://schemas.openxmlformats.org/officeDocument/2006/relationships/hyperlink" Target="http://eeas.europa.eu/enp/eu-programmes/pdf/18-sesar-presentation_en.pdf" TargetMode="External"/><Relationship Id="rId45" Type="http://schemas.openxmlformats.org/officeDocument/2006/relationships/hyperlink" Target="http://europa.eu/about-eu/agencies/regulatory_agencies_bodies/policy_agencies/emcdda/index_en.htm" TargetMode="External"/><Relationship Id="rId5" Type="http://schemas.openxmlformats.org/officeDocument/2006/relationships/footnotes" Target="footnotes.xml"/><Relationship Id="rId15" Type="http://schemas.openxmlformats.org/officeDocument/2006/relationships/hyperlink" Target="http://europa.eu/about-eu/agencies/regulatory_agencies_bodies/policy_agencies/efca/index_en.htm" TargetMode="External"/><Relationship Id="rId23" Type="http://schemas.openxmlformats.org/officeDocument/2006/relationships/hyperlink" Target="http://europa.eu/about-eu/agencies/regulatory_agencies_bodies/pol_agencies/europol/index_en.htm" TargetMode="External"/><Relationship Id="rId28" Type="http://schemas.openxmlformats.org/officeDocument/2006/relationships/hyperlink" Target="http://eeas.europa.eu/enp/eu-programmes/pdf/8-european-statistical-programme_en.pdf" TargetMode="External"/><Relationship Id="rId36" Type="http://schemas.openxmlformats.org/officeDocument/2006/relationships/hyperlink" Target="http://eeas.europa.eu/enp/eu-programmes/pdf/16-life-presentation_en.pdf" TargetMode="External"/><Relationship Id="rId49" Type="http://schemas.openxmlformats.org/officeDocument/2006/relationships/hyperlink" Target="http://europa.eu/about-eu/agencies/regulatory_agencies_bodies/policy_agencies/eea/index_en.htm" TargetMode="External"/><Relationship Id="rId10" Type="http://schemas.openxmlformats.org/officeDocument/2006/relationships/hyperlink" Target="http://europa.eu/about-eu/agencies/regulatory_agencies_bodies/policy_agencies/easa/index_en.htm" TargetMode="External"/><Relationship Id="rId19" Type="http://schemas.openxmlformats.org/officeDocument/2006/relationships/hyperlink" Target="http://europa.eu/about-eu/agencies/regulatory_agencies_bodies/policy_agencies/emsa/index_en.htm" TargetMode="External"/><Relationship Id="rId31" Type="http://schemas.openxmlformats.org/officeDocument/2006/relationships/hyperlink" Target="http://eeas.europa.eu/enp/eu-programmes/pdf/10-enp-fiscalis-2020-presentation_en.pdf" TargetMode="External"/><Relationship Id="rId44" Type="http://schemas.openxmlformats.org/officeDocument/2006/relationships/hyperlink" Target="http://europa.eu/about-eu/agencies/regulatory_agencies_bodies/security_agencies/eda/index_en.ht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aso.europa.eu/" TargetMode="External"/><Relationship Id="rId14" Type="http://schemas.openxmlformats.org/officeDocument/2006/relationships/hyperlink" Target="http://europa.eu/about-eu/agencies/regulatory_agencies_bodies/policy_agencies/eea/index_en.htm" TargetMode="External"/><Relationship Id="rId22" Type="http://schemas.openxmlformats.org/officeDocument/2006/relationships/hyperlink" Target="http://europa.eu/about-eu/agencies/regulatory_agencies_bodies/pol_agencies/cepol/index_en.htm" TargetMode="External"/><Relationship Id="rId27" Type="http://schemas.openxmlformats.org/officeDocument/2006/relationships/hyperlink" Target="http://eeas.europa.eu/enp/eu-programmes/pdf/7-emff-presentation_en.pdf" TargetMode="External"/><Relationship Id="rId30" Type="http://schemas.openxmlformats.org/officeDocument/2006/relationships/hyperlink" Target="http://eeas.europa.eu/enp/eu-programmes/pdf/19-civil-protection-presentation_en.pdf" TargetMode="External"/><Relationship Id="rId35" Type="http://schemas.openxmlformats.org/officeDocument/2006/relationships/hyperlink" Target="http://eeas.europa.eu/enp/eu-programmes/pdf/15-internal-security-fund_en.pdf" TargetMode="External"/><Relationship Id="rId43" Type="http://schemas.openxmlformats.org/officeDocument/2006/relationships/hyperlink" Target="http://europa.eu/about-eu/agencies/regulatory_agencies_bodies/policy_agencies/emsa/index_en.htm" TargetMode="External"/><Relationship Id="rId48" Type="http://schemas.openxmlformats.org/officeDocument/2006/relationships/hyperlink" Target="http://europa.eu/about-eu/agencies/regulatory_agencies_bodies/policy_agencies/frontex/index_en.htm" TargetMode="External"/><Relationship Id="rId8" Type="http://schemas.openxmlformats.org/officeDocument/2006/relationships/hyperlink" Target="http://europa.eu/about-eu/agencies/regulatory_agencies_bodies/policy_agencies/frontex/index_en.ht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europa.eu/about-eu/agencies/regulatory_agencies_bodies/policy_agencies/echa/index_en.htm" TargetMode="External"/><Relationship Id="rId17" Type="http://schemas.openxmlformats.org/officeDocument/2006/relationships/hyperlink" Target="http://europa.eu/about-eu/agencies/regulatory_agencies_bodies/policy_agencies/egsa/index_en.htm" TargetMode="External"/><Relationship Id="rId25" Type="http://schemas.openxmlformats.org/officeDocument/2006/relationships/hyperlink" Target="http://europa.eu/about-eu/agencies/regulatory_agencies_bodies/pol_agencies/eurojust/index_en.htm" TargetMode="External"/><Relationship Id="rId33" Type="http://schemas.openxmlformats.org/officeDocument/2006/relationships/hyperlink" Target="http://eeas.europa.eu/enp/eu-programmes/pdf/12-health-programme-presentation_en.pdf" TargetMode="External"/><Relationship Id="rId38" Type="http://schemas.openxmlformats.org/officeDocument/2006/relationships/hyperlink" Target="http://eeas.europa.eu/enp/eu-programmes/pdf/17-pericles-2020-presentation_en.pdf" TargetMode="External"/><Relationship Id="rId46" Type="http://schemas.openxmlformats.org/officeDocument/2006/relationships/hyperlink" Target="http://europa.eu/about-eu/agencies/regulatory_agencies_bodies/pol_agencies/cepol/index_en.htm" TargetMode="External"/><Relationship Id="rId20" Type="http://schemas.openxmlformats.org/officeDocument/2006/relationships/hyperlink" Target="http://europa.eu/about-eu/agencies/regulatory_agencies_bodies/policy_agencies/emcdda/index_en.htm" TargetMode="External"/><Relationship Id="rId41" Type="http://schemas.openxmlformats.org/officeDocument/2006/relationships/hyperlink" Target="http://eeas.europa.eu/enp/eu-programmes/pdf/18-fiche-programme-sesar_en.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Hrant Kostanyan</dc:creator>
  <cp:lastModifiedBy>Tamar Chokoraia</cp:lastModifiedBy>
  <cp:revision>4</cp:revision>
  <dcterms:created xsi:type="dcterms:W3CDTF">2018-03-05T07:24:00Z</dcterms:created>
  <dcterms:modified xsi:type="dcterms:W3CDTF">2018-03-05T07:24:00Z</dcterms:modified>
</cp:coreProperties>
</file>