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212D79BA"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r w:rsidR="00701AF9" w:rsidRPr="005064D3">
        <w:rPr>
          <w:rFonts w:cstheme="minorHAnsi"/>
          <w:sz w:val="24"/>
          <w:szCs w:val="24"/>
          <w:lang w:val="ka-GE"/>
        </w:rPr>
        <w:t>10</w:t>
      </w:r>
      <w:r w:rsidR="0006005C">
        <w:rPr>
          <w:rFonts w:cstheme="minorHAnsi"/>
          <w:sz w:val="24"/>
          <w:szCs w:val="24"/>
        </w:rPr>
        <w:t>67</w:t>
      </w:r>
      <w:r w:rsidR="00701AF9" w:rsidRPr="005064D3">
        <w:rPr>
          <w:rFonts w:cstheme="minorHAnsi"/>
          <w:sz w:val="24"/>
          <w:szCs w:val="24"/>
          <w:lang w:val="ka-GE"/>
        </w:rPr>
        <w:t xml:space="preserve"> </w:t>
      </w:r>
      <w:r w:rsidRPr="005064D3">
        <w:rPr>
          <w:rFonts w:cstheme="minorHAnsi"/>
          <w:sz w:val="24"/>
          <w:szCs w:val="24"/>
          <w:lang w:val="ka-GE"/>
        </w:rPr>
        <w:t>million GEL);</w:t>
      </w:r>
    </w:p>
    <w:p w14:paraId="001E8AF3" w14:textId="25E9F14D"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 xml:space="preserve">(in 2012 - 1.7%, in 2016 </w:t>
      </w:r>
      <w:r w:rsidR="0006005C">
        <w:rPr>
          <w:rFonts w:cstheme="minorHAnsi"/>
          <w:sz w:val="24"/>
          <w:szCs w:val="24"/>
          <w:lang w:val="ka-GE"/>
        </w:rPr>
        <w:t>–</w:t>
      </w:r>
      <w:r w:rsidR="001A2698" w:rsidRPr="005064D3">
        <w:rPr>
          <w:rFonts w:cstheme="minorHAnsi"/>
          <w:sz w:val="24"/>
          <w:szCs w:val="24"/>
          <w:lang w:val="ka-GE"/>
        </w:rPr>
        <w:t xml:space="preserve"> 3</w:t>
      </w:r>
      <w:r w:rsidR="0006005C">
        <w:rPr>
          <w:rFonts w:cstheme="minorHAnsi"/>
          <w:sz w:val="24"/>
          <w:szCs w:val="24"/>
        </w:rPr>
        <w:t>.1</w:t>
      </w:r>
      <w:r w:rsidR="001A2698" w:rsidRPr="005064D3">
        <w:rPr>
          <w:rFonts w:cstheme="minorHAnsi"/>
          <w:sz w:val="24"/>
          <w:szCs w:val="24"/>
          <w:lang w:val="ka-GE"/>
        </w:rPr>
        <w:t>%).</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39851129">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Source: MoLHSA,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6E4C2B7C">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Source: MoLHSA,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3AB2BD9E"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2016,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4.0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13.3 (2016).</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311DD7CD"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By the end of 2017, more than 3, 5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333BDBE7"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(2012-2016)</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6D6FEDA3">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1C29D8CA">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36B06DE4">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During the year 2017, the program benefited</w:t>
      </w:r>
      <w:r w:rsidRPr="005064D3">
        <w:rPr>
          <w:rFonts w:cstheme="minorHAnsi"/>
          <w:sz w:val="24"/>
          <w:szCs w:val="24"/>
          <w:shd w:val="clear" w:color="auto" w:fill="FFFFFF"/>
        </w:rPr>
        <w:t xml:space="preserve"> 13 010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0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w:t>
      </w:r>
      <w:r w:rsidR="006B3A3B" w:rsidRPr="00D87EED">
        <w:rPr>
          <w:rFonts w:cstheme="minorHAnsi"/>
          <w:sz w:val="24"/>
          <w:szCs w:val="24"/>
        </w:rPr>
        <w:lastRenderedPageBreak/>
        <w:t xml:space="preserve">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38A931E7"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32 service centers are providing diagnostic and treatment services to the elimination program beneficiaries. Since the launch of the program in 2015 through </w:t>
      </w:r>
      <w:r w:rsidR="005459F9">
        <w:rPr>
          <w:rFonts w:cstheme="minorHAnsi"/>
          <w:sz w:val="24"/>
          <w:szCs w:val="24"/>
        </w:rPr>
        <w:t>April</w:t>
      </w:r>
      <w:bookmarkStart w:id="0" w:name="_GoBack"/>
      <w:bookmarkEnd w:id="0"/>
      <w:r w:rsidRPr="00D87EED">
        <w:rPr>
          <w:rFonts w:cstheme="minorHAnsi"/>
          <w:sz w:val="24"/>
          <w:szCs w:val="24"/>
        </w:rPr>
        <w:t xml:space="preserve">, 2018 more than </w:t>
      </w:r>
      <w:r w:rsidR="00E87C0F">
        <w:rPr>
          <w:rFonts w:ascii="Sylfaen" w:hAnsi="Sylfaen" w:cstheme="minorHAnsi"/>
          <w:sz w:val="24"/>
          <w:szCs w:val="24"/>
          <w:lang w:val="ka-GE"/>
        </w:rPr>
        <w:t>45 462</w:t>
      </w:r>
      <w:r w:rsidR="003473DE" w:rsidRPr="00D87EED">
        <w:rPr>
          <w:rFonts w:cstheme="minorHAnsi"/>
          <w:sz w:val="24"/>
          <w:szCs w:val="24"/>
        </w:rPr>
        <w:t xml:space="preserve"> </w:t>
      </w:r>
      <w:r w:rsidRPr="00D87EED">
        <w:rPr>
          <w:rFonts w:cstheme="minorHAnsi"/>
          <w:sz w:val="24"/>
          <w:szCs w:val="24"/>
        </w:rPr>
        <w:t xml:space="preserve">beneficiaries have been registered in the program.  More than </w:t>
      </w:r>
      <w:r w:rsidR="00E87C0F">
        <w:rPr>
          <w:rFonts w:ascii="Sylfaen" w:hAnsi="Sylfaen" w:cstheme="minorHAnsi"/>
          <w:sz w:val="24"/>
          <w:szCs w:val="24"/>
          <w:lang w:val="ka-GE"/>
        </w:rPr>
        <w:t>41 580</w:t>
      </w:r>
      <w:r w:rsidR="003473DE" w:rsidRPr="00D87EED">
        <w:rPr>
          <w:rFonts w:cstheme="minorHAnsi"/>
          <w:sz w:val="24"/>
          <w:szCs w:val="24"/>
        </w:rPr>
        <w:t xml:space="preserve"> </w:t>
      </w:r>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r w:rsidR="00D87EED">
        <w:rPr>
          <w:rFonts w:cstheme="minorHAnsi"/>
          <w:sz w:val="24"/>
          <w:szCs w:val="24"/>
        </w:rPr>
        <w:t>, in case of medicine “Harvoni”.</w:t>
      </w:r>
    </w:p>
    <w:p w14:paraId="2F509D8C" w14:textId="6639F357" w:rsidR="00FD3E11" w:rsidRPr="00D87EED" w:rsidRDefault="00037E03"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screening activities has been significantly scaled up</w:t>
      </w:r>
      <w:r w:rsidR="009D72A0" w:rsidRPr="00D87EED">
        <w:rPr>
          <w:rFonts w:cstheme="minorHAnsi"/>
          <w:sz w:val="24"/>
          <w:szCs w:val="24"/>
        </w:rPr>
        <w:t xml:space="preserve">. The Hepatitis C screening protocol was developed and approved. Routine screening </w:t>
      </w:r>
      <w:r w:rsidR="00F76440" w:rsidRPr="00D87EED">
        <w:rPr>
          <w:rFonts w:cstheme="minorHAnsi"/>
          <w:sz w:val="24"/>
          <w:szCs w:val="24"/>
        </w:rPr>
        <w:t xml:space="preserve">is provided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r w:rsidRPr="00D87EED">
        <w:rPr>
          <w:rFonts w:cstheme="minorHAnsi"/>
          <w:sz w:val="24"/>
          <w:szCs w:val="24"/>
        </w:rPr>
        <w:t xml:space="preserve"> etc., provide HCV screening across the country</w:t>
      </w:r>
      <w:r w:rsidR="00FD3E11" w:rsidRPr="00D87EED">
        <w:rPr>
          <w:rFonts w:cstheme="minorHAnsi"/>
          <w:sz w:val="24"/>
          <w:szCs w:val="24"/>
        </w:rPr>
        <w:t>.</w:t>
      </w:r>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3C42A9AA" w14:textId="45517D61" w:rsidR="0068311D" w:rsidRPr="005064D3" w:rsidRDefault="00FD3E11" w:rsidP="005064D3">
      <w:pPr>
        <w:pStyle w:val="HTMLPreformatted"/>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 xml:space="preserve">enrollment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21DEC3BB" w:rsidR="00CF5DAA" w:rsidRDefault="00CF5DAA"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04A3DE04"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2012-2017, more than 74,000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44D16307" w14:textId="77777777"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 Labour, Health and Social Affairs of Georgia prov</w:t>
      </w:r>
      <w:r w:rsidR="00D87EED" w:rsidRPr="00D87EED">
        <w:rPr>
          <w:rFonts w:cstheme="minorHAnsi"/>
          <w:sz w:val="24"/>
          <w:szCs w:val="24"/>
        </w:rPr>
        <w:t>ides expensive drug Trastuzumab</w:t>
      </w:r>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treatment for HER2 + Receptor positive Women with breast cancer.</w:t>
      </w:r>
    </w:p>
    <w:p w14:paraId="17465CA4" w14:textId="116FF555"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1E2B79CC" w14:textId="6F1F4EF9" w:rsidR="00D87EED" w:rsidRDefault="007B232A" w:rsidP="00D87EED">
      <w:pPr>
        <w:pStyle w:val="ListParagraph"/>
        <w:numPr>
          <w:ilvl w:val="0"/>
          <w:numId w:val="23"/>
        </w:numPr>
        <w:shd w:val="clear" w:color="auto" w:fill="FFFFFF"/>
        <w:tabs>
          <w:tab w:val="left" w:pos="810"/>
        </w:tabs>
        <w:spacing w:after="0" w:line="240" w:lineRule="auto"/>
        <w:jc w:val="both"/>
        <w:rPr>
          <w:rFonts w:cstheme="minorHAnsi"/>
          <w:sz w:val="24"/>
          <w:szCs w:val="24"/>
        </w:rPr>
      </w:pPr>
      <w:r w:rsidRPr="004F776E">
        <w:rPr>
          <w:rFonts w:cstheme="minorHAnsi"/>
          <w:sz w:val="24"/>
          <w:szCs w:val="24"/>
        </w:rPr>
        <w:t>The total beneficiaries of</w:t>
      </w:r>
      <w:r w:rsidR="004F776E">
        <w:rPr>
          <w:rFonts w:cstheme="minorHAnsi"/>
          <w:sz w:val="24"/>
          <w:szCs w:val="24"/>
        </w:rPr>
        <w:t xml:space="preserve"> the program were 182 patients</w:t>
      </w:r>
    </w:p>
    <w:p w14:paraId="1F2594FB" w14:textId="77777777" w:rsidR="004F776E" w:rsidRPr="004F776E" w:rsidRDefault="004F776E" w:rsidP="004F776E">
      <w:pPr>
        <w:pStyle w:val="ListParagraph"/>
        <w:shd w:val="clear" w:color="auto" w:fill="FFFFFF"/>
        <w:tabs>
          <w:tab w:val="left" w:pos="810"/>
        </w:tabs>
        <w:spacing w:after="0" w:line="240" w:lineRule="auto"/>
        <w:jc w:val="both"/>
        <w:rPr>
          <w:rFonts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E96F8C5"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lastRenderedPageBreak/>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mental health, diabetes management, children's onco-hemolog</w:t>
      </w:r>
      <w:r w:rsidR="004D78D2" w:rsidRPr="00D87EED">
        <w:rPr>
          <w:rFonts w:cstheme="minorHAnsi"/>
          <w:sz w:val="24"/>
          <w:szCs w:val="24"/>
        </w:rPr>
        <w:t>y</w:t>
      </w:r>
      <w:r w:rsidR="00B11358" w:rsidRPr="00D87EED">
        <w:rPr>
          <w:rFonts w:cstheme="minorHAnsi"/>
          <w:sz w:val="24"/>
          <w:szCs w:val="24"/>
        </w:rPr>
        <w:t xml:space="preserve"> services, dialysis and kidney transplantation, palliative care of incurable patients, patients with rare diseases</w:t>
      </w:r>
      <w:r w:rsidR="00C340FB" w:rsidRPr="00D87EED">
        <w:rPr>
          <w:rFonts w:cstheme="minorHAnsi"/>
          <w:sz w:val="24"/>
          <w:szCs w:val="24"/>
        </w:rPr>
        <w:t xml:space="preserve"> and patients undergoing permanent replacement treatment</w:t>
      </w:r>
      <w:r w:rsidR="00B11358" w:rsidRPr="00D87EED">
        <w:rPr>
          <w:rFonts w:cstheme="minorHAnsi"/>
          <w:sz w:val="24"/>
          <w:szCs w:val="24"/>
        </w:rPr>
        <w:t xml:space="preserve">, </w:t>
      </w:r>
      <w:r w:rsidR="00C340FB" w:rsidRPr="00D87EED">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(Bedaquiline and Delamanid) to the patients with mul</w:t>
      </w:r>
      <w:r w:rsidR="00AE7FB7" w:rsidRPr="005064D3">
        <w:rPr>
          <w:rFonts w:asciiTheme="minorHAnsi" w:hAnsiTheme="minorHAnsi" w:cstheme="minorHAnsi"/>
          <w:sz w:val="24"/>
          <w:szCs w:val="24"/>
          <w:shd w:val="clear" w:color="auto" w:fill="FFFFFF"/>
        </w:rPr>
        <w:t>tiresistant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programe</w:t>
      </w:r>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2017 </w:t>
      </w:r>
      <w:r w:rsidR="0051436E" w:rsidRPr="005064D3">
        <w:rPr>
          <w:rFonts w:eastAsiaTheme="minorEastAsia" w:cstheme="minorHAnsi"/>
          <w:kern w:val="24"/>
          <w:sz w:val="24"/>
          <w:szCs w:val="24"/>
          <w:lang w:val="en-GB" w:eastAsia="ka-GE"/>
        </w:rPr>
        <w:t xml:space="preserve">- 25 %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38DC1A2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in 15 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lastRenderedPageBreak/>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70B7565C"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and from 2017 - 25 %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lastRenderedPageBreak/>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nosologies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3D7F7A28"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 </w:t>
      </w:r>
      <w:r w:rsidRPr="005064D3">
        <w:rPr>
          <w:rFonts w:cstheme="minorHAnsi"/>
          <w:sz w:val="24"/>
          <w:szCs w:val="24"/>
        </w:rPr>
        <w:t xml:space="preserve"> Idiopathic </w:t>
      </w:r>
      <w:r w:rsidR="001A6FAC" w:rsidRPr="005064D3">
        <w:rPr>
          <w:rFonts w:cstheme="minorHAnsi"/>
          <w:sz w:val="24"/>
          <w:szCs w:val="24"/>
        </w:rPr>
        <w:t>Pulmonary F</w:t>
      </w:r>
      <w:r w:rsidRPr="005064D3">
        <w:rPr>
          <w:rFonts w:cstheme="minorHAnsi"/>
          <w:sz w:val="24"/>
          <w:szCs w:val="24"/>
        </w:rPr>
        <w:t>ibrosis with medicine Pirfenidone (Esbriet)</w:t>
      </w:r>
      <w:r w:rsidR="006B055D" w:rsidRPr="005064D3">
        <w:rPr>
          <w:rFonts w:cstheme="minorHAnsi"/>
          <w:sz w:val="24"/>
          <w:szCs w:val="24"/>
        </w:rPr>
        <w:t>.</w:t>
      </w:r>
    </w:p>
    <w:p w14:paraId="1E2E1647" w14:textId="77777777" w:rsidR="006B055D" w:rsidRPr="005064D3" w:rsidRDefault="006B055D" w:rsidP="006F7DFE">
      <w:pPr>
        <w:pStyle w:val="ListParagraph"/>
        <w:spacing w:after="0" w:line="240" w:lineRule="auto"/>
        <w:jc w:val="both"/>
        <w:rPr>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404CB64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suboxone.</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lastRenderedPageBreak/>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50D3C2DA"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r w:rsidRPr="005064D3">
        <w:rPr>
          <w:rFonts w:cstheme="minorHAnsi"/>
          <w:sz w:val="24"/>
          <w:szCs w:val="24"/>
        </w:rPr>
        <w:t>T</w:t>
      </w:r>
      <w:r w:rsidRPr="005064D3">
        <w:rPr>
          <w:rFonts w:cstheme="minorHAnsi"/>
          <w:sz w:val="24"/>
          <w:szCs w:val="24"/>
          <w:lang w:val="en"/>
        </w:rPr>
        <w:t>he</w:t>
      </w:r>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patients</w:t>
      </w:r>
      <w:r w:rsidR="008451F3">
        <w:rPr>
          <w:rFonts w:cstheme="minorHAnsi"/>
          <w:sz w:val="24"/>
          <w:szCs w:val="24"/>
          <w:lang w:val="en"/>
        </w:rPr>
        <w:t>’</w:t>
      </w:r>
      <w:r w:rsidR="00B7336C" w:rsidRPr="005064D3">
        <w:rPr>
          <w:rFonts w:cstheme="minorHAnsi"/>
          <w:sz w:val="24"/>
          <w:szCs w:val="24"/>
          <w:lang w:val="en"/>
        </w:rPr>
        <w:t xml:space="preserve">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45296115"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w:t>
      </w:r>
      <w:r w:rsidRPr="005064D3">
        <w:rPr>
          <w:rFonts w:cstheme="minorHAnsi"/>
          <w:sz w:val="24"/>
          <w:szCs w:val="24"/>
          <w:lang w:val="en"/>
        </w:rPr>
        <w:t>In 2016, the lowest mortality rate of maternal mortality has been ob</w:t>
      </w:r>
      <w:r w:rsidR="008451F3">
        <w:rPr>
          <w:rFonts w:cstheme="minorHAnsi"/>
          <w:sz w:val="24"/>
          <w:szCs w:val="24"/>
          <w:lang w:val="en"/>
        </w:rPr>
        <w:t>served in recent years - 22.9 /</w:t>
      </w:r>
      <w:r w:rsidRPr="005064D3">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In 2017, a comprehensive long-term (2017-2030) Maternal and Newborn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Newborns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556383C7" w:rsidR="005E2EE2" w:rsidRPr="00742A47" w:rsidRDefault="005E2EE2" w:rsidP="00742A47">
      <w:pPr>
        <w:pStyle w:val="ListParagraph"/>
        <w:spacing w:before="105" w:after="120" w:line="240" w:lineRule="auto"/>
        <w:ind w:left="2160" w:firstLine="720"/>
        <w:jc w:val="center"/>
        <w:rPr>
          <w:rFonts w:cstheme="minorHAnsi"/>
          <w:sz w:val="18"/>
          <w:szCs w:val="18"/>
          <w:lang w:val="ka-GE"/>
        </w:rPr>
      </w:pPr>
      <w:r w:rsidRPr="00742A47">
        <w:rPr>
          <w:rFonts w:cstheme="minorHAnsi"/>
          <w:i/>
          <w:color w:val="231F20"/>
          <w:sz w:val="18"/>
          <w:szCs w:val="18"/>
          <w:lang w:val="ka-GE"/>
        </w:rPr>
        <w:t xml:space="preserve">Maternal Mortality Rate by different </w:t>
      </w:r>
      <w:r w:rsidR="00A67972" w:rsidRPr="00742A47">
        <w:rPr>
          <w:rFonts w:cstheme="minorHAnsi"/>
          <w:i/>
          <w:color w:val="231F20"/>
          <w:sz w:val="18"/>
          <w:szCs w:val="18"/>
          <w:lang w:val="ka-GE"/>
        </w:rPr>
        <w:t xml:space="preserve">sources of information, Georgia, 2000-2016 </w:t>
      </w:r>
    </w:p>
    <w:p w14:paraId="5D9180F9" w14:textId="746948A2" w:rsidR="005E2EE2" w:rsidRPr="005064D3" w:rsidRDefault="00A67972" w:rsidP="00B34BD5">
      <w:pPr>
        <w:spacing w:after="120" w:line="240" w:lineRule="auto"/>
        <w:jc w:val="right"/>
        <w:rPr>
          <w:rFonts w:cstheme="minorHAnsi"/>
          <w:sz w:val="24"/>
          <w:szCs w:val="24"/>
        </w:rPr>
      </w:pPr>
      <w:r w:rsidRPr="005064D3">
        <w:rPr>
          <w:rFonts w:cstheme="minorHAnsi"/>
          <w:b/>
          <w:noProof/>
        </w:rPr>
        <w:lastRenderedPageBreak/>
        <mc:AlternateContent>
          <mc:Choice Requires="wps">
            <w:drawing>
              <wp:anchor distT="0" distB="0" distL="114300" distR="114300" simplePos="0" relativeHeight="251658240" behindDoc="0" locked="0" layoutInCell="1" allowOverlap="1" wp14:anchorId="6462D2B9" wp14:editId="7C5A8B21">
                <wp:simplePos x="0" y="0"/>
                <wp:positionH relativeFrom="column">
                  <wp:posOffset>792479</wp:posOffset>
                </wp:positionH>
                <wp:positionV relativeFrom="paragraph">
                  <wp:posOffset>2448906</wp:posOffset>
                </wp:positionV>
                <wp:extent cx="1601585" cy="237433"/>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85" cy="237433"/>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2D2B9"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064D3">
        <w:rPr>
          <w:rFonts w:cstheme="minorHAnsi"/>
          <w:noProof/>
        </w:rPr>
        <w:drawing>
          <wp:inline distT="0" distB="0" distL="0" distR="0" wp14:anchorId="320DC4F9" wp14:editId="1C608497">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lastRenderedPageBreak/>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6F4DFD2D" w14:textId="39456A1B" w:rsidR="00A67972" w:rsidRPr="00742A47" w:rsidRDefault="00A67972" w:rsidP="005064D3">
      <w:pPr>
        <w:spacing w:after="120" w:line="240" w:lineRule="auto"/>
        <w:contextualSpacing/>
        <w:jc w:val="center"/>
        <w:rPr>
          <w:rFonts w:ascii="Sylfaen" w:hAnsi="Sylfaen" w:cstheme="minorHAnsi"/>
          <w:i/>
          <w:sz w:val="18"/>
          <w:szCs w:val="18"/>
          <w:lang w:val="ka-GE"/>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2016</w:t>
      </w:r>
    </w:p>
    <w:p w14:paraId="1DF68B9B" w14:textId="77777777"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r w:rsidRPr="005064D3">
        <w:rPr>
          <w:rFonts w:cstheme="minorHAnsi"/>
          <w:noProof/>
        </w:rPr>
        <w:drawing>
          <wp:inline distT="0" distB="0" distL="0" distR="0" wp14:anchorId="1BE3072E" wp14:editId="4BE4616B">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lastRenderedPageBreak/>
        <w:t>From the Global Fund, more than 55 million US dollars have been mobilized in 2014-2019. In 2019-2022, the grant amount provided by the Global Fund to the country has been reduced twice and is USD 15.4 million.</w:t>
      </w:r>
    </w:p>
    <w:p w14:paraId="149F64A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(25%)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4"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0"/>
  </w:num>
  <w:num w:numId="13">
    <w:abstractNumId w:val="22"/>
  </w:num>
  <w:num w:numId="14">
    <w:abstractNumId w:val="7"/>
  </w:num>
  <w:num w:numId="15">
    <w:abstractNumId w:val="4"/>
  </w:num>
  <w:num w:numId="16">
    <w:abstractNumId w:val="8"/>
  </w:num>
  <w:num w:numId="17">
    <w:abstractNumId w:val="13"/>
  </w:num>
  <w:num w:numId="18">
    <w:abstractNumId w:val="9"/>
  </w:num>
  <w:num w:numId="19">
    <w:abstractNumId w:val="19"/>
  </w:num>
  <w:num w:numId="20">
    <w:abstractNumId w:val="3"/>
  </w:num>
  <w:num w:numId="21">
    <w:abstractNumId w:val="17"/>
  </w:num>
  <w:num w:numId="22">
    <w:abstractNumId w:val="21"/>
  </w:num>
  <w:num w:numId="23">
    <w:abstractNumId w:val="6"/>
  </w:num>
  <w:num w:numId="24">
    <w:abstractNumId w:val="24"/>
  </w:num>
  <w:num w:numId="25">
    <w:abstractNumId w:val="14"/>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6005C"/>
    <w:rsid w:val="000D302E"/>
    <w:rsid w:val="0011692D"/>
    <w:rsid w:val="00117B55"/>
    <w:rsid w:val="001A2698"/>
    <w:rsid w:val="001A2A0C"/>
    <w:rsid w:val="001A6FAC"/>
    <w:rsid w:val="001C1B56"/>
    <w:rsid w:val="001E0C15"/>
    <w:rsid w:val="00203EBD"/>
    <w:rsid w:val="00220537"/>
    <w:rsid w:val="0023224D"/>
    <w:rsid w:val="00243352"/>
    <w:rsid w:val="00272B67"/>
    <w:rsid w:val="003473DE"/>
    <w:rsid w:val="00384E80"/>
    <w:rsid w:val="003C7F95"/>
    <w:rsid w:val="00401D48"/>
    <w:rsid w:val="0047502A"/>
    <w:rsid w:val="004C060F"/>
    <w:rsid w:val="004D78D2"/>
    <w:rsid w:val="004F776E"/>
    <w:rsid w:val="0050170D"/>
    <w:rsid w:val="005064D3"/>
    <w:rsid w:val="0051436E"/>
    <w:rsid w:val="0054343D"/>
    <w:rsid w:val="005459F9"/>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2A47"/>
    <w:rsid w:val="0074352F"/>
    <w:rsid w:val="00761736"/>
    <w:rsid w:val="007730C5"/>
    <w:rsid w:val="00775097"/>
    <w:rsid w:val="00776F80"/>
    <w:rsid w:val="007B232A"/>
    <w:rsid w:val="008451F3"/>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34BD5"/>
    <w:rsid w:val="00B7336C"/>
    <w:rsid w:val="00B80970"/>
    <w:rsid w:val="00B81B42"/>
    <w:rsid w:val="00B845E0"/>
    <w:rsid w:val="00BA0411"/>
    <w:rsid w:val="00BD2F6F"/>
    <w:rsid w:val="00C340FB"/>
    <w:rsid w:val="00C50DA5"/>
    <w:rsid w:val="00C6676C"/>
    <w:rsid w:val="00CC22EB"/>
    <w:rsid w:val="00CF5DAA"/>
    <w:rsid w:val="00D120A2"/>
    <w:rsid w:val="00D87EED"/>
    <w:rsid w:val="00D973CD"/>
    <w:rsid w:val="00DA2A1E"/>
    <w:rsid w:val="00E3741D"/>
    <w:rsid w:val="00E87C0F"/>
    <w:rsid w:val="00EB6ADE"/>
    <w:rsid w:val="00ED42CD"/>
    <w:rsid w:val="00EE7C89"/>
    <w:rsid w:val="00F1184A"/>
    <w:rsid w:val="00F76440"/>
    <w:rsid w:val="00F85B38"/>
    <w:rsid w:val="00F91D1E"/>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4075B7AE-8CEE-4BE6-85BF-24CD815C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1067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133868160"/>
        <c:axId val="133874048"/>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3.1E-2</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c:v>8.4000000000000005E-2</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133877120"/>
        <c:axId val="133875584"/>
      </c:lineChart>
      <c:catAx>
        <c:axId val="133868160"/>
        <c:scaling>
          <c:orientation val="minMax"/>
        </c:scaling>
        <c:delete val="0"/>
        <c:axPos val="b"/>
        <c:numFmt formatCode="General" sourceLinked="0"/>
        <c:majorTickMark val="out"/>
        <c:minorTickMark val="none"/>
        <c:tickLblPos val="nextTo"/>
        <c:crossAx val="133874048"/>
        <c:crosses val="autoZero"/>
        <c:auto val="1"/>
        <c:lblAlgn val="ctr"/>
        <c:lblOffset val="100"/>
        <c:noMultiLvlLbl val="0"/>
      </c:catAx>
      <c:valAx>
        <c:axId val="133874048"/>
        <c:scaling>
          <c:orientation val="minMax"/>
        </c:scaling>
        <c:delete val="0"/>
        <c:axPos val="l"/>
        <c:numFmt formatCode="#,##0" sourceLinked="1"/>
        <c:majorTickMark val="out"/>
        <c:minorTickMark val="none"/>
        <c:tickLblPos val="nextTo"/>
        <c:crossAx val="133868160"/>
        <c:crosses val="autoZero"/>
        <c:crossBetween val="between"/>
      </c:valAx>
      <c:valAx>
        <c:axId val="133875584"/>
        <c:scaling>
          <c:orientation val="minMax"/>
        </c:scaling>
        <c:delete val="0"/>
        <c:axPos val="r"/>
        <c:numFmt formatCode="0%" sourceLinked="0"/>
        <c:majorTickMark val="out"/>
        <c:minorTickMark val="none"/>
        <c:tickLblPos val="nextTo"/>
        <c:crossAx val="133877120"/>
        <c:crosses val="max"/>
        <c:crossBetween val="between"/>
      </c:valAx>
      <c:catAx>
        <c:axId val="133877120"/>
        <c:scaling>
          <c:orientation val="minMax"/>
        </c:scaling>
        <c:delete val="1"/>
        <c:axPos val="b"/>
        <c:numFmt formatCode="General" sourceLinked="1"/>
        <c:majorTickMark val="out"/>
        <c:minorTickMark val="none"/>
        <c:tickLblPos val="nextTo"/>
        <c:crossAx val="13387558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165682560"/>
        <c:axId val="165778560"/>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165682560"/>
        <c:axId val="165778560"/>
      </c:scatterChart>
      <c:valAx>
        <c:axId val="165682560"/>
        <c:scaling>
          <c:orientation val="minMax"/>
          <c:max val="2016"/>
          <c:min val="2000"/>
        </c:scaling>
        <c:delete val="0"/>
        <c:axPos val="b"/>
        <c:numFmt formatCode="General" sourceLinked="1"/>
        <c:majorTickMark val="none"/>
        <c:minorTickMark val="none"/>
        <c:tickLblPos val="nextTo"/>
        <c:crossAx val="165778560"/>
        <c:crosses val="autoZero"/>
        <c:crossBetween val="midCat"/>
        <c:majorUnit val="1"/>
        <c:minorUnit val="0.2"/>
      </c:valAx>
      <c:valAx>
        <c:axId val="165778560"/>
        <c:scaling>
          <c:orientation val="minMax"/>
        </c:scaling>
        <c:delete val="0"/>
        <c:axPos val="l"/>
        <c:majorGridlines/>
        <c:numFmt formatCode="General" sourceLinked="1"/>
        <c:majorTickMark val="out"/>
        <c:minorTickMark val="none"/>
        <c:tickLblPos val="nextTo"/>
        <c:crossAx val="16568256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288</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150497536"/>
        <c:axId val="150544384"/>
      </c:barChart>
      <c:catAx>
        <c:axId val="150497536"/>
        <c:scaling>
          <c:orientation val="minMax"/>
        </c:scaling>
        <c:delete val="1"/>
        <c:axPos val="b"/>
        <c:numFmt formatCode="General" sourceLinked="0"/>
        <c:majorTickMark val="out"/>
        <c:minorTickMark val="none"/>
        <c:tickLblPos val="nextTo"/>
        <c:crossAx val="150544384"/>
        <c:crosses val="autoZero"/>
        <c:auto val="1"/>
        <c:lblAlgn val="ctr"/>
        <c:lblOffset val="100"/>
        <c:noMultiLvlLbl val="0"/>
      </c:catAx>
      <c:valAx>
        <c:axId val="150544384"/>
        <c:scaling>
          <c:orientation val="minMax"/>
        </c:scaling>
        <c:delete val="1"/>
        <c:axPos val="l"/>
        <c:numFmt formatCode="_(* #,##0_);_(* \(#,##0\);_(* &quot;-&quot;??_);_(@_)" sourceLinked="1"/>
        <c:majorTickMark val="out"/>
        <c:minorTickMark val="none"/>
        <c:tickLblPos val="nextTo"/>
        <c:crossAx val="1504975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150552960"/>
        <c:axId val="150554496"/>
      </c:barChart>
      <c:catAx>
        <c:axId val="150552960"/>
        <c:scaling>
          <c:orientation val="minMax"/>
        </c:scaling>
        <c:delete val="0"/>
        <c:axPos val="b"/>
        <c:numFmt formatCode="General" sourceLinked="1"/>
        <c:majorTickMark val="out"/>
        <c:minorTickMark val="none"/>
        <c:tickLblPos val="nextTo"/>
        <c:crossAx val="150554496"/>
        <c:crosses val="autoZero"/>
        <c:auto val="1"/>
        <c:lblAlgn val="ctr"/>
        <c:lblOffset val="100"/>
        <c:noMultiLvlLbl val="0"/>
      </c:catAx>
      <c:valAx>
        <c:axId val="150554496"/>
        <c:scaling>
          <c:orientation val="minMax"/>
        </c:scaling>
        <c:delete val="1"/>
        <c:axPos val="l"/>
        <c:numFmt formatCode="General" sourceLinked="1"/>
        <c:majorTickMark val="out"/>
        <c:minorTickMark val="none"/>
        <c:tickLblPos val="nextTo"/>
        <c:crossAx val="150552960"/>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150615936"/>
        <c:axId val="150617472"/>
      </c:lineChart>
      <c:catAx>
        <c:axId val="150615936"/>
        <c:scaling>
          <c:orientation val="minMax"/>
        </c:scaling>
        <c:delete val="0"/>
        <c:axPos val="b"/>
        <c:numFmt formatCode="General" sourceLinked="1"/>
        <c:majorTickMark val="out"/>
        <c:minorTickMark val="none"/>
        <c:tickLblPos val="nextTo"/>
        <c:txPr>
          <a:bodyPr/>
          <a:lstStyle/>
          <a:p>
            <a:pPr>
              <a:defRPr sz="1100"/>
            </a:pPr>
            <a:endParaRPr lang="en-US"/>
          </a:p>
        </c:txPr>
        <c:crossAx val="150617472"/>
        <c:crosses val="autoZero"/>
        <c:auto val="1"/>
        <c:lblAlgn val="ctr"/>
        <c:lblOffset val="100"/>
        <c:noMultiLvlLbl val="0"/>
      </c:catAx>
      <c:valAx>
        <c:axId val="150617472"/>
        <c:scaling>
          <c:orientation val="minMax"/>
        </c:scaling>
        <c:delete val="1"/>
        <c:axPos val="l"/>
        <c:numFmt formatCode="General" sourceLinked="1"/>
        <c:majorTickMark val="out"/>
        <c:minorTickMark val="none"/>
        <c:tickLblPos val="nextTo"/>
        <c:crossAx val="15061593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150636032"/>
        <c:axId val="150637568"/>
      </c:barChart>
      <c:catAx>
        <c:axId val="150636032"/>
        <c:scaling>
          <c:orientation val="minMax"/>
        </c:scaling>
        <c:delete val="0"/>
        <c:axPos val="b"/>
        <c:numFmt formatCode="General" sourceLinked="0"/>
        <c:majorTickMark val="out"/>
        <c:minorTickMark val="none"/>
        <c:tickLblPos val="nextTo"/>
        <c:crossAx val="150637568"/>
        <c:crosses val="autoZero"/>
        <c:auto val="1"/>
        <c:lblAlgn val="ctr"/>
        <c:lblOffset val="100"/>
        <c:noMultiLvlLbl val="0"/>
      </c:catAx>
      <c:valAx>
        <c:axId val="150637568"/>
        <c:scaling>
          <c:orientation val="minMax"/>
        </c:scaling>
        <c:delete val="1"/>
        <c:axPos val="l"/>
        <c:numFmt formatCode="#,##0" sourceLinked="1"/>
        <c:majorTickMark val="out"/>
        <c:minorTickMark val="none"/>
        <c:tickLblPos val="nextTo"/>
        <c:crossAx val="15063603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151565056"/>
        <c:axId val="151566592"/>
      </c:lineChart>
      <c:catAx>
        <c:axId val="151565056"/>
        <c:scaling>
          <c:orientation val="minMax"/>
        </c:scaling>
        <c:delete val="0"/>
        <c:axPos val="b"/>
        <c:numFmt formatCode="General" sourceLinked="1"/>
        <c:majorTickMark val="out"/>
        <c:minorTickMark val="none"/>
        <c:tickLblPos val="nextTo"/>
        <c:crossAx val="151566592"/>
        <c:crosses val="autoZero"/>
        <c:auto val="1"/>
        <c:lblAlgn val="ctr"/>
        <c:lblOffset val="100"/>
        <c:noMultiLvlLbl val="0"/>
      </c:catAx>
      <c:valAx>
        <c:axId val="151566592"/>
        <c:scaling>
          <c:orientation val="minMax"/>
        </c:scaling>
        <c:delete val="0"/>
        <c:axPos val="l"/>
        <c:numFmt formatCode="General" sourceLinked="1"/>
        <c:majorTickMark val="out"/>
        <c:minorTickMark val="none"/>
        <c:tickLblPos val="nextTo"/>
        <c:crossAx val="15156505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151580032"/>
        <c:axId val="151581824"/>
      </c:barChart>
      <c:catAx>
        <c:axId val="151580032"/>
        <c:scaling>
          <c:orientation val="minMax"/>
        </c:scaling>
        <c:delete val="0"/>
        <c:axPos val="b"/>
        <c:numFmt formatCode="General" sourceLinked="1"/>
        <c:majorTickMark val="out"/>
        <c:minorTickMark val="none"/>
        <c:tickLblPos val="nextTo"/>
        <c:crossAx val="151581824"/>
        <c:crosses val="autoZero"/>
        <c:auto val="1"/>
        <c:lblAlgn val="ctr"/>
        <c:lblOffset val="100"/>
        <c:noMultiLvlLbl val="0"/>
      </c:catAx>
      <c:valAx>
        <c:axId val="151581824"/>
        <c:scaling>
          <c:orientation val="minMax"/>
        </c:scaling>
        <c:delete val="0"/>
        <c:axPos val="l"/>
        <c:numFmt formatCode="General" sourceLinked="1"/>
        <c:majorTickMark val="out"/>
        <c:minorTickMark val="none"/>
        <c:tickLblPos val="nextTo"/>
        <c:crossAx val="15158003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157563904"/>
        <c:axId val="157632384"/>
      </c:barChart>
      <c:catAx>
        <c:axId val="157563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632384"/>
        <c:crosses val="autoZero"/>
        <c:auto val="1"/>
        <c:lblAlgn val="ctr"/>
        <c:lblOffset val="100"/>
        <c:noMultiLvlLbl val="0"/>
      </c:catAx>
      <c:valAx>
        <c:axId val="1576323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7563904"/>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158209920"/>
        <c:axId val="158244864"/>
      </c:barChart>
      <c:catAx>
        <c:axId val="158209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8244864"/>
        <c:crosses val="autoZero"/>
        <c:auto val="1"/>
        <c:lblAlgn val="ctr"/>
        <c:lblOffset val="100"/>
        <c:noMultiLvlLbl val="0"/>
      </c:catAx>
      <c:valAx>
        <c:axId val="1582448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820992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39D6-E0AD-4AC9-AD27-A1795985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 Belkania</dc:creator>
  <cp:lastModifiedBy>Maia Nikoleishvili</cp:lastModifiedBy>
  <cp:revision>2</cp:revision>
  <cp:lastPrinted>2018-02-22T09:29:00Z</cp:lastPrinted>
  <dcterms:created xsi:type="dcterms:W3CDTF">2018-06-29T08:57:00Z</dcterms:created>
  <dcterms:modified xsi:type="dcterms:W3CDTF">2018-06-29T08:57:00Z</dcterms:modified>
</cp:coreProperties>
</file>