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225" w:type="dxa"/>
        <w:tblLook w:val="04A0" w:firstRow="1" w:lastRow="0" w:firstColumn="1" w:lastColumn="0" w:noHBand="0" w:noVBand="1"/>
      </w:tblPr>
      <w:tblGrid>
        <w:gridCol w:w="2789"/>
        <w:gridCol w:w="3416"/>
        <w:gridCol w:w="3510"/>
        <w:gridCol w:w="3510"/>
      </w:tblGrid>
      <w:tr w:rsidR="0097540C" w14:paraId="71C178F5" w14:textId="05B067D2" w:rsidTr="006C6C4E">
        <w:tc>
          <w:tcPr>
            <w:tcW w:w="13225" w:type="dxa"/>
            <w:gridSpan w:val="4"/>
          </w:tcPr>
          <w:p w14:paraId="5B8B8634" w14:textId="11E663FF" w:rsidR="0097540C" w:rsidRPr="00780A54" w:rsidRDefault="0097540C" w:rsidP="00EE76A6">
            <w:pPr>
              <w:jc w:val="center"/>
              <w:rPr>
                <w:b/>
              </w:rPr>
            </w:pPr>
            <w:r w:rsidRPr="00780A54">
              <w:rPr>
                <w:b/>
              </w:rPr>
              <w:t>Approximation timetable</w:t>
            </w:r>
          </w:p>
        </w:tc>
      </w:tr>
      <w:tr w:rsidR="0097540C" w14:paraId="40581157" w14:textId="12A86B76" w:rsidTr="0097540C">
        <w:tc>
          <w:tcPr>
            <w:tcW w:w="2789" w:type="dxa"/>
          </w:tcPr>
          <w:p w14:paraId="264A3489" w14:textId="77777777" w:rsidR="0097540C" w:rsidRPr="00EE76A6" w:rsidRDefault="0097540C" w:rsidP="00EE76A6">
            <w:pPr>
              <w:tabs>
                <w:tab w:val="center" w:pos="1286"/>
              </w:tabs>
              <w:jc w:val="center"/>
              <w:rPr>
                <w:b/>
              </w:rPr>
            </w:pPr>
            <w:r w:rsidRPr="00EE76A6">
              <w:rPr>
                <w:b/>
              </w:rPr>
              <w:t>NEW</w:t>
            </w:r>
          </w:p>
        </w:tc>
        <w:tc>
          <w:tcPr>
            <w:tcW w:w="3416" w:type="dxa"/>
          </w:tcPr>
          <w:p w14:paraId="07CE240B" w14:textId="77777777" w:rsidR="0097540C" w:rsidRPr="00EE76A6" w:rsidRDefault="0097540C" w:rsidP="00EE76A6">
            <w:pPr>
              <w:jc w:val="center"/>
              <w:rPr>
                <w:b/>
              </w:rPr>
            </w:pPr>
            <w:r>
              <w:rPr>
                <w:b/>
              </w:rPr>
              <w:t xml:space="preserve">Proposed time including Dynamic Approximation Time </w:t>
            </w:r>
          </w:p>
        </w:tc>
        <w:tc>
          <w:tcPr>
            <w:tcW w:w="3510" w:type="dxa"/>
          </w:tcPr>
          <w:p w14:paraId="0A497D49" w14:textId="77777777" w:rsidR="0097540C" w:rsidRPr="00EE76A6" w:rsidRDefault="0097540C" w:rsidP="00EE76A6">
            <w:pPr>
              <w:tabs>
                <w:tab w:val="center" w:pos="985"/>
              </w:tabs>
              <w:jc w:val="center"/>
              <w:rPr>
                <w:b/>
              </w:rPr>
            </w:pPr>
            <w:r>
              <w:rPr>
                <w:b/>
              </w:rPr>
              <w:t>Existing Approximation Time</w:t>
            </w:r>
          </w:p>
        </w:tc>
        <w:tc>
          <w:tcPr>
            <w:tcW w:w="3510" w:type="dxa"/>
          </w:tcPr>
          <w:p w14:paraId="622F36ED" w14:textId="4E96F57E" w:rsidR="0097540C" w:rsidRDefault="0097540C" w:rsidP="00EE76A6">
            <w:pPr>
              <w:tabs>
                <w:tab w:val="center" w:pos="985"/>
              </w:tabs>
              <w:jc w:val="center"/>
              <w:rPr>
                <w:b/>
              </w:rPr>
            </w:pPr>
            <w:r>
              <w:rPr>
                <w:b/>
              </w:rPr>
              <w:t xml:space="preserve">Our Proposal </w:t>
            </w:r>
          </w:p>
        </w:tc>
      </w:tr>
      <w:tr w:rsidR="0097540C" w14:paraId="1D424F49" w14:textId="485B109E" w:rsidTr="0097540C">
        <w:tc>
          <w:tcPr>
            <w:tcW w:w="2789" w:type="dxa"/>
          </w:tcPr>
          <w:p w14:paraId="0D9E1CD0" w14:textId="77777777" w:rsidR="0097540C" w:rsidRDefault="0097540C">
            <w:r w:rsidRPr="00D963B0">
              <w:rPr>
                <w:rFonts w:eastAsia="Times New Roman"/>
                <w:bCs/>
                <w:szCs w:val="24"/>
              </w:rPr>
              <w:t xml:space="preserve">Regulation (EU) 2016/424 of the European Parliament and of the Council of 9 March 2016 on </w:t>
            </w:r>
            <w:r w:rsidRPr="00D963B0">
              <w:rPr>
                <w:rFonts w:eastAsia="Times New Roman"/>
                <w:bCs/>
                <w:iCs/>
                <w:szCs w:val="24"/>
              </w:rPr>
              <w:t>cableway</w:t>
            </w:r>
            <w:r w:rsidRPr="00D963B0">
              <w:rPr>
                <w:rFonts w:eastAsia="Times New Roman"/>
                <w:bCs/>
                <w:szCs w:val="24"/>
              </w:rPr>
              <w:t xml:space="preserve"> installations and repealing Directive 2000/9/EC</w:t>
            </w:r>
          </w:p>
        </w:tc>
        <w:tc>
          <w:tcPr>
            <w:tcW w:w="3416" w:type="dxa"/>
          </w:tcPr>
          <w:p w14:paraId="05C401C0" w14:textId="77777777" w:rsidR="0097540C" w:rsidRPr="00766A74" w:rsidRDefault="0097540C" w:rsidP="00EE76A6">
            <w:pPr>
              <w:jc w:val="center"/>
              <w:rPr>
                <w:b/>
              </w:rPr>
            </w:pPr>
            <w:r>
              <w:rPr>
                <w:rFonts w:eastAsia="Times New Roman"/>
                <w:b/>
                <w:szCs w:val="24"/>
              </w:rPr>
              <w:t>2019</w:t>
            </w:r>
          </w:p>
        </w:tc>
        <w:tc>
          <w:tcPr>
            <w:tcW w:w="3510" w:type="dxa"/>
          </w:tcPr>
          <w:p w14:paraId="4B83E057" w14:textId="77777777" w:rsidR="0097540C" w:rsidRPr="00E34A42" w:rsidRDefault="0097540C">
            <w:r w:rsidRPr="00E34A42">
              <w:t>approximated in 2011</w:t>
            </w:r>
          </w:p>
        </w:tc>
        <w:tc>
          <w:tcPr>
            <w:tcW w:w="3510" w:type="dxa"/>
          </w:tcPr>
          <w:p w14:paraId="6899542A" w14:textId="459B6E9B" w:rsidR="0097540C" w:rsidRPr="00E34A42" w:rsidRDefault="004E2C2F">
            <w:r>
              <w:t>2020</w:t>
            </w:r>
          </w:p>
        </w:tc>
      </w:tr>
      <w:tr w:rsidR="0097540C" w14:paraId="1B152912" w14:textId="5D3EB622" w:rsidTr="0097540C">
        <w:tc>
          <w:tcPr>
            <w:tcW w:w="2789" w:type="dxa"/>
          </w:tcPr>
          <w:p w14:paraId="13E869A8" w14:textId="77777777" w:rsidR="0097540C" w:rsidRPr="00E34A42" w:rsidRDefault="0097540C" w:rsidP="00E34A42">
            <w:pPr>
              <w:spacing w:before="100" w:beforeAutospacing="1" w:after="100" w:afterAutospacing="1"/>
              <w:rPr>
                <w:rFonts w:eastAsia="Times New Roman"/>
                <w:szCs w:val="24"/>
              </w:rPr>
            </w:pPr>
            <w:r w:rsidRPr="004748E1">
              <w:rPr>
                <w:lang w:val="en"/>
              </w:rPr>
              <w:t xml:space="preserve">Directive 2014/33/EU of the European Parliament and of the Council of 26 February 2014 on the </w:t>
            </w:r>
            <w:proofErr w:type="spellStart"/>
            <w:r w:rsidRPr="004748E1">
              <w:rPr>
                <w:lang w:val="en"/>
              </w:rPr>
              <w:t>harmonisation</w:t>
            </w:r>
            <w:proofErr w:type="spellEnd"/>
            <w:r w:rsidRPr="004748E1">
              <w:rPr>
                <w:lang w:val="en"/>
              </w:rPr>
              <w:t xml:space="preserve"> of the laws of the Member States relating to lifts and safety components for lifts</w:t>
            </w:r>
            <w:r>
              <w:rPr>
                <w:lang w:val="en"/>
              </w:rPr>
              <w:t xml:space="preserve"> (recast)</w:t>
            </w:r>
          </w:p>
        </w:tc>
        <w:tc>
          <w:tcPr>
            <w:tcW w:w="3416" w:type="dxa"/>
          </w:tcPr>
          <w:p w14:paraId="562A061B" w14:textId="77777777" w:rsidR="0097540C" w:rsidRPr="00766A74" w:rsidRDefault="0097540C" w:rsidP="00EE76A6">
            <w:pPr>
              <w:jc w:val="center"/>
              <w:rPr>
                <w:b/>
              </w:rPr>
            </w:pPr>
            <w:r>
              <w:rPr>
                <w:rFonts w:eastAsia="Times New Roman"/>
                <w:b/>
                <w:szCs w:val="24"/>
              </w:rPr>
              <w:t>2019</w:t>
            </w:r>
          </w:p>
        </w:tc>
        <w:tc>
          <w:tcPr>
            <w:tcW w:w="3510" w:type="dxa"/>
          </w:tcPr>
          <w:p w14:paraId="25391CDE" w14:textId="77777777" w:rsidR="0097540C" w:rsidRPr="00E34A42" w:rsidRDefault="0097540C">
            <w:r w:rsidRPr="00E34A42">
              <w:t>approximated in 2011</w:t>
            </w:r>
          </w:p>
        </w:tc>
        <w:tc>
          <w:tcPr>
            <w:tcW w:w="3510" w:type="dxa"/>
          </w:tcPr>
          <w:p w14:paraId="49DE1F40" w14:textId="76EF0041" w:rsidR="0097540C" w:rsidRPr="00E34A42" w:rsidRDefault="004E2C2F">
            <w:r>
              <w:t>2020</w:t>
            </w:r>
          </w:p>
        </w:tc>
      </w:tr>
      <w:tr w:rsidR="0097540C" w14:paraId="0797332E" w14:textId="6961BF7A" w:rsidTr="0097540C">
        <w:tc>
          <w:tcPr>
            <w:tcW w:w="2789" w:type="dxa"/>
          </w:tcPr>
          <w:p w14:paraId="15D568C4" w14:textId="77777777" w:rsidR="0097540C" w:rsidRDefault="00B8616F">
            <w:hyperlink r:id="rId4" w:tgtFrame="_blank" w:tooltip="Directive 2014/68/EU of the European Parliament and of the Council of 15 May 2014 on the harmonisation of the laws of the Member States relating to the making available on the market of pressure equipment" w:history="1">
              <w:r w:rsidR="0097540C" w:rsidRPr="004748E1">
                <w:rPr>
                  <w:bCs/>
                  <w:lang w:val="en"/>
                </w:rPr>
                <w:t xml:space="preserve">Directive 2014/68/EU of the European Parliament and of the Council of 15 May 2014 on the </w:t>
              </w:r>
              <w:proofErr w:type="spellStart"/>
              <w:r w:rsidR="0097540C" w:rsidRPr="004748E1">
                <w:rPr>
                  <w:bCs/>
                  <w:lang w:val="en"/>
                </w:rPr>
                <w:t>harmonisation</w:t>
              </w:r>
              <w:proofErr w:type="spellEnd"/>
              <w:r w:rsidR="0097540C" w:rsidRPr="004748E1">
                <w:rPr>
                  <w:bCs/>
                  <w:lang w:val="en"/>
                </w:rPr>
                <w:t xml:space="preserve"> of the laws of the Member States relating to the making available on the market of pressure equipment</w:t>
              </w:r>
            </w:hyperlink>
            <w:r w:rsidR="0097540C">
              <w:rPr>
                <w:lang w:val="en"/>
              </w:rPr>
              <w:t xml:space="preserve"> (recast)</w:t>
            </w:r>
          </w:p>
        </w:tc>
        <w:tc>
          <w:tcPr>
            <w:tcW w:w="3416" w:type="dxa"/>
          </w:tcPr>
          <w:p w14:paraId="3720D6C9" w14:textId="77777777" w:rsidR="0097540C" w:rsidRPr="00766A74" w:rsidRDefault="0097540C" w:rsidP="00EE76A6">
            <w:pPr>
              <w:jc w:val="center"/>
              <w:rPr>
                <w:b/>
              </w:rPr>
            </w:pPr>
            <w:r>
              <w:rPr>
                <w:rFonts w:eastAsia="Times New Roman"/>
                <w:b/>
                <w:szCs w:val="24"/>
              </w:rPr>
              <w:t>2019</w:t>
            </w:r>
          </w:p>
        </w:tc>
        <w:tc>
          <w:tcPr>
            <w:tcW w:w="3510" w:type="dxa"/>
          </w:tcPr>
          <w:p w14:paraId="01DC9D9D" w14:textId="77777777" w:rsidR="0097540C" w:rsidRPr="00E34A42" w:rsidRDefault="0097540C">
            <w:r w:rsidRPr="00E34A42">
              <w:t>during 2013</w:t>
            </w:r>
          </w:p>
        </w:tc>
        <w:tc>
          <w:tcPr>
            <w:tcW w:w="3510" w:type="dxa"/>
          </w:tcPr>
          <w:p w14:paraId="65FB945E" w14:textId="49E9B68C" w:rsidR="0097540C" w:rsidRPr="00E34A42" w:rsidRDefault="004E2C2F">
            <w:r>
              <w:t>2021</w:t>
            </w:r>
          </w:p>
        </w:tc>
      </w:tr>
      <w:tr w:rsidR="0097540C" w14:paraId="348BD687" w14:textId="7F77CD4F" w:rsidTr="0097540C">
        <w:tc>
          <w:tcPr>
            <w:tcW w:w="2789" w:type="dxa"/>
          </w:tcPr>
          <w:p w14:paraId="4E932675" w14:textId="77777777" w:rsidR="0097540C" w:rsidRDefault="0097540C">
            <w:r w:rsidRPr="004133FA">
              <w:rPr>
                <w:rFonts w:eastAsia="Times New Roman"/>
                <w:szCs w:val="24"/>
              </w:rPr>
              <w:t>Council Directive 92/42/EEC of 21 May 1992 on efficiency requirements for new hot-water boilers fired with liquid or gaseous fuels</w:t>
            </w:r>
          </w:p>
        </w:tc>
        <w:tc>
          <w:tcPr>
            <w:tcW w:w="3416" w:type="dxa"/>
          </w:tcPr>
          <w:p w14:paraId="7E37308E" w14:textId="77777777" w:rsidR="0097540C" w:rsidRPr="00766A74" w:rsidRDefault="0097540C" w:rsidP="00EE76A6">
            <w:pPr>
              <w:jc w:val="center"/>
            </w:pPr>
            <w:r w:rsidRPr="00766A74">
              <w:rPr>
                <w:rFonts w:eastAsia="Times New Roman"/>
                <w:szCs w:val="24"/>
              </w:rPr>
              <w:t>during 2013</w:t>
            </w:r>
          </w:p>
        </w:tc>
        <w:tc>
          <w:tcPr>
            <w:tcW w:w="3510" w:type="dxa"/>
          </w:tcPr>
          <w:p w14:paraId="264EB53E" w14:textId="77777777" w:rsidR="0097540C" w:rsidRPr="00766A74" w:rsidRDefault="0097540C">
            <w:r w:rsidRPr="00766A74">
              <w:t>during 2013</w:t>
            </w:r>
          </w:p>
        </w:tc>
        <w:tc>
          <w:tcPr>
            <w:tcW w:w="3510" w:type="dxa"/>
          </w:tcPr>
          <w:p w14:paraId="320C56DF" w14:textId="260CF94B" w:rsidR="0097540C" w:rsidRPr="00766A74" w:rsidRDefault="004E2C2F">
            <w:r>
              <w:t>2021</w:t>
            </w:r>
          </w:p>
        </w:tc>
      </w:tr>
      <w:tr w:rsidR="0097540C" w14:paraId="418F476F" w14:textId="1E6D7691" w:rsidTr="0097540C">
        <w:tc>
          <w:tcPr>
            <w:tcW w:w="2789" w:type="dxa"/>
          </w:tcPr>
          <w:p w14:paraId="73B1CC10" w14:textId="77777777" w:rsidR="0097540C" w:rsidRDefault="0097540C">
            <w:r w:rsidRPr="00874534">
              <w:rPr>
                <w:lang w:val="en"/>
              </w:rPr>
              <w:t xml:space="preserve">Directive 2014/29/EU of the European Parliament and of the Council of 26 February 2014 on the </w:t>
            </w:r>
            <w:proofErr w:type="spellStart"/>
            <w:r w:rsidRPr="00874534">
              <w:rPr>
                <w:lang w:val="en"/>
              </w:rPr>
              <w:t>harmonisation</w:t>
            </w:r>
            <w:proofErr w:type="spellEnd"/>
            <w:r w:rsidRPr="00874534">
              <w:rPr>
                <w:lang w:val="en"/>
              </w:rPr>
              <w:t xml:space="preserve"> </w:t>
            </w:r>
            <w:r w:rsidRPr="00874534">
              <w:rPr>
                <w:lang w:val="en"/>
              </w:rPr>
              <w:lastRenderedPageBreak/>
              <w:t>of the laws of the Member States relating to the making available on the market of simple pressure vessels</w:t>
            </w:r>
            <w:r>
              <w:rPr>
                <w:lang w:val="en"/>
              </w:rPr>
              <w:t xml:space="preserve"> (recast)</w:t>
            </w:r>
          </w:p>
        </w:tc>
        <w:tc>
          <w:tcPr>
            <w:tcW w:w="3416" w:type="dxa"/>
          </w:tcPr>
          <w:p w14:paraId="06EE658C" w14:textId="77777777" w:rsidR="0097540C" w:rsidRPr="00E34A42" w:rsidRDefault="0097540C" w:rsidP="00EE76A6">
            <w:pPr>
              <w:jc w:val="center"/>
              <w:rPr>
                <w:b/>
              </w:rPr>
            </w:pPr>
            <w:r>
              <w:rPr>
                <w:rFonts w:eastAsia="Times New Roman"/>
                <w:b/>
                <w:szCs w:val="24"/>
              </w:rPr>
              <w:lastRenderedPageBreak/>
              <w:t>2019</w:t>
            </w:r>
          </w:p>
        </w:tc>
        <w:tc>
          <w:tcPr>
            <w:tcW w:w="3510" w:type="dxa"/>
          </w:tcPr>
          <w:p w14:paraId="02BA5659" w14:textId="77777777" w:rsidR="0097540C" w:rsidRPr="00E34A42" w:rsidRDefault="0097540C">
            <w:r w:rsidRPr="00E34A42">
              <w:t>during 2013</w:t>
            </w:r>
          </w:p>
        </w:tc>
        <w:tc>
          <w:tcPr>
            <w:tcW w:w="3510" w:type="dxa"/>
          </w:tcPr>
          <w:p w14:paraId="686A4C13" w14:textId="5AC48351" w:rsidR="0097540C" w:rsidRPr="00E34A42" w:rsidRDefault="004E2C2F">
            <w:r>
              <w:t>2021</w:t>
            </w:r>
          </w:p>
        </w:tc>
      </w:tr>
      <w:tr w:rsidR="0097540C" w14:paraId="32DEFF49" w14:textId="50F565F8" w:rsidTr="0097540C">
        <w:tc>
          <w:tcPr>
            <w:tcW w:w="2789" w:type="dxa"/>
          </w:tcPr>
          <w:p w14:paraId="30B44285" w14:textId="77777777" w:rsidR="0097540C" w:rsidRPr="00874534" w:rsidRDefault="0097540C">
            <w:pPr>
              <w:rPr>
                <w:lang w:val="en"/>
              </w:rPr>
            </w:pPr>
            <w:commentRangeStart w:id="0"/>
            <w:r w:rsidRPr="004748E1">
              <w:rPr>
                <w:lang w:val="en"/>
              </w:rPr>
              <w:t>Directive 2013/53/EU of the European Parliament and of the Council of 20 November 2013 on recreational craft and personal watercraft and repealing Directive 94/25/EC</w:t>
            </w:r>
          </w:p>
        </w:tc>
        <w:tc>
          <w:tcPr>
            <w:tcW w:w="3416" w:type="dxa"/>
          </w:tcPr>
          <w:p w14:paraId="0E68C6F4" w14:textId="77777777" w:rsidR="0097540C" w:rsidRPr="00E34A42" w:rsidRDefault="0097540C" w:rsidP="00EE76A6">
            <w:pPr>
              <w:jc w:val="center"/>
              <w:rPr>
                <w:rFonts w:eastAsia="Times New Roman"/>
                <w:b/>
                <w:szCs w:val="24"/>
              </w:rPr>
            </w:pPr>
            <w:r>
              <w:rPr>
                <w:rFonts w:eastAsia="Times New Roman"/>
                <w:b/>
                <w:szCs w:val="24"/>
              </w:rPr>
              <w:t>2019</w:t>
            </w:r>
          </w:p>
        </w:tc>
        <w:tc>
          <w:tcPr>
            <w:tcW w:w="3510" w:type="dxa"/>
          </w:tcPr>
          <w:p w14:paraId="64A541ED" w14:textId="77777777" w:rsidR="0097540C" w:rsidRPr="00E34A42" w:rsidRDefault="0097540C">
            <w:r w:rsidRPr="00E34A42">
              <w:t>during 2013</w:t>
            </w:r>
            <w:commentRangeEnd w:id="0"/>
            <w:r>
              <w:rPr>
                <w:rStyle w:val="CommentReference"/>
              </w:rPr>
              <w:commentReference w:id="0"/>
            </w:r>
          </w:p>
        </w:tc>
        <w:tc>
          <w:tcPr>
            <w:tcW w:w="3510" w:type="dxa"/>
          </w:tcPr>
          <w:p w14:paraId="7155B89A" w14:textId="7460EE1B" w:rsidR="0097540C" w:rsidRPr="00E34A42" w:rsidRDefault="004E2C2F">
            <w:r>
              <w:t>2020</w:t>
            </w:r>
          </w:p>
        </w:tc>
      </w:tr>
      <w:tr w:rsidR="0097540C" w14:paraId="35C6880A" w14:textId="0097E02A" w:rsidTr="0097540C">
        <w:tc>
          <w:tcPr>
            <w:tcW w:w="2789" w:type="dxa"/>
          </w:tcPr>
          <w:p w14:paraId="2FF4535C" w14:textId="77777777" w:rsidR="0097540C" w:rsidRPr="00874534" w:rsidRDefault="0097540C">
            <w:pPr>
              <w:rPr>
                <w:lang w:val="en"/>
              </w:rPr>
            </w:pPr>
            <w:r w:rsidRPr="004133FA">
              <w:rPr>
                <w:rFonts w:eastAsia="Times New Roman"/>
                <w:szCs w:val="24"/>
              </w:rPr>
              <w:t>Commission Directive 2008/43/EC of 4 April 2008 setting up, pursuant to Council Directive 93/15/EEC, a system for the identification and traceability of explosives for civil uses</w:t>
            </w:r>
          </w:p>
        </w:tc>
        <w:tc>
          <w:tcPr>
            <w:tcW w:w="3416" w:type="dxa"/>
          </w:tcPr>
          <w:p w14:paraId="4B2EC0F8" w14:textId="77777777" w:rsidR="0097540C" w:rsidRPr="00780A54" w:rsidRDefault="0097540C" w:rsidP="00EE76A6">
            <w:pPr>
              <w:jc w:val="center"/>
              <w:rPr>
                <w:rFonts w:ascii="Sylfaen" w:eastAsia="Times New Roman" w:hAnsi="Sylfaen"/>
                <w:szCs w:val="24"/>
                <w:lang w:val="ka-GE"/>
              </w:rPr>
            </w:pPr>
            <w:r>
              <w:rPr>
                <w:rFonts w:ascii="Sylfaen" w:eastAsia="Times New Roman" w:hAnsi="Sylfaen"/>
                <w:szCs w:val="24"/>
                <w:lang w:val="ka-GE"/>
              </w:rPr>
              <w:t>2019</w:t>
            </w:r>
          </w:p>
        </w:tc>
        <w:tc>
          <w:tcPr>
            <w:tcW w:w="3510" w:type="dxa"/>
          </w:tcPr>
          <w:p w14:paraId="5BADCE0C" w14:textId="77777777" w:rsidR="0097540C" w:rsidRPr="00780A54" w:rsidRDefault="0097540C">
            <w:pPr>
              <w:rPr>
                <w:rFonts w:ascii="Sylfaen" w:hAnsi="Sylfaen"/>
                <w:lang w:val="ka-GE"/>
              </w:rPr>
            </w:pPr>
            <w:r>
              <w:rPr>
                <w:rFonts w:ascii="Sylfaen" w:hAnsi="Sylfaen"/>
                <w:lang w:val="ka-GE"/>
              </w:rPr>
              <w:t>2019</w:t>
            </w:r>
          </w:p>
        </w:tc>
        <w:tc>
          <w:tcPr>
            <w:tcW w:w="3510" w:type="dxa"/>
          </w:tcPr>
          <w:p w14:paraId="5D7F543E" w14:textId="399DC37A" w:rsidR="0097540C" w:rsidRPr="004E2C2F" w:rsidRDefault="004E2C2F">
            <w:pPr>
              <w:rPr>
                <w:rFonts w:ascii="Sylfaen" w:hAnsi="Sylfaen"/>
              </w:rPr>
            </w:pPr>
            <w:r>
              <w:rPr>
                <w:rFonts w:ascii="Sylfaen" w:hAnsi="Sylfaen"/>
              </w:rPr>
              <w:t>2019</w:t>
            </w:r>
          </w:p>
        </w:tc>
      </w:tr>
      <w:tr w:rsidR="0097540C" w14:paraId="627D25A2" w14:textId="78CFB613" w:rsidTr="0097540C">
        <w:tc>
          <w:tcPr>
            <w:tcW w:w="2789" w:type="dxa"/>
          </w:tcPr>
          <w:p w14:paraId="1C5DADC5" w14:textId="77777777" w:rsidR="0097540C" w:rsidRPr="00874534" w:rsidRDefault="0097540C">
            <w:pPr>
              <w:rPr>
                <w:lang w:val="en"/>
              </w:rPr>
            </w:pPr>
            <w:r w:rsidRPr="004748E1">
              <w:rPr>
                <w:lang w:val="en"/>
              </w:rPr>
              <w:t xml:space="preserve">Directive 2014/34/EU of the European Parliament and of the Council of 26 February 2014 on the </w:t>
            </w:r>
            <w:proofErr w:type="spellStart"/>
            <w:r w:rsidRPr="004748E1">
              <w:rPr>
                <w:lang w:val="en"/>
              </w:rPr>
              <w:t>harmonisation</w:t>
            </w:r>
            <w:proofErr w:type="spellEnd"/>
            <w:r w:rsidRPr="004748E1">
              <w:rPr>
                <w:lang w:val="en"/>
              </w:rPr>
              <w:t xml:space="preserve"> of the laws of the Member States relating to equipment and protective systems intended for use in potentially explosive atmospheres (recast)</w:t>
            </w:r>
          </w:p>
        </w:tc>
        <w:tc>
          <w:tcPr>
            <w:tcW w:w="3416" w:type="dxa"/>
          </w:tcPr>
          <w:p w14:paraId="50E012A4" w14:textId="77777777" w:rsidR="0097540C" w:rsidRPr="00780A54" w:rsidRDefault="0097540C" w:rsidP="00EE76A6">
            <w:pPr>
              <w:jc w:val="center"/>
              <w:rPr>
                <w:rFonts w:ascii="Sylfaen" w:eastAsia="Times New Roman" w:hAnsi="Sylfaen"/>
                <w:b/>
                <w:szCs w:val="24"/>
                <w:lang w:val="ka-GE"/>
              </w:rPr>
            </w:pPr>
            <w:r>
              <w:rPr>
                <w:rFonts w:ascii="Sylfaen" w:eastAsia="Times New Roman" w:hAnsi="Sylfaen"/>
                <w:b/>
                <w:szCs w:val="24"/>
                <w:lang w:val="ka-GE"/>
              </w:rPr>
              <w:t>2019</w:t>
            </w:r>
          </w:p>
        </w:tc>
        <w:tc>
          <w:tcPr>
            <w:tcW w:w="3510" w:type="dxa"/>
          </w:tcPr>
          <w:p w14:paraId="3F3800A2" w14:textId="77777777" w:rsidR="0097540C" w:rsidRPr="00780A54" w:rsidRDefault="0097540C">
            <w:pPr>
              <w:rPr>
                <w:rFonts w:ascii="Sylfaen" w:hAnsi="Sylfaen"/>
                <w:lang w:val="ka-GE"/>
              </w:rPr>
            </w:pPr>
            <w:r>
              <w:rPr>
                <w:rFonts w:ascii="Sylfaen" w:hAnsi="Sylfaen"/>
                <w:lang w:val="ka-GE"/>
              </w:rPr>
              <w:t>2018</w:t>
            </w:r>
          </w:p>
        </w:tc>
        <w:tc>
          <w:tcPr>
            <w:tcW w:w="3510" w:type="dxa"/>
          </w:tcPr>
          <w:p w14:paraId="5388DD41" w14:textId="683C6723" w:rsidR="0097540C" w:rsidRPr="0097540C" w:rsidRDefault="0097540C">
            <w:pPr>
              <w:rPr>
                <w:rFonts w:ascii="Sylfaen" w:hAnsi="Sylfaen"/>
              </w:rPr>
            </w:pPr>
            <w:r>
              <w:rPr>
                <w:rFonts w:ascii="Sylfaen" w:hAnsi="Sylfaen"/>
              </w:rPr>
              <w:t>2018</w:t>
            </w:r>
          </w:p>
        </w:tc>
      </w:tr>
      <w:tr w:rsidR="0097540C" w14:paraId="1CBD9C6E" w14:textId="449CE53F" w:rsidTr="0097540C">
        <w:tc>
          <w:tcPr>
            <w:tcW w:w="2789" w:type="dxa"/>
          </w:tcPr>
          <w:p w14:paraId="7619AF6F" w14:textId="77777777" w:rsidR="0097540C" w:rsidRPr="00874534" w:rsidRDefault="0097540C">
            <w:pPr>
              <w:rPr>
                <w:lang w:val="en"/>
              </w:rPr>
            </w:pPr>
            <w:commentRangeStart w:id="1"/>
            <w:r w:rsidRPr="004748E1">
              <w:rPr>
                <w:lang w:val="en"/>
              </w:rPr>
              <w:t xml:space="preserve">Directive 2014/53/EU of the European Parliament and of the Council of 16 April 2014 on the </w:t>
            </w:r>
            <w:proofErr w:type="spellStart"/>
            <w:r w:rsidRPr="004748E1">
              <w:rPr>
                <w:lang w:val="en"/>
              </w:rPr>
              <w:t>harmonisation</w:t>
            </w:r>
            <w:proofErr w:type="spellEnd"/>
            <w:r w:rsidRPr="004748E1">
              <w:rPr>
                <w:lang w:val="en"/>
              </w:rPr>
              <w:t xml:space="preserve"> of the </w:t>
            </w:r>
            <w:r w:rsidRPr="004748E1">
              <w:rPr>
                <w:lang w:val="en"/>
              </w:rPr>
              <w:lastRenderedPageBreak/>
              <w:t>laws of the Member States relating to the making available on the market of radio equipment and repealing Directive 1999/5/EC</w:t>
            </w:r>
          </w:p>
        </w:tc>
        <w:tc>
          <w:tcPr>
            <w:tcW w:w="3416" w:type="dxa"/>
          </w:tcPr>
          <w:p w14:paraId="526C31A1" w14:textId="77777777" w:rsidR="0097540C" w:rsidRPr="00780A54" w:rsidRDefault="0097540C" w:rsidP="00EE76A6">
            <w:pPr>
              <w:jc w:val="center"/>
              <w:rPr>
                <w:rFonts w:ascii="Sylfaen" w:eastAsia="Times New Roman" w:hAnsi="Sylfaen"/>
                <w:b/>
                <w:szCs w:val="24"/>
                <w:lang w:val="ka-GE"/>
              </w:rPr>
            </w:pPr>
            <w:r>
              <w:rPr>
                <w:rFonts w:ascii="Sylfaen" w:eastAsia="Times New Roman" w:hAnsi="Sylfaen"/>
                <w:b/>
                <w:szCs w:val="24"/>
                <w:lang w:val="ka-GE"/>
              </w:rPr>
              <w:lastRenderedPageBreak/>
              <w:t>2019</w:t>
            </w:r>
          </w:p>
        </w:tc>
        <w:tc>
          <w:tcPr>
            <w:tcW w:w="3510" w:type="dxa"/>
          </w:tcPr>
          <w:p w14:paraId="1BB8D484" w14:textId="77777777" w:rsidR="0097540C" w:rsidRPr="00780A54" w:rsidRDefault="0097540C">
            <w:pPr>
              <w:rPr>
                <w:rFonts w:ascii="Sylfaen" w:hAnsi="Sylfaen"/>
                <w:lang w:val="ka-GE"/>
              </w:rPr>
            </w:pPr>
            <w:r>
              <w:rPr>
                <w:rFonts w:ascii="Sylfaen" w:hAnsi="Sylfaen"/>
                <w:lang w:val="ka-GE"/>
              </w:rPr>
              <w:t>2018</w:t>
            </w:r>
            <w:commentRangeEnd w:id="1"/>
            <w:r>
              <w:rPr>
                <w:rStyle w:val="CommentReference"/>
              </w:rPr>
              <w:commentReference w:id="1"/>
            </w:r>
          </w:p>
        </w:tc>
        <w:tc>
          <w:tcPr>
            <w:tcW w:w="3510" w:type="dxa"/>
          </w:tcPr>
          <w:p w14:paraId="52138B89" w14:textId="3A94598E" w:rsidR="0097540C" w:rsidRPr="0097540C" w:rsidRDefault="0097540C">
            <w:pPr>
              <w:rPr>
                <w:rFonts w:ascii="Sylfaen" w:hAnsi="Sylfaen"/>
              </w:rPr>
            </w:pPr>
            <w:r>
              <w:rPr>
                <w:rFonts w:ascii="Sylfaen" w:hAnsi="Sylfaen"/>
              </w:rPr>
              <w:t>2018</w:t>
            </w:r>
          </w:p>
        </w:tc>
      </w:tr>
      <w:tr w:rsidR="0097540C" w14:paraId="4F342D4E" w14:textId="52DCE4F4" w:rsidTr="0097540C">
        <w:tc>
          <w:tcPr>
            <w:tcW w:w="2789" w:type="dxa"/>
          </w:tcPr>
          <w:p w14:paraId="3126DE96" w14:textId="77777777" w:rsidR="0097540C" w:rsidRPr="00874534" w:rsidRDefault="0097540C">
            <w:pPr>
              <w:rPr>
                <w:lang w:val="en"/>
              </w:rPr>
            </w:pPr>
            <w:r w:rsidRPr="004748E1">
              <w:rPr>
                <w:lang w:val="en"/>
              </w:rPr>
              <w:t xml:space="preserve">Directive 2014/30/EU of the European Parliament and of the Council of 26 February 2014 on the </w:t>
            </w:r>
            <w:proofErr w:type="spellStart"/>
            <w:r w:rsidRPr="004748E1">
              <w:rPr>
                <w:lang w:val="en"/>
              </w:rPr>
              <w:t>harmonisation</w:t>
            </w:r>
            <w:proofErr w:type="spellEnd"/>
            <w:r w:rsidRPr="004748E1">
              <w:rPr>
                <w:lang w:val="en"/>
              </w:rPr>
              <w:t xml:space="preserve"> of the laws of the Member States relating to electromagnetic compatibility (recast)</w:t>
            </w:r>
          </w:p>
        </w:tc>
        <w:tc>
          <w:tcPr>
            <w:tcW w:w="3416" w:type="dxa"/>
          </w:tcPr>
          <w:p w14:paraId="3B35E3EE" w14:textId="77777777" w:rsidR="0097540C" w:rsidRPr="009B0AB1" w:rsidRDefault="0097540C" w:rsidP="00EE76A6">
            <w:pPr>
              <w:jc w:val="center"/>
              <w:rPr>
                <w:rFonts w:ascii="Sylfaen" w:eastAsia="Times New Roman" w:hAnsi="Sylfaen"/>
                <w:szCs w:val="24"/>
                <w:lang w:val="ka-GE"/>
              </w:rPr>
            </w:pPr>
            <w:r>
              <w:rPr>
                <w:rFonts w:ascii="Sylfaen" w:eastAsia="Times New Roman" w:hAnsi="Sylfaen"/>
                <w:szCs w:val="24"/>
                <w:lang w:val="ka-GE"/>
              </w:rPr>
              <w:t>2022</w:t>
            </w:r>
          </w:p>
        </w:tc>
        <w:tc>
          <w:tcPr>
            <w:tcW w:w="3510" w:type="dxa"/>
          </w:tcPr>
          <w:p w14:paraId="1D75E739" w14:textId="77777777" w:rsidR="0097540C" w:rsidRPr="009B0AB1" w:rsidRDefault="0097540C">
            <w:pPr>
              <w:rPr>
                <w:rFonts w:ascii="Sylfaen" w:hAnsi="Sylfaen"/>
                <w:lang w:val="ka-GE"/>
              </w:rPr>
            </w:pPr>
            <w:r>
              <w:rPr>
                <w:rFonts w:ascii="Sylfaen" w:hAnsi="Sylfaen"/>
                <w:lang w:val="ka-GE"/>
              </w:rPr>
              <w:t>2022</w:t>
            </w:r>
          </w:p>
        </w:tc>
        <w:tc>
          <w:tcPr>
            <w:tcW w:w="3510" w:type="dxa"/>
          </w:tcPr>
          <w:p w14:paraId="7F484AD7" w14:textId="2E34CC74" w:rsidR="0097540C" w:rsidRPr="0097540C" w:rsidRDefault="0097540C">
            <w:pPr>
              <w:rPr>
                <w:rFonts w:ascii="Sylfaen" w:hAnsi="Sylfaen"/>
              </w:rPr>
            </w:pPr>
            <w:r>
              <w:rPr>
                <w:rFonts w:ascii="Sylfaen" w:hAnsi="Sylfaen"/>
              </w:rPr>
              <w:t>2022</w:t>
            </w:r>
          </w:p>
        </w:tc>
      </w:tr>
      <w:tr w:rsidR="0097540C" w14:paraId="586A1C5D" w14:textId="136C1105" w:rsidTr="0097540C">
        <w:tc>
          <w:tcPr>
            <w:tcW w:w="2789" w:type="dxa"/>
          </w:tcPr>
          <w:p w14:paraId="1FBADAA3" w14:textId="77777777" w:rsidR="0097540C" w:rsidRPr="00874534" w:rsidRDefault="0097540C">
            <w:pPr>
              <w:rPr>
                <w:lang w:val="en"/>
              </w:rPr>
            </w:pPr>
            <w:r w:rsidRPr="00874534">
              <w:rPr>
                <w:lang w:val="en"/>
              </w:rPr>
              <w:t xml:space="preserve">Directive 2014/35/EU of the European Parliament and of the Council of 26 February 2014 on the </w:t>
            </w:r>
            <w:proofErr w:type="spellStart"/>
            <w:r w:rsidRPr="00874534">
              <w:rPr>
                <w:lang w:val="en"/>
              </w:rPr>
              <w:t>harmonisation</w:t>
            </w:r>
            <w:proofErr w:type="spellEnd"/>
            <w:r w:rsidRPr="00874534">
              <w:rPr>
                <w:lang w:val="en"/>
              </w:rPr>
              <w:t xml:space="preserve"> of the laws of the Member States relating to the making available on the market of electrical equipment designed for use within certain voltage limits </w:t>
            </w:r>
            <w:r>
              <w:rPr>
                <w:lang w:val="en"/>
              </w:rPr>
              <w:t>(recast)</w:t>
            </w:r>
          </w:p>
        </w:tc>
        <w:tc>
          <w:tcPr>
            <w:tcW w:w="3416" w:type="dxa"/>
          </w:tcPr>
          <w:p w14:paraId="5E6255C3" w14:textId="77777777" w:rsidR="0097540C" w:rsidRPr="009B0AB1" w:rsidRDefault="0097540C" w:rsidP="00EE76A6">
            <w:pPr>
              <w:jc w:val="center"/>
              <w:rPr>
                <w:rFonts w:ascii="Sylfaen" w:eastAsia="Times New Roman" w:hAnsi="Sylfaen"/>
                <w:szCs w:val="24"/>
                <w:lang w:val="ka-GE"/>
              </w:rPr>
            </w:pPr>
            <w:r>
              <w:rPr>
                <w:rFonts w:ascii="Sylfaen" w:eastAsia="Times New Roman" w:hAnsi="Sylfaen"/>
                <w:szCs w:val="24"/>
                <w:lang w:val="ka-GE"/>
              </w:rPr>
              <w:t>2022</w:t>
            </w:r>
          </w:p>
        </w:tc>
        <w:tc>
          <w:tcPr>
            <w:tcW w:w="3510" w:type="dxa"/>
          </w:tcPr>
          <w:p w14:paraId="7D80FCAB" w14:textId="77777777" w:rsidR="0097540C" w:rsidRPr="00766A74" w:rsidRDefault="0097540C" w:rsidP="009B0AB1">
            <w:r>
              <w:t>2022</w:t>
            </w:r>
          </w:p>
        </w:tc>
        <w:tc>
          <w:tcPr>
            <w:tcW w:w="3510" w:type="dxa"/>
          </w:tcPr>
          <w:p w14:paraId="33D5AA7C" w14:textId="4FF6129C" w:rsidR="0097540C" w:rsidRDefault="0097540C" w:rsidP="009B0AB1">
            <w:r>
              <w:t>2022</w:t>
            </w:r>
          </w:p>
        </w:tc>
      </w:tr>
      <w:tr w:rsidR="0097540C" w14:paraId="05831204" w14:textId="26FA1D55" w:rsidTr="0097540C">
        <w:tc>
          <w:tcPr>
            <w:tcW w:w="2789" w:type="dxa"/>
          </w:tcPr>
          <w:p w14:paraId="79CEF984" w14:textId="77777777" w:rsidR="0097540C" w:rsidRDefault="0097540C">
            <w:commentRangeStart w:id="2"/>
            <w:r w:rsidRPr="00D963B0">
              <w:rPr>
                <w:rFonts w:eastAsia="Times New Roman"/>
                <w:szCs w:val="24"/>
              </w:rPr>
              <w:t>Regulation (EU) 2017/745 of the European Parliament and of the Council of 5 April 2017 on medi</w:t>
            </w:r>
            <w:r>
              <w:rPr>
                <w:rFonts w:eastAsia="Times New Roman"/>
                <w:szCs w:val="24"/>
              </w:rPr>
              <w:t xml:space="preserve">cal devices, amending Directive </w:t>
            </w:r>
            <w:r w:rsidRPr="00D963B0">
              <w:rPr>
                <w:rFonts w:eastAsia="Times New Roman"/>
                <w:szCs w:val="24"/>
              </w:rPr>
              <w:t>2001/83/EC, Regulation</w:t>
            </w:r>
            <w:r>
              <w:rPr>
                <w:rFonts w:eastAsia="Times New Roman"/>
                <w:szCs w:val="24"/>
              </w:rPr>
              <w:t xml:space="preserve"> (EC) No 178/2002 and Regulation (EC) No </w:t>
            </w:r>
            <w:r w:rsidRPr="00D963B0">
              <w:rPr>
                <w:rFonts w:eastAsia="Times New Roman"/>
                <w:szCs w:val="24"/>
              </w:rPr>
              <w:t xml:space="preserve">1223/2009 and </w:t>
            </w:r>
            <w:r w:rsidRPr="00D963B0">
              <w:rPr>
                <w:rFonts w:eastAsia="Times New Roman"/>
                <w:szCs w:val="24"/>
              </w:rPr>
              <w:lastRenderedPageBreak/>
              <w:t>repealing Council Directives 90/385/EEC and 93/42/EEC</w:t>
            </w:r>
          </w:p>
        </w:tc>
        <w:tc>
          <w:tcPr>
            <w:tcW w:w="3416" w:type="dxa"/>
          </w:tcPr>
          <w:p w14:paraId="14474613" w14:textId="77777777" w:rsidR="0097540C" w:rsidRPr="009B0AB1" w:rsidRDefault="0097540C" w:rsidP="00EE76A6">
            <w:pPr>
              <w:jc w:val="center"/>
              <w:rPr>
                <w:rFonts w:ascii="Sylfaen" w:hAnsi="Sylfaen"/>
                <w:b/>
                <w:lang w:val="ka-GE"/>
              </w:rPr>
            </w:pPr>
            <w:r>
              <w:rPr>
                <w:rFonts w:ascii="Sylfaen" w:eastAsia="Times New Roman" w:hAnsi="Sylfaen"/>
                <w:b/>
                <w:szCs w:val="24"/>
                <w:lang w:val="ka-GE"/>
              </w:rPr>
              <w:lastRenderedPageBreak/>
              <w:t>2022</w:t>
            </w:r>
          </w:p>
        </w:tc>
        <w:tc>
          <w:tcPr>
            <w:tcW w:w="3510" w:type="dxa"/>
          </w:tcPr>
          <w:p w14:paraId="0D5809F7" w14:textId="77777777" w:rsidR="0097540C" w:rsidRPr="009B0AB1" w:rsidRDefault="0097540C">
            <w:pPr>
              <w:rPr>
                <w:rFonts w:ascii="Sylfaen" w:hAnsi="Sylfaen"/>
                <w:lang w:val="ka-GE"/>
              </w:rPr>
            </w:pPr>
            <w:r>
              <w:rPr>
                <w:rFonts w:ascii="Sylfaen" w:hAnsi="Sylfaen"/>
                <w:lang w:val="ka-GE"/>
              </w:rPr>
              <w:t>2019</w:t>
            </w:r>
            <w:commentRangeEnd w:id="2"/>
            <w:r>
              <w:rPr>
                <w:rStyle w:val="CommentReference"/>
              </w:rPr>
              <w:commentReference w:id="2"/>
            </w:r>
          </w:p>
        </w:tc>
        <w:tc>
          <w:tcPr>
            <w:tcW w:w="3510" w:type="dxa"/>
          </w:tcPr>
          <w:p w14:paraId="644407E4" w14:textId="1054C409" w:rsidR="0097540C" w:rsidRPr="0097540C" w:rsidRDefault="0097540C">
            <w:pPr>
              <w:rPr>
                <w:rFonts w:ascii="Sylfaen" w:hAnsi="Sylfaen"/>
              </w:rPr>
            </w:pPr>
            <w:r>
              <w:rPr>
                <w:rFonts w:ascii="Sylfaen" w:hAnsi="Sylfaen"/>
              </w:rPr>
              <w:t>2022</w:t>
            </w:r>
          </w:p>
        </w:tc>
      </w:tr>
      <w:tr w:rsidR="0097540C" w14:paraId="75B2596B" w14:textId="20EF90A5" w:rsidTr="0097540C">
        <w:tc>
          <w:tcPr>
            <w:tcW w:w="2789" w:type="dxa"/>
          </w:tcPr>
          <w:p w14:paraId="1056C94C" w14:textId="77777777" w:rsidR="0097540C" w:rsidRPr="00D963B0" w:rsidRDefault="0097540C">
            <w:pPr>
              <w:rPr>
                <w:rFonts w:eastAsia="Times New Roman"/>
                <w:szCs w:val="24"/>
              </w:rPr>
            </w:pPr>
            <w:commentRangeStart w:id="3"/>
            <w:r w:rsidRPr="00D963B0">
              <w:rPr>
                <w:szCs w:val="24"/>
              </w:rPr>
              <w:t xml:space="preserve">Regulation (EU) 2017/746 of the European Parliament and of the Council of 5 April 2017 on </w:t>
            </w:r>
            <w:r w:rsidRPr="00D963B0">
              <w:rPr>
                <w:rStyle w:val="italic"/>
                <w:szCs w:val="24"/>
              </w:rPr>
              <w:t>in vitro</w:t>
            </w:r>
            <w:r w:rsidRPr="00D963B0">
              <w:rPr>
                <w:szCs w:val="24"/>
              </w:rPr>
              <w:t xml:space="preserve"> diagnostic medical devices and repealing Directive 98/79/EC and Commission Decision 2010/227/EU</w:t>
            </w:r>
          </w:p>
        </w:tc>
        <w:tc>
          <w:tcPr>
            <w:tcW w:w="3416" w:type="dxa"/>
          </w:tcPr>
          <w:p w14:paraId="6C7511AB" w14:textId="77777777" w:rsidR="0097540C" w:rsidRPr="009B0AB1" w:rsidRDefault="0097540C" w:rsidP="00EE76A6">
            <w:pPr>
              <w:jc w:val="center"/>
              <w:rPr>
                <w:rFonts w:ascii="Sylfaen" w:eastAsia="Times New Roman" w:hAnsi="Sylfaen"/>
                <w:b/>
                <w:szCs w:val="24"/>
                <w:lang w:val="ka-GE"/>
              </w:rPr>
            </w:pPr>
            <w:r>
              <w:rPr>
                <w:rFonts w:ascii="Sylfaen" w:eastAsia="Times New Roman" w:hAnsi="Sylfaen"/>
                <w:b/>
                <w:szCs w:val="24"/>
                <w:lang w:val="ka-GE"/>
              </w:rPr>
              <w:t>2022</w:t>
            </w:r>
          </w:p>
        </w:tc>
        <w:tc>
          <w:tcPr>
            <w:tcW w:w="3510" w:type="dxa"/>
          </w:tcPr>
          <w:p w14:paraId="6233BBA3" w14:textId="77777777" w:rsidR="0097540C" w:rsidRPr="009B0AB1" w:rsidRDefault="0097540C">
            <w:pPr>
              <w:rPr>
                <w:rFonts w:ascii="Sylfaen" w:hAnsi="Sylfaen"/>
                <w:lang w:val="ka-GE"/>
              </w:rPr>
            </w:pPr>
            <w:r>
              <w:rPr>
                <w:rFonts w:ascii="Sylfaen" w:hAnsi="Sylfaen"/>
                <w:lang w:val="ka-GE"/>
              </w:rPr>
              <w:t>2019</w:t>
            </w:r>
            <w:commentRangeEnd w:id="3"/>
            <w:r>
              <w:rPr>
                <w:rStyle w:val="CommentReference"/>
              </w:rPr>
              <w:commentReference w:id="3"/>
            </w:r>
          </w:p>
        </w:tc>
        <w:tc>
          <w:tcPr>
            <w:tcW w:w="3510" w:type="dxa"/>
          </w:tcPr>
          <w:p w14:paraId="218CC31D" w14:textId="1EF137E8" w:rsidR="0097540C" w:rsidRPr="0097540C" w:rsidRDefault="0097540C">
            <w:pPr>
              <w:rPr>
                <w:rFonts w:ascii="Sylfaen" w:hAnsi="Sylfaen"/>
              </w:rPr>
            </w:pPr>
            <w:r>
              <w:rPr>
                <w:rFonts w:ascii="Sylfaen" w:hAnsi="Sylfaen"/>
              </w:rPr>
              <w:t>2022</w:t>
            </w:r>
          </w:p>
        </w:tc>
      </w:tr>
      <w:tr w:rsidR="0097540C" w14:paraId="186BFC14" w14:textId="3025F9B7" w:rsidTr="0097540C">
        <w:tc>
          <w:tcPr>
            <w:tcW w:w="2789" w:type="dxa"/>
          </w:tcPr>
          <w:p w14:paraId="561D4BB7" w14:textId="77777777" w:rsidR="0097540C" w:rsidRPr="00D963B0" w:rsidRDefault="0097540C">
            <w:pPr>
              <w:rPr>
                <w:rFonts w:eastAsia="Times New Roman"/>
                <w:szCs w:val="24"/>
              </w:rPr>
            </w:pPr>
            <w:r w:rsidRPr="00D963B0">
              <w:rPr>
                <w:rStyle w:val="Strong"/>
                <w:szCs w:val="24"/>
              </w:rPr>
              <w:t>Regulation (EU) 2016/426 of the European Parliament and of the Council of 9 March 2016 on appliances burning gaseous fuels and repealing Directive 2009/142/EC</w:t>
            </w:r>
          </w:p>
        </w:tc>
        <w:tc>
          <w:tcPr>
            <w:tcW w:w="3416" w:type="dxa"/>
          </w:tcPr>
          <w:p w14:paraId="3CEE9069" w14:textId="77777777" w:rsidR="0097540C" w:rsidRPr="009B0AB1" w:rsidRDefault="0097540C" w:rsidP="00EE76A6">
            <w:pPr>
              <w:jc w:val="center"/>
              <w:rPr>
                <w:rFonts w:ascii="Sylfaen" w:eastAsia="Times New Roman" w:hAnsi="Sylfaen"/>
                <w:szCs w:val="24"/>
                <w:lang w:val="ka-GE"/>
              </w:rPr>
            </w:pPr>
            <w:r>
              <w:rPr>
                <w:rFonts w:ascii="Sylfaen" w:eastAsia="Times New Roman" w:hAnsi="Sylfaen"/>
                <w:szCs w:val="24"/>
                <w:lang w:val="ka-GE"/>
              </w:rPr>
              <w:t>2019</w:t>
            </w:r>
          </w:p>
        </w:tc>
        <w:tc>
          <w:tcPr>
            <w:tcW w:w="3510" w:type="dxa"/>
          </w:tcPr>
          <w:p w14:paraId="2726D953" w14:textId="77777777" w:rsidR="0097540C" w:rsidRPr="009B0AB1" w:rsidRDefault="0097540C">
            <w:pPr>
              <w:rPr>
                <w:rFonts w:ascii="Sylfaen" w:hAnsi="Sylfaen"/>
                <w:lang w:val="ka-GE"/>
              </w:rPr>
            </w:pPr>
            <w:r>
              <w:rPr>
                <w:rFonts w:ascii="Sylfaen" w:hAnsi="Sylfaen"/>
                <w:lang w:val="ka-GE"/>
              </w:rPr>
              <w:t>2019</w:t>
            </w:r>
          </w:p>
        </w:tc>
        <w:tc>
          <w:tcPr>
            <w:tcW w:w="3510" w:type="dxa"/>
          </w:tcPr>
          <w:p w14:paraId="3BE9B494" w14:textId="26FA8052" w:rsidR="0097540C" w:rsidRPr="0097540C" w:rsidRDefault="0097540C">
            <w:pPr>
              <w:rPr>
                <w:rFonts w:ascii="Sylfaen" w:hAnsi="Sylfaen"/>
              </w:rPr>
            </w:pPr>
            <w:r>
              <w:rPr>
                <w:rFonts w:ascii="Sylfaen" w:hAnsi="Sylfaen"/>
              </w:rPr>
              <w:t>2019</w:t>
            </w:r>
          </w:p>
        </w:tc>
      </w:tr>
      <w:tr w:rsidR="0097540C" w14:paraId="2F09DB1E" w14:textId="0FC1561A" w:rsidTr="0097540C">
        <w:tc>
          <w:tcPr>
            <w:tcW w:w="2789" w:type="dxa"/>
          </w:tcPr>
          <w:p w14:paraId="01B24437" w14:textId="77777777" w:rsidR="0097540C" w:rsidRPr="00D963B0" w:rsidRDefault="0097540C">
            <w:pPr>
              <w:rPr>
                <w:rFonts w:eastAsia="Times New Roman"/>
                <w:szCs w:val="24"/>
              </w:rPr>
            </w:pPr>
            <w:r w:rsidRPr="00D963B0">
              <w:rPr>
                <w:rFonts w:eastAsia="Times New Roman"/>
                <w:bCs/>
                <w:szCs w:val="24"/>
              </w:rPr>
              <w:t xml:space="preserve">Regulation (EU) 2016/425 of the European Parliament and of the Council of 9 March 2016 on </w:t>
            </w:r>
            <w:r w:rsidRPr="00D963B0">
              <w:rPr>
                <w:rFonts w:eastAsia="Times New Roman"/>
                <w:bCs/>
                <w:iCs/>
                <w:szCs w:val="24"/>
              </w:rPr>
              <w:t>personal protective equipment</w:t>
            </w:r>
            <w:r w:rsidRPr="00D963B0">
              <w:rPr>
                <w:rFonts w:eastAsia="Times New Roman"/>
                <w:bCs/>
                <w:szCs w:val="24"/>
              </w:rPr>
              <w:t xml:space="preserve"> and repealing Council Directive 89/686/EEC</w:t>
            </w:r>
          </w:p>
        </w:tc>
        <w:tc>
          <w:tcPr>
            <w:tcW w:w="3416" w:type="dxa"/>
          </w:tcPr>
          <w:p w14:paraId="2EEFA741" w14:textId="77777777" w:rsidR="0097540C" w:rsidRPr="009B0AB1" w:rsidRDefault="0097540C" w:rsidP="00EE76A6">
            <w:pPr>
              <w:jc w:val="center"/>
              <w:rPr>
                <w:rFonts w:ascii="Sylfaen" w:eastAsia="Times New Roman" w:hAnsi="Sylfaen"/>
                <w:szCs w:val="24"/>
                <w:lang w:val="ka-GE"/>
              </w:rPr>
            </w:pPr>
            <w:r>
              <w:rPr>
                <w:rFonts w:ascii="Sylfaen" w:eastAsia="Times New Roman" w:hAnsi="Sylfaen"/>
                <w:szCs w:val="24"/>
                <w:lang w:val="ka-GE"/>
              </w:rPr>
              <w:t>2019</w:t>
            </w:r>
          </w:p>
        </w:tc>
        <w:tc>
          <w:tcPr>
            <w:tcW w:w="3510" w:type="dxa"/>
          </w:tcPr>
          <w:p w14:paraId="3AF04813" w14:textId="77777777" w:rsidR="0097540C" w:rsidRPr="009B0AB1" w:rsidRDefault="0097540C">
            <w:pPr>
              <w:rPr>
                <w:rFonts w:ascii="Sylfaen" w:hAnsi="Sylfaen"/>
                <w:lang w:val="ka-GE"/>
              </w:rPr>
            </w:pPr>
            <w:r>
              <w:rPr>
                <w:rFonts w:ascii="Sylfaen" w:hAnsi="Sylfaen"/>
                <w:lang w:val="ka-GE"/>
              </w:rPr>
              <w:t>2019</w:t>
            </w:r>
          </w:p>
        </w:tc>
        <w:tc>
          <w:tcPr>
            <w:tcW w:w="3510" w:type="dxa"/>
          </w:tcPr>
          <w:p w14:paraId="0710F01A" w14:textId="731996BD" w:rsidR="0097540C" w:rsidRPr="0097540C" w:rsidRDefault="0097540C">
            <w:pPr>
              <w:rPr>
                <w:rFonts w:ascii="Sylfaen" w:hAnsi="Sylfaen"/>
              </w:rPr>
            </w:pPr>
            <w:r>
              <w:rPr>
                <w:rFonts w:ascii="Sylfaen" w:hAnsi="Sylfaen"/>
              </w:rPr>
              <w:t>2019</w:t>
            </w:r>
          </w:p>
        </w:tc>
      </w:tr>
      <w:tr w:rsidR="0097540C" w14:paraId="26468AA9" w14:textId="2FD7C1F4" w:rsidTr="0097540C">
        <w:trPr>
          <w:trHeight w:val="1700"/>
        </w:trPr>
        <w:tc>
          <w:tcPr>
            <w:tcW w:w="2789" w:type="dxa"/>
          </w:tcPr>
          <w:p w14:paraId="2827DC0D" w14:textId="77777777" w:rsidR="0097540C" w:rsidRPr="00D963B0" w:rsidRDefault="0097540C">
            <w:pPr>
              <w:rPr>
                <w:rFonts w:eastAsia="Times New Roman"/>
                <w:szCs w:val="24"/>
              </w:rPr>
            </w:pPr>
            <w:r w:rsidRPr="004133FA">
              <w:rPr>
                <w:rFonts w:eastAsia="Times New Roman"/>
                <w:szCs w:val="24"/>
              </w:rPr>
              <w:t>Directive 98/37/EC of the European Parliament and of the Council of 22 June 1998 on the approximation of the laws of the Member States relating to machinery</w:t>
            </w:r>
          </w:p>
        </w:tc>
        <w:tc>
          <w:tcPr>
            <w:tcW w:w="3416" w:type="dxa"/>
          </w:tcPr>
          <w:p w14:paraId="1C31A382" w14:textId="77777777" w:rsidR="0097540C" w:rsidRPr="009B0AB1" w:rsidRDefault="0097540C" w:rsidP="00EE76A6">
            <w:pPr>
              <w:jc w:val="center"/>
              <w:rPr>
                <w:rFonts w:ascii="Sylfaen" w:eastAsia="Times New Roman" w:hAnsi="Sylfaen"/>
                <w:szCs w:val="24"/>
                <w:lang w:val="ka-GE"/>
              </w:rPr>
            </w:pPr>
            <w:r>
              <w:rPr>
                <w:rFonts w:ascii="Sylfaen" w:eastAsia="Times New Roman" w:hAnsi="Sylfaen"/>
                <w:szCs w:val="24"/>
                <w:lang w:val="ka-GE"/>
              </w:rPr>
              <w:t>2019</w:t>
            </w:r>
          </w:p>
        </w:tc>
        <w:tc>
          <w:tcPr>
            <w:tcW w:w="3510" w:type="dxa"/>
          </w:tcPr>
          <w:p w14:paraId="375A8253" w14:textId="77777777" w:rsidR="0097540C" w:rsidRPr="009B0AB1" w:rsidRDefault="0097540C">
            <w:pPr>
              <w:rPr>
                <w:rFonts w:ascii="Sylfaen" w:hAnsi="Sylfaen"/>
                <w:lang w:val="ka-GE"/>
              </w:rPr>
            </w:pPr>
            <w:r>
              <w:rPr>
                <w:rFonts w:ascii="Sylfaen" w:hAnsi="Sylfaen"/>
                <w:lang w:val="ka-GE"/>
              </w:rPr>
              <w:t>2019</w:t>
            </w:r>
            <w:bookmarkStart w:id="4" w:name="_GoBack"/>
            <w:bookmarkEnd w:id="4"/>
          </w:p>
        </w:tc>
        <w:tc>
          <w:tcPr>
            <w:tcW w:w="3510" w:type="dxa"/>
          </w:tcPr>
          <w:p w14:paraId="03388370" w14:textId="38D8686D" w:rsidR="0097540C" w:rsidRPr="0097540C" w:rsidRDefault="00B8616F" w:rsidP="004E2C2F">
            <w:pPr>
              <w:rPr>
                <w:rFonts w:ascii="Sylfaen" w:hAnsi="Sylfaen"/>
              </w:rPr>
            </w:pPr>
            <w:r>
              <w:rPr>
                <w:rFonts w:ascii="Sylfaen" w:hAnsi="Sylfaen"/>
              </w:rPr>
              <w:t>2019</w:t>
            </w:r>
          </w:p>
        </w:tc>
      </w:tr>
      <w:tr w:rsidR="0097540C" w14:paraId="5BB1E2A5" w14:textId="2A171257" w:rsidTr="0097540C">
        <w:tc>
          <w:tcPr>
            <w:tcW w:w="2789" w:type="dxa"/>
          </w:tcPr>
          <w:p w14:paraId="7B424D6F" w14:textId="77777777" w:rsidR="0097540C" w:rsidRPr="00D963B0" w:rsidRDefault="0097540C">
            <w:pPr>
              <w:rPr>
                <w:rFonts w:eastAsia="Times New Roman"/>
                <w:szCs w:val="24"/>
              </w:rPr>
            </w:pPr>
            <w:r w:rsidRPr="004133FA">
              <w:rPr>
                <w:rFonts w:eastAsia="Times New Roman"/>
                <w:szCs w:val="24"/>
              </w:rPr>
              <w:t>Directive 2009/48/EC of the European Parliament and of the Council of 18 June 2009 on the safety of toys</w:t>
            </w:r>
          </w:p>
        </w:tc>
        <w:tc>
          <w:tcPr>
            <w:tcW w:w="3416" w:type="dxa"/>
          </w:tcPr>
          <w:p w14:paraId="39A18593" w14:textId="77777777" w:rsidR="0097540C" w:rsidRPr="009B0AB1" w:rsidRDefault="0097540C" w:rsidP="00EE76A6">
            <w:pPr>
              <w:jc w:val="center"/>
              <w:rPr>
                <w:rFonts w:ascii="Sylfaen" w:eastAsia="Times New Roman" w:hAnsi="Sylfaen"/>
                <w:szCs w:val="24"/>
                <w:lang w:val="ka-GE"/>
              </w:rPr>
            </w:pPr>
            <w:r>
              <w:rPr>
                <w:rFonts w:ascii="Sylfaen" w:eastAsia="Times New Roman" w:hAnsi="Sylfaen"/>
                <w:szCs w:val="24"/>
                <w:lang w:val="ka-GE"/>
              </w:rPr>
              <w:t>2019</w:t>
            </w:r>
          </w:p>
        </w:tc>
        <w:tc>
          <w:tcPr>
            <w:tcW w:w="3510" w:type="dxa"/>
          </w:tcPr>
          <w:p w14:paraId="048E21C3" w14:textId="77777777" w:rsidR="0097540C" w:rsidRPr="009B0AB1" w:rsidRDefault="0097540C">
            <w:pPr>
              <w:rPr>
                <w:rFonts w:ascii="Sylfaen" w:hAnsi="Sylfaen"/>
                <w:lang w:val="ka-GE"/>
              </w:rPr>
            </w:pPr>
            <w:r>
              <w:rPr>
                <w:rFonts w:ascii="Sylfaen" w:hAnsi="Sylfaen"/>
                <w:lang w:val="ka-GE"/>
              </w:rPr>
              <w:t>2019</w:t>
            </w:r>
          </w:p>
        </w:tc>
        <w:tc>
          <w:tcPr>
            <w:tcW w:w="3510" w:type="dxa"/>
          </w:tcPr>
          <w:p w14:paraId="5227655B" w14:textId="37B8BF68" w:rsidR="0097540C" w:rsidRPr="0097540C" w:rsidRDefault="0097540C">
            <w:pPr>
              <w:rPr>
                <w:rFonts w:ascii="Sylfaen" w:hAnsi="Sylfaen"/>
              </w:rPr>
            </w:pPr>
            <w:r>
              <w:rPr>
                <w:rFonts w:ascii="Sylfaen" w:hAnsi="Sylfaen"/>
              </w:rPr>
              <w:t>2019</w:t>
            </w:r>
          </w:p>
        </w:tc>
      </w:tr>
      <w:tr w:rsidR="0097540C" w14:paraId="2E288110" w14:textId="4C68250E" w:rsidTr="0097540C">
        <w:tc>
          <w:tcPr>
            <w:tcW w:w="2789" w:type="dxa"/>
          </w:tcPr>
          <w:p w14:paraId="5250C59B" w14:textId="77777777" w:rsidR="0097540C" w:rsidRPr="00D963B0" w:rsidRDefault="0097540C">
            <w:pPr>
              <w:rPr>
                <w:rFonts w:eastAsia="Times New Roman"/>
                <w:szCs w:val="24"/>
              </w:rPr>
            </w:pPr>
            <w:r w:rsidRPr="004133FA">
              <w:rPr>
                <w:rFonts w:eastAsia="Times New Roman"/>
                <w:szCs w:val="24"/>
              </w:rPr>
              <w:lastRenderedPageBreak/>
              <w:t>Regulation (EU) No 305/2011 of the European Parliament and of the Council of 9 March 2011 laying down harmonized conditions for the marketing of construction products</w:t>
            </w:r>
          </w:p>
        </w:tc>
        <w:tc>
          <w:tcPr>
            <w:tcW w:w="3416" w:type="dxa"/>
          </w:tcPr>
          <w:p w14:paraId="7FB9BA33" w14:textId="77777777" w:rsidR="0097540C" w:rsidRPr="00766A74" w:rsidRDefault="0097540C" w:rsidP="009B0AB1">
            <w:pPr>
              <w:jc w:val="center"/>
              <w:rPr>
                <w:rFonts w:eastAsia="Times New Roman"/>
                <w:szCs w:val="24"/>
              </w:rPr>
            </w:pPr>
            <w:r>
              <w:rPr>
                <w:rFonts w:eastAsia="Times New Roman"/>
                <w:szCs w:val="24"/>
              </w:rPr>
              <w:t>2022</w:t>
            </w:r>
          </w:p>
        </w:tc>
        <w:tc>
          <w:tcPr>
            <w:tcW w:w="3510" w:type="dxa"/>
          </w:tcPr>
          <w:p w14:paraId="13293024" w14:textId="77777777" w:rsidR="0097540C" w:rsidRPr="009B0AB1" w:rsidRDefault="0097540C">
            <w:pPr>
              <w:rPr>
                <w:rFonts w:ascii="Sylfaen" w:hAnsi="Sylfaen"/>
                <w:lang w:val="ka-GE"/>
              </w:rPr>
            </w:pPr>
            <w:r>
              <w:rPr>
                <w:rFonts w:ascii="Sylfaen" w:hAnsi="Sylfaen"/>
                <w:lang w:val="ka-GE"/>
              </w:rPr>
              <w:t>2022</w:t>
            </w:r>
          </w:p>
        </w:tc>
        <w:tc>
          <w:tcPr>
            <w:tcW w:w="3510" w:type="dxa"/>
          </w:tcPr>
          <w:p w14:paraId="5262717C" w14:textId="3FEEA8CC" w:rsidR="0097540C" w:rsidRPr="004E2C2F" w:rsidRDefault="004E2C2F">
            <w:pPr>
              <w:rPr>
                <w:rFonts w:ascii="Sylfaen" w:hAnsi="Sylfaen"/>
              </w:rPr>
            </w:pPr>
            <w:r>
              <w:rPr>
                <w:rFonts w:ascii="Sylfaen" w:hAnsi="Sylfaen"/>
              </w:rPr>
              <w:t>2022</w:t>
            </w:r>
          </w:p>
        </w:tc>
      </w:tr>
      <w:tr w:rsidR="0097540C" w14:paraId="3048CBBB" w14:textId="25A8955D" w:rsidTr="0097540C">
        <w:tc>
          <w:tcPr>
            <w:tcW w:w="2789" w:type="dxa"/>
          </w:tcPr>
          <w:p w14:paraId="62EC0E30" w14:textId="77777777" w:rsidR="0097540C" w:rsidRPr="00D963B0" w:rsidRDefault="0097540C">
            <w:pPr>
              <w:rPr>
                <w:rFonts w:eastAsia="Times New Roman"/>
                <w:szCs w:val="24"/>
              </w:rPr>
            </w:pPr>
            <w:r w:rsidRPr="004748E1">
              <w:rPr>
                <w:lang w:val="en"/>
              </w:rPr>
              <w:t xml:space="preserve">Directive 2014/31/EU of the European Parliament and of the Council of 26 February 2014 on the </w:t>
            </w:r>
            <w:proofErr w:type="spellStart"/>
            <w:r w:rsidRPr="004748E1">
              <w:rPr>
                <w:lang w:val="en"/>
              </w:rPr>
              <w:t>harmonisation</w:t>
            </w:r>
            <w:proofErr w:type="spellEnd"/>
            <w:r w:rsidRPr="004748E1">
              <w:rPr>
                <w:lang w:val="en"/>
              </w:rPr>
              <w:t xml:space="preserve"> of the laws of the Member States relating to the making available on the market of non-automatic weighing instruments</w:t>
            </w:r>
            <w:r>
              <w:rPr>
                <w:lang w:val="en"/>
              </w:rPr>
              <w:t xml:space="preserve"> (recast)</w:t>
            </w:r>
          </w:p>
        </w:tc>
        <w:tc>
          <w:tcPr>
            <w:tcW w:w="3416" w:type="dxa"/>
          </w:tcPr>
          <w:p w14:paraId="14E93D4D" w14:textId="77777777" w:rsidR="0097540C" w:rsidRPr="009B0AB1" w:rsidRDefault="0097540C" w:rsidP="00EE76A6">
            <w:pPr>
              <w:jc w:val="center"/>
              <w:rPr>
                <w:rFonts w:ascii="Sylfaen" w:eastAsia="Times New Roman" w:hAnsi="Sylfaen"/>
                <w:szCs w:val="24"/>
                <w:lang w:val="ka-GE"/>
              </w:rPr>
            </w:pPr>
            <w:r>
              <w:rPr>
                <w:rFonts w:ascii="Sylfaen" w:eastAsia="Times New Roman" w:hAnsi="Sylfaen"/>
                <w:szCs w:val="24"/>
                <w:lang w:val="ka-GE"/>
              </w:rPr>
              <w:t>2022</w:t>
            </w:r>
          </w:p>
        </w:tc>
        <w:tc>
          <w:tcPr>
            <w:tcW w:w="3510" w:type="dxa"/>
          </w:tcPr>
          <w:p w14:paraId="52E18219" w14:textId="77777777" w:rsidR="0097540C" w:rsidRPr="009B0AB1" w:rsidRDefault="0097540C">
            <w:pPr>
              <w:rPr>
                <w:rFonts w:ascii="Sylfaen" w:hAnsi="Sylfaen"/>
                <w:lang w:val="ka-GE"/>
              </w:rPr>
            </w:pPr>
            <w:r>
              <w:rPr>
                <w:rFonts w:ascii="Sylfaen" w:hAnsi="Sylfaen"/>
                <w:lang w:val="ka-GE"/>
              </w:rPr>
              <w:t>2022</w:t>
            </w:r>
          </w:p>
        </w:tc>
        <w:tc>
          <w:tcPr>
            <w:tcW w:w="3510" w:type="dxa"/>
          </w:tcPr>
          <w:p w14:paraId="4F76D92A" w14:textId="41CE62F1" w:rsidR="0097540C" w:rsidRPr="004E2C2F" w:rsidRDefault="004E2C2F">
            <w:pPr>
              <w:rPr>
                <w:rFonts w:ascii="Sylfaen" w:hAnsi="Sylfaen"/>
              </w:rPr>
            </w:pPr>
            <w:r>
              <w:rPr>
                <w:rFonts w:ascii="Sylfaen" w:hAnsi="Sylfaen"/>
              </w:rPr>
              <w:t>2022</w:t>
            </w:r>
          </w:p>
        </w:tc>
      </w:tr>
      <w:tr w:rsidR="0097540C" w14:paraId="4FD791D1" w14:textId="1D760BEF" w:rsidTr="0097540C">
        <w:tc>
          <w:tcPr>
            <w:tcW w:w="2789" w:type="dxa"/>
          </w:tcPr>
          <w:p w14:paraId="73BC85D2" w14:textId="77777777" w:rsidR="0097540C" w:rsidRPr="00D963B0" w:rsidRDefault="0097540C">
            <w:pPr>
              <w:rPr>
                <w:rFonts w:eastAsia="Times New Roman"/>
                <w:szCs w:val="24"/>
              </w:rPr>
            </w:pPr>
            <w:r w:rsidRPr="004748E1">
              <w:rPr>
                <w:lang w:val="en"/>
              </w:rPr>
              <w:t xml:space="preserve">Directive 2014/32/EU of the European Parliament and of the Council of 26 February 2014 on the </w:t>
            </w:r>
            <w:proofErr w:type="spellStart"/>
            <w:r w:rsidRPr="004748E1">
              <w:rPr>
                <w:lang w:val="en"/>
              </w:rPr>
              <w:t>harmonisation</w:t>
            </w:r>
            <w:proofErr w:type="spellEnd"/>
            <w:r w:rsidRPr="004748E1">
              <w:rPr>
                <w:lang w:val="en"/>
              </w:rPr>
              <w:t xml:space="preserve"> of the laws of the Member States relating to the making available on the market of measuring instruments (recast)</w:t>
            </w:r>
          </w:p>
        </w:tc>
        <w:tc>
          <w:tcPr>
            <w:tcW w:w="3416" w:type="dxa"/>
          </w:tcPr>
          <w:p w14:paraId="2266AEAB" w14:textId="77777777" w:rsidR="0097540C" w:rsidRPr="009B0AB1" w:rsidRDefault="0097540C" w:rsidP="00EE76A6">
            <w:pPr>
              <w:jc w:val="center"/>
              <w:rPr>
                <w:rFonts w:ascii="Sylfaen" w:eastAsia="Times New Roman" w:hAnsi="Sylfaen"/>
                <w:szCs w:val="24"/>
                <w:lang w:val="ka-GE"/>
              </w:rPr>
            </w:pPr>
            <w:r>
              <w:rPr>
                <w:rFonts w:ascii="Sylfaen" w:eastAsia="Times New Roman" w:hAnsi="Sylfaen"/>
                <w:szCs w:val="24"/>
                <w:lang w:val="ka-GE"/>
              </w:rPr>
              <w:t>2022</w:t>
            </w:r>
          </w:p>
        </w:tc>
        <w:tc>
          <w:tcPr>
            <w:tcW w:w="3510" w:type="dxa"/>
          </w:tcPr>
          <w:p w14:paraId="5847A6D1" w14:textId="77777777" w:rsidR="0097540C" w:rsidRPr="009B0AB1" w:rsidRDefault="0097540C">
            <w:pPr>
              <w:rPr>
                <w:rFonts w:ascii="Sylfaen" w:hAnsi="Sylfaen"/>
                <w:lang w:val="ka-GE"/>
              </w:rPr>
            </w:pPr>
            <w:r>
              <w:rPr>
                <w:rFonts w:ascii="Sylfaen" w:hAnsi="Sylfaen"/>
                <w:lang w:val="ka-GE"/>
              </w:rPr>
              <w:t>2022</w:t>
            </w:r>
          </w:p>
        </w:tc>
        <w:tc>
          <w:tcPr>
            <w:tcW w:w="3510" w:type="dxa"/>
          </w:tcPr>
          <w:p w14:paraId="54B483F9" w14:textId="25B6804F" w:rsidR="0097540C" w:rsidRPr="004E2C2F" w:rsidRDefault="004E2C2F">
            <w:pPr>
              <w:rPr>
                <w:rFonts w:ascii="Sylfaen" w:hAnsi="Sylfaen"/>
              </w:rPr>
            </w:pPr>
            <w:r>
              <w:rPr>
                <w:rFonts w:ascii="Sylfaen" w:hAnsi="Sylfaen"/>
              </w:rPr>
              <w:t>2022</w:t>
            </w:r>
          </w:p>
        </w:tc>
      </w:tr>
    </w:tbl>
    <w:p w14:paraId="1C01DC5D" w14:textId="77777777" w:rsidR="009B797F" w:rsidRDefault="009B797F"/>
    <w:p w14:paraId="0E6FA2AC" w14:textId="77777777" w:rsidR="00EE76A6" w:rsidRPr="004133FA" w:rsidRDefault="00EE76A6" w:rsidP="00EE76A6">
      <w:pPr>
        <w:spacing w:after="0"/>
        <w:rPr>
          <w:rFonts w:eastAsia="Times New Roman"/>
          <w:vanish/>
          <w:szCs w:val="24"/>
        </w:rPr>
      </w:pPr>
    </w:p>
    <w:p w14:paraId="6BC04D84" w14:textId="77777777" w:rsidR="00EE76A6" w:rsidRPr="004133FA" w:rsidRDefault="00EE76A6" w:rsidP="00EE76A6">
      <w:pPr>
        <w:spacing w:after="0"/>
        <w:rPr>
          <w:rFonts w:eastAsia="Times New Roman"/>
          <w:vanish/>
          <w:szCs w:val="24"/>
        </w:rPr>
      </w:pPr>
    </w:p>
    <w:p w14:paraId="4B6AA129" w14:textId="77777777" w:rsidR="00EE76A6" w:rsidRPr="004133FA" w:rsidRDefault="00EE76A6" w:rsidP="00EE76A6">
      <w:pPr>
        <w:spacing w:after="0"/>
        <w:rPr>
          <w:rFonts w:eastAsia="Times New Roman"/>
          <w:vanish/>
          <w:szCs w:val="24"/>
        </w:rPr>
      </w:pPr>
    </w:p>
    <w:p w14:paraId="54B5846D" w14:textId="77777777" w:rsidR="00EE76A6" w:rsidRDefault="00EE76A6"/>
    <w:sectPr w:rsidR="00EE76A6" w:rsidSect="0097540C">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iorgi Chitadze" w:date="2017-11-01T15:39:00Z" w:initials="GC">
    <w:p w14:paraId="4D40EB36" w14:textId="77777777" w:rsidR="0097540C" w:rsidRPr="00780A54" w:rsidRDefault="0097540C">
      <w:pPr>
        <w:pStyle w:val="CommentText"/>
        <w:rPr>
          <w:rFonts w:ascii="Sylfaen" w:hAnsi="Sylfaen"/>
          <w:lang w:val="ka-GE"/>
        </w:rPr>
      </w:pPr>
      <w:r>
        <w:rPr>
          <w:rStyle w:val="CommentReference"/>
        </w:rPr>
        <w:annotationRef/>
      </w:r>
      <w:r>
        <w:rPr>
          <w:rFonts w:ascii="Sylfaen" w:hAnsi="Sylfaen"/>
          <w:lang w:val="ka-GE"/>
        </w:rPr>
        <w:t>საზღვაო ადმინისტრაცია</w:t>
      </w:r>
    </w:p>
  </w:comment>
  <w:comment w:id="1" w:author="Giorgi Chitadze" w:date="2017-11-01T15:45:00Z" w:initials="GC">
    <w:p w14:paraId="4E8C454B" w14:textId="77777777" w:rsidR="0097540C" w:rsidRPr="00780A54" w:rsidRDefault="0097540C">
      <w:pPr>
        <w:pStyle w:val="CommentText"/>
        <w:rPr>
          <w:rFonts w:ascii="Sylfaen" w:hAnsi="Sylfaen"/>
          <w:lang w:val="ka-GE"/>
        </w:rPr>
      </w:pPr>
      <w:r>
        <w:rPr>
          <w:rStyle w:val="CommentReference"/>
        </w:rPr>
        <w:annotationRef/>
      </w:r>
      <w:r>
        <w:rPr>
          <w:rFonts w:ascii="Sylfaen" w:hAnsi="Sylfaen"/>
          <w:lang w:val="ka-GE"/>
        </w:rPr>
        <w:t>კომუნიკაციების კომისია</w:t>
      </w:r>
    </w:p>
  </w:comment>
  <w:comment w:id="2" w:author="Giorgi Chitadze" w:date="2017-11-01T15:50:00Z" w:initials="GC">
    <w:p w14:paraId="764B1D71" w14:textId="77777777" w:rsidR="0097540C" w:rsidRPr="009B0AB1" w:rsidRDefault="0097540C">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w:t>
      </w:r>
    </w:p>
  </w:comment>
  <w:comment w:id="3" w:author="Giorgi Chitadze" w:date="2017-11-01T15:50:00Z" w:initials="GC">
    <w:p w14:paraId="3AB57807" w14:textId="77777777" w:rsidR="0097540C" w:rsidRPr="009B0AB1" w:rsidRDefault="0097540C">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40EB36" w15:done="0"/>
  <w15:commentEx w15:paraId="4E8C454B" w15:done="0"/>
  <w15:commentEx w15:paraId="764B1D71" w15:done="0"/>
  <w15:commentEx w15:paraId="3AB5780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orgi Chitadze">
    <w15:presenceInfo w15:providerId="AD" w15:userId="S-1-5-21-1535059127-1127888120-2606325468-1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A6"/>
    <w:rsid w:val="004E2C2F"/>
    <w:rsid w:val="00766A74"/>
    <w:rsid w:val="00780A54"/>
    <w:rsid w:val="0097540C"/>
    <w:rsid w:val="009B0AB1"/>
    <w:rsid w:val="009B797F"/>
    <w:rsid w:val="00B8616F"/>
    <w:rsid w:val="00E34A42"/>
    <w:rsid w:val="00EE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6C42"/>
  <w15:chartTrackingRefBased/>
  <w15:docId w15:val="{F021B2AB-C73E-4C1D-B121-C2056027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E76A6"/>
    <w:rPr>
      <w:b/>
      <w:bCs/>
    </w:rPr>
  </w:style>
  <w:style w:type="character" w:customStyle="1" w:styleId="italic">
    <w:name w:val="italic"/>
    <w:rsid w:val="00EE76A6"/>
  </w:style>
  <w:style w:type="table" w:styleId="TableGrid">
    <w:name w:val="Table Grid"/>
    <w:basedOn w:val="TableNormal"/>
    <w:uiPriority w:val="39"/>
    <w:rsid w:val="00EE7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0A54"/>
    <w:rPr>
      <w:sz w:val="16"/>
      <w:szCs w:val="16"/>
    </w:rPr>
  </w:style>
  <w:style w:type="paragraph" w:styleId="CommentText">
    <w:name w:val="annotation text"/>
    <w:basedOn w:val="Normal"/>
    <w:link w:val="CommentTextChar"/>
    <w:uiPriority w:val="99"/>
    <w:semiHidden/>
    <w:unhideWhenUsed/>
    <w:rsid w:val="00780A54"/>
    <w:pPr>
      <w:spacing w:line="240" w:lineRule="auto"/>
    </w:pPr>
    <w:rPr>
      <w:sz w:val="20"/>
      <w:szCs w:val="20"/>
    </w:rPr>
  </w:style>
  <w:style w:type="character" w:customStyle="1" w:styleId="CommentTextChar">
    <w:name w:val="Comment Text Char"/>
    <w:basedOn w:val="DefaultParagraphFont"/>
    <w:link w:val="CommentText"/>
    <w:uiPriority w:val="99"/>
    <w:semiHidden/>
    <w:rsid w:val="00780A54"/>
    <w:rPr>
      <w:sz w:val="20"/>
      <w:szCs w:val="20"/>
    </w:rPr>
  </w:style>
  <w:style w:type="paragraph" w:styleId="CommentSubject">
    <w:name w:val="annotation subject"/>
    <w:basedOn w:val="CommentText"/>
    <w:next w:val="CommentText"/>
    <w:link w:val="CommentSubjectChar"/>
    <w:uiPriority w:val="99"/>
    <w:semiHidden/>
    <w:unhideWhenUsed/>
    <w:rsid w:val="00780A54"/>
    <w:rPr>
      <w:b/>
      <w:bCs/>
    </w:rPr>
  </w:style>
  <w:style w:type="character" w:customStyle="1" w:styleId="CommentSubjectChar">
    <w:name w:val="Comment Subject Char"/>
    <w:basedOn w:val="CommentTextChar"/>
    <w:link w:val="CommentSubject"/>
    <w:uiPriority w:val="99"/>
    <w:semiHidden/>
    <w:rsid w:val="00780A54"/>
    <w:rPr>
      <w:b/>
      <w:bCs/>
      <w:sz w:val="20"/>
      <w:szCs w:val="20"/>
    </w:rPr>
  </w:style>
  <w:style w:type="paragraph" w:styleId="BalloonText">
    <w:name w:val="Balloon Text"/>
    <w:basedOn w:val="Normal"/>
    <w:link w:val="BalloonTextChar"/>
    <w:uiPriority w:val="99"/>
    <w:semiHidden/>
    <w:unhideWhenUsed/>
    <w:rsid w:val="00780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A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hyperlink" Target="http://eur-lex.europa.eu/legal-content/EN/TXT/PDF/?uri=OJ:L:2014:189:FULL&amp;from=EN%2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Tsikoridze</dc:creator>
  <cp:keywords/>
  <dc:description/>
  <cp:lastModifiedBy>Giorgi Chitadze</cp:lastModifiedBy>
  <cp:revision>5</cp:revision>
  <dcterms:created xsi:type="dcterms:W3CDTF">2017-10-17T05:22:00Z</dcterms:created>
  <dcterms:modified xsi:type="dcterms:W3CDTF">2017-11-06T14:07:00Z</dcterms:modified>
</cp:coreProperties>
</file>