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78" w:rsidRPr="00A74A57" w:rsidRDefault="00852878" w:rsidP="00852878">
      <w:pPr>
        <w:pStyle w:val="BodyTextIndent2"/>
        <w:spacing w:before="240" w:after="120" w:line="276" w:lineRule="auto"/>
        <w:ind w:left="0" w:firstLine="0"/>
        <w:rPr>
          <w:rFonts w:ascii="Sylfaen" w:hAnsi="Sylfaen"/>
          <w:sz w:val="20"/>
          <w:szCs w:val="20"/>
        </w:rPr>
      </w:pPr>
      <w:r w:rsidRPr="00A74A57">
        <w:rPr>
          <w:rFonts w:ascii="Sylfaen" w:hAnsi="Sylfaen"/>
          <w:sz w:val="20"/>
          <w:szCs w:val="20"/>
        </w:rPr>
        <w:t>Georgia will:</w:t>
      </w:r>
    </w:p>
    <w:p w:rsidR="00852878" w:rsidRPr="00A74A57"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Proceed with the timely implementation of the provisions of their Human Rights Action Plan for increasing the quality of perinatal care Particular attention will be given to extending nation-wide the two regional pilot projects on perinatal care;</w:t>
      </w:r>
    </w:p>
    <w:p w:rsidR="00852878" w:rsidRPr="00A74A57" w:rsidRDefault="00852878" w:rsidP="00852878">
      <w:pPr>
        <w:pStyle w:val="BodyTextIndent2"/>
        <w:spacing w:before="240" w:after="120" w:line="276" w:lineRule="auto"/>
        <w:ind w:left="709" w:firstLine="0"/>
        <w:rPr>
          <w:rFonts w:ascii="Sylfaen" w:hAnsi="Sylfaen"/>
          <w:b w:val="0"/>
          <w:sz w:val="20"/>
          <w:szCs w:val="20"/>
        </w:rPr>
      </w:pPr>
      <w:r w:rsidRPr="00A74A57">
        <w:rPr>
          <w:rFonts w:ascii="Sylfaen" w:hAnsi="Sylfaen"/>
          <w:sz w:val="20"/>
          <w:szCs w:val="20"/>
        </w:rPr>
        <w:t xml:space="preserve">Maternal and </w:t>
      </w:r>
      <w:proofErr w:type="spellStart"/>
      <w:r w:rsidRPr="00A74A57">
        <w:rPr>
          <w:rFonts w:ascii="Sylfaen" w:hAnsi="Sylfaen"/>
          <w:sz w:val="20"/>
          <w:szCs w:val="20"/>
        </w:rPr>
        <w:t>newborn</w:t>
      </w:r>
      <w:proofErr w:type="spellEnd"/>
      <w:r w:rsidRPr="00A74A57">
        <w:rPr>
          <w:rFonts w:ascii="Sylfaen" w:hAnsi="Sylfaen"/>
          <w:sz w:val="20"/>
          <w:szCs w:val="20"/>
        </w:rPr>
        <w:t xml:space="preserve"> health - to improve the quality of perinatal health services, in 2015 </w:t>
      </w:r>
      <w:proofErr w:type="spellStart"/>
      <w:r w:rsidRPr="00A74A57">
        <w:rPr>
          <w:rFonts w:ascii="Sylfaen" w:hAnsi="Sylfaen"/>
          <w:sz w:val="20"/>
          <w:szCs w:val="20"/>
        </w:rPr>
        <w:t>MoLHSA</w:t>
      </w:r>
      <w:proofErr w:type="spellEnd"/>
      <w:r w:rsidRPr="00A74A57">
        <w:rPr>
          <w:rFonts w:ascii="Sylfaen" w:hAnsi="Sylfaen"/>
          <w:sz w:val="20"/>
          <w:szCs w:val="20"/>
        </w:rPr>
        <w:t xml:space="preserve"> started piloting perinatal regionalization in two regions (</w:t>
      </w:r>
      <w:proofErr w:type="spellStart"/>
      <w:r w:rsidRPr="00A74A57">
        <w:rPr>
          <w:rFonts w:ascii="Sylfaen" w:hAnsi="Sylfaen"/>
          <w:sz w:val="20"/>
          <w:szCs w:val="20"/>
        </w:rPr>
        <w:t>Imereti</w:t>
      </w:r>
      <w:proofErr w:type="spellEnd"/>
      <w:r w:rsidRPr="00A74A57">
        <w:rPr>
          <w:rFonts w:ascii="Sylfaen" w:hAnsi="Sylfaen"/>
          <w:sz w:val="20"/>
          <w:szCs w:val="20"/>
        </w:rPr>
        <w:t xml:space="preserve"> and </w:t>
      </w:r>
      <w:proofErr w:type="spellStart"/>
      <w:r w:rsidRPr="00A74A57">
        <w:rPr>
          <w:rFonts w:ascii="Sylfaen" w:hAnsi="Sylfaen"/>
          <w:sz w:val="20"/>
          <w:szCs w:val="20"/>
        </w:rPr>
        <w:t>Racha-Lechkhumi</w:t>
      </w:r>
      <w:proofErr w:type="spellEnd"/>
      <w:r w:rsidRPr="00A74A57">
        <w:rPr>
          <w:rFonts w:ascii="Sylfaen" w:hAnsi="Sylfaen"/>
          <w:sz w:val="20"/>
          <w:szCs w:val="20"/>
        </w:rPr>
        <w:t xml:space="preserve">). This major health system reform in the area of maternal and </w:t>
      </w:r>
      <w:proofErr w:type="spellStart"/>
      <w:r w:rsidRPr="00A74A57">
        <w:rPr>
          <w:rFonts w:ascii="Sylfaen" w:hAnsi="Sylfaen"/>
          <w:sz w:val="20"/>
          <w:szCs w:val="20"/>
        </w:rPr>
        <w:t>newborn</w:t>
      </w:r>
      <w:proofErr w:type="spellEnd"/>
      <w:r w:rsidRPr="00A74A57">
        <w:rPr>
          <w:rFonts w:ascii="Sylfaen" w:hAnsi="Sylfaen"/>
          <w:sz w:val="20"/>
          <w:szCs w:val="20"/>
        </w:rPr>
        <w:t xml:space="preserve"> health care oriented towards re-organization of service delivery and quality improvement has expanded nationwide in 2016-2017. Perinatal regionalization envisages </w:t>
      </w:r>
      <w:proofErr w:type="gramStart"/>
      <w:r w:rsidRPr="00A74A57">
        <w:rPr>
          <w:rFonts w:ascii="Sylfaen" w:hAnsi="Sylfaen"/>
          <w:sz w:val="20"/>
          <w:szCs w:val="20"/>
        </w:rPr>
        <w:t>to</w:t>
      </w:r>
      <w:r w:rsidRPr="00A74A57">
        <w:rPr>
          <w:rFonts w:ascii="Sylfaen" w:hAnsi="Sylfaen"/>
          <w:sz w:val="20"/>
          <w:szCs w:val="20"/>
          <w:lang w:val="ka-GE"/>
        </w:rPr>
        <w:t xml:space="preserve"> </w:t>
      </w:r>
      <w:r w:rsidRPr="00A74A57">
        <w:rPr>
          <w:rFonts w:ascii="Sylfaen" w:hAnsi="Sylfaen"/>
          <w:sz w:val="20"/>
          <w:szCs w:val="20"/>
        </w:rPr>
        <w:t>provide</w:t>
      </w:r>
      <w:proofErr w:type="gramEnd"/>
      <w:r w:rsidRPr="00A74A57">
        <w:rPr>
          <w:rFonts w:ascii="Sylfaen" w:hAnsi="Sylfaen"/>
          <w:sz w:val="20"/>
          <w:szCs w:val="20"/>
        </w:rPr>
        <w:t xml:space="preserve"> each patient risk-appropriate quality maternal and neonatal health services at the right place and the right time</w:t>
      </w:r>
    </w:p>
    <w:p w:rsidR="00852878" w:rsidRPr="00A74A57"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 xml:space="preserve">The Universal Health Coverage is identified as a main priority of the government as reflected </w:t>
      </w:r>
      <w:proofErr w:type="spellStart"/>
      <w:r w:rsidRPr="00A74A57">
        <w:rPr>
          <w:rFonts w:ascii="Sylfaen" w:hAnsi="Sylfaen"/>
          <w:b w:val="0"/>
          <w:sz w:val="20"/>
          <w:szCs w:val="20"/>
        </w:rPr>
        <w:t>interalia</w:t>
      </w:r>
      <w:proofErr w:type="spellEnd"/>
      <w:r w:rsidRPr="00A74A57">
        <w:rPr>
          <w:rFonts w:ascii="Sylfaen" w:hAnsi="Sylfaen"/>
          <w:b w:val="0"/>
          <w:sz w:val="20"/>
          <w:szCs w:val="20"/>
        </w:rPr>
        <w:t xml:space="preserve"> in an increase of public expenditure on health and comprehensive reforms to strengthen the health care sector; </w:t>
      </w:r>
    </w:p>
    <w:p w:rsidR="00852878" w:rsidRDefault="00852878" w:rsidP="0085287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ylfaen" w:hAnsi="Sylfaen" w:cs="Times New Roman"/>
          <w:b/>
          <w:sz w:val="20"/>
          <w:szCs w:val="20"/>
        </w:rPr>
      </w:pPr>
      <w:r w:rsidRPr="00A74A57">
        <w:rPr>
          <w:rFonts w:ascii="Sylfaen" w:hAnsi="Sylfaen" w:cs="Times New Roman"/>
          <w:b/>
          <w:sz w:val="20"/>
          <w:szCs w:val="20"/>
        </w:rPr>
        <w:t>Universal Health Care - increasing population’s access to and improving the quality of health services are the main priorities of the Government of Georgia (</w:t>
      </w:r>
      <w:proofErr w:type="spellStart"/>
      <w:r w:rsidRPr="00A74A57">
        <w:rPr>
          <w:rFonts w:ascii="Sylfaen" w:hAnsi="Sylfaen" w:cs="Times New Roman"/>
          <w:b/>
          <w:sz w:val="20"/>
          <w:szCs w:val="20"/>
        </w:rPr>
        <w:t>GoG</w:t>
      </w:r>
      <w:proofErr w:type="spellEnd"/>
      <w:r w:rsidRPr="00A74A57">
        <w:rPr>
          <w:rFonts w:ascii="Sylfaen" w:hAnsi="Sylfaen" w:cs="Times New Roman"/>
          <w:b/>
          <w:sz w:val="20"/>
          <w:szCs w:val="20"/>
        </w:rPr>
        <w:t xml:space="preserve">). The strong political will pledged in the election platform was translated into an unprecedented, expansion of budgetary allocation for health, </w:t>
      </w:r>
      <w:r w:rsidRPr="00A74A57">
        <w:rPr>
          <w:rFonts w:ascii="Sylfaen" w:hAnsi="Sylfaen" w:cs="Times New Roman"/>
          <w:b/>
          <w:bCs/>
          <w:color w:val="231F20"/>
          <w:sz w:val="20"/>
          <w:szCs w:val="20"/>
        </w:rPr>
        <w:t xml:space="preserve">almost 3-fold expansion. </w:t>
      </w:r>
      <w:r w:rsidRPr="00A74A57">
        <w:rPr>
          <w:rFonts w:ascii="Sylfaen" w:hAnsi="Sylfaen" w:cs="Times New Roman"/>
          <w:b/>
          <w:sz w:val="20"/>
          <w:szCs w:val="20"/>
        </w:rPr>
        <w:t xml:space="preserve">In 2012-2015, public expenditure on health as % of GDP had increased from 1.7% to 2.7%, as well as share of funding on health from Government budget. </w:t>
      </w:r>
    </w:p>
    <w:p w:rsidR="00A74A57" w:rsidRPr="00A74A57" w:rsidRDefault="00A74A57" w:rsidP="0085287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ylfaen" w:hAnsi="Sylfaen" w:cs="Times New Roman"/>
          <w:b/>
          <w:sz w:val="20"/>
          <w:szCs w:val="20"/>
        </w:rPr>
      </w:pPr>
    </w:p>
    <w:p w:rsidR="00852878" w:rsidRPr="00A74A57" w:rsidRDefault="00852878" w:rsidP="0085287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ylfaen" w:hAnsi="Sylfaen" w:cs="Times New Roman"/>
          <w:b/>
          <w:sz w:val="20"/>
          <w:szCs w:val="20"/>
        </w:rPr>
      </w:pPr>
      <w:r w:rsidRPr="00A74A57">
        <w:rPr>
          <w:rFonts w:ascii="Sylfaen" w:hAnsi="Sylfaen" w:cs="Times New Roman"/>
          <w:b/>
          <w:sz w:val="20"/>
          <w:szCs w:val="20"/>
        </w:rPr>
        <w:t>The launch of a Universal Health Care Program in February 2013 was a major step towards improving the health rights of Georgian citizens. The UHC has led to a major expansion in population entitlement to publicly financed health services. Financial barriers to access have declined, mainly for outpatient visits and hospital care. As demonstrated by the latest health care utilization and expenditures survey, out of pocket expenses on health and likelihood of impoverishment due to out-of-pocket payments have reduced, and utilization of health services significantly increased.</w:t>
      </w:r>
    </w:p>
    <w:p w:rsidR="00852878" w:rsidRPr="00DF2BB3" w:rsidRDefault="00852878" w:rsidP="00852878">
      <w:pPr>
        <w:pStyle w:val="BodyTextIndent2"/>
        <w:numPr>
          <w:ilvl w:val="0"/>
          <w:numId w:val="1"/>
        </w:numPr>
        <w:spacing w:before="240" w:after="120" w:line="276" w:lineRule="auto"/>
        <w:ind w:left="709"/>
        <w:rPr>
          <w:rFonts w:ascii="Sylfaen" w:hAnsi="Sylfaen"/>
          <w:b w:val="0"/>
          <w:sz w:val="20"/>
          <w:szCs w:val="20"/>
        </w:rPr>
      </w:pPr>
      <w:r w:rsidRPr="00DF2BB3">
        <w:rPr>
          <w:rFonts w:ascii="Sylfaen" w:hAnsi="Sylfaen"/>
          <w:b w:val="0"/>
          <w:sz w:val="20"/>
          <w:szCs w:val="20"/>
        </w:rPr>
        <w:t>Continue working on the harmonization of national regulations with EU acquis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852878" w:rsidRPr="00DF2BB3" w:rsidRDefault="00DF2BB3" w:rsidP="00852878">
      <w:pPr>
        <w:pStyle w:val="BodyTextIndent2"/>
        <w:spacing w:before="240" w:after="120" w:line="276" w:lineRule="auto"/>
        <w:ind w:left="709" w:firstLine="0"/>
        <w:rPr>
          <w:rFonts w:ascii="Sylfaen" w:hAnsi="Sylfaen"/>
          <w:sz w:val="20"/>
          <w:szCs w:val="20"/>
        </w:rPr>
      </w:pPr>
      <w:r w:rsidRPr="00DF2BB3">
        <w:rPr>
          <w:rFonts w:ascii="Sylfaen" w:hAnsi="Sylfaen"/>
          <w:sz w:val="20"/>
          <w:szCs w:val="20"/>
        </w:rPr>
        <w:t>Country continues working on the harmonization of national regulations with EU requirements on blood safety.</w:t>
      </w:r>
      <w:r>
        <w:rPr>
          <w:rFonts w:ascii="Sylfaen" w:hAnsi="Sylfaen"/>
          <w:sz w:val="20"/>
          <w:szCs w:val="20"/>
        </w:rPr>
        <w:t xml:space="preserve"> </w:t>
      </w:r>
      <w:r w:rsidRPr="00DF2BB3">
        <w:rPr>
          <w:rFonts w:ascii="Sylfaen" w:hAnsi="Sylfaen"/>
          <w:sz w:val="20"/>
          <w:szCs w:val="20"/>
        </w:rPr>
        <w:t xml:space="preserve">Despite the fact that introduction of testing quality control mechanisms within the State Safe Blood Program has been a step forward, establishment of a national quality management system according to vein-to-vein principle, remains a serious gap. </w:t>
      </w:r>
      <w:r w:rsidR="0062323C">
        <w:rPr>
          <w:rFonts w:ascii="Sylfaen" w:hAnsi="Sylfaen"/>
          <w:sz w:val="20"/>
          <w:szCs w:val="20"/>
        </w:rPr>
        <w:t>Under Hepatitis C Elimination strategy was developed blood safety strategy for 2016-2020.</w:t>
      </w:r>
      <w:bookmarkStart w:id="0" w:name="_GoBack"/>
      <w:bookmarkEnd w:id="0"/>
    </w:p>
    <w:p w:rsidR="00852878" w:rsidRPr="00A74A57"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 xml:space="preserve">Consider applying to become a </w:t>
      </w:r>
      <w:proofErr w:type="spellStart"/>
      <w:r w:rsidRPr="00A74A57">
        <w:rPr>
          <w:rFonts w:ascii="Sylfaen" w:hAnsi="Sylfaen"/>
          <w:b w:val="0"/>
          <w:sz w:val="20"/>
          <w:szCs w:val="20"/>
        </w:rPr>
        <w:t>MediPIET</w:t>
      </w:r>
      <w:proofErr w:type="spellEnd"/>
      <w:r w:rsidRPr="00A74A57">
        <w:rPr>
          <w:rFonts w:ascii="Sylfaen" w:hAnsi="Sylfaen"/>
          <w:b w:val="0"/>
          <w:sz w:val="20"/>
          <w:szCs w:val="20"/>
        </w:rPr>
        <w:t xml:space="preserve"> training site and to host theoretical modules;</w:t>
      </w:r>
    </w:p>
    <w:p w:rsidR="00852878" w:rsidRPr="00A74A57" w:rsidRDefault="00852878" w:rsidP="00852878">
      <w:pPr>
        <w:pStyle w:val="ListParagraph"/>
        <w:tabs>
          <w:tab w:val="num" w:pos="720"/>
        </w:tabs>
        <w:ind w:left="709"/>
        <w:jc w:val="both"/>
        <w:rPr>
          <w:rFonts w:ascii="Sylfaen" w:hAnsi="Sylfaen" w:cs="Times New Roman"/>
          <w:b/>
          <w:bCs/>
          <w:sz w:val="20"/>
          <w:szCs w:val="20"/>
          <w:lang w:val="en-GB"/>
        </w:rPr>
      </w:pPr>
      <w:r w:rsidRPr="00A74A57">
        <w:rPr>
          <w:rFonts w:ascii="Sylfaen" w:hAnsi="Sylfaen" w:cs="Times New Roman"/>
          <w:b/>
          <w:sz w:val="20"/>
          <w:szCs w:val="20"/>
        </w:rPr>
        <w:lastRenderedPageBreak/>
        <w:t xml:space="preserve">The </w:t>
      </w:r>
      <w:proofErr w:type="spellStart"/>
      <w:r w:rsidRPr="00A74A57">
        <w:rPr>
          <w:rFonts w:ascii="Sylfaen" w:hAnsi="Sylfaen" w:cs="Times New Roman"/>
          <w:b/>
          <w:sz w:val="20"/>
          <w:szCs w:val="20"/>
        </w:rPr>
        <w:t>MediPIET</w:t>
      </w:r>
      <w:proofErr w:type="spellEnd"/>
      <w:r w:rsidRPr="00A74A57">
        <w:rPr>
          <w:rFonts w:ascii="Sylfaen" w:hAnsi="Sylfaen" w:cs="Times New Roman"/>
          <w:b/>
          <w:sz w:val="20"/>
          <w:szCs w:val="20"/>
        </w:rPr>
        <w:t xml:space="preserve"> project, together with the SC-FELTP, supports building workforce capabilities in the field of epidemiology, as well as in management and improves leadership skills of public health practitioners and scientists. </w:t>
      </w:r>
    </w:p>
    <w:p w:rsidR="00852878" w:rsidRPr="00A74A57" w:rsidRDefault="00852878" w:rsidP="00852878">
      <w:pPr>
        <w:pStyle w:val="BodyTextIndent2"/>
        <w:spacing w:before="240" w:after="120" w:line="276" w:lineRule="auto"/>
        <w:ind w:left="709" w:firstLine="0"/>
        <w:rPr>
          <w:rFonts w:ascii="Sylfaen" w:hAnsi="Sylfaen"/>
          <w:b w:val="0"/>
          <w:sz w:val="20"/>
          <w:szCs w:val="20"/>
        </w:rPr>
      </w:pPr>
      <w:r w:rsidRPr="00A74A57">
        <w:rPr>
          <w:rFonts w:ascii="Sylfaen" w:hAnsi="Sylfaen"/>
          <w:sz w:val="20"/>
          <w:szCs w:val="20"/>
        </w:rPr>
        <w:t xml:space="preserve">As it is stated in the conclusion of  the </w:t>
      </w:r>
      <w:proofErr w:type="spellStart"/>
      <w:r w:rsidRPr="00A74A57">
        <w:rPr>
          <w:rFonts w:ascii="Sylfaen" w:hAnsi="Sylfaen"/>
          <w:sz w:val="20"/>
          <w:szCs w:val="20"/>
        </w:rPr>
        <w:t>MediPIET</w:t>
      </w:r>
      <w:proofErr w:type="spellEnd"/>
      <w:r w:rsidRPr="00A74A57">
        <w:rPr>
          <w:rFonts w:ascii="Sylfaen" w:hAnsi="Sylfaen"/>
          <w:sz w:val="20"/>
          <w:szCs w:val="20"/>
        </w:rPr>
        <w:t xml:space="preserve"> Training Site initial visit report  - “National Centre of Diseases Control and Public Health – NCDC” fulfils the essential criteria and human resources, physical and data resources, financial resources, networking resources and other aspects criteria to become a </w:t>
      </w:r>
      <w:proofErr w:type="spellStart"/>
      <w:r w:rsidRPr="00A74A57">
        <w:rPr>
          <w:rFonts w:ascii="Sylfaen" w:hAnsi="Sylfaen"/>
          <w:sz w:val="20"/>
          <w:szCs w:val="20"/>
        </w:rPr>
        <w:t>MediPIET</w:t>
      </w:r>
      <w:proofErr w:type="spellEnd"/>
      <w:r w:rsidRPr="00A74A57">
        <w:rPr>
          <w:rFonts w:ascii="Sylfaen" w:hAnsi="Sylfaen"/>
          <w:sz w:val="20"/>
          <w:szCs w:val="20"/>
        </w:rPr>
        <w:t xml:space="preserve"> training site (TS)”</w:t>
      </w:r>
    </w:p>
    <w:p w:rsidR="00852878" w:rsidRPr="00A74A57" w:rsidRDefault="00852878" w:rsidP="00A74A57">
      <w:pPr>
        <w:pStyle w:val="BodyTextIndent2"/>
        <w:numPr>
          <w:ilvl w:val="0"/>
          <w:numId w:val="6"/>
        </w:numPr>
        <w:spacing w:before="240" w:after="120" w:line="276" w:lineRule="auto"/>
        <w:rPr>
          <w:rFonts w:ascii="Sylfaen" w:hAnsi="Sylfaen"/>
          <w:b w:val="0"/>
          <w:sz w:val="20"/>
          <w:szCs w:val="20"/>
        </w:rPr>
      </w:pPr>
      <w:r w:rsidRPr="00A74A57">
        <w:rPr>
          <w:rFonts w:ascii="Sylfaen" w:hAnsi="Sylfaen"/>
          <w:b w:val="0"/>
          <w:sz w:val="20"/>
          <w:szCs w:val="20"/>
        </w:rPr>
        <w:t xml:space="preserve">Continue to prioritise actions on AMR </w:t>
      </w:r>
      <w:proofErr w:type="spellStart"/>
      <w:r w:rsidRPr="00A74A57">
        <w:rPr>
          <w:rFonts w:ascii="Sylfaen" w:hAnsi="Sylfaen"/>
          <w:b w:val="0"/>
          <w:sz w:val="20"/>
          <w:szCs w:val="20"/>
        </w:rPr>
        <w:t>interalia</w:t>
      </w:r>
      <w:proofErr w:type="spellEnd"/>
      <w:r w:rsidRPr="00A74A57">
        <w:rPr>
          <w:rFonts w:ascii="Sylfaen" w:hAnsi="Sylfaen"/>
          <w:b w:val="0"/>
          <w:sz w:val="20"/>
          <w:szCs w:val="20"/>
        </w:rPr>
        <w:t xml:space="preserve">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852878" w:rsidRPr="00A74A57" w:rsidRDefault="00852878" w:rsidP="00A74A57">
      <w:pPr>
        <w:pStyle w:val="ListParagraph"/>
        <w:widowControl w:val="0"/>
        <w:jc w:val="both"/>
        <w:rPr>
          <w:rFonts w:ascii="Sylfaen" w:hAnsi="Sylfaen" w:cs="Times New Roman"/>
          <w:b/>
          <w:sz w:val="20"/>
          <w:szCs w:val="20"/>
          <w:lang w:val="en-GB"/>
        </w:rPr>
      </w:pPr>
      <w:r w:rsidRPr="00A74A57">
        <w:rPr>
          <w:rFonts w:ascii="Sylfaen" w:hAnsi="Sylfaen" w:cs="Times New Roman"/>
          <w:b/>
          <w:sz w:val="20"/>
          <w:szCs w:val="20"/>
          <w:shd w:val="clear" w:color="auto" w:fill="FFFFFF"/>
          <w:lang w:val="en-GB"/>
        </w:rPr>
        <w:t xml:space="preserve">In 2017, </w:t>
      </w:r>
      <w:proofErr w:type="spellStart"/>
      <w:r w:rsidRPr="00A74A57">
        <w:rPr>
          <w:rFonts w:ascii="Sylfaen" w:hAnsi="Sylfaen" w:cs="Times New Roman"/>
          <w:b/>
          <w:sz w:val="20"/>
          <w:szCs w:val="20"/>
          <w:shd w:val="clear" w:color="auto" w:fill="FFFFFF"/>
          <w:lang w:val="en-GB"/>
        </w:rPr>
        <w:t>GoG</w:t>
      </w:r>
      <w:proofErr w:type="spellEnd"/>
      <w:r w:rsidRPr="00A74A57">
        <w:rPr>
          <w:rFonts w:ascii="Sylfaen" w:hAnsi="Sylfaen" w:cs="Times New Roman"/>
          <w:b/>
          <w:sz w:val="20"/>
          <w:szCs w:val="20"/>
          <w:shd w:val="clear" w:color="auto" w:fill="FFFFFF"/>
          <w:lang w:val="en-GB"/>
        </w:rPr>
        <w:t xml:space="preserve"> approved national Antimicrobial Resistance Strategy. This is </w:t>
      </w:r>
      <w:r w:rsidRPr="00A74A57">
        <w:rPr>
          <w:rFonts w:ascii="Sylfaen" w:hAnsi="Sylfaen" w:cs="Times New Roman"/>
          <w:b/>
          <w:sz w:val="20"/>
          <w:szCs w:val="20"/>
          <w:shd w:val="clear" w:color="auto" w:fill="FFFFFF"/>
        </w:rPr>
        <w:t xml:space="preserve">a cross-cutting strategy for antimicrobial resistance that aims to not only alter the pattern of resistance in the country, but also to enhance the quality of health care overall. </w:t>
      </w:r>
    </w:p>
    <w:p w:rsidR="00852878" w:rsidRPr="00A74A57" w:rsidRDefault="00852878" w:rsidP="00A74A57">
      <w:pPr>
        <w:pStyle w:val="ListParagraph"/>
        <w:widowControl w:val="0"/>
        <w:jc w:val="both"/>
        <w:rPr>
          <w:rFonts w:ascii="Sylfaen" w:hAnsi="Sylfaen" w:cs="Times New Roman"/>
          <w:b/>
          <w:sz w:val="20"/>
          <w:szCs w:val="20"/>
          <w:lang w:val="en-GB"/>
        </w:rPr>
      </w:pPr>
    </w:p>
    <w:p w:rsidR="00852878" w:rsidRPr="00A74A57" w:rsidRDefault="00852878" w:rsidP="00A74A57">
      <w:pPr>
        <w:pStyle w:val="ListParagraph"/>
        <w:widowControl w:val="0"/>
        <w:jc w:val="both"/>
        <w:rPr>
          <w:rFonts w:ascii="Sylfaen" w:hAnsi="Sylfaen" w:cs="Times New Roman"/>
          <w:b/>
          <w:sz w:val="20"/>
          <w:szCs w:val="20"/>
          <w:lang w:val="en-GB"/>
        </w:rPr>
      </w:pPr>
      <w:proofErr w:type="spellStart"/>
      <w:proofErr w:type="gramStart"/>
      <w:r w:rsidRPr="00A74A57">
        <w:rPr>
          <w:rFonts w:ascii="Sylfaen" w:hAnsi="Sylfaen" w:cs="Times New Roman"/>
          <w:b/>
          <w:sz w:val="20"/>
          <w:szCs w:val="20"/>
          <w:lang w:val="en-GB"/>
        </w:rPr>
        <w:t>Th</w:t>
      </w:r>
      <w:proofErr w:type="spellEnd"/>
      <w:r w:rsidRPr="00A74A57">
        <w:rPr>
          <w:rFonts w:ascii="Sylfaen" w:hAnsi="Sylfaen" w:cs="Times New Roman"/>
          <w:b/>
          <w:sz w:val="20"/>
          <w:szCs w:val="20"/>
        </w:rPr>
        <w:t>e  European</w:t>
      </w:r>
      <w:proofErr w:type="gramEnd"/>
      <w:r w:rsidRPr="00A74A57">
        <w:rPr>
          <w:rFonts w:ascii="Sylfaen" w:hAnsi="Sylfaen" w:cs="Times New Roman"/>
          <w:b/>
          <w:sz w:val="20"/>
          <w:szCs w:val="20"/>
        </w:rPr>
        <w:t xml:space="preserve"> Committee on Antimicrobial Susceptibility Testing (EUCAST) standards were implemented</w:t>
      </w:r>
      <w:r w:rsidRPr="00A74A57">
        <w:rPr>
          <w:rFonts w:ascii="Sylfaen" w:hAnsi="Sylfaen" w:cs="Times New Roman"/>
          <w:b/>
          <w:sz w:val="20"/>
          <w:szCs w:val="20"/>
        </w:rPr>
        <w:t xml:space="preserve"> in microbiologic laboratories. </w:t>
      </w:r>
      <w:r w:rsidRPr="00A74A57">
        <w:rPr>
          <w:rFonts w:ascii="Sylfaen" w:hAnsi="Sylfaen" w:cs="Times New Roman"/>
          <w:b/>
          <w:sz w:val="20"/>
          <w:szCs w:val="20"/>
          <w:lang w:val="en-GB"/>
        </w:rPr>
        <w:t>Microbiology laboratory national network (12 laboratories from 5 regions) has been established;</w:t>
      </w:r>
      <w:r w:rsidRPr="00A74A57">
        <w:rPr>
          <w:rFonts w:ascii="Sylfaen" w:hAnsi="Sylfaen" w:cs="Times New Roman"/>
          <w:b/>
          <w:sz w:val="20"/>
          <w:szCs w:val="20"/>
        </w:rPr>
        <w:t xml:space="preserve"> data have been collected to assess AMR prevalence in the </w:t>
      </w:r>
      <w:r w:rsidRPr="00A74A57">
        <w:rPr>
          <w:rFonts w:ascii="Sylfaen" w:hAnsi="Sylfaen" w:cs="Times New Roman"/>
          <w:b/>
          <w:sz w:val="20"/>
          <w:szCs w:val="20"/>
        </w:rPr>
        <w:t xml:space="preserve">hospitals. </w:t>
      </w:r>
      <w:r w:rsidRPr="00A74A57">
        <w:rPr>
          <w:rFonts w:ascii="Sylfaen" w:hAnsi="Sylfaen" w:cs="Times New Roman"/>
          <w:b/>
          <w:sz w:val="20"/>
          <w:szCs w:val="20"/>
        </w:rPr>
        <w:t>The Sanford Guide to Antimicrobial Therapy has been translated and published into Georgian language; and postgraduate training modules on rational use of antibiotics and infection control have been elaborated</w:t>
      </w:r>
      <w:r w:rsidRPr="00A74A57">
        <w:rPr>
          <w:rFonts w:ascii="Sylfaen" w:hAnsi="Sylfaen" w:cs="Times New Roman"/>
          <w:b/>
          <w:sz w:val="20"/>
          <w:szCs w:val="20"/>
        </w:rPr>
        <w:t>.</w:t>
      </w:r>
    </w:p>
    <w:p w:rsidR="00852878" w:rsidRPr="00A74A57"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Undertake necessary steps for swift adoption of legislative amendments that will strengthen tobacco control policies in line with EU legislation and policies, as well as with their obligations under the WHO Framework Convention on Tobacco Control (amendments creating effective instruments for law enforcement);</w:t>
      </w:r>
    </w:p>
    <w:p w:rsidR="00632DD4" w:rsidRPr="00632DD4" w:rsidRDefault="00632DD4" w:rsidP="00632DD4">
      <w:pPr>
        <w:pStyle w:val="BodyTextIndent2"/>
        <w:spacing w:before="240" w:after="120" w:line="276" w:lineRule="auto"/>
        <w:ind w:left="709" w:firstLine="0"/>
        <w:rPr>
          <w:rFonts w:ascii="Sylfaen" w:hAnsi="Sylfaen" w:cstheme="minorHAnsi"/>
          <w:color w:val="000000"/>
          <w:sz w:val="20"/>
          <w:szCs w:val="20"/>
          <w:bdr w:val="none" w:sz="0" w:space="0" w:color="auto" w:frame="1"/>
        </w:rPr>
      </w:pPr>
      <w:r w:rsidRPr="00632DD4">
        <w:rPr>
          <w:rFonts w:ascii="Sylfaen" w:hAnsi="Sylfaen" w:cstheme="minorHAnsi"/>
          <w:color w:val="000000"/>
          <w:sz w:val="20"/>
          <w:szCs w:val="20"/>
        </w:rPr>
        <w:t>Georgia has adopted legislative and executive measures on tobacco control even before ratification of the WHO FCTC Convention. Tobacco control represents an integral part of the Law on Consumer Right Protection (1996), Health Protection Law (1996), Law on Advertisement (1998), Presidential Decree on Tobacco Control Measures (2000), and Tobacco Control Law (2003). The current Law on Tobacco Control was passed in 2010, with the main provisions adopted earlier in 2008.</w:t>
      </w:r>
      <w:r w:rsidRPr="00632DD4">
        <w:rPr>
          <w:rFonts w:ascii="Sylfaen" w:hAnsi="Sylfaen" w:cstheme="minorHAnsi"/>
          <w:color w:val="000000"/>
          <w:sz w:val="20"/>
          <w:szCs w:val="20"/>
        </w:rPr>
        <w:t xml:space="preserve"> </w:t>
      </w:r>
      <w:r w:rsidRPr="00632DD4">
        <w:rPr>
          <w:rFonts w:ascii="Sylfaen" w:hAnsi="Sylfaen" w:cstheme="minorHAnsi"/>
          <w:color w:val="000000"/>
          <w:sz w:val="20"/>
          <w:szCs w:val="20"/>
          <w:bdr w:val="none" w:sz="0" w:space="0" w:color="auto" w:frame="1"/>
        </w:rPr>
        <w:t>The Government of Georgia established the State Committee on Tobacco Control to strengthen tobacco control interventions and to ensure the effective implementation of the respective law of 15 March 2013.</w:t>
      </w:r>
      <w:r w:rsidRPr="00632DD4">
        <w:rPr>
          <w:rFonts w:ascii="Sylfaen" w:hAnsi="Sylfaen" w:cstheme="minorHAnsi"/>
          <w:color w:val="000000"/>
          <w:sz w:val="20"/>
          <w:szCs w:val="20"/>
        </w:rPr>
        <w:t xml:space="preserve"> </w:t>
      </w:r>
      <w:r w:rsidRPr="00632DD4">
        <w:rPr>
          <w:rFonts w:ascii="Sylfaen" w:hAnsi="Sylfaen" w:cstheme="minorHAnsi"/>
          <w:color w:val="000000"/>
          <w:sz w:val="20"/>
          <w:szCs w:val="20"/>
          <w:bdr w:val="none" w:sz="0" w:space="0" w:color="auto" w:frame="1"/>
        </w:rPr>
        <w:t>The Committee is chaired by the Prime Minister, and its Deputy Chair is the Minister of Labour, Health and Social Affairs.</w:t>
      </w:r>
      <w:r w:rsidRPr="00632DD4">
        <w:rPr>
          <w:rFonts w:ascii="Sylfaen" w:hAnsi="Sylfaen" w:cstheme="minorHAnsi"/>
          <w:color w:val="000000"/>
          <w:sz w:val="20"/>
          <w:szCs w:val="20"/>
          <w:bdr w:val="none" w:sz="0" w:space="0" w:color="auto" w:frame="1"/>
        </w:rPr>
        <w:t xml:space="preserve"> </w:t>
      </w:r>
      <w:r w:rsidRPr="00632DD4">
        <w:rPr>
          <w:rFonts w:ascii="Sylfaen" w:hAnsi="Sylfaen" w:cstheme="minorHAnsi"/>
          <w:color w:val="000000"/>
          <w:sz w:val="20"/>
          <w:szCs w:val="20"/>
          <w:bdr w:val="none" w:sz="0" w:space="0" w:color="auto" w:frame="1"/>
        </w:rPr>
        <w:t>Tobacco Control National Strategy and Action Plan 2013 -2018 were developed by the working group of the Committee and further approved by the Government of Georgia on July 30, 2013 (Strategy) and on November 29, 2013 (Action Plan).</w:t>
      </w:r>
    </w:p>
    <w:p w:rsidR="00632DD4" w:rsidRPr="00632DD4" w:rsidRDefault="00632DD4" w:rsidP="00632DD4">
      <w:pPr>
        <w:pStyle w:val="BodyTextIndent2"/>
        <w:spacing w:before="240" w:after="120" w:line="276" w:lineRule="auto"/>
        <w:ind w:left="709" w:firstLine="0"/>
        <w:rPr>
          <w:rFonts w:ascii="Sylfaen" w:hAnsi="Sylfaen" w:cstheme="minorHAnsi"/>
          <w:color w:val="000000"/>
          <w:sz w:val="20"/>
          <w:szCs w:val="20"/>
          <w:bdr w:val="none" w:sz="0" w:space="0" w:color="auto" w:frame="1"/>
        </w:rPr>
      </w:pPr>
      <w:r w:rsidRPr="00632DD4">
        <w:rPr>
          <w:rFonts w:ascii="Sylfaen" w:hAnsi="Sylfaen" w:cstheme="minorHAnsi"/>
          <w:color w:val="000000"/>
          <w:sz w:val="20"/>
          <w:szCs w:val="20"/>
          <w:bdr w:val="none" w:sz="0" w:space="0" w:color="auto" w:frame="1"/>
        </w:rPr>
        <w:t xml:space="preserve">The process was continued with elaboration of amendments to the five relevant laws (Administrative Offences Code of Georgia; Tobacco control Law of Georgia; Law on Advertisement of Georgia; Broadcasting Law of Georgia; Tax Code of Georgia). Currently tobacco control amendments are under the discussion in the Parliament of Georgia. Approval and mainstreaming of the said amendments is expected shortly. </w:t>
      </w:r>
    </w:p>
    <w:p w:rsidR="00852878" w:rsidRPr="00A74A57"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lastRenderedPageBreak/>
        <w:t xml:space="preserve">Undertake all efforts towards the signing and ratification of the Protocol for Illicit Trade in Tobacco Products. </w:t>
      </w:r>
    </w:p>
    <w:p w:rsidR="00A74A57" w:rsidRDefault="00A74A57" w:rsidP="00A74A57">
      <w:pPr>
        <w:pStyle w:val="ListParagraph"/>
        <w:spacing w:after="120"/>
        <w:ind w:left="709"/>
        <w:jc w:val="both"/>
        <w:rPr>
          <w:rFonts w:ascii="Sylfaen" w:hAnsi="Sylfaen" w:cs="Times New Roman"/>
          <w:b/>
          <w:color w:val="000000"/>
          <w:sz w:val="20"/>
          <w:szCs w:val="20"/>
          <w:shd w:val="clear" w:color="auto" w:fill="FFFFFF"/>
        </w:rPr>
      </w:pPr>
      <w:r w:rsidRPr="00A74A57">
        <w:rPr>
          <w:rFonts w:ascii="Sylfaen" w:hAnsi="Sylfaen" w:cs="Times New Roman"/>
          <w:b/>
          <w:color w:val="000000"/>
          <w:sz w:val="20"/>
          <w:szCs w:val="20"/>
          <w:shd w:val="clear" w:color="auto" w:fill="FFFFFF"/>
        </w:rPr>
        <w:t>Protocol to Eliminate Illicit Trade in Tobacco Products is a first protocol of WHO FCTC. Protocol to Eliminate Illicit Trade in Tobacco Products is still not accessed neither signed i</w:t>
      </w:r>
      <w:r w:rsidRPr="00A74A57">
        <w:rPr>
          <w:rFonts w:ascii="Sylfaen" w:hAnsi="Sylfaen" w:cs="Times New Roman"/>
          <w:b/>
          <w:color w:val="000000"/>
          <w:sz w:val="20"/>
          <w:szCs w:val="20"/>
          <w:shd w:val="clear" w:color="auto" w:fill="FFFFFF"/>
        </w:rPr>
        <w:t xml:space="preserve">n Georgia, although the </w:t>
      </w:r>
      <w:proofErr w:type="spellStart"/>
      <w:r w:rsidRPr="00A74A57">
        <w:rPr>
          <w:rFonts w:ascii="Sylfaen" w:hAnsi="Sylfaen" w:cs="Times New Roman"/>
          <w:b/>
          <w:color w:val="000000"/>
          <w:sz w:val="20"/>
          <w:szCs w:val="20"/>
          <w:shd w:val="clear" w:color="auto" w:fill="FFFFFF"/>
        </w:rPr>
        <w:t>MoL</w:t>
      </w:r>
      <w:r w:rsidRPr="00A74A57">
        <w:rPr>
          <w:rFonts w:ascii="Sylfaen" w:hAnsi="Sylfaen" w:cs="Times New Roman"/>
          <w:b/>
          <w:color w:val="000000"/>
          <w:sz w:val="20"/>
          <w:szCs w:val="20"/>
          <w:shd w:val="clear" w:color="auto" w:fill="FFFFFF"/>
        </w:rPr>
        <w:t>HSA</w:t>
      </w:r>
      <w:proofErr w:type="spellEnd"/>
      <w:r w:rsidRPr="00A74A57">
        <w:rPr>
          <w:rFonts w:ascii="Sylfaen" w:hAnsi="Sylfaen" w:cs="Times New Roman"/>
          <w:b/>
          <w:color w:val="000000"/>
          <w:sz w:val="20"/>
          <w:szCs w:val="20"/>
          <w:shd w:val="clear" w:color="auto" w:fill="FFFFFF"/>
        </w:rPr>
        <w:t xml:space="preserve"> has launched a necessary official procedure to agree the accession to the protocol among relevant sectors of the Government.</w:t>
      </w:r>
    </w:p>
    <w:p w:rsidR="00852878"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 xml:space="preserve">Monitor the transposition of tobacco control legislation, in line with EU acquis as provided for in the Association Agreement and </w:t>
      </w:r>
      <w:r w:rsidR="00A74A57" w:rsidRPr="00A74A57">
        <w:rPr>
          <w:rFonts w:ascii="Sylfaen" w:hAnsi="Sylfaen"/>
          <w:b w:val="0"/>
          <w:sz w:val="20"/>
          <w:szCs w:val="20"/>
        </w:rPr>
        <w:t>will communicate this to the EU</w:t>
      </w:r>
    </w:p>
    <w:p w:rsidR="00A74A57" w:rsidRPr="00314DD2" w:rsidRDefault="00EF291C" w:rsidP="00314DD2">
      <w:pPr>
        <w:pStyle w:val="ListParagraph"/>
        <w:spacing w:after="120"/>
        <w:ind w:left="709"/>
        <w:jc w:val="both"/>
        <w:rPr>
          <w:rFonts w:ascii="Sylfaen" w:hAnsi="Sylfaen" w:cstheme="minorHAnsi"/>
          <w:b/>
          <w:color w:val="000000"/>
          <w:sz w:val="20"/>
          <w:szCs w:val="20"/>
          <w:shd w:val="clear" w:color="auto" w:fill="FFFFFF"/>
        </w:rPr>
      </w:pPr>
      <w:r w:rsidRPr="00314DD2">
        <w:rPr>
          <w:rFonts w:ascii="Sylfaen" w:hAnsi="Sylfaen" w:cstheme="minorHAnsi"/>
          <w:b/>
          <w:color w:val="000000"/>
          <w:sz w:val="20"/>
          <w:szCs w:val="20"/>
          <w:shd w:val="clear" w:color="auto" w:fill="FFFFFF"/>
        </w:rPr>
        <w:t>Tobacco control is an important aspect for Georgia’s EU integration process</w:t>
      </w:r>
      <w:r w:rsidRPr="00314DD2">
        <w:rPr>
          <w:rFonts w:ascii="Sylfaen" w:hAnsi="Sylfaen" w:cstheme="minorHAnsi"/>
          <w:b/>
          <w:color w:val="000000"/>
          <w:sz w:val="20"/>
          <w:szCs w:val="20"/>
          <w:shd w:val="clear" w:color="auto" w:fill="FFFFFF"/>
        </w:rPr>
        <w:t xml:space="preserve">. </w:t>
      </w:r>
      <w:r w:rsidR="00314DD2" w:rsidRPr="00314DD2">
        <w:rPr>
          <w:rFonts w:ascii="Sylfaen" w:hAnsi="Sylfaen" w:cstheme="minorHAnsi"/>
          <w:b/>
          <w:color w:val="000000"/>
          <w:sz w:val="20"/>
          <w:szCs w:val="20"/>
          <w:shd w:val="clear" w:color="auto" w:fill="FFFFFF"/>
        </w:rPr>
        <w:t>W</w:t>
      </w:r>
      <w:r w:rsidR="00A74A57" w:rsidRPr="00A74A57">
        <w:rPr>
          <w:rFonts w:ascii="Sylfaen" w:hAnsi="Sylfaen" w:cstheme="minorHAnsi"/>
          <w:b/>
          <w:color w:val="000000"/>
          <w:sz w:val="20"/>
          <w:szCs w:val="20"/>
          <w:shd w:val="clear" w:color="auto" w:fill="FFFFFF"/>
        </w:rPr>
        <w:t xml:space="preserve">ith the support of the </w:t>
      </w:r>
      <w:r w:rsidR="00A74A57">
        <w:rPr>
          <w:rFonts w:ascii="Sylfaen" w:hAnsi="Sylfaen" w:cstheme="minorHAnsi"/>
          <w:b/>
          <w:color w:val="000000"/>
          <w:sz w:val="20"/>
          <w:szCs w:val="20"/>
          <w:shd w:val="clear" w:color="auto" w:fill="FFFFFF"/>
        </w:rPr>
        <w:t xml:space="preserve">Euro </w:t>
      </w:r>
      <w:r w:rsidR="00A74A57" w:rsidRPr="00A74A57">
        <w:rPr>
          <w:rFonts w:ascii="Sylfaen" w:hAnsi="Sylfaen" w:cstheme="minorHAnsi"/>
          <w:b/>
          <w:color w:val="000000"/>
          <w:sz w:val="20"/>
          <w:szCs w:val="20"/>
          <w:shd w:val="clear" w:color="auto" w:fill="FFFFFF"/>
        </w:rPr>
        <w:t xml:space="preserve">Union and within the scope of the Bloomberg Philanthropies Grant the NCDCPH in close collaboration with the Ministry of Finance is implementing Project targeting at development of supportive environment for tobacco tax increase in the country. </w:t>
      </w:r>
      <w:r w:rsidR="00314DD2" w:rsidRPr="00314DD2">
        <w:rPr>
          <w:rFonts w:ascii="Sylfaen" w:hAnsi="Sylfaen" w:cstheme="minorHAnsi"/>
          <w:b/>
          <w:color w:val="000000"/>
          <w:sz w:val="20"/>
          <w:szCs w:val="20"/>
          <w:shd w:val="clear" w:color="auto" w:fill="FFFFFF"/>
        </w:rPr>
        <w:t xml:space="preserve">The Project implied two main Objectives: 1. Revised taxation policy drafted and approved by the </w:t>
      </w:r>
      <w:proofErr w:type="spellStart"/>
      <w:r w:rsidR="00314DD2" w:rsidRPr="00314DD2">
        <w:rPr>
          <w:rFonts w:ascii="Sylfaen" w:hAnsi="Sylfaen" w:cstheme="minorHAnsi"/>
          <w:b/>
          <w:color w:val="000000"/>
          <w:sz w:val="20"/>
          <w:szCs w:val="20"/>
          <w:shd w:val="clear" w:color="auto" w:fill="FFFFFF"/>
        </w:rPr>
        <w:t>MoLHSA</w:t>
      </w:r>
      <w:proofErr w:type="spellEnd"/>
      <w:r w:rsidR="00314DD2" w:rsidRPr="00314DD2">
        <w:rPr>
          <w:rFonts w:ascii="Sylfaen" w:hAnsi="Sylfaen" w:cstheme="minorHAnsi"/>
          <w:b/>
          <w:color w:val="000000"/>
          <w:sz w:val="20"/>
          <w:szCs w:val="20"/>
          <w:shd w:val="clear" w:color="auto" w:fill="FFFFFF"/>
        </w:rPr>
        <w:t xml:space="preserve"> and submitted to the </w:t>
      </w:r>
      <w:proofErr w:type="spellStart"/>
      <w:r w:rsidR="00314DD2" w:rsidRPr="00314DD2">
        <w:rPr>
          <w:rFonts w:ascii="Sylfaen" w:hAnsi="Sylfaen" w:cstheme="minorHAnsi"/>
          <w:b/>
          <w:color w:val="000000"/>
          <w:sz w:val="20"/>
          <w:szCs w:val="20"/>
          <w:shd w:val="clear" w:color="auto" w:fill="FFFFFF"/>
        </w:rPr>
        <w:t>MoF</w:t>
      </w:r>
      <w:proofErr w:type="spellEnd"/>
      <w:r w:rsidR="00314DD2" w:rsidRPr="00314DD2">
        <w:rPr>
          <w:rFonts w:ascii="Sylfaen" w:hAnsi="Sylfaen" w:cstheme="minorHAnsi"/>
          <w:b/>
          <w:color w:val="000000"/>
          <w:sz w:val="20"/>
          <w:szCs w:val="20"/>
          <w:shd w:val="clear" w:color="auto" w:fill="FFFFFF"/>
        </w:rPr>
        <w:t xml:space="preserve"> for adoption and 2. Mobilization of partners and stakeholders for elaborating effective taxation policies based on the NAP and relevant EU directives. </w:t>
      </w:r>
    </w:p>
    <w:p w:rsidR="00852878"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632DD4" w:rsidRPr="00247CEE" w:rsidRDefault="00247CEE" w:rsidP="00632DD4">
      <w:pPr>
        <w:pStyle w:val="BodyTextIndent2"/>
        <w:spacing w:before="240" w:after="120" w:line="276" w:lineRule="auto"/>
        <w:ind w:left="709" w:firstLine="0"/>
        <w:rPr>
          <w:rFonts w:ascii="Sylfaen" w:eastAsiaTheme="minorEastAsia" w:hAnsi="Sylfaen" w:cstheme="minorHAnsi"/>
          <w:bCs w:val="0"/>
          <w:color w:val="000000"/>
          <w:sz w:val="20"/>
          <w:szCs w:val="20"/>
          <w:shd w:val="clear" w:color="auto" w:fill="FFFFFF"/>
          <w:lang w:val="en-US" w:eastAsia="en-US"/>
        </w:rPr>
      </w:pPr>
      <w:r w:rsidRPr="00247CEE">
        <w:rPr>
          <w:rFonts w:ascii="Sylfaen" w:eastAsiaTheme="minorEastAsia" w:hAnsi="Sylfaen" w:cstheme="minorHAnsi"/>
          <w:bCs w:val="0"/>
          <w:color w:val="000000"/>
          <w:sz w:val="20"/>
          <w:szCs w:val="20"/>
          <w:shd w:val="clear" w:color="auto" w:fill="FFFFFF"/>
          <w:lang w:val="en-US" w:eastAsia="en-US"/>
        </w:rPr>
        <w:t xml:space="preserve">TB/HIV - As the amount of available Global Fund will be decreasing, the </w:t>
      </w:r>
      <w:proofErr w:type="spellStart"/>
      <w:r w:rsidRPr="00247CEE">
        <w:rPr>
          <w:rFonts w:ascii="Sylfaen" w:eastAsiaTheme="minorEastAsia" w:hAnsi="Sylfaen" w:cstheme="minorHAnsi"/>
          <w:bCs w:val="0"/>
          <w:color w:val="000000"/>
          <w:sz w:val="20"/>
          <w:szCs w:val="20"/>
          <w:shd w:val="clear" w:color="auto" w:fill="FFFFFF"/>
          <w:lang w:val="en-US" w:eastAsia="en-US"/>
        </w:rPr>
        <w:t>GoG</w:t>
      </w:r>
      <w:proofErr w:type="spellEnd"/>
      <w:r w:rsidRPr="00247CEE">
        <w:rPr>
          <w:rFonts w:ascii="Sylfaen" w:eastAsiaTheme="minorEastAsia" w:hAnsi="Sylfaen" w:cstheme="minorHAnsi"/>
          <w:bCs w:val="0"/>
          <w:color w:val="000000"/>
          <w:sz w:val="20"/>
          <w:szCs w:val="20"/>
          <w:shd w:val="clear" w:color="auto" w:fill="FFFFFF"/>
          <w:lang w:val="en-US" w:eastAsia="en-US"/>
        </w:rPr>
        <w:t xml:space="preserve"> is committed to increase the level of domestic funding to bridge the gap and gradually take over the funding of HIV and TV control interventions. In order to ensure smooth transition, the Transition and Sustainability Plan was prepared and approved by the Country Coordinating Mechanism. The plan identifies challenges of a transition period and provides solutions to address those challenges</w:t>
      </w:r>
      <w:r>
        <w:rPr>
          <w:rFonts w:ascii="Sylfaen" w:eastAsiaTheme="minorEastAsia" w:hAnsi="Sylfaen" w:cstheme="minorHAnsi"/>
          <w:bCs w:val="0"/>
          <w:color w:val="000000"/>
          <w:sz w:val="20"/>
          <w:szCs w:val="20"/>
          <w:shd w:val="clear" w:color="auto" w:fill="FFFFFF"/>
          <w:lang w:val="en-US" w:eastAsia="en-US"/>
        </w:rPr>
        <w:t>.</w:t>
      </w:r>
    </w:p>
    <w:p w:rsidR="005B7970" w:rsidRPr="00247CEE" w:rsidRDefault="00852878" w:rsidP="00852878">
      <w:pPr>
        <w:pStyle w:val="BodyTextIndent2"/>
        <w:numPr>
          <w:ilvl w:val="0"/>
          <w:numId w:val="1"/>
        </w:numPr>
        <w:spacing w:before="240" w:after="120" w:line="276" w:lineRule="auto"/>
        <w:ind w:left="709"/>
        <w:rPr>
          <w:rFonts w:ascii="Sylfaen" w:hAnsi="Sylfaen"/>
          <w:b w:val="0"/>
          <w:sz w:val="20"/>
          <w:szCs w:val="20"/>
        </w:rPr>
      </w:pPr>
      <w:r w:rsidRPr="00A74A57">
        <w:rPr>
          <w:rFonts w:ascii="Sylfaen" w:hAnsi="Sylfaen"/>
          <w:b w:val="0"/>
          <w:sz w:val="20"/>
          <w:szCs w:val="20"/>
        </w:rPr>
        <w:t>Adopt, as planned, the Hepatitis C Strategic Plan in 2016 and ensure its full implementation</w:t>
      </w:r>
      <w:r w:rsidRPr="00A74A57">
        <w:rPr>
          <w:rFonts w:ascii="Sylfaen" w:hAnsi="Sylfaen"/>
          <w:sz w:val="20"/>
          <w:szCs w:val="20"/>
        </w:rPr>
        <w:t>.</w:t>
      </w:r>
    </w:p>
    <w:p w:rsidR="00247CEE" w:rsidRPr="00A74A57" w:rsidRDefault="00247CEE" w:rsidP="00247CEE">
      <w:pPr>
        <w:pStyle w:val="BodyTextIndent2"/>
        <w:spacing w:before="240" w:after="120" w:line="276" w:lineRule="auto"/>
        <w:ind w:left="709" w:firstLine="0"/>
        <w:rPr>
          <w:rFonts w:ascii="Sylfaen" w:hAnsi="Sylfaen"/>
          <w:b w:val="0"/>
          <w:sz w:val="20"/>
          <w:szCs w:val="20"/>
        </w:rPr>
      </w:pPr>
      <w:r w:rsidRPr="00247CEE">
        <w:rPr>
          <w:rFonts w:ascii="Sylfaen" w:hAnsi="Sylfaen"/>
          <w:b w:val="0"/>
          <w:sz w:val="20"/>
          <w:szCs w:val="20"/>
        </w:rPr>
        <w:t xml:space="preserve">Hepatitis C - Georgia embarked on the world’s first HCV elimination program on April 28, 2015 and in 2016, </w:t>
      </w:r>
      <w:proofErr w:type="spellStart"/>
      <w:r w:rsidRPr="00247CEE">
        <w:rPr>
          <w:rFonts w:ascii="Sylfaen" w:hAnsi="Sylfaen"/>
          <w:b w:val="0"/>
          <w:sz w:val="20"/>
          <w:szCs w:val="20"/>
        </w:rPr>
        <w:t>GoG</w:t>
      </w:r>
      <w:proofErr w:type="spellEnd"/>
      <w:r w:rsidRPr="00247CEE">
        <w:rPr>
          <w:rFonts w:ascii="Sylfaen" w:hAnsi="Sylfaen"/>
          <w:b w:val="0"/>
          <w:sz w:val="20"/>
          <w:szCs w:val="20"/>
        </w:rPr>
        <w:t xml:space="preserve"> approved National Hepatitis C Elimination Strategy. Since the launch of the program in April 2015, 27,392 HCV-infected persons were enrolled and 8,448 initiated treatment, which represents a &gt;400% increase in the number treated compared with the total number of HCV-infected persons treated in the country during the previous 4 years. Together with CDC, the WHO, and other international partners, Georgia’s </w:t>
      </w:r>
      <w:proofErr w:type="spellStart"/>
      <w:r w:rsidRPr="00247CEE">
        <w:rPr>
          <w:rFonts w:ascii="Sylfaen" w:hAnsi="Sylfaen"/>
          <w:b w:val="0"/>
          <w:sz w:val="20"/>
          <w:szCs w:val="20"/>
        </w:rPr>
        <w:t>MoLHSA</w:t>
      </w:r>
      <w:proofErr w:type="spellEnd"/>
      <w:r w:rsidRPr="00247CEE">
        <w:rPr>
          <w:rFonts w:ascii="Sylfaen" w:hAnsi="Sylfaen"/>
          <w:b w:val="0"/>
          <w:sz w:val="20"/>
          <w:szCs w:val="20"/>
        </w:rPr>
        <w:t xml:space="preserve"> developed a technical advisory group that works to address gaps in advocacy and awareness; surveillance; prevention of transmission, including harm reduction; blood safety; infection control in health and non–health care settings; and evidence-based screening and linkage to care</w:t>
      </w:r>
      <w:r>
        <w:rPr>
          <w:rFonts w:ascii="Sylfaen" w:hAnsi="Sylfaen"/>
          <w:b w:val="0"/>
          <w:sz w:val="20"/>
          <w:szCs w:val="20"/>
        </w:rPr>
        <w:t>.</w:t>
      </w:r>
    </w:p>
    <w:sectPr w:rsidR="00247CEE" w:rsidRPr="00A74A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787EDC"/>
    <w:multiLevelType w:val="hybridMultilevel"/>
    <w:tmpl w:val="24C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78"/>
    <w:rsid w:val="00247CEE"/>
    <w:rsid w:val="00314DD2"/>
    <w:rsid w:val="005B7970"/>
    <w:rsid w:val="0062323C"/>
    <w:rsid w:val="00632DD4"/>
    <w:rsid w:val="00852878"/>
    <w:rsid w:val="00863C0A"/>
    <w:rsid w:val="00A74A57"/>
    <w:rsid w:val="00DF2BB3"/>
    <w:rsid w:val="00E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52878"/>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852878"/>
    <w:rPr>
      <w:rFonts w:ascii="Times New Roman" w:eastAsia="Times New Roman" w:hAnsi="Times New Roman" w:cs="Times New Roman"/>
      <w:b/>
      <w:bCs/>
      <w:sz w:val="24"/>
      <w:szCs w:val="24"/>
      <w:lang w:val="en-GB" w:eastAsia="fr-FR"/>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852878"/>
    <w:pPr>
      <w:ind w:left="720"/>
      <w:contextualSpacing/>
    </w:pPr>
    <w:rPr>
      <w:rFonts w:asciiTheme="minorHAnsi" w:eastAsiaTheme="minorEastAsia" w:hAnsiTheme="minorHAnsi" w:cstheme="minorBidi"/>
      <w:lang w:val="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852878"/>
    <w:rPr>
      <w:rFonts w:eastAsiaTheme="minorEastAsia"/>
    </w:rPr>
  </w:style>
  <w:style w:type="paragraph" w:styleId="NormalWeb">
    <w:name w:val="Normal (Web)"/>
    <w:basedOn w:val="Normal"/>
    <w:unhideWhenUsed/>
    <w:rsid w:val="00852878"/>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52878"/>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852878"/>
    <w:rPr>
      <w:rFonts w:ascii="Times New Roman" w:eastAsia="Times New Roman" w:hAnsi="Times New Roman" w:cs="Times New Roman"/>
      <w:b/>
      <w:bCs/>
      <w:sz w:val="24"/>
      <w:szCs w:val="24"/>
      <w:lang w:val="en-GB" w:eastAsia="fr-FR"/>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852878"/>
    <w:pPr>
      <w:ind w:left="720"/>
      <w:contextualSpacing/>
    </w:pPr>
    <w:rPr>
      <w:rFonts w:asciiTheme="minorHAnsi" w:eastAsiaTheme="minorEastAsia" w:hAnsiTheme="minorHAnsi" w:cstheme="minorBidi"/>
      <w:lang w:val="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852878"/>
    <w:rPr>
      <w:rFonts w:eastAsiaTheme="minorEastAsia"/>
    </w:rPr>
  </w:style>
  <w:style w:type="paragraph" w:styleId="NormalWeb">
    <w:name w:val="Normal (Web)"/>
    <w:basedOn w:val="Normal"/>
    <w:unhideWhenUsed/>
    <w:rsid w:val="0085287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2017-03-21T07:40:00Z</dcterms:created>
  <dcterms:modified xsi:type="dcterms:W3CDTF">2017-03-21T09:36:00Z</dcterms:modified>
</cp:coreProperties>
</file>