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0" w:rsidRPr="007C17A7" w:rsidRDefault="007316EA" w:rsidP="00EA39DE">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0288" behindDoc="0" locked="0" layoutInCell="1" allowOverlap="1">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1F2" w:rsidRDefault="00B311F2" w:rsidP="00EA39DE">
      <w:pPr>
        <w:pStyle w:val="Heading2"/>
        <w:rPr>
          <w:rFonts w:ascii="Calibri" w:eastAsiaTheme="majorEastAsia" w:hAnsi="Calibri" w:cs="Calibri"/>
          <w:b w:val="0"/>
          <w:bCs w:val="0"/>
          <w:i w:val="0"/>
          <w:color w:val="365F91" w:themeColor="accent1" w:themeShade="BF"/>
        </w:rPr>
      </w:pPr>
      <w:r>
        <w:rPr>
          <w:rFonts w:ascii="Calibri" w:eastAsiaTheme="minorEastAsia" w:hAnsi="Calibri" w:cs="Calibri"/>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r>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Pr>
          <w:rFonts w:asciiTheme="minorHAnsi" w:eastAsiaTheme="majorEastAsia" w:hAnsiTheme="minorHAnsi" w:cs="Calibri"/>
          <w:b w:val="0"/>
          <w:bCs w:val="0"/>
          <w:i w:val="0"/>
          <w:color w:val="365F91" w:themeColor="accent1" w:themeShade="BF"/>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p>
    <w:p w:rsidR="007316EA" w:rsidRDefault="007316EA" w:rsidP="00EA39DE">
      <w:pPr>
        <w:pStyle w:val="Heading2"/>
        <w:jc w:val="right"/>
        <w:rPr>
          <w:rFonts w:ascii="Calibri" w:eastAsiaTheme="majorEastAsia" w:hAnsi="Calibri" w:cs="Calibri"/>
          <w:bCs w:val="0"/>
          <w:i w:val="0"/>
          <w:color w:val="244061" w:themeColor="accent1" w:themeShade="80"/>
          <w:sz w:val="36"/>
          <w:szCs w:val="36"/>
        </w:rPr>
      </w:pPr>
    </w:p>
    <w:p w:rsidR="00B311F2" w:rsidRPr="00F7073F" w:rsidRDefault="00B311F2" w:rsidP="00EA39DE">
      <w:pPr>
        <w:pStyle w:val="Heading2"/>
        <w:jc w:val="right"/>
        <w:rPr>
          <w:rFonts w:ascii="Calibri" w:eastAsiaTheme="majorEastAsia" w:hAnsi="Calibri" w:cs="Calibri"/>
          <w:bCs w:val="0"/>
          <w:i w:val="0"/>
          <w:color w:val="365F91" w:themeColor="accent1" w:themeShade="BF"/>
          <w:sz w:val="32"/>
          <w:szCs w:val="32"/>
        </w:rPr>
      </w:pPr>
      <w:r w:rsidRPr="00F7073F">
        <w:rPr>
          <w:rFonts w:ascii="Calibri" w:eastAsiaTheme="majorEastAsia" w:hAnsi="Calibri" w:cs="Calibri"/>
          <w:bCs w:val="0"/>
          <w:i w:val="0"/>
          <w:color w:val="365F91" w:themeColor="accent1" w:themeShade="BF"/>
          <w:sz w:val="36"/>
          <w:szCs w:val="36"/>
        </w:rPr>
        <w:t>GEORGIA</w:t>
      </w:r>
      <w:r w:rsidRPr="00F7073F">
        <w:rPr>
          <w:rFonts w:ascii="Calibri" w:eastAsiaTheme="majorEastAsia" w:hAnsi="Calibri" w:cs="Calibri"/>
          <w:bCs w:val="0"/>
          <w:color w:val="365F91" w:themeColor="accent1" w:themeShade="BF"/>
          <w:sz w:val="32"/>
          <w:szCs w:val="32"/>
        </w:rPr>
        <w:t xml:space="preserve"> </w:t>
      </w:r>
      <w:r w:rsidRPr="00F7073F">
        <w:rPr>
          <w:rFonts w:ascii="Calibri" w:eastAsiaTheme="majorEastAsia" w:hAnsi="Calibri" w:cs="Calibri"/>
          <w:bCs w:val="0"/>
          <w:color w:val="365F91" w:themeColor="accent1" w:themeShade="BF"/>
          <w:sz w:val="36"/>
          <w:szCs w:val="36"/>
        </w:rPr>
        <w:t>Brief</w:t>
      </w:r>
    </w:p>
    <w:p w:rsidR="00F56480" w:rsidRPr="007C17A7" w:rsidRDefault="00950D3D" w:rsidP="00EA39DE">
      <w:pPr>
        <w:shd w:val="clear" w:color="auto" w:fill="FFFFFF" w:themeFill="background1"/>
        <w:spacing w:after="0" w:line="240" w:lineRule="auto"/>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58240" behindDoc="0" locked="0" layoutInCell="1" allowOverlap="1" wp14:anchorId="22A02BB2" wp14:editId="75B90BF4">
                <wp:simplePos x="0" y="0"/>
                <wp:positionH relativeFrom="margin">
                  <wp:align>right</wp:align>
                </wp:positionH>
                <wp:positionV relativeFrom="paragraph">
                  <wp:posOffset>26035</wp:posOffset>
                </wp:positionV>
                <wp:extent cx="6667500" cy="7905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7905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C17A7" w:rsidRDefault="007C17A7" w:rsidP="00B311F2">
                            <w:pPr>
                              <w:spacing w:after="0" w:line="240" w:lineRule="auto"/>
                              <w:ind w:left="720"/>
                              <w:jc w:val="center"/>
                            </w:pPr>
                            <w:r>
                              <w:rPr>
                                <w:rFonts w:cstheme="minorHAnsi"/>
                                <w:b/>
                                <w:color w:val="FFFFFF" w:themeColor="background1"/>
                                <w:sz w:val="44"/>
                                <w:szCs w:val="44"/>
                              </w:rPr>
                              <w:t>Immunization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2BB2" id="Round Single Corner Rectangle 12" o:spid="_x0000_s1026" style="position:absolute;margin-left:473.8pt;margin-top:2.05pt;width:52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" adj="-11796480,,5400" path="m,l6667500,r,l6667500,790575,,790575,,xe" fillcolor="#4f81bd" strokecolor="#385d8a" strokeweight="2pt">
                <v:stroke joinstyle="miter"/>
                <v:formulas/>
                <v:path arrowok="t" o:connecttype="custom" o:connectlocs="0,0;6667500,0;6667500,0;6667500,790575;0,790575;0,0" o:connectangles="0,0,0,0,0,0" textboxrect="0,0,6667500,790575"/>
                <v:textbox>
                  <w:txbxContent>
                    <w:p w:rsidR="007C17A7" w:rsidRDefault="007C17A7" w:rsidP="00B311F2">
                      <w:pPr>
                        <w:spacing w:after="0" w:line="240" w:lineRule="auto"/>
                        <w:ind w:left="720"/>
                        <w:jc w:val="center"/>
                      </w:pPr>
                      <w:r>
                        <w:rPr>
                          <w:rFonts w:cstheme="minorHAnsi"/>
                          <w:b/>
                          <w:color w:val="FFFFFF" w:themeColor="background1"/>
                          <w:sz w:val="44"/>
                          <w:szCs w:val="44"/>
                        </w:rPr>
                        <w:t>Immunization</w:t>
                      </w:r>
                    </w:p>
                  </w:txbxContent>
                </v:textbox>
                <w10:wrap anchorx="margin"/>
              </v:shape>
            </w:pict>
          </mc:Fallback>
        </mc:AlternateContent>
      </w: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5E321E" w:rsidRDefault="005E321E" w:rsidP="00EA39DE">
      <w:pPr>
        <w:spacing w:before="120" w:after="120" w:line="240" w:lineRule="auto"/>
        <w:jc w:val="both"/>
        <w:rPr>
          <w:rFonts w:ascii="Calibri" w:eastAsia="Times New Roman" w:hAnsi="Calibri" w:cs="Calibri"/>
          <w:bCs/>
          <w:sz w:val="24"/>
          <w:szCs w:val="24"/>
        </w:rPr>
      </w:pPr>
    </w:p>
    <w:p w:rsidR="002D644C" w:rsidRPr="007C17A7" w:rsidRDefault="002D644C" w:rsidP="00EA39DE">
      <w:pPr>
        <w:spacing w:before="120"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State Immunization </w:t>
      </w:r>
      <w:r w:rsidR="001F010E" w:rsidRPr="007C17A7">
        <w:rPr>
          <w:rFonts w:ascii="Calibri" w:eastAsia="Times New Roman" w:hAnsi="Calibri" w:cs="Calibri"/>
          <w:bCs/>
          <w:sz w:val="24"/>
          <w:szCs w:val="24"/>
        </w:rPr>
        <w:t>P</w:t>
      </w:r>
      <w:r w:rsidRPr="007C17A7">
        <w:rPr>
          <w:rFonts w:ascii="Calibri" w:eastAsia="Times New Roman" w:hAnsi="Calibri" w:cs="Calibri"/>
          <w:bCs/>
          <w:sz w:val="24"/>
          <w:szCs w:val="24"/>
        </w:rPr>
        <w:t xml:space="preserve">rogram </w:t>
      </w:r>
      <w:r w:rsidR="001F010E" w:rsidRPr="007C17A7">
        <w:rPr>
          <w:rFonts w:ascii="Calibri" w:eastAsia="Times New Roman" w:hAnsi="Calibri" w:cs="Calibri"/>
          <w:bCs/>
          <w:sz w:val="24"/>
          <w:szCs w:val="24"/>
        </w:rPr>
        <w:t xml:space="preserve">(NIP) </w:t>
      </w:r>
      <w:r w:rsidRPr="007C17A7">
        <w:rPr>
          <w:rFonts w:ascii="Calibri" w:eastAsia="Times New Roman" w:hAnsi="Calibri" w:cs="Calibri"/>
          <w:bCs/>
          <w:sz w:val="24"/>
          <w:szCs w:val="24"/>
        </w:rPr>
        <w:t xml:space="preserve">was launched </w:t>
      </w:r>
      <w:r w:rsidR="001F010E" w:rsidRPr="007C17A7">
        <w:rPr>
          <w:rFonts w:ascii="Calibri" w:eastAsia="Times New Roman" w:hAnsi="Calibri" w:cs="Calibri"/>
          <w:bCs/>
          <w:sz w:val="24"/>
          <w:szCs w:val="24"/>
        </w:rPr>
        <w:t xml:space="preserve">in Georgia </w:t>
      </w:r>
      <w:r w:rsidRPr="007C17A7">
        <w:rPr>
          <w:rFonts w:ascii="Calibri" w:eastAsia="Times New Roman" w:hAnsi="Calibri" w:cs="Calibri"/>
          <w:bCs/>
          <w:sz w:val="24"/>
          <w:szCs w:val="24"/>
        </w:rPr>
        <w:t>in 1996 with the ultimate Goal</w:t>
      </w:r>
      <w:r w:rsidRPr="007C17A7">
        <w:rPr>
          <w:rFonts w:ascii="Calibri" w:eastAsia="Times New Roman" w:hAnsi="Calibri" w:cs="Calibri"/>
          <w:b/>
          <w:bCs/>
          <w:sz w:val="24"/>
          <w:szCs w:val="24"/>
        </w:rPr>
        <w:t xml:space="preserve"> </w:t>
      </w:r>
      <w:r w:rsidRPr="007C17A7">
        <w:rPr>
          <w:rFonts w:ascii="Calibri" w:eastAsia="Times New Roman" w:hAnsi="Calibri" w:cs="Calibri"/>
          <w:bCs/>
          <w:sz w:val="24"/>
          <w:szCs w:val="24"/>
        </w:rPr>
        <w:t xml:space="preserve">to efficiently protect country population from VPDs and ensure the high coverage and quality services according to the </w:t>
      </w:r>
      <w:r w:rsidR="00EB359C" w:rsidRPr="007C17A7">
        <w:rPr>
          <w:rFonts w:ascii="Calibri" w:eastAsia="Times New Roman" w:hAnsi="Calibri" w:cs="Calibri"/>
          <w:bCs/>
          <w:sz w:val="24"/>
          <w:szCs w:val="24"/>
        </w:rPr>
        <w:t>g</w:t>
      </w:r>
      <w:r w:rsidRPr="007C17A7">
        <w:rPr>
          <w:rFonts w:ascii="Calibri" w:eastAsia="Times New Roman" w:hAnsi="Calibri" w:cs="Calibri"/>
          <w:bCs/>
          <w:sz w:val="24"/>
          <w:szCs w:val="24"/>
        </w:rPr>
        <w:t xml:space="preserve">lobal and </w:t>
      </w:r>
      <w:r w:rsidR="00EB359C" w:rsidRPr="007C17A7">
        <w:rPr>
          <w:rFonts w:ascii="Calibri" w:eastAsia="Times New Roman" w:hAnsi="Calibri" w:cs="Calibri"/>
          <w:bCs/>
          <w:sz w:val="24"/>
          <w:szCs w:val="24"/>
        </w:rPr>
        <w:t>r</w:t>
      </w:r>
      <w:r w:rsidRPr="007C17A7">
        <w:rPr>
          <w:rFonts w:ascii="Calibri" w:eastAsia="Times New Roman" w:hAnsi="Calibri" w:cs="Calibri"/>
          <w:bCs/>
          <w:sz w:val="24"/>
          <w:szCs w:val="24"/>
        </w:rPr>
        <w:t>egional targets. The program is designed to cover:</w:t>
      </w:r>
    </w:p>
    <w:p w:rsidR="002D644C" w:rsidRPr="007C17A7" w:rsidRDefault="002D644C" w:rsidP="00EA39DE">
      <w:pPr>
        <w:pStyle w:val="ListParagraph"/>
        <w:numPr>
          <w:ilvl w:val="0"/>
          <w:numId w:val="15"/>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for routine immunization</w:t>
      </w:r>
    </w:p>
    <w:p w:rsidR="002D644C" w:rsidRPr="007C17A7" w:rsidRDefault="002D644C" w:rsidP="00EA39DE">
      <w:pPr>
        <w:pStyle w:val="ListParagraph"/>
        <w:numPr>
          <w:ilvl w:val="0"/>
          <w:numId w:val="15"/>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serums and immunoglobulin for infectious disease prevention and treatment (yellow fever, rabies, tetanus, botulism, venom viper, malaria)</w:t>
      </w:r>
    </w:p>
    <w:p w:rsidR="002D644C" w:rsidRPr="007C17A7" w:rsidRDefault="002D644C" w:rsidP="00EA39DE">
      <w:pPr>
        <w:pStyle w:val="ListParagraph"/>
        <w:numPr>
          <w:ilvl w:val="0"/>
          <w:numId w:val="15"/>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Receipt, storage and distribution of </w:t>
      </w:r>
      <w:r w:rsidR="00EB359C" w:rsidRPr="007C17A7">
        <w:rPr>
          <w:rFonts w:ascii="Calibri" w:eastAsia="Times New Roman" w:hAnsi="Calibri" w:cs="Calibri"/>
          <w:bCs/>
          <w:sz w:val="24"/>
          <w:szCs w:val="24"/>
        </w:rPr>
        <w:t>i</w:t>
      </w:r>
      <w:r w:rsidRPr="007C17A7">
        <w:rPr>
          <w:rFonts w:ascii="Calibri" w:eastAsia="Times New Roman" w:hAnsi="Calibri" w:cs="Calibri"/>
          <w:bCs/>
          <w:sz w:val="24"/>
          <w:szCs w:val="24"/>
        </w:rPr>
        <w:t xml:space="preserve">mmunization supplies, monitoring the needs of the cold chain system. </w:t>
      </w:r>
    </w:p>
    <w:p w:rsidR="00F56480" w:rsidRDefault="00F56480"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Immunization is one of the highest Public Health priorities for </w:t>
      </w:r>
      <w:r w:rsidR="00EB359C" w:rsidRPr="007C17A7">
        <w:rPr>
          <w:rFonts w:ascii="Calibri" w:eastAsia="Times New Roman" w:hAnsi="Calibri" w:cs="Calibri"/>
          <w:bCs/>
          <w:sz w:val="24"/>
          <w:szCs w:val="24"/>
        </w:rPr>
        <w:t xml:space="preserve">the </w:t>
      </w:r>
      <w:r w:rsidRPr="007C17A7">
        <w:rPr>
          <w:rFonts w:ascii="Calibri" w:eastAsia="Times New Roman" w:hAnsi="Calibri" w:cs="Calibri"/>
          <w:bCs/>
          <w:sz w:val="24"/>
          <w:szCs w:val="24"/>
        </w:rPr>
        <w:t>Government of Georgia</w:t>
      </w:r>
      <w:r w:rsidR="002D644C" w:rsidRPr="007C17A7">
        <w:rPr>
          <w:rFonts w:ascii="Calibri" w:eastAsia="Times New Roman" w:hAnsi="Calibri" w:cs="Calibri"/>
          <w:bCs/>
          <w:sz w:val="24"/>
          <w:szCs w:val="24"/>
          <w:lang w:val="ka-GE"/>
        </w:rPr>
        <w:t xml:space="preserve">, </w:t>
      </w:r>
      <w:r w:rsidR="002D644C" w:rsidRPr="007C17A7">
        <w:rPr>
          <w:rFonts w:ascii="Calibri" w:eastAsia="Times New Roman" w:hAnsi="Calibri" w:cs="Calibri"/>
          <w:bCs/>
          <w:sz w:val="24"/>
          <w:szCs w:val="24"/>
        </w:rPr>
        <w:t xml:space="preserve">the clear confirmation of which is that </w:t>
      </w:r>
      <w:r w:rsidRPr="007C17A7">
        <w:rPr>
          <w:rFonts w:ascii="Calibri" w:eastAsia="Times New Roman" w:hAnsi="Calibri" w:cs="Calibri"/>
          <w:bCs/>
          <w:sz w:val="24"/>
          <w:szCs w:val="24"/>
        </w:rPr>
        <w:t>funding of the program significant</w:t>
      </w:r>
      <w:r w:rsidR="002D644C" w:rsidRPr="007C17A7">
        <w:rPr>
          <w:rFonts w:ascii="Calibri" w:eastAsia="Times New Roman" w:hAnsi="Calibri" w:cs="Calibri"/>
          <w:bCs/>
          <w:sz w:val="24"/>
          <w:szCs w:val="24"/>
        </w:rPr>
        <w:t xml:space="preserve">ly increased </w:t>
      </w:r>
      <w:r w:rsidR="00EB359C" w:rsidRPr="007C17A7">
        <w:rPr>
          <w:rFonts w:ascii="Calibri" w:eastAsia="Times New Roman" w:hAnsi="Calibri" w:cs="Calibri"/>
          <w:bCs/>
          <w:sz w:val="24"/>
          <w:szCs w:val="24"/>
        </w:rPr>
        <w:t xml:space="preserve">past years from </w:t>
      </w:r>
      <w:r w:rsidR="002D644C" w:rsidRPr="007C17A7">
        <w:rPr>
          <w:rFonts w:ascii="Calibri" w:eastAsia="Times New Roman" w:hAnsi="Calibri" w:cs="Calibri"/>
          <w:bCs/>
          <w:sz w:val="24"/>
          <w:szCs w:val="24"/>
        </w:rPr>
        <w:t xml:space="preserve">4 </w:t>
      </w:r>
      <w:proofErr w:type="spellStart"/>
      <w:r w:rsidR="002D644C" w:rsidRPr="007C17A7">
        <w:rPr>
          <w:rFonts w:ascii="Calibri" w:eastAsia="Times New Roman" w:hAnsi="Calibri" w:cs="Calibri"/>
          <w:bCs/>
          <w:sz w:val="24"/>
          <w:szCs w:val="24"/>
        </w:rPr>
        <w:t>mln</w:t>
      </w:r>
      <w:proofErr w:type="spellEnd"/>
      <w:r w:rsidRPr="007C17A7">
        <w:rPr>
          <w:rFonts w:ascii="Calibri" w:eastAsia="Times New Roman" w:hAnsi="Calibri" w:cs="Calibri"/>
          <w:bCs/>
          <w:sz w:val="24"/>
          <w:szCs w:val="24"/>
        </w:rPr>
        <w:t xml:space="preserve"> GEL </w:t>
      </w:r>
      <w:r w:rsidR="00EB359C" w:rsidRPr="007C17A7">
        <w:rPr>
          <w:rFonts w:ascii="Calibri" w:eastAsia="Times New Roman" w:hAnsi="Calibri" w:cs="Calibri"/>
          <w:bCs/>
          <w:sz w:val="24"/>
          <w:szCs w:val="24"/>
        </w:rPr>
        <w:t xml:space="preserve">in 2012 </w:t>
      </w:r>
      <w:r w:rsidRPr="007C17A7">
        <w:rPr>
          <w:rFonts w:ascii="Calibri" w:eastAsia="Times New Roman" w:hAnsi="Calibri" w:cs="Calibri"/>
          <w:bCs/>
          <w:sz w:val="24"/>
          <w:szCs w:val="24"/>
        </w:rPr>
        <w:t xml:space="preserve">to 16.253 </w:t>
      </w:r>
      <w:proofErr w:type="spellStart"/>
      <w:r w:rsidR="002D644C" w:rsidRPr="007C17A7">
        <w:rPr>
          <w:rFonts w:ascii="Calibri" w:eastAsia="Times New Roman" w:hAnsi="Calibri" w:cs="Calibri"/>
          <w:bCs/>
          <w:sz w:val="24"/>
          <w:szCs w:val="24"/>
        </w:rPr>
        <w:t>mln</w:t>
      </w:r>
      <w:proofErr w:type="spellEnd"/>
      <w:r w:rsidRPr="007C17A7">
        <w:rPr>
          <w:rFonts w:ascii="Calibri" w:eastAsia="Times New Roman" w:hAnsi="Calibri" w:cs="Calibri"/>
          <w:bCs/>
          <w:sz w:val="24"/>
          <w:szCs w:val="24"/>
        </w:rPr>
        <w:t xml:space="preserve"> GEL in 2017. </w:t>
      </w:r>
    </w:p>
    <w:p w:rsidR="007C17A7" w:rsidRPr="007C17A7" w:rsidRDefault="007C17A7" w:rsidP="00EA39DE">
      <w:pPr>
        <w:spacing w:after="120" w:line="240" w:lineRule="auto"/>
        <w:jc w:val="both"/>
        <w:rPr>
          <w:rFonts w:ascii="Calibri" w:eastAsia="Times New Roman" w:hAnsi="Calibri" w:cs="Calibri"/>
          <w:bCs/>
          <w:sz w:val="24"/>
          <w:szCs w:val="24"/>
        </w:rPr>
      </w:pPr>
    </w:p>
    <w:p w:rsidR="0055575F" w:rsidRPr="00BE7D66" w:rsidRDefault="00B10E0A" w:rsidP="00EA39DE">
      <w:pPr>
        <w:spacing w:before="240" w:after="120" w:line="240" w:lineRule="auto"/>
        <w:jc w:val="both"/>
        <w:rPr>
          <w:rFonts w:ascii="Calibri" w:eastAsia="Times New Roman" w:hAnsi="Calibri" w:cs="Calibri"/>
          <w:b/>
          <w:bCs/>
          <w:i/>
          <w:color w:val="365F91" w:themeColor="accent1" w:themeShade="BF"/>
          <w:sz w:val="24"/>
          <w:szCs w:val="24"/>
        </w:rPr>
      </w:pPr>
      <w:r w:rsidRPr="00BE7D66">
        <w:rPr>
          <w:rFonts w:ascii="Calibri" w:eastAsia="Times New Roman" w:hAnsi="Calibri" w:cs="Calibri"/>
          <w:b/>
          <w:bCs/>
          <w:i/>
          <w:color w:val="365F91" w:themeColor="accent1" w:themeShade="BF"/>
          <w:sz w:val="24"/>
          <w:szCs w:val="24"/>
        </w:rPr>
        <w:t xml:space="preserve">Figure </w:t>
      </w:r>
      <w:r w:rsidR="00950D3D">
        <w:rPr>
          <w:rFonts w:ascii="Calibri" w:eastAsia="Times New Roman" w:hAnsi="Calibri" w:cs="Calibri"/>
          <w:b/>
          <w:bCs/>
          <w:i/>
          <w:color w:val="365F91" w:themeColor="accent1" w:themeShade="BF"/>
          <w:sz w:val="24"/>
          <w:szCs w:val="24"/>
        </w:rPr>
        <w:t>1</w:t>
      </w:r>
      <w:r w:rsidRPr="00BE7D66">
        <w:rPr>
          <w:rFonts w:ascii="Calibri" w:eastAsia="Times New Roman" w:hAnsi="Calibri" w:cs="Calibri"/>
          <w:b/>
          <w:bCs/>
          <w:i/>
          <w:color w:val="365F91" w:themeColor="accent1" w:themeShade="BF"/>
          <w:sz w:val="24"/>
          <w:szCs w:val="24"/>
        </w:rPr>
        <w:t>:</w:t>
      </w:r>
      <w:r w:rsidR="00F16A69" w:rsidRPr="00BE7D66">
        <w:rPr>
          <w:rFonts w:ascii="Calibri" w:eastAsia="Times New Roman" w:hAnsi="Calibri" w:cs="Calibri"/>
          <w:b/>
          <w:bCs/>
          <w:i/>
          <w:color w:val="365F91" w:themeColor="accent1" w:themeShade="BF"/>
          <w:sz w:val="24"/>
          <w:szCs w:val="24"/>
        </w:rPr>
        <w:t xml:space="preserve"> </w:t>
      </w:r>
      <w:r w:rsidR="0055575F" w:rsidRPr="00BE7D66">
        <w:rPr>
          <w:rFonts w:ascii="Calibri" w:eastAsia="Times New Roman" w:hAnsi="Calibri" w:cs="Calibri"/>
          <w:b/>
          <w:bCs/>
          <w:i/>
          <w:color w:val="365F91" w:themeColor="accent1" w:themeShade="BF"/>
          <w:sz w:val="24"/>
          <w:szCs w:val="24"/>
        </w:rPr>
        <w:t>Immunization Program Budget (2012-2017, in GEL)</w:t>
      </w:r>
    </w:p>
    <w:p w:rsidR="0055575F" w:rsidRPr="007C17A7" w:rsidRDefault="0055575F"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noProof/>
          <w:sz w:val="24"/>
          <w:szCs w:val="24"/>
        </w:rPr>
        <w:drawing>
          <wp:inline distT="0" distB="0" distL="0" distR="0" wp14:anchorId="430DDB7C" wp14:editId="05A9EE61">
            <wp:extent cx="6829425" cy="226695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39F4" w:rsidRPr="007C17A7" w:rsidRDefault="004039F4" w:rsidP="00EA39DE">
      <w:pPr>
        <w:spacing w:after="120" w:line="240" w:lineRule="auto"/>
        <w:jc w:val="both"/>
        <w:rPr>
          <w:rFonts w:ascii="Calibri" w:eastAsia="Times New Roman" w:hAnsi="Calibri" w:cs="Calibri"/>
          <w:bCs/>
          <w:sz w:val="24"/>
          <w:szCs w:val="24"/>
        </w:rPr>
        <w:sectPr w:rsidR="004039F4" w:rsidRPr="007C17A7" w:rsidSect="0074442B">
          <w:pgSz w:w="12240" w:h="15840"/>
          <w:pgMar w:top="709" w:right="850" w:bottom="284" w:left="851" w:header="720" w:footer="720" w:gutter="0"/>
          <w:cols w:space="720"/>
          <w:docGrid w:linePitch="360"/>
        </w:sectPr>
      </w:pPr>
    </w:p>
    <w:p w:rsidR="006433AD" w:rsidRPr="007C17A7" w:rsidRDefault="006433AD" w:rsidP="00EA39DE">
      <w:pPr>
        <w:spacing w:after="120" w:line="240" w:lineRule="auto"/>
        <w:jc w:val="both"/>
        <w:rPr>
          <w:rFonts w:ascii="Calibri" w:eastAsia="Times New Roman" w:hAnsi="Calibri" w:cs="Calibri"/>
          <w:bCs/>
          <w:sz w:val="24"/>
          <w:szCs w:val="24"/>
        </w:rPr>
      </w:pPr>
    </w:p>
    <w:p w:rsidR="007C17A7" w:rsidRDefault="007C17A7" w:rsidP="00EA39DE">
      <w:pPr>
        <w:spacing w:after="120" w:line="240" w:lineRule="auto"/>
        <w:jc w:val="both"/>
        <w:rPr>
          <w:rFonts w:ascii="Calibri" w:eastAsia="Times New Roman" w:hAnsi="Calibri" w:cs="Calibri"/>
          <w:bCs/>
          <w:sz w:val="24"/>
          <w:szCs w:val="24"/>
        </w:rPr>
        <w:sectPr w:rsidR="007C17A7" w:rsidSect="0074442B">
          <w:type w:val="continuous"/>
          <w:pgSz w:w="12240" w:h="15840"/>
          <w:pgMar w:top="709" w:right="850" w:bottom="284" w:left="851" w:header="720" w:footer="720" w:gutter="0"/>
          <w:cols w:num="2" w:space="720"/>
          <w:docGrid w:linePitch="360"/>
        </w:sectPr>
      </w:pPr>
    </w:p>
    <w:p w:rsidR="0074442B" w:rsidRPr="007C17A7" w:rsidRDefault="00FB7915"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Order of the Minister of </w:t>
      </w:r>
      <w:proofErr w:type="spellStart"/>
      <w:r w:rsidRPr="007C17A7">
        <w:rPr>
          <w:rFonts w:ascii="Calibri" w:eastAsia="Times New Roman" w:hAnsi="Calibri" w:cs="Calibri"/>
          <w:bCs/>
          <w:sz w:val="24"/>
          <w:szCs w:val="24"/>
        </w:rPr>
        <w:t>Labour</w:t>
      </w:r>
      <w:proofErr w:type="spellEnd"/>
      <w:r w:rsidRPr="007C17A7">
        <w:rPr>
          <w:rFonts w:ascii="Calibri" w:eastAsia="Times New Roman" w:hAnsi="Calibri" w:cs="Calibri"/>
          <w:bCs/>
          <w:sz w:val="24"/>
          <w:szCs w:val="24"/>
        </w:rPr>
        <w:t>, Health and Social Affairs of Georgia #01-57/n of 19.11.2015 is a core document providing details on safe immunization practices, recommendations and reporting and recording systems.</w:t>
      </w:r>
    </w:p>
    <w:p w:rsidR="007C17A7" w:rsidRDefault="00B10E0A"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Current state</w:t>
      </w:r>
      <w:r w:rsidR="002D644C" w:rsidRPr="007C17A7">
        <w:rPr>
          <w:rFonts w:ascii="Calibri" w:eastAsia="Times New Roman" w:hAnsi="Calibri" w:cs="Calibri"/>
          <w:bCs/>
          <w:sz w:val="24"/>
          <w:szCs w:val="24"/>
        </w:rPr>
        <w:t xml:space="preserve"> </w:t>
      </w:r>
      <w:r w:rsidRPr="007C17A7">
        <w:rPr>
          <w:rFonts w:ascii="Calibri" w:eastAsia="Times New Roman" w:hAnsi="Calibri" w:cs="Calibri"/>
          <w:bCs/>
          <w:sz w:val="24"/>
          <w:szCs w:val="24"/>
        </w:rPr>
        <w:t>i</w:t>
      </w:r>
      <w:r w:rsidR="002D644C" w:rsidRPr="007C17A7">
        <w:rPr>
          <w:rFonts w:ascii="Calibri" w:eastAsia="Times New Roman" w:hAnsi="Calibri" w:cs="Calibri"/>
          <w:bCs/>
          <w:sz w:val="24"/>
          <w:szCs w:val="24"/>
        </w:rPr>
        <w:t xml:space="preserve">mmunization </w:t>
      </w:r>
      <w:r w:rsidRPr="007C17A7">
        <w:rPr>
          <w:rFonts w:ascii="Calibri" w:eastAsia="Times New Roman" w:hAnsi="Calibri" w:cs="Calibri"/>
          <w:bCs/>
          <w:sz w:val="24"/>
          <w:szCs w:val="24"/>
        </w:rPr>
        <w:t xml:space="preserve">calendar </w:t>
      </w:r>
      <w:r w:rsidR="002D644C" w:rsidRPr="007C17A7">
        <w:rPr>
          <w:rFonts w:ascii="Calibri" w:eastAsia="Times New Roman" w:hAnsi="Calibri" w:cs="Calibri"/>
          <w:bCs/>
          <w:sz w:val="24"/>
          <w:szCs w:val="24"/>
        </w:rPr>
        <w:t xml:space="preserve">covers vaccination </w:t>
      </w:r>
      <w:r w:rsidR="002D644C" w:rsidRPr="007C17A7">
        <w:rPr>
          <w:rFonts w:ascii="Calibri" w:eastAsia="Times New Roman" w:hAnsi="Calibri" w:cs="Calibri"/>
          <w:b/>
          <w:bCs/>
          <w:sz w:val="24"/>
          <w:szCs w:val="24"/>
        </w:rPr>
        <w:t>against</w:t>
      </w:r>
      <w:r w:rsidR="002D644C" w:rsidRPr="007C17A7">
        <w:rPr>
          <w:rFonts w:ascii="Calibri" w:eastAsia="Times New Roman" w:hAnsi="Calibri" w:cs="Calibri"/>
          <w:bCs/>
          <w:sz w:val="24"/>
          <w:szCs w:val="24"/>
        </w:rPr>
        <w:t xml:space="preserve"> </w:t>
      </w:r>
      <w:r w:rsidR="002D644C" w:rsidRPr="007C17A7">
        <w:rPr>
          <w:rFonts w:ascii="Calibri" w:eastAsia="Times New Roman" w:hAnsi="Calibri" w:cs="Calibri"/>
          <w:b/>
          <w:bCs/>
          <w:sz w:val="24"/>
          <w:szCs w:val="24"/>
        </w:rPr>
        <w:t>12 infectious diseases</w:t>
      </w:r>
      <w:r w:rsidR="002D644C" w:rsidRPr="007C17A7">
        <w:rPr>
          <w:rFonts w:ascii="Calibri" w:eastAsia="Times New Roman" w:hAnsi="Calibri" w:cs="Calibri"/>
          <w:bCs/>
          <w:sz w:val="24"/>
          <w:szCs w:val="24"/>
        </w:rPr>
        <w:t xml:space="preserve">: </w:t>
      </w:r>
      <w:r w:rsidR="007C17A7" w:rsidRPr="007C17A7">
        <w:rPr>
          <w:rFonts w:ascii="Calibri" w:eastAsia="Times New Roman" w:hAnsi="Calibri" w:cs="Calibri"/>
          <w:bCs/>
          <w:sz w:val="24"/>
          <w:szCs w:val="24"/>
        </w:rPr>
        <w:t xml:space="preserve">Tuberculosis, Hepatitis B, Diphtheria, Pertussis, Tetanus, Poliomyelitis, Measles, Mumps, Rubella, Hib, Rota, and Pneumococcal. </w:t>
      </w:r>
    </w:p>
    <w:p w:rsidR="00EA39DE" w:rsidRDefault="00EA39DE" w:rsidP="00EA39DE">
      <w:pPr>
        <w:spacing w:after="0" w:line="240" w:lineRule="auto"/>
        <w:jc w:val="both"/>
        <w:rPr>
          <w:rFonts w:ascii="Calibri" w:eastAsia="Times New Roman" w:hAnsi="Calibri" w:cs="Calibri"/>
          <w:b/>
          <w:bCs/>
          <w:i/>
          <w:sz w:val="24"/>
          <w:szCs w:val="24"/>
        </w:rPr>
        <w:sectPr w:rsidR="00EA39DE" w:rsidSect="00EA39DE">
          <w:type w:val="continuous"/>
          <w:pgSz w:w="12240" w:h="15840"/>
          <w:pgMar w:top="709" w:right="850" w:bottom="284" w:left="851" w:header="720" w:footer="720" w:gutter="0"/>
          <w:cols w:space="720"/>
          <w:docGrid w:linePitch="360"/>
        </w:sectPr>
      </w:pPr>
    </w:p>
    <w:p w:rsidR="00B0321E" w:rsidRDefault="00B0321E" w:rsidP="00EA39DE">
      <w:pPr>
        <w:spacing w:after="0" w:line="240" w:lineRule="auto"/>
        <w:jc w:val="both"/>
        <w:rPr>
          <w:rFonts w:ascii="Calibri" w:eastAsia="Times New Roman" w:hAnsi="Calibri" w:cs="Calibri"/>
          <w:b/>
          <w:bCs/>
          <w:i/>
          <w:sz w:val="24"/>
          <w:szCs w:val="24"/>
        </w:rPr>
      </w:pPr>
    </w:p>
    <w:p w:rsidR="0074442B" w:rsidRDefault="0074442B" w:rsidP="00EA39DE">
      <w:pPr>
        <w:spacing w:after="0" w:line="240" w:lineRule="auto"/>
        <w:jc w:val="both"/>
        <w:rPr>
          <w:rFonts w:ascii="Calibri" w:eastAsia="Times New Roman" w:hAnsi="Calibri" w:cs="Calibri"/>
          <w:b/>
          <w:bCs/>
          <w:i/>
          <w:sz w:val="24"/>
          <w:szCs w:val="24"/>
        </w:rPr>
      </w:pPr>
    </w:p>
    <w:p w:rsidR="00EA39DE" w:rsidRDefault="00EA39DE" w:rsidP="00EA39DE">
      <w:pPr>
        <w:spacing w:after="0" w:line="240" w:lineRule="auto"/>
        <w:jc w:val="both"/>
        <w:rPr>
          <w:rFonts w:ascii="Calibri" w:eastAsia="Times New Roman" w:hAnsi="Calibri" w:cs="Calibri"/>
          <w:b/>
          <w:bCs/>
          <w:i/>
          <w:color w:val="365F91" w:themeColor="accent1" w:themeShade="BF"/>
          <w:sz w:val="24"/>
          <w:szCs w:val="24"/>
        </w:rPr>
      </w:pPr>
    </w:p>
    <w:p w:rsidR="00EA39DE" w:rsidRDefault="00EA39DE" w:rsidP="00EA39DE">
      <w:pPr>
        <w:spacing w:after="0" w:line="240" w:lineRule="auto"/>
        <w:jc w:val="both"/>
        <w:rPr>
          <w:rFonts w:ascii="Calibri" w:eastAsia="Times New Roman" w:hAnsi="Calibri" w:cs="Calibri"/>
          <w:b/>
          <w:bCs/>
          <w:i/>
          <w:color w:val="365F91" w:themeColor="accent1" w:themeShade="BF"/>
          <w:sz w:val="24"/>
          <w:szCs w:val="24"/>
        </w:rPr>
      </w:pPr>
    </w:p>
    <w:p w:rsidR="00EA39DE" w:rsidRDefault="00EA39DE" w:rsidP="00EA39DE">
      <w:pPr>
        <w:spacing w:after="0" w:line="240" w:lineRule="auto"/>
        <w:jc w:val="both"/>
        <w:rPr>
          <w:rFonts w:ascii="Calibri" w:eastAsia="Times New Roman" w:hAnsi="Calibri" w:cs="Calibri"/>
          <w:b/>
          <w:bCs/>
          <w:i/>
          <w:color w:val="365F91" w:themeColor="accent1" w:themeShade="BF"/>
          <w:sz w:val="24"/>
          <w:szCs w:val="24"/>
        </w:rPr>
      </w:pPr>
    </w:p>
    <w:p w:rsidR="00312CF3" w:rsidRDefault="00312CF3" w:rsidP="00EA39DE">
      <w:pPr>
        <w:spacing w:after="0" w:line="240" w:lineRule="auto"/>
        <w:jc w:val="both"/>
        <w:rPr>
          <w:rFonts w:ascii="Calibri" w:eastAsia="Times New Roman" w:hAnsi="Calibri" w:cs="Calibri"/>
          <w:b/>
          <w:bCs/>
          <w:i/>
          <w:color w:val="365F91" w:themeColor="accent1" w:themeShade="BF"/>
          <w:sz w:val="24"/>
          <w:szCs w:val="24"/>
        </w:rPr>
      </w:pPr>
      <w:r w:rsidRPr="00950D3D">
        <w:rPr>
          <w:rFonts w:ascii="Calibri" w:eastAsia="Times New Roman" w:hAnsi="Calibri" w:cs="Calibri"/>
          <w:b/>
          <w:bCs/>
          <w:i/>
          <w:color w:val="365F91" w:themeColor="accent1" w:themeShade="BF"/>
          <w:sz w:val="24"/>
          <w:szCs w:val="24"/>
        </w:rPr>
        <w:t>Figure 2: Immunization Calendar 2017</w:t>
      </w:r>
    </w:p>
    <w:p w:rsidR="00312CF3" w:rsidRPr="007C17A7" w:rsidRDefault="00312CF3" w:rsidP="00EA39DE">
      <w:pPr>
        <w:spacing w:after="0" w:line="240" w:lineRule="auto"/>
        <w:jc w:val="both"/>
        <w:rPr>
          <w:rFonts w:ascii="Calibri" w:eastAsia="Times New Roman" w:hAnsi="Calibri" w:cs="Calibri"/>
          <w:b/>
          <w:bCs/>
          <w:i/>
          <w:sz w:val="24"/>
          <w:szCs w:val="24"/>
        </w:rPr>
      </w:pPr>
    </w:p>
    <w:p w:rsidR="00312CF3" w:rsidRDefault="00312CF3" w:rsidP="00EA39DE">
      <w:pPr>
        <w:spacing w:after="0" w:line="240" w:lineRule="auto"/>
        <w:jc w:val="both"/>
        <w:rPr>
          <w:rFonts w:ascii="Calibri" w:eastAsia="Times New Roman" w:hAnsi="Calibri" w:cs="Calibri"/>
          <w:b/>
          <w:bCs/>
          <w:sz w:val="24"/>
          <w:szCs w:val="24"/>
          <w:lang w:val="tr-TR"/>
        </w:rPr>
        <w:sectPr w:rsidR="00312CF3" w:rsidSect="0074442B">
          <w:type w:val="continuous"/>
          <w:pgSz w:w="12240" w:h="15840"/>
          <w:pgMar w:top="709" w:right="850" w:bottom="284" w:left="851" w:header="720" w:footer="720" w:gutter="0"/>
          <w:cols w:num="2" w:space="720"/>
          <w:docGrid w:linePitch="360"/>
        </w:sectPr>
      </w:pPr>
    </w:p>
    <w:tbl>
      <w:tblPr>
        <w:tblW w:w="6353" w:type="dxa"/>
        <w:tblLayout w:type="fixed"/>
        <w:tblCellMar>
          <w:left w:w="0" w:type="dxa"/>
          <w:right w:w="0" w:type="dxa"/>
        </w:tblCellMar>
        <w:tblLook w:val="04A0" w:firstRow="1" w:lastRow="0" w:firstColumn="1" w:lastColumn="0" w:noHBand="0" w:noVBand="1"/>
      </w:tblPr>
      <w:tblGrid>
        <w:gridCol w:w="2112"/>
        <w:gridCol w:w="706"/>
        <w:gridCol w:w="3535"/>
      </w:tblGrid>
      <w:tr w:rsidR="00BE7D66" w:rsidRPr="00312CF3" w:rsidTr="007E4B9C">
        <w:trPr>
          <w:trHeight w:val="157"/>
        </w:trPr>
        <w:tc>
          <w:tcPr>
            <w:tcW w:w="211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
                <w:bCs/>
                <w:lang w:val="tr-TR"/>
              </w:rPr>
              <w:t>Vaccine</w:t>
            </w:r>
            <w:r w:rsidRPr="00312CF3">
              <w:rPr>
                <w:rFonts w:ascii="Calibri" w:eastAsia="Times New Roman" w:hAnsi="Calibri" w:cs="Calibri"/>
                <w:b/>
                <w:bCs/>
              </w:rPr>
              <w:t>s</w:t>
            </w:r>
            <w:r w:rsidRPr="00312CF3">
              <w:rPr>
                <w:rFonts w:ascii="Calibri" w:eastAsia="Times New Roman" w:hAnsi="Calibri" w:cs="Calibri"/>
                <w:b/>
                <w:bCs/>
                <w:lang w:val="en-GB"/>
              </w:rPr>
              <w:t xml:space="preserve"> </w:t>
            </w:r>
          </w:p>
        </w:tc>
        <w:tc>
          <w:tcPr>
            <w:tcW w:w="70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
                <w:bCs/>
                <w:lang w:val="en-GB"/>
              </w:rPr>
              <w:t xml:space="preserve"># of doses </w:t>
            </w:r>
          </w:p>
        </w:tc>
        <w:tc>
          <w:tcPr>
            <w:tcW w:w="353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
                <w:bCs/>
                <w:lang w:val="tr-TR"/>
              </w:rPr>
              <w:t>Timing</w:t>
            </w:r>
            <w:r w:rsidRPr="00312CF3">
              <w:rPr>
                <w:rFonts w:ascii="Calibri" w:eastAsia="Times New Roman" w:hAnsi="Calibri" w:cs="Calibri"/>
                <w:b/>
                <w:bCs/>
                <w:lang w:val="en-GB"/>
              </w:rPr>
              <w:t xml:space="preserve"> </w:t>
            </w:r>
          </w:p>
        </w:tc>
      </w:tr>
      <w:tr w:rsidR="00BE7D66" w:rsidRPr="00312CF3" w:rsidTr="007E4B9C">
        <w:trPr>
          <w:trHeight w:val="125"/>
        </w:trPr>
        <w:tc>
          <w:tcPr>
            <w:tcW w:w="211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BCG</w:t>
            </w:r>
          </w:p>
        </w:tc>
        <w:tc>
          <w:tcPr>
            <w:tcW w:w="70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1</w:t>
            </w:r>
          </w:p>
        </w:tc>
        <w:tc>
          <w:tcPr>
            <w:tcW w:w="353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rPr>
              <w:t xml:space="preserve">Newborns </w:t>
            </w:r>
            <w:r w:rsidRPr="00312CF3">
              <w:rPr>
                <w:rFonts w:ascii="Calibri" w:eastAsia="Times New Roman" w:hAnsi="Calibri" w:cs="Calibri"/>
                <w:bCs/>
                <w:lang w:val="ru-RU"/>
              </w:rPr>
              <w:t>0-</w:t>
            </w:r>
            <w:r w:rsidRPr="00312CF3">
              <w:rPr>
                <w:rFonts w:ascii="Calibri" w:eastAsia="Times New Roman" w:hAnsi="Calibri" w:cs="Calibri"/>
                <w:bCs/>
                <w:lang w:val="ka-GE"/>
              </w:rPr>
              <w:t>5</w:t>
            </w:r>
            <w:r w:rsidRPr="00312CF3">
              <w:rPr>
                <w:rFonts w:ascii="Calibri" w:eastAsia="Times New Roman" w:hAnsi="Calibri" w:cs="Calibri"/>
                <w:bCs/>
                <w:lang w:val="ru-RU"/>
              </w:rPr>
              <w:t xml:space="preserve"> </w:t>
            </w:r>
            <w:r w:rsidRPr="00312CF3">
              <w:rPr>
                <w:rFonts w:ascii="Calibri" w:eastAsia="Times New Roman" w:hAnsi="Calibri" w:cs="Calibri"/>
                <w:bCs/>
              </w:rPr>
              <w:t>days</w:t>
            </w:r>
          </w:p>
        </w:tc>
      </w:tr>
      <w:tr w:rsidR="00BE7D66" w:rsidRPr="00312CF3" w:rsidTr="007E4B9C">
        <w:trPr>
          <w:trHeight w:val="137"/>
        </w:trPr>
        <w:tc>
          <w:tcPr>
            <w:tcW w:w="21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HepB</w:t>
            </w:r>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1</w:t>
            </w:r>
          </w:p>
        </w:tc>
        <w:tc>
          <w:tcPr>
            <w:tcW w:w="35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 xml:space="preserve">0-12 </w:t>
            </w:r>
            <w:r w:rsidRPr="00312CF3">
              <w:rPr>
                <w:rFonts w:ascii="Calibri" w:eastAsia="Times New Roman" w:hAnsi="Calibri" w:cs="Calibri"/>
                <w:bCs/>
              </w:rPr>
              <w:t xml:space="preserve">hours from birth </w:t>
            </w:r>
          </w:p>
        </w:tc>
      </w:tr>
      <w:tr w:rsidR="00BE7D66" w:rsidRPr="00312CF3" w:rsidTr="007E4B9C">
        <w:trPr>
          <w:trHeight w:val="51"/>
        </w:trPr>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Hib+</w:t>
            </w:r>
            <w:proofErr w:type="spellStart"/>
            <w:r w:rsidRPr="00312CF3">
              <w:rPr>
                <w:rFonts w:ascii="Calibri" w:eastAsia="Times New Roman" w:hAnsi="Calibri" w:cs="Calibri"/>
                <w:bCs/>
              </w:rPr>
              <w:t>DPaT+HepB+IPV</w:t>
            </w:r>
            <w:proofErr w:type="spellEnd"/>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rPr>
              <w:t>3</w:t>
            </w:r>
          </w:p>
        </w:tc>
        <w:tc>
          <w:tcPr>
            <w:tcW w:w="35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2</w:t>
            </w:r>
            <w:r w:rsidRPr="00312CF3">
              <w:rPr>
                <w:rFonts w:ascii="Calibri" w:eastAsia="Times New Roman" w:hAnsi="Calibri" w:cs="Calibri"/>
                <w:bCs/>
              </w:rPr>
              <w:t xml:space="preserve">, </w:t>
            </w:r>
            <w:r w:rsidRPr="00312CF3">
              <w:rPr>
                <w:rFonts w:ascii="Calibri" w:eastAsia="Times New Roman" w:hAnsi="Calibri" w:cs="Calibri"/>
                <w:bCs/>
                <w:lang w:val="ru-RU"/>
              </w:rPr>
              <w:t>3</w:t>
            </w:r>
            <w:r w:rsidRPr="00312CF3">
              <w:rPr>
                <w:rFonts w:ascii="Calibri" w:eastAsia="Times New Roman" w:hAnsi="Calibri" w:cs="Calibri"/>
                <w:bCs/>
              </w:rPr>
              <w:t>,</w:t>
            </w:r>
            <w:r w:rsidRPr="00312CF3">
              <w:rPr>
                <w:rFonts w:ascii="Calibri" w:eastAsia="Times New Roman" w:hAnsi="Calibri" w:cs="Calibri"/>
                <w:bCs/>
                <w:lang w:val="ru-RU"/>
              </w:rPr>
              <w:t xml:space="preserve"> 4 </w:t>
            </w:r>
            <w:r w:rsidRPr="00312CF3">
              <w:rPr>
                <w:rFonts w:ascii="Calibri" w:eastAsia="Times New Roman" w:hAnsi="Calibri" w:cs="Calibri"/>
                <w:bCs/>
              </w:rPr>
              <w:t>months</w:t>
            </w:r>
            <w:r w:rsidRPr="00312CF3">
              <w:rPr>
                <w:rFonts w:ascii="Calibri" w:eastAsia="Times New Roman" w:hAnsi="Calibri" w:cs="Calibri"/>
                <w:b/>
                <w:bCs/>
                <w:lang w:val="ru-RU"/>
              </w:rPr>
              <w:t xml:space="preserve"> </w:t>
            </w:r>
          </w:p>
        </w:tc>
      </w:tr>
      <w:tr w:rsidR="00BE7D66" w:rsidRPr="00312CF3" w:rsidTr="007E4B9C">
        <w:trPr>
          <w:trHeight w:val="391"/>
        </w:trPr>
        <w:tc>
          <w:tcPr>
            <w:tcW w:w="21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Polio (</w:t>
            </w:r>
            <w:r w:rsidRPr="00312CF3">
              <w:rPr>
                <w:rFonts w:ascii="Calibri" w:eastAsia="Times New Roman" w:hAnsi="Calibri" w:cs="Calibri"/>
                <w:bCs/>
              </w:rPr>
              <w:t>b</w:t>
            </w:r>
            <w:r w:rsidRPr="00312CF3">
              <w:rPr>
                <w:rFonts w:ascii="Calibri" w:eastAsia="Times New Roman" w:hAnsi="Calibri" w:cs="Calibri"/>
                <w:bCs/>
                <w:lang w:val="tr-TR"/>
              </w:rPr>
              <w:t>OPV)</w:t>
            </w:r>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2</w:t>
            </w:r>
          </w:p>
        </w:tc>
        <w:tc>
          <w:tcPr>
            <w:tcW w:w="35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18</w:t>
            </w:r>
            <w:r w:rsidRPr="00312CF3">
              <w:rPr>
                <w:rFonts w:ascii="Calibri" w:eastAsia="Times New Roman" w:hAnsi="Calibri" w:cs="Calibri"/>
                <w:bCs/>
              </w:rPr>
              <w:t xml:space="preserve"> months,</w:t>
            </w:r>
            <w:r w:rsidRPr="00312CF3">
              <w:rPr>
                <w:rFonts w:ascii="Calibri" w:eastAsia="Times New Roman" w:hAnsi="Calibri" w:cs="Calibri"/>
                <w:bCs/>
                <w:lang w:val="ru-RU"/>
              </w:rPr>
              <w:t xml:space="preserve"> 5 </w:t>
            </w:r>
            <w:r w:rsidR="00BE7D66">
              <w:rPr>
                <w:rFonts w:ascii="Calibri" w:eastAsia="Times New Roman" w:hAnsi="Calibri" w:cs="Calibri"/>
                <w:bCs/>
              </w:rPr>
              <w:t>years</w:t>
            </w:r>
            <w:r w:rsidRPr="00312CF3">
              <w:rPr>
                <w:rFonts w:ascii="Calibri" w:eastAsia="Times New Roman" w:hAnsi="Calibri" w:cs="Calibri"/>
                <w:b/>
                <w:bCs/>
                <w:lang w:val="en-GB"/>
              </w:rPr>
              <w:t xml:space="preserve"> </w:t>
            </w:r>
          </w:p>
        </w:tc>
      </w:tr>
      <w:tr w:rsidR="00BE7D66" w:rsidRPr="00312CF3" w:rsidTr="007E4B9C">
        <w:trPr>
          <w:trHeight w:val="8"/>
        </w:trPr>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rPr>
              <w:t>DPT, DT, Td</w:t>
            </w:r>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3</w:t>
            </w:r>
          </w:p>
        </w:tc>
        <w:tc>
          <w:tcPr>
            <w:tcW w:w="35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18</w:t>
            </w:r>
            <w:r w:rsidRPr="00312CF3">
              <w:rPr>
                <w:rFonts w:ascii="Calibri" w:eastAsia="Times New Roman" w:hAnsi="Calibri" w:cs="Calibri"/>
                <w:bCs/>
              </w:rPr>
              <w:t xml:space="preserve"> m,</w:t>
            </w:r>
            <w:r w:rsidRPr="00312CF3">
              <w:rPr>
                <w:rFonts w:ascii="Calibri" w:eastAsia="Times New Roman" w:hAnsi="Calibri" w:cs="Calibri"/>
                <w:bCs/>
                <w:lang w:val="ru-RU"/>
              </w:rPr>
              <w:t xml:space="preserve"> 5 </w:t>
            </w:r>
            <w:r w:rsidRPr="00312CF3">
              <w:rPr>
                <w:rFonts w:ascii="Calibri" w:eastAsia="Times New Roman" w:hAnsi="Calibri" w:cs="Calibri"/>
                <w:bCs/>
              </w:rPr>
              <w:t>y,</w:t>
            </w:r>
            <w:r w:rsidRPr="00312CF3">
              <w:rPr>
                <w:rFonts w:ascii="Calibri" w:eastAsia="Times New Roman" w:hAnsi="Calibri" w:cs="Calibri"/>
                <w:bCs/>
                <w:lang w:val="ru-RU"/>
              </w:rPr>
              <w:t xml:space="preserve"> 14 </w:t>
            </w:r>
            <w:r w:rsidRPr="00312CF3">
              <w:rPr>
                <w:rFonts w:ascii="Calibri" w:eastAsia="Times New Roman" w:hAnsi="Calibri" w:cs="Calibri"/>
                <w:bCs/>
              </w:rPr>
              <w:t>y</w:t>
            </w:r>
            <w:r w:rsidRPr="00312CF3">
              <w:rPr>
                <w:rFonts w:ascii="Calibri" w:eastAsia="Times New Roman" w:hAnsi="Calibri" w:cs="Calibri"/>
                <w:b/>
                <w:bCs/>
                <w:lang w:val="en-GB"/>
              </w:rPr>
              <w:t xml:space="preserve"> </w:t>
            </w:r>
          </w:p>
        </w:tc>
      </w:tr>
      <w:tr w:rsidR="00BE7D66" w:rsidRPr="00312CF3" w:rsidTr="007E4B9C">
        <w:trPr>
          <w:trHeight w:val="51"/>
        </w:trPr>
        <w:tc>
          <w:tcPr>
            <w:tcW w:w="21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MMR</w:t>
            </w:r>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2</w:t>
            </w:r>
          </w:p>
        </w:tc>
        <w:tc>
          <w:tcPr>
            <w:tcW w:w="35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 xml:space="preserve">12 </w:t>
            </w:r>
            <w:r w:rsidRPr="00312CF3">
              <w:rPr>
                <w:rFonts w:ascii="Calibri" w:eastAsia="Times New Roman" w:hAnsi="Calibri" w:cs="Calibri"/>
                <w:bCs/>
              </w:rPr>
              <w:t xml:space="preserve"> m,</w:t>
            </w:r>
            <w:r w:rsidRPr="00312CF3">
              <w:rPr>
                <w:rFonts w:ascii="Calibri" w:eastAsia="Times New Roman" w:hAnsi="Calibri" w:cs="Calibri"/>
                <w:bCs/>
                <w:lang w:val="ru-RU"/>
              </w:rPr>
              <w:t xml:space="preserve">  5 </w:t>
            </w:r>
            <w:r w:rsidRPr="00312CF3">
              <w:rPr>
                <w:rFonts w:ascii="Calibri" w:eastAsia="Times New Roman" w:hAnsi="Calibri" w:cs="Calibri"/>
                <w:bCs/>
              </w:rPr>
              <w:t>y</w:t>
            </w:r>
            <w:r w:rsidRPr="00312CF3">
              <w:rPr>
                <w:rFonts w:ascii="Calibri" w:eastAsia="Times New Roman" w:hAnsi="Calibri" w:cs="Calibri"/>
                <w:b/>
                <w:bCs/>
                <w:lang w:val="en-GB"/>
              </w:rPr>
              <w:t xml:space="preserve"> </w:t>
            </w:r>
          </w:p>
        </w:tc>
      </w:tr>
      <w:tr w:rsidR="00BE7D66" w:rsidRPr="00312CF3" w:rsidTr="007E4B9C">
        <w:trPr>
          <w:trHeight w:val="6"/>
        </w:trPr>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tr-TR"/>
              </w:rPr>
              <w:t>Rota</w:t>
            </w:r>
            <w:r w:rsidRPr="00312CF3">
              <w:rPr>
                <w:rFonts w:ascii="Calibri" w:eastAsia="Times New Roman" w:hAnsi="Calibri" w:cs="Calibri"/>
                <w:bCs/>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center"/>
              <w:rPr>
                <w:rFonts w:ascii="Calibri" w:eastAsia="Times New Roman" w:hAnsi="Calibri" w:cs="Calibri"/>
                <w:bCs/>
              </w:rPr>
            </w:pPr>
            <w:r w:rsidRPr="00312CF3">
              <w:rPr>
                <w:rFonts w:ascii="Calibri" w:eastAsia="Times New Roman" w:hAnsi="Calibri" w:cs="Calibri"/>
                <w:bCs/>
                <w:lang w:val="en-GB"/>
              </w:rPr>
              <w:t>2</w:t>
            </w:r>
          </w:p>
        </w:tc>
        <w:tc>
          <w:tcPr>
            <w:tcW w:w="35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75" w:type="dxa"/>
              <w:bottom w:w="72" w:type="dxa"/>
              <w:right w:w="75" w:type="dxa"/>
            </w:tcMar>
            <w:hideMark/>
          </w:tcPr>
          <w:p w:rsidR="00312CF3" w:rsidRPr="00312CF3" w:rsidRDefault="00312CF3" w:rsidP="00EA39DE">
            <w:pPr>
              <w:spacing w:after="0" w:line="240" w:lineRule="auto"/>
              <w:jc w:val="both"/>
              <w:rPr>
                <w:rFonts w:ascii="Calibri" w:eastAsia="Times New Roman" w:hAnsi="Calibri" w:cs="Calibri"/>
                <w:bCs/>
              </w:rPr>
            </w:pPr>
            <w:r w:rsidRPr="00312CF3">
              <w:rPr>
                <w:rFonts w:ascii="Calibri" w:eastAsia="Times New Roman" w:hAnsi="Calibri" w:cs="Calibri"/>
                <w:bCs/>
                <w:lang w:val="ru-RU"/>
              </w:rPr>
              <w:t>2</w:t>
            </w:r>
            <w:r w:rsidRPr="00312CF3">
              <w:rPr>
                <w:rFonts w:ascii="Calibri" w:eastAsia="Times New Roman" w:hAnsi="Calibri" w:cs="Calibri"/>
                <w:bCs/>
              </w:rPr>
              <w:t xml:space="preserve"> ,</w:t>
            </w:r>
            <w:r w:rsidRPr="00312CF3">
              <w:rPr>
                <w:rFonts w:ascii="Calibri" w:eastAsia="Times New Roman" w:hAnsi="Calibri" w:cs="Calibri"/>
                <w:bCs/>
                <w:lang w:val="ru-RU"/>
              </w:rPr>
              <w:t xml:space="preserve"> 3</w:t>
            </w:r>
            <w:r w:rsidRPr="00312CF3">
              <w:rPr>
                <w:rFonts w:ascii="Calibri" w:eastAsia="Times New Roman" w:hAnsi="Calibri" w:cs="Calibri"/>
                <w:bCs/>
              </w:rPr>
              <w:t xml:space="preserve"> months</w:t>
            </w:r>
            <w:r w:rsidRPr="00312CF3">
              <w:rPr>
                <w:rFonts w:ascii="Calibri" w:eastAsia="Times New Roman" w:hAnsi="Calibri" w:cs="Calibri"/>
                <w:b/>
                <w:bCs/>
                <w:lang w:val="en-GB"/>
              </w:rPr>
              <w:t xml:space="preserve"> </w:t>
            </w:r>
          </w:p>
        </w:tc>
      </w:tr>
      <w:tr w:rsidR="00BE7D66" w:rsidRPr="007C17A7" w:rsidTr="007E4B9C">
        <w:trPr>
          <w:trHeight w:val="107"/>
        </w:trPr>
        <w:tc>
          <w:tcPr>
            <w:tcW w:w="21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7C17A7" w:rsidRDefault="00312CF3" w:rsidP="00EA39DE">
            <w:pPr>
              <w:spacing w:after="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lang w:val="tr-TR"/>
              </w:rPr>
              <w:t>PCV</w:t>
            </w:r>
            <w:r w:rsidRPr="007C17A7">
              <w:rPr>
                <w:rFonts w:ascii="Calibri" w:eastAsia="Times New Roman" w:hAnsi="Calibri" w:cs="Calibri"/>
                <w:bCs/>
                <w:sz w:val="24"/>
                <w:szCs w:val="24"/>
                <w:lang w:val="en-GB"/>
              </w:rPr>
              <w:t xml:space="preserve"> </w:t>
            </w:r>
          </w:p>
        </w:tc>
        <w:tc>
          <w:tcPr>
            <w:tcW w:w="706"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7C17A7" w:rsidRDefault="00312CF3" w:rsidP="00EA39DE">
            <w:pPr>
              <w:spacing w:after="0" w:line="240" w:lineRule="auto"/>
              <w:jc w:val="center"/>
              <w:rPr>
                <w:rFonts w:ascii="Calibri" w:eastAsia="Times New Roman" w:hAnsi="Calibri" w:cs="Calibri"/>
                <w:bCs/>
                <w:sz w:val="24"/>
                <w:szCs w:val="24"/>
              </w:rPr>
            </w:pPr>
            <w:r w:rsidRPr="007C17A7">
              <w:rPr>
                <w:rFonts w:ascii="Calibri" w:eastAsia="Times New Roman" w:hAnsi="Calibri" w:cs="Calibri"/>
                <w:bCs/>
                <w:sz w:val="24"/>
                <w:szCs w:val="24"/>
              </w:rPr>
              <w:t>3</w:t>
            </w:r>
          </w:p>
        </w:tc>
        <w:tc>
          <w:tcPr>
            <w:tcW w:w="35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75" w:type="dxa"/>
              <w:bottom w:w="72" w:type="dxa"/>
              <w:right w:w="75" w:type="dxa"/>
            </w:tcMar>
            <w:hideMark/>
          </w:tcPr>
          <w:p w:rsidR="00312CF3" w:rsidRPr="007C17A7" w:rsidRDefault="00312CF3" w:rsidP="00EA39DE">
            <w:pPr>
              <w:spacing w:after="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lang w:val="ru-RU"/>
              </w:rPr>
              <w:t>2</w:t>
            </w:r>
            <w:r w:rsidRPr="007C17A7">
              <w:rPr>
                <w:rFonts w:ascii="Calibri" w:eastAsia="Times New Roman" w:hAnsi="Calibri" w:cs="Calibri"/>
                <w:bCs/>
                <w:sz w:val="24"/>
                <w:szCs w:val="24"/>
              </w:rPr>
              <w:t xml:space="preserve">, </w:t>
            </w:r>
            <w:r w:rsidRPr="007C17A7">
              <w:rPr>
                <w:rFonts w:ascii="Calibri" w:eastAsia="Times New Roman" w:hAnsi="Calibri" w:cs="Calibri"/>
                <w:bCs/>
                <w:sz w:val="24"/>
                <w:szCs w:val="24"/>
                <w:lang w:val="ru-RU"/>
              </w:rPr>
              <w:t>3</w:t>
            </w:r>
            <w:r w:rsidRPr="007C17A7">
              <w:rPr>
                <w:rFonts w:ascii="Calibri" w:eastAsia="Times New Roman" w:hAnsi="Calibri" w:cs="Calibri"/>
                <w:bCs/>
                <w:sz w:val="24"/>
                <w:szCs w:val="24"/>
              </w:rPr>
              <w:t xml:space="preserve">, </w:t>
            </w:r>
            <w:r w:rsidRPr="007C17A7">
              <w:rPr>
                <w:rFonts w:ascii="Calibri" w:eastAsia="Times New Roman" w:hAnsi="Calibri" w:cs="Calibri"/>
                <w:bCs/>
                <w:sz w:val="24"/>
                <w:szCs w:val="24"/>
                <w:lang w:val="ru-RU"/>
              </w:rPr>
              <w:t>12</w:t>
            </w:r>
            <w:r w:rsidRPr="007C17A7">
              <w:rPr>
                <w:rFonts w:ascii="Calibri" w:eastAsia="Times New Roman" w:hAnsi="Calibri" w:cs="Calibri"/>
                <w:bCs/>
                <w:sz w:val="24"/>
                <w:szCs w:val="24"/>
              </w:rPr>
              <w:t xml:space="preserve"> months</w:t>
            </w:r>
          </w:p>
        </w:tc>
      </w:tr>
    </w:tbl>
    <w:p w:rsidR="00312CF3" w:rsidRDefault="00312CF3" w:rsidP="00EA39DE">
      <w:pPr>
        <w:shd w:val="clear" w:color="auto" w:fill="FFFFFF" w:themeFill="background1"/>
        <w:spacing w:line="240" w:lineRule="auto"/>
        <w:jc w:val="both"/>
        <w:rPr>
          <w:rFonts w:ascii="Calibri" w:eastAsia="Times New Roman" w:hAnsi="Calibri" w:cs="Calibri"/>
          <w:bCs/>
          <w:sz w:val="28"/>
          <w:szCs w:val="28"/>
        </w:rPr>
      </w:pPr>
      <w:r w:rsidRPr="007C17A7">
        <w:rPr>
          <w:rFonts w:ascii="Calibri" w:eastAsia="Times New Roman" w:hAnsi="Calibri" w:cs="Calibri"/>
          <w:bCs/>
          <w:sz w:val="24"/>
          <w:szCs w:val="24"/>
        </w:rPr>
        <w:t>According to the WHO recommendations the seasonal influenza vaccination is provided for selected high risk groups of population.</w:t>
      </w:r>
      <w:r w:rsidRPr="007C17A7">
        <w:rPr>
          <w:rFonts w:ascii="Calibri" w:eastAsia="Times New Roman" w:hAnsi="Calibri" w:cs="Calibri"/>
          <w:bCs/>
          <w:sz w:val="28"/>
          <w:szCs w:val="28"/>
        </w:rPr>
        <w:t xml:space="preserve"> </w:t>
      </w:r>
      <w:r>
        <w:rPr>
          <w:rFonts w:ascii="Calibri" w:eastAsia="Times New Roman" w:hAnsi="Calibri" w:cs="Calibri"/>
          <w:bCs/>
          <w:sz w:val="28"/>
          <w:szCs w:val="28"/>
        </w:rPr>
        <w:t xml:space="preserve">                                                                                            </w:t>
      </w:r>
    </w:p>
    <w:p w:rsidR="00312CF3" w:rsidRDefault="00312CF3" w:rsidP="00EA39DE">
      <w:pPr>
        <w:shd w:val="clear" w:color="auto" w:fill="FFFFFF" w:themeFill="background1"/>
        <w:spacing w:line="240" w:lineRule="auto"/>
        <w:jc w:val="both"/>
        <w:rPr>
          <w:rFonts w:ascii="Calibri" w:eastAsia="Times New Roman" w:hAnsi="Calibri" w:cs="Calibri"/>
          <w:bCs/>
          <w:sz w:val="28"/>
          <w:szCs w:val="28"/>
        </w:rPr>
      </w:pPr>
      <w:r>
        <w:rPr>
          <w:rFonts w:ascii="Calibri" w:eastAsia="Times New Roman" w:hAnsi="Calibri" w:cs="Calibri"/>
          <w:bCs/>
          <w:sz w:val="28"/>
          <w:szCs w:val="28"/>
        </w:rPr>
        <w:t xml:space="preserve">                          </w:t>
      </w:r>
    </w:p>
    <w:p w:rsidR="00312CF3" w:rsidRDefault="00312CF3" w:rsidP="00EA39DE">
      <w:pPr>
        <w:shd w:val="clear" w:color="auto" w:fill="FFFFFF" w:themeFill="background1"/>
        <w:spacing w:line="240" w:lineRule="auto"/>
        <w:jc w:val="both"/>
        <w:rPr>
          <w:rFonts w:ascii="Calibri" w:eastAsia="Times New Roman" w:hAnsi="Calibri" w:cs="Calibri"/>
          <w:bCs/>
          <w:sz w:val="28"/>
          <w:szCs w:val="28"/>
        </w:rPr>
      </w:pPr>
    </w:p>
    <w:p w:rsidR="00312CF3" w:rsidRDefault="00312CF3" w:rsidP="00EA39DE">
      <w:pPr>
        <w:shd w:val="clear" w:color="auto" w:fill="FFFFFF" w:themeFill="background1"/>
        <w:spacing w:line="240" w:lineRule="auto"/>
        <w:jc w:val="both"/>
        <w:rPr>
          <w:rFonts w:ascii="Calibri" w:eastAsia="Times New Roman" w:hAnsi="Calibri" w:cs="Calibri"/>
          <w:bCs/>
          <w:sz w:val="28"/>
          <w:szCs w:val="28"/>
        </w:rPr>
      </w:pPr>
    </w:p>
    <w:p w:rsidR="00312CF3" w:rsidRPr="007C17A7" w:rsidRDefault="00312CF3" w:rsidP="00EA39DE">
      <w:pPr>
        <w:shd w:val="clear" w:color="auto" w:fill="FFFFFF" w:themeFill="background1"/>
        <w:spacing w:line="240" w:lineRule="auto"/>
        <w:jc w:val="both"/>
        <w:rPr>
          <w:rFonts w:ascii="Calibri" w:eastAsia="Times New Roman" w:hAnsi="Calibri" w:cs="Calibri"/>
          <w:bCs/>
          <w:sz w:val="28"/>
          <w:szCs w:val="28"/>
        </w:rPr>
      </w:pPr>
    </w:p>
    <w:p w:rsidR="00312CF3" w:rsidRDefault="00312CF3" w:rsidP="00EA39DE">
      <w:pPr>
        <w:spacing w:after="120" w:line="240" w:lineRule="auto"/>
        <w:jc w:val="both"/>
        <w:rPr>
          <w:rFonts w:ascii="Calibri" w:eastAsia="Times New Roman" w:hAnsi="Calibri" w:cs="Calibri"/>
          <w:bCs/>
          <w:sz w:val="24"/>
          <w:szCs w:val="24"/>
        </w:rPr>
      </w:pPr>
    </w:p>
    <w:p w:rsidR="00312CF3" w:rsidRDefault="00312CF3" w:rsidP="00EA39DE">
      <w:pPr>
        <w:spacing w:after="120" w:line="240" w:lineRule="auto"/>
        <w:jc w:val="both"/>
        <w:rPr>
          <w:rFonts w:ascii="Calibri" w:eastAsia="Times New Roman" w:hAnsi="Calibri" w:cs="Calibri"/>
          <w:bCs/>
          <w:sz w:val="24"/>
          <w:szCs w:val="24"/>
        </w:rPr>
      </w:pPr>
    </w:p>
    <w:p w:rsidR="00312CF3" w:rsidRDefault="00312CF3" w:rsidP="00EA39DE">
      <w:pPr>
        <w:spacing w:after="120" w:line="240" w:lineRule="auto"/>
        <w:jc w:val="both"/>
        <w:rPr>
          <w:rFonts w:ascii="Calibri" w:eastAsia="Times New Roman" w:hAnsi="Calibri" w:cs="Calibri"/>
          <w:bCs/>
          <w:sz w:val="24"/>
          <w:szCs w:val="24"/>
        </w:rPr>
        <w:sectPr w:rsidR="00312CF3" w:rsidSect="0074442B">
          <w:type w:val="continuous"/>
          <w:pgSz w:w="12240" w:h="15840"/>
          <w:pgMar w:top="709" w:right="850" w:bottom="284" w:left="851" w:header="720" w:footer="720" w:gutter="0"/>
          <w:cols w:num="2" w:space="720"/>
          <w:docGrid w:linePitch="360"/>
        </w:sectPr>
      </w:pPr>
    </w:p>
    <w:p w:rsidR="00312CF3" w:rsidRDefault="00312CF3" w:rsidP="00EA39DE">
      <w:pPr>
        <w:spacing w:after="120" w:line="240" w:lineRule="auto"/>
        <w:jc w:val="both"/>
        <w:rPr>
          <w:rFonts w:ascii="Calibri" w:eastAsia="Times New Roman" w:hAnsi="Calibri" w:cs="Calibri"/>
          <w:bCs/>
          <w:sz w:val="24"/>
          <w:szCs w:val="24"/>
        </w:rPr>
        <w:sectPr w:rsidR="00312CF3" w:rsidSect="0074442B">
          <w:type w:val="continuous"/>
          <w:pgSz w:w="12240" w:h="15840"/>
          <w:pgMar w:top="709" w:right="850" w:bottom="284" w:left="851" w:header="720" w:footer="720" w:gutter="0"/>
          <w:cols w:num="2" w:space="720"/>
          <w:docGrid w:linePitch="360"/>
        </w:sectPr>
      </w:pPr>
    </w:p>
    <w:p w:rsidR="00525CA5" w:rsidRPr="00BE7D66" w:rsidRDefault="00256BC5" w:rsidP="00EA39DE">
      <w:pPr>
        <w:shd w:val="clear" w:color="auto" w:fill="FFFFFF" w:themeFill="background1"/>
        <w:spacing w:after="120" w:line="240" w:lineRule="auto"/>
        <w:jc w:val="both"/>
        <w:rPr>
          <w:rFonts w:ascii="Calibri" w:eastAsia="Times New Roman" w:hAnsi="Calibri" w:cs="Calibri"/>
          <w:b/>
          <w:bCs/>
          <w:i/>
          <w:color w:val="365F91" w:themeColor="accent1" w:themeShade="BF"/>
          <w:sz w:val="28"/>
          <w:szCs w:val="28"/>
          <w:lang w:val="ka-GE"/>
        </w:rPr>
      </w:pPr>
      <w:r w:rsidRPr="00BE7D66">
        <w:rPr>
          <w:rFonts w:ascii="Calibri" w:eastAsia="Times New Roman" w:hAnsi="Calibri" w:cs="Calibri"/>
          <w:b/>
          <w:bCs/>
          <w:i/>
          <w:color w:val="365F91" w:themeColor="accent1" w:themeShade="BF"/>
          <w:sz w:val="28"/>
          <w:szCs w:val="28"/>
        </w:rPr>
        <w:t xml:space="preserve">Key Findings </w:t>
      </w:r>
    </w:p>
    <w:p w:rsidR="00223522" w:rsidRDefault="00E37D14"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To assure uninterrupted supply, high quality and balanced costs, all routine immunization vaccines (except Hexavalent) are procured through UNICEF procurement mechanism and all vaccines procured for routine vaccination are WHO prequalified.</w:t>
      </w:r>
      <w:r w:rsidR="00223522" w:rsidRPr="007C17A7">
        <w:rPr>
          <w:rFonts w:ascii="Calibri" w:eastAsia="Times New Roman" w:hAnsi="Calibri" w:cs="Calibri"/>
          <w:bCs/>
          <w:sz w:val="24"/>
          <w:szCs w:val="24"/>
        </w:rPr>
        <w:t xml:space="preserve"> </w:t>
      </w:r>
    </w:p>
    <w:p w:rsidR="0074442B" w:rsidRPr="007E4B9C" w:rsidRDefault="0074442B" w:rsidP="00EA39DE">
      <w:pPr>
        <w:spacing w:after="120" w:line="240" w:lineRule="auto"/>
        <w:jc w:val="both"/>
        <w:rPr>
          <w:rFonts w:ascii="Calibri" w:eastAsia="Times New Roman" w:hAnsi="Calibri" w:cs="Calibri"/>
          <w:bCs/>
          <w:sz w:val="16"/>
          <w:szCs w:val="16"/>
        </w:rPr>
      </w:pPr>
    </w:p>
    <w:p w:rsidR="00EC5F70" w:rsidRPr="00BE7D66" w:rsidRDefault="00EC5F70" w:rsidP="00EA39DE">
      <w:pPr>
        <w:spacing w:after="0" w:line="240" w:lineRule="auto"/>
        <w:jc w:val="both"/>
        <w:rPr>
          <w:rFonts w:ascii="Calibri" w:eastAsia="Times New Roman" w:hAnsi="Calibri" w:cs="Calibri"/>
          <w:b/>
          <w:bCs/>
          <w:i/>
          <w:color w:val="365F91" w:themeColor="accent1" w:themeShade="BF"/>
          <w:sz w:val="24"/>
          <w:szCs w:val="24"/>
        </w:rPr>
      </w:pPr>
      <w:r w:rsidRPr="00BE7D66">
        <w:rPr>
          <w:rFonts w:ascii="Calibri" w:eastAsia="Times New Roman" w:hAnsi="Calibri" w:cs="Calibri"/>
          <w:b/>
          <w:bCs/>
          <w:i/>
          <w:color w:val="365F91" w:themeColor="accent1" w:themeShade="BF"/>
          <w:sz w:val="24"/>
          <w:szCs w:val="24"/>
        </w:rPr>
        <w:t>Figure 3: Coverage trends 2013-2016, Georgia</w:t>
      </w:r>
    </w:p>
    <w:p w:rsidR="00BA500F" w:rsidRPr="007C17A7" w:rsidRDefault="00BA500F" w:rsidP="00EA39DE">
      <w:pPr>
        <w:spacing w:after="120" w:line="240" w:lineRule="auto"/>
        <w:jc w:val="both"/>
        <w:rPr>
          <w:rFonts w:ascii="Calibri" w:eastAsia="Times New Roman" w:hAnsi="Calibri" w:cs="Calibri"/>
          <w:bCs/>
          <w:sz w:val="24"/>
          <w:szCs w:val="24"/>
        </w:rPr>
      </w:pPr>
      <w:r w:rsidRPr="007C17A7">
        <w:rPr>
          <w:rFonts w:ascii="Calibri" w:eastAsia="Times New Roman" w:hAnsi="Calibri" w:cs="Calibri"/>
          <w:bCs/>
          <w:noProof/>
          <w:sz w:val="24"/>
          <w:szCs w:val="24"/>
        </w:rPr>
        <w:drawing>
          <wp:inline distT="0" distB="0" distL="0" distR="0" wp14:anchorId="632AB9E8" wp14:editId="792ADBBC">
            <wp:extent cx="6638925" cy="2419350"/>
            <wp:effectExtent l="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4B9C" w:rsidRPr="007E4B9C" w:rsidRDefault="007E4B9C" w:rsidP="00EA39DE">
      <w:pPr>
        <w:shd w:val="clear" w:color="auto" w:fill="FFFFFF" w:themeFill="background1"/>
        <w:spacing w:line="240" w:lineRule="auto"/>
        <w:jc w:val="both"/>
        <w:rPr>
          <w:rFonts w:ascii="Calibri" w:eastAsia="Times New Roman" w:hAnsi="Calibri" w:cs="Calibri"/>
          <w:bCs/>
          <w:sz w:val="2"/>
          <w:szCs w:val="2"/>
        </w:rPr>
      </w:pPr>
    </w:p>
    <w:p w:rsidR="005F129B" w:rsidRPr="007C17A7" w:rsidRDefault="002939B4" w:rsidP="00EA39DE">
      <w:pPr>
        <w:shd w:val="clear" w:color="auto" w:fill="FFFFFF" w:themeFill="background1"/>
        <w:spacing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Supportive Supervision activities are carried out to sustain strengthening</w:t>
      </w:r>
      <w:r w:rsidR="00B07245" w:rsidRPr="007C17A7">
        <w:rPr>
          <w:rFonts w:ascii="Calibri" w:eastAsia="Times New Roman" w:hAnsi="Calibri" w:cs="Calibri"/>
          <w:bCs/>
          <w:sz w:val="24"/>
          <w:szCs w:val="24"/>
        </w:rPr>
        <w:t xml:space="preserve"> of</w:t>
      </w:r>
      <w:r w:rsidRPr="007C17A7">
        <w:rPr>
          <w:rFonts w:ascii="Calibri" w:eastAsia="Times New Roman" w:hAnsi="Calibri" w:cs="Calibri"/>
          <w:bCs/>
          <w:sz w:val="24"/>
          <w:szCs w:val="24"/>
        </w:rPr>
        <w:t xml:space="preserve"> immunization surveillance system at all levels</w:t>
      </w:r>
      <w:r w:rsidR="00525CA5" w:rsidRPr="007C17A7">
        <w:rPr>
          <w:rFonts w:ascii="Calibri" w:eastAsia="Times New Roman" w:hAnsi="Calibri" w:cs="Calibri"/>
          <w:bCs/>
          <w:sz w:val="24"/>
          <w:szCs w:val="24"/>
          <w:lang w:val="ka-GE"/>
        </w:rPr>
        <w:t xml:space="preserve"> </w:t>
      </w:r>
      <w:r w:rsidR="00525CA5" w:rsidRPr="007C17A7">
        <w:rPr>
          <w:rFonts w:ascii="Calibri" w:eastAsia="Times New Roman" w:hAnsi="Calibri" w:cs="Calibri"/>
          <w:bCs/>
          <w:sz w:val="24"/>
          <w:szCs w:val="24"/>
        </w:rPr>
        <w:t>and c</w:t>
      </w:r>
      <w:r w:rsidR="005F129B" w:rsidRPr="007C17A7">
        <w:rPr>
          <w:rFonts w:ascii="Calibri" w:eastAsia="Times New Roman" w:hAnsi="Calibri" w:cs="Calibri"/>
          <w:bCs/>
          <w:sz w:val="24"/>
          <w:szCs w:val="24"/>
        </w:rPr>
        <w:t xml:space="preserve">ountrywide recording, reporting and monitoring systems </w:t>
      </w:r>
      <w:r w:rsidR="00B07245" w:rsidRPr="007C17A7">
        <w:rPr>
          <w:rFonts w:ascii="Calibri" w:eastAsia="Times New Roman" w:hAnsi="Calibri" w:cs="Calibri"/>
          <w:bCs/>
          <w:sz w:val="24"/>
          <w:szCs w:val="24"/>
        </w:rPr>
        <w:t xml:space="preserve">are </w:t>
      </w:r>
      <w:r w:rsidR="005F129B" w:rsidRPr="007C17A7">
        <w:rPr>
          <w:rFonts w:ascii="Calibri" w:eastAsia="Times New Roman" w:hAnsi="Calibri" w:cs="Calibri"/>
          <w:bCs/>
          <w:sz w:val="24"/>
          <w:szCs w:val="24"/>
        </w:rPr>
        <w:t>in place (vaccination, AEFI, AFP)</w:t>
      </w:r>
      <w:r w:rsidR="00525CA5" w:rsidRPr="007C17A7">
        <w:rPr>
          <w:rFonts w:ascii="Calibri" w:eastAsia="Times New Roman" w:hAnsi="Calibri" w:cs="Calibri"/>
          <w:bCs/>
          <w:sz w:val="24"/>
          <w:szCs w:val="24"/>
          <w:lang w:val="ka-GE"/>
        </w:rPr>
        <w:t>.</w:t>
      </w:r>
      <w:r w:rsidR="005F129B" w:rsidRPr="007C17A7">
        <w:rPr>
          <w:rFonts w:ascii="Calibri" w:eastAsia="Times New Roman" w:hAnsi="Calibri" w:cs="Calibri"/>
          <w:bCs/>
          <w:sz w:val="24"/>
          <w:szCs w:val="24"/>
          <w:lang w:val="ka-GE"/>
        </w:rPr>
        <w:t xml:space="preserve"> </w:t>
      </w:r>
    </w:p>
    <w:p w:rsidR="00F3438B" w:rsidRPr="007C17A7" w:rsidRDefault="005F129B" w:rsidP="00EA39DE">
      <w:pPr>
        <w:shd w:val="clear" w:color="auto" w:fill="FFFFFF" w:themeFill="background1"/>
        <w:spacing w:after="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The country has established </w:t>
      </w:r>
      <w:r w:rsidRPr="007C17A7">
        <w:rPr>
          <w:rFonts w:ascii="Calibri" w:eastAsia="Times New Roman" w:hAnsi="Calibri" w:cs="Calibri"/>
          <w:b/>
          <w:bCs/>
          <w:sz w:val="24"/>
          <w:szCs w:val="24"/>
        </w:rPr>
        <w:t>core advisory bodies</w:t>
      </w:r>
      <w:r w:rsidRPr="007C17A7">
        <w:rPr>
          <w:rFonts w:ascii="Calibri" w:eastAsia="Times New Roman" w:hAnsi="Calibri" w:cs="Calibri"/>
          <w:bCs/>
          <w:sz w:val="24"/>
          <w:szCs w:val="24"/>
        </w:rPr>
        <w:t xml:space="preserve"> to support the N</w:t>
      </w:r>
      <w:r w:rsidR="00657B84" w:rsidRPr="007C17A7">
        <w:rPr>
          <w:rFonts w:ascii="Calibri" w:eastAsia="Times New Roman" w:hAnsi="Calibri" w:cs="Calibri"/>
          <w:bCs/>
          <w:sz w:val="24"/>
          <w:szCs w:val="24"/>
        </w:rPr>
        <w:t>IP</w:t>
      </w:r>
      <w:r w:rsidRPr="007C17A7">
        <w:rPr>
          <w:rFonts w:ascii="Calibri" w:eastAsia="Times New Roman" w:hAnsi="Calibri" w:cs="Calibri"/>
          <w:bCs/>
          <w:sz w:val="24"/>
          <w:szCs w:val="24"/>
        </w:rPr>
        <w:t>:</w:t>
      </w:r>
    </w:p>
    <w:p w:rsidR="00256BC5" w:rsidRPr="007C17A7" w:rsidRDefault="005F129B" w:rsidP="00EA39DE">
      <w:pPr>
        <w:pStyle w:val="ListParagraph"/>
        <w:numPr>
          <w:ilvl w:val="0"/>
          <w:numId w:val="21"/>
        </w:numPr>
        <w:shd w:val="clear" w:color="auto" w:fill="FFFFFF" w:themeFill="background1"/>
        <w:ind w:left="360"/>
        <w:jc w:val="both"/>
        <w:rPr>
          <w:rFonts w:ascii="Calibri" w:eastAsia="Times New Roman" w:hAnsi="Calibri" w:cs="Calibri"/>
          <w:bCs/>
          <w:sz w:val="24"/>
          <w:szCs w:val="24"/>
        </w:rPr>
      </w:pPr>
      <w:r w:rsidRPr="007C17A7">
        <w:rPr>
          <w:rFonts w:ascii="Calibri" w:eastAsia="Times New Roman" w:hAnsi="Calibri" w:cs="Calibri"/>
          <w:bCs/>
          <w:sz w:val="24"/>
          <w:szCs w:val="24"/>
        </w:rPr>
        <w:t>Interagency Coordination Committee (ICC)</w:t>
      </w:r>
      <w:r w:rsidRPr="007C17A7">
        <w:rPr>
          <w:rFonts w:ascii="Calibri" w:eastAsia="Times New Roman" w:hAnsi="Calibri" w:cs="Calibri"/>
          <w:bCs/>
          <w:sz w:val="24"/>
          <w:szCs w:val="24"/>
          <w:lang w:val="ka-GE"/>
        </w:rPr>
        <w:t xml:space="preserve"> </w:t>
      </w:r>
    </w:p>
    <w:p w:rsidR="00256BC5" w:rsidRPr="007C17A7" w:rsidRDefault="00E66938" w:rsidP="00EA39DE">
      <w:pPr>
        <w:pStyle w:val="ListParagraph"/>
        <w:numPr>
          <w:ilvl w:val="0"/>
          <w:numId w:val="21"/>
        </w:numPr>
        <w:shd w:val="clear" w:color="auto" w:fill="FFFFFF" w:themeFill="background1"/>
        <w:ind w:left="360"/>
        <w:jc w:val="both"/>
        <w:rPr>
          <w:rFonts w:ascii="Calibri" w:eastAsia="Times New Roman" w:hAnsi="Calibri" w:cs="Calibri"/>
          <w:bCs/>
          <w:sz w:val="24"/>
          <w:szCs w:val="24"/>
        </w:rPr>
      </w:pPr>
      <w:r w:rsidRPr="007C17A7">
        <w:rPr>
          <w:rFonts w:ascii="Calibri" w:eastAsia="Times New Roman" w:hAnsi="Calibri" w:cs="Calibri"/>
          <w:bCs/>
          <w:sz w:val="24"/>
          <w:szCs w:val="24"/>
        </w:rPr>
        <w:t>National Immunization Technical Advisory</w:t>
      </w:r>
      <w:r w:rsidR="00256BC5" w:rsidRPr="007C17A7">
        <w:rPr>
          <w:rFonts w:ascii="Calibri" w:eastAsia="Times New Roman" w:hAnsi="Calibri" w:cs="Calibri"/>
          <w:bCs/>
          <w:sz w:val="24"/>
          <w:szCs w:val="24"/>
          <w:lang w:val="ka-GE"/>
        </w:rPr>
        <w:t xml:space="preserve"> </w:t>
      </w:r>
      <w:r w:rsidRPr="007C17A7">
        <w:rPr>
          <w:rFonts w:ascii="Calibri" w:eastAsia="Times New Roman" w:hAnsi="Calibri" w:cs="Calibri"/>
          <w:bCs/>
          <w:sz w:val="24"/>
          <w:szCs w:val="24"/>
        </w:rPr>
        <w:t>Group (NITAG)</w:t>
      </w:r>
      <w:r w:rsidRPr="007C17A7">
        <w:rPr>
          <w:rFonts w:ascii="Calibri" w:eastAsia="Times New Roman" w:hAnsi="Calibri" w:cs="Calibri"/>
          <w:bCs/>
          <w:sz w:val="24"/>
          <w:szCs w:val="24"/>
          <w:lang w:val="ka-GE"/>
        </w:rPr>
        <w:t xml:space="preserve"> </w:t>
      </w:r>
    </w:p>
    <w:p w:rsidR="005F129B" w:rsidRPr="007C17A7" w:rsidRDefault="00E66938" w:rsidP="00EA39DE">
      <w:pPr>
        <w:pStyle w:val="ListParagraph"/>
        <w:numPr>
          <w:ilvl w:val="0"/>
          <w:numId w:val="21"/>
        </w:numPr>
        <w:shd w:val="clear" w:color="auto" w:fill="FFFFFF" w:themeFill="background1"/>
        <w:ind w:left="360"/>
        <w:jc w:val="both"/>
        <w:rPr>
          <w:rFonts w:ascii="Calibri" w:eastAsia="Times New Roman" w:hAnsi="Calibri" w:cs="Calibri"/>
          <w:bCs/>
          <w:sz w:val="24"/>
          <w:szCs w:val="24"/>
        </w:rPr>
      </w:pPr>
      <w:r w:rsidRPr="007C17A7">
        <w:rPr>
          <w:rFonts w:ascii="Calibri" w:eastAsia="Times New Roman" w:hAnsi="Calibri" w:cs="Calibri"/>
          <w:bCs/>
          <w:sz w:val="24"/>
          <w:szCs w:val="24"/>
        </w:rPr>
        <w:t>National Regulatory Authority (NRA)</w:t>
      </w:r>
    </w:p>
    <w:p w:rsidR="007316EA" w:rsidRDefault="005F129B" w:rsidP="00EA39DE">
      <w:pPr>
        <w:pStyle w:val="ListParagraph"/>
        <w:numPr>
          <w:ilvl w:val="0"/>
          <w:numId w:val="21"/>
        </w:numPr>
        <w:shd w:val="clear" w:color="auto" w:fill="FFFFFF" w:themeFill="background1"/>
        <w:ind w:left="360"/>
        <w:jc w:val="both"/>
        <w:rPr>
          <w:rFonts w:ascii="Calibri" w:eastAsia="Times New Roman" w:hAnsi="Calibri" w:cs="Calibri"/>
          <w:bCs/>
          <w:sz w:val="24"/>
          <w:szCs w:val="24"/>
        </w:rPr>
      </w:pPr>
      <w:r w:rsidRPr="007316EA">
        <w:rPr>
          <w:rFonts w:ascii="Calibri" w:eastAsia="Times New Roman" w:hAnsi="Calibri" w:cs="Calibri"/>
          <w:bCs/>
          <w:sz w:val="24"/>
          <w:szCs w:val="24"/>
        </w:rPr>
        <w:t xml:space="preserve">National Polio Certification Committee </w:t>
      </w:r>
    </w:p>
    <w:p w:rsidR="001F010E" w:rsidRDefault="005F129B" w:rsidP="00EA39DE">
      <w:pPr>
        <w:pStyle w:val="ListParagraph"/>
        <w:numPr>
          <w:ilvl w:val="0"/>
          <w:numId w:val="21"/>
        </w:numPr>
        <w:shd w:val="clear" w:color="auto" w:fill="FFFFFF" w:themeFill="background1"/>
        <w:ind w:left="360"/>
        <w:jc w:val="both"/>
        <w:rPr>
          <w:rFonts w:ascii="Calibri" w:eastAsia="Times New Roman" w:hAnsi="Calibri" w:cs="Calibri"/>
          <w:bCs/>
          <w:sz w:val="24"/>
          <w:szCs w:val="24"/>
        </w:rPr>
      </w:pPr>
      <w:r w:rsidRPr="007316EA">
        <w:rPr>
          <w:rFonts w:ascii="Calibri" w:eastAsia="Times New Roman" w:hAnsi="Calibri" w:cs="Calibri"/>
          <w:bCs/>
          <w:sz w:val="24"/>
          <w:szCs w:val="24"/>
        </w:rPr>
        <w:t xml:space="preserve">National </w:t>
      </w:r>
      <w:r w:rsidR="001F010E" w:rsidRPr="007316EA">
        <w:rPr>
          <w:rFonts w:ascii="Calibri" w:eastAsia="Times New Roman" w:hAnsi="Calibri" w:cs="Calibri"/>
          <w:bCs/>
          <w:sz w:val="24"/>
          <w:szCs w:val="24"/>
        </w:rPr>
        <w:t>Verification Committee</w:t>
      </w:r>
      <w:r w:rsidRPr="007316EA">
        <w:rPr>
          <w:rFonts w:ascii="Calibri" w:eastAsia="Times New Roman" w:hAnsi="Calibri" w:cs="Calibri"/>
          <w:bCs/>
          <w:sz w:val="24"/>
          <w:szCs w:val="24"/>
        </w:rPr>
        <w:t xml:space="preserve"> for Measles &amp; Rubella Elimination</w:t>
      </w:r>
      <w:r w:rsidR="001F010E" w:rsidRPr="007316EA">
        <w:rPr>
          <w:rFonts w:ascii="Calibri" w:eastAsia="Times New Roman" w:hAnsi="Calibri" w:cs="Calibri"/>
          <w:bCs/>
          <w:sz w:val="24"/>
          <w:szCs w:val="24"/>
        </w:rPr>
        <w:t>.</w:t>
      </w:r>
    </w:p>
    <w:p w:rsidR="001F010E" w:rsidRPr="007C17A7" w:rsidRDefault="001F010E" w:rsidP="00EA39DE">
      <w:pPr>
        <w:shd w:val="clear" w:color="auto" w:fill="FFFFFF" w:themeFill="background1"/>
        <w:spacing w:line="240" w:lineRule="auto"/>
        <w:jc w:val="both"/>
        <w:rPr>
          <w:rFonts w:ascii="Calibri" w:hAnsi="Calibri" w:cs="Calibri"/>
          <w:sz w:val="24"/>
          <w:szCs w:val="24"/>
        </w:rPr>
      </w:pPr>
      <w:r w:rsidRPr="007C17A7">
        <w:rPr>
          <w:rFonts w:ascii="Calibri" w:hAnsi="Calibri" w:cs="Calibri"/>
          <w:sz w:val="24"/>
          <w:szCs w:val="24"/>
        </w:rPr>
        <w:lastRenderedPageBreak/>
        <w:t xml:space="preserve">Georgia is certified as a country free from the wild poliomyelitis virus since 2002 and provides following documents to WHO: Annual update on polio eradication activities, Annual national plan of action to sustain polio-free status of Georgia and AFP weekly reporting form </w:t>
      </w:r>
    </w:p>
    <w:p w:rsidR="001F010E" w:rsidRPr="007C17A7" w:rsidRDefault="001F010E" w:rsidP="00EA39DE">
      <w:pPr>
        <w:shd w:val="clear" w:color="auto" w:fill="FFFFFF" w:themeFill="background1"/>
        <w:spacing w:line="240" w:lineRule="auto"/>
        <w:jc w:val="both"/>
        <w:rPr>
          <w:rFonts w:ascii="Calibri" w:eastAsia="Times New Roman" w:hAnsi="Calibri" w:cs="Calibri"/>
          <w:bCs/>
          <w:sz w:val="24"/>
          <w:szCs w:val="24"/>
        </w:rPr>
      </w:pPr>
      <w:r w:rsidRPr="007C17A7">
        <w:rPr>
          <w:rFonts w:ascii="Calibri" w:eastAsia="Arial" w:hAnsi="Calibri" w:cs="Calibri"/>
          <w:sz w:val="24"/>
          <w:szCs w:val="24"/>
        </w:rPr>
        <w:t>The World Health Organization supports the National Immunization program from the very beginning (1996), and continues to provide invaluable technical and financial assistance till now.</w:t>
      </w:r>
    </w:p>
    <w:p w:rsidR="0074442B" w:rsidRPr="0074442B" w:rsidRDefault="0074442B" w:rsidP="00EA39DE">
      <w:pPr>
        <w:spacing w:after="120" w:line="240" w:lineRule="auto"/>
        <w:jc w:val="both"/>
        <w:rPr>
          <w:rFonts w:ascii="Calibri" w:hAnsi="Calibri" w:cs="Calibri"/>
          <w:b/>
          <w:bCs/>
          <w:i/>
          <w:color w:val="365F91" w:themeColor="accent1" w:themeShade="BF"/>
          <w:sz w:val="20"/>
          <w:szCs w:val="20"/>
        </w:rPr>
      </w:pPr>
    </w:p>
    <w:p w:rsidR="00CF3AB1" w:rsidRPr="00BE7D66" w:rsidRDefault="00256BC5" w:rsidP="00EA39DE">
      <w:pPr>
        <w:spacing w:after="120" w:line="240" w:lineRule="auto"/>
        <w:jc w:val="both"/>
        <w:rPr>
          <w:rFonts w:ascii="Calibri" w:hAnsi="Calibri" w:cs="Calibri"/>
          <w:b/>
          <w:bCs/>
          <w:i/>
          <w:color w:val="365F91" w:themeColor="accent1" w:themeShade="BF"/>
          <w:sz w:val="28"/>
          <w:szCs w:val="28"/>
        </w:rPr>
      </w:pPr>
      <w:r w:rsidRPr="00BE7D66">
        <w:rPr>
          <w:rFonts w:ascii="Calibri" w:hAnsi="Calibri" w:cs="Calibri"/>
          <w:b/>
          <w:bCs/>
          <w:i/>
          <w:color w:val="365F91" w:themeColor="accent1" w:themeShade="BF"/>
          <w:sz w:val="28"/>
          <w:szCs w:val="28"/>
        </w:rPr>
        <w:t>Recent Key Achievements</w:t>
      </w:r>
    </w:p>
    <w:p w:rsidR="00256BC5" w:rsidRPr="007C17A7" w:rsidRDefault="00256BC5" w:rsidP="00EA39DE">
      <w:pPr>
        <w:spacing w:after="120" w:line="240" w:lineRule="auto"/>
        <w:jc w:val="both"/>
        <w:rPr>
          <w:rFonts w:ascii="Calibri" w:eastAsia="Arial" w:hAnsi="Calibri" w:cs="Calibri"/>
          <w:sz w:val="24"/>
          <w:szCs w:val="24"/>
        </w:rPr>
      </w:pPr>
      <w:r w:rsidRPr="007C17A7">
        <w:rPr>
          <w:rFonts w:ascii="Calibri" w:eastAsia="Arial" w:hAnsi="Calibri" w:cs="Calibri"/>
          <w:sz w:val="24"/>
          <w:szCs w:val="24"/>
        </w:rPr>
        <w:t xml:space="preserve">From 2013 </w:t>
      </w:r>
      <w:r w:rsidR="001F010E" w:rsidRPr="007C17A7">
        <w:rPr>
          <w:rFonts w:ascii="Calibri" w:eastAsia="Arial" w:hAnsi="Calibri" w:cs="Calibri"/>
          <w:b/>
          <w:sz w:val="24"/>
          <w:szCs w:val="24"/>
        </w:rPr>
        <w:t>a</w:t>
      </w:r>
      <w:r w:rsidRPr="007C17A7">
        <w:rPr>
          <w:rFonts w:ascii="Calibri" w:eastAsia="Arial" w:hAnsi="Calibri" w:cs="Calibri"/>
          <w:b/>
          <w:sz w:val="24"/>
          <w:szCs w:val="24"/>
        </w:rPr>
        <w:t>ccess to immunization services in Georgia is guaranteed</w:t>
      </w:r>
      <w:r w:rsidRPr="007C17A7">
        <w:rPr>
          <w:rFonts w:ascii="Calibri" w:eastAsia="Arial" w:hAnsi="Calibri" w:cs="Calibri"/>
          <w:sz w:val="24"/>
          <w:szCs w:val="24"/>
        </w:rPr>
        <w:t xml:space="preserve"> under the </w:t>
      </w:r>
      <w:r w:rsidR="001F010E" w:rsidRPr="007C17A7">
        <w:rPr>
          <w:rFonts w:ascii="Calibri" w:eastAsia="Arial" w:hAnsi="Calibri" w:cs="Calibri"/>
          <w:sz w:val="24"/>
          <w:szCs w:val="24"/>
        </w:rPr>
        <w:t>S</w:t>
      </w:r>
      <w:r w:rsidRPr="007C17A7">
        <w:rPr>
          <w:rFonts w:ascii="Calibri" w:eastAsia="Arial" w:hAnsi="Calibri" w:cs="Calibri"/>
          <w:sz w:val="24"/>
          <w:szCs w:val="24"/>
        </w:rPr>
        <w:t xml:space="preserve">tate Universal Healthcare Program and </w:t>
      </w:r>
      <w:r w:rsidR="001F010E" w:rsidRPr="007C17A7">
        <w:rPr>
          <w:rFonts w:ascii="Calibri" w:eastAsia="Arial" w:hAnsi="Calibri" w:cs="Calibri"/>
          <w:sz w:val="24"/>
          <w:szCs w:val="24"/>
        </w:rPr>
        <w:t>h</w:t>
      </w:r>
      <w:r w:rsidRPr="007C17A7">
        <w:rPr>
          <w:rFonts w:ascii="Calibri" w:eastAsia="Arial" w:hAnsi="Calibri" w:cs="Calibri"/>
          <w:sz w:val="24"/>
          <w:szCs w:val="24"/>
        </w:rPr>
        <w:t xml:space="preserve">igh vaccination coverage is sustained at national level. </w:t>
      </w:r>
    </w:p>
    <w:p w:rsidR="00256BC5" w:rsidRPr="007C17A7" w:rsidRDefault="00256BC5" w:rsidP="00EA39DE">
      <w:pPr>
        <w:shd w:val="clear" w:color="auto" w:fill="FFFFFF"/>
        <w:spacing w:line="240" w:lineRule="auto"/>
        <w:jc w:val="both"/>
        <w:rPr>
          <w:rFonts w:ascii="Calibri" w:eastAsia="Arial" w:hAnsi="Calibri" w:cs="Calibri"/>
          <w:sz w:val="24"/>
          <w:szCs w:val="24"/>
        </w:rPr>
      </w:pPr>
      <w:r w:rsidRPr="007C17A7">
        <w:rPr>
          <w:rFonts w:ascii="Calibri" w:eastAsia="Times New Roman" w:hAnsi="Calibri" w:cs="Calibri"/>
          <w:b/>
          <w:bCs/>
          <w:sz w:val="24"/>
          <w:szCs w:val="24"/>
        </w:rPr>
        <w:t xml:space="preserve">The comprehensive Multi-year </w:t>
      </w:r>
      <w:r w:rsidR="00ED7BD0" w:rsidRPr="007C17A7">
        <w:rPr>
          <w:rFonts w:ascii="Calibri" w:eastAsia="Times New Roman" w:hAnsi="Calibri" w:cs="Calibri"/>
          <w:b/>
          <w:bCs/>
          <w:sz w:val="24"/>
          <w:szCs w:val="24"/>
        </w:rPr>
        <w:t>A</w:t>
      </w:r>
      <w:r w:rsidRPr="007C17A7">
        <w:rPr>
          <w:rFonts w:ascii="Calibri" w:eastAsia="Times New Roman" w:hAnsi="Calibri" w:cs="Calibri"/>
          <w:b/>
          <w:bCs/>
          <w:sz w:val="24"/>
          <w:szCs w:val="24"/>
        </w:rPr>
        <w:t xml:space="preserve">ction </w:t>
      </w:r>
      <w:r w:rsidR="00ED7BD0" w:rsidRPr="007C17A7">
        <w:rPr>
          <w:rFonts w:ascii="Calibri" w:eastAsia="Times New Roman" w:hAnsi="Calibri" w:cs="Calibri"/>
          <w:b/>
          <w:bCs/>
          <w:sz w:val="24"/>
          <w:szCs w:val="24"/>
        </w:rPr>
        <w:t>P</w:t>
      </w:r>
      <w:r w:rsidRPr="007C17A7">
        <w:rPr>
          <w:rFonts w:ascii="Calibri" w:eastAsia="Times New Roman" w:hAnsi="Calibri" w:cs="Calibri"/>
          <w:b/>
          <w:bCs/>
          <w:sz w:val="24"/>
          <w:szCs w:val="24"/>
        </w:rPr>
        <w:t>lan (</w:t>
      </w:r>
      <w:proofErr w:type="spellStart"/>
      <w:r w:rsidRPr="007C17A7">
        <w:rPr>
          <w:rFonts w:ascii="Calibri" w:eastAsia="Times New Roman" w:hAnsi="Calibri" w:cs="Calibri"/>
          <w:b/>
          <w:bCs/>
          <w:sz w:val="24"/>
          <w:szCs w:val="24"/>
        </w:rPr>
        <w:t>cMYP</w:t>
      </w:r>
      <w:proofErr w:type="spellEnd"/>
      <w:r w:rsidRPr="007C17A7">
        <w:rPr>
          <w:rFonts w:ascii="Calibri" w:eastAsia="Times New Roman" w:hAnsi="Calibri" w:cs="Calibri"/>
          <w:b/>
          <w:bCs/>
          <w:sz w:val="24"/>
          <w:szCs w:val="24"/>
        </w:rPr>
        <w:t>) for Immunization 2017-2021</w:t>
      </w:r>
      <w:r w:rsidRPr="007C17A7">
        <w:rPr>
          <w:rFonts w:ascii="Calibri" w:eastAsia="Times New Roman" w:hAnsi="Calibri" w:cs="Calibri"/>
          <w:bCs/>
          <w:sz w:val="24"/>
          <w:szCs w:val="24"/>
        </w:rPr>
        <w:t xml:space="preserve"> </w:t>
      </w:r>
      <w:r w:rsidRPr="007C17A7">
        <w:rPr>
          <w:rFonts w:ascii="Calibri" w:eastAsia="Arial" w:hAnsi="Calibri" w:cs="Calibri"/>
          <w:sz w:val="24"/>
          <w:szCs w:val="24"/>
        </w:rPr>
        <w:t>is adopted, following the main goals of the European Vaccine Action Plan (EVAP).</w:t>
      </w:r>
    </w:p>
    <w:p w:rsidR="00256BC5" w:rsidRPr="007C17A7" w:rsidRDefault="00256BC5" w:rsidP="00EA39DE">
      <w:pPr>
        <w:shd w:val="clear" w:color="auto" w:fill="FFFFFF" w:themeFill="background1"/>
        <w:spacing w:before="120" w:after="0" w:line="240" w:lineRule="auto"/>
        <w:jc w:val="both"/>
        <w:rPr>
          <w:rFonts w:ascii="Calibri" w:hAnsi="Calibri" w:cs="Calibri"/>
          <w:b/>
          <w:bCs/>
          <w:sz w:val="24"/>
          <w:szCs w:val="24"/>
        </w:rPr>
      </w:pPr>
      <w:r w:rsidRPr="007C17A7">
        <w:rPr>
          <w:rFonts w:ascii="Calibri" w:hAnsi="Calibri" w:cs="Calibri"/>
          <w:b/>
          <w:bCs/>
          <w:sz w:val="24"/>
          <w:szCs w:val="24"/>
        </w:rPr>
        <w:t>Cold Chain and vaccine management</w:t>
      </w:r>
    </w:p>
    <w:p w:rsidR="00256BC5" w:rsidRPr="007C17A7" w:rsidRDefault="005E1B55" w:rsidP="00EA39DE">
      <w:pPr>
        <w:shd w:val="clear" w:color="auto" w:fill="FFFFFF" w:themeFill="background1"/>
        <w:tabs>
          <w:tab w:val="num" w:pos="720"/>
        </w:tabs>
        <w:spacing w:after="120"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Logistics of the vaccines and injection safety equipment is managed by NCDC at National level </w:t>
      </w:r>
      <w:r w:rsidR="00811D09" w:rsidRPr="007C17A7">
        <w:rPr>
          <w:rFonts w:ascii="Calibri" w:eastAsia="Times New Roman" w:hAnsi="Calibri" w:cs="Calibri"/>
          <w:bCs/>
          <w:sz w:val="24"/>
          <w:szCs w:val="24"/>
        </w:rPr>
        <w:t>and by municipal public health centers (PHC)</w:t>
      </w:r>
      <w:r w:rsidR="006369EE" w:rsidRPr="007C17A7">
        <w:rPr>
          <w:rFonts w:ascii="Calibri" w:eastAsia="Times New Roman" w:hAnsi="Calibri" w:cs="Calibri"/>
          <w:bCs/>
          <w:sz w:val="24"/>
          <w:szCs w:val="24"/>
        </w:rPr>
        <w:t xml:space="preserve"> at the local level</w:t>
      </w:r>
      <w:r w:rsidRPr="007C17A7">
        <w:rPr>
          <w:rFonts w:ascii="Calibri" w:eastAsia="Times New Roman" w:hAnsi="Calibri" w:cs="Calibri"/>
          <w:bCs/>
          <w:sz w:val="24"/>
          <w:szCs w:val="24"/>
        </w:rPr>
        <w:t xml:space="preserve">. According to the Effective Vaccine Management assessment (2014) and a cold chain inventory assessment (2013) conducted by WHO, </w:t>
      </w:r>
      <w:proofErr w:type="spellStart"/>
      <w:r w:rsidRPr="007C17A7">
        <w:rPr>
          <w:rFonts w:ascii="Calibri" w:eastAsia="Times New Roman" w:hAnsi="Calibri" w:cs="Calibri"/>
          <w:bCs/>
          <w:sz w:val="24"/>
          <w:szCs w:val="24"/>
        </w:rPr>
        <w:t>GoG</w:t>
      </w:r>
      <w:proofErr w:type="spellEnd"/>
      <w:r w:rsidRPr="007C17A7">
        <w:rPr>
          <w:rFonts w:ascii="Calibri" w:eastAsia="Times New Roman" w:hAnsi="Calibri" w:cs="Calibri"/>
          <w:bCs/>
          <w:sz w:val="24"/>
          <w:szCs w:val="24"/>
        </w:rPr>
        <w:t xml:space="preserve"> </w:t>
      </w:r>
      <w:r w:rsidR="000E51B4" w:rsidRPr="007C17A7">
        <w:rPr>
          <w:rFonts w:ascii="Calibri" w:eastAsia="Times New Roman" w:hAnsi="Calibri" w:cs="Calibri"/>
          <w:bCs/>
          <w:sz w:val="24"/>
          <w:szCs w:val="24"/>
        </w:rPr>
        <w:t>allocate</w:t>
      </w:r>
      <w:r w:rsidR="005B0BEC" w:rsidRPr="007C17A7">
        <w:rPr>
          <w:rFonts w:ascii="Calibri" w:eastAsia="Times New Roman" w:hAnsi="Calibri" w:cs="Calibri"/>
          <w:bCs/>
          <w:sz w:val="24"/>
          <w:szCs w:val="24"/>
        </w:rPr>
        <w:t>d</w:t>
      </w:r>
      <w:r w:rsidR="000E51B4" w:rsidRPr="007C17A7">
        <w:rPr>
          <w:rFonts w:ascii="Calibri" w:eastAsia="Times New Roman" w:hAnsi="Calibri" w:cs="Calibri"/>
          <w:bCs/>
          <w:sz w:val="24"/>
          <w:szCs w:val="24"/>
        </w:rPr>
        <w:t xml:space="preserve"> </w:t>
      </w:r>
      <w:r w:rsidRPr="007C17A7">
        <w:rPr>
          <w:rFonts w:ascii="Calibri" w:eastAsia="Times New Roman" w:hAnsi="Calibri" w:cs="Calibri"/>
          <w:bCs/>
          <w:sz w:val="24"/>
          <w:szCs w:val="24"/>
        </w:rPr>
        <w:t>the budget for cold chain system upgrade to cover 1/3 of country need (including refrigerated vehicles for distribution to districts</w:t>
      </w:r>
      <w:r w:rsidR="00536CB0" w:rsidRPr="007C17A7">
        <w:rPr>
          <w:rFonts w:ascii="Calibri" w:eastAsia="Times New Roman" w:hAnsi="Calibri" w:cs="Calibri"/>
          <w:bCs/>
          <w:sz w:val="24"/>
          <w:szCs w:val="24"/>
        </w:rPr>
        <w:t>, refrigerators, temperature loggers, cold boxes</w:t>
      </w:r>
      <w:r w:rsidRPr="007C17A7">
        <w:rPr>
          <w:rFonts w:ascii="Calibri" w:eastAsia="Times New Roman" w:hAnsi="Calibri" w:cs="Calibri"/>
          <w:bCs/>
          <w:sz w:val="24"/>
          <w:szCs w:val="24"/>
        </w:rPr>
        <w:t>).</w:t>
      </w:r>
    </w:p>
    <w:tbl>
      <w:tblPr>
        <w:tblStyle w:val="TableGrid"/>
        <w:tblW w:w="111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49"/>
      </w:tblGrid>
      <w:tr w:rsidR="009F2DBD" w:rsidRPr="007C17A7" w:rsidTr="00D60EA0">
        <w:trPr>
          <w:trHeight w:val="1407"/>
        </w:trPr>
        <w:tc>
          <w:tcPr>
            <w:tcW w:w="4962" w:type="dxa"/>
          </w:tcPr>
          <w:p w:rsidR="00256BC5" w:rsidRPr="007C17A7" w:rsidRDefault="00F34459" w:rsidP="00EA39DE">
            <w:pPr>
              <w:shd w:val="clear" w:color="auto" w:fill="FFFFFF" w:themeFill="background1"/>
              <w:jc w:val="both"/>
              <w:rPr>
                <w:rFonts w:ascii="Calibri" w:hAnsi="Calibri" w:cs="Calibri"/>
                <w:bCs/>
                <w:sz w:val="24"/>
                <w:szCs w:val="24"/>
              </w:rPr>
            </w:pPr>
            <w:r w:rsidRPr="007C17A7">
              <w:rPr>
                <w:rFonts w:ascii="Calibri" w:eastAsia="Times New Roman" w:hAnsi="Calibri" w:cs="Calibri"/>
                <w:bCs/>
                <w:sz w:val="24"/>
                <w:szCs w:val="24"/>
              </w:rPr>
              <w:t xml:space="preserve">Currently the vaccine storage capacity is sufficient for all </w:t>
            </w:r>
            <w:r w:rsidR="001F010E" w:rsidRPr="007C17A7">
              <w:rPr>
                <w:rFonts w:ascii="Calibri" w:eastAsia="Times New Roman" w:hAnsi="Calibri" w:cs="Calibri"/>
                <w:bCs/>
                <w:sz w:val="24"/>
                <w:szCs w:val="24"/>
              </w:rPr>
              <w:t xml:space="preserve">planned </w:t>
            </w:r>
            <w:r w:rsidRPr="007C17A7">
              <w:rPr>
                <w:rFonts w:ascii="Calibri" w:eastAsia="Times New Roman" w:hAnsi="Calibri" w:cs="Calibri"/>
                <w:bCs/>
                <w:sz w:val="24"/>
                <w:szCs w:val="24"/>
              </w:rPr>
              <w:t xml:space="preserve">new vaccine introductions. A stand-by generator is </w:t>
            </w:r>
            <w:r w:rsidR="001F010E" w:rsidRPr="007C17A7">
              <w:rPr>
                <w:rFonts w:ascii="Calibri" w:eastAsia="Times New Roman" w:hAnsi="Calibri" w:cs="Calibri"/>
                <w:bCs/>
                <w:sz w:val="24"/>
                <w:szCs w:val="24"/>
              </w:rPr>
              <w:t>in place</w:t>
            </w:r>
            <w:r w:rsidRPr="007C17A7">
              <w:rPr>
                <w:rFonts w:ascii="Calibri" w:eastAsia="Times New Roman" w:hAnsi="Calibri" w:cs="Calibri"/>
                <w:bCs/>
                <w:sz w:val="24"/>
                <w:szCs w:val="24"/>
              </w:rPr>
              <w:t>. The temperature monitoring system is adequate and equipped with an alarm; there are newly procured continuous temperature monitoring devices (Q-Tag) in all PHCs</w:t>
            </w:r>
            <w:r w:rsidRPr="007C17A7">
              <w:rPr>
                <w:rFonts w:ascii="Calibri" w:eastAsia="Times New Roman" w:hAnsi="Calibri" w:cs="Calibri"/>
                <w:bCs/>
                <w:sz w:val="24"/>
                <w:szCs w:val="24"/>
                <w:lang w:val="ka-GE"/>
              </w:rPr>
              <w:t>.</w:t>
            </w:r>
            <w:r w:rsidRPr="007C17A7">
              <w:rPr>
                <w:rFonts w:ascii="Calibri" w:hAnsi="Calibri" w:cs="Calibri"/>
                <w:bCs/>
                <w:sz w:val="24"/>
                <w:szCs w:val="24"/>
              </w:rPr>
              <w:t xml:space="preserve"> </w:t>
            </w:r>
          </w:p>
          <w:p w:rsidR="00D60EA0" w:rsidRPr="00EA39DE" w:rsidRDefault="002939B4" w:rsidP="00EA39DE">
            <w:pPr>
              <w:shd w:val="clear" w:color="auto" w:fill="FFFFFF" w:themeFill="background1"/>
              <w:jc w:val="both"/>
              <w:rPr>
                <w:rFonts w:ascii="Calibri" w:eastAsia="Arial" w:hAnsi="Calibri" w:cs="Calibri"/>
                <w:sz w:val="24"/>
                <w:szCs w:val="24"/>
              </w:rPr>
            </w:pPr>
            <w:r w:rsidRPr="007C17A7">
              <w:rPr>
                <w:rFonts w:ascii="Calibri" w:hAnsi="Calibri" w:cs="Calibri"/>
                <w:bCs/>
                <w:sz w:val="24"/>
                <w:szCs w:val="24"/>
              </w:rPr>
              <w:t>WHO provided t</w:t>
            </w:r>
            <w:r w:rsidRPr="007C17A7">
              <w:rPr>
                <w:rFonts w:ascii="Calibri" w:eastAsia="Arial" w:hAnsi="Calibri" w:cs="Calibri"/>
                <w:sz w:val="24"/>
                <w:szCs w:val="24"/>
              </w:rPr>
              <w:t xml:space="preserve">echnical support to strengthen temperature monitoring system in vaccine cold chain: installation of computerized web-based temperature monitoring systems at the national </w:t>
            </w:r>
            <w:r w:rsidR="00FF0078" w:rsidRPr="007C17A7">
              <w:rPr>
                <w:rFonts w:ascii="Calibri" w:eastAsia="Arial" w:hAnsi="Calibri" w:cs="Calibri"/>
                <w:sz w:val="24"/>
                <w:szCs w:val="24"/>
              </w:rPr>
              <w:t>vaccine</w:t>
            </w:r>
            <w:r w:rsidR="00BE7D66">
              <w:rPr>
                <w:rFonts w:ascii="Calibri" w:eastAsia="Arial" w:hAnsi="Calibri" w:cs="Calibri"/>
                <w:sz w:val="24"/>
                <w:szCs w:val="24"/>
              </w:rPr>
              <w:t xml:space="preserve"> cold store in Tbilisi </w:t>
            </w:r>
            <w:proofErr w:type="spellStart"/>
            <w:r w:rsidR="00BE7D66">
              <w:rPr>
                <w:rFonts w:ascii="Calibri" w:eastAsia="Arial" w:hAnsi="Calibri" w:cs="Calibri"/>
                <w:sz w:val="24"/>
                <w:szCs w:val="24"/>
              </w:rPr>
              <w:t>amd</w:t>
            </w:r>
            <w:proofErr w:type="spellEnd"/>
            <w:r w:rsidR="00BE7D66">
              <w:rPr>
                <w:rFonts w:ascii="Calibri" w:eastAsia="Arial" w:hAnsi="Calibri" w:cs="Calibri"/>
                <w:sz w:val="24"/>
                <w:szCs w:val="24"/>
              </w:rPr>
              <w:t xml:space="preserve"> a four sub-</w:t>
            </w:r>
            <w:r w:rsidR="00D60EA0">
              <w:rPr>
                <w:rFonts w:ascii="Calibri" w:eastAsia="Arial" w:hAnsi="Calibri" w:cs="Calibri"/>
                <w:sz w:val="24"/>
                <w:szCs w:val="24"/>
              </w:rPr>
              <w:t xml:space="preserve"> national </w:t>
            </w:r>
            <w:r w:rsidR="00D60EA0" w:rsidRPr="007C17A7">
              <w:rPr>
                <w:rFonts w:ascii="Calibri" w:eastAsia="Arial" w:hAnsi="Calibri" w:cs="Calibri"/>
                <w:sz w:val="24"/>
                <w:szCs w:val="24"/>
                <w:lang w:val="ka-GE"/>
              </w:rPr>
              <w:t>vaccine stores (Tbilisi city, Batumi,</w:t>
            </w:r>
            <w:r w:rsidR="00EA39DE">
              <w:rPr>
                <w:rFonts w:ascii="Calibri" w:eastAsia="Arial" w:hAnsi="Calibri" w:cs="Calibri"/>
                <w:sz w:val="24"/>
                <w:szCs w:val="24"/>
              </w:rPr>
              <w:t xml:space="preserve"> </w:t>
            </w:r>
            <w:r w:rsidR="00EA39DE" w:rsidRPr="007C17A7">
              <w:rPr>
                <w:rFonts w:ascii="Calibri" w:eastAsia="Arial" w:hAnsi="Calibri" w:cs="Calibri"/>
                <w:sz w:val="24"/>
                <w:szCs w:val="24"/>
                <w:lang w:val="ka-GE"/>
              </w:rPr>
              <w:t>Kutaisi and Rustavi).</w:t>
            </w:r>
          </w:p>
        </w:tc>
        <w:tc>
          <w:tcPr>
            <w:tcW w:w="6149" w:type="dxa"/>
          </w:tcPr>
          <w:p w:rsidR="00256BC5" w:rsidRPr="007C17A7" w:rsidRDefault="008570D3" w:rsidP="00EA39DE">
            <w:pPr>
              <w:shd w:val="clear" w:color="auto" w:fill="FFFFFF" w:themeFill="background1"/>
              <w:spacing w:after="200"/>
              <w:ind w:left="317"/>
              <w:jc w:val="both"/>
              <w:rPr>
                <w:rFonts w:ascii="Calibri" w:eastAsia="Times New Roman" w:hAnsi="Calibri" w:cs="Calibri"/>
                <w:bCs/>
                <w:i/>
                <w:sz w:val="24"/>
                <w:szCs w:val="24"/>
              </w:rPr>
            </w:pPr>
            <w:r w:rsidRPr="007C17A7">
              <w:rPr>
                <w:rFonts w:ascii="Calibri" w:eastAsia="Times New Roman" w:hAnsi="Calibri" w:cs="Calibri"/>
                <w:bCs/>
                <w:noProof/>
                <w:sz w:val="24"/>
                <w:szCs w:val="24"/>
              </w:rPr>
              <w:drawing>
                <wp:inline distT="0" distB="0" distL="0" distR="0">
                  <wp:extent cx="3420702" cy="2609850"/>
                  <wp:effectExtent l="0" t="0" r="889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9835" cy="2632077"/>
                          </a:xfrm>
                          <a:prstGeom prst="rect">
                            <a:avLst/>
                          </a:prstGeom>
                          <a:noFill/>
                          <a:ln w="9525">
                            <a:noFill/>
                            <a:miter lim="800000"/>
                            <a:headEnd/>
                            <a:tailEnd/>
                          </a:ln>
                        </pic:spPr>
                      </pic:pic>
                    </a:graphicData>
                  </a:graphic>
                </wp:inline>
              </w:drawing>
            </w:r>
          </w:p>
        </w:tc>
      </w:tr>
    </w:tbl>
    <w:p w:rsidR="00256BC5" w:rsidRPr="007C17A7" w:rsidRDefault="00F34459" w:rsidP="00EA39DE">
      <w:pPr>
        <w:shd w:val="clear" w:color="auto" w:fill="FFFFFF" w:themeFill="background1"/>
        <w:spacing w:line="240" w:lineRule="auto"/>
        <w:jc w:val="both"/>
        <w:rPr>
          <w:rFonts w:ascii="Calibri" w:hAnsi="Calibri" w:cs="Calibri"/>
          <w:b/>
          <w:bCs/>
          <w:sz w:val="24"/>
          <w:szCs w:val="24"/>
        </w:rPr>
      </w:pPr>
      <w:r w:rsidRPr="007C17A7">
        <w:rPr>
          <w:rFonts w:ascii="Calibri" w:eastAsia="Arial" w:hAnsi="Calibri" w:cs="Calibri"/>
          <w:sz w:val="24"/>
          <w:szCs w:val="24"/>
          <w:lang w:val="ka-GE"/>
        </w:rPr>
        <w:t xml:space="preserve">Besides, WHO provided technical support in development of </w:t>
      </w:r>
      <w:r w:rsidR="006613BD" w:rsidRPr="007C17A7">
        <w:rPr>
          <w:rFonts w:ascii="Calibri" w:eastAsia="Arial" w:hAnsi="Calibri" w:cs="Calibri"/>
          <w:sz w:val="24"/>
          <w:szCs w:val="24"/>
        </w:rPr>
        <w:t>integrated</w:t>
      </w:r>
      <w:r w:rsidRPr="007C17A7">
        <w:rPr>
          <w:rFonts w:ascii="Calibri" w:eastAsia="Arial" w:hAnsi="Calibri" w:cs="Calibri"/>
          <w:sz w:val="24"/>
          <w:szCs w:val="24"/>
        </w:rPr>
        <w:t xml:space="preserve"> national regulations on storage of vaccines and pharmaceutical</w:t>
      </w:r>
      <w:r w:rsidR="009078A0" w:rsidRPr="007C17A7">
        <w:rPr>
          <w:rFonts w:ascii="Calibri" w:eastAsia="Arial" w:hAnsi="Calibri" w:cs="Calibri"/>
          <w:sz w:val="24"/>
          <w:szCs w:val="24"/>
        </w:rPr>
        <w:t>s</w:t>
      </w:r>
      <w:r w:rsidRPr="007C17A7">
        <w:rPr>
          <w:rFonts w:ascii="Calibri" w:eastAsia="Arial" w:hAnsi="Calibri" w:cs="Calibri"/>
          <w:sz w:val="24"/>
          <w:szCs w:val="24"/>
        </w:rPr>
        <w:t xml:space="preserve"> requiring cold chain, including development/adaptation of vaccine management SOPs.</w:t>
      </w:r>
    </w:p>
    <w:p w:rsidR="00256BC5" w:rsidRPr="007C17A7" w:rsidRDefault="00256BC5" w:rsidP="00EA39DE">
      <w:pPr>
        <w:shd w:val="clear" w:color="auto" w:fill="FFFFFF" w:themeFill="background1"/>
        <w:spacing w:before="120" w:after="0" w:line="240" w:lineRule="auto"/>
        <w:jc w:val="both"/>
        <w:rPr>
          <w:rFonts w:ascii="Calibri" w:hAnsi="Calibri" w:cs="Calibri"/>
          <w:b/>
          <w:bCs/>
          <w:sz w:val="24"/>
          <w:szCs w:val="24"/>
        </w:rPr>
      </w:pPr>
      <w:r w:rsidRPr="007C17A7">
        <w:rPr>
          <w:rFonts w:ascii="Calibri" w:hAnsi="Calibri" w:cs="Calibri"/>
          <w:b/>
          <w:bCs/>
          <w:sz w:val="24"/>
          <w:szCs w:val="24"/>
        </w:rPr>
        <w:t>Immunization Management Module (IMM)</w:t>
      </w:r>
    </w:p>
    <w:p w:rsidR="00E37D14" w:rsidRDefault="00E37D14" w:rsidP="00EA39DE">
      <w:pPr>
        <w:shd w:val="clear" w:color="auto" w:fill="FFFFFF" w:themeFill="background1"/>
        <w:spacing w:line="240" w:lineRule="auto"/>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The comprehensive Health Management Information System (HMIS) is an innovative system successfully developed and introduced (integrated with the civil and birth registry, based on unique ID number, about 30 modules) by the MoLHSA. The IMM is one of its modules developed to ensure smooth implementation of the State Immunization program. The process of introduction of the Immunization Management Module is facilitated by </w:t>
      </w:r>
      <w:r w:rsidR="00ED7BD0" w:rsidRPr="007C17A7">
        <w:rPr>
          <w:rFonts w:ascii="Calibri" w:eastAsia="Times New Roman" w:hAnsi="Calibri" w:cs="Calibri"/>
          <w:bCs/>
          <w:sz w:val="24"/>
          <w:szCs w:val="24"/>
        </w:rPr>
        <w:t>NCDC</w:t>
      </w:r>
      <w:r w:rsidRPr="007C17A7">
        <w:rPr>
          <w:rFonts w:ascii="Calibri" w:eastAsia="Times New Roman" w:hAnsi="Calibri" w:cs="Calibri"/>
          <w:bCs/>
          <w:sz w:val="24"/>
          <w:szCs w:val="24"/>
        </w:rPr>
        <w:t>.</w:t>
      </w:r>
      <w:r w:rsidR="00C1321C" w:rsidRPr="007C17A7">
        <w:rPr>
          <w:rFonts w:ascii="Calibri" w:eastAsia="Times New Roman" w:hAnsi="Calibri" w:cs="Calibri"/>
          <w:bCs/>
          <w:sz w:val="24"/>
          <w:szCs w:val="24"/>
        </w:rPr>
        <w:t xml:space="preserve"> </w:t>
      </w:r>
    </w:p>
    <w:p w:rsidR="00256BC5" w:rsidRPr="007C17A7" w:rsidRDefault="00256BC5" w:rsidP="00EA39DE">
      <w:pPr>
        <w:shd w:val="clear" w:color="auto" w:fill="FFFFFF" w:themeFill="background1"/>
        <w:spacing w:before="120" w:after="0" w:line="240" w:lineRule="auto"/>
        <w:contextualSpacing/>
        <w:jc w:val="both"/>
        <w:rPr>
          <w:rFonts w:ascii="Calibri" w:hAnsi="Calibri" w:cs="Calibri"/>
          <w:b/>
          <w:bCs/>
          <w:sz w:val="24"/>
          <w:szCs w:val="24"/>
        </w:rPr>
      </w:pPr>
      <w:r w:rsidRPr="007C17A7">
        <w:rPr>
          <w:rFonts w:ascii="Calibri" w:hAnsi="Calibri" w:cs="Calibri"/>
          <w:b/>
          <w:bCs/>
          <w:sz w:val="24"/>
          <w:szCs w:val="24"/>
        </w:rPr>
        <w:t>New vaccine introduction</w:t>
      </w:r>
      <w:r w:rsidRPr="007C17A7">
        <w:rPr>
          <w:rFonts w:ascii="Calibri" w:hAnsi="Calibri" w:cs="Calibri"/>
          <w:b/>
          <w:bCs/>
          <w:sz w:val="24"/>
          <w:szCs w:val="24"/>
          <w:lang w:val="ka-GE"/>
        </w:rPr>
        <w:t xml:space="preserve"> - </w:t>
      </w:r>
      <w:r w:rsidRPr="007C17A7">
        <w:rPr>
          <w:rFonts w:ascii="Calibri" w:hAnsi="Calibri" w:cs="Calibri"/>
          <w:b/>
          <w:bCs/>
          <w:sz w:val="24"/>
          <w:szCs w:val="24"/>
        </w:rPr>
        <w:t>HPV vaccine</w:t>
      </w:r>
    </w:p>
    <w:p w:rsidR="00C52EC4" w:rsidRDefault="00351A5F" w:rsidP="00EA39DE">
      <w:pPr>
        <w:spacing w:after="120" w:line="240" w:lineRule="auto"/>
        <w:contextualSpacing/>
        <w:jc w:val="both"/>
        <w:rPr>
          <w:rFonts w:ascii="Calibri" w:hAnsi="Calibri" w:cs="Calibri"/>
          <w:sz w:val="24"/>
          <w:szCs w:val="24"/>
        </w:rPr>
      </w:pPr>
      <w:r w:rsidRPr="007C17A7">
        <w:rPr>
          <w:rFonts w:ascii="Calibri" w:hAnsi="Calibri" w:cs="Calibri"/>
          <w:sz w:val="24"/>
          <w:szCs w:val="24"/>
        </w:rPr>
        <w:t>WHO EURO</w:t>
      </w:r>
      <w:r w:rsidR="009E066E" w:rsidRPr="007C17A7">
        <w:rPr>
          <w:rFonts w:ascii="Calibri" w:hAnsi="Calibri" w:cs="Calibri"/>
          <w:sz w:val="24"/>
          <w:szCs w:val="24"/>
        </w:rPr>
        <w:t xml:space="preserve"> </w:t>
      </w:r>
      <w:r w:rsidR="00CE3BE1" w:rsidRPr="007C17A7">
        <w:rPr>
          <w:rFonts w:ascii="Calibri" w:hAnsi="Calibri" w:cs="Calibri"/>
          <w:sz w:val="24"/>
          <w:szCs w:val="24"/>
        </w:rPr>
        <w:t xml:space="preserve">provided </w:t>
      </w:r>
      <w:r w:rsidR="00974150" w:rsidRPr="007C17A7">
        <w:rPr>
          <w:rFonts w:ascii="Calibri" w:hAnsi="Calibri" w:cs="Calibri"/>
          <w:sz w:val="24"/>
          <w:szCs w:val="24"/>
        </w:rPr>
        <w:t>support</w:t>
      </w:r>
      <w:r w:rsidR="00CE3BE1" w:rsidRPr="007C17A7">
        <w:rPr>
          <w:rFonts w:ascii="Calibri" w:hAnsi="Calibri" w:cs="Calibri"/>
          <w:sz w:val="24"/>
          <w:szCs w:val="24"/>
        </w:rPr>
        <w:t xml:space="preserve"> to organize </w:t>
      </w:r>
      <w:r w:rsidR="009E066E" w:rsidRPr="007C17A7">
        <w:rPr>
          <w:rFonts w:ascii="Calibri" w:hAnsi="Calibri" w:cs="Calibri"/>
          <w:sz w:val="24"/>
          <w:szCs w:val="24"/>
        </w:rPr>
        <w:t>a</w:t>
      </w:r>
      <w:r w:rsidRPr="007C17A7">
        <w:rPr>
          <w:rFonts w:ascii="Calibri" w:hAnsi="Calibri" w:cs="Calibri"/>
          <w:sz w:val="24"/>
          <w:szCs w:val="24"/>
        </w:rPr>
        <w:t xml:space="preserve"> national conference for leading clinicians and medical academia on 1 July 2016 in Tbilisi</w:t>
      </w:r>
      <w:r w:rsidR="009D6984" w:rsidRPr="007C17A7">
        <w:rPr>
          <w:rFonts w:ascii="Calibri" w:hAnsi="Calibri" w:cs="Calibri"/>
          <w:sz w:val="24"/>
          <w:szCs w:val="24"/>
        </w:rPr>
        <w:t>, Georgia to facilitate the HPV vaccine introduction</w:t>
      </w:r>
      <w:r w:rsidRPr="007C17A7">
        <w:rPr>
          <w:rFonts w:ascii="Calibri" w:hAnsi="Calibri" w:cs="Calibri"/>
          <w:sz w:val="24"/>
          <w:szCs w:val="24"/>
        </w:rPr>
        <w:t>.</w:t>
      </w:r>
      <w:r w:rsidR="009D6984" w:rsidRPr="007C17A7">
        <w:rPr>
          <w:rFonts w:ascii="Calibri" w:hAnsi="Calibri" w:cs="Calibri"/>
          <w:sz w:val="24"/>
          <w:szCs w:val="24"/>
        </w:rPr>
        <w:t xml:space="preserve"> </w:t>
      </w:r>
      <w:r w:rsidR="00ED7BD0" w:rsidRPr="007C17A7">
        <w:rPr>
          <w:rFonts w:ascii="Calibri" w:hAnsi="Calibri" w:cs="Calibri"/>
          <w:sz w:val="24"/>
          <w:szCs w:val="24"/>
        </w:rPr>
        <w:t>WHO</w:t>
      </w:r>
      <w:r w:rsidR="009D6984" w:rsidRPr="007C17A7">
        <w:rPr>
          <w:rFonts w:ascii="Calibri" w:hAnsi="Calibri" w:cs="Calibri"/>
          <w:sz w:val="24"/>
          <w:szCs w:val="24"/>
        </w:rPr>
        <w:t xml:space="preserve"> also supported Georgia in</w:t>
      </w:r>
      <w:r w:rsidR="00356B78" w:rsidRPr="007C17A7">
        <w:rPr>
          <w:rFonts w:ascii="Calibri" w:hAnsi="Calibri" w:cs="Calibri"/>
          <w:sz w:val="24"/>
          <w:szCs w:val="24"/>
        </w:rPr>
        <w:t xml:space="preserve"> Development</w:t>
      </w:r>
      <w:r w:rsidRPr="007C17A7">
        <w:rPr>
          <w:rFonts w:ascii="Calibri" w:hAnsi="Calibri" w:cs="Calibri"/>
          <w:sz w:val="24"/>
          <w:szCs w:val="24"/>
        </w:rPr>
        <w:t xml:space="preserve"> of proposal to GAVI </w:t>
      </w:r>
      <w:r w:rsidR="00356B78" w:rsidRPr="007C17A7">
        <w:rPr>
          <w:rFonts w:ascii="Calibri" w:hAnsi="Calibri" w:cs="Calibri"/>
          <w:sz w:val="24"/>
          <w:szCs w:val="24"/>
        </w:rPr>
        <w:t xml:space="preserve">on </w:t>
      </w:r>
      <w:r w:rsidRPr="007C17A7">
        <w:rPr>
          <w:rFonts w:ascii="Calibri" w:hAnsi="Calibri" w:cs="Calibri"/>
          <w:sz w:val="24"/>
          <w:szCs w:val="24"/>
        </w:rPr>
        <w:t>implementation of HPV vaccine demonstration project</w:t>
      </w:r>
      <w:r w:rsidR="00ED7BD0" w:rsidRPr="007C17A7">
        <w:rPr>
          <w:rFonts w:ascii="Calibri" w:hAnsi="Calibri" w:cs="Calibri"/>
          <w:sz w:val="24"/>
          <w:szCs w:val="24"/>
        </w:rPr>
        <w:t xml:space="preserve">, including </w:t>
      </w:r>
      <w:r w:rsidRPr="007C17A7">
        <w:rPr>
          <w:rFonts w:ascii="Calibri" w:hAnsi="Calibri" w:cs="Calibri"/>
          <w:sz w:val="24"/>
          <w:szCs w:val="24"/>
        </w:rPr>
        <w:lastRenderedPageBreak/>
        <w:t xml:space="preserve">definition of HPV vaccine delivery system, preliminary estimate of HPV vaccination cost, and outlining communication and social </w:t>
      </w:r>
      <w:r w:rsidR="00B10534" w:rsidRPr="007C17A7">
        <w:rPr>
          <w:rFonts w:ascii="Calibri" w:hAnsi="Calibri" w:cs="Calibri"/>
          <w:sz w:val="24"/>
          <w:szCs w:val="24"/>
        </w:rPr>
        <w:t>mobilization</w:t>
      </w:r>
      <w:r w:rsidRPr="007C17A7">
        <w:rPr>
          <w:rFonts w:ascii="Calibri" w:hAnsi="Calibri" w:cs="Calibri"/>
          <w:sz w:val="24"/>
          <w:szCs w:val="24"/>
        </w:rPr>
        <w:t xml:space="preserve"> </w:t>
      </w:r>
      <w:proofErr w:type="gramStart"/>
      <w:r w:rsidRPr="007C17A7">
        <w:rPr>
          <w:rFonts w:ascii="Calibri" w:hAnsi="Calibri" w:cs="Calibri"/>
          <w:sz w:val="24"/>
          <w:szCs w:val="24"/>
        </w:rPr>
        <w:t>strategy.</w:t>
      </w:r>
      <w:proofErr w:type="gramEnd"/>
      <w:r w:rsidRPr="007C17A7">
        <w:rPr>
          <w:rFonts w:ascii="Calibri" w:hAnsi="Calibri" w:cs="Calibri"/>
          <w:sz w:val="24"/>
          <w:szCs w:val="24"/>
        </w:rPr>
        <w:t xml:space="preserve"> </w:t>
      </w:r>
    </w:p>
    <w:p w:rsidR="00BE7D66" w:rsidRPr="0012710C" w:rsidRDefault="00B71C65" w:rsidP="00EA39DE">
      <w:pPr>
        <w:spacing w:before="240" w:after="120" w:line="240" w:lineRule="auto"/>
        <w:jc w:val="both"/>
        <w:rPr>
          <w:rFonts w:ascii="Calibri" w:hAnsi="Calibri" w:cs="Calibri"/>
          <w:sz w:val="16"/>
          <w:szCs w:val="16"/>
        </w:rPr>
      </w:pPr>
      <w:r w:rsidRPr="0012710C">
        <w:rPr>
          <w:rFonts w:ascii="Calibri" w:hAnsi="Calibri" w:cs="Calibri"/>
          <w:sz w:val="24"/>
          <w:szCs w:val="24"/>
        </w:rPr>
        <w:t>Other most recent introductions also include:</w:t>
      </w:r>
      <w:r w:rsidRPr="0012710C">
        <w:rPr>
          <w:rFonts w:cstheme="minorHAnsi"/>
        </w:rPr>
        <w:t xml:space="preserve"> rotavirus vaccine in 2013, the PCV10 in late 2014 (with GAVI support), IPV (switch from Penta to Hexavalent vaccine) in 2015 followed by transition to bivalent Oral Polio Vaccine (</w:t>
      </w:r>
      <w:proofErr w:type="spellStart"/>
      <w:r w:rsidRPr="0012710C">
        <w:rPr>
          <w:rFonts w:cstheme="minorHAnsi"/>
        </w:rPr>
        <w:t>bOPV</w:t>
      </w:r>
      <w:proofErr w:type="spellEnd"/>
      <w:r w:rsidRPr="0012710C">
        <w:rPr>
          <w:rFonts w:cstheme="minorHAnsi"/>
        </w:rPr>
        <w:t>) in 2016.</w:t>
      </w:r>
    </w:p>
    <w:p w:rsidR="00256BC5" w:rsidRPr="007C17A7" w:rsidRDefault="00256BC5" w:rsidP="00EA39DE">
      <w:pPr>
        <w:spacing w:before="240" w:after="0" w:line="240" w:lineRule="auto"/>
        <w:contextualSpacing/>
        <w:rPr>
          <w:rFonts w:ascii="Calibri" w:hAnsi="Calibri" w:cs="Calibri"/>
          <w:b/>
          <w:bCs/>
          <w:sz w:val="24"/>
          <w:szCs w:val="24"/>
          <w:lang w:val="ka-GE"/>
        </w:rPr>
      </w:pPr>
      <w:r w:rsidRPr="007C17A7">
        <w:rPr>
          <w:rFonts w:ascii="Calibri" w:hAnsi="Calibri" w:cs="Calibri"/>
          <w:b/>
          <w:bCs/>
          <w:sz w:val="24"/>
          <w:szCs w:val="24"/>
        </w:rPr>
        <w:t>Evidence-based decision making</w:t>
      </w:r>
    </w:p>
    <w:p w:rsidR="0074442B" w:rsidRDefault="00ED7BD0" w:rsidP="00EA39DE">
      <w:pPr>
        <w:spacing w:after="0" w:line="240" w:lineRule="auto"/>
        <w:contextualSpacing/>
        <w:jc w:val="both"/>
        <w:rPr>
          <w:rFonts w:ascii="Calibri" w:hAnsi="Calibri" w:cs="Calibri"/>
          <w:sz w:val="24"/>
          <w:szCs w:val="24"/>
        </w:rPr>
      </w:pPr>
      <w:r w:rsidRPr="007C17A7">
        <w:rPr>
          <w:rFonts w:ascii="Calibri" w:hAnsi="Calibri" w:cs="Calibri"/>
          <w:sz w:val="24"/>
          <w:szCs w:val="24"/>
        </w:rPr>
        <w:t xml:space="preserve">Georgia </w:t>
      </w:r>
      <w:r w:rsidR="005C4C14" w:rsidRPr="007C17A7">
        <w:rPr>
          <w:rFonts w:ascii="Calibri" w:hAnsi="Calibri" w:cs="Calibri"/>
          <w:sz w:val="24"/>
          <w:szCs w:val="24"/>
        </w:rPr>
        <w:t xml:space="preserve">has benefited from WHO support in terms of activities </w:t>
      </w:r>
      <w:r w:rsidR="00F03B9A" w:rsidRPr="007C17A7">
        <w:rPr>
          <w:rFonts w:ascii="Calibri" w:hAnsi="Calibri" w:cs="Calibri"/>
          <w:sz w:val="24"/>
          <w:szCs w:val="24"/>
        </w:rPr>
        <w:t xml:space="preserve">carried out </w:t>
      </w:r>
      <w:r w:rsidR="005C4C14" w:rsidRPr="007C17A7">
        <w:rPr>
          <w:rFonts w:ascii="Calibri" w:hAnsi="Calibri" w:cs="Calibri"/>
          <w:sz w:val="24"/>
          <w:szCs w:val="24"/>
        </w:rPr>
        <w:t xml:space="preserve">to </w:t>
      </w:r>
      <w:r w:rsidR="00827C8C" w:rsidRPr="007C17A7">
        <w:rPr>
          <w:rFonts w:ascii="Calibri" w:hAnsi="Calibri" w:cs="Calibri"/>
          <w:sz w:val="24"/>
          <w:szCs w:val="24"/>
        </w:rPr>
        <w:t xml:space="preserve">make </w:t>
      </w:r>
      <w:r w:rsidR="00F03B9A" w:rsidRPr="007C17A7">
        <w:rPr>
          <w:rFonts w:ascii="Calibri" w:hAnsi="Calibri" w:cs="Calibri"/>
          <w:sz w:val="24"/>
          <w:szCs w:val="24"/>
        </w:rPr>
        <w:t>evidence based decision</w:t>
      </w:r>
      <w:r w:rsidR="00827C8C" w:rsidRPr="007C17A7">
        <w:rPr>
          <w:rFonts w:ascii="Calibri" w:hAnsi="Calibri" w:cs="Calibri"/>
          <w:sz w:val="24"/>
          <w:szCs w:val="24"/>
        </w:rPr>
        <w:t>s (</w:t>
      </w:r>
      <w:r w:rsidR="00256BC5" w:rsidRPr="007C17A7">
        <w:rPr>
          <w:rFonts w:ascii="Calibri" w:hAnsi="Calibri" w:cs="Calibri"/>
          <w:sz w:val="24"/>
          <w:szCs w:val="24"/>
        </w:rPr>
        <w:t>Rotavirus and invasive</w:t>
      </w:r>
      <w:r w:rsidR="00827C8C" w:rsidRPr="007C17A7">
        <w:rPr>
          <w:rFonts w:ascii="Calibri" w:hAnsi="Calibri" w:cs="Calibri"/>
          <w:sz w:val="24"/>
          <w:szCs w:val="24"/>
        </w:rPr>
        <w:t xml:space="preserve"> bacterial disease surveillance, </w:t>
      </w:r>
      <w:r w:rsidR="00A67373" w:rsidRPr="007C17A7">
        <w:rPr>
          <w:rFonts w:ascii="Calibri" w:hAnsi="Calibri" w:cs="Calibri"/>
          <w:sz w:val="24"/>
          <w:szCs w:val="24"/>
        </w:rPr>
        <w:t>post-vaccine introduction c</w:t>
      </w:r>
      <w:r w:rsidR="00256BC5" w:rsidRPr="007C17A7">
        <w:rPr>
          <w:rFonts w:ascii="Calibri" w:hAnsi="Calibri" w:cs="Calibri"/>
          <w:sz w:val="24"/>
          <w:szCs w:val="24"/>
        </w:rPr>
        <w:t xml:space="preserve">ost-effectiveness analysis </w:t>
      </w:r>
      <w:r w:rsidR="00A67373" w:rsidRPr="007C17A7">
        <w:rPr>
          <w:rFonts w:ascii="Calibri" w:hAnsi="Calibri" w:cs="Calibri"/>
          <w:sz w:val="24"/>
          <w:szCs w:val="24"/>
        </w:rPr>
        <w:t>of PCV</w:t>
      </w:r>
      <w:r w:rsidRPr="007C17A7">
        <w:rPr>
          <w:rFonts w:ascii="Calibri" w:hAnsi="Calibri" w:cs="Calibri"/>
          <w:sz w:val="24"/>
          <w:szCs w:val="24"/>
        </w:rPr>
        <w:t>,</w:t>
      </w:r>
      <w:r w:rsidR="00A67373" w:rsidRPr="007C17A7">
        <w:rPr>
          <w:rFonts w:ascii="Calibri" w:hAnsi="Calibri" w:cs="Calibri"/>
          <w:sz w:val="24"/>
          <w:szCs w:val="24"/>
        </w:rPr>
        <w:t xml:space="preserve"> </w:t>
      </w:r>
      <w:r w:rsidR="00256BC5" w:rsidRPr="007C17A7">
        <w:rPr>
          <w:rFonts w:ascii="Calibri" w:hAnsi="Calibri" w:cs="Calibri"/>
          <w:sz w:val="24"/>
          <w:szCs w:val="24"/>
        </w:rPr>
        <w:t>IB-VPD surveillance to estimate case fatality ratios for pneumococcal meningitis admissions</w:t>
      </w:r>
      <w:r w:rsidR="004B69C4" w:rsidRPr="007C17A7">
        <w:rPr>
          <w:rFonts w:ascii="Calibri" w:hAnsi="Calibri" w:cs="Calibri"/>
          <w:sz w:val="24"/>
          <w:szCs w:val="24"/>
        </w:rPr>
        <w:t xml:space="preserve">, Serotype replacement monitoring </w:t>
      </w:r>
      <w:r w:rsidRPr="007C17A7">
        <w:rPr>
          <w:rFonts w:ascii="Calibri" w:hAnsi="Calibri" w:cs="Calibri"/>
          <w:sz w:val="24"/>
          <w:szCs w:val="24"/>
        </w:rPr>
        <w:t>e</w:t>
      </w:r>
      <w:r w:rsidR="004B69C4" w:rsidRPr="007C17A7">
        <w:rPr>
          <w:rFonts w:ascii="Calibri" w:hAnsi="Calibri" w:cs="Calibri"/>
          <w:sz w:val="24"/>
          <w:szCs w:val="24"/>
        </w:rPr>
        <w:t>tc.)</w:t>
      </w:r>
      <w:r w:rsidRPr="007C17A7">
        <w:rPr>
          <w:rFonts w:ascii="Calibri" w:hAnsi="Calibri" w:cs="Calibri"/>
          <w:sz w:val="24"/>
          <w:szCs w:val="24"/>
        </w:rPr>
        <w:t>.</w:t>
      </w:r>
    </w:p>
    <w:p w:rsidR="0074442B" w:rsidRPr="0074442B" w:rsidRDefault="0074442B" w:rsidP="00EA39DE">
      <w:pPr>
        <w:spacing w:after="0" w:line="240" w:lineRule="auto"/>
        <w:contextualSpacing/>
        <w:jc w:val="both"/>
        <w:rPr>
          <w:rFonts w:ascii="Calibri" w:hAnsi="Calibri" w:cs="Calibri"/>
          <w:sz w:val="16"/>
          <w:szCs w:val="16"/>
        </w:rPr>
      </w:pPr>
    </w:p>
    <w:p w:rsidR="00256BC5" w:rsidRPr="007C17A7" w:rsidRDefault="00DF0621" w:rsidP="00EA39DE">
      <w:pPr>
        <w:spacing w:before="240" w:after="0" w:line="240" w:lineRule="auto"/>
        <w:contextualSpacing/>
        <w:rPr>
          <w:rFonts w:ascii="Calibri" w:hAnsi="Calibri" w:cs="Calibri"/>
          <w:b/>
          <w:bCs/>
          <w:sz w:val="24"/>
          <w:szCs w:val="24"/>
        </w:rPr>
      </w:pPr>
      <w:r w:rsidRPr="007C17A7">
        <w:rPr>
          <w:rFonts w:ascii="Calibri" w:hAnsi="Calibri" w:cs="Calibri"/>
          <w:b/>
          <w:bCs/>
          <w:sz w:val="24"/>
          <w:szCs w:val="24"/>
        </w:rPr>
        <w:t>S</w:t>
      </w:r>
      <w:r w:rsidR="000510A7" w:rsidRPr="007C17A7">
        <w:rPr>
          <w:rFonts w:ascii="Calibri" w:hAnsi="Calibri" w:cs="Calibri"/>
          <w:b/>
          <w:bCs/>
          <w:sz w:val="24"/>
          <w:szCs w:val="24"/>
        </w:rPr>
        <w:t>trengthening</w:t>
      </w:r>
      <w:r w:rsidR="005F129B" w:rsidRPr="007C17A7">
        <w:rPr>
          <w:rFonts w:ascii="Calibri" w:hAnsi="Calibri" w:cs="Calibri"/>
          <w:b/>
          <w:bCs/>
          <w:sz w:val="24"/>
          <w:szCs w:val="24"/>
        </w:rPr>
        <w:t xml:space="preserve"> </w:t>
      </w:r>
      <w:proofErr w:type="spellStart"/>
      <w:r w:rsidR="005F129B" w:rsidRPr="007C17A7">
        <w:rPr>
          <w:rFonts w:ascii="Calibri" w:hAnsi="Calibri" w:cs="Calibri"/>
          <w:b/>
          <w:bCs/>
          <w:sz w:val="24"/>
          <w:szCs w:val="24"/>
        </w:rPr>
        <w:t>pharmaco</w:t>
      </w:r>
      <w:proofErr w:type="spellEnd"/>
      <w:r w:rsidR="0098738C" w:rsidRPr="007C17A7">
        <w:rPr>
          <w:rFonts w:ascii="Calibri" w:hAnsi="Calibri" w:cs="Calibri"/>
          <w:b/>
          <w:bCs/>
          <w:sz w:val="24"/>
          <w:szCs w:val="24"/>
        </w:rPr>
        <w:t>-</w:t>
      </w:r>
      <w:r w:rsidR="005F129B" w:rsidRPr="007C17A7">
        <w:rPr>
          <w:rFonts w:ascii="Calibri" w:hAnsi="Calibri" w:cs="Calibri"/>
          <w:b/>
          <w:bCs/>
          <w:sz w:val="24"/>
          <w:szCs w:val="24"/>
        </w:rPr>
        <w:t>vigilance function (AEFI surveillance system) of the NRA</w:t>
      </w:r>
      <w:r w:rsidR="00256BC5" w:rsidRPr="007C17A7">
        <w:rPr>
          <w:rFonts w:ascii="Calibri" w:hAnsi="Calibri" w:cs="Calibri"/>
          <w:b/>
          <w:bCs/>
          <w:sz w:val="24"/>
          <w:szCs w:val="24"/>
        </w:rPr>
        <w:t xml:space="preserve"> </w:t>
      </w:r>
    </w:p>
    <w:p w:rsidR="00BE7D66" w:rsidRDefault="00256BC5" w:rsidP="00EA39DE">
      <w:pPr>
        <w:spacing w:before="240" w:after="120" w:line="240" w:lineRule="auto"/>
        <w:contextualSpacing/>
        <w:jc w:val="both"/>
        <w:rPr>
          <w:rFonts w:ascii="Calibri" w:hAnsi="Calibri" w:cs="Calibri"/>
          <w:sz w:val="24"/>
          <w:szCs w:val="24"/>
        </w:rPr>
      </w:pPr>
      <w:r w:rsidRPr="007C17A7">
        <w:rPr>
          <w:rFonts w:ascii="Calibri" w:hAnsi="Calibri" w:cs="Calibri"/>
          <w:sz w:val="24"/>
          <w:szCs w:val="24"/>
        </w:rPr>
        <w:t>WHO supported development of a Strategic Plan for NRA (Short-, M</w:t>
      </w:r>
      <w:r w:rsidR="00CF3AB1" w:rsidRPr="007C17A7">
        <w:rPr>
          <w:rFonts w:ascii="Calibri" w:hAnsi="Calibri" w:cs="Calibri"/>
          <w:sz w:val="24"/>
          <w:szCs w:val="24"/>
        </w:rPr>
        <w:t>id</w:t>
      </w:r>
      <w:r w:rsidRPr="007C17A7">
        <w:rPr>
          <w:rFonts w:ascii="Calibri" w:hAnsi="Calibri" w:cs="Calibri"/>
          <w:sz w:val="24"/>
          <w:szCs w:val="24"/>
        </w:rPr>
        <w:t>- &amp; Long-Term Planning) and capacity building of NRA by ensuring participation in trainings and workshops (</w:t>
      </w:r>
      <w:r w:rsidR="0098738C" w:rsidRPr="007C17A7">
        <w:rPr>
          <w:rFonts w:ascii="Calibri" w:hAnsi="Calibri" w:cs="Calibri"/>
          <w:sz w:val="24"/>
          <w:szCs w:val="24"/>
        </w:rPr>
        <w:t>m</w:t>
      </w:r>
      <w:r w:rsidRPr="007C17A7">
        <w:rPr>
          <w:rFonts w:ascii="Calibri" w:hAnsi="Calibri" w:cs="Calibri"/>
          <w:sz w:val="24"/>
          <w:szCs w:val="24"/>
        </w:rPr>
        <w:t xml:space="preserve">arketing </w:t>
      </w:r>
      <w:r w:rsidR="0098738C" w:rsidRPr="007C17A7">
        <w:rPr>
          <w:rFonts w:ascii="Calibri" w:hAnsi="Calibri" w:cs="Calibri"/>
          <w:sz w:val="24"/>
          <w:szCs w:val="24"/>
        </w:rPr>
        <w:t>a</w:t>
      </w:r>
      <w:r w:rsidRPr="007C17A7">
        <w:rPr>
          <w:rFonts w:ascii="Calibri" w:hAnsi="Calibri" w:cs="Calibri"/>
          <w:sz w:val="24"/>
          <w:szCs w:val="24"/>
        </w:rPr>
        <w:t xml:space="preserve">uthorization </w:t>
      </w:r>
      <w:r w:rsidR="0098738C" w:rsidRPr="007C17A7">
        <w:rPr>
          <w:rFonts w:ascii="Calibri" w:hAnsi="Calibri" w:cs="Calibri"/>
          <w:sz w:val="24"/>
          <w:szCs w:val="24"/>
        </w:rPr>
        <w:t>p</w:t>
      </w:r>
      <w:r w:rsidRPr="007C17A7">
        <w:rPr>
          <w:rFonts w:ascii="Calibri" w:hAnsi="Calibri" w:cs="Calibri"/>
          <w:sz w:val="24"/>
          <w:szCs w:val="24"/>
        </w:rPr>
        <w:t>rocess, licensing of medicinal products (vaccines) and etc.).</w:t>
      </w:r>
    </w:p>
    <w:p w:rsidR="00BE7D66" w:rsidRDefault="00256BC5" w:rsidP="00EA39DE">
      <w:pPr>
        <w:spacing w:before="240" w:after="120" w:line="240" w:lineRule="auto"/>
        <w:contextualSpacing/>
        <w:jc w:val="both"/>
        <w:rPr>
          <w:rFonts w:ascii="Calibri" w:hAnsi="Calibri" w:cs="Calibri"/>
          <w:bCs/>
          <w:sz w:val="24"/>
          <w:szCs w:val="24"/>
        </w:rPr>
      </w:pPr>
      <w:r w:rsidRPr="007C17A7">
        <w:rPr>
          <w:rFonts w:ascii="Calibri" w:hAnsi="Calibri" w:cs="Calibri"/>
          <w:b/>
          <w:bCs/>
          <w:sz w:val="24"/>
          <w:szCs w:val="24"/>
        </w:rPr>
        <w:t xml:space="preserve">Program performance and data quality </w:t>
      </w:r>
    </w:p>
    <w:p w:rsidR="00227346" w:rsidRDefault="00E66938" w:rsidP="00EA39DE">
      <w:pPr>
        <w:spacing w:before="120" w:after="120" w:line="240" w:lineRule="auto"/>
        <w:contextualSpacing/>
        <w:jc w:val="both"/>
        <w:rPr>
          <w:rFonts w:ascii="Calibri" w:hAnsi="Calibri" w:cs="Calibri"/>
          <w:sz w:val="24"/>
          <w:szCs w:val="24"/>
        </w:rPr>
      </w:pPr>
      <w:r w:rsidRPr="007C17A7">
        <w:rPr>
          <w:rFonts w:ascii="Calibri" w:hAnsi="Calibri" w:cs="Calibri"/>
          <w:sz w:val="24"/>
          <w:szCs w:val="24"/>
        </w:rPr>
        <w:t>I</w:t>
      </w:r>
      <w:r w:rsidR="00B77C05" w:rsidRPr="007C17A7">
        <w:rPr>
          <w:rFonts w:ascii="Calibri" w:hAnsi="Calibri" w:cs="Calibri"/>
          <w:sz w:val="24"/>
          <w:szCs w:val="24"/>
        </w:rPr>
        <w:t>mmunization coverage survey</w:t>
      </w:r>
      <w:r w:rsidR="00767C6F" w:rsidRPr="007C17A7">
        <w:rPr>
          <w:rFonts w:ascii="Calibri" w:hAnsi="Calibri" w:cs="Calibri"/>
          <w:sz w:val="24"/>
          <w:szCs w:val="24"/>
        </w:rPr>
        <w:t xml:space="preserve"> in three major cities</w:t>
      </w:r>
      <w:r w:rsidR="00B77C05" w:rsidRPr="007C17A7">
        <w:rPr>
          <w:rFonts w:ascii="Calibri" w:hAnsi="Calibri" w:cs="Calibri"/>
          <w:sz w:val="24"/>
          <w:szCs w:val="24"/>
        </w:rPr>
        <w:t xml:space="preserve"> </w:t>
      </w:r>
      <w:r w:rsidR="00767C6F" w:rsidRPr="007C17A7">
        <w:rPr>
          <w:rFonts w:ascii="Calibri" w:hAnsi="Calibri" w:cs="Calibri"/>
          <w:sz w:val="24"/>
          <w:szCs w:val="24"/>
        </w:rPr>
        <w:t xml:space="preserve">(Tbilisi, Kutaisi and Batumi) and rest of Georgia was </w:t>
      </w:r>
      <w:r w:rsidR="00B77C05" w:rsidRPr="007C17A7">
        <w:rPr>
          <w:rFonts w:ascii="Calibri" w:hAnsi="Calibri" w:cs="Calibri"/>
          <w:sz w:val="24"/>
          <w:szCs w:val="24"/>
        </w:rPr>
        <w:t>implemented</w:t>
      </w:r>
      <w:r w:rsidR="00BF6263" w:rsidRPr="007C17A7">
        <w:rPr>
          <w:rFonts w:ascii="Calibri" w:hAnsi="Calibri" w:cs="Calibri"/>
          <w:sz w:val="24"/>
          <w:szCs w:val="24"/>
        </w:rPr>
        <w:t xml:space="preserve"> </w:t>
      </w:r>
      <w:r w:rsidR="00767C6F" w:rsidRPr="007C17A7">
        <w:rPr>
          <w:rFonts w:ascii="Calibri" w:hAnsi="Calibri" w:cs="Calibri"/>
          <w:sz w:val="24"/>
          <w:szCs w:val="24"/>
        </w:rPr>
        <w:t xml:space="preserve">with US CDC and WHO support. </w:t>
      </w:r>
      <w:r w:rsidR="00157D56" w:rsidRPr="007C17A7">
        <w:rPr>
          <w:rFonts w:ascii="Calibri" w:hAnsi="Calibri" w:cs="Calibri"/>
          <w:sz w:val="24"/>
          <w:szCs w:val="24"/>
        </w:rPr>
        <w:t xml:space="preserve">The </w:t>
      </w:r>
      <w:r w:rsidR="00B77C05" w:rsidRPr="007C17A7">
        <w:rPr>
          <w:rFonts w:ascii="Calibri" w:hAnsi="Calibri" w:cs="Calibri"/>
          <w:sz w:val="24"/>
          <w:szCs w:val="24"/>
        </w:rPr>
        <w:t>final report develop</w:t>
      </w:r>
      <w:r w:rsidR="00E47758" w:rsidRPr="007C17A7">
        <w:rPr>
          <w:rFonts w:ascii="Calibri" w:hAnsi="Calibri" w:cs="Calibri"/>
          <w:sz w:val="24"/>
          <w:szCs w:val="24"/>
        </w:rPr>
        <w:t xml:space="preserve">ed both </w:t>
      </w:r>
      <w:r w:rsidR="00157D56" w:rsidRPr="007C17A7">
        <w:rPr>
          <w:rFonts w:ascii="Calibri" w:hAnsi="Calibri" w:cs="Calibri"/>
          <w:sz w:val="24"/>
          <w:szCs w:val="24"/>
        </w:rPr>
        <w:t xml:space="preserve">in </w:t>
      </w:r>
      <w:r w:rsidR="00E47758" w:rsidRPr="007C17A7">
        <w:rPr>
          <w:rFonts w:ascii="Calibri" w:hAnsi="Calibri" w:cs="Calibri"/>
          <w:sz w:val="24"/>
          <w:szCs w:val="24"/>
        </w:rPr>
        <w:t>Georgian and English languages.</w:t>
      </w:r>
    </w:p>
    <w:p w:rsidR="00BE7D66" w:rsidRPr="00BE7D66" w:rsidRDefault="00BE7D66" w:rsidP="00EA39DE">
      <w:pPr>
        <w:spacing w:before="120" w:after="120" w:line="240" w:lineRule="auto"/>
        <w:contextualSpacing/>
        <w:jc w:val="both"/>
        <w:rPr>
          <w:rFonts w:ascii="Calibri" w:hAnsi="Calibri" w:cs="Calibri"/>
          <w:sz w:val="16"/>
          <w:szCs w:val="16"/>
        </w:rPr>
      </w:pPr>
    </w:p>
    <w:p w:rsidR="00860E6F" w:rsidRDefault="00CF4CA6" w:rsidP="00EA39DE">
      <w:pPr>
        <w:spacing w:before="120" w:after="120" w:line="240" w:lineRule="auto"/>
        <w:contextualSpacing/>
        <w:jc w:val="both"/>
        <w:rPr>
          <w:rFonts w:ascii="Calibri" w:hAnsi="Calibri" w:cs="Calibri"/>
          <w:sz w:val="24"/>
          <w:szCs w:val="24"/>
        </w:rPr>
      </w:pPr>
      <w:r w:rsidRPr="007C17A7">
        <w:rPr>
          <w:rFonts w:ascii="Calibri" w:hAnsi="Calibri" w:cs="Calibri"/>
          <w:sz w:val="24"/>
          <w:szCs w:val="24"/>
        </w:rPr>
        <w:t xml:space="preserve">NCDC has worked on situation analysis </w:t>
      </w:r>
      <w:r w:rsidR="00C2622E" w:rsidRPr="007C17A7">
        <w:rPr>
          <w:rFonts w:ascii="Calibri" w:hAnsi="Calibri" w:cs="Calibri"/>
          <w:sz w:val="24"/>
          <w:szCs w:val="24"/>
        </w:rPr>
        <w:t xml:space="preserve">regarding the </w:t>
      </w:r>
      <w:r w:rsidRPr="007C17A7">
        <w:rPr>
          <w:rFonts w:ascii="Calibri" w:hAnsi="Calibri" w:cs="Calibri"/>
          <w:b/>
          <w:sz w:val="24"/>
          <w:szCs w:val="24"/>
        </w:rPr>
        <w:t>Measles, Rubella and Congenital Rubella Syndrome in Georgia</w:t>
      </w:r>
      <w:r w:rsidR="00C2622E" w:rsidRPr="007C17A7">
        <w:rPr>
          <w:rFonts w:ascii="Calibri" w:hAnsi="Calibri" w:cs="Calibri"/>
          <w:sz w:val="24"/>
          <w:szCs w:val="24"/>
        </w:rPr>
        <w:t xml:space="preserve"> and developed </w:t>
      </w:r>
      <w:r w:rsidRPr="007C17A7">
        <w:rPr>
          <w:rFonts w:ascii="Calibri" w:hAnsi="Calibri" w:cs="Calibri"/>
          <w:b/>
          <w:sz w:val="24"/>
          <w:szCs w:val="24"/>
        </w:rPr>
        <w:t xml:space="preserve">the National Action </w:t>
      </w:r>
      <w:r w:rsidR="00C2622E" w:rsidRPr="007C17A7">
        <w:rPr>
          <w:rFonts w:ascii="Calibri" w:hAnsi="Calibri" w:cs="Calibri"/>
          <w:b/>
          <w:sz w:val="24"/>
          <w:szCs w:val="24"/>
        </w:rPr>
        <w:t>Plan for their Elimination</w:t>
      </w:r>
      <w:r w:rsidR="00C2622E" w:rsidRPr="007C17A7">
        <w:rPr>
          <w:rFonts w:ascii="Calibri" w:hAnsi="Calibri" w:cs="Calibri"/>
          <w:sz w:val="24"/>
          <w:szCs w:val="24"/>
        </w:rPr>
        <w:t xml:space="preserve"> with US CDC support.</w:t>
      </w:r>
    </w:p>
    <w:p w:rsidR="00BE7D66" w:rsidRPr="00BE7D66" w:rsidRDefault="00BE7D66" w:rsidP="00EA39DE">
      <w:pPr>
        <w:spacing w:before="120" w:after="120" w:line="240" w:lineRule="auto"/>
        <w:contextualSpacing/>
        <w:jc w:val="both"/>
        <w:rPr>
          <w:rFonts w:ascii="Calibri" w:hAnsi="Calibri" w:cs="Calibri"/>
          <w:sz w:val="16"/>
          <w:szCs w:val="16"/>
        </w:rPr>
      </w:pPr>
    </w:p>
    <w:p w:rsidR="007B5DDB" w:rsidRDefault="00860E6F" w:rsidP="00EA39DE">
      <w:pPr>
        <w:spacing w:after="0" w:line="240" w:lineRule="auto"/>
        <w:contextualSpacing/>
        <w:jc w:val="both"/>
        <w:rPr>
          <w:rFonts w:ascii="Calibri" w:hAnsi="Calibri" w:cs="Calibri"/>
          <w:sz w:val="24"/>
          <w:szCs w:val="24"/>
        </w:rPr>
      </w:pPr>
      <w:r w:rsidRPr="007C17A7">
        <w:rPr>
          <w:rFonts w:ascii="Calibri" w:hAnsi="Calibri" w:cs="Calibri"/>
          <w:b/>
          <w:sz w:val="24"/>
          <w:szCs w:val="24"/>
        </w:rPr>
        <w:t>Immunization</w:t>
      </w:r>
      <w:r w:rsidRPr="007C17A7">
        <w:rPr>
          <w:rFonts w:ascii="Calibri" w:hAnsi="Calibri" w:cs="Calibri"/>
          <w:sz w:val="24"/>
          <w:szCs w:val="24"/>
        </w:rPr>
        <w:t xml:space="preserve"> </w:t>
      </w:r>
      <w:r w:rsidR="0098738C" w:rsidRPr="007C17A7">
        <w:rPr>
          <w:rFonts w:ascii="Calibri" w:hAnsi="Calibri" w:cs="Calibri"/>
          <w:b/>
          <w:sz w:val="24"/>
          <w:szCs w:val="24"/>
        </w:rPr>
        <w:t>C</w:t>
      </w:r>
      <w:r w:rsidR="00306FF8" w:rsidRPr="007C17A7">
        <w:rPr>
          <w:rFonts w:ascii="Calibri" w:hAnsi="Calibri" w:cs="Calibri"/>
          <w:b/>
          <w:sz w:val="24"/>
          <w:szCs w:val="24"/>
        </w:rPr>
        <w:t xml:space="preserve">ommunication Strategy and Action Plan </w:t>
      </w:r>
      <w:r w:rsidR="00306FF8" w:rsidRPr="007C17A7">
        <w:rPr>
          <w:rFonts w:ascii="Calibri" w:hAnsi="Calibri" w:cs="Calibri"/>
          <w:sz w:val="24"/>
          <w:szCs w:val="24"/>
        </w:rPr>
        <w:t xml:space="preserve">as well as </w:t>
      </w:r>
      <w:r w:rsidR="00306FF8" w:rsidRPr="007C17A7">
        <w:rPr>
          <w:rFonts w:ascii="Calibri" w:hAnsi="Calibri" w:cs="Calibri"/>
          <w:b/>
          <w:sz w:val="24"/>
          <w:szCs w:val="24"/>
        </w:rPr>
        <w:t>Crisis Communication Plan</w:t>
      </w:r>
      <w:r w:rsidR="00306FF8" w:rsidRPr="007C17A7">
        <w:rPr>
          <w:rFonts w:ascii="Calibri" w:hAnsi="Calibri" w:cs="Calibri"/>
          <w:sz w:val="24"/>
          <w:szCs w:val="24"/>
        </w:rPr>
        <w:t xml:space="preserve"> was</w:t>
      </w:r>
      <w:r w:rsidRPr="007C17A7">
        <w:rPr>
          <w:rFonts w:ascii="Calibri" w:hAnsi="Calibri" w:cs="Calibri"/>
          <w:sz w:val="24"/>
          <w:szCs w:val="24"/>
        </w:rPr>
        <w:t xml:space="preserve"> developed </w:t>
      </w:r>
      <w:r w:rsidR="00306FF8" w:rsidRPr="007C17A7">
        <w:rPr>
          <w:rFonts w:ascii="Calibri" w:hAnsi="Calibri" w:cs="Calibri"/>
          <w:sz w:val="24"/>
          <w:szCs w:val="24"/>
        </w:rPr>
        <w:t xml:space="preserve">with UNICEF’s support. </w:t>
      </w:r>
      <w:r w:rsidR="00995174" w:rsidRPr="007C17A7">
        <w:rPr>
          <w:rFonts w:ascii="Calibri" w:hAnsi="Calibri" w:cs="Calibri"/>
          <w:sz w:val="24"/>
          <w:szCs w:val="24"/>
        </w:rPr>
        <w:t xml:space="preserve">In addition </w:t>
      </w:r>
      <w:r w:rsidR="007B5DDB" w:rsidRPr="007C17A7">
        <w:rPr>
          <w:rFonts w:ascii="Calibri" w:hAnsi="Calibri" w:cs="Calibri"/>
          <w:sz w:val="24"/>
          <w:szCs w:val="24"/>
        </w:rPr>
        <w:t>NCDC has carried out KAP surveys</w:t>
      </w:r>
      <w:r w:rsidR="00A56BB0" w:rsidRPr="007C17A7">
        <w:rPr>
          <w:rFonts w:ascii="Calibri" w:hAnsi="Calibri" w:cs="Calibri"/>
          <w:sz w:val="24"/>
          <w:szCs w:val="24"/>
        </w:rPr>
        <w:t xml:space="preserve"> among key stakeholders</w:t>
      </w:r>
      <w:r w:rsidR="00227346" w:rsidRPr="007C17A7">
        <w:rPr>
          <w:rFonts w:ascii="Calibri" w:hAnsi="Calibri" w:cs="Calibri"/>
          <w:sz w:val="24"/>
          <w:szCs w:val="24"/>
        </w:rPr>
        <w:t>.</w:t>
      </w:r>
      <w:r w:rsidR="00A56BB0" w:rsidRPr="007C17A7">
        <w:rPr>
          <w:rFonts w:ascii="Calibri" w:hAnsi="Calibri" w:cs="Calibri"/>
          <w:sz w:val="24"/>
          <w:szCs w:val="24"/>
        </w:rPr>
        <w:t xml:space="preserve"> </w:t>
      </w:r>
      <w:r w:rsidR="007B5DDB" w:rsidRPr="007C17A7">
        <w:rPr>
          <w:rFonts w:ascii="Calibri" w:hAnsi="Calibri" w:cs="Calibri"/>
          <w:sz w:val="24"/>
          <w:szCs w:val="24"/>
        </w:rPr>
        <w:t xml:space="preserve"> </w:t>
      </w:r>
    </w:p>
    <w:p w:rsidR="00BE7D66" w:rsidRPr="00BE7D66" w:rsidRDefault="00BE7D66" w:rsidP="00EA39DE">
      <w:pPr>
        <w:spacing w:after="0" w:line="240" w:lineRule="auto"/>
        <w:contextualSpacing/>
        <w:jc w:val="both"/>
        <w:rPr>
          <w:rFonts w:ascii="Calibri" w:hAnsi="Calibri" w:cs="Calibri"/>
          <w:sz w:val="16"/>
          <w:szCs w:val="16"/>
        </w:rPr>
      </w:pPr>
    </w:p>
    <w:p w:rsidR="00256BC5" w:rsidRPr="007C17A7" w:rsidRDefault="008001BE" w:rsidP="00EA39DE">
      <w:pPr>
        <w:spacing w:before="120" w:after="0" w:line="240" w:lineRule="auto"/>
        <w:contextualSpacing/>
        <w:jc w:val="both"/>
        <w:rPr>
          <w:rFonts w:ascii="Calibri" w:hAnsi="Calibri" w:cs="Calibri"/>
          <w:bCs/>
          <w:sz w:val="24"/>
          <w:szCs w:val="24"/>
        </w:rPr>
      </w:pPr>
      <w:r w:rsidRPr="007C17A7">
        <w:rPr>
          <w:rFonts w:ascii="Calibri" w:hAnsi="Calibri" w:cs="Calibri"/>
          <w:bCs/>
          <w:sz w:val="24"/>
          <w:szCs w:val="24"/>
        </w:rPr>
        <w:t xml:space="preserve">UNICEF has supported </w:t>
      </w:r>
      <w:r w:rsidR="0098738C" w:rsidRPr="007C17A7">
        <w:rPr>
          <w:rFonts w:ascii="Calibri" w:hAnsi="Calibri" w:cs="Calibri"/>
          <w:bCs/>
          <w:sz w:val="24"/>
          <w:szCs w:val="24"/>
        </w:rPr>
        <w:t xml:space="preserve">in </w:t>
      </w:r>
      <w:r w:rsidRPr="007C17A7">
        <w:rPr>
          <w:rFonts w:ascii="Calibri" w:hAnsi="Calibri" w:cs="Calibri"/>
          <w:b/>
          <w:bCs/>
          <w:sz w:val="24"/>
          <w:szCs w:val="24"/>
        </w:rPr>
        <w:t>a</w:t>
      </w:r>
      <w:r w:rsidR="00860E6F" w:rsidRPr="007C17A7">
        <w:rPr>
          <w:rFonts w:ascii="Calibri" w:hAnsi="Calibri" w:cs="Calibri"/>
          <w:b/>
          <w:bCs/>
          <w:sz w:val="24"/>
          <w:szCs w:val="24"/>
        </w:rPr>
        <w:t>ssessment of the Vaccine Procurement System</w:t>
      </w:r>
      <w:r w:rsidR="00860E6F" w:rsidRPr="007C17A7">
        <w:rPr>
          <w:rFonts w:ascii="Calibri" w:hAnsi="Calibri" w:cs="Calibri"/>
          <w:bCs/>
          <w:sz w:val="24"/>
          <w:szCs w:val="24"/>
        </w:rPr>
        <w:t xml:space="preserve"> in Georgia</w:t>
      </w:r>
      <w:r w:rsidRPr="007C17A7">
        <w:rPr>
          <w:rFonts w:ascii="Calibri" w:hAnsi="Calibri" w:cs="Calibri"/>
          <w:bCs/>
          <w:sz w:val="24"/>
          <w:szCs w:val="24"/>
        </w:rPr>
        <w:t>.</w:t>
      </w:r>
    </w:p>
    <w:p w:rsidR="0074442B" w:rsidRPr="0074442B" w:rsidRDefault="0074442B" w:rsidP="00EA39DE">
      <w:pPr>
        <w:spacing w:before="120" w:after="0" w:line="240" w:lineRule="auto"/>
        <w:jc w:val="both"/>
        <w:rPr>
          <w:rFonts w:ascii="Calibri" w:hAnsi="Calibri" w:cs="Calibri"/>
          <w:b/>
          <w:bCs/>
          <w:i/>
          <w:color w:val="365F91" w:themeColor="accent1" w:themeShade="BF"/>
          <w:sz w:val="20"/>
          <w:szCs w:val="20"/>
        </w:rPr>
      </w:pPr>
    </w:p>
    <w:p w:rsidR="00256BC5" w:rsidRDefault="00256BC5" w:rsidP="00EA39DE">
      <w:pPr>
        <w:spacing w:before="120" w:after="0" w:line="240" w:lineRule="auto"/>
        <w:jc w:val="both"/>
        <w:rPr>
          <w:rFonts w:ascii="Calibri" w:hAnsi="Calibri" w:cs="Calibri"/>
          <w:b/>
          <w:bCs/>
          <w:i/>
          <w:color w:val="365F91" w:themeColor="accent1" w:themeShade="BF"/>
          <w:sz w:val="28"/>
          <w:szCs w:val="28"/>
        </w:rPr>
      </w:pPr>
      <w:r w:rsidRPr="00BE7D66">
        <w:rPr>
          <w:rFonts w:ascii="Calibri" w:hAnsi="Calibri" w:cs="Calibri"/>
          <w:b/>
          <w:bCs/>
          <w:i/>
          <w:color w:val="365F91" w:themeColor="accent1" w:themeShade="BF"/>
          <w:sz w:val="28"/>
          <w:szCs w:val="28"/>
        </w:rPr>
        <w:t xml:space="preserve">Challenges </w:t>
      </w:r>
    </w:p>
    <w:p w:rsidR="00921BFA" w:rsidRPr="007C17A7" w:rsidRDefault="00921BFA" w:rsidP="00EA39DE">
      <w:pPr>
        <w:spacing w:before="240" w:after="120" w:line="240" w:lineRule="auto"/>
        <w:jc w:val="both"/>
        <w:rPr>
          <w:rFonts w:ascii="Calibri" w:hAnsi="Calibri" w:cs="Calibri"/>
          <w:sz w:val="24"/>
          <w:szCs w:val="24"/>
        </w:rPr>
      </w:pPr>
      <w:r w:rsidRPr="007C17A7">
        <w:rPr>
          <w:rFonts w:ascii="Calibri" w:eastAsia="Times New Roman" w:hAnsi="Calibri" w:cs="Calibri"/>
          <w:b/>
          <w:bCs/>
          <w:sz w:val="24"/>
          <w:szCs w:val="24"/>
        </w:rPr>
        <w:t>Sustainability of the national immunization program</w:t>
      </w:r>
      <w:r w:rsidRPr="007C17A7">
        <w:rPr>
          <w:rFonts w:ascii="Calibri" w:eastAsia="Times New Roman" w:hAnsi="Calibri" w:cs="Calibri"/>
          <w:bCs/>
          <w:sz w:val="24"/>
          <w:szCs w:val="24"/>
        </w:rPr>
        <w:t xml:space="preserve"> is critically important considering ongoing graduation from GAVI support and the following period</w:t>
      </w:r>
      <w:r w:rsidR="00353940" w:rsidRPr="007C17A7">
        <w:rPr>
          <w:rFonts w:ascii="Calibri" w:eastAsia="Times New Roman" w:hAnsi="Calibri" w:cs="Calibri"/>
          <w:bCs/>
          <w:sz w:val="24"/>
          <w:szCs w:val="24"/>
        </w:rPr>
        <w:t>:</w:t>
      </w:r>
      <w:r w:rsidRPr="007C17A7">
        <w:rPr>
          <w:rFonts w:ascii="Calibri" w:hAnsi="Calibri" w:cs="Calibri"/>
          <w:sz w:val="24"/>
          <w:szCs w:val="24"/>
        </w:rPr>
        <w:t xml:space="preserve"> </w:t>
      </w:r>
    </w:p>
    <w:p w:rsidR="00921BFA" w:rsidRPr="007C17A7" w:rsidRDefault="00921BFA" w:rsidP="00EA39DE">
      <w:pPr>
        <w:pStyle w:val="ListParagraph"/>
        <w:numPr>
          <w:ilvl w:val="0"/>
          <w:numId w:val="40"/>
        </w:numPr>
        <w:spacing w:after="120"/>
        <w:ind w:left="360"/>
        <w:jc w:val="both"/>
        <w:rPr>
          <w:rFonts w:ascii="Calibri" w:hAnsi="Calibri" w:cs="Calibri"/>
          <w:sz w:val="24"/>
          <w:szCs w:val="24"/>
        </w:rPr>
      </w:pPr>
      <w:r w:rsidRPr="007C17A7">
        <w:rPr>
          <w:rFonts w:ascii="Calibri" w:hAnsi="Calibri" w:cs="Calibri"/>
          <w:sz w:val="24"/>
          <w:szCs w:val="24"/>
        </w:rPr>
        <w:t>The ongoing programmatic support will be included in the state budget and may require additional financial provisions</w:t>
      </w:r>
    </w:p>
    <w:p w:rsidR="00921BFA" w:rsidRPr="007C17A7" w:rsidRDefault="00921BFA" w:rsidP="00EA39DE">
      <w:pPr>
        <w:pStyle w:val="ListParagraph"/>
        <w:numPr>
          <w:ilvl w:val="0"/>
          <w:numId w:val="40"/>
        </w:numPr>
        <w:spacing w:after="120"/>
        <w:ind w:left="360"/>
        <w:jc w:val="both"/>
        <w:rPr>
          <w:rFonts w:ascii="Calibri" w:hAnsi="Calibri" w:cs="Calibri"/>
          <w:sz w:val="24"/>
          <w:szCs w:val="24"/>
        </w:rPr>
      </w:pPr>
      <w:r w:rsidRPr="007C17A7">
        <w:rPr>
          <w:rFonts w:ascii="Calibri" w:hAnsi="Calibri" w:cs="Calibri"/>
          <w:sz w:val="24"/>
          <w:szCs w:val="24"/>
        </w:rPr>
        <w:t>Ensuring the partners support in negotiations with vaccine manufacturers to maintain affordable prices after the graduation period</w:t>
      </w:r>
    </w:p>
    <w:p w:rsidR="009B56F7" w:rsidRPr="007C17A7" w:rsidRDefault="00256BC5" w:rsidP="00EA39DE">
      <w:pPr>
        <w:spacing w:line="240" w:lineRule="auto"/>
        <w:contextualSpacing/>
        <w:rPr>
          <w:rFonts w:ascii="Calibri" w:hAnsi="Calibri" w:cs="Calibri"/>
          <w:sz w:val="24"/>
          <w:szCs w:val="24"/>
        </w:rPr>
      </w:pPr>
      <w:r w:rsidRPr="007C17A7">
        <w:rPr>
          <w:rFonts w:ascii="Calibri" w:hAnsi="Calibri" w:cs="Calibri"/>
          <w:sz w:val="24"/>
          <w:szCs w:val="24"/>
        </w:rPr>
        <w:t>Development of effective monitoring and evaluation system</w:t>
      </w:r>
      <w:r w:rsidR="00353940" w:rsidRPr="007C17A7">
        <w:rPr>
          <w:rFonts w:ascii="Calibri" w:hAnsi="Calibri" w:cs="Calibri"/>
          <w:sz w:val="24"/>
          <w:szCs w:val="24"/>
        </w:rPr>
        <w:t>.</w:t>
      </w:r>
    </w:p>
    <w:p w:rsidR="009B56F7" w:rsidRPr="007C17A7" w:rsidRDefault="009B56F7" w:rsidP="00EA39DE">
      <w:pPr>
        <w:spacing w:line="240" w:lineRule="auto"/>
        <w:contextualSpacing/>
        <w:rPr>
          <w:rFonts w:ascii="Calibri" w:hAnsi="Calibri" w:cs="Calibri"/>
          <w:sz w:val="24"/>
          <w:szCs w:val="24"/>
        </w:rPr>
      </w:pPr>
      <w:r w:rsidRPr="007C17A7">
        <w:rPr>
          <w:rFonts w:ascii="Calibri" w:hAnsi="Calibri" w:cs="Calibri"/>
          <w:sz w:val="24"/>
          <w:szCs w:val="24"/>
        </w:rPr>
        <w:t>Development and introduction of the performance based payment mechanism</w:t>
      </w:r>
      <w:r w:rsidR="00353940" w:rsidRPr="007C17A7">
        <w:rPr>
          <w:rFonts w:ascii="Calibri" w:hAnsi="Calibri" w:cs="Calibri"/>
          <w:sz w:val="24"/>
          <w:szCs w:val="24"/>
        </w:rPr>
        <w:t>.</w:t>
      </w:r>
    </w:p>
    <w:p w:rsidR="00EA39DE" w:rsidRDefault="009B56F7" w:rsidP="00EA39DE">
      <w:pPr>
        <w:spacing w:after="120" w:line="240" w:lineRule="auto"/>
        <w:contextualSpacing/>
        <w:jc w:val="both"/>
        <w:rPr>
          <w:rFonts w:ascii="Calibri" w:hAnsi="Calibri" w:cs="Calibri"/>
          <w:sz w:val="24"/>
          <w:szCs w:val="24"/>
        </w:rPr>
      </w:pPr>
      <w:r w:rsidRPr="007C17A7">
        <w:rPr>
          <w:rFonts w:ascii="Calibri" w:hAnsi="Calibri" w:cs="Calibri"/>
          <w:sz w:val="24"/>
          <w:szCs w:val="24"/>
        </w:rPr>
        <w:t>Institutionalize the best vaccine management practices</w:t>
      </w:r>
      <w:r w:rsidR="00353940" w:rsidRPr="007C17A7">
        <w:rPr>
          <w:rFonts w:ascii="Calibri" w:hAnsi="Calibri" w:cs="Calibri"/>
          <w:sz w:val="24"/>
          <w:szCs w:val="24"/>
        </w:rPr>
        <w:t>.</w:t>
      </w:r>
    </w:p>
    <w:p w:rsidR="00EA39DE" w:rsidRDefault="00EA39DE" w:rsidP="00EA39DE">
      <w:pPr>
        <w:spacing w:after="120" w:line="240" w:lineRule="auto"/>
        <w:contextualSpacing/>
        <w:jc w:val="both"/>
        <w:rPr>
          <w:rFonts w:ascii="Calibri" w:hAnsi="Calibri" w:cs="Calibri"/>
          <w:sz w:val="24"/>
          <w:szCs w:val="24"/>
        </w:rPr>
      </w:pPr>
    </w:p>
    <w:p w:rsidR="00EA39DE" w:rsidRPr="00EA39DE" w:rsidRDefault="00EA39DE" w:rsidP="00EA39DE">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________________________________________________________________________________________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EA39DE" w:rsidRPr="00EA39DE" w:rsidTr="00603FA6">
        <w:trPr>
          <w:trHeight w:val="1802"/>
        </w:trPr>
        <w:tc>
          <w:tcPr>
            <w:tcW w:w="5507" w:type="dxa"/>
          </w:tcPr>
          <w:p w:rsidR="00EA39DE" w:rsidRPr="00EA39DE" w:rsidRDefault="00EA39DE" w:rsidP="00603FA6">
            <w:pPr>
              <w:spacing w:after="120"/>
              <w:contextualSpacing/>
              <w:jc w:val="center"/>
              <w:rPr>
                <w:rFonts w:ascii="Calibri" w:hAnsi="Calibri" w:cs="Calibri"/>
                <w:color w:val="365F91" w:themeColor="accent1" w:themeShade="BF"/>
                <w:sz w:val="20"/>
                <w:szCs w:val="20"/>
              </w:rPr>
            </w:pPr>
            <w:bookmarkStart w:id="0" w:name="_GoBack"/>
            <w:bookmarkEnd w:id="0"/>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63360" behindDoc="0" locked="0" layoutInCell="1" allowOverlap="1" wp14:anchorId="51F15356" wp14:editId="3216E189">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EA39DE" w:rsidRPr="00EA39DE" w:rsidRDefault="00EA39DE" w:rsidP="00603FA6">
            <w:pPr>
              <w:spacing w:after="120"/>
              <w:contextualSpacing/>
              <w:jc w:val="center"/>
              <w:rPr>
                <w:rFonts w:ascii="Calibri" w:hAnsi="Calibri" w:cs="Calibri"/>
                <w:color w:val="365F91" w:themeColor="accent1" w:themeShade="BF"/>
                <w:sz w:val="20"/>
                <w:szCs w:val="20"/>
              </w:rPr>
            </w:pPr>
          </w:p>
          <w:p w:rsidR="00EA39DE" w:rsidRPr="00EA39DE" w:rsidRDefault="00EA39DE" w:rsidP="00603FA6">
            <w:pPr>
              <w:spacing w:after="120"/>
              <w:contextualSpacing/>
              <w:jc w:val="center"/>
              <w:rPr>
                <w:rFonts w:ascii="Calibri" w:hAnsi="Calibri" w:cs="Calibri"/>
                <w:color w:val="365F91" w:themeColor="accent1" w:themeShade="BF"/>
                <w:sz w:val="20"/>
                <w:szCs w:val="20"/>
              </w:rPr>
            </w:pPr>
          </w:p>
          <w:p w:rsidR="00EA39DE" w:rsidRPr="00EA39DE" w:rsidRDefault="00EA39DE"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EA39DE" w:rsidRPr="00EA39DE" w:rsidRDefault="00EA39DE" w:rsidP="00603FA6">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 xml:space="preserve">Ministry of </w:t>
            </w:r>
            <w:proofErr w:type="spellStart"/>
            <w:r w:rsidRPr="00EA39DE">
              <w:rPr>
                <w:rFonts w:ascii="Calibri" w:hAnsi="Calibri" w:cs="Calibri"/>
                <w:b w:val="0"/>
                <w:i w:val="0"/>
                <w:color w:val="365F91" w:themeColor="accent1" w:themeShade="BF"/>
                <w:sz w:val="20"/>
                <w:szCs w:val="20"/>
              </w:rPr>
              <w:t>Labour</w:t>
            </w:r>
            <w:proofErr w:type="spellEnd"/>
            <w:r w:rsidRPr="00EA39DE">
              <w:rPr>
                <w:rFonts w:ascii="Calibri" w:hAnsi="Calibri" w:cs="Calibri"/>
                <w:b w:val="0"/>
                <w:i w:val="0"/>
                <w:color w:val="365F91" w:themeColor="accent1" w:themeShade="BF"/>
                <w:sz w:val="20"/>
                <w:szCs w:val="20"/>
              </w:rPr>
              <w:t>, Health and Social Affairs of Georgia</w:t>
            </w:r>
          </w:p>
          <w:p w:rsidR="00EA39DE" w:rsidRPr="00EA39DE" w:rsidRDefault="00EA39DE" w:rsidP="00603FA6">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EA39DE" w:rsidRPr="00EA39DE" w:rsidRDefault="00EA39DE" w:rsidP="00603FA6">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noProof/>
                <w:color w:val="365F91" w:themeColor="accent1" w:themeShade="BF"/>
                <w:sz w:val="20"/>
                <w:szCs w:val="20"/>
              </w:rPr>
              <w:drawing>
                <wp:anchor distT="0" distB="0" distL="114300" distR="114300" simplePos="0" relativeHeight="251662336" behindDoc="0" locked="0" layoutInCell="1" allowOverlap="1" wp14:anchorId="32D70FB3" wp14:editId="7F821213">
                  <wp:simplePos x="0" y="0"/>
                  <wp:positionH relativeFrom="column">
                    <wp:posOffset>866140</wp:posOffset>
                  </wp:positionH>
                  <wp:positionV relativeFrom="paragraph">
                    <wp:posOffset>91440</wp:posOffset>
                  </wp:positionV>
                  <wp:extent cx="1457325" cy="4622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EA39DE" w:rsidRPr="00EA39DE" w:rsidRDefault="00EA39DE" w:rsidP="00603FA6">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EA39DE" w:rsidRPr="00EA39DE" w:rsidRDefault="00EA39DE" w:rsidP="00603FA6">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 xml:space="preserve">9, M. </w:t>
            </w:r>
            <w:proofErr w:type="spellStart"/>
            <w:r w:rsidRPr="00EA39DE">
              <w:rPr>
                <w:rFonts w:ascii="Calibri" w:hAnsi="Calibri" w:cs="Calibri"/>
                <w:b w:val="0"/>
                <w:i w:val="0"/>
                <w:color w:val="365F91" w:themeColor="accent1" w:themeShade="BF"/>
                <w:sz w:val="20"/>
                <w:szCs w:val="20"/>
              </w:rPr>
              <w:t>Asatiani</w:t>
            </w:r>
            <w:proofErr w:type="spellEnd"/>
            <w:r w:rsidRPr="00EA39DE">
              <w:rPr>
                <w:rFonts w:ascii="Calibri" w:hAnsi="Calibri" w:cs="Calibri"/>
                <w:b w:val="0"/>
                <w:i w:val="0"/>
                <w:color w:val="365F91" w:themeColor="accent1" w:themeShade="BF"/>
                <w:sz w:val="20"/>
                <w:szCs w:val="20"/>
              </w:rPr>
              <w:t xml:space="preserve"> </w:t>
            </w:r>
            <w:proofErr w:type="gramStart"/>
            <w:r w:rsidRPr="00EA39DE">
              <w:rPr>
                <w:rFonts w:ascii="Calibri" w:hAnsi="Calibri" w:cs="Calibri"/>
                <w:b w:val="0"/>
                <w:i w:val="0"/>
                <w:color w:val="365F91" w:themeColor="accent1" w:themeShade="BF"/>
                <w:sz w:val="20"/>
                <w:szCs w:val="20"/>
              </w:rPr>
              <w:t>street</w:t>
            </w:r>
            <w:proofErr w:type="gramEnd"/>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EA39DE" w:rsidRPr="00EA39DE" w:rsidRDefault="00EA39DE"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EA39DE" w:rsidRPr="00EA39DE" w:rsidRDefault="00EA39DE" w:rsidP="00EA39DE">
      <w:pPr>
        <w:spacing w:after="120" w:line="240" w:lineRule="auto"/>
        <w:contextualSpacing/>
        <w:jc w:val="both"/>
        <w:rPr>
          <w:rFonts w:ascii="Calibri" w:hAnsi="Calibri" w:cs="Calibri"/>
          <w:bCs/>
          <w:color w:val="365F91" w:themeColor="accent1" w:themeShade="BF"/>
          <w:sz w:val="24"/>
          <w:szCs w:val="24"/>
        </w:rPr>
      </w:pPr>
    </w:p>
    <w:sectPr w:rsidR="00EA39DE" w:rsidRPr="00EA39DE" w:rsidSect="0074442B">
      <w:type w:val="continuous"/>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4775"/>
    <w:multiLevelType w:val="hybridMultilevel"/>
    <w:tmpl w:val="9EE64D3E"/>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C3C"/>
    <w:multiLevelType w:val="hybridMultilevel"/>
    <w:tmpl w:val="7926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E8A"/>
    <w:multiLevelType w:val="hybridMultilevel"/>
    <w:tmpl w:val="0838BBB2"/>
    <w:lvl w:ilvl="0" w:tplc="0AA227C4">
      <w:start w:val="1"/>
      <w:numFmt w:val="bullet"/>
      <w:lvlText w:val="o"/>
      <w:lvlJc w:val="left"/>
      <w:pPr>
        <w:tabs>
          <w:tab w:val="num" w:pos="720"/>
        </w:tabs>
        <w:ind w:left="720" w:hanging="360"/>
      </w:pPr>
      <w:rPr>
        <w:rFonts w:ascii="Courier New" w:hAnsi="Courier New" w:hint="default"/>
      </w:rPr>
    </w:lvl>
    <w:lvl w:ilvl="1" w:tplc="04F0DC72">
      <w:start w:val="1"/>
      <w:numFmt w:val="bullet"/>
      <w:lvlText w:val="o"/>
      <w:lvlJc w:val="left"/>
      <w:pPr>
        <w:tabs>
          <w:tab w:val="num" w:pos="1440"/>
        </w:tabs>
        <w:ind w:left="1440" w:hanging="360"/>
      </w:pPr>
      <w:rPr>
        <w:rFonts w:ascii="Courier New" w:hAnsi="Courier New" w:hint="default"/>
      </w:rPr>
    </w:lvl>
    <w:lvl w:ilvl="2" w:tplc="90C084EC" w:tentative="1">
      <w:start w:val="1"/>
      <w:numFmt w:val="bullet"/>
      <w:lvlText w:val="o"/>
      <w:lvlJc w:val="left"/>
      <w:pPr>
        <w:tabs>
          <w:tab w:val="num" w:pos="2160"/>
        </w:tabs>
        <w:ind w:left="2160" w:hanging="360"/>
      </w:pPr>
      <w:rPr>
        <w:rFonts w:ascii="Courier New" w:hAnsi="Courier New" w:hint="default"/>
      </w:rPr>
    </w:lvl>
    <w:lvl w:ilvl="3" w:tplc="B5E4695A" w:tentative="1">
      <w:start w:val="1"/>
      <w:numFmt w:val="bullet"/>
      <w:lvlText w:val="o"/>
      <w:lvlJc w:val="left"/>
      <w:pPr>
        <w:tabs>
          <w:tab w:val="num" w:pos="2880"/>
        </w:tabs>
        <w:ind w:left="2880" w:hanging="360"/>
      </w:pPr>
      <w:rPr>
        <w:rFonts w:ascii="Courier New" w:hAnsi="Courier New" w:hint="default"/>
      </w:rPr>
    </w:lvl>
    <w:lvl w:ilvl="4" w:tplc="08CCF9F4" w:tentative="1">
      <w:start w:val="1"/>
      <w:numFmt w:val="bullet"/>
      <w:lvlText w:val="o"/>
      <w:lvlJc w:val="left"/>
      <w:pPr>
        <w:tabs>
          <w:tab w:val="num" w:pos="3600"/>
        </w:tabs>
        <w:ind w:left="3600" w:hanging="360"/>
      </w:pPr>
      <w:rPr>
        <w:rFonts w:ascii="Courier New" w:hAnsi="Courier New" w:hint="default"/>
      </w:rPr>
    </w:lvl>
    <w:lvl w:ilvl="5" w:tplc="B94404DA" w:tentative="1">
      <w:start w:val="1"/>
      <w:numFmt w:val="bullet"/>
      <w:lvlText w:val="o"/>
      <w:lvlJc w:val="left"/>
      <w:pPr>
        <w:tabs>
          <w:tab w:val="num" w:pos="4320"/>
        </w:tabs>
        <w:ind w:left="4320" w:hanging="360"/>
      </w:pPr>
      <w:rPr>
        <w:rFonts w:ascii="Courier New" w:hAnsi="Courier New" w:hint="default"/>
      </w:rPr>
    </w:lvl>
    <w:lvl w:ilvl="6" w:tplc="801AE1E2" w:tentative="1">
      <w:start w:val="1"/>
      <w:numFmt w:val="bullet"/>
      <w:lvlText w:val="o"/>
      <w:lvlJc w:val="left"/>
      <w:pPr>
        <w:tabs>
          <w:tab w:val="num" w:pos="5040"/>
        </w:tabs>
        <w:ind w:left="5040" w:hanging="360"/>
      </w:pPr>
      <w:rPr>
        <w:rFonts w:ascii="Courier New" w:hAnsi="Courier New" w:hint="default"/>
      </w:rPr>
    </w:lvl>
    <w:lvl w:ilvl="7" w:tplc="18560854" w:tentative="1">
      <w:start w:val="1"/>
      <w:numFmt w:val="bullet"/>
      <w:lvlText w:val="o"/>
      <w:lvlJc w:val="left"/>
      <w:pPr>
        <w:tabs>
          <w:tab w:val="num" w:pos="5760"/>
        </w:tabs>
        <w:ind w:left="5760" w:hanging="360"/>
      </w:pPr>
      <w:rPr>
        <w:rFonts w:ascii="Courier New" w:hAnsi="Courier New" w:hint="default"/>
      </w:rPr>
    </w:lvl>
    <w:lvl w:ilvl="8" w:tplc="C31A510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FEC7673"/>
    <w:multiLevelType w:val="hybridMultilevel"/>
    <w:tmpl w:val="B8725CEA"/>
    <w:lvl w:ilvl="0" w:tplc="E5AC8108">
      <w:start w:val="1"/>
      <w:numFmt w:val="bullet"/>
      <w:lvlText w:val="•"/>
      <w:lvlJc w:val="left"/>
      <w:pPr>
        <w:tabs>
          <w:tab w:val="num" w:pos="720"/>
        </w:tabs>
        <w:ind w:left="720" w:hanging="360"/>
      </w:pPr>
      <w:rPr>
        <w:rFonts w:ascii="Arial" w:hAnsi="Arial" w:hint="default"/>
      </w:rPr>
    </w:lvl>
    <w:lvl w:ilvl="1" w:tplc="A384A0BA" w:tentative="1">
      <w:start w:val="1"/>
      <w:numFmt w:val="bullet"/>
      <w:lvlText w:val="•"/>
      <w:lvlJc w:val="left"/>
      <w:pPr>
        <w:tabs>
          <w:tab w:val="num" w:pos="1440"/>
        </w:tabs>
        <w:ind w:left="1440" w:hanging="360"/>
      </w:pPr>
      <w:rPr>
        <w:rFonts w:ascii="Arial" w:hAnsi="Arial" w:hint="default"/>
      </w:rPr>
    </w:lvl>
    <w:lvl w:ilvl="2" w:tplc="A8F40686" w:tentative="1">
      <w:start w:val="1"/>
      <w:numFmt w:val="bullet"/>
      <w:lvlText w:val="•"/>
      <w:lvlJc w:val="left"/>
      <w:pPr>
        <w:tabs>
          <w:tab w:val="num" w:pos="2160"/>
        </w:tabs>
        <w:ind w:left="2160" w:hanging="360"/>
      </w:pPr>
      <w:rPr>
        <w:rFonts w:ascii="Arial" w:hAnsi="Arial" w:hint="default"/>
      </w:rPr>
    </w:lvl>
    <w:lvl w:ilvl="3" w:tplc="7E3C4746" w:tentative="1">
      <w:start w:val="1"/>
      <w:numFmt w:val="bullet"/>
      <w:lvlText w:val="•"/>
      <w:lvlJc w:val="left"/>
      <w:pPr>
        <w:tabs>
          <w:tab w:val="num" w:pos="2880"/>
        </w:tabs>
        <w:ind w:left="2880" w:hanging="360"/>
      </w:pPr>
      <w:rPr>
        <w:rFonts w:ascii="Arial" w:hAnsi="Arial" w:hint="default"/>
      </w:rPr>
    </w:lvl>
    <w:lvl w:ilvl="4" w:tplc="9B7E9A2A" w:tentative="1">
      <w:start w:val="1"/>
      <w:numFmt w:val="bullet"/>
      <w:lvlText w:val="•"/>
      <w:lvlJc w:val="left"/>
      <w:pPr>
        <w:tabs>
          <w:tab w:val="num" w:pos="3600"/>
        </w:tabs>
        <w:ind w:left="3600" w:hanging="360"/>
      </w:pPr>
      <w:rPr>
        <w:rFonts w:ascii="Arial" w:hAnsi="Arial" w:hint="default"/>
      </w:rPr>
    </w:lvl>
    <w:lvl w:ilvl="5" w:tplc="B2388102" w:tentative="1">
      <w:start w:val="1"/>
      <w:numFmt w:val="bullet"/>
      <w:lvlText w:val="•"/>
      <w:lvlJc w:val="left"/>
      <w:pPr>
        <w:tabs>
          <w:tab w:val="num" w:pos="4320"/>
        </w:tabs>
        <w:ind w:left="4320" w:hanging="360"/>
      </w:pPr>
      <w:rPr>
        <w:rFonts w:ascii="Arial" w:hAnsi="Arial" w:hint="default"/>
      </w:rPr>
    </w:lvl>
    <w:lvl w:ilvl="6" w:tplc="C108D386" w:tentative="1">
      <w:start w:val="1"/>
      <w:numFmt w:val="bullet"/>
      <w:lvlText w:val="•"/>
      <w:lvlJc w:val="left"/>
      <w:pPr>
        <w:tabs>
          <w:tab w:val="num" w:pos="5040"/>
        </w:tabs>
        <w:ind w:left="5040" w:hanging="360"/>
      </w:pPr>
      <w:rPr>
        <w:rFonts w:ascii="Arial" w:hAnsi="Arial" w:hint="default"/>
      </w:rPr>
    </w:lvl>
    <w:lvl w:ilvl="7" w:tplc="4ACCD33C" w:tentative="1">
      <w:start w:val="1"/>
      <w:numFmt w:val="bullet"/>
      <w:lvlText w:val="•"/>
      <w:lvlJc w:val="left"/>
      <w:pPr>
        <w:tabs>
          <w:tab w:val="num" w:pos="5760"/>
        </w:tabs>
        <w:ind w:left="5760" w:hanging="360"/>
      </w:pPr>
      <w:rPr>
        <w:rFonts w:ascii="Arial" w:hAnsi="Arial" w:hint="default"/>
      </w:rPr>
    </w:lvl>
    <w:lvl w:ilvl="8" w:tplc="53AC58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AE22FF"/>
    <w:multiLevelType w:val="hybridMultilevel"/>
    <w:tmpl w:val="8A58B76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159A"/>
    <w:multiLevelType w:val="hybridMultilevel"/>
    <w:tmpl w:val="F5B6F67A"/>
    <w:lvl w:ilvl="0" w:tplc="5EFC5E34">
      <w:start w:val="1"/>
      <w:numFmt w:val="bullet"/>
      <w:lvlText w:val="•"/>
      <w:lvlJc w:val="left"/>
      <w:pPr>
        <w:tabs>
          <w:tab w:val="num" w:pos="720"/>
        </w:tabs>
        <w:ind w:left="720" w:hanging="360"/>
      </w:pPr>
      <w:rPr>
        <w:rFonts w:ascii="Arial" w:hAnsi="Arial" w:hint="default"/>
      </w:rPr>
    </w:lvl>
    <w:lvl w:ilvl="1" w:tplc="438CA8A2" w:tentative="1">
      <w:start w:val="1"/>
      <w:numFmt w:val="bullet"/>
      <w:lvlText w:val="•"/>
      <w:lvlJc w:val="left"/>
      <w:pPr>
        <w:tabs>
          <w:tab w:val="num" w:pos="1440"/>
        </w:tabs>
        <w:ind w:left="1440" w:hanging="360"/>
      </w:pPr>
      <w:rPr>
        <w:rFonts w:ascii="Arial" w:hAnsi="Arial" w:hint="default"/>
      </w:rPr>
    </w:lvl>
    <w:lvl w:ilvl="2" w:tplc="F740E2D0" w:tentative="1">
      <w:start w:val="1"/>
      <w:numFmt w:val="bullet"/>
      <w:lvlText w:val="•"/>
      <w:lvlJc w:val="left"/>
      <w:pPr>
        <w:tabs>
          <w:tab w:val="num" w:pos="2160"/>
        </w:tabs>
        <w:ind w:left="2160" w:hanging="360"/>
      </w:pPr>
      <w:rPr>
        <w:rFonts w:ascii="Arial" w:hAnsi="Arial" w:hint="default"/>
      </w:rPr>
    </w:lvl>
    <w:lvl w:ilvl="3" w:tplc="D338A886" w:tentative="1">
      <w:start w:val="1"/>
      <w:numFmt w:val="bullet"/>
      <w:lvlText w:val="•"/>
      <w:lvlJc w:val="left"/>
      <w:pPr>
        <w:tabs>
          <w:tab w:val="num" w:pos="2880"/>
        </w:tabs>
        <w:ind w:left="2880" w:hanging="360"/>
      </w:pPr>
      <w:rPr>
        <w:rFonts w:ascii="Arial" w:hAnsi="Arial" w:hint="default"/>
      </w:rPr>
    </w:lvl>
    <w:lvl w:ilvl="4" w:tplc="CAD26718" w:tentative="1">
      <w:start w:val="1"/>
      <w:numFmt w:val="bullet"/>
      <w:lvlText w:val="•"/>
      <w:lvlJc w:val="left"/>
      <w:pPr>
        <w:tabs>
          <w:tab w:val="num" w:pos="3600"/>
        </w:tabs>
        <w:ind w:left="3600" w:hanging="360"/>
      </w:pPr>
      <w:rPr>
        <w:rFonts w:ascii="Arial" w:hAnsi="Arial" w:hint="default"/>
      </w:rPr>
    </w:lvl>
    <w:lvl w:ilvl="5" w:tplc="A2DE9A14" w:tentative="1">
      <w:start w:val="1"/>
      <w:numFmt w:val="bullet"/>
      <w:lvlText w:val="•"/>
      <w:lvlJc w:val="left"/>
      <w:pPr>
        <w:tabs>
          <w:tab w:val="num" w:pos="4320"/>
        </w:tabs>
        <w:ind w:left="4320" w:hanging="360"/>
      </w:pPr>
      <w:rPr>
        <w:rFonts w:ascii="Arial" w:hAnsi="Arial" w:hint="default"/>
      </w:rPr>
    </w:lvl>
    <w:lvl w:ilvl="6" w:tplc="5CB4BC84" w:tentative="1">
      <w:start w:val="1"/>
      <w:numFmt w:val="bullet"/>
      <w:lvlText w:val="•"/>
      <w:lvlJc w:val="left"/>
      <w:pPr>
        <w:tabs>
          <w:tab w:val="num" w:pos="5040"/>
        </w:tabs>
        <w:ind w:left="5040" w:hanging="360"/>
      </w:pPr>
      <w:rPr>
        <w:rFonts w:ascii="Arial" w:hAnsi="Arial" w:hint="default"/>
      </w:rPr>
    </w:lvl>
    <w:lvl w:ilvl="7" w:tplc="C6B47F6C" w:tentative="1">
      <w:start w:val="1"/>
      <w:numFmt w:val="bullet"/>
      <w:lvlText w:val="•"/>
      <w:lvlJc w:val="left"/>
      <w:pPr>
        <w:tabs>
          <w:tab w:val="num" w:pos="5760"/>
        </w:tabs>
        <w:ind w:left="5760" w:hanging="360"/>
      </w:pPr>
      <w:rPr>
        <w:rFonts w:ascii="Arial" w:hAnsi="Arial" w:hint="default"/>
      </w:rPr>
    </w:lvl>
    <w:lvl w:ilvl="8" w:tplc="D750C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7D1DAF"/>
    <w:multiLevelType w:val="hybridMultilevel"/>
    <w:tmpl w:val="17E89B84"/>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F0B1B"/>
    <w:multiLevelType w:val="multilevel"/>
    <w:tmpl w:val="77A2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B753E"/>
    <w:multiLevelType w:val="multilevel"/>
    <w:tmpl w:val="2632A9C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2E15C81"/>
    <w:multiLevelType w:val="hybridMultilevel"/>
    <w:tmpl w:val="29C25990"/>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47DA6"/>
    <w:multiLevelType w:val="multilevel"/>
    <w:tmpl w:val="23D61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ECB7017"/>
    <w:multiLevelType w:val="hybridMultilevel"/>
    <w:tmpl w:val="D16E0826"/>
    <w:lvl w:ilvl="0" w:tplc="F7507D1C">
      <w:start w:val="1"/>
      <w:numFmt w:val="bullet"/>
      <w:lvlText w:val="o"/>
      <w:lvlJc w:val="left"/>
      <w:pPr>
        <w:tabs>
          <w:tab w:val="num" w:pos="720"/>
        </w:tabs>
        <w:ind w:left="720" w:hanging="360"/>
      </w:pPr>
      <w:rPr>
        <w:rFonts w:ascii="Courier New" w:hAnsi="Courier New" w:hint="default"/>
      </w:rPr>
    </w:lvl>
    <w:lvl w:ilvl="1" w:tplc="FF7004A0" w:tentative="1">
      <w:start w:val="1"/>
      <w:numFmt w:val="bullet"/>
      <w:lvlText w:val="o"/>
      <w:lvlJc w:val="left"/>
      <w:pPr>
        <w:tabs>
          <w:tab w:val="num" w:pos="1440"/>
        </w:tabs>
        <w:ind w:left="1440" w:hanging="360"/>
      </w:pPr>
      <w:rPr>
        <w:rFonts w:ascii="Courier New" w:hAnsi="Courier New" w:hint="default"/>
      </w:rPr>
    </w:lvl>
    <w:lvl w:ilvl="2" w:tplc="B61CD46C" w:tentative="1">
      <w:start w:val="1"/>
      <w:numFmt w:val="bullet"/>
      <w:lvlText w:val="o"/>
      <w:lvlJc w:val="left"/>
      <w:pPr>
        <w:tabs>
          <w:tab w:val="num" w:pos="2160"/>
        </w:tabs>
        <w:ind w:left="2160" w:hanging="360"/>
      </w:pPr>
      <w:rPr>
        <w:rFonts w:ascii="Courier New" w:hAnsi="Courier New" w:hint="default"/>
      </w:rPr>
    </w:lvl>
    <w:lvl w:ilvl="3" w:tplc="E05CADB2" w:tentative="1">
      <w:start w:val="1"/>
      <w:numFmt w:val="bullet"/>
      <w:lvlText w:val="o"/>
      <w:lvlJc w:val="left"/>
      <w:pPr>
        <w:tabs>
          <w:tab w:val="num" w:pos="2880"/>
        </w:tabs>
        <w:ind w:left="2880" w:hanging="360"/>
      </w:pPr>
      <w:rPr>
        <w:rFonts w:ascii="Courier New" w:hAnsi="Courier New" w:hint="default"/>
      </w:rPr>
    </w:lvl>
    <w:lvl w:ilvl="4" w:tplc="171CD662" w:tentative="1">
      <w:start w:val="1"/>
      <w:numFmt w:val="bullet"/>
      <w:lvlText w:val="o"/>
      <w:lvlJc w:val="left"/>
      <w:pPr>
        <w:tabs>
          <w:tab w:val="num" w:pos="3600"/>
        </w:tabs>
        <w:ind w:left="3600" w:hanging="360"/>
      </w:pPr>
      <w:rPr>
        <w:rFonts w:ascii="Courier New" w:hAnsi="Courier New" w:hint="default"/>
      </w:rPr>
    </w:lvl>
    <w:lvl w:ilvl="5" w:tplc="0AF0FFB0" w:tentative="1">
      <w:start w:val="1"/>
      <w:numFmt w:val="bullet"/>
      <w:lvlText w:val="o"/>
      <w:lvlJc w:val="left"/>
      <w:pPr>
        <w:tabs>
          <w:tab w:val="num" w:pos="4320"/>
        </w:tabs>
        <w:ind w:left="4320" w:hanging="360"/>
      </w:pPr>
      <w:rPr>
        <w:rFonts w:ascii="Courier New" w:hAnsi="Courier New" w:hint="default"/>
      </w:rPr>
    </w:lvl>
    <w:lvl w:ilvl="6" w:tplc="A9FA7436" w:tentative="1">
      <w:start w:val="1"/>
      <w:numFmt w:val="bullet"/>
      <w:lvlText w:val="o"/>
      <w:lvlJc w:val="left"/>
      <w:pPr>
        <w:tabs>
          <w:tab w:val="num" w:pos="5040"/>
        </w:tabs>
        <w:ind w:left="5040" w:hanging="360"/>
      </w:pPr>
      <w:rPr>
        <w:rFonts w:ascii="Courier New" w:hAnsi="Courier New" w:hint="default"/>
      </w:rPr>
    </w:lvl>
    <w:lvl w:ilvl="7" w:tplc="AE348418" w:tentative="1">
      <w:start w:val="1"/>
      <w:numFmt w:val="bullet"/>
      <w:lvlText w:val="o"/>
      <w:lvlJc w:val="left"/>
      <w:pPr>
        <w:tabs>
          <w:tab w:val="num" w:pos="5760"/>
        </w:tabs>
        <w:ind w:left="5760" w:hanging="360"/>
      </w:pPr>
      <w:rPr>
        <w:rFonts w:ascii="Courier New" w:hAnsi="Courier New" w:hint="default"/>
      </w:rPr>
    </w:lvl>
    <w:lvl w:ilvl="8" w:tplc="2A3477E0"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F593553"/>
    <w:multiLevelType w:val="hybridMultilevel"/>
    <w:tmpl w:val="02D2B314"/>
    <w:lvl w:ilvl="0" w:tplc="B164C976">
      <w:start w:val="1"/>
      <w:numFmt w:val="bullet"/>
      <w:lvlText w:val="o"/>
      <w:lvlJc w:val="left"/>
      <w:pPr>
        <w:tabs>
          <w:tab w:val="num" w:pos="720"/>
        </w:tabs>
        <w:ind w:left="720" w:hanging="360"/>
      </w:pPr>
      <w:rPr>
        <w:rFonts w:ascii="Courier New" w:hAnsi="Courier New" w:hint="default"/>
      </w:rPr>
    </w:lvl>
    <w:lvl w:ilvl="1" w:tplc="57EEB3C2" w:tentative="1">
      <w:start w:val="1"/>
      <w:numFmt w:val="bullet"/>
      <w:lvlText w:val="o"/>
      <w:lvlJc w:val="left"/>
      <w:pPr>
        <w:tabs>
          <w:tab w:val="num" w:pos="1440"/>
        </w:tabs>
        <w:ind w:left="1440" w:hanging="360"/>
      </w:pPr>
      <w:rPr>
        <w:rFonts w:ascii="Courier New" w:hAnsi="Courier New" w:hint="default"/>
      </w:rPr>
    </w:lvl>
    <w:lvl w:ilvl="2" w:tplc="ACC0DC28" w:tentative="1">
      <w:start w:val="1"/>
      <w:numFmt w:val="bullet"/>
      <w:lvlText w:val="o"/>
      <w:lvlJc w:val="left"/>
      <w:pPr>
        <w:tabs>
          <w:tab w:val="num" w:pos="2160"/>
        </w:tabs>
        <w:ind w:left="2160" w:hanging="360"/>
      </w:pPr>
      <w:rPr>
        <w:rFonts w:ascii="Courier New" w:hAnsi="Courier New" w:hint="default"/>
      </w:rPr>
    </w:lvl>
    <w:lvl w:ilvl="3" w:tplc="77CC610A" w:tentative="1">
      <w:start w:val="1"/>
      <w:numFmt w:val="bullet"/>
      <w:lvlText w:val="o"/>
      <w:lvlJc w:val="left"/>
      <w:pPr>
        <w:tabs>
          <w:tab w:val="num" w:pos="2880"/>
        </w:tabs>
        <w:ind w:left="2880" w:hanging="360"/>
      </w:pPr>
      <w:rPr>
        <w:rFonts w:ascii="Courier New" w:hAnsi="Courier New" w:hint="default"/>
      </w:rPr>
    </w:lvl>
    <w:lvl w:ilvl="4" w:tplc="583415E0" w:tentative="1">
      <w:start w:val="1"/>
      <w:numFmt w:val="bullet"/>
      <w:lvlText w:val="o"/>
      <w:lvlJc w:val="left"/>
      <w:pPr>
        <w:tabs>
          <w:tab w:val="num" w:pos="3600"/>
        </w:tabs>
        <w:ind w:left="3600" w:hanging="360"/>
      </w:pPr>
      <w:rPr>
        <w:rFonts w:ascii="Courier New" w:hAnsi="Courier New" w:hint="default"/>
      </w:rPr>
    </w:lvl>
    <w:lvl w:ilvl="5" w:tplc="97566B8E" w:tentative="1">
      <w:start w:val="1"/>
      <w:numFmt w:val="bullet"/>
      <w:lvlText w:val="o"/>
      <w:lvlJc w:val="left"/>
      <w:pPr>
        <w:tabs>
          <w:tab w:val="num" w:pos="4320"/>
        </w:tabs>
        <w:ind w:left="4320" w:hanging="360"/>
      </w:pPr>
      <w:rPr>
        <w:rFonts w:ascii="Courier New" w:hAnsi="Courier New" w:hint="default"/>
      </w:rPr>
    </w:lvl>
    <w:lvl w:ilvl="6" w:tplc="AC2CC5C4" w:tentative="1">
      <w:start w:val="1"/>
      <w:numFmt w:val="bullet"/>
      <w:lvlText w:val="o"/>
      <w:lvlJc w:val="left"/>
      <w:pPr>
        <w:tabs>
          <w:tab w:val="num" w:pos="5040"/>
        </w:tabs>
        <w:ind w:left="5040" w:hanging="360"/>
      </w:pPr>
      <w:rPr>
        <w:rFonts w:ascii="Courier New" w:hAnsi="Courier New" w:hint="default"/>
      </w:rPr>
    </w:lvl>
    <w:lvl w:ilvl="7" w:tplc="6D96AB96" w:tentative="1">
      <w:start w:val="1"/>
      <w:numFmt w:val="bullet"/>
      <w:lvlText w:val="o"/>
      <w:lvlJc w:val="left"/>
      <w:pPr>
        <w:tabs>
          <w:tab w:val="num" w:pos="5760"/>
        </w:tabs>
        <w:ind w:left="5760" w:hanging="360"/>
      </w:pPr>
      <w:rPr>
        <w:rFonts w:ascii="Courier New" w:hAnsi="Courier New" w:hint="default"/>
      </w:rPr>
    </w:lvl>
    <w:lvl w:ilvl="8" w:tplc="46AA6C7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2884ADF"/>
    <w:multiLevelType w:val="hybridMultilevel"/>
    <w:tmpl w:val="34760C46"/>
    <w:lvl w:ilvl="0" w:tplc="5D781A24">
      <w:start w:val="1"/>
      <w:numFmt w:val="bullet"/>
      <w:lvlText w:val="•"/>
      <w:lvlJc w:val="left"/>
      <w:pPr>
        <w:tabs>
          <w:tab w:val="num" w:pos="720"/>
        </w:tabs>
        <w:ind w:left="720" w:hanging="360"/>
      </w:pPr>
      <w:rPr>
        <w:rFonts w:ascii="Arial" w:hAnsi="Arial" w:hint="default"/>
      </w:rPr>
    </w:lvl>
    <w:lvl w:ilvl="1" w:tplc="59FC754E" w:tentative="1">
      <w:start w:val="1"/>
      <w:numFmt w:val="bullet"/>
      <w:lvlText w:val="•"/>
      <w:lvlJc w:val="left"/>
      <w:pPr>
        <w:tabs>
          <w:tab w:val="num" w:pos="1440"/>
        </w:tabs>
        <w:ind w:left="1440" w:hanging="360"/>
      </w:pPr>
      <w:rPr>
        <w:rFonts w:ascii="Arial" w:hAnsi="Arial" w:hint="default"/>
      </w:rPr>
    </w:lvl>
    <w:lvl w:ilvl="2" w:tplc="A9468476" w:tentative="1">
      <w:start w:val="1"/>
      <w:numFmt w:val="bullet"/>
      <w:lvlText w:val="•"/>
      <w:lvlJc w:val="left"/>
      <w:pPr>
        <w:tabs>
          <w:tab w:val="num" w:pos="2160"/>
        </w:tabs>
        <w:ind w:left="2160" w:hanging="360"/>
      </w:pPr>
      <w:rPr>
        <w:rFonts w:ascii="Arial" w:hAnsi="Arial" w:hint="default"/>
      </w:rPr>
    </w:lvl>
    <w:lvl w:ilvl="3" w:tplc="4054529C" w:tentative="1">
      <w:start w:val="1"/>
      <w:numFmt w:val="bullet"/>
      <w:lvlText w:val="•"/>
      <w:lvlJc w:val="left"/>
      <w:pPr>
        <w:tabs>
          <w:tab w:val="num" w:pos="2880"/>
        </w:tabs>
        <w:ind w:left="2880" w:hanging="360"/>
      </w:pPr>
      <w:rPr>
        <w:rFonts w:ascii="Arial" w:hAnsi="Arial" w:hint="default"/>
      </w:rPr>
    </w:lvl>
    <w:lvl w:ilvl="4" w:tplc="AD2010AC" w:tentative="1">
      <w:start w:val="1"/>
      <w:numFmt w:val="bullet"/>
      <w:lvlText w:val="•"/>
      <w:lvlJc w:val="left"/>
      <w:pPr>
        <w:tabs>
          <w:tab w:val="num" w:pos="3600"/>
        </w:tabs>
        <w:ind w:left="3600" w:hanging="360"/>
      </w:pPr>
      <w:rPr>
        <w:rFonts w:ascii="Arial" w:hAnsi="Arial" w:hint="default"/>
      </w:rPr>
    </w:lvl>
    <w:lvl w:ilvl="5" w:tplc="0F7C8024" w:tentative="1">
      <w:start w:val="1"/>
      <w:numFmt w:val="bullet"/>
      <w:lvlText w:val="•"/>
      <w:lvlJc w:val="left"/>
      <w:pPr>
        <w:tabs>
          <w:tab w:val="num" w:pos="4320"/>
        </w:tabs>
        <w:ind w:left="4320" w:hanging="360"/>
      </w:pPr>
      <w:rPr>
        <w:rFonts w:ascii="Arial" w:hAnsi="Arial" w:hint="default"/>
      </w:rPr>
    </w:lvl>
    <w:lvl w:ilvl="6" w:tplc="58F66AA4" w:tentative="1">
      <w:start w:val="1"/>
      <w:numFmt w:val="bullet"/>
      <w:lvlText w:val="•"/>
      <w:lvlJc w:val="left"/>
      <w:pPr>
        <w:tabs>
          <w:tab w:val="num" w:pos="5040"/>
        </w:tabs>
        <w:ind w:left="5040" w:hanging="360"/>
      </w:pPr>
      <w:rPr>
        <w:rFonts w:ascii="Arial" w:hAnsi="Arial" w:hint="default"/>
      </w:rPr>
    </w:lvl>
    <w:lvl w:ilvl="7" w:tplc="6C5A3F92" w:tentative="1">
      <w:start w:val="1"/>
      <w:numFmt w:val="bullet"/>
      <w:lvlText w:val="•"/>
      <w:lvlJc w:val="left"/>
      <w:pPr>
        <w:tabs>
          <w:tab w:val="num" w:pos="5760"/>
        </w:tabs>
        <w:ind w:left="5760" w:hanging="360"/>
      </w:pPr>
      <w:rPr>
        <w:rFonts w:ascii="Arial" w:hAnsi="Arial" w:hint="default"/>
      </w:rPr>
    </w:lvl>
    <w:lvl w:ilvl="8" w:tplc="24FAED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F413F"/>
    <w:multiLevelType w:val="hybridMultilevel"/>
    <w:tmpl w:val="8D5EEA7A"/>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714F2"/>
    <w:multiLevelType w:val="multilevel"/>
    <w:tmpl w:val="6204958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15:restartNumberingAfterBreak="0">
    <w:nsid w:val="3A424059"/>
    <w:multiLevelType w:val="multilevel"/>
    <w:tmpl w:val="AD621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DCA23B9"/>
    <w:multiLevelType w:val="hybridMultilevel"/>
    <w:tmpl w:val="480EC7BA"/>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81588"/>
    <w:multiLevelType w:val="multilevel"/>
    <w:tmpl w:val="825C74B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43485CDA"/>
    <w:multiLevelType w:val="hybridMultilevel"/>
    <w:tmpl w:val="C8F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C3092"/>
    <w:multiLevelType w:val="hybridMultilevel"/>
    <w:tmpl w:val="0278F3D6"/>
    <w:lvl w:ilvl="0" w:tplc="F7B68ECC">
      <w:start w:val="1"/>
      <w:numFmt w:val="bullet"/>
      <w:lvlText w:val="-"/>
      <w:lvlJc w:val="left"/>
      <w:pPr>
        <w:tabs>
          <w:tab w:val="num" w:pos="720"/>
        </w:tabs>
        <w:ind w:left="720" w:hanging="360"/>
      </w:pPr>
      <w:rPr>
        <w:rFonts w:ascii="Times New Roman" w:hAnsi="Times New Roman" w:hint="default"/>
      </w:rPr>
    </w:lvl>
    <w:lvl w:ilvl="1" w:tplc="B6A8CB3C" w:tentative="1">
      <w:start w:val="1"/>
      <w:numFmt w:val="bullet"/>
      <w:lvlText w:val="-"/>
      <w:lvlJc w:val="left"/>
      <w:pPr>
        <w:tabs>
          <w:tab w:val="num" w:pos="1440"/>
        </w:tabs>
        <w:ind w:left="1440" w:hanging="360"/>
      </w:pPr>
      <w:rPr>
        <w:rFonts w:ascii="Times New Roman" w:hAnsi="Times New Roman" w:hint="default"/>
      </w:rPr>
    </w:lvl>
    <w:lvl w:ilvl="2" w:tplc="4F2EE860" w:tentative="1">
      <w:start w:val="1"/>
      <w:numFmt w:val="bullet"/>
      <w:lvlText w:val="-"/>
      <w:lvlJc w:val="left"/>
      <w:pPr>
        <w:tabs>
          <w:tab w:val="num" w:pos="2160"/>
        </w:tabs>
        <w:ind w:left="2160" w:hanging="360"/>
      </w:pPr>
      <w:rPr>
        <w:rFonts w:ascii="Times New Roman" w:hAnsi="Times New Roman" w:hint="default"/>
      </w:rPr>
    </w:lvl>
    <w:lvl w:ilvl="3" w:tplc="588A358A" w:tentative="1">
      <w:start w:val="1"/>
      <w:numFmt w:val="bullet"/>
      <w:lvlText w:val="-"/>
      <w:lvlJc w:val="left"/>
      <w:pPr>
        <w:tabs>
          <w:tab w:val="num" w:pos="2880"/>
        </w:tabs>
        <w:ind w:left="2880" w:hanging="360"/>
      </w:pPr>
      <w:rPr>
        <w:rFonts w:ascii="Times New Roman" w:hAnsi="Times New Roman" w:hint="default"/>
      </w:rPr>
    </w:lvl>
    <w:lvl w:ilvl="4" w:tplc="5C9C3D70" w:tentative="1">
      <w:start w:val="1"/>
      <w:numFmt w:val="bullet"/>
      <w:lvlText w:val="-"/>
      <w:lvlJc w:val="left"/>
      <w:pPr>
        <w:tabs>
          <w:tab w:val="num" w:pos="3600"/>
        </w:tabs>
        <w:ind w:left="3600" w:hanging="360"/>
      </w:pPr>
      <w:rPr>
        <w:rFonts w:ascii="Times New Roman" w:hAnsi="Times New Roman" w:hint="default"/>
      </w:rPr>
    </w:lvl>
    <w:lvl w:ilvl="5" w:tplc="3FD40A18" w:tentative="1">
      <w:start w:val="1"/>
      <w:numFmt w:val="bullet"/>
      <w:lvlText w:val="-"/>
      <w:lvlJc w:val="left"/>
      <w:pPr>
        <w:tabs>
          <w:tab w:val="num" w:pos="4320"/>
        </w:tabs>
        <w:ind w:left="4320" w:hanging="360"/>
      </w:pPr>
      <w:rPr>
        <w:rFonts w:ascii="Times New Roman" w:hAnsi="Times New Roman" w:hint="default"/>
      </w:rPr>
    </w:lvl>
    <w:lvl w:ilvl="6" w:tplc="8C82E2A8" w:tentative="1">
      <w:start w:val="1"/>
      <w:numFmt w:val="bullet"/>
      <w:lvlText w:val="-"/>
      <w:lvlJc w:val="left"/>
      <w:pPr>
        <w:tabs>
          <w:tab w:val="num" w:pos="5040"/>
        </w:tabs>
        <w:ind w:left="5040" w:hanging="360"/>
      </w:pPr>
      <w:rPr>
        <w:rFonts w:ascii="Times New Roman" w:hAnsi="Times New Roman" w:hint="default"/>
      </w:rPr>
    </w:lvl>
    <w:lvl w:ilvl="7" w:tplc="D4A6A646" w:tentative="1">
      <w:start w:val="1"/>
      <w:numFmt w:val="bullet"/>
      <w:lvlText w:val="-"/>
      <w:lvlJc w:val="left"/>
      <w:pPr>
        <w:tabs>
          <w:tab w:val="num" w:pos="5760"/>
        </w:tabs>
        <w:ind w:left="5760" w:hanging="360"/>
      </w:pPr>
      <w:rPr>
        <w:rFonts w:ascii="Times New Roman" w:hAnsi="Times New Roman" w:hint="default"/>
      </w:rPr>
    </w:lvl>
    <w:lvl w:ilvl="8" w:tplc="4DAC14B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8535344"/>
    <w:multiLevelType w:val="hybridMultilevel"/>
    <w:tmpl w:val="20EC7B5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0531C"/>
    <w:multiLevelType w:val="hybridMultilevel"/>
    <w:tmpl w:val="4B6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E0FD1"/>
    <w:multiLevelType w:val="hybridMultilevel"/>
    <w:tmpl w:val="43520008"/>
    <w:lvl w:ilvl="0" w:tplc="A7BA0940">
      <w:start w:val="1"/>
      <w:numFmt w:val="bullet"/>
      <w:lvlText w:val="o"/>
      <w:lvlJc w:val="left"/>
      <w:pPr>
        <w:tabs>
          <w:tab w:val="num" w:pos="720"/>
        </w:tabs>
        <w:ind w:left="720" w:hanging="360"/>
      </w:pPr>
      <w:rPr>
        <w:rFonts w:ascii="Courier New" w:hAnsi="Courier New" w:hint="default"/>
      </w:rPr>
    </w:lvl>
    <w:lvl w:ilvl="1" w:tplc="7242CC10">
      <w:start w:val="1"/>
      <w:numFmt w:val="decimal"/>
      <w:lvlText w:val="%2."/>
      <w:lvlJc w:val="left"/>
      <w:pPr>
        <w:tabs>
          <w:tab w:val="num" w:pos="1440"/>
        </w:tabs>
        <w:ind w:left="1440" w:hanging="360"/>
      </w:pPr>
      <w:rPr>
        <w:rFonts w:asciiTheme="minorHAnsi" w:eastAsiaTheme="minorHAnsi" w:hAnsiTheme="minorHAnsi" w:cstheme="minorHAnsi"/>
      </w:rPr>
    </w:lvl>
    <w:lvl w:ilvl="2" w:tplc="576C479A" w:tentative="1">
      <w:start w:val="1"/>
      <w:numFmt w:val="bullet"/>
      <w:lvlText w:val="o"/>
      <w:lvlJc w:val="left"/>
      <w:pPr>
        <w:tabs>
          <w:tab w:val="num" w:pos="2160"/>
        </w:tabs>
        <w:ind w:left="2160" w:hanging="360"/>
      </w:pPr>
      <w:rPr>
        <w:rFonts w:ascii="Courier New" w:hAnsi="Courier New" w:hint="default"/>
      </w:rPr>
    </w:lvl>
    <w:lvl w:ilvl="3" w:tplc="4DD2D212" w:tentative="1">
      <w:start w:val="1"/>
      <w:numFmt w:val="bullet"/>
      <w:lvlText w:val="o"/>
      <w:lvlJc w:val="left"/>
      <w:pPr>
        <w:tabs>
          <w:tab w:val="num" w:pos="2880"/>
        </w:tabs>
        <w:ind w:left="2880" w:hanging="360"/>
      </w:pPr>
      <w:rPr>
        <w:rFonts w:ascii="Courier New" w:hAnsi="Courier New" w:hint="default"/>
      </w:rPr>
    </w:lvl>
    <w:lvl w:ilvl="4" w:tplc="9036E26A" w:tentative="1">
      <w:start w:val="1"/>
      <w:numFmt w:val="bullet"/>
      <w:lvlText w:val="o"/>
      <w:lvlJc w:val="left"/>
      <w:pPr>
        <w:tabs>
          <w:tab w:val="num" w:pos="3600"/>
        </w:tabs>
        <w:ind w:left="3600" w:hanging="360"/>
      </w:pPr>
      <w:rPr>
        <w:rFonts w:ascii="Courier New" w:hAnsi="Courier New" w:hint="default"/>
      </w:rPr>
    </w:lvl>
    <w:lvl w:ilvl="5" w:tplc="7B3AC08C" w:tentative="1">
      <w:start w:val="1"/>
      <w:numFmt w:val="bullet"/>
      <w:lvlText w:val="o"/>
      <w:lvlJc w:val="left"/>
      <w:pPr>
        <w:tabs>
          <w:tab w:val="num" w:pos="4320"/>
        </w:tabs>
        <w:ind w:left="4320" w:hanging="360"/>
      </w:pPr>
      <w:rPr>
        <w:rFonts w:ascii="Courier New" w:hAnsi="Courier New" w:hint="default"/>
      </w:rPr>
    </w:lvl>
    <w:lvl w:ilvl="6" w:tplc="5CFC831E" w:tentative="1">
      <w:start w:val="1"/>
      <w:numFmt w:val="bullet"/>
      <w:lvlText w:val="o"/>
      <w:lvlJc w:val="left"/>
      <w:pPr>
        <w:tabs>
          <w:tab w:val="num" w:pos="5040"/>
        </w:tabs>
        <w:ind w:left="5040" w:hanging="360"/>
      </w:pPr>
      <w:rPr>
        <w:rFonts w:ascii="Courier New" w:hAnsi="Courier New" w:hint="default"/>
      </w:rPr>
    </w:lvl>
    <w:lvl w:ilvl="7" w:tplc="AAF2774A" w:tentative="1">
      <w:start w:val="1"/>
      <w:numFmt w:val="bullet"/>
      <w:lvlText w:val="o"/>
      <w:lvlJc w:val="left"/>
      <w:pPr>
        <w:tabs>
          <w:tab w:val="num" w:pos="5760"/>
        </w:tabs>
        <w:ind w:left="5760" w:hanging="360"/>
      </w:pPr>
      <w:rPr>
        <w:rFonts w:ascii="Courier New" w:hAnsi="Courier New" w:hint="default"/>
      </w:rPr>
    </w:lvl>
    <w:lvl w:ilvl="8" w:tplc="B89233AE"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4E640CC5"/>
    <w:multiLevelType w:val="hybridMultilevel"/>
    <w:tmpl w:val="22C2D8B0"/>
    <w:lvl w:ilvl="0" w:tplc="59429970">
      <w:start w:val="1"/>
      <w:numFmt w:val="bullet"/>
      <w:lvlText w:val="o"/>
      <w:lvlJc w:val="left"/>
      <w:pPr>
        <w:tabs>
          <w:tab w:val="num" w:pos="720"/>
        </w:tabs>
        <w:ind w:left="720" w:hanging="360"/>
      </w:pPr>
      <w:rPr>
        <w:rFonts w:ascii="Courier New" w:hAnsi="Courier New" w:hint="default"/>
      </w:rPr>
    </w:lvl>
    <w:lvl w:ilvl="1" w:tplc="CF6AB8EA">
      <w:start w:val="1"/>
      <w:numFmt w:val="bullet"/>
      <w:lvlText w:val="o"/>
      <w:lvlJc w:val="left"/>
      <w:pPr>
        <w:tabs>
          <w:tab w:val="num" w:pos="1440"/>
        </w:tabs>
        <w:ind w:left="1440" w:hanging="360"/>
      </w:pPr>
      <w:rPr>
        <w:rFonts w:ascii="Courier New" w:hAnsi="Courier New" w:hint="default"/>
      </w:rPr>
    </w:lvl>
    <w:lvl w:ilvl="2" w:tplc="90DA769E" w:tentative="1">
      <w:start w:val="1"/>
      <w:numFmt w:val="bullet"/>
      <w:lvlText w:val="o"/>
      <w:lvlJc w:val="left"/>
      <w:pPr>
        <w:tabs>
          <w:tab w:val="num" w:pos="2160"/>
        </w:tabs>
        <w:ind w:left="2160" w:hanging="360"/>
      </w:pPr>
      <w:rPr>
        <w:rFonts w:ascii="Courier New" w:hAnsi="Courier New" w:hint="default"/>
      </w:rPr>
    </w:lvl>
    <w:lvl w:ilvl="3" w:tplc="1AB04940" w:tentative="1">
      <w:start w:val="1"/>
      <w:numFmt w:val="bullet"/>
      <w:lvlText w:val="o"/>
      <w:lvlJc w:val="left"/>
      <w:pPr>
        <w:tabs>
          <w:tab w:val="num" w:pos="2880"/>
        </w:tabs>
        <w:ind w:left="2880" w:hanging="360"/>
      </w:pPr>
      <w:rPr>
        <w:rFonts w:ascii="Courier New" w:hAnsi="Courier New" w:hint="default"/>
      </w:rPr>
    </w:lvl>
    <w:lvl w:ilvl="4" w:tplc="905CA2C2" w:tentative="1">
      <w:start w:val="1"/>
      <w:numFmt w:val="bullet"/>
      <w:lvlText w:val="o"/>
      <w:lvlJc w:val="left"/>
      <w:pPr>
        <w:tabs>
          <w:tab w:val="num" w:pos="3600"/>
        </w:tabs>
        <w:ind w:left="3600" w:hanging="360"/>
      </w:pPr>
      <w:rPr>
        <w:rFonts w:ascii="Courier New" w:hAnsi="Courier New" w:hint="default"/>
      </w:rPr>
    </w:lvl>
    <w:lvl w:ilvl="5" w:tplc="66E6FAB2" w:tentative="1">
      <w:start w:val="1"/>
      <w:numFmt w:val="bullet"/>
      <w:lvlText w:val="o"/>
      <w:lvlJc w:val="left"/>
      <w:pPr>
        <w:tabs>
          <w:tab w:val="num" w:pos="4320"/>
        </w:tabs>
        <w:ind w:left="4320" w:hanging="360"/>
      </w:pPr>
      <w:rPr>
        <w:rFonts w:ascii="Courier New" w:hAnsi="Courier New" w:hint="default"/>
      </w:rPr>
    </w:lvl>
    <w:lvl w:ilvl="6" w:tplc="27203EAE" w:tentative="1">
      <w:start w:val="1"/>
      <w:numFmt w:val="bullet"/>
      <w:lvlText w:val="o"/>
      <w:lvlJc w:val="left"/>
      <w:pPr>
        <w:tabs>
          <w:tab w:val="num" w:pos="5040"/>
        </w:tabs>
        <w:ind w:left="5040" w:hanging="360"/>
      </w:pPr>
      <w:rPr>
        <w:rFonts w:ascii="Courier New" w:hAnsi="Courier New" w:hint="default"/>
      </w:rPr>
    </w:lvl>
    <w:lvl w:ilvl="7" w:tplc="194E2A52" w:tentative="1">
      <w:start w:val="1"/>
      <w:numFmt w:val="bullet"/>
      <w:lvlText w:val="o"/>
      <w:lvlJc w:val="left"/>
      <w:pPr>
        <w:tabs>
          <w:tab w:val="num" w:pos="5760"/>
        </w:tabs>
        <w:ind w:left="5760" w:hanging="360"/>
      </w:pPr>
      <w:rPr>
        <w:rFonts w:ascii="Courier New" w:hAnsi="Courier New" w:hint="default"/>
      </w:rPr>
    </w:lvl>
    <w:lvl w:ilvl="8" w:tplc="D77C409C"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4FF231D3"/>
    <w:multiLevelType w:val="multilevel"/>
    <w:tmpl w:val="3420F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00061DD"/>
    <w:multiLevelType w:val="hybridMultilevel"/>
    <w:tmpl w:val="544C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EFF"/>
    <w:multiLevelType w:val="multilevel"/>
    <w:tmpl w:val="E1340DA2"/>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5B48286E"/>
    <w:multiLevelType w:val="hybridMultilevel"/>
    <w:tmpl w:val="88E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126A1"/>
    <w:multiLevelType w:val="multilevel"/>
    <w:tmpl w:val="3BD25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60F437C9"/>
    <w:multiLevelType w:val="hybridMultilevel"/>
    <w:tmpl w:val="AE8843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F428E"/>
    <w:multiLevelType w:val="hybridMultilevel"/>
    <w:tmpl w:val="C5304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705D3"/>
    <w:multiLevelType w:val="hybridMultilevel"/>
    <w:tmpl w:val="82068466"/>
    <w:lvl w:ilvl="0" w:tplc="24645970">
      <w:numFmt w:val="bullet"/>
      <w:lvlText w:val="-"/>
      <w:lvlJc w:val="left"/>
      <w:pPr>
        <w:ind w:left="420" w:hanging="360"/>
      </w:pPr>
      <w:rPr>
        <w:rFonts w:ascii="Sylfaen" w:eastAsiaTheme="minorHAnsi" w:hAnsi="Sylfaen" w:cstheme="minorBidi"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35" w15:restartNumberingAfterBreak="0">
    <w:nsid w:val="686A6D91"/>
    <w:multiLevelType w:val="hybridMultilevel"/>
    <w:tmpl w:val="4AB21BF0"/>
    <w:lvl w:ilvl="0" w:tplc="3A66CF48">
      <w:start w:val="1"/>
      <w:numFmt w:val="bullet"/>
      <w:lvlText w:val="•"/>
      <w:lvlJc w:val="left"/>
      <w:pPr>
        <w:tabs>
          <w:tab w:val="num" w:pos="720"/>
        </w:tabs>
        <w:ind w:left="720" w:hanging="360"/>
      </w:pPr>
      <w:rPr>
        <w:rFonts w:ascii="Arial" w:hAnsi="Arial" w:hint="default"/>
      </w:rPr>
    </w:lvl>
    <w:lvl w:ilvl="1" w:tplc="A0C404AE" w:tentative="1">
      <w:start w:val="1"/>
      <w:numFmt w:val="bullet"/>
      <w:lvlText w:val="•"/>
      <w:lvlJc w:val="left"/>
      <w:pPr>
        <w:tabs>
          <w:tab w:val="num" w:pos="1440"/>
        </w:tabs>
        <w:ind w:left="1440" w:hanging="360"/>
      </w:pPr>
      <w:rPr>
        <w:rFonts w:ascii="Arial" w:hAnsi="Arial" w:hint="default"/>
      </w:rPr>
    </w:lvl>
    <w:lvl w:ilvl="2" w:tplc="CACEBF92" w:tentative="1">
      <w:start w:val="1"/>
      <w:numFmt w:val="bullet"/>
      <w:lvlText w:val="•"/>
      <w:lvlJc w:val="left"/>
      <w:pPr>
        <w:tabs>
          <w:tab w:val="num" w:pos="2160"/>
        </w:tabs>
        <w:ind w:left="2160" w:hanging="360"/>
      </w:pPr>
      <w:rPr>
        <w:rFonts w:ascii="Arial" w:hAnsi="Arial" w:hint="default"/>
      </w:rPr>
    </w:lvl>
    <w:lvl w:ilvl="3" w:tplc="F1CE362C" w:tentative="1">
      <w:start w:val="1"/>
      <w:numFmt w:val="bullet"/>
      <w:lvlText w:val="•"/>
      <w:lvlJc w:val="left"/>
      <w:pPr>
        <w:tabs>
          <w:tab w:val="num" w:pos="2880"/>
        </w:tabs>
        <w:ind w:left="2880" w:hanging="360"/>
      </w:pPr>
      <w:rPr>
        <w:rFonts w:ascii="Arial" w:hAnsi="Arial" w:hint="default"/>
      </w:rPr>
    </w:lvl>
    <w:lvl w:ilvl="4" w:tplc="B5923BD6" w:tentative="1">
      <w:start w:val="1"/>
      <w:numFmt w:val="bullet"/>
      <w:lvlText w:val="•"/>
      <w:lvlJc w:val="left"/>
      <w:pPr>
        <w:tabs>
          <w:tab w:val="num" w:pos="3600"/>
        </w:tabs>
        <w:ind w:left="3600" w:hanging="360"/>
      </w:pPr>
      <w:rPr>
        <w:rFonts w:ascii="Arial" w:hAnsi="Arial" w:hint="default"/>
      </w:rPr>
    </w:lvl>
    <w:lvl w:ilvl="5" w:tplc="0FB26DC4" w:tentative="1">
      <w:start w:val="1"/>
      <w:numFmt w:val="bullet"/>
      <w:lvlText w:val="•"/>
      <w:lvlJc w:val="left"/>
      <w:pPr>
        <w:tabs>
          <w:tab w:val="num" w:pos="4320"/>
        </w:tabs>
        <w:ind w:left="4320" w:hanging="360"/>
      </w:pPr>
      <w:rPr>
        <w:rFonts w:ascii="Arial" w:hAnsi="Arial" w:hint="default"/>
      </w:rPr>
    </w:lvl>
    <w:lvl w:ilvl="6" w:tplc="5AA873AE" w:tentative="1">
      <w:start w:val="1"/>
      <w:numFmt w:val="bullet"/>
      <w:lvlText w:val="•"/>
      <w:lvlJc w:val="left"/>
      <w:pPr>
        <w:tabs>
          <w:tab w:val="num" w:pos="5040"/>
        </w:tabs>
        <w:ind w:left="5040" w:hanging="360"/>
      </w:pPr>
      <w:rPr>
        <w:rFonts w:ascii="Arial" w:hAnsi="Arial" w:hint="default"/>
      </w:rPr>
    </w:lvl>
    <w:lvl w:ilvl="7" w:tplc="5DD63718" w:tentative="1">
      <w:start w:val="1"/>
      <w:numFmt w:val="bullet"/>
      <w:lvlText w:val="•"/>
      <w:lvlJc w:val="left"/>
      <w:pPr>
        <w:tabs>
          <w:tab w:val="num" w:pos="5760"/>
        </w:tabs>
        <w:ind w:left="5760" w:hanging="360"/>
      </w:pPr>
      <w:rPr>
        <w:rFonts w:ascii="Arial" w:hAnsi="Arial" w:hint="default"/>
      </w:rPr>
    </w:lvl>
    <w:lvl w:ilvl="8" w:tplc="EC66C0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1C6E10"/>
    <w:multiLevelType w:val="hybridMultilevel"/>
    <w:tmpl w:val="5220E4F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A0096"/>
    <w:multiLevelType w:val="hybridMultilevel"/>
    <w:tmpl w:val="6C8A836A"/>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54542"/>
    <w:multiLevelType w:val="multilevel"/>
    <w:tmpl w:val="CD7221C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78C907F2"/>
    <w:multiLevelType w:val="hybridMultilevel"/>
    <w:tmpl w:val="DC9AA866"/>
    <w:lvl w:ilvl="0" w:tplc="FFFFFFFF">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0451E6"/>
    <w:multiLevelType w:val="hybridMultilevel"/>
    <w:tmpl w:val="BFAA652E"/>
    <w:lvl w:ilvl="0" w:tplc="24426F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18"/>
  </w:num>
  <w:num w:numId="3">
    <w:abstractNumId w:val="31"/>
  </w:num>
  <w:num w:numId="4">
    <w:abstractNumId w:val="27"/>
  </w:num>
  <w:num w:numId="5">
    <w:abstractNumId w:val="20"/>
  </w:num>
  <w:num w:numId="6">
    <w:abstractNumId w:val="9"/>
  </w:num>
  <w:num w:numId="7">
    <w:abstractNumId w:val="29"/>
  </w:num>
  <w:num w:numId="8">
    <w:abstractNumId w:val="17"/>
  </w:num>
  <w:num w:numId="9">
    <w:abstractNumId w:val="7"/>
  </w:num>
  <w:num w:numId="10">
    <w:abstractNumId w:val="38"/>
  </w:num>
  <w:num w:numId="11">
    <w:abstractNumId w:val="11"/>
  </w:num>
  <w:num w:numId="12">
    <w:abstractNumId w:val="3"/>
  </w:num>
  <w:num w:numId="13">
    <w:abstractNumId w:val="16"/>
  </w:num>
  <w:num w:numId="14">
    <w:abstractNumId w:val="23"/>
  </w:num>
  <w:num w:numId="15">
    <w:abstractNumId w:val="8"/>
  </w:num>
  <w:num w:numId="16">
    <w:abstractNumId w:val="32"/>
  </w:num>
  <w:num w:numId="17">
    <w:abstractNumId w:val="34"/>
  </w:num>
  <w:num w:numId="18">
    <w:abstractNumId w:val="33"/>
  </w:num>
  <w:num w:numId="19">
    <w:abstractNumId w:val="37"/>
  </w:num>
  <w:num w:numId="20">
    <w:abstractNumId w:val="22"/>
  </w:num>
  <w:num w:numId="21">
    <w:abstractNumId w:val="39"/>
  </w:num>
  <w:num w:numId="22">
    <w:abstractNumId w:val="35"/>
  </w:num>
  <w:num w:numId="23">
    <w:abstractNumId w:val="5"/>
  </w:num>
  <w:num w:numId="24">
    <w:abstractNumId w:val="14"/>
  </w:num>
  <w:num w:numId="25">
    <w:abstractNumId w:val="36"/>
  </w:num>
  <w:num w:numId="26">
    <w:abstractNumId w:val="26"/>
  </w:num>
  <w:num w:numId="27">
    <w:abstractNumId w:val="2"/>
  </w:num>
  <w:num w:numId="28">
    <w:abstractNumId w:val="12"/>
  </w:num>
  <w:num w:numId="29">
    <w:abstractNumId w:val="13"/>
  </w:num>
  <w:num w:numId="30">
    <w:abstractNumId w:val="25"/>
  </w:num>
  <w:num w:numId="31">
    <w:abstractNumId w:val="6"/>
  </w:num>
  <w:num w:numId="32">
    <w:abstractNumId w:val="40"/>
  </w:num>
  <w:num w:numId="33">
    <w:abstractNumId w:val="30"/>
  </w:num>
  <w:num w:numId="34">
    <w:abstractNumId w:val="28"/>
  </w:num>
  <w:num w:numId="35">
    <w:abstractNumId w:val="24"/>
  </w:num>
  <w:num w:numId="36">
    <w:abstractNumId w:val="0"/>
  </w:num>
  <w:num w:numId="37">
    <w:abstractNumId w:val="19"/>
  </w:num>
  <w:num w:numId="38">
    <w:abstractNumId w:val="10"/>
  </w:num>
  <w:num w:numId="39">
    <w:abstractNumId w:val="4"/>
  </w:num>
  <w:num w:numId="40">
    <w:abstractNumId w:val="1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CD"/>
    <w:rsid w:val="0000292E"/>
    <w:rsid w:val="000039A3"/>
    <w:rsid w:val="00016B01"/>
    <w:rsid w:val="00031DCD"/>
    <w:rsid w:val="00033336"/>
    <w:rsid w:val="00044869"/>
    <w:rsid w:val="000510A7"/>
    <w:rsid w:val="00055201"/>
    <w:rsid w:val="000557DA"/>
    <w:rsid w:val="00072345"/>
    <w:rsid w:val="000949D3"/>
    <w:rsid w:val="00094C07"/>
    <w:rsid w:val="000B290E"/>
    <w:rsid w:val="000B74CA"/>
    <w:rsid w:val="000C4C9D"/>
    <w:rsid w:val="000E51B4"/>
    <w:rsid w:val="00107966"/>
    <w:rsid w:val="00112B40"/>
    <w:rsid w:val="00123A73"/>
    <w:rsid w:val="0012404C"/>
    <w:rsid w:val="00126245"/>
    <w:rsid w:val="0012710C"/>
    <w:rsid w:val="001366E5"/>
    <w:rsid w:val="001374C0"/>
    <w:rsid w:val="001579FE"/>
    <w:rsid w:val="00157D56"/>
    <w:rsid w:val="00184A75"/>
    <w:rsid w:val="00184AD7"/>
    <w:rsid w:val="00187A2D"/>
    <w:rsid w:val="0019199B"/>
    <w:rsid w:val="001A5B22"/>
    <w:rsid w:val="001B6080"/>
    <w:rsid w:val="001B64CB"/>
    <w:rsid w:val="001D623A"/>
    <w:rsid w:val="001D7017"/>
    <w:rsid w:val="001F010E"/>
    <w:rsid w:val="00204E29"/>
    <w:rsid w:val="0020724B"/>
    <w:rsid w:val="00210F2B"/>
    <w:rsid w:val="00212690"/>
    <w:rsid w:val="00223522"/>
    <w:rsid w:val="00227346"/>
    <w:rsid w:val="0024034F"/>
    <w:rsid w:val="00241BAC"/>
    <w:rsid w:val="002430DE"/>
    <w:rsid w:val="002472CD"/>
    <w:rsid w:val="002530C2"/>
    <w:rsid w:val="002548AE"/>
    <w:rsid w:val="00256BC5"/>
    <w:rsid w:val="002800FC"/>
    <w:rsid w:val="00282A31"/>
    <w:rsid w:val="002939B4"/>
    <w:rsid w:val="0029701A"/>
    <w:rsid w:val="002D644C"/>
    <w:rsid w:val="002E51DE"/>
    <w:rsid w:val="002F0776"/>
    <w:rsid w:val="003063CD"/>
    <w:rsid w:val="00306FF8"/>
    <w:rsid w:val="00311E8E"/>
    <w:rsid w:val="00312CF3"/>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C7A05"/>
    <w:rsid w:val="003D5B12"/>
    <w:rsid w:val="003E0DBF"/>
    <w:rsid w:val="003F1BFC"/>
    <w:rsid w:val="003F487D"/>
    <w:rsid w:val="004039F4"/>
    <w:rsid w:val="004326E5"/>
    <w:rsid w:val="00435D37"/>
    <w:rsid w:val="004446B0"/>
    <w:rsid w:val="004639E5"/>
    <w:rsid w:val="004728C2"/>
    <w:rsid w:val="004B69C4"/>
    <w:rsid w:val="004B6C03"/>
    <w:rsid w:val="004C1B73"/>
    <w:rsid w:val="004D22C3"/>
    <w:rsid w:val="004D2E14"/>
    <w:rsid w:val="004D630A"/>
    <w:rsid w:val="004E4CFC"/>
    <w:rsid w:val="004F3FAE"/>
    <w:rsid w:val="00504E7D"/>
    <w:rsid w:val="00507728"/>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C4C14"/>
    <w:rsid w:val="005C4E5E"/>
    <w:rsid w:val="005E1B55"/>
    <w:rsid w:val="005E321E"/>
    <w:rsid w:val="005F129B"/>
    <w:rsid w:val="005F3625"/>
    <w:rsid w:val="005F508E"/>
    <w:rsid w:val="0060162C"/>
    <w:rsid w:val="00607312"/>
    <w:rsid w:val="0061420E"/>
    <w:rsid w:val="00624442"/>
    <w:rsid w:val="006369EE"/>
    <w:rsid w:val="006433AD"/>
    <w:rsid w:val="00657B84"/>
    <w:rsid w:val="006613BD"/>
    <w:rsid w:val="00667D34"/>
    <w:rsid w:val="00683D97"/>
    <w:rsid w:val="006857A1"/>
    <w:rsid w:val="006B0FD6"/>
    <w:rsid w:val="006B473C"/>
    <w:rsid w:val="00700842"/>
    <w:rsid w:val="00717BD5"/>
    <w:rsid w:val="00721226"/>
    <w:rsid w:val="007316EA"/>
    <w:rsid w:val="007329DB"/>
    <w:rsid w:val="0074442B"/>
    <w:rsid w:val="007477A4"/>
    <w:rsid w:val="00751958"/>
    <w:rsid w:val="00752829"/>
    <w:rsid w:val="007629DA"/>
    <w:rsid w:val="00767C6F"/>
    <w:rsid w:val="00780955"/>
    <w:rsid w:val="00785062"/>
    <w:rsid w:val="007B33FE"/>
    <w:rsid w:val="007B5DDB"/>
    <w:rsid w:val="007C17A7"/>
    <w:rsid w:val="007C55BF"/>
    <w:rsid w:val="007D0C57"/>
    <w:rsid w:val="007E0B08"/>
    <w:rsid w:val="007E4B9C"/>
    <w:rsid w:val="007F46AD"/>
    <w:rsid w:val="007F65B7"/>
    <w:rsid w:val="008001BE"/>
    <w:rsid w:val="00811D09"/>
    <w:rsid w:val="0081264B"/>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901601"/>
    <w:rsid w:val="009078A0"/>
    <w:rsid w:val="00921BFA"/>
    <w:rsid w:val="00923187"/>
    <w:rsid w:val="00950D3D"/>
    <w:rsid w:val="00974150"/>
    <w:rsid w:val="0098043E"/>
    <w:rsid w:val="0098738C"/>
    <w:rsid w:val="00991553"/>
    <w:rsid w:val="00995174"/>
    <w:rsid w:val="009A615E"/>
    <w:rsid w:val="009B12EC"/>
    <w:rsid w:val="009B56F7"/>
    <w:rsid w:val="009B6680"/>
    <w:rsid w:val="009C6D72"/>
    <w:rsid w:val="009D453A"/>
    <w:rsid w:val="009D6984"/>
    <w:rsid w:val="009E066E"/>
    <w:rsid w:val="009E60D5"/>
    <w:rsid w:val="009E613B"/>
    <w:rsid w:val="009F0834"/>
    <w:rsid w:val="009F2DBD"/>
    <w:rsid w:val="00A03423"/>
    <w:rsid w:val="00A20206"/>
    <w:rsid w:val="00A265D9"/>
    <w:rsid w:val="00A32FA1"/>
    <w:rsid w:val="00A40338"/>
    <w:rsid w:val="00A53861"/>
    <w:rsid w:val="00A56BB0"/>
    <w:rsid w:val="00A67373"/>
    <w:rsid w:val="00A87586"/>
    <w:rsid w:val="00A90983"/>
    <w:rsid w:val="00AA067A"/>
    <w:rsid w:val="00AA4DEA"/>
    <w:rsid w:val="00AB5C6F"/>
    <w:rsid w:val="00AB7B78"/>
    <w:rsid w:val="00AD112A"/>
    <w:rsid w:val="00AD27BA"/>
    <w:rsid w:val="00AE0CD0"/>
    <w:rsid w:val="00AF7298"/>
    <w:rsid w:val="00B0321E"/>
    <w:rsid w:val="00B07245"/>
    <w:rsid w:val="00B10534"/>
    <w:rsid w:val="00B10E0A"/>
    <w:rsid w:val="00B15D6E"/>
    <w:rsid w:val="00B311F2"/>
    <w:rsid w:val="00B5118A"/>
    <w:rsid w:val="00B528F5"/>
    <w:rsid w:val="00B567CD"/>
    <w:rsid w:val="00B71C65"/>
    <w:rsid w:val="00B77C05"/>
    <w:rsid w:val="00BA3552"/>
    <w:rsid w:val="00BA500F"/>
    <w:rsid w:val="00BC1C91"/>
    <w:rsid w:val="00BE7D66"/>
    <w:rsid w:val="00BF0F64"/>
    <w:rsid w:val="00BF6263"/>
    <w:rsid w:val="00C0323C"/>
    <w:rsid w:val="00C03394"/>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E3565"/>
    <w:rsid w:val="00CE3BE1"/>
    <w:rsid w:val="00CF3AB1"/>
    <w:rsid w:val="00CF4CA6"/>
    <w:rsid w:val="00D109F1"/>
    <w:rsid w:val="00D17173"/>
    <w:rsid w:val="00D21782"/>
    <w:rsid w:val="00D60EA0"/>
    <w:rsid w:val="00D72EB2"/>
    <w:rsid w:val="00D76616"/>
    <w:rsid w:val="00D80A9D"/>
    <w:rsid w:val="00D8176E"/>
    <w:rsid w:val="00D833CF"/>
    <w:rsid w:val="00D83AEB"/>
    <w:rsid w:val="00D86A5B"/>
    <w:rsid w:val="00D90850"/>
    <w:rsid w:val="00D93BF2"/>
    <w:rsid w:val="00DA269C"/>
    <w:rsid w:val="00DB0FAF"/>
    <w:rsid w:val="00DC0DA0"/>
    <w:rsid w:val="00DD4298"/>
    <w:rsid w:val="00DE7190"/>
    <w:rsid w:val="00DF0621"/>
    <w:rsid w:val="00DF2532"/>
    <w:rsid w:val="00E05CD3"/>
    <w:rsid w:val="00E353BE"/>
    <w:rsid w:val="00E37D14"/>
    <w:rsid w:val="00E47758"/>
    <w:rsid w:val="00E51845"/>
    <w:rsid w:val="00E522B7"/>
    <w:rsid w:val="00E6295F"/>
    <w:rsid w:val="00E66938"/>
    <w:rsid w:val="00E92327"/>
    <w:rsid w:val="00E94E92"/>
    <w:rsid w:val="00EA39DE"/>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6480"/>
    <w:rsid w:val="00F7073F"/>
    <w:rsid w:val="00F73FA2"/>
    <w:rsid w:val="00F9426F"/>
    <w:rsid w:val="00FA1043"/>
    <w:rsid w:val="00FB225E"/>
    <w:rsid w:val="00FB7915"/>
    <w:rsid w:val="00FE3399"/>
    <w:rsid w:val="00FF0078"/>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semiHidden/>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852202634062002E-2"/>
          <c:y val="2.4745021683617342E-2"/>
          <c:w val="0.90685543383164069"/>
          <c:h val="0.85038931094232029"/>
        </c:manualLayout>
      </c:layout>
      <c:lineChart>
        <c:grouping val="standard"/>
        <c:varyColors val="0"/>
        <c:ser>
          <c:idx val="0"/>
          <c:order val="0"/>
          <c:tx>
            <c:strRef>
              <c:f>Sheet1!$B$1</c:f>
              <c:strCache>
                <c:ptCount val="1"/>
                <c:pt idx="0">
                  <c:v>Column2</c:v>
                </c:pt>
              </c:strCache>
            </c:strRef>
          </c:tx>
          <c:spPr>
            <a:ln w="31750">
              <a:solidFill>
                <a:srgbClr val="FF0000"/>
              </a:solidFill>
            </a:ln>
            <a:effectLst>
              <a:outerShdw blurRad="50800" dist="38100" dir="8100000" algn="tr" rotWithShape="0">
                <a:prstClr val="black">
                  <a:alpha val="40000"/>
                </a:prstClr>
              </a:outerShdw>
            </a:effectLst>
          </c:spPr>
          <c:marker>
            <c:spPr>
              <a:solidFill>
                <a:srgbClr val="FF0000"/>
              </a:solidFill>
              <a:effectLst>
                <a:outerShdw blurRad="50800" dist="38100" dir="8100000" algn="tr" rotWithShape="0">
                  <a:prstClr val="black">
                    <a:alpha val="40000"/>
                  </a:prstClr>
                </a:outerShdw>
              </a:effectLst>
            </c:spPr>
          </c:marker>
          <c:dLbls>
            <c:dLbl>
              <c:idx val="0"/>
              <c:layout>
                <c:manualLayout>
                  <c:x val="-7.1256038647342992E-2"/>
                  <c:y val="-6.73407652407890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72F-4B48-8394-51A2CB1CF459}"/>
                </c:ext>
                <c:ext xmlns:c15="http://schemas.microsoft.com/office/drawing/2012/chart" uri="{CE6537A1-D6FC-4f65-9D91-7224C49458BB}"/>
              </c:extLst>
            </c:dLbl>
            <c:dLbl>
              <c:idx val="1"/>
              <c:layout>
                <c:manualLayout>
                  <c:x val="-6.2801932367149774E-2"/>
                  <c:y val="-7.95845407391143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2F-4B48-8394-51A2CB1CF459}"/>
                </c:ext>
                <c:ext xmlns:c15="http://schemas.microsoft.com/office/drawing/2012/chart" uri="{CE6537A1-D6FC-4f65-9D91-7224C49458BB}"/>
              </c:extLst>
            </c:dLbl>
            <c:dLbl>
              <c:idx val="2"/>
              <c:layout>
                <c:manualLayout>
                  <c:x val="-7.8502415458937519E-2"/>
                  <c:y val="-8.26454846136956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2F-4B48-8394-51A2CB1CF459}"/>
                </c:ext>
                <c:ext xmlns:c15="http://schemas.microsoft.com/office/drawing/2012/chart" uri="{CE6537A1-D6FC-4f65-9D91-7224C49458BB}"/>
              </c:extLst>
            </c:dLbl>
            <c:dLbl>
              <c:idx val="3"/>
              <c:layout>
                <c:manualLayout>
                  <c:x val="-8.9371980676328483E-2"/>
                  <c:y val="-7.95845407391143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2F-4B48-8394-51A2CB1CF459}"/>
                </c:ext>
                <c:ext xmlns:c15="http://schemas.microsoft.com/office/drawing/2012/chart" uri="{CE6537A1-D6FC-4f65-9D91-7224C49458BB}"/>
              </c:extLst>
            </c:dLbl>
            <c:dLbl>
              <c:idx val="4"/>
              <c:layout>
                <c:manualLayout>
                  <c:x val="-8.9371980676328483E-2"/>
                  <c:y val="-3.36703826203946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72F-4B48-8394-51A2CB1CF459}"/>
                </c:ext>
                <c:ext xmlns:c15="http://schemas.microsoft.com/office/drawing/2012/chart" uri="{CE6537A1-D6FC-4f65-9D91-7224C49458BB}"/>
              </c:extLst>
            </c:dLbl>
            <c:dLbl>
              <c:idx val="5"/>
              <c:layout>
                <c:manualLayout>
                  <c:x val="4.830917874396135E-3"/>
                  <c:y val="-5.81579336170451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72F-4B48-8394-51A2CB1CF459}"/>
                </c:ext>
                <c:ext xmlns:c15="http://schemas.microsoft.com/office/drawing/2012/chart" uri="{CE6537A1-D6FC-4f65-9D91-7224C49458BB}">
                  <c15:layout>
                    <c:manualLayout>
                      <c:w val="5.6865894480581235E-2"/>
                      <c:h val="7.986002568782663E-2"/>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4435000</c:v>
                </c:pt>
                <c:pt idx="1">
                  <c:v>5430000</c:v>
                </c:pt>
                <c:pt idx="2">
                  <c:v>3591200</c:v>
                </c:pt>
                <c:pt idx="3">
                  <c:v>11248500</c:v>
                </c:pt>
                <c:pt idx="4">
                  <c:v>16349000</c:v>
                </c:pt>
                <c:pt idx="5">
                  <c:v>16253000</c:v>
                </c:pt>
              </c:numCache>
            </c:numRef>
          </c:val>
          <c:smooth val="0"/>
          <c:extLst xmlns:c16r2="http://schemas.microsoft.com/office/drawing/2015/06/chart">
            <c:ext xmlns:c16="http://schemas.microsoft.com/office/drawing/2014/chart" uri="{C3380CC4-5D6E-409C-BE32-E72D297353CC}">
              <c16:uniqueId val="{00000006-672F-4B48-8394-51A2CB1CF459}"/>
            </c:ext>
          </c:extLst>
        </c:ser>
        <c:dLbls>
          <c:showLegendKey val="0"/>
          <c:showVal val="0"/>
          <c:showCatName val="0"/>
          <c:showSerName val="0"/>
          <c:showPercent val="0"/>
          <c:showBubbleSize val="0"/>
        </c:dLbls>
        <c:marker val="1"/>
        <c:smooth val="0"/>
        <c:axId val="962534352"/>
        <c:axId val="962538704"/>
      </c:lineChart>
      <c:catAx>
        <c:axId val="96253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62538704"/>
        <c:crosses val="autoZero"/>
        <c:auto val="1"/>
        <c:lblAlgn val="ctr"/>
        <c:lblOffset val="100"/>
        <c:noMultiLvlLbl val="0"/>
      </c:catAx>
      <c:valAx>
        <c:axId val="962538704"/>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962534352"/>
        <c:crosses val="autoZero"/>
        <c:crossBetween val="between"/>
        <c:dispUnits>
          <c:builtInUnit val="millions"/>
        </c:dispUnits>
      </c:valAx>
      <c:spPr>
        <a:solidFill>
          <a:schemeClr val="bg1"/>
        </a:solidFill>
        <a:ln>
          <a:noFill/>
        </a:ln>
        <a:effectLst/>
      </c:spPr>
    </c:plotArea>
    <c:plotVisOnly val="1"/>
    <c:dispBlanksAs val="gap"/>
    <c:showDLblsOverMax val="0"/>
  </c:chart>
  <c:spPr>
    <a:noFill/>
    <a:ln>
      <a:noFill/>
    </a:ln>
    <a:effectLst/>
  </c:spPr>
  <c:txPr>
    <a:bodyPr/>
    <a:lstStyle/>
    <a:p>
      <a:pPr>
        <a:defRPr sz="11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049115388354046E-2"/>
          <c:y val="4.2030834466522164E-2"/>
          <c:w val="0.81967082239720168"/>
          <c:h val="0.6958410089669067"/>
        </c:manualLayout>
      </c:layout>
      <c:barChart>
        <c:barDir val="col"/>
        <c:grouping val="clustered"/>
        <c:varyColors val="0"/>
        <c:ser>
          <c:idx val="0"/>
          <c:order val="0"/>
          <c:tx>
            <c:strRef>
              <c:f>Sheet1!$B$1</c:f>
              <c:strCache>
                <c:ptCount val="1"/>
                <c:pt idx="0">
                  <c:v>2013</c:v>
                </c:pt>
              </c:strCache>
            </c:strRef>
          </c:tx>
          <c:invertIfNegative val="0"/>
          <c:cat>
            <c:strRef>
              <c:f>Sheet1!$A$2:$A$15</c:f>
              <c:strCache>
                <c:ptCount val="14"/>
                <c:pt idx="0">
                  <c:v>BCG</c:v>
                </c:pt>
                <c:pt idx="1">
                  <c:v>HepB0</c:v>
                </c:pt>
                <c:pt idx="2">
                  <c:v>Hexa/Penta3</c:v>
                </c:pt>
                <c:pt idx="3">
                  <c:v>Polio3</c:v>
                </c:pt>
                <c:pt idx="4">
                  <c:v>Rota2</c:v>
                </c:pt>
                <c:pt idx="5">
                  <c:v>PCV1</c:v>
                </c:pt>
                <c:pt idx="6">
                  <c:v>PCV3</c:v>
                </c:pt>
                <c:pt idx="7">
                  <c:v>MMR1</c:v>
                </c:pt>
                <c:pt idx="8">
                  <c:v>MMR2</c:v>
                </c:pt>
                <c:pt idx="9">
                  <c:v>DPT4</c:v>
                </c:pt>
                <c:pt idx="10">
                  <c:v>OPV4</c:v>
                </c:pt>
                <c:pt idx="11">
                  <c:v>OPV5</c:v>
                </c:pt>
                <c:pt idx="12">
                  <c:v>DT (5)</c:v>
                </c:pt>
                <c:pt idx="13">
                  <c:v>Td (14)</c:v>
                </c:pt>
              </c:strCache>
            </c:strRef>
          </c:cat>
          <c:val>
            <c:numRef>
              <c:f>Sheet1!$B$2:$B$15</c:f>
              <c:numCache>
                <c:formatCode>General</c:formatCode>
                <c:ptCount val="14"/>
                <c:pt idx="0">
                  <c:v>95</c:v>
                </c:pt>
                <c:pt idx="1">
                  <c:v>79.599999999999994</c:v>
                </c:pt>
                <c:pt idx="2">
                  <c:v>93.2</c:v>
                </c:pt>
                <c:pt idx="3">
                  <c:v>93.7</c:v>
                </c:pt>
                <c:pt idx="4">
                  <c:v>56.1</c:v>
                </c:pt>
                <c:pt idx="7">
                  <c:v>96.5</c:v>
                </c:pt>
                <c:pt idx="8">
                  <c:v>88.7</c:v>
                </c:pt>
                <c:pt idx="9">
                  <c:v>92.6</c:v>
                </c:pt>
                <c:pt idx="10">
                  <c:v>85.6</c:v>
                </c:pt>
                <c:pt idx="11">
                  <c:v>83.3</c:v>
                </c:pt>
                <c:pt idx="12">
                  <c:v>89.1</c:v>
                </c:pt>
                <c:pt idx="13">
                  <c:v>78.2</c:v>
                </c:pt>
              </c:numCache>
            </c:numRef>
          </c:val>
          <c:extLst xmlns:c16r2="http://schemas.microsoft.com/office/drawing/2015/06/chart">
            <c:ext xmlns:c16="http://schemas.microsoft.com/office/drawing/2014/chart" uri="{C3380CC4-5D6E-409C-BE32-E72D297353CC}">
              <c16:uniqueId val="{00000000-5F2D-4F78-8130-BE15AE61E66E}"/>
            </c:ext>
          </c:extLst>
        </c:ser>
        <c:ser>
          <c:idx val="1"/>
          <c:order val="1"/>
          <c:tx>
            <c:strRef>
              <c:f>Sheet1!$C$1</c:f>
              <c:strCache>
                <c:ptCount val="1"/>
                <c:pt idx="0">
                  <c:v>2014</c:v>
                </c:pt>
              </c:strCache>
            </c:strRef>
          </c:tx>
          <c:invertIfNegative val="0"/>
          <c:cat>
            <c:strRef>
              <c:f>Sheet1!$A$2:$A$15</c:f>
              <c:strCache>
                <c:ptCount val="14"/>
                <c:pt idx="0">
                  <c:v>BCG</c:v>
                </c:pt>
                <c:pt idx="1">
                  <c:v>HepB0</c:v>
                </c:pt>
                <c:pt idx="2">
                  <c:v>Hexa/Penta3</c:v>
                </c:pt>
                <c:pt idx="3">
                  <c:v>Polio3</c:v>
                </c:pt>
                <c:pt idx="4">
                  <c:v>Rota2</c:v>
                </c:pt>
                <c:pt idx="5">
                  <c:v>PCV1</c:v>
                </c:pt>
                <c:pt idx="6">
                  <c:v>PCV3</c:v>
                </c:pt>
                <c:pt idx="7">
                  <c:v>MMR1</c:v>
                </c:pt>
                <c:pt idx="8">
                  <c:v>MMR2</c:v>
                </c:pt>
                <c:pt idx="9">
                  <c:v>DPT4</c:v>
                </c:pt>
                <c:pt idx="10">
                  <c:v>OPV4</c:v>
                </c:pt>
                <c:pt idx="11">
                  <c:v>OPV5</c:v>
                </c:pt>
                <c:pt idx="12">
                  <c:v>DT (5)</c:v>
                </c:pt>
                <c:pt idx="13">
                  <c:v>Td (14)</c:v>
                </c:pt>
              </c:strCache>
            </c:strRef>
          </c:cat>
          <c:val>
            <c:numRef>
              <c:f>Sheet1!$C$2:$C$15</c:f>
              <c:numCache>
                <c:formatCode>General</c:formatCode>
                <c:ptCount val="14"/>
                <c:pt idx="0">
                  <c:v>96.4</c:v>
                </c:pt>
                <c:pt idx="1">
                  <c:v>94.5</c:v>
                </c:pt>
                <c:pt idx="2">
                  <c:v>90.6</c:v>
                </c:pt>
                <c:pt idx="3">
                  <c:v>91.2</c:v>
                </c:pt>
                <c:pt idx="4">
                  <c:v>69.099999999999994</c:v>
                </c:pt>
                <c:pt idx="5">
                  <c:v>9.7000000000000011</c:v>
                </c:pt>
                <c:pt idx="7">
                  <c:v>92.2</c:v>
                </c:pt>
                <c:pt idx="8">
                  <c:v>86.6</c:v>
                </c:pt>
                <c:pt idx="9">
                  <c:v>89.5</c:v>
                </c:pt>
                <c:pt idx="10">
                  <c:v>87</c:v>
                </c:pt>
                <c:pt idx="11">
                  <c:v>87.4</c:v>
                </c:pt>
                <c:pt idx="12">
                  <c:v>88.7</c:v>
                </c:pt>
                <c:pt idx="13">
                  <c:v>67</c:v>
                </c:pt>
              </c:numCache>
            </c:numRef>
          </c:val>
          <c:extLst xmlns:c16r2="http://schemas.microsoft.com/office/drawing/2015/06/chart">
            <c:ext xmlns:c16="http://schemas.microsoft.com/office/drawing/2014/chart" uri="{C3380CC4-5D6E-409C-BE32-E72D297353CC}">
              <c16:uniqueId val="{00000001-5F2D-4F78-8130-BE15AE61E66E}"/>
            </c:ext>
          </c:extLst>
        </c:ser>
        <c:ser>
          <c:idx val="2"/>
          <c:order val="2"/>
          <c:tx>
            <c:strRef>
              <c:f>Sheet1!$D$1</c:f>
              <c:strCache>
                <c:ptCount val="1"/>
                <c:pt idx="0">
                  <c:v>2015</c:v>
                </c:pt>
              </c:strCache>
            </c:strRef>
          </c:tx>
          <c:invertIfNegative val="0"/>
          <c:cat>
            <c:strRef>
              <c:f>Sheet1!$A$2:$A$15</c:f>
              <c:strCache>
                <c:ptCount val="14"/>
                <c:pt idx="0">
                  <c:v>BCG</c:v>
                </c:pt>
                <c:pt idx="1">
                  <c:v>HepB0</c:v>
                </c:pt>
                <c:pt idx="2">
                  <c:v>Hexa/Penta3</c:v>
                </c:pt>
                <c:pt idx="3">
                  <c:v>Polio3</c:v>
                </c:pt>
                <c:pt idx="4">
                  <c:v>Rota2</c:v>
                </c:pt>
                <c:pt idx="5">
                  <c:v>PCV1</c:v>
                </c:pt>
                <c:pt idx="6">
                  <c:v>PCV3</c:v>
                </c:pt>
                <c:pt idx="7">
                  <c:v>MMR1</c:v>
                </c:pt>
                <c:pt idx="8">
                  <c:v>MMR2</c:v>
                </c:pt>
                <c:pt idx="9">
                  <c:v>DPT4</c:v>
                </c:pt>
                <c:pt idx="10">
                  <c:v>OPV4</c:v>
                </c:pt>
                <c:pt idx="11">
                  <c:v>OPV5</c:v>
                </c:pt>
                <c:pt idx="12">
                  <c:v>DT (5)</c:v>
                </c:pt>
                <c:pt idx="13">
                  <c:v>Td (14)</c:v>
                </c:pt>
              </c:strCache>
            </c:strRef>
          </c:cat>
          <c:val>
            <c:numRef>
              <c:f>Sheet1!$D$2:$D$15</c:f>
              <c:numCache>
                <c:formatCode>0.0</c:formatCode>
                <c:ptCount val="14"/>
                <c:pt idx="0" formatCode="General">
                  <c:v>95.5</c:v>
                </c:pt>
                <c:pt idx="1">
                  <c:v>93</c:v>
                </c:pt>
                <c:pt idx="2" formatCode="General">
                  <c:v>86.9</c:v>
                </c:pt>
                <c:pt idx="3" formatCode="General">
                  <c:v>91.3</c:v>
                </c:pt>
                <c:pt idx="4" formatCode="General">
                  <c:v>72.400000000000006</c:v>
                </c:pt>
                <c:pt idx="5" formatCode="General">
                  <c:v>100</c:v>
                </c:pt>
                <c:pt idx="6" formatCode="General">
                  <c:v>15.7</c:v>
                </c:pt>
                <c:pt idx="7" formatCode="General">
                  <c:v>96.6</c:v>
                </c:pt>
                <c:pt idx="8" formatCode="General">
                  <c:v>90.9</c:v>
                </c:pt>
                <c:pt idx="9" formatCode="General">
                  <c:v>87.3</c:v>
                </c:pt>
                <c:pt idx="10" formatCode="General">
                  <c:v>87.5</c:v>
                </c:pt>
                <c:pt idx="11" formatCode="General">
                  <c:v>90.9</c:v>
                </c:pt>
                <c:pt idx="12" formatCode="General">
                  <c:v>91.8</c:v>
                </c:pt>
                <c:pt idx="13" formatCode="General">
                  <c:v>69.7</c:v>
                </c:pt>
              </c:numCache>
            </c:numRef>
          </c:val>
          <c:extLst xmlns:c16r2="http://schemas.microsoft.com/office/drawing/2015/06/chart">
            <c:ext xmlns:c16="http://schemas.microsoft.com/office/drawing/2014/chart" uri="{C3380CC4-5D6E-409C-BE32-E72D297353CC}">
              <c16:uniqueId val="{00000002-5F2D-4F78-8130-BE15AE61E66E}"/>
            </c:ext>
          </c:extLst>
        </c:ser>
        <c:ser>
          <c:idx val="3"/>
          <c:order val="3"/>
          <c:tx>
            <c:strRef>
              <c:f>Sheet1!$E$1</c:f>
              <c:strCache>
                <c:ptCount val="1"/>
                <c:pt idx="0">
                  <c:v>2016</c:v>
                </c:pt>
              </c:strCache>
            </c:strRef>
          </c:tx>
          <c:invertIfNegative val="0"/>
          <c:cat>
            <c:strRef>
              <c:f>Sheet1!$A$2:$A$15</c:f>
              <c:strCache>
                <c:ptCount val="14"/>
                <c:pt idx="0">
                  <c:v>BCG</c:v>
                </c:pt>
                <c:pt idx="1">
                  <c:v>HepB0</c:v>
                </c:pt>
                <c:pt idx="2">
                  <c:v>Hexa/Penta3</c:v>
                </c:pt>
                <c:pt idx="3">
                  <c:v>Polio3</c:v>
                </c:pt>
                <c:pt idx="4">
                  <c:v>Rota2</c:v>
                </c:pt>
                <c:pt idx="5">
                  <c:v>PCV1</c:v>
                </c:pt>
                <c:pt idx="6">
                  <c:v>PCV3</c:v>
                </c:pt>
                <c:pt idx="7">
                  <c:v>MMR1</c:v>
                </c:pt>
                <c:pt idx="8">
                  <c:v>MMR2</c:v>
                </c:pt>
                <c:pt idx="9">
                  <c:v>DPT4</c:v>
                </c:pt>
                <c:pt idx="10">
                  <c:v>OPV4</c:v>
                </c:pt>
                <c:pt idx="11">
                  <c:v>OPV5</c:v>
                </c:pt>
                <c:pt idx="12">
                  <c:v>DT (5)</c:v>
                </c:pt>
                <c:pt idx="13">
                  <c:v>Td (14)</c:v>
                </c:pt>
              </c:strCache>
            </c:strRef>
          </c:cat>
          <c:val>
            <c:numRef>
              <c:f>Sheet1!$E$2:$E$15</c:f>
              <c:numCache>
                <c:formatCode>0.0</c:formatCode>
                <c:ptCount val="14"/>
                <c:pt idx="0">
                  <c:v>97.5</c:v>
                </c:pt>
                <c:pt idx="1">
                  <c:v>95</c:v>
                </c:pt>
                <c:pt idx="2">
                  <c:v>91.5</c:v>
                </c:pt>
                <c:pt idx="3">
                  <c:v>91.5</c:v>
                </c:pt>
                <c:pt idx="4">
                  <c:v>75.099999999999994</c:v>
                </c:pt>
                <c:pt idx="5">
                  <c:v>93.6</c:v>
                </c:pt>
                <c:pt idx="6">
                  <c:v>75.2</c:v>
                </c:pt>
                <c:pt idx="7" formatCode="General">
                  <c:v>93.4</c:v>
                </c:pt>
                <c:pt idx="8" formatCode="General">
                  <c:v>85.4</c:v>
                </c:pt>
                <c:pt idx="9" formatCode="General">
                  <c:v>83.8</c:v>
                </c:pt>
                <c:pt idx="10" formatCode="General">
                  <c:v>80.2</c:v>
                </c:pt>
                <c:pt idx="11">
                  <c:v>81</c:v>
                </c:pt>
                <c:pt idx="12" formatCode="General">
                  <c:v>85.6</c:v>
                </c:pt>
                <c:pt idx="13" formatCode="General">
                  <c:v>71.400000000000006</c:v>
                </c:pt>
              </c:numCache>
            </c:numRef>
          </c:val>
          <c:extLst xmlns:c16r2="http://schemas.microsoft.com/office/drawing/2015/06/chart">
            <c:ext xmlns:c16="http://schemas.microsoft.com/office/drawing/2014/chart" uri="{C3380CC4-5D6E-409C-BE32-E72D297353CC}">
              <c16:uniqueId val="{00000003-5F2D-4F78-8130-BE15AE61E66E}"/>
            </c:ext>
          </c:extLst>
        </c:ser>
        <c:dLbls>
          <c:showLegendKey val="0"/>
          <c:showVal val="0"/>
          <c:showCatName val="0"/>
          <c:showSerName val="0"/>
          <c:showPercent val="0"/>
          <c:showBubbleSize val="0"/>
        </c:dLbls>
        <c:gapWidth val="40"/>
        <c:axId val="962537072"/>
        <c:axId val="962532720"/>
      </c:barChart>
      <c:catAx>
        <c:axId val="962537072"/>
        <c:scaling>
          <c:orientation val="minMax"/>
        </c:scaling>
        <c:delete val="0"/>
        <c:axPos val="b"/>
        <c:numFmt formatCode="General" sourceLinked="1"/>
        <c:majorTickMark val="out"/>
        <c:minorTickMark val="none"/>
        <c:tickLblPos val="nextTo"/>
        <c:crossAx val="962532720"/>
        <c:crosses val="autoZero"/>
        <c:auto val="1"/>
        <c:lblAlgn val="ctr"/>
        <c:lblOffset val="100"/>
        <c:noMultiLvlLbl val="0"/>
      </c:catAx>
      <c:valAx>
        <c:axId val="962532720"/>
        <c:scaling>
          <c:orientation val="minMax"/>
          <c:max val="100"/>
        </c:scaling>
        <c:delete val="0"/>
        <c:axPos val="l"/>
        <c:majorGridlines/>
        <c:numFmt formatCode="General" sourceLinked="1"/>
        <c:majorTickMark val="out"/>
        <c:minorTickMark val="none"/>
        <c:tickLblPos val="nextTo"/>
        <c:crossAx val="962537072"/>
        <c:crosses val="autoZero"/>
        <c:crossBetween val="between"/>
        <c:majorUnit val="2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6</cp:revision>
  <cp:lastPrinted>2017-11-23T09:30:00Z</cp:lastPrinted>
  <dcterms:created xsi:type="dcterms:W3CDTF">2017-11-23T13:22:00Z</dcterms:created>
  <dcterms:modified xsi:type="dcterms:W3CDTF">2017-11-23T13:57:00Z</dcterms:modified>
</cp:coreProperties>
</file>