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8E" w:rsidRDefault="0056381E" w:rsidP="0056381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en-US"/>
        </w:rPr>
        <w:t>INFORMATION</w:t>
      </w:r>
    </w:p>
    <w:p w:rsidR="0056381E" w:rsidRPr="0056381E" w:rsidRDefault="0056381E" w:rsidP="0056381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427AD5" w:rsidRPr="0080174B" w:rsidRDefault="0080174B" w:rsidP="00427AD5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The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1755-</w:t>
      </w:r>
      <w:r>
        <w:rPr>
          <w:rFonts w:ascii="GHEA Grapalat" w:hAnsi="GHEA Grapalat" w:cs="Sylfaen"/>
          <w:sz w:val="24"/>
          <w:szCs w:val="24"/>
          <w:lang w:val="en-US"/>
        </w:rPr>
        <w:t>A order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of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the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Ministry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of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Health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of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the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Republic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of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Armenia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on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May 25,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2017</w:t>
      </w:r>
      <w:r>
        <w:rPr>
          <w:rFonts w:ascii="GHEA Grapalat" w:hAnsi="GHEA Grapalat" w:cs="Sylfaen"/>
          <w:sz w:val="24"/>
          <w:szCs w:val="24"/>
          <w:lang w:val="en-US"/>
        </w:rPr>
        <w:t xml:space="preserve"> approved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the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treatment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of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the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patients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with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the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infectious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Hepatitis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C</w:t>
      </w:r>
      <w:r w:rsidRPr="008017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in the Republic of Armenia by the “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Sovaldi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” medicine</w:t>
      </w:r>
      <w:r w:rsidRPr="000971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0174B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Pr="0009713A">
        <w:rPr>
          <w:rFonts w:ascii="GHEA Grapalat" w:hAnsi="GHEA Grapalat"/>
          <w:sz w:val="24"/>
          <w:szCs w:val="24"/>
          <w:lang w:val="en-US"/>
        </w:rPr>
        <w:t>Sofosbuvir</w:t>
      </w:r>
      <w:proofErr w:type="spellEnd"/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713A">
        <w:rPr>
          <w:rFonts w:ascii="GHEA Grapalat" w:hAnsi="GHEA Grapalat"/>
          <w:sz w:val="24"/>
          <w:szCs w:val="24"/>
          <w:lang w:val="en-US"/>
        </w:rPr>
        <w:t>tablets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713A">
        <w:rPr>
          <w:rFonts w:ascii="GHEA Grapalat" w:hAnsi="GHEA Grapalat"/>
          <w:sz w:val="24"/>
          <w:szCs w:val="24"/>
          <w:lang w:val="en-US"/>
        </w:rPr>
        <w:t>of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400 </w:t>
      </w:r>
      <w:r w:rsidRPr="0009713A">
        <w:rPr>
          <w:rFonts w:ascii="GHEA Grapalat" w:hAnsi="GHEA Grapalat"/>
          <w:sz w:val="24"/>
          <w:szCs w:val="24"/>
          <w:lang w:val="en-US"/>
        </w:rPr>
        <w:t>mg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713A">
        <w:rPr>
          <w:rFonts w:ascii="GHEA Grapalat" w:hAnsi="GHEA Grapalat"/>
          <w:sz w:val="24"/>
          <w:szCs w:val="24"/>
          <w:lang w:val="en-US"/>
        </w:rPr>
        <w:t>n</w:t>
      </w:r>
      <w:r w:rsidRPr="0080174B">
        <w:rPr>
          <w:rFonts w:ascii="GHEA Grapalat" w:hAnsi="GHEA Grapalat"/>
          <w:sz w:val="24"/>
          <w:szCs w:val="24"/>
          <w:lang w:val="en-US"/>
        </w:rPr>
        <w:t>28)</w:t>
      </w:r>
      <w:r>
        <w:rPr>
          <w:rFonts w:ascii="GHEA Grapalat" w:hAnsi="GHEA Grapalat"/>
          <w:sz w:val="24"/>
          <w:szCs w:val="24"/>
          <w:lang w:val="en-US"/>
        </w:rPr>
        <w:t xml:space="preserve">, as well as the process of the selection of the beneficiaries and the procedure of medicine conservation and beneficiary distribution.  </w:t>
      </w:r>
    </w:p>
    <w:p w:rsidR="00427AD5" w:rsidRPr="0080174B" w:rsidRDefault="008D2948" w:rsidP="00427AD5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This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procedure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aims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to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regulate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the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organization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of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the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treatment</w:t>
      </w:r>
      <w:r w:rsidR="0080174B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as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well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as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the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storage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and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distribution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relationships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of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the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2999,286 </w:t>
      </w:r>
      <w:r>
        <w:rPr>
          <w:rFonts w:ascii="GHEA Grapalat" w:hAnsi="GHEA Grapalat"/>
          <w:sz w:val="24"/>
          <w:szCs w:val="24"/>
          <w:lang w:val="en-US"/>
        </w:rPr>
        <w:t>boxes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of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>“</w:t>
      </w:r>
      <w:proofErr w:type="spellStart"/>
      <w:r w:rsidR="0080174B">
        <w:rPr>
          <w:rFonts w:ascii="GHEA Grapalat" w:hAnsi="GHEA Grapalat"/>
          <w:sz w:val="24"/>
          <w:szCs w:val="24"/>
          <w:lang w:val="en-US"/>
        </w:rPr>
        <w:t>Sovaldi</w:t>
      </w:r>
      <w:proofErr w:type="spellEnd"/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” </w:t>
      </w:r>
      <w:r>
        <w:rPr>
          <w:rFonts w:ascii="GHEA Grapalat" w:hAnsi="GHEA Grapalat"/>
          <w:sz w:val="24"/>
          <w:szCs w:val="24"/>
          <w:lang w:val="en-US"/>
        </w:rPr>
        <w:t>medicine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 w:rsidRPr="008A4EE7">
        <w:rPr>
          <w:rFonts w:ascii="GHEA Grapalat" w:hAnsi="GHEA Grapalat"/>
          <w:sz w:val="24"/>
          <w:szCs w:val="24"/>
          <w:lang w:val="hy-AM"/>
        </w:rPr>
        <w:t>(Sof</w:t>
      </w:r>
      <w:r w:rsidR="0080174B">
        <w:rPr>
          <w:rFonts w:ascii="GHEA Grapalat" w:hAnsi="GHEA Grapalat"/>
          <w:sz w:val="24"/>
          <w:szCs w:val="24"/>
          <w:lang w:val="hy-AM"/>
        </w:rPr>
        <w:t>osbuvir tablets of 400 mg N28)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donated</w:t>
      </w:r>
      <w:r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to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the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Republic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of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Armenia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form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</w:t>
      </w:r>
      <w:r w:rsidR="0080174B">
        <w:rPr>
          <w:rFonts w:ascii="GHEA Grapalat" w:hAnsi="GHEA Grapalat"/>
          <w:sz w:val="24"/>
          <w:szCs w:val="24"/>
          <w:lang w:val="en-US"/>
        </w:rPr>
        <w:t>the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 xml:space="preserve"> Ministry of Labor, Health and Social Affairs of </w:t>
      </w:r>
      <w:r w:rsidR="0080174B">
        <w:rPr>
          <w:rFonts w:ascii="GHEA Grapalat" w:hAnsi="GHEA Grapalat"/>
          <w:sz w:val="24"/>
          <w:szCs w:val="24"/>
          <w:lang w:val="en-US"/>
        </w:rPr>
        <w:t xml:space="preserve">the Republic of </w:t>
      </w:r>
      <w:r w:rsidR="0080174B" w:rsidRPr="0080174B">
        <w:rPr>
          <w:rFonts w:ascii="GHEA Grapalat" w:hAnsi="GHEA Grapalat"/>
          <w:sz w:val="24"/>
          <w:szCs w:val="24"/>
          <w:lang w:val="en-US"/>
        </w:rPr>
        <w:t>Georgia</w:t>
      </w:r>
      <w:r w:rsidR="0080174B">
        <w:rPr>
          <w:rFonts w:ascii="GHEA Grapalat" w:hAnsi="GHEA Grapalat"/>
          <w:sz w:val="24"/>
          <w:szCs w:val="24"/>
          <w:lang w:val="en-US"/>
        </w:rPr>
        <w:t>.</w:t>
      </w:r>
    </w:p>
    <w:p w:rsidR="008D2948" w:rsidRDefault="00F91F10" w:rsidP="00B36E9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The selection of the 1000 beneficiaries is done from the </w:t>
      </w:r>
      <w:r w:rsidR="008D2948">
        <w:rPr>
          <w:rFonts w:ascii="GHEA Grapalat" w:hAnsi="GHEA Grapalat"/>
          <w:sz w:val="24"/>
          <w:szCs w:val="24"/>
          <w:lang w:val="en-US"/>
        </w:rPr>
        <w:t>data of common database, particularly from the people from the age group of 18-60 who had not receive treatment before</w:t>
      </w:r>
      <w:r w:rsidR="00B36E9B">
        <w:rPr>
          <w:rFonts w:ascii="GHEA Grapalat" w:hAnsi="GHEA Grapalat"/>
          <w:sz w:val="24"/>
          <w:szCs w:val="24"/>
          <w:lang w:val="hy-AM"/>
        </w:rPr>
        <w:t xml:space="preserve">, </w:t>
      </w:r>
      <w:r w:rsidR="008D2948">
        <w:rPr>
          <w:rFonts w:ascii="GHEA Grapalat" w:hAnsi="GHEA Grapalat"/>
          <w:sz w:val="24"/>
          <w:szCs w:val="24"/>
          <w:lang w:val="en-US"/>
        </w:rPr>
        <w:t>had completed mandatory laboratory-instrumental diagnostic examinat</w:t>
      </w:r>
      <w:r w:rsidR="00DD21C5">
        <w:rPr>
          <w:rFonts w:ascii="GHEA Grapalat" w:hAnsi="GHEA Grapalat"/>
          <w:sz w:val="24"/>
          <w:szCs w:val="24"/>
          <w:lang w:val="en-US"/>
        </w:rPr>
        <w:t>ions provided by the procedure,</w:t>
      </w:r>
      <w:r w:rsidR="008D2948">
        <w:rPr>
          <w:rFonts w:ascii="GHEA Grapalat" w:hAnsi="GHEA Grapalat"/>
          <w:sz w:val="24"/>
          <w:szCs w:val="24"/>
          <w:lang w:val="en-US"/>
        </w:rPr>
        <w:t xml:space="preserve"> had given a written agreement to obtain the prescribed medication and had also completed monitoring investigations.  </w:t>
      </w:r>
    </w:p>
    <w:p w:rsidR="00F91F10" w:rsidRDefault="00EF5C19" w:rsidP="00B36E9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F5C19">
        <w:rPr>
          <w:rFonts w:ascii="GHEA Grapalat" w:hAnsi="GHEA Grapalat" w:cs="Sylfaen"/>
          <w:sz w:val="24"/>
          <w:szCs w:val="24"/>
          <w:lang w:val="hy-AM"/>
        </w:rPr>
        <w:t xml:space="preserve">Within the frameworks of the order, </w:t>
      </w:r>
      <w:r w:rsidR="00F91F10" w:rsidRPr="00F91F10">
        <w:rPr>
          <w:rFonts w:ascii="GHEA Grapalat" w:hAnsi="GHEA Grapalat" w:cs="Sylfaen"/>
          <w:sz w:val="24"/>
          <w:szCs w:val="24"/>
          <w:lang w:val="hy-AM"/>
        </w:rPr>
        <w:t xml:space="preserve">the registration of the beneficiaries in the </w:t>
      </w:r>
      <w:r w:rsidR="00F91F10" w:rsidRPr="00EF5C19">
        <w:rPr>
          <w:rFonts w:ascii="GHEA Grapalat" w:hAnsi="GHEA Grapalat"/>
          <w:sz w:val="24"/>
          <w:szCs w:val="24"/>
          <w:lang w:val="hy-AM"/>
        </w:rPr>
        <w:t>Infectious Clinical Hospital “Nork”</w:t>
      </w:r>
      <w:r w:rsidR="00F91F10" w:rsidRPr="00F91F10">
        <w:rPr>
          <w:rFonts w:ascii="GHEA Grapalat" w:hAnsi="GHEA Grapalat" w:cs="Sylfaen"/>
          <w:sz w:val="24"/>
          <w:szCs w:val="24"/>
          <w:lang w:val="hy-AM"/>
        </w:rPr>
        <w:t xml:space="preserve"> is done in special registrar books 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>and the beneficiaries are provided with a document certified by the medic</w:t>
      </w:r>
      <w:r w:rsidR="00F91F10">
        <w:rPr>
          <w:rFonts w:ascii="GHEA Grapalat" w:hAnsi="GHEA Grapalat"/>
          <w:sz w:val="24"/>
          <w:szCs w:val="24"/>
          <w:lang w:val="en-US"/>
        </w:rPr>
        <w:t xml:space="preserve">al 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organization </w:t>
      </w:r>
      <w:r w:rsidR="00F91F10">
        <w:rPr>
          <w:rFonts w:ascii="GHEA Grapalat" w:hAnsi="GHEA Grapalat"/>
          <w:sz w:val="24"/>
          <w:szCs w:val="24"/>
          <w:lang w:val="en-US"/>
        </w:rPr>
        <w:t xml:space="preserve">which 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>contain</w:t>
      </w:r>
      <w:r w:rsidR="00DD21C5">
        <w:rPr>
          <w:rFonts w:ascii="GHEA Grapalat" w:hAnsi="GHEA Grapalat"/>
          <w:sz w:val="24"/>
          <w:szCs w:val="24"/>
          <w:lang w:val="en-US"/>
        </w:rPr>
        <w:t>s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 information about </w:t>
      </w:r>
      <w:r w:rsidR="00DD21C5">
        <w:rPr>
          <w:rFonts w:ascii="GHEA Grapalat" w:hAnsi="GHEA Grapalat"/>
          <w:sz w:val="24"/>
          <w:szCs w:val="24"/>
          <w:lang w:val="en-US"/>
        </w:rPr>
        <w:t xml:space="preserve">the 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registration. </w:t>
      </w:r>
      <w:r w:rsidR="00F91F10" w:rsidRPr="00F91F10">
        <w:rPr>
          <w:rFonts w:ascii="GHEA Grapalat" w:hAnsi="GHEA Grapalat" w:cs="Sylfaen"/>
          <w:sz w:val="24"/>
          <w:szCs w:val="24"/>
          <w:lang w:val="hy-AM"/>
        </w:rPr>
        <w:t xml:space="preserve">The </w:t>
      </w:r>
      <w:r w:rsidR="00F91F10" w:rsidRPr="00EF5C19">
        <w:rPr>
          <w:rFonts w:ascii="GHEA Grapalat" w:hAnsi="GHEA Grapalat"/>
          <w:sz w:val="24"/>
          <w:szCs w:val="24"/>
          <w:lang w:val="hy-AM"/>
        </w:rPr>
        <w:t>Infectious Clinical Hospital “Nork”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 presents the information regarding the registration process</w:t>
      </w:r>
      <w:r w:rsidR="00B36E9B" w:rsidRPr="00B36E9B">
        <w:rPr>
          <w:rFonts w:ascii="GHEA Grapalat" w:hAnsi="GHEA Grapalat"/>
          <w:sz w:val="24"/>
          <w:szCs w:val="24"/>
          <w:lang w:val="hy-AM"/>
        </w:rPr>
        <w:t xml:space="preserve"> 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to the department of the </w:t>
      </w:r>
      <w:r w:rsidR="00F91F10">
        <w:rPr>
          <w:rFonts w:ascii="GHEA Grapalat" w:hAnsi="GHEA Grapalat"/>
          <w:sz w:val="24"/>
          <w:szCs w:val="24"/>
          <w:lang w:val="en-US"/>
        </w:rPr>
        <w:t>P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olicy of </w:t>
      </w:r>
      <w:r w:rsidR="00F91F10">
        <w:rPr>
          <w:rFonts w:ascii="GHEA Grapalat" w:hAnsi="GHEA Grapalat"/>
          <w:sz w:val="24"/>
          <w:szCs w:val="24"/>
          <w:lang w:val="en-US"/>
        </w:rPr>
        <w:t>M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 xml:space="preserve">edical </w:t>
      </w:r>
      <w:r w:rsidR="00F91F10">
        <w:rPr>
          <w:rFonts w:ascii="GHEA Grapalat" w:hAnsi="GHEA Grapalat"/>
          <w:sz w:val="24"/>
          <w:szCs w:val="24"/>
          <w:lang w:val="en-US"/>
        </w:rPr>
        <w:t>A</w:t>
      </w:r>
      <w:r w:rsidR="00F91F10" w:rsidRPr="00F91F10">
        <w:rPr>
          <w:rFonts w:ascii="GHEA Grapalat" w:hAnsi="GHEA Grapalat"/>
          <w:sz w:val="24"/>
          <w:szCs w:val="24"/>
          <w:lang w:val="hy-AM"/>
        </w:rPr>
        <w:t>ssistance</w:t>
      </w:r>
      <w:r w:rsidR="00F91F10">
        <w:rPr>
          <w:rFonts w:ascii="GHEA Grapalat" w:hAnsi="GHEA Grapalat"/>
          <w:sz w:val="24"/>
          <w:szCs w:val="24"/>
          <w:lang w:val="en-US"/>
        </w:rPr>
        <w:t xml:space="preserve"> of the Ministry of Health of the Republic of Armenia in a daily basis.</w:t>
      </w:r>
    </w:p>
    <w:p w:rsidR="00EF5C19" w:rsidRDefault="00EF5C19" w:rsidP="00B36E9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F5C19">
        <w:rPr>
          <w:rFonts w:ascii="GHEA Grapalat" w:hAnsi="GHEA Grapalat"/>
          <w:sz w:val="24"/>
          <w:szCs w:val="24"/>
          <w:lang w:val="hy-AM"/>
        </w:rPr>
        <w:t>After the provision of approp</w:t>
      </w:r>
      <w:r>
        <w:rPr>
          <w:rFonts w:ascii="GHEA Grapalat" w:hAnsi="GHEA Grapalat"/>
          <w:sz w:val="24"/>
          <w:szCs w:val="24"/>
          <w:lang w:val="hy-AM"/>
        </w:rPr>
        <w:t>riate medicines to the benefici</w:t>
      </w:r>
      <w:r w:rsidRPr="00EF5C19">
        <w:rPr>
          <w:rFonts w:ascii="GHEA Grapalat" w:hAnsi="GHEA Grapalat"/>
          <w:sz w:val="24"/>
          <w:szCs w:val="24"/>
          <w:lang w:val="hy-AM"/>
        </w:rPr>
        <w:t>ary, the Infectious Clinical Hospital “Nork” will guide the beneficiary to appropriate organizations for the purpose of treatment and</w:t>
      </w:r>
      <w:r>
        <w:rPr>
          <w:rFonts w:ascii="GHEA Grapalat" w:hAnsi="GHEA Grapalat"/>
          <w:sz w:val="24"/>
          <w:szCs w:val="24"/>
          <w:lang w:val="hy-AM"/>
        </w:rPr>
        <w:t xml:space="preserve"> monitoring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:rsidR="00B36E9B" w:rsidRDefault="00E6285E" w:rsidP="00B36E9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285E">
        <w:rPr>
          <w:rFonts w:ascii="GHEA Grapalat" w:hAnsi="GHEA Grapalat"/>
          <w:sz w:val="24"/>
          <w:szCs w:val="24"/>
          <w:lang w:val="hy-AM"/>
        </w:rPr>
        <w:t xml:space="preserve">The release of the medicine Sovaldi </w:t>
      </w:r>
      <w:r w:rsidRPr="00B36E9B">
        <w:rPr>
          <w:rFonts w:ascii="GHEA Grapalat" w:hAnsi="GHEA Grapalat"/>
          <w:sz w:val="24"/>
          <w:szCs w:val="24"/>
          <w:lang w:val="hy-AM"/>
        </w:rPr>
        <w:t xml:space="preserve">(Sofosbuvir tablets of 400 mg N28) </w:t>
      </w:r>
      <w:r w:rsidRPr="00E6285E">
        <w:rPr>
          <w:rFonts w:ascii="GHEA Grapalat" w:hAnsi="GHEA Grapalat"/>
          <w:sz w:val="24"/>
          <w:szCs w:val="24"/>
          <w:lang w:val="hy-AM"/>
        </w:rPr>
        <w:t xml:space="preserve">and </w:t>
      </w:r>
      <w:r w:rsidR="00EF5C19" w:rsidRPr="00EF5C19">
        <w:rPr>
          <w:rFonts w:ascii="GHEA Grapalat" w:hAnsi="GHEA Grapalat"/>
          <w:sz w:val="24"/>
          <w:szCs w:val="24"/>
          <w:lang w:val="hy-AM"/>
        </w:rPr>
        <w:t xml:space="preserve">of </w:t>
      </w:r>
      <w:r w:rsidRPr="00E6285E">
        <w:rPr>
          <w:rFonts w:ascii="GHEA Grapalat" w:hAnsi="GHEA Grapalat"/>
          <w:sz w:val="24"/>
          <w:szCs w:val="24"/>
          <w:lang w:val="hy-AM"/>
        </w:rPr>
        <w:t>other adjacent medicines essential for the treatment of Hepatitis C</w:t>
      </w:r>
      <w:r w:rsidR="00EF5C19" w:rsidRPr="00EF5C19">
        <w:rPr>
          <w:rFonts w:ascii="GHEA Grapalat" w:hAnsi="GHEA Grapalat"/>
          <w:sz w:val="24"/>
          <w:szCs w:val="24"/>
          <w:lang w:val="hy-AM"/>
        </w:rPr>
        <w:t xml:space="preserve"> is done from the special place (room) allocated for the</w:t>
      </w:r>
      <w:r w:rsidR="00EF5C19">
        <w:rPr>
          <w:rFonts w:ascii="GHEA Grapalat" w:hAnsi="GHEA Grapalat"/>
          <w:sz w:val="24"/>
          <w:szCs w:val="24"/>
          <w:lang w:val="hy-AM"/>
        </w:rPr>
        <w:t xml:space="preserve"> release of the medicine to the</w:t>
      </w:r>
      <w:r w:rsidR="00EF5C19">
        <w:rPr>
          <w:rFonts w:ascii="GHEA Grapalat" w:hAnsi="GHEA Grapalat"/>
          <w:sz w:val="24"/>
          <w:szCs w:val="24"/>
          <w:lang w:val="en-US"/>
        </w:rPr>
        <w:t xml:space="preserve"> population. The process is organized by </w:t>
      </w:r>
      <w:r w:rsidR="00EF5C19">
        <w:rPr>
          <w:rFonts w:ascii="GHEA Grapalat" w:hAnsi="GHEA Grapalat" w:cs="Sylfaen"/>
          <w:sz w:val="24"/>
          <w:szCs w:val="24"/>
          <w:lang w:val="en-US"/>
        </w:rPr>
        <w:t>t</w:t>
      </w:r>
      <w:r w:rsidR="00EF5C19" w:rsidRPr="00E6285E">
        <w:rPr>
          <w:rFonts w:ascii="GHEA Grapalat" w:hAnsi="GHEA Grapalat" w:cs="Sylfaen"/>
          <w:sz w:val="24"/>
          <w:szCs w:val="24"/>
          <w:lang w:val="en-US"/>
        </w:rPr>
        <w:t xml:space="preserve">he Republican Center for Humanitarian Assistance of the </w:t>
      </w:r>
      <w:r w:rsidR="00EF5C19" w:rsidRPr="00E6285E">
        <w:rPr>
          <w:rFonts w:ascii="GHEA Grapalat" w:hAnsi="GHEA Grapalat" w:cs="Sylfaen"/>
          <w:sz w:val="24"/>
          <w:szCs w:val="24"/>
          <w:lang w:val="en-US"/>
        </w:rPr>
        <w:lastRenderedPageBreak/>
        <w:t>Ministry of Healthcare of the Republic of Armenia</w:t>
      </w:r>
      <w:r w:rsidR="00EF5C19" w:rsidRPr="00EF5C19">
        <w:rPr>
          <w:rFonts w:ascii="GHEA Grapalat" w:hAnsi="GHEA Grapalat"/>
          <w:sz w:val="24"/>
          <w:szCs w:val="24"/>
          <w:lang w:val="hy-AM"/>
        </w:rPr>
        <w:t xml:space="preserve"> (</w:t>
      </w:r>
      <w:r w:rsidR="00EF5C19">
        <w:rPr>
          <w:rFonts w:ascii="GHEA Grapalat" w:hAnsi="GHEA Grapalat"/>
          <w:sz w:val="24"/>
          <w:szCs w:val="24"/>
          <w:lang w:val="en-US"/>
        </w:rPr>
        <w:t>h</w:t>
      </w:r>
      <w:r w:rsidR="00EF5C19" w:rsidRPr="00EF5C19">
        <w:rPr>
          <w:rFonts w:ascii="GHEA Grapalat" w:hAnsi="GHEA Grapalat"/>
          <w:sz w:val="24"/>
          <w:szCs w:val="24"/>
          <w:lang w:val="hy-AM"/>
        </w:rPr>
        <w:t xml:space="preserve">ereinafter referred to as organization) </w:t>
      </w:r>
      <w:r w:rsidR="00EF5C19">
        <w:rPr>
          <w:rFonts w:ascii="GHEA Grapalat" w:hAnsi="GHEA Grapalat"/>
          <w:sz w:val="24"/>
          <w:szCs w:val="24"/>
          <w:lang w:val="en-US"/>
        </w:rPr>
        <w:t xml:space="preserve">through a qualified professional. </w:t>
      </w:r>
    </w:p>
    <w:p w:rsidR="00E6285E" w:rsidRPr="00E6285E" w:rsidRDefault="00E6285E" w:rsidP="00DD680F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Below we introduce the number of applied patients, patients who received prescription and those who received medicine according to the prescription in the period of </w:t>
      </w:r>
      <w:r>
        <w:rPr>
          <w:rFonts w:ascii="GHEA Grapalat" w:hAnsi="GHEA Grapalat"/>
          <w:sz w:val="24"/>
          <w:szCs w:val="24"/>
          <w:lang w:val="hy-AM"/>
        </w:rPr>
        <w:t>01.06.2017-</w:t>
      </w:r>
      <w:r w:rsidRPr="00DD680F">
        <w:rPr>
          <w:rFonts w:ascii="GHEA Grapalat" w:hAnsi="GHEA Grapalat"/>
          <w:sz w:val="24"/>
          <w:szCs w:val="24"/>
          <w:lang w:val="hy-AM"/>
        </w:rPr>
        <w:t>19</w:t>
      </w:r>
      <w:r w:rsidRPr="0009713A">
        <w:rPr>
          <w:rFonts w:ascii="GHEA Grapalat" w:hAnsi="GHEA Grapalat"/>
          <w:sz w:val="24"/>
          <w:szCs w:val="24"/>
          <w:lang w:val="hy-AM"/>
        </w:rPr>
        <w:t>.06.2017</w:t>
      </w:r>
      <w:r>
        <w:rPr>
          <w:rFonts w:ascii="GHEA Grapalat" w:hAnsi="GHEA Grapalat"/>
          <w:sz w:val="24"/>
          <w:szCs w:val="24"/>
          <w:lang w:val="en-US"/>
        </w:rPr>
        <w:t>.</w:t>
      </w:r>
    </w:p>
    <w:p w:rsidR="00B36E9B" w:rsidRPr="00B36E9B" w:rsidRDefault="00B36E9B" w:rsidP="00427AD5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27AD5" w:rsidRPr="00427AD5" w:rsidRDefault="00427AD5" w:rsidP="00427AD5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27AD5" w:rsidRPr="00E6285E" w:rsidRDefault="00E6285E" w:rsidP="00DD680F">
      <w:pPr>
        <w:spacing w:after="0"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REFERENCE</w:t>
      </w:r>
    </w:p>
    <w:p w:rsidR="00DB0703" w:rsidRPr="00B36E9B" w:rsidRDefault="00DB0703" w:rsidP="0009713A">
      <w:pPr>
        <w:pStyle w:val="NoSpacing"/>
        <w:rPr>
          <w:rFonts w:ascii="GHEA Grapalat" w:hAnsi="GHEA Grapalat"/>
          <w:sz w:val="24"/>
          <w:szCs w:val="24"/>
          <w:lang w:val="hy-AM"/>
        </w:rPr>
      </w:pPr>
    </w:p>
    <w:p w:rsidR="00DB0703" w:rsidRPr="00B36E9B" w:rsidRDefault="00DB0703" w:rsidP="0009713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1559"/>
        <w:gridCol w:w="2268"/>
        <w:gridCol w:w="1729"/>
      </w:tblGrid>
      <w:tr w:rsidR="007958B1" w:rsidRPr="0009713A" w:rsidTr="0009713A">
        <w:tc>
          <w:tcPr>
            <w:tcW w:w="2836" w:type="dxa"/>
            <w:vAlign w:val="center"/>
          </w:tcPr>
          <w:p w:rsidR="007958B1" w:rsidRPr="0009713A" w:rsidRDefault="007958B1" w:rsidP="0009713A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 xml:space="preserve">01.06.- </w:t>
            </w: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>.06.2017</w:t>
            </w:r>
            <w:r w:rsidRPr="0009713A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1843" w:type="dxa"/>
            <w:vAlign w:val="center"/>
          </w:tcPr>
          <w:p w:rsidR="007958B1" w:rsidRPr="00E6285E" w:rsidRDefault="00E6285E" w:rsidP="00E6285E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Infectious Clinical Hospital “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Nork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  <w:vAlign w:val="center"/>
          </w:tcPr>
          <w:p w:rsidR="007958B1" w:rsidRPr="00E6285E" w:rsidRDefault="00E6285E" w:rsidP="00E6285E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Armenicum</w:t>
            </w:r>
            <w:proofErr w:type="spellEnd"/>
            <w:r>
              <w:rPr>
                <w:rFonts w:ascii="GHEA Grapalat" w:eastAsia="Calibri" w:hAnsi="GHEA Grapalat"/>
                <w:sz w:val="24"/>
                <w:szCs w:val="24"/>
                <w:lang w:val="en-US"/>
              </w:rPr>
              <w:t>” Clinical Center</w:t>
            </w:r>
          </w:p>
        </w:tc>
        <w:tc>
          <w:tcPr>
            <w:tcW w:w="2268" w:type="dxa"/>
            <w:vAlign w:val="center"/>
          </w:tcPr>
          <w:p w:rsidR="007958B1" w:rsidRPr="00E6285E" w:rsidRDefault="00E6285E" w:rsidP="0009713A">
            <w:pPr>
              <w:pStyle w:val="NoSpacing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National AIDS Center of RA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958B1" w:rsidRPr="00E6285E" w:rsidRDefault="00E6285E" w:rsidP="0009713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Total</w:t>
            </w:r>
          </w:p>
        </w:tc>
      </w:tr>
      <w:tr w:rsidR="007958B1" w:rsidRPr="0009713A" w:rsidTr="0009713A">
        <w:tc>
          <w:tcPr>
            <w:tcW w:w="2836" w:type="dxa"/>
          </w:tcPr>
          <w:p w:rsidR="007958B1" w:rsidRPr="00E6285E" w:rsidRDefault="00E6285E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Number of applied patients </w:t>
            </w:r>
          </w:p>
        </w:tc>
        <w:tc>
          <w:tcPr>
            <w:tcW w:w="1843" w:type="dxa"/>
          </w:tcPr>
          <w:p w:rsidR="007958B1" w:rsidRPr="00E6285E" w:rsidRDefault="007958B1" w:rsidP="00E6285E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 xml:space="preserve">00 </w:t>
            </w:r>
            <w:r w:rsidR="00E6285E">
              <w:rPr>
                <w:rFonts w:ascii="GHEA Grapalat" w:hAnsi="GHEA Grapalat" w:cs="Sylfaen"/>
                <w:sz w:val="24"/>
                <w:szCs w:val="24"/>
                <w:lang w:val="en-US"/>
              </w:rPr>
              <w:t>patients</w:t>
            </w:r>
          </w:p>
        </w:tc>
        <w:tc>
          <w:tcPr>
            <w:tcW w:w="1559" w:type="dxa"/>
          </w:tcPr>
          <w:p w:rsidR="007958B1" w:rsidRPr="00E6285E" w:rsidRDefault="007958B1" w:rsidP="00E6285E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E6285E">
              <w:rPr>
                <w:rFonts w:ascii="GHEA Grapalat" w:hAnsi="GHEA Grapalat" w:cs="Sylfaen"/>
                <w:sz w:val="24"/>
                <w:szCs w:val="24"/>
                <w:lang w:val="en-US"/>
              </w:rPr>
              <w:t>patients</w:t>
            </w:r>
          </w:p>
        </w:tc>
        <w:tc>
          <w:tcPr>
            <w:tcW w:w="2268" w:type="dxa"/>
          </w:tcPr>
          <w:p w:rsidR="007958B1" w:rsidRPr="00E6285E" w:rsidRDefault="007958B1" w:rsidP="00E6285E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90</w:t>
            </w: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6285E">
              <w:rPr>
                <w:rFonts w:ascii="GHEA Grapalat" w:hAnsi="GHEA Grapalat" w:cs="Sylfaen"/>
                <w:sz w:val="24"/>
                <w:szCs w:val="24"/>
                <w:lang w:val="en-US"/>
              </w:rPr>
              <w:t>patients</w:t>
            </w:r>
          </w:p>
        </w:tc>
        <w:tc>
          <w:tcPr>
            <w:tcW w:w="1729" w:type="dxa"/>
            <w:shd w:val="clear" w:color="auto" w:fill="auto"/>
          </w:tcPr>
          <w:p w:rsidR="007958B1" w:rsidRPr="0009713A" w:rsidRDefault="007958B1" w:rsidP="000971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>1060</w:t>
            </w:r>
          </w:p>
        </w:tc>
      </w:tr>
      <w:tr w:rsidR="007958B1" w:rsidRPr="0009713A" w:rsidTr="0009713A">
        <w:tc>
          <w:tcPr>
            <w:tcW w:w="2836" w:type="dxa"/>
          </w:tcPr>
          <w:p w:rsidR="007958B1" w:rsidRPr="00E6285E" w:rsidRDefault="00E6285E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Number of patients who received medicine</w:t>
            </w:r>
          </w:p>
        </w:tc>
        <w:tc>
          <w:tcPr>
            <w:tcW w:w="1843" w:type="dxa"/>
          </w:tcPr>
          <w:p w:rsidR="007958B1" w:rsidRPr="0009713A" w:rsidRDefault="007958B1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512</w:t>
            </w:r>
          </w:p>
        </w:tc>
        <w:tc>
          <w:tcPr>
            <w:tcW w:w="1559" w:type="dxa"/>
          </w:tcPr>
          <w:p w:rsidR="007958B1" w:rsidRPr="0009713A" w:rsidRDefault="007958B1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190</w:t>
            </w:r>
          </w:p>
        </w:tc>
        <w:tc>
          <w:tcPr>
            <w:tcW w:w="2268" w:type="dxa"/>
          </w:tcPr>
          <w:p w:rsidR="007958B1" w:rsidRPr="0009713A" w:rsidRDefault="007958B1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65</w:t>
            </w:r>
          </w:p>
        </w:tc>
        <w:tc>
          <w:tcPr>
            <w:tcW w:w="1729" w:type="dxa"/>
            <w:shd w:val="clear" w:color="auto" w:fill="auto"/>
          </w:tcPr>
          <w:p w:rsidR="007958B1" w:rsidRPr="0009713A" w:rsidRDefault="007958B1" w:rsidP="000971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>767</w:t>
            </w:r>
          </w:p>
        </w:tc>
      </w:tr>
      <w:tr w:rsidR="007958B1" w:rsidRPr="0009713A" w:rsidTr="0009713A">
        <w:tc>
          <w:tcPr>
            <w:tcW w:w="2836" w:type="dxa"/>
          </w:tcPr>
          <w:p w:rsidR="007958B1" w:rsidRPr="00E6285E" w:rsidRDefault="00E6285E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6285E">
              <w:rPr>
                <w:rFonts w:ascii="GHEA Grapalat" w:hAnsi="GHEA Grapalat" w:cs="Sylfaen"/>
                <w:sz w:val="24"/>
                <w:szCs w:val="24"/>
                <w:lang w:val="en-US"/>
              </w:rPr>
              <w:t>The Republican Center for Humanitarian Assistance of the Ministry of Healthcare of the Republic of Armenia</w:t>
            </w:r>
          </w:p>
        </w:tc>
        <w:tc>
          <w:tcPr>
            <w:tcW w:w="1843" w:type="dxa"/>
          </w:tcPr>
          <w:p w:rsidR="007958B1" w:rsidRPr="00E6285E" w:rsidRDefault="007958B1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58B1" w:rsidRPr="00E6285E" w:rsidRDefault="007958B1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958B1" w:rsidRPr="0009713A" w:rsidRDefault="007958B1" w:rsidP="0009713A">
            <w:pPr>
              <w:pStyle w:val="NoSpacing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en-US"/>
              </w:rPr>
              <w:t>633</w:t>
            </w:r>
          </w:p>
        </w:tc>
        <w:tc>
          <w:tcPr>
            <w:tcW w:w="1729" w:type="dxa"/>
            <w:shd w:val="clear" w:color="auto" w:fill="auto"/>
          </w:tcPr>
          <w:p w:rsidR="007958B1" w:rsidRPr="0009713A" w:rsidRDefault="002C2C35" w:rsidP="000971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13A">
              <w:rPr>
                <w:rFonts w:ascii="GHEA Grapalat" w:hAnsi="GHEA Grapalat"/>
                <w:sz w:val="24"/>
                <w:szCs w:val="24"/>
                <w:lang w:val="hy-AM"/>
              </w:rPr>
              <w:t>633</w:t>
            </w:r>
          </w:p>
        </w:tc>
      </w:tr>
    </w:tbl>
    <w:p w:rsidR="00DB0703" w:rsidRPr="0009713A" w:rsidRDefault="00DB0703" w:rsidP="0009713A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sectPr w:rsidR="00DB0703" w:rsidRPr="0009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DD"/>
    <w:rsid w:val="0009713A"/>
    <w:rsid w:val="00126F7C"/>
    <w:rsid w:val="002220A7"/>
    <w:rsid w:val="002C2C35"/>
    <w:rsid w:val="0037628E"/>
    <w:rsid w:val="00427AD5"/>
    <w:rsid w:val="004A539F"/>
    <w:rsid w:val="0056381E"/>
    <w:rsid w:val="006111DD"/>
    <w:rsid w:val="006821E3"/>
    <w:rsid w:val="006952A6"/>
    <w:rsid w:val="006D58F6"/>
    <w:rsid w:val="007958B1"/>
    <w:rsid w:val="0080174B"/>
    <w:rsid w:val="00810B2D"/>
    <w:rsid w:val="00837A03"/>
    <w:rsid w:val="008567C0"/>
    <w:rsid w:val="008D2948"/>
    <w:rsid w:val="00954949"/>
    <w:rsid w:val="009810AB"/>
    <w:rsid w:val="009B109D"/>
    <w:rsid w:val="00B36E9B"/>
    <w:rsid w:val="00B544BD"/>
    <w:rsid w:val="00C82623"/>
    <w:rsid w:val="00DB0703"/>
    <w:rsid w:val="00DD21C5"/>
    <w:rsid w:val="00DD680F"/>
    <w:rsid w:val="00E26598"/>
    <w:rsid w:val="00E6285E"/>
    <w:rsid w:val="00EA44DE"/>
    <w:rsid w:val="00EF3024"/>
    <w:rsid w:val="00EF5C19"/>
    <w:rsid w:val="00F45AEA"/>
    <w:rsid w:val="00F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58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5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Margaryan</dc:creator>
  <cp:lastModifiedBy>Hayk Grigoryan</cp:lastModifiedBy>
  <cp:revision>2</cp:revision>
  <cp:lastPrinted>2017-06-23T10:42:00Z</cp:lastPrinted>
  <dcterms:created xsi:type="dcterms:W3CDTF">2017-06-23T10:49:00Z</dcterms:created>
  <dcterms:modified xsi:type="dcterms:W3CDTF">2017-06-23T10:49:00Z</dcterms:modified>
</cp:coreProperties>
</file>