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28C" w:rsidRDefault="00E57C92" w:rsidP="00E57C92">
      <w:pPr>
        <w:pStyle w:val="Heading2"/>
        <w:ind w:left="-360" w:right="-180"/>
        <w:rPr>
          <w:rFonts w:ascii="Calibri" w:eastAsiaTheme="majorEastAsia" w:hAnsi="Calibri" w:cs="Calibri"/>
          <w:b w:val="0"/>
          <w:bCs w:val="0"/>
          <w:i w:val="0"/>
          <w:color w:val="365F91" w:themeColor="accent1" w:themeShade="BF"/>
        </w:rPr>
      </w:pPr>
      <w:r w:rsidRPr="00624570">
        <w:rPr>
          <w:rFonts w:ascii="Calibri" w:eastAsiaTheme="majorEastAsia" w:hAnsi="Calibri" w:cs="Calibri"/>
          <w:b w:val="0"/>
          <w:bCs w:val="0"/>
          <w:i w:val="0"/>
          <w:noProof/>
          <w:color w:val="365F91" w:themeColor="accent1" w:themeShade="BF"/>
        </w:rPr>
        <w:drawing>
          <wp:anchor distT="0" distB="0" distL="114300" distR="114300" simplePos="0" relativeHeight="251665408" behindDoc="0" locked="0" layoutInCell="1" allowOverlap="1" wp14:anchorId="676C46DC" wp14:editId="3FE74D9F">
            <wp:simplePos x="0" y="0"/>
            <wp:positionH relativeFrom="column">
              <wp:posOffset>4486275</wp:posOffset>
            </wp:positionH>
            <wp:positionV relativeFrom="paragraph">
              <wp:posOffset>-47625</wp:posOffset>
            </wp:positionV>
            <wp:extent cx="1504950" cy="611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504950" cy="61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4570">
        <w:rPr>
          <w:rFonts w:asciiTheme="majorHAnsi" w:eastAsiaTheme="majorEastAsia" w:hAnsiTheme="majorHAnsi" w:cstheme="majorBidi"/>
          <w:b w:val="0"/>
          <w:bCs w:val="0"/>
          <w:i w:val="0"/>
          <w:noProof/>
          <w:color w:val="365F91" w:themeColor="accent1" w:themeShade="BF"/>
          <w:sz w:val="26"/>
          <w:szCs w:val="26"/>
        </w:rPr>
        <w:drawing>
          <wp:anchor distT="0" distB="0" distL="114300" distR="114300" simplePos="0" relativeHeight="251663360" behindDoc="0" locked="0" layoutInCell="1" allowOverlap="1" wp14:anchorId="7127ED96" wp14:editId="23D275BA">
            <wp:simplePos x="0" y="0"/>
            <wp:positionH relativeFrom="column">
              <wp:posOffset>0</wp:posOffset>
            </wp:positionH>
            <wp:positionV relativeFrom="paragraph">
              <wp:posOffset>0</wp:posOffset>
            </wp:positionV>
            <wp:extent cx="1600200" cy="632813"/>
            <wp:effectExtent l="0" t="0" r="0" b="0"/>
            <wp:wrapNone/>
            <wp:docPr id="13" name="Picture 13"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0200" cy="632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28C">
        <w:rPr>
          <w:rFonts w:ascii="Calibri" w:eastAsiaTheme="minorEastAsia" w:hAnsi="Calibri" w:cs="Calibri"/>
        </w:rPr>
        <w:t xml:space="preserve">     </w:t>
      </w:r>
      <w:r w:rsidR="0055128C" w:rsidRPr="00624570">
        <w:rPr>
          <w:rFonts w:ascii="Calibri" w:eastAsiaTheme="majorEastAsia" w:hAnsi="Calibri" w:cs="Calibri"/>
          <w:b w:val="0"/>
          <w:bCs w:val="0"/>
          <w:i w:val="0"/>
          <w:color w:val="365F91" w:themeColor="accent1" w:themeShade="BF"/>
        </w:rPr>
        <w:t xml:space="preserve"> </w:t>
      </w:r>
      <w:r w:rsidR="0055128C" w:rsidRPr="00624570">
        <w:rPr>
          <w:rFonts w:ascii="Calibri" w:eastAsiaTheme="majorEastAsia" w:hAnsi="Calibri" w:cs="Calibri"/>
          <w:b w:val="0"/>
          <w:bCs w:val="0"/>
          <w:i w:val="0"/>
          <w:color w:val="365F91" w:themeColor="accent1" w:themeShade="BF"/>
          <w:lang w:val="ka-GE"/>
        </w:rPr>
        <w:t xml:space="preserve"> </w:t>
      </w:r>
      <w:r w:rsidR="0055128C" w:rsidRPr="00624570">
        <w:rPr>
          <w:rFonts w:ascii="Calibri" w:eastAsiaTheme="majorEastAsia" w:hAnsi="Calibri" w:cs="Calibri"/>
          <w:b w:val="0"/>
          <w:bCs w:val="0"/>
          <w:i w:val="0"/>
          <w:color w:val="365F91" w:themeColor="accent1" w:themeShade="BF"/>
        </w:rPr>
        <w:t xml:space="preserve">  </w:t>
      </w:r>
      <w:r w:rsidR="0055128C">
        <w:rPr>
          <w:rFonts w:ascii="Calibri" w:eastAsiaTheme="majorEastAsia" w:hAnsi="Calibri" w:cs="Calibri"/>
          <w:b w:val="0"/>
          <w:bCs w:val="0"/>
          <w:i w:val="0"/>
          <w:color w:val="365F91" w:themeColor="accent1" w:themeShade="BF"/>
        </w:rPr>
        <w:t xml:space="preserve">      </w:t>
      </w:r>
      <w:r w:rsidR="0055128C" w:rsidRPr="00624570">
        <w:rPr>
          <w:rFonts w:ascii="Calibri" w:eastAsiaTheme="majorEastAsia" w:hAnsi="Calibri" w:cs="Calibri"/>
          <w:b w:val="0"/>
          <w:bCs w:val="0"/>
          <w:i w:val="0"/>
          <w:color w:val="365F91" w:themeColor="accent1" w:themeShade="BF"/>
        </w:rPr>
        <w:t xml:space="preserve">  </w:t>
      </w:r>
      <w:r w:rsidR="0055128C" w:rsidRPr="00624570">
        <w:rPr>
          <w:rFonts w:ascii="Calibri" w:eastAsiaTheme="majorEastAsia" w:hAnsi="Calibri" w:cs="Calibri"/>
          <w:b w:val="0"/>
          <w:bCs w:val="0"/>
          <w:i w:val="0"/>
          <w:color w:val="365F91" w:themeColor="accent1" w:themeShade="BF"/>
          <w:lang w:val="ka-GE"/>
        </w:rPr>
        <w:t xml:space="preserve">    </w:t>
      </w:r>
      <w:r w:rsidR="0055128C" w:rsidRPr="00624570">
        <w:rPr>
          <w:rFonts w:asciiTheme="majorHAnsi" w:eastAsiaTheme="majorEastAsia" w:hAnsiTheme="majorHAnsi" w:cstheme="majorBidi"/>
          <w:b w:val="0"/>
          <w:bCs w:val="0"/>
          <w:i w:val="0"/>
          <w:noProof/>
          <w:color w:val="365F91" w:themeColor="accent1" w:themeShade="BF"/>
          <w:sz w:val="26"/>
          <w:szCs w:val="26"/>
        </w:rPr>
        <w:drawing>
          <wp:inline distT="0" distB="0" distL="0" distR="0" wp14:anchorId="5218FBF4" wp14:editId="23869F53">
            <wp:extent cx="1276350" cy="504930"/>
            <wp:effectExtent l="0" t="0" r="0" b="9525"/>
            <wp:docPr id="8" name="Picture 8"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1004" cy="510727"/>
                    </a:xfrm>
                    <a:prstGeom prst="rect">
                      <a:avLst/>
                    </a:prstGeom>
                    <a:noFill/>
                    <a:ln>
                      <a:noFill/>
                    </a:ln>
                  </pic:spPr>
                </pic:pic>
              </a:graphicData>
            </a:graphic>
          </wp:inline>
        </w:drawing>
      </w:r>
      <w:r w:rsidR="0055128C" w:rsidRPr="00624570">
        <w:rPr>
          <w:rFonts w:ascii="Calibri" w:eastAsiaTheme="majorEastAsia" w:hAnsi="Calibri" w:cs="Calibri"/>
          <w:b w:val="0"/>
          <w:bCs w:val="0"/>
          <w:i w:val="0"/>
          <w:color w:val="365F91" w:themeColor="accent1" w:themeShade="BF"/>
          <w:lang w:val="ka-GE"/>
        </w:rPr>
        <w:t xml:space="preserve">      </w:t>
      </w:r>
      <w:r w:rsidR="0055128C" w:rsidRPr="00624570">
        <w:rPr>
          <w:rFonts w:asciiTheme="minorHAnsi" w:eastAsiaTheme="majorEastAsia" w:hAnsiTheme="minorHAnsi" w:cs="Calibri"/>
          <w:b w:val="0"/>
          <w:bCs w:val="0"/>
          <w:i w:val="0"/>
          <w:color w:val="365F91" w:themeColor="accent1" w:themeShade="BF"/>
          <w:lang w:val="ka-GE"/>
        </w:rPr>
        <w:tab/>
      </w:r>
      <w:r w:rsidR="0055128C">
        <w:rPr>
          <w:rFonts w:asciiTheme="minorHAnsi" w:eastAsiaTheme="majorEastAsia" w:hAnsiTheme="minorHAnsi" w:cs="Calibri"/>
          <w:b w:val="0"/>
          <w:bCs w:val="0"/>
          <w:i w:val="0"/>
          <w:color w:val="365F91" w:themeColor="accent1" w:themeShade="BF"/>
        </w:rPr>
        <w:t xml:space="preserve">            </w:t>
      </w:r>
      <w:r w:rsidR="002C5003">
        <w:rPr>
          <w:rFonts w:asciiTheme="minorHAnsi" w:eastAsiaTheme="majorEastAsia" w:hAnsiTheme="minorHAnsi" w:cs="Calibri"/>
          <w:b w:val="0"/>
          <w:bCs w:val="0"/>
          <w:i w:val="0"/>
          <w:color w:val="365F91" w:themeColor="accent1" w:themeShade="BF"/>
        </w:rPr>
        <w:t xml:space="preserve">                 </w:t>
      </w:r>
      <w:r w:rsidR="0055128C">
        <w:rPr>
          <w:rFonts w:asciiTheme="minorHAnsi" w:eastAsiaTheme="majorEastAsia" w:hAnsiTheme="minorHAnsi" w:cs="Calibri"/>
          <w:b w:val="0"/>
          <w:bCs w:val="0"/>
          <w:i w:val="0"/>
          <w:color w:val="365F91" w:themeColor="accent1" w:themeShade="BF"/>
        </w:rPr>
        <w:t xml:space="preserve">     </w:t>
      </w:r>
      <w:r w:rsidR="0055128C" w:rsidRPr="00624570">
        <w:rPr>
          <w:rFonts w:asciiTheme="minorHAnsi" w:eastAsiaTheme="majorEastAsia" w:hAnsiTheme="minorHAnsi" w:cs="Calibri"/>
          <w:b w:val="0"/>
          <w:bCs w:val="0"/>
          <w:i w:val="0"/>
          <w:color w:val="365F91" w:themeColor="accent1" w:themeShade="BF"/>
          <w:lang w:val="ka-GE"/>
        </w:rPr>
        <w:tab/>
      </w:r>
      <w:r w:rsidR="0055128C" w:rsidRPr="00624570">
        <w:rPr>
          <w:rFonts w:ascii="Calibri" w:eastAsiaTheme="majorEastAsia" w:hAnsi="Calibri" w:cs="Calibri"/>
          <w:b w:val="0"/>
          <w:bCs w:val="0"/>
          <w:i w:val="0"/>
          <w:color w:val="365F91" w:themeColor="accent1" w:themeShade="BF"/>
          <w:lang w:val="ka-GE"/>
        </w:rPr>
        <w:t xml:space="preserve">  </w:t>
      </w:r>
      <w:r w:rsidR="0055128C" w:rsidRPr="00624570">
        <w:rPr>
          <w:rFonts w:ascii="Calibri" w:eastAsiaTheme="majorEastAsia" w:hAnsi="Calibri" w:cs="Calibri"/>
          <w:b w:val="0"/>
          <w:bCs w:val="0"/>
          <w:i w:val="0"/>
          <w:color w:val="365F91" w:themeColor="accent1" w:themeShade="BF"/>
        </w:rPr>
        <w:t xml:space="preserve">   </w:t>
      </w:r>
    </w:p>
    <w:p w:rsidR="00E57C92" w:rsidRDefault="00E57C92" w:rsidP="00E57C92">
      <w:pPr>
        <w:pStyle w:val="Heading2"/>
        <w:ind w:left="-360" w:right="-180"/>
        <w:jc w:val="right"/>
        <w:rPr>
          <w:rFonts w:ascii="Calibri" w:eastAsiaTheme="majorEastAsia" w:hAnsi="Calibri" w:cs="Calibri"/>
          <w:bCs w:val="0"/>
          <w:i w:val="0"/>
          <w:color w:val="244061" w:themeColor="accent1" w:themeShade="80"/>
          <w:sz w:val="36"/>
          <w:szCs w:val="36"/>
        </w:rPr>
      </w:pPr>
    </w:p>
    <w:p w:rsidR="0055128C" w:rsidRPr="00B97C81" w:rsidRDefault="00E57C92" w:rsidP="00E57C92">
      <w:pPr>
        <w:pStyle w:val="Heading2"/>
        <w:ind w:left="-360" w:right="-180"/>
        <w:jc w:val="right"/>
        <w:rPr>
          <w:rFonts w:ascii="Calibri" w:eastAsiaTheme="majorEastAsia" w:hAnsi="Calibri" w:cs="Calibri"/>
          <w:bCs w:val="0"/>
          <w:i w:val="0"/>
          <w:color w:val="244061" w:themeColor="accent1" w:themeShade="80"/>
          <w:sz w:val="32"/>
          <w:szCs w:val="32"/>
        </w:rPr>
      </w:pPr>
      <w:r w:rsidRPr="007206FA">
        <w:rPr>
          <w:rFonts w:ascii="Sylfaen" w:hAnsi="Sylfaen"/>
          <w:b w:val="0"/>
          <w:bCs w:val="0"/>
          <w:noProof/>
        </w:rPr>
        <mc:AlternateContent>
          <mc:Choice Requires="wps">
            <w:drawing>
              <wp:anchor distT="0" distB="0" distL="114300" distR="114300" simplePos="0" relativeHeight="251659264" behindDoc="0" locked="0" layoutInCell="1" allowOverlap="1" wp14:anchorId="2A0192C8" wp14:editId="1968CC63">
                <wp:simplePos x="0" y="0"/>
                <wp:positionH relativeFrom="page">
                  <wp:posOffset>676275</wp:posOffset>
                </wp:positionH>
                <wp:positionV relativeFrom="paragraph">
                  <wp:posOffset>283210</wp:posOffset>
                </wp:positionV>
                <wp:extent cx="6276975" cy="866775"/>
                <wp:effectExtent l="0" t="0" r="28575" b="28575"/>
                <wp:wrapNone/>
                <wp:docPr id="12" name="Round Single Corner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866775"/>
                        </a:xfrm>
                        <a:prstGeom prst="round1Rect">
                          <a:avLst>
                            <a:gd name="adj" fmla="val 0"/>
                          </a:avLst>
                        </a:prstGeom>
                        <a:solidFill>
                          <a:srgbClr val="4F81BD"/>
                        </a:solidFill>
                        <a:ln w="25400" cap="flat" cmpd="sng" algn="ctr">
                          <a:solidFill>
                            <a:srgbClr val="4F81BD">
                              <a:shade val="50000"/>
                            </a:srgbClr>
                          </a:solidFill>
                          <a:prstDash val="solid"/>
                        </a:ln>
                        <a:effectLst/>
                      </wps:spPr>
                      <wps:txbx>
                        <w:txbxContent>
                          <w:p w:rsidR="0044529F" w:rsidRPr="008C70D6" w:rsidRDefault="0044529F" w:rsidP="0055128C">
                            <w:pPr>
                              <w:spacing w:line="240" w:lineRule="auto"/>
                              <w:jc w:val="center"/>
                              <w:rPr>
                                <w:rFonts w:ascii="Calibri" w:hAnsi="Calibri" w:cs="Calibri"/>
                              </w:rPr>
                            </w:pPr>
                            <w:r w:rsidRPr="0044529F">
                              <w:rPr>
                                <w:b/>
                                <w:color w:val="FFFFFF" w:themeColor="background1"/>
                                <w:sz w:val="44"/>
                                <w:szCs w:val="44"/>
                              </w:rPr>
                              <w:t xml:space="preserve">Richard Lugar Center of Public Health Research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192C8" id="Round Single Corner Rectangle 12" o:spid="_x0000_s1026" style="position:absolute;left:0;text-align:left;margin-left:53.25pt;margin-top:22.3pt;width:494.25pt;height:6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276975,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" adj="-11796480,,5400" path="m,l6276975,r,l6276975,866775,,866775,,xe" fillcolor="#4f81bd" strokecolor="#385d8a" strokeweight="2pt">
                <v:stroke joinstyle="miter"/>
                <v:formulas/>
                <v:path arrowok="t" o:connecttype="custom" o:connectlocs="0,0;6276975,0;6276975,0;6276975,866775;0,866775;0,0" o:connectangles="0,0,0,0,0,0" textboxrect="0,0,6276975,866775"/>
                <v:textbox>
                  <w:txbxContent>
                    <w:p w:rsidR="0044529F" w:rsidRPr="008C70D6" w:rsidRDefault="0044529F" w:rsidP="0055128C">
                      <w:pPr>
                        <w:spacing w:line="240" w:lineRule="auto"/>
                        <w:jc w:val="center"/>
                        <w:rPr>
                          <w:rFonts w:ascii="Calibri" w:hAnsi="Calibri" w:cs="Calibri"/>
                        </w:rPr>
                      </w:pPr>
                      <w:r w:rsidRPr="0044529F">
                        <w:rPr>
                          <w:b/>
                          <w:color w:val="FFFFFF" w:themeColor="background1"/>
                          <w:sz w:val="44"/>
                          <w:szCs w:val="44"/>
                        </w:rPr>
                        <w:t xml:space="preserve">Richard Lugar Center of Public Health Research </w:t>
                      </w:r>
                    </w:p>
                  </w:txbxContent>
                </v:textbox>
                <w10:wrap anchorx="page"/>
              </v:shape>
            </w:pict>
          </mc:Fallback>
        </mc:AlternateContent>
      </w:r>
      <w:r>
        <w:rPr>
          <w:rFonts w:ascii="Calibri" w:eastAsiaTheme="majorEastAsia" w:hAnsi="Calibri" w:cs="Calibri"/>
          <w:bCs w:val="0"/>
          <w:i w:val="0"/>
          <w:color w:val="244061" w:themeColor="accent1" w:themeShade="80"/>
          <w:sz w:val="36"/>
          <w:szCs w:val="36"/>
        </w:rPr>
        <w:t xml:space="preserve">  </w:t>
      </w:r>
      <w:r w:rsidR="0055128C" w:rsidRPr="00B97C81">
        <w:rPr>
          <w:rFonts w:ascii="Calibri" w:eastAsiaTheme="majorEastAsia" w:hAnsi="Calibri" w:cs="Calibri"/>
          <w:bCs w:val="0"/>
          <w:i w:val="0"/>
          <w:color w:val="244061" w:themeColor="accent1" w:themeShade="80"/>
          <w:sz w:val="36"/>
          <w:szCs w:val="36"/>
        </w:rPr>
        <w:t>GEORGIA</w:t>
      </w:r>
      <w:r w:rsidR="0055128C" w:rsidRPr="00B97C81">
        <w:rPr>
          <w:rFonts w:ascii="Calibri" w:eastAsiaTheme="majorEastAsia" w:hAnsi="Calibri" w:cs="Calibri"/>
          <w:bCs w:val="0"/>
          <w:color w:val="244061" w:themeColor="accent1" w:themeShade="80"/>
          <w:sz w:val="32"/>
          <w:szCs w:val="32"/>
        </w:rPr>
        <w:t xml:space="preserve"> </w:t>
      </w:r>
      <w:r w:rsidR="0055128C" w:rsidRPr="00B97C81">
        <w:rPr>
          <w:rFonts w:ascii="Calibri" w:eastAsiaTheme="majorEastAsia" w:hAnsi="Calibri" w:cs="Calibri"/>
          <w:bCs w:val="0"/>
          <w:color w:val="244061" w:themeColor="accent1" w:themeShade="80"/>
          <w:sz w:val="36"/>
          <w:szCs w:val="36"/>
        </w:rPr>
        <w:t>Brief</w:t>
      </w:r>
    </w:p>
    <w:p w:rsidR="0044529F" w:rsidRDefault="0044529F" w:rsidP="00E57C92">
      <w:pPr>
        <w:spacing w:line="240" w:lineRule="auto"/>
        <w:ind w:left="-360" w:right="-180"/>
        <w:rPr>
          <w:b/>
          <w:sz w:val="32"/>
          <w:szCs w:val="32"/>
        </w:rPr>
      </w:pPr>
    </w:p>
    <w:p w:rsidR="0044529F" w:rsidRDefault="0044529F" w:rsidP="00E57C92">
      <w:pPr>
        <w:spacing w:line="240" w:lineRule="auto"/>
        <w:ind w:left="-360" w:right="-180"/>
        <w:rPr>
          <w:b/>
          <w:sz w:val="32"/>
          <w:szCs w:val="32"/>
        </w:rPr>
      </w:pPr>
    </w:p>
    <w:p w:rsidR="0044529F" w:rsidRDefault="0044529F" w:rsidP="00E57C92">
      <w:pPr>
        <w:spacing w:line="240" w:lineRule="auto"/>
        <w:ind w:left="-360" w:right="-180"/>
        <w:rPr>
          <w:b/>
          <w:sz w:val="32"/>
          <w:szCs w:val="32"/>
        </w:rPr>
      </w:pPr>
    </w:p>
    <w:p w:rsidR="00D326AF" w:rsidRDefault="00382140" w:rsidP="00E57C92">
      <w:pPr>
        <w:autoSpaceDE w:val="0"/>
        <w:autoSpaceDN w:val="0"/>
        <w:adjustRightInd w:val="0"/>
        <w:spacing w:after="0" w:line="240" w:lineRule="auto"/>
        <w:ind w:left="-360" w:right="-180"/>
        <w:jc w:val="both"/>
        <w:rPr>
          <w:rFonts w:ascii="Calibri" w:hAnsi="Calibri" w:cs="Calibri"/>
          <w:color w:val="000000"/>
          <w:sz w:val="24"/>
          <w:szCs w:val="24"/>
        </w:rPr>
      </w:pPr>
      <w:r w:rsidRPr="00A05657">
        <w:rPr>
          <w:rFonts w:ascii="Calibri" w:hAnsi="Calibri" w:cs="Calibri"/>
          <w:color w:val="000000"/>
          <w:sz w:val="24"/>
          <w:szCs w:val="24"/>
        </w:rPr>
        <w:t>R.</w:t>
      </w:r>
      <w:r w:rsidR="009409FA" w:rsidRPr="00A05657">
        <w:rPr>
          <w:rFonts w:ascii="Calibri" w:hAnsi="Calibri" w:cs="Calibri"/>
          <w:color w:val="000000"/>
          <w:sz w:val="24"/>
          <w:szCs w:val="24"/>
        </w:rPr>
        <w:t xml:space="preserve"> </w:t>
      </w:r>
      <w:r w:rsidRPr="00A05657">
        <w:rPr>
          <w:rFonts w:ascii="Calibri" w:hAnsi="Calibri" w:cs="Calibri"/>
          <w:color w:val="000000"/>
          <w:sz w:val="24"/>
          <w:szCs w:val="24"/>
        </w:rPr>
        <w:t xml:space="preserve">Lugar Center for Public Health Research is a brand new facility under the </w:t>
      </w:r>
      <w:r w:rsidR="00A05657" w:rsidRPr="00A05657">
        <w:rPr>
          <w:rFonts w:ascii="Calibri" w:eastAsia="Times New Roman" w:hAnsi="Calibri" w:cs="Calibri"/>
          <w:sz w:val="24"/>
          <w:szCs w:val="24"/>
        </w:rPr>
        <w:t>National Center for Disease Control and Public Health (NCDC)</w:t>
      </w:r>
      <w:r w:rsidRPr="00A05657">
        <w:rPr>
          <w:rFonts w:ascii="Calibri" w:hAnsi="Calibri" w:cs="Calibri"/>
          <w:color w:val="000000"/>
          <w:sz w:val="24"/>
          <w:szCs w:val="24"/>
        </w:rPr>
        <w:t xml:space="preserve">, which became operational in August 2013. The Lugar Center is top-tiered institution in NCDC’s system. </w:t>
      </w:r>
      <w:r w:rsidR="00A05657" w:rsidRPr="00A05657">
        <w:rPr>
          <w:rFonts w:ascii="Calibri" w:eastAsia="Times New Roman" w:hAnsi="Calibri" w:cs="Calibri"/>
          <w:sz w:val="24"/>
          <w:szCs w:val="24"/>
        </w:rPr>
        <w:t>Establishment of the Lugar Center</w:t>
      </w:r>
      <w:r w:rsidRPr="00A05657">
        <w:rPr>
          <w:rFonts w:ascii="Calibri" w:hAnsi="Calibri" w:cs="Calibri"/>
          <w:color w:val="000000"/>
          <w:sz w:val="24"/>
          <w:szCs w:val="24"/>
        </w:rPr>
        <w:t xml:space="preserve"> </w:t>
      </w:r>
      <w:r w:rsidR="00A05657" w:rsidRPr="00A05657">
        <w:rPr>
          <w:rFonts w:ascii="Calibri" w:hAnsi="Calibri" w:cs="Calibri"/>
          <w:color w:val="000000"/>
          <w:sz w:val="24"/>
          <w:szCs w:val="24"/>
        </w:rPr>
        <w:t>t</w:t>
      </w:r>
      <w:r w:rsidR="00D326AF">
        <w:rPr>
          <w:rFonts w:ascii="Sylfaen" w:hAnsi="Sylfaen" w:cs="Calibri"/>
          <w:color w:val="000000"/>
          <w:sz w:val="24"/>
          <w:szCs w:val="24"/>
        </w:rPr>
        <w:t>ook start</w:t>
      </w:r>
      <w:r w:rsidR="00A05657" w:rsidRPr="00A05657">
        <w:rPr>
          <w:rFonts w:ascii="Calibri" w:hAnsi="Calibri" w:cs="Calibri"/>
          <w:color w:val="000000"/>
          <w:sz w:val="24"/>
          <w:szCs w:val="24"/>
        </w:rPr>
        <w:t xml:space="preserve"> </w:t>
      </w:r>
      <w:r w:rsidR="00D326AF">
        <w:rPr>
          <w:rFonts w:ascii="Calibri" w:hAnsi="Calibri" w:cs="Calibri"/>
          <w:color w:val="000000"/>
          <w:sz w:val="24"/>
          <w:szCs w:val="24"/>
        </w:rPr>
        <w:t>in</w:t>
      </w:r>
      <w:r w:rsidRPr="00A05657">
        <w:rPr>
          <w:rFonts w:ascii="Calibri" w:hAnsi="Calibri" w:cs="Calibri"/>
          <w:color w:val="000000"/>
          <w:sz w:val="24"/>
          <w:szCs w:val="24"/>
        </w:rPr>
        <w:t xml:space="preserve"> 2004, after USA – Georgia Agreements were signed </w:t>
      </w:r>
      <w:r w:rsidR="00D326AF">
        <w:rPr>
          <w:rFonts w:ascii="Calibri" w:hAnsi="Calibri" w:cs="Calibri"/>
          <w:color w:val="000000"/>
          <w:sz w:val="24"/>
          <w:szCs w:val="24"/>
        </w:rPr>
        <w:t>(</w:t>
      </w:r>
      <w:r w:rsidR="00D326AF" w:rsidRPr="009409FA">
        <w:rPr>
          <w:rFonts w:ascii="Calibri" w:hAnsi="Calibri" w:cs="Calibri"/>
          <w:color w:val="000000"/>
          <w:sz w:val="24"/>
          <w:szCs w:val="24"/>
        </w:rPr>
        <w:t>in 1997 and in 2002</w:t>
      </w:r>
      <w:r w:rsidR="00D326AF">
        <w:rPr>
          <w:rFonts w:ascii="Calibri" w:hAnsi="Calibri" w:cs="Calibri"/>
          <w:color w:val="000000"/>
          <w:sz w:val="24"/>
          <w:szCs w:val="24"/>
        </w:rPr>
        <w:t>) on c</w:t>
      </w:r>
      <w:r w:rsidR="00D326AF" w:rsidRPr="009409FA">
        <w:rPr>
          <w:rFonts w:ascii="Calibri" w:hAnsi="Calibri" w:cs="Calibri"/>
          <w:color w:val="000000"/>
          <w:sz w:val="24"/>
          <w:szCs w:val="24"/>
        </w:rPr>
        <w:t xml:space="preserve">ooperation in the </w:t>
      </w:r>
      <w:r w:rsidR="00D326AF">
        <w:rPr>
          <w:rFonts w:ascii="Calibri" w:hAnsi="Calibri" w:cs="Calibri"/>
          <w:color w:val="000000"/>
          <w:sz w:val="24"/>
          <w:szCs w:val="24"/>
        </w:rPr>
        <w:t>a</w:t>
      </w:r>
      <w:r w:rsidR="00D326AF" w:rsidRPr="009409FA">
        <w:rPr>
          <w:rFonts w:ascii="Calibri" w:hAnsi="Calibri" w:cs="Calibri"/>
          <w:color w:val="000000"/>
          <w:sz w:val="24"/>
          <w:szCs w:val="24"/>
        </w:rPr>
        <w:t xml:space="preserve">rea of </w:t>
      </w:r>
      <w:r w:rsidR="00D326AF">
        <w:rPr>
          <w:rFonts w:ascii="Calibri" w:hAnsi="Calibri" w:cs="Calibri"/>
          <w:color w:val="000000"/>
          <w:sz w:val="24"/>
          <w:szCs w:val="24"/>
        </w:rPr>
        <w:t>p</w:t>
      </w:r>
      <w:r w:rsidR="00D326AF" w:rsidRPr="009409FA">
        <w:rPr>
          <w:rFonts w:ascii="Calibri" w:hAnsi="Calibri" w:cs="Calibri"/>
          <w:color w:val="000000"/>
          <w:sz w:val="24"/>
          <w:szCs w:val="24"/>
        </w:rPr>
        <w:t xml:space="preserve">revention of </w:t>
      </w:r>
      <w:r w:rsidR="00D326AF">
        <w:rPr>
          <w:rFonts w:ascii="Calibri" w:hAnsi="Calibri" w:cs="Calibri"/>
          <w:color w:val="000000"/>
          <w:sz w:val="24"/>
          <w:szCs w:val="24"/>
        </w:rPr>
        <w:t>p</w:t>
      </w:r>
      <w:r w:rsidR="00D326AF" w:rsidRPr="009409FA">
        <w:rPr>
          <w:rFonts w:ascii="Calibri" w:hAnsi="Calibri" w:cs="Calibri"/>
          <w:color w:val="000000"/>
          <w:sz w:val="24"/>
          <w:szCs w:val="24"/>
        </w:rPr>
        <w:t xml:space="preserve">roliferation of </w:t>
      </w:r>
      <w:r w:rsidR="00D326AF">
        <w:rPr>
          <w:rFonts w:ascii="Calibri" w:hAnsi="Calibri" w:cs="Calibri"/>
          <w:color w:val="000000"/>
          <w:sz w:val="24"/>
          <w:szCs w:val="24"/>
        </w:rPr>
        <w:t>t</w:t>
      </w:r>
      <w:r w:rsidR="00D326AF" w:rsidRPr="009409FA">
        <w:rPr>
          <w:rFonts w:ascii="Calibri" w:hAnsi="Calibri" w:cs="Calibri"/>
          <w:color w:val="000000"/>
          <w:sz w:val="24"/>
          <w:szCs w:val="24"/>
        </w:rPr>
        <w:t xml:space="preserve">echnology, </w:t>
      </w:r>
      <w:r w:rsidR="00D326AF">
        <w:rPr>
          <w:rFonts w:ascii="Calibri" w:hAnsi="Calibri" w:cs="Calibri"/>
          <w:color w:val="000000"/>
          <w:sz w:val="24"/>
          <w:szCs w:val="24"/>
        </w:rPr>
        <w:t>p</w:t>
      </w:r>
      <w:r w:rsidR="00D326AF" w:rsidRPr="009409FA">
        <w:rPr>
          <w:rFonts w:ascii="Calibri" w:hAnsi="Calibri" w:cs="Calibri"/>
          <w:color w:val="000000"/>
          <w:sz w:val="24"/>
          <w:szCs w:val="24"/>
        </w:rPr>
        <w:t xml:space="preserve">athogens and </w:t>
      </w:r>
      <w:r w:rsidR="00D326AF">
        <w:rPr>
          <w:rFonts w:ascii="Calibri" w:hAnsi="Calibri" w:cs="Calibri"/>
          <w:color w:val="000000"/>
          <w:sz w:val="24"/>
          <w:szCs w:val="24"/>
        </w:rPr>
        <w:t>e</w:t>
      </w:r>
      <w:r w:rsidR="00D326AF" w:rsidRPr="009409FA">
        <w:rPr>
          <w:rFonts w:ascii="Calibri" w:hAnsi="Calibri" w:cs="Calibri"/>
          <w:color w:val="000000"/>
          <w:sz w:val="24"/>
          <w:szCs w:val="24"/>
        </w:rPr>
        <w:t xml:space="preserve">xpertise </w:t>
      </w:r>
      <w:r w:rsidR="00D326AF">
        <w:rPr>
          <w:rFonts w:ascii="Calibri" w:hAnsi="Calibri" w:cs="Calibri"/>
          <w:color w:val="000000"/>
          <w:sz w:val="24"/>
          <w:szCs w:val="24"/>
        </w:rPr>
        <w:t>r</w:t>
      </w:r>
      <w:r w:rsidR="00D326AF" w:rsidRPr="009409FA">
        <w:rPr>
          <w:rFonts w:ascii="Calibri" w:hAnsi="Calibri" w:cs="Calibri"/>
          <w:color w:val="000000"/>
          <w:sz w:val="24"/>
          <w:szCs w:val="24"/>
        </w:rPr>
        <w:t xml:space="preserve">elated to the </w:t>
      </w:r>
      <w:r w:rsidR="00D326AF">
        <w:rPr>
          <w:rFonts w:ascii="Calibri" w:hAnsi="Calibri" w:cs="Calibri"/>
          <w:color w:val="000000"/>
          <w:sz w:val="24"/>
          <w:szCs w:val="24"/>
        </w:rPr>
        <w:t>d</w:t>
      </w:r>
      <w:r w:rsidR="00D326AF" w:rsidRPr="009409FA">
        <w:rPr>
          <w:rFonts w:ascii="Calibri" w:hAnsi="Calibri" w:cs="Calibri"/>
          <w:color w:val="000000"/>
          <w:sz w:val="24"/>
          <w:szCs w:val="24"/>
        </w:rPr>
        <w:t xml:space="preserve">evelopment of </w:t>
      </w:r>
      <w:r w:rsidR="00D326AF">
        <w:rPr>
          <w:rFonts w:ascii="Calibri" w:hAnsi="Calibri" w:cs="Calibri"/>
          <w:color w:val="000000"/>
          <w:sz w:val="24"/>
          <w:szCs w:val="24"/>
        </w:rPr>
        <w:t>b</w:t>
      </w:r>
      <w:r w:rsidR="00D326AF" w:rsidRPr="009409FA">
        <w:rPr>
          <w:rFonts w:ascii="Calibri" w:hAnsi="Calibri" w:cs="Calibri"/>
          <w:color w:val="000000"/>
          <w:sz w:val="24"/>
          <w:szCs w:val="24"/>
        </w:rPr>
        <w:t xml:space="preserve">iological </w:t>
      </w:r>
      <w:r w:rsidR="00D326AF">
        <w:rPr>
          <w:rFonts w:ascii="Calibri" w:hAnsi="Calibri" w:cs="Calibri"/>
          <w:color w:val="000000"/>
          <w:sz w:val="24"/>
          <w:szCs w:val="24"/>
        </w:rPr>
        <w:t>w</w:t>
      </w:r>
      <w:r w:rsidR="00D326AF" w:rsidRPr="009409FA">
        <w:rPr>
          <w:rFonts w:ascii="Calibri" w:hAnsi="Calibri" w:cs="Calibri"/>
          <w:color w:val="000000"/>
          <w:sz w:val="24"/>
          <w:szCs w:val="24"/>
        </w:rPr>
        <w:t>eapons.</w:t>
      </w:r>
    </w:p>
    <w:p w:rsidR="00A05657" w:rsidRDefault="00A05657" w:rsidP="00E57C92">
      <w:pPr>
        <w:autoSpaceDE w:val="0"/>
        <w:autoSpaceDN w:val="0"/>
        <w:adjustRightInd w:val="0"/>
        <w:spacing w:after="0" w:line="240" w:lineRule="auto"/>
        <w:ind w:left="-360" w:right="-180"/>
        <w:jc w:val="both"/>
        <w:rPr>
          <w:rFonts w:ascii="Calibri" w:hAnsi="Calibri" w:cs="Calibri"/>
          <w:color w:val="000000"/>
          <w:sz w:val="24"/>
          <w:szCs w:val="24"/>
        </w:rPr>
      </w:pPr>
    </w:p>
    <w:p w:rsidR="00F40E96" w:rsidRDefault="00382140" w:rsidP="00E57C92">
      <w:pPr>
        <w:autoSpaceDE w:val="0"/>
        <w:autoSpaceDN w:val="0"/>
        <w:adjustRightInd w:val="0"/>
        <w:spacing w:after="0"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 xml:space="preserve">During the last 13 years, based on those agreements, USA provided significant financial and technical assistance in the area of Human and Animal Health and Biosafety. Cooperative Biological Engagement Program (CBEP), implemented by the US Defense Threat Reduction Agency (DTRA) supported renovation laboratory networks with modern biosafety features, for detection of Human and Animal pathogens. Significant resources were invested into personnel training as well. </w:t>
      </w:r>
    </w:p>
    <w:p w:rsidR="0042482A" w:rsidRDefault="0042482A" w:rsidP="00E57C92">
      <w:pPr>
        <w:autoSpaceDE w:val="0"/>
        <w:autoSpaceDN w:val="0"/>
        <w:adjustRightInd w:val="0"/>
        <w:spacing w:after="0" w:line="240" w:lineRule="auto"/>
        <w:ind w:left="-360" w:right="-180"/>
        <w:jc w:val="both"/>
        <w:rPr>
          <w:rFonts w:ascii="Calibri" w:hAnsi="Calibri" w:cs="Calibri"/>
          <w:color w:val="000000"/>
          <w:sz w:val="24"/>
          <w:szCs w:val="24"/>
        </w:rPr>
      </w:pPr>
    </w:p>
    <w:p w:rsidR="0042482A" w:rsidRPr="009409FA" w:rsidRDefault="0042482A" w:rsidP="00E57C92">
      <w:pPr>
        <w:autoSpaceDE w:val="0"/>
        <w:autoSpaceDN w:val="0"/>
        <w:adjustRightInd w:val="0"/>
        <w:spacing w:after="0" w:line="240" w:lineRule="auto"/>
        <w:ind w:left="-360" w:right="-180"/>
        <w:jc w:val="center"/>
        <w:rPr>
          <w:rFonts w:ascii="Calibri" w:hAnsi="Calibri" w:cs="Calibri"/>
          <w:color w:val="000000"/>
          <w:sz w:val="24"/>
          <w:szCs w:val="24"/>
        </w:rPr>
      </w:pPr>
      <w:r>
        <w:rPr>
          <w:rFonts w:ascii="Calibri" w:hAnsi="Calibri" w:cs="Calibri"/>
          <w:noProof/>
          <w:color w:val="000000"/>
          <w:sz w:val="24"/>
          <w:szCs w:val="24"/>
        </w:rPr>
        <w:drawing>
          <wp:inline distT="0" distB="0" distL="0" distR="0" wp14:anchorId="34567AF6">
            <wp:extent cx="5572125" cy="3582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581" cy="3608475"/>
                    </a:xfrm>
                    <a:prstGeom prst="rect">
                      <a:avLst/>
                    </a:prstGeom>
                    <a:noFill/>
                  </pic:spPr>
                </pic:pic>
              </a:graphicData>
            </a:graphic>
          </wp:inline>
        </w:drawing>
      </w:r>
    </w:p>
    <w:p w:rsidR="009E570A" w:rsidRPr="009409FA" w:rsidRDefault="009E570A" w:rsidP="00E57C92">
      <w:pPr>
        <w:spacing w:line="240" w:lineRule="auto"/>
        <w:ind w:left="-360" w:right="-180"/>
        <w:rPr>
          <w:rFonts w:ascii="Calibri" w:hAnsi="Calibri" w:cs="Calibri"/>
          <w:b/>
          <w:i/>
          <w:color w:val="365F91" w:themeColor="accent1" w:themeShade="BF"/>
          <w:sz w:val="28"/>
          <w:szCs w:val="28"/>
        </w:rPr>
      </w:pPr>
      <w:r w:rsidRPr="009409FA">
        <w:rPr>
          <w:rFonts w:ascii="Calibri" w:hAnsi="Calibri" w:cs="Calibri"/>
          <w:b/>
          <w:i/>
          <w:color w:val="365F91" w:themeColor="accent1" w:themeShade="BF"/>
          <w:sz w:val="28"/>
          <w:szCs w:val="28"/>
        </w:rPr>
        <w:lastRenderedPageBreak/>
        <w:t>Key findings</w:t>
      </w:r>
    </w:p>
    <w:p w:rsidR="00125D2A" w:rsidRPr="009409FA" w:rsidRDefault="00125D2A" w:rsidP="00E57C92">
      <w:pPr>
        <w:autoSpaceDE w:val="0"/>
        <w:autoSpaceDN w:val="0"/>
        <w:adjustRightInd w:val="0"/>
        <w:spacing w:after="0"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The Lugar Center consists of modern BSL-2 and BSL-3 laboratories, with emphasis to timely detection and identification of human and animal pathogens based on the One Health concept.</w:t>
      </w:r>
    </w:p>
    <w:p w:rsidR="0042482A" w:rsidRDefault="00125D2A" w:rsidP="00E57C92">
      <w:pPr>
        <w:autoSpaceDE w:val="0"/>
        <w:autoSpaceDN w:val="0"/>
        <w:adjustRightInd w:val="0"/>
        <w:spacing w:after="0"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 xml:space="preserve">This Biosafety Level 3 (BSL-3) facility houses bacteriology and virology laboratories, and the National Repository of human and animal especially dangerous pathogens (EDPs). </w:t>
      </w:r>
    </w:p>
    <w:p w:rsidR="0042482A" w:rsidRDefault="0042482A" w:rsidP="00E57C92">
      <w:pPr>
        <w:autoSpaceDE w:val="0"/>
        <w:autoSpaceDN w:val="0"/>
        <w:adjustRightInd w:val="0"/>
        <w:spacing w:after="0" w:line="240" w:lineRule="auto"/>
        <w:ind w:left="-360" w:right="-180"/>
        <w:jc w:val="both"/>
        <w:rPr>
          <w:rFonts w:ascii="Calibri" w:hAnsi="Calibri" w:cs="Calibri"/>
          <w:color w:val="000000"/>
          <w:sz w:val="24"/>
          <w:szCs w:val="24"/>
        </w:rPr>
      </w:pPr>
    </w:p>
    <w:p w:rsidR="00F40E96" w:rsidRDefault="00F40E96" w:rsidP="00E57C92">
      <w:pPr>
        <w:autoSpaceDE w:val="0"/>
        <w:autoSpaceDN w:val="0"/>
        <w:adjustRightInd w:val="0"/>
        <w:spacing w:after="0" w:line="240" w:lineRule="auto"/>
        <w:ind w:left="-360" w:right="-180"/>
        <w:jc w:val="both"/>
        <w:rPr>
          <w:rFonts w:ascii="Calibri" w:hAnsi="Calibri" w:cs="Calibri"/>
          <w:color w:val="000000"/>
          <w:sz w:val="24"/>
          <w:szCs w:val="24"/>
        </w:rPr>
        <w:sectPr w:rsidR="00F40E96">
          <w:pgSz w:w="12240" w:h="15840"/>
          <w:pgMar w:top="1440" w:right="1440" w:bottom="1440" w:left="1440" w:header="720" w:footer="720" w:gutter="0"/>
          <w:cols w:space="720"/>
          <w:docGrid w:linePitch="360"/>
        </w:sectPr>
      </w:pPr>
    </w:p>
    <w:p w:rsidR="0042482A" w:rsidRDefault="00125D2A" w:rsidP="00E57C92">
      <w:pPr>
        <w:autoSpaceDE w:val="0"/>
        <w:autoSpaceDN w:val="0"/>
        <w:adjustRightInd w:val="0"/>
        <w:spacing w:after="0"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 xml:space="preserve">The BSL-3 facility is unique not only to Georgia but the entire Caucasus and Central Asia Region. </w:t>
      </w:r>
      <w:r w:rsidR="00873338" w:rsidRPr="009409FA">
        <w:rPr>
          <w:rFonts w:ascii="Calibri" w:hAnsi="Calibri" w:cs="Calibri"/>
          <w:color w:val="000000"/>
          <w:sz w:val="24"/>
          <w:szCs w:val="24"/>
        </w:rPr>
        <w:t xml:space="preserve">Strains of infectious disease causative agents, including EDPs, are stored at NCDC’s Bacterial and Viral National Repository. The history of the repository has begun since the ‘60s of the last century when the live “culture museum” of the Georgian APS received two strains of V. </w:t>
      </w:r>
      <w:proofErr w:type="spellStart"/>
      <w:r w:rsidR="00873338" w:rsidRPr="009409FA">
        <w:rPr>
          <w:rFonts w:ascii="Calibri" w:hAnsi="Calibri" w:cs="Calibri"/>
          <w:color w:val="000000"/>
          <w:sz w:val="24"/>
          <w:szCs w:val="24"/>
        </w:rPr>
        <w:t>cholerae</w:t>
      </w:r>
      <w:proofErr w:type="spellEnd"/>
      <w:r w:rsidR="00873338" w:rsidRPr="009409FA">
        <w:rPr>
          <w:rFonts w:ascii="Calibri" w:hAnsi="Calibri" w:cs="Calibri"/>
          <w:color w:val="000000"/>
          <w:sz w:val="24"/>
          <w:szCs w:val="24"/>
        </w:rPr>
        <w:t xml:space="preserve"> </w:t>
      </w:r>
      <w:proofErr w:type="spellStart"/>
      <w:r w:rsidR="00873338" w:rsidRPr="009409FA">
        <w:rPr>
          <w:rFonts w:ascii="Calibri" w:hAnsi="Calibri" w:cs="Calibri"/>
          <w:color w:val="000000"/>
          <w:sz w:val="24"/>
          <w:szCs w:val="24"/>
        </w:rPr>
        <w:t>asiatica</w:t>
      </w:r>
      <w:proofErr w:type="spellEnd"/>
      <w:r w:rsidR="00873338" w:rsidRPr="009409FA">
        <w:rPr>
          <w:rFonts w:ascii="Calibri" w:hAnsi="Calibri" w:cs="Calibri"/>
          <w:color w:val="000000"/>
          <w:sz w:val="24"/>
          <w:szCs w:val="24"/>
        </w:rPr>
        <w:t xml:space="preserve"> (OGAWA).</w:t>
      </w:r>
    </w:p>
    <w:p w:rsidR="00F40E96" w:rsidRDefault="00F40E96" w:rsidP="00E57C92">
      <w:pPr>
        <w:autoSpaceDE w:val="0"/>
        <w:autoSpaceDN w:val="0"/>
        <w:adjustRightInd w:val="0"/>
        <w:spacing w:after="0" w:line="240" w:lineRule="auto"/>
        <w:ind w:left="-360" w:right="-180"/>
        <w:jc w:val="both"/>
        <w:rPr>
          <w:rFonts w:ascii="Calibri" w:hAnsi="Calibri" w:cs="Calibri"/>
          <w:color w:val="000000"/>
          <w:sz w:val="24"/>
          <w:szCs w:val="24"/>
        </w:rPr>
      </w:pPr>
    </w:p>
    <w:p w:rsidR="0042482A" w:rsidRDefault="0042482A" w:rsidP="00E57C92">
      <w:pPr>
        <w:autoSpaceDE w:val="0"/>
        <w:autoSpaceDN w:val="0"/>
        <w:adjustRightInd w:val="0"/>
        <w:spacing w:after="0" w:line="240" w:lineRule="auto"/>
        <w:ind w:left="-360" w:right="-180"/>
        <w:jc w:val="both"/>
        <w:rPr>
          <w:rFonts w:ascii="Calibri" w:hAnsi="Calibri" w:cs="Calibri"/>
          <w:color w:val="000000"/>
          <w:sz w:val="24"/>
          <w:szCs w:val="24"/>
        </w:rPr>
      </w:pPr>
      <w:r>
        <w:rPr>
          <w:noProof/>
        </w:rPr>
        <w:drawing>
          <wp:inline distT="0" distB="0" distL="0" distR="0" wp14:anchorId="1D87405E" wp14:editId="0D76A7CE">
            <wp:extent cx="2922854" cy="1943100"/>
            <wp:effectExtent l="0" t="0" r="0" b="0"/>
            <wp:docPr id="5" name="Picture 5" descr="http://ncdc.ge/Media/PhotoGallery/DSCF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cdc.ge/Media/PhotoGallery/DSCF46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4797" cy="1964336"/>
                    </a:xfrm>
                    <a:prstGeom prst="rect">
                      <a:avLst/>
                    </a:prstGeom>
                    <a:noFill/>
                    <a:ln>
                      <a:noFill/>
                    </a:ln>
                  </pic:spPr>
                </pic:pic>
              </a:graphicData>
            </a:graphic>
          </wp:inline>
        </w:drawing>
      </w:r>
    </w:p>
    <w:p w:rsidR="0042482A" w:rsidRDefault="0042482A" w:rsidP="00E57C92">
      <w:pPr>
        <w:autoSpaceDE w:val="0"/>
        <w:autoSpaceDN w:val="0"/>
        <w:adjustRightInd w:val="0"/>
        <w:spacing w:after="0" w:line="240" w:lineRule="auto"/>
        <w:ind w:left="-360" w:right="-180"/>
        <w:jc w:val="both"/>
        <w:rPr>
          <w:rFonts w:ascii="Calibri" w:hAnsi="Calibri" w:cs="Calibri"/>
          <w:color w:val="000000"/>
          <w:sz w:val="24"/>
          <w:szCs w:val="24"/>
        </w:rPr>
        <w:sectPr w:rsidR="0042482A" w:rsidSect="00E57C92">
          <w:type w:val="continuous"/>
          <w:pgSz w:w="12240" w:h="15840"/>
          <w:pgMar w:top="1440" w:right="1440" w:bottom="1440" w:left="1440" w:header="720" w:footer="720" w:gutter="0"/>
          <w:cols w:num="2" w:space="1260"/>
          <w:docGrid w:linePitch="360"/>
        </w:sectPr>
      </w:pPr>
    </w:p>
    <w:p w:rsidR="00E57C92" w:rsidRDefault="00E57C92" w:rsidP="00E57C92">
      <w:pPr>
        <w:autoSpaceDE w:val="0"/>
        <w:autoSpaceDN w:val="0"/>
        <w:adjustRightInd w:val="0"/>
        <w:spacing w:after="0" w:line="240" w:lineRule="auto"/>
        <w:ind w:left="-360" w:right="-180"/>
        <w:jc w:val="both"/>
        <w:rPr>
          <w:rFonts w:ascii="Calibri" w:hAnsi="Calibri" w:cs="Calibri"/>
          <w:color w:val="000000"/>
          <w:sz w:val="24"/>
          <w:szCs w:val="24"/>
        </w:rPr>
      </w:pPr>
    </w:p>
    <w:p w:rsidR="00125D2A" w:rsidRDefault="00125D2A" w:rsidP="00E57C92">
      <w:pPr>
        <w:autoSpaceDE w:val="0"/>
        <w:autoSpaceDN w:val="0"/>
        <w:adjustRightInd w:val="0"/>
        <w:spacing w:after="0"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The Biosafety Level 2 (BSL-2) space encompasses several laboratories: Bacteriology, Virology, Serology, Molecular Biology / Genomics, Cell Culture, Parasitology, and Entomology.</w:t>
      </w:r>
    </w:p>
    <w:p w:rsidR="00E57C92" w:rsidRDefault="00E57C92" w:rsidP="00E57C92">
      <w:pPr>
        <w:autoSpaceDE w:val="0"/>
        <w:autoSpaceDN w:val="0"/>
        <w:adjustRightInd w:val="0"/>
        <w:spacing w:after="0" w:line="240" w:lineRule="auto"/>
        <w:ind w:left="-360" w:right="-180"/>
        <w:jc w:val="both"/>
        <w:rPr>
          <w:rFonts w:ascii="Calibri" w:hAnsi="Calibri" w:cs="Calibri"/>
          <w:color w:val="000000"/>
          <w:sz w:val="24"/>
          <w:szCs w:val="24"/>
        </w:rPr>
        <w:sectPr w:rsidR="00E57C92" w:rsidSect="00E57C92">
          <w:type w:val="continuous"/>
          <w:pgSz w:w="12240" w:h="15840"/>
          <w:pgMar w:top="1440" w:right="1440" w:bottom="1440" w:left="1440" w:header="720" w:footer="720" w:gutter="0"/>
          <w:cols w:space="720"/>
          <w:docGrid w:linePitch="360"/>
        </w:sectPr>
      </w:pPr>
    </w:p>
    <w:p w:rsidR="0042482A" w:rsidRDefault="0042482A" w:rsidP="00E57C92">
      <w:pPr>
        <w:autoSpaceDE w:val="0"/>
        <w:autoSpaceDN w:val="0"/>
        <w:adjustRightInd w:val="0"/>
        <w:spacing w:after="0" w:line="240" w:lineRule="auto"/>
        <w:ind w:left="-360" w:right="-180"/>
        <w:jc w:val="both"/>
        <w:rPr>
          <w:rFonts w:ascii="Calibri" w:hAnsi="Calibri" w:cs="Calibri"/>
          <w:color w:val="000000"/>
          <w:sz w:val="24"/>
          <w:szCs w:val="24"/>
        </w:rPr>
      </w:pPr>
    </w:p>
    <w:p w:rsidR="00F40E96" w:rsidRDefault="00F40E96" w:rsidP="00E57C92">
      <w:pPr>
        <w:autoSpaceDE w:val="0"/>
        <w:autoSpaceDN w:val="0"/>
        <w:adjustRightInd w:val="0"/>
        <w:spacing w:after="0" w:line="240" w:lineRule="auto"/>
        <w:ind w:left="-360" w:right="-180"/>
        <w:jc w:val="both"/>
        <w:rPr>
          <w:rFonts w:ascii="Calibri" w:hAnsi="Calibri" w:cs="Calibri"/>
          <w:color w:val="000000"/>
          <w:sz w:val="24"/>
          <w:szCs w:val="24"/>
        </w:rPr>
      </w:pPr>
    </w:p>
    <w:p w:rsidR="00F40E96" w:rsidRDefault="00F40E96" w:rsidP="00E57C92">
      <w:pPr>
        <w:autoSpaceDE w:val="0"/>
        <w:autoSpaceDN w:val="0"/>
        <w:adjustRightInd w:val="0"/>
        <w:spacing w:after="0" w:line="240" w:lineRule="auto"/>
        <w:ind w:left="-360" w:right="-180"/>
        <w:jc w:val="center"/>
        <w:rPr>
          <w:rFonts w:ascii="Calibri" w:hAnsi="Calibri" w:cs="Calibri"/>
          <w:color w:val="000000"/>
          <w:sz w:val="24"/>
          <w:szCs w:val="24"/>
        </w:rPr>
        <w:sectPr w:rsidR="00F40E96" w:rsidSect="00F40E96">
          <w:type w:val="continuous"/>
          <w:pgSz w:w="12240" w:h="15840"/>
          <w:pgMar w:top="1440" w:right="1440" w:bottom="1440" w:left="1440" w:header="720" w:footer="720" w:gutter="0"/>
          <w:cols w:num="2" w:space="720"/>
          <w:docGrid w:linePitch="360"/>
        </w:sectPr>
      </w:pPr>
    </w:p>
    <w:p w:rsidR="00F40E96" w:rsidRDefault="00F40E96" w:rsidP="00E57C92">
      <w:pPr>
        <w:autoSpaceDE w:val="0"/>
        <w:autoSpaceDN w:val="0"/>
        <w:adjustRightInd w:val="0"/>
        <w:spacing w:after="0" w:line="240" w:lineRule="auto"/>
        <w:ind w:left="-360" w:right="-180"/>
        <w:jc w:val="both"/>
        <w:rPr>
          <w:rFonts w:ascii="Calibri" w:hAnsi="Calibri" w:cs="Calibri"/>
          <w:color w:val="000000"/>
          <w:sz w:val="24"/>
          <w:szCs w:val="24"/>
        </w:rPr>
      </w:pPr>
    </w:p>
    <w:p w:rsidR="008517E4" w:rsidRDefault="008517E4" w:rsidP="00E57C92">
      <w:pPr>
        <w:autoSpaceDE w:val="0"/>
        <w:autoSpaceDN w:val="0"/>
        <w:adjustRightInd w:val="0"/>
        <w:spacing w:after="0" w:line="240" w:lineRule="auto"/>
        <w:ind w:left="-360" w:right="-180"/>
        <w:jc w:val="center"/>
        <w:rPr>
          <w:rFonts w:ascii="Calibri" w:hAnsi="Calibri" w:cs="Calibri"/>
          <w:color w:val="000000"/>
          <w:sz w:val="24"/>
          <w:szCs w:val="24"/>
        </w:rPr>
        <w:sectPr w:rsidR="008517E4" w:rsidSect="0042482A">
          <w:type w:val="continuous"/>
          <w:pgSz w:w="12240" w:h="15840"/>
          <w:pgMar w:top="1440" w:right="1440" w:bottom="1440" w:left="1440" w:header="720" w:footer="720" w:gutter="0"/>
          <w:cols w:space="720"/>
          <w:docGrid w:linePitch="360"/>
        </w:sectPr>
      </w:pPr>
    </w:p>
    <w:p w:rsidR="00F40E96" w:rsidRDefault="00F40E96" w:rsidP="008517E4">
      <w:pPr>
        <w:autoSpaceDE w:val="0"/>
        <w:autoSpaceDN w:val="0"/>
        <w:adjustRightInd w:val="0"/>
        <w:spacing w:after="0" w:line="240" w:lineRule="auto"/>
        <w:ind w:left="-180" w:right="-180"/>
        <w:jc w:val="center"/>
        <w:rPr>
          <w:rFonts w:ascii="Calibri" w:hAnsi="Calibri" w:cs="Calibri"/>
          <w:color w:val="000000"/>
          <w:sz w:val="24"/>
          <w:szCs w:val="24"/>
        </w:rPr>
      </w:pPr>
      <w:bookmarkStart w:id="0" w:name="_GoBack"/>
      <w:r>
        <w:rPr>
          <w:noProof/>
        </w:rPr>
        <w:drawing>
          <wp:inline distT="0" distB="0" distL="0" distR="0" wp14:anchorId="0E370587" wp14:editId="6FDBCE21">
            <wp:extent cx="2625379" cy="1494780"/>
            <wp:effectExtent l="0" t="0" r="3810" b="0"/>
            <wp:docPr id="1" name="Picture 1" descr="http://ncdc.ge/Media/PhotoGallery/1078670_494961717258430_11434279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cdc.ge/Media/PhotoGallery/1078670_494961717258430_1143427963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6814" cy="1512677"/>
                    </a:xfrm>
                    <a:prstGeom prst="rect">
                      <a:avLst/>
                    </a:prstGeom>
                    <a:noFill/>
                    <a:ln>
                      <a:noFill/>
                    </a:ln>
                  </pic:spPr>
                </pic:pic>
              </a:graphicData>
            </a:graphic>
          </wp:inline>
        </w:drawing>
      </w:r>
      <w:bookmarkEnd w:id="0"/>
    </w:p>
    <w:p w:rsidR="008517E4" w:rsidRDefault="008517E4" w:rsidP="008517E4">
      <w:pPr>
        <w:autoSpaceDE w:val="0"/>
        <w:autoSpaceDN w:val="0"/>
        <w:adjustRightInd w:val="0"/>
        <w:spacing w:after="0" w:line="240" w:lineRule="auto"/>
        <w:ind w:left="-180" w:right="-180"/>
        <w:jc w:val="both"/>
        <w:rPr>
          <w:rFonts w:ascii="Calibri" w:hAnsi="Calibri" w:cs="Calibri"/>
          <w:color w:val="000000"/>
          <w:sz w:val="24"/>
          <w:szCs w:val="24"/>
        </w:rPr>
      </w:pPr>
    </w:p>
    <w:p w:rsidR="008517E4" w:rsidRDefault="008517E4" w:rsidP="008517E4">
      <w:pPr>
        <w:autoSpaceDE w:val="0"/>
        <w:autoSpaceDN w:val="0"/>
        <w:adjustRightInd w:val="0"/>
        <w:spacing w:after="0" w:line="240" w:lineRule="auto"/>
        <w:ind w:left="-180" w:right="-180"/>
        <w:jc w:val="both"/>
        <w:rPr>
          <w:rFonts w:ascii="Calibri" w:hAnsi="Calibri" w:cs="Calibri"/>
          <w:color w:val="000000"/>
          <w:sz w:val="24"/>
          <w:szCs w:val="24"/>
        </w:rPr>
      </w:pPr>
      <w:r w:rsidRPr="009409FA">
        <w:rPr>
          <w:rFonts w:ascii="Calibri" w:hAnsi="Calibri" w:cs="Calibri"/>
          <w:color w:val="000000"/>
          <w:sz w:val="24"/>
          <w:szCs w:val="24"/>
        </w:rPr>
        <w:t>The Center also includes the well-equipped genomic center which makes the center a unique sequencing facility in</w:t>
      </w:r>
      <w:r>
        <w:rPr>
          <w:rFonts w:ascii="Calibri" w:hAnsi="Calibri" w:cs="Calibri"/>
          <w:color w:val="000000"/>
          <w:sz w:val="24"/>
          <w:szCs w:val="24"/>
        </w:rPr>
        <w:t xml:space="preserve"> the</w:t>
      </w:r>
      <w:r w:rsidRPr="009409FA">
        <w:rPr>
          <w:rFonts w:ascii="Calibri" w:hAnsi="Calibri" w:cs="Calibri"/>
          <w:color w:val="000000"/>
          <w:sz w:val="24"/>
          <w:szCs w:val="24"/>
        </w:rPr>
        <w:t xml:space="preserve"> region. </w:t>
      </w:r>
    </w:p>
    <w:p w:rsidR="008517E4" w:rsidRDefault="008517E4" w:rsidP="00E57C92">
      <w:pPr>
        <w:autoSpaceDE w:val="0"/>
        <w:autoSpaceDN w:val="0"/>
        <w:adjustRightInd w:val="0"/>
        <w:spacing w:after="0" w:line="240" w:lineRule="auto"/>
        <w:ind w:left="-360" w:right="-180"/>
        <w:jc w:val="both"/>
        <w:rPr>
          <w:rFonts w:ascii="Calibri" w:hAnsi="Calibri" w:cs="Calibri"/>
          <w:color w:val="000000"/>
          <w:sz w:val="24"/>
          <w:szCs w:val="24"/>
        </w:rPr>
        <w:sectPr w:rsidR="008517E4" w:rsidSect="008517E4">
          <w:type w:val="continuous"/>
          <w:pgSz w:w="12240" w:h="15840"/>
          <w:pgMar w:top="1440" w:right="1440" w:bottom="1440" w:left="1440" w:header="720" w:footer="720" w:gutter="0"/>
          <w:cols w:num="2" w:space="720"/>
          <w:docGrid w:linePitch="360"/>
        </w:sectPr>
      </w:pPr>
    </w:p>
    <w:p w:rsidR="00F40E96" w:rsidRDefault="00F40E96" w:rsidP="00E57C92">
      <w:pPr>
        <w:autoSpaceDE w:val="0"/>
        <w:autoSpaceDN w:val="0"/>
        <w:adjustRightInd w:val="0"/>
        <w:spacing w:after="0" w:line="240" w:lineRule="auto"/>
        <w:ind w:left="-360" w:right="-180"/>
        <w:jc w:val="both"/>
        <w:rPr>
          <w:rFonts w:ascii="Calibri" w:hAnsi="Calibri" w:cs="Calibri"/>
          <w:color w:val="000000"/>
          <w:sz w:val="24"/>
          <w:szCs w:val="24"/>
        </w:rPr>
      </w:pPr>
    </w:p>
    <w:p w:rsidR="00CB58E7" w:rsidRPr="009409FA" w:rsidRDefault="00125D2A" w:rsidP="00E57C92">
      <w:pPr>
        <w:autoSpaceDE w:val="0"/>
        <w:autoSpaceDN w:val="0"/>
        <w:adjustRightInd w:val="0"/>
        <w:spacing w:after="0"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There are several laboratories at the Lugar Center which are accredited by international organizations</w:t>
      </w:r>
      <w:r w:rsidR="00B8062F">
        <w:rPr>
          <w:rFonts w:ascii="Calibri" w:hAnsi="Calibri" w:cs="Calibri"/>
          <w:color w:val="000000"/>
          <w:sz w:val="24"/>
          <w:szCs w:val="24"/>
        </w:rPr>
        <w:t>.</w:t>
      </w:r>
      <w:r w:rsidRPr="009409FA">
        <w:rPr>
          <w:rFonts w:ascii="Calibri" w:hAnsi="Calibri" w:cs="Calibri"/>
          <w:color w:val="000000"/>
          <w:sz w:val="24"/>
          <w:szCs w:val="24"/>
        </w:rPr>
        <w:t xml:space="preserve"> </w:t>
      </w:r>
      <w:r w:rsidR="00B8062F" w:rsidRPr="009409FA">
        <w:rPr>
          <w:rFonts w:ascii="Calibri" w:hAnsi="Calibri" w:cs="Calibri"/>
          <w:color w:val="000000"/>
          <w:sz w:val="24"/>
          <w:szCs w:val="24"/>
        </w:rPr>
        <w:t>These</w:t>
      </w:r>
      <w:r w:rsidRPr="009409FA">
        <w:rPr>
          <w:rFonts w:ascii="Calibri" w:hAnsi="Calibri" w:cs="Calibri"/>
          <w:color w:val="000000"/>
          <w:sz w:val="24"/>
          <w:szCs w:val="24"/>
        </w:rPr>
        <w:t xml:space="preserve"> laboratories regularly participate in evaluations of professional competence. The quality control activities of NCDC’s Polio, Influenza and Measles/Rubella Laboratories are accredited by the World Health Organization (WHO). Four Labs are connected to WHO Lab Network: Rota, Invasive Meningitis, Malaria, </w:t>
      </w:r>
      <w:proofErr w:type="spellStart"/>
      <w:proofErr w:type="gramStart"/>
      <w:r w:rsidRPr="009409FA">
        <w:rPr>
          <w:rFonts w:ascii="Calibri" w:hAnsi="Calibri" w:cs="Calibri"/>
          <w:color w:val="000000"/>
          <w:sz w:val="24"/>
          <w:szCs w:val="24"/>
        </w:rPr>
        <w:t>Salmonelosis</w:t>
      </w:r>
      <w:proofErr w:type="spellEnd"/>
      <w:proofErr w:type="gramEnd"/>
      <w:r w:rsidRPr="009409FA">
        <w:rPr>
          <w:rFonts w:ascii="Calibri" w:hAnsi="Calibri" w:cs="Calibri"/>
          <w:color w:val="000000"/>
          <w:sz w:val="24"/>
          <w:szCs w:val="24"/>
        </w:rPr>
        <w:t>.</w:t>
      </w:r>
      <w:r w:rsidR="00F329E8" w:rsidRPr="009409FA">
        <w:rPr>
          <w:rFonts w:ascii="Calibri" w:hAnsi="Calibri" w:cs="Calibri"/>
          <w:color w:val="000000"/>
          <w:sz w:val="24"/>
          <w:szCs w:val="24"/>
        </w:rPr>
        <w:t xml:space="preserve"> </w:t>
      </w:r>
      <w:r w:rsidR="00CB58E7" w:rsidRPr="009409FA">
        <w:rPr>
          <w:rFonts w:ascii="Calibri" w:hAnsi="Calibri" w:cs="Calibri"/>
          <w:color w:val="000000"/>
          <w:sz w:val="24"/>
          <w:szCs w:val="24"/>
        </w:rPr>
        <w:t>Participation on WHO Laboratory Networks</w:t>
      </w:r>
    </w:p>
    <w:p w:rsidR="00CB58E7" w:rsidRPr="009409FA" w:rsidRDefault="00CB58E7" w:rsidP="00E57C92">
      <w:pPr>
        <w:pStyle w:val="ListParagraph"/>
        <w:numPr>
          <w:ilvl w:val="0"/>
          <w:numId w:val="5"/>
        </w:numPr>
        <w:spacing w:after="0" w:line="240" w:lineRule="auto"/>
        <w:ind w:left="450" w:right="-180" w:hanging="540"/>
        <w:jc w:val="both"/>
        <w:rPr>
          <w:rFonts w:ascii="Calibri" w:hAnsi="Calibri" w:cs="Calibri"/>
          <w:color w:val="000000"/>
          <w:sz w:val="24"/>
          <w:szCs w:val="24"/>
        </w:rPr>
      </w:pPr>
      <w:r w:rsidRPr="009409FA">
        <w:rPr>
          <w:rFonts w:ascii="Calibri" w:hAnsi="Calibri" w:cs="Calibri"/>
          <w:color w:val="000000"/>
          <w:sz w:val="24"/>
          <w:szCs w:val="24"/>
        </w:rPr>
        <w:t>2001 - Participation on Global Salmonella Network, Salmonella Global Investigation External Quality Assessment Program.</w:t>
      </w:r>
    </w:p>
    <w:p w:rsidR="00CB58E7" w:rsidRPr="009409FA" w:rsidRDefault="00CB58E7" w:rsidP="00E57C92">
      <w:pPr>
        <w:pStyle w:val="ListParagraph"/>
        <w:numPr>
          <w:ilvl w:val="0"/>
          <w:numId w:val="5"/>
        </w:numPr>
        <w:spacing w:after="0" w:line="240" w:lineRule="auto"/>
        <w:ind w:left="450" w:right="-180" w:hanging="540"/>
        <w:jc w:val="both"/>
        <w:rPr>
          <w:rFonts w:ascii="Calibri" w:hAnsi="Calibri" w:cs="Calibri"/>
          <w:color w:val="000000"/>
          <w:sz w:val="24"/>
          <w:szCs w:val="24"/>
        </w:rPr>
      </w:pPr>
      <w:r w:rsidRPr="009409FA">
        <w:rPr>
          <w:rFonts w:ascii="Calibri" w:hAnsi="Calibri" w:cs="Calibri"/>
          <w:color w:val="000000"/>
          <w:sz w:val="24"/>
          <w:szCs w:val="24"/>
        </w:rPr>
        <w:t>2002 - Measles/Rubella National Laboratory Participation in WHO Europe Network</w:t>
      </w:r>
    </w:p>
    <w:p w:rsidR="00CB58E7" w:rsidRPr="009409FA" w:rsidRDefault="00CB58E7" w:rsidP="00E57C92">
      <w:pPr>
        <w:pStyle w:val="ListParagraph"/>
        <w:numPr>
          <w:ilvl w:val="0"/>
          <w:numId w:val="5"/>
        </w:numPr>
        <w:spacing w:line="240" w:lineRule="auto"/>
        <w:ind w:left="450" w:right="-180" w:hanging="540"/>
        <w:jc w:val="both"/>
        <w:rPr>
          <w:rFonts w:ascii="Calibri" w:hAnsi="Calibri" w:cs="Calibri"/>
          <w:color w:val="000000"/>
          <w:sz w:val="24"/>
          <w:szCs w:val="24"/>
        </w:rPr>
      </w:pPr>
      <w:r w:rsidRPr="009409FA">
        <w:rPr>
          <w:rFonts w:ascii="Calibri" w:hAnsi="Calibri" w:cs="Calibri"/>
          <w:color w:val="000000"/>
          <w:sz w:val="24"/>
          <w:szCs w:val="24"/>
        </w:rPr>
        <w:t>2003 - Laboratory of  poliomyelitis and other enteroviruses is fully accredited  by  WHO  and  has been a part of the WHO Global Polio Laboratory Network</w:t>
      </w:r>
    </w:p>
    <w:p w:rsidR="00CB58E7" w:rsidRPr="009409FA" w:rsidRDefault="00CB58E7" w:rsidP="00E57C92">
      <w:pPr>
        <w:pStyle w:val="ListParagraph"/>
        <w:numPr>
          <w:ilvl w:val="0"/>
          <w:numId w:val="5"/>
        </w:numPr>
        <w:spacing w:line="240" w:lineRule="auto"/>
        <w:ind w:left="450" w:right="-180" w:hanging="540"/>
        <w:jc w:val="both"/>
        <w:rPr>
          <w:rFonts w:ascii="Calibri" w:hAnsi="Calibri" w:cs="Calibri"/>
          <w:color w:val="000000"/>
          <w:sz w:val="24"/>
          <w:szCs w:val="24"/>
        </w:rPr>
      </w:pPr>
      <w:r w:rsidRPr="009409FA">
        <w:rPr>
          <w:rFonts w:ascii="Calibri" w:hAnsi="Calibri" w:cs="Calibri"/>
          <w:color w:val="000000"/>
          <w:sz w:val="24"/>
          <w:szCs w:val="24"/>
        </w:rPr>
        <w:t>2006 - Rotavirus group became the member of the WHO/EURO Rotavirus Laboratory Network</w:t>
      </w:r>
    </w:p>
    <w:p w:rsidR="00CB58E7" w:rsidRPr="009409FA" w:rsidRDefault="00CB58E7" w:rsidP="00E57C92">
      <w:pPr>
        <w:pStyle w:val="ListParagraph"/>
        <w:numPr>
          <w:ilvl w:val="0"/>
          <w:numId w:val="5"/>
        </w:numPr>
        <w:spacing w:line="240" w:lineRule="auto"/>
        <w:ind w:left="450" w:right="-180" w:hanging="540"/>
        <w:jc w:val="both"/>
        <w:rPr>
          <w:rFonts w:ascii="Calibri" w:hAnsi="Calibri" w:cs="Calibri"/>
          <w:color w:val="000000"/>
          <w:sz w:val="24"/>
          <w:szCs w:val="24"/>
        </w:rPr>
      </w:pPr>
      <w:r w:rsidRPr="009409FA">
        <w:rPr>
          <w:rFonts w:ascii="Calibri" w:hAnsi="Calibri" w:cs="Calibri"/>
          <w:color w:val="000000"/>
          <w:sz w:val="24"/>
          <w:szCs w:val="24"/>
        </w:rPr>
        <w:t xml:space="preserve">2007 - recognition of National Influenza Center (NIC) by the WHO </w:t>
      </w:r>
    </w:p>
    <w:p w:rsidR="00CB58E7" w:rsidRPr="009409FA" w:rsidRDefault="00CB58E7" w:rsidP="00E57C92">
      <w:pPr>
        <w:pStyle w:val="ListParagraph"/>
        <w:numPr>
          <w:ilvl w:val="0"/>
          <w:numId w:val="5"/>
        </w:numPr>
        <w:spacing w:line="240" w:lineRule="auto"/>
        <w:ind w:left="450" w:right="-180" w:hanging="540"/>
        <w:jc w:val="both"/>
        <w:rPr>
          <w:rFonts w:ascii="Calibri" w:hAnsi="Calibri" w:cs="Calibri"/>
          <w:color w:val="000000"/>
          <w:sz w:val="24"/>
          <w:szCs w:val="24"/>
        </w:rPr>
      </w:pPr>
      <w:r w:rsidRPr="009409FA">
        <w:rPr>
          <w:rFonts w:ascii="Calibri" w:hAnsi="Calibri" w:cs="Calibri"/>
          <w:color w:val="000000"/>
          <w:sz w:val="24"/>
          <w:szCs w:val="24"/>
        </w:rPr>
        <w:lastRenderedPageBreak/>
        <w:t xml:space="preserve">2010 - Integration into the WHO Invasive Meningitis Network and participation in EQA Program 2014 – Join to CAESAR AMR network </w:t>
      </w:r>
    </w:p>
    <w:p w:rsidR="00125D2A" w:rsidRDefault="00125D2A" w:rsidP="00E57C92">
      <w:pPr>
        <w:spacing w:before="100" w:beforeAutospacing="1" w:after="100" w:afterAutospacing="1" w:line="240" w:lineRule="auto"/>
        <w:ind w:left="-90" w:right="-180"/>
        <w:jc w:val="both"/>
        <w:rPr>
          <w:rFonts w:ascii="Calibri" w:hAnsi="Calibri" w:cs="Calibri"/>
          <w:color w:val="000000"/>
          <w:sz w:val="24"/>
          <w:szCs w:val="24"/>
        </w:rPr>
      </w:pPr>
      <w:r w:rsidRPr="00606529">
        <w:rPr>
          <w:rFonts w:ascii="Calibri" w:hAnsi="Calibri" w:cs="Calibri"/>
          <w:color w:val="000000"/>
          <w:sz w:val="24"/>
          <w:szCs w:val="24"/>
        </w:rPr>
        <w:t xml:space="preserve">Currently the Lugar Center is in </w:t>
      </w:r>
      <w:r w:rsidR="00606529" w:rsidRPr="00606529">
        <w:rPr>
          <w:rFonts w:ascii="Calibri" w:hAnsi="Calibri" w:cs="Calibri"/>
          <w:color w:val="000000"/>
          <w:sz w:val="24"/>
          <w:szCs w:val="24"/>
          <w:lang w:val="ka-GE"/>
        </w:rPr>
        <w:t xml:space="preserve">the </w:t>
      </w:r>
      <w:r w:rsidRPr="00606529">
        <w:rPr>
          <w:rFonts w:ascii="Calibri" w:hAnsi="Calibri" w:cs="Calibri"/>
          <w:color w:val="000000"/>
          <w:sz w:val="24"/>
          <w:szCs w:val="24"/>
        </w:rPr>
        <w:t>process in obtaining the status of WHO Collaborating Center</w:t>
      </w:r>
      <w:r w:rsidRPr="009409FA">
        <w:rPr>
          <w:rFonts w:ascii="Calibri" w:hAnsi="Calibri" w:cs="Calibri"/>
          <w:color w:val="000000"/>
          <w:sz w:val="24"/>
          <w:szCs w:val="24"/>
        </w:rPr>
        <w:t xml:space="preserve"> in AMR. </w:t>
      </w:r>
    </w:p>
    <w:p w:rsidR="00125D2A" w:rsidRDefault="00125D2A" w:rsidP="00E57C92">
      <w:pPr>
        <w:spacing w:line="240" w:lineRule="auto"/>
        <w:ind w:left="-360" w:right="-180"/>
        <w:rPr>
          <w:rFonts w:ascii="Calibri" w:hAnsi="Calibri" w:cs="Calibri"/>
          <w:b/>
          <w:i/>
          <w:color w:val="365F91" w:themeColor="accent1" w:themeShade="BF"/>
          <w:sz w:val="28"/>
          <w:szCs w:val="28"/>
        </w:rPr>
      </w:pPr>
      <w:r w:rsidRPr="009409FA">
        <w:rPr>
          <w:rFonts w:ascii="Calibri" w:hAnsi="Calibri" w:cs="Calibri"/>
          <w:b/>
          <w:i/>
          <w:color w:val="365F91" w:themeColor="accent1" w:themeShade="BF"/>
          <w:sz w:val="28"/>
          <w:szCs w:val="28"/>
        </w:rPr>
        <w:t>Recent Key Achievem</w:t>
      </w:r>
      <w:r w:rsidR="00CB58E7" w:rsidRPr="009409FA">
        <w:rPr>
          <w:rFonts w:ascii="Calibri" w:hAnsi="Calibri" w:cs="Calibri"/>
          <w:b/>
          <w:i/>
          <w:color w:val="365F91" w:themeColor="accent1" w:themeShade="BF"/>
          <w:sz w:val="28"/>
          <w:szCs w:val="28"/>
        </w:rPr>
        <w:t>e</w:t>
      </w:r>
      <w:r w:rsidRPr="009409FA">
        <w:rPr>
          <w:rFonts w:ascii="Calibri" w:hAnsi="Calibri" w:cs="Calibri"/>
          <w:b/>
          <w:i/>
          <w:color w:val="365F91" w:themeColor="accent1" w:themeShade="BF"/>
          <w:sz w:val="28"/>
          <w:szCs w:val="28"/>
        </w:rPr>
        <w:t>nts</w:t>
      </w:r>
    </w:p>
    <w:p w:rsidR="00606529" w:rsidRPr="009409FA" w:rsidRDefault="00606529" w:rsidP="00E57C92">
      <w:pPr>
        <w:autoSpaceDE w:val="0"/>
        <w:autoSpaceDN w:val="0"/>
        <w:adjustRightInd w:val="0"/>
        <w:spacing w:after="0" w:line="240" w:lineRule="auto"/>
        <w:ind w:left="-360" w:right="-180"/>
        <w:jc w:val="both"/>
        <w:rPr>
          <w:rFonts w:ascii="Calibri" w:hAnsi="Calibri" w:cs="Calibri"/>
          <w:color w:val="000000"/>
          <w:sz w:val="24"/>
          <w:szCs w:val="24"/>
        </w:rPr>
      </w:pPr>
      <w:r>
        <w:rPr>
          <w:noProof/>
        </w:rPr>
        <w:t xml:space="preserve">   </w:t>
      </w:r>
      <w:r>
        <w:rPr>
          <w:noProof/>
        </w:rPr>
        <w:drawing>
          <wp:inline distT="0" distB="0" distL="0" distR="0" wp14:anchorId="2D84624C" wp14:editId="4ABBB6A1">
            <wp:extent cx="2447925" cy="1619097"/>
            <wp:effectExtent l="0" t="0" r="0" b="635"/>
            <wp:docPr id="4" name="Picture 4" descr="http://ncdc.ge/Media/PhotoGallery/1009495_494961547258447_2609309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cdc.ge/Media/PhotoGallery/1009495_494961547258447_260930932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917" cy="1632981"/>
                    </a:xfrm>
                    <a:prstGeom prst="rect">
                      <a:avLst/>
                    </a:prstGeom>
                    <a:noFill/>
                    <a:ln>
                      <a:noFill/>
                    </a:ln>
                  </pic:spPr>
                </pic:pic>
              </a:graphicData>
            </a:graphic>
          </wp:inline>
        </w:drawing>
      </w:r>
      <w:r w:rsidRPr="0042482A">
        <w:rPr>
          <w:noProof/>
        </w:rPr>
        <w:t xml:space="preserve"> </w:t>
      </w:r>
      <w:r>
        <w:rPr>
          <w:noProof/>
        </w:rPr>
        <w:t xml:space="preserve">                          </w:t>
      </w:r>
      <w:r>
        <w:rPr>
          <w:noProof/>
        </w:rPr>
        <w:drawing>
          <wp:inline distT="0" distB="0" distL="0" distR="0" wp14:anchorId="1E5A2119" wp14:editId="02B4710F">
            <wp:extent cx="2447925" cy="1632945"/>
            <wp:effectExtent l="0" t="0" r="0" b="5715"/>
            <wp:docPr id="2" name="Picture 2" descr="http://ncdc.ge/Media/PhotoGallery/1094064_494961620591773_20796817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cdc.ge/Media/PhotoGallery/1094064_494961620591773_2079681746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301" cy="1641868"/>
                    </a:xfrm>
                    <a:prstGeom prst="rect">
                      <a:avLst/>
                    </a:prstGeom>
                    <a:noFill/>
                    <a:ln>
                      <a:noFill/>
                    </a:ln>
                  </pic:spPr>
                </pic:pic>
              </a:graphicData>
            </a:graphic>
          </wp:inline>
        </w:drawing>
      </w:r>
    </w:p>
    <w:p w:rsidR="00606529" w:rsidRDefault="00606529" w:rsidP="00E57C92">
      <w:pPr>
        <w:autoSpaceDE w:val="0"/>
        <w:autoSpaceDN w:val="0"/>
        <w:adjustRightInd w:val="0"/>
        <w:spacing w:after="0" w:line="240" w:lineRule="auto"/>
        <w:ind w:left="-360" w:right="-180"/>
        <w:jc w:val="both"/>
        <w:rPr>
          <w:rFonts w:ascii="Calibri" w:hAnsi="Calibri" w:cs="Calibri"/>
          <w:color w:val="000000"/>
          <w:sz w:val="24"/>
          <w:szCs w:val="24"/>
        </w:rPr>
        <w:sectPr w:rsidR="00606529" w:rsidSect="0042482A">
          <w:type w:val="continuous"/>
          <w:pgSz w:w="12240" w:h="15840"/>
          <w:pgMar w:top="1440" w:right="1440" w:bottom="1440" w:left="1440" w:header="720" w:footer="720" w:gutter="0"/>
          <w:cols w:space="720"/>
          <w:docGrid w:linePitch="360"/>
        </w:sectPr>
      </w:pPr>
    </w:p>
    <w:p w:rsidR="00606529" w:rsidRPr="009409FA" w:rsidRDefault="00606529" w:rsidP="00E57C92">
      <w:pPr>
        <w:spacing w:line="240" w:lineRule="auto"/>
        <w:ind w:left="-360" w:right="-180"/>
        <w:rPr>
          <w:rFonts w:ascii="Calibri" w:hAnsi="Calibri" w:cs="Calibri"/>
          <w:b/>
          <w:i/>
          <w:color w:val="365F91" w:themeColor="accent1" w:themeShade="BF"/>
          <w:sz w:val="28"/>
          <w:szCs w:val="28"/>
        </w:rPr>
      </w:pPr>
    </w:p>
    <w:p w:rsidR="00125D2A" w:rsidRPr="009409FA" w:rsidRDefault="00E57C92" w:rsidP="00E57C92">
      <w:pPr>
        <w:autoSpaceDE w:val="0"/>
        <w:autoSpaceDN w:val="0"/>
        <w:adjustRightInd w:val="0"/>
        <w:spacing w:after="0" w:line="240" w:lineRule="auto"/>
        <w:ind w:left="-360" w:right="-180"/>
        <w:jc w:val="both"/>
        <w:rPr>
          <w:rFonts w:ascii="Calibri" w:hAnsi="Calibri" w:cs="Calibri"/>
          <w:color w:val="000000"/>
          <w:sz w:val="24"/>
          <w:szCs w:val="24"/>
        </w:rPr>
      </w:pPr>
      <w:r>
        <w:rPr>
          <w:rFonts w:ascii="Calibri" w:hAnsi="Calibri" w:cs="Calibri"/>
          <w:color w:val="000000"/>
          <w:sz w:val="24"/>
          <w:szCs w:val="24"/>
        </w:rPr>
        <w:t>At present</w:t>
      </w:r>
      <w:r w:rsidR="00125D2A" w:rsidRPr="009409FA">
        <w:rPr>
          <w:rFonts w:ascii="Calibri" w:hAnsi="Calibri" w:cs="Calibri"/>
          <w:color w:val="000000"/>
          <w:sz w:val="24"/>
          <w:szCs w:val="24"/>
        </w:rPr>
        <w:t xml:space="preserve"> NCDC / Lugar Center has implemented more than 160 international scientific and public health projects within ~ 36 000 000 USD. </w:t>
      </w:r>
    </w:p>
    <w:p w:rsidR="00F40E96" w:rsidRDefault="00125D2A" w:rsidP="00E57C92">
      <w:pPr>
        <w:autoSpaceDE w:val="0"/>
        <w:autoSpaceDN w:val="0"/>
        <w:adjustRightInd w:val="0"/>
        <w:spacing w:after="0"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 xml:space="preserve">On the basis of the Lugar Center the following scientific achievements were made </w:t>
      </w:r>
      <w:r w:rsidR="00F40E96">
        <w:rPr>
          <w:rFonts w:ascii="Calibri" w:hAnsi="Calibri" w:cs="Calibri"/>
          <w:color w:val="000000"/>
          <w:sz w:val="24"/>
          <w:szCs w:val="24"/>
        </w:rPr>
        <w:t xml:space="preserve">the </w:t>
      </w:r>
      <w:r w:rsidRPr="009409FA">
        <w:rPr>
          <w:rFonts w:ascii="Calibri" w:hAnsi="Calibri" w:cs="Calibri"/>
          <w:color w:val="000000"/>
          <w:sz w:val="24"/>
          <w:szCs w:val="24"/>
        </w:rPr>
        <w:t xml:space="preserve">first time in the World: </w:t>
      </w:r>
    </w:p>
    <w:p w:rsidR="00E57C92" w:rsidRDefault="00E57C92" w:rsidP="00E57C92">
      <w:pPr>
        <w:autoSpaceDE w:val="0"/>
        <w:autoSpaceDN w:val="0"/>
        <w:adjustRightInd w:val="0"/>
        <w:spacing w:after="0" w:line="240" w:lineRule="auto"/>
        <w:ind w:left="-360" w:right="-180"/>
        <w:jc w:val="both"/>
        <w:rPr>
          <w:rFonts w:ascii="Calibri" w:hAnsi="Calibri" w:cs="Calibri"/>
          <w:color w:val="000000"/>
          <w:sz w:val="24"/>
          <w:szCs w:val="24"/>
        </w:rPr>
      </w:pPr>
    </w:p>
    <w:p w:rsidR="00F40E96" w:rsidRPr="00F40E96" w:rsidRDefault="00125D2A" w:rsidP="00E57C92">
      <w:pPr>
        <w:pStyle w:val="ListParagraph"/>
        <w:numPr>
          <w:ilvl w:val="0"/>
          <w:numId w:val="8"/>
        </w:numPr>
        <w:autoSpaceDE w:val="0"/>
        <w:autoSpaceDN w:val="0"/>
        <w:adjustRightInd w:val="0"/>
        <w:spacing w:after="0" w:line="240" w:lineRule="auto"/>
        <w:ind w:left="0" w:right="-180"/>
        <w:jc w:val="both"/>
        <w:rPr>
          <w:rFonts w:ascii="Calibri" w:hAnsi="Calibri" w:cs="Calibri"/>
          <w:color w:val="000000"/>
          <w:sz w:val="24"/>
          <w:szCs w:val="24"/>
        </w:rPr>
      </w:pPr>
      <w:r w:rsidRPr="00F40E96">
        <w:rPr>
          <w:rFonts w:ascii="Calibri" w:hAnsi="Calibri" w:cs="Calibri"/>
          <w:color w:val="000000"/>
          <w:sz w:val="24"/>
          <w:szCs w:val="24"/>
        </w:rPr>
        <w:t xml:space="preserve">new species of </w:t>
      </w:r>
      <w:proofErr w:type="spellStart"/>
      <w:r w:rsidRPr="00F40E96">
        <w:rPr>
          <w:rFonts w:ascii="Calibri" w:hAnsi="Calibri" w:cs="Calibri"/>
          <w:color w:val="000000"/>
          <w:sz w:val="24"/>
          <w:szCs w:val="24"/>
        </w:rPr>
        <w:t>Orthopox</w:t>
      </w:r>
      <w:proofErr w:type="spellEnd"/>
      <w:r w:rsidRPr="00F40E96">
        <w:rPr>
          <w:rFonts w:ascii="Calibri" w:hAnsi="Calibri" w:cs="Calibri"/>
          <w:color w:val="000000"/>
          <w:sz w:val="24"/>
          <w:szCs w:val="24"/>
        </w:rPr>
        <w:t xml:space="preserve"> virus discovered (so called </w:t>
      </w:r>
      <w:proofErr w:type="spellStart"/>
      <w:r w:rsidRPr="00F40E96">
        <w:rPr>
          <w:rFonts w:ascii="Calibri" w:hAnsi="Calibri" w:cs="Calibri"/>
          <w:color w:val="000000"/>
          <w:sz w:val="24"/>
          <w:szCs w:val="24"/>
        </w:rPr>
        <w:t>Akhmeta</w:t>
      </w:r>
      <w:proofErr w:type="spellEnd"/>
      <w:r w:rsidRPr="00F40E96">
        <w:rPr>
          <w:rFonts w:ascii="Calibri" w:hAnsi="Calibri" w:cs="Calibri"/>
          <w:color w:val="000000"/>
          <w:sz w:val="24"/>
          <w:szCs w:val="24"/>
        </w:rPr>
        <w:t xml:space="preserve"> virus); </w:t>
      </w:r>
    </w:p>
    <w:p w:rsidR="00F40E96" w:rsidRPr="00F40E96" w:rsidRDefault="00125D2A" w:rsidP="00E57C92">
      <w:pPr>
        <w:pStyle w:val="ListParagraph"/>
        <w:numPr>
          <w:ilvl w:val="0"/>
          <w:numId w:val="8"/>
        </w:numPr>
        <w:autoSpaceDE w:val="0"/>
        <w:autoSpaceDN w:val="0"/>
        <w:adjustRightInd w:val="0"/>
        <w:spacing w:after="0" w:line="240" w:lineRule="auto"/>
        <w:ind w:left="0" w:right="-180"/>
        <w:jc w:val="both"/>
        <w:rPr>
          <w:rFonts w:ascii="Calibri" w:hAnsi="Calibri" w:cs="Calibri"/>
          <w:color w:val="000000"/>
          <w:sz w:val="24"/>
          <w:szCs w:val="24"/>
        </w:rPr>
      </w:pPr>
      <w:r w:rsidRPr="00F40E96">
        <w:rPr>
          <w:rFonts w:ascii="Calibri" w:hAnsi="Calibri" w:cs="Calibri"/>
          <w:color w:val="000000"/>
          <w:sz w:val="24"/>
          <w:szCs w:val="24"/>
        </w:rPr>
        <w:t xml:space="preserve">brucellosis and leptospirosis pathogens were found in bats; </w:t>
      </w:r>
    </w:p>
    <w:p w:rsidR="00125D2A" w:rsidRDefault="00125D2A" w:rsidP="00E57C92">
      <w:pPr>
        <w:pStyle w:val="ListParagraph"/>
        <w:numPr>
          <w:ilvl w:val="0"/>
          <w:numId w:val="8"/>
        </w:numPr>
        <w:autoSpaceDE w:val="0"/>
        <w:autoSpaceDN w:val="0"/>
        <w:adjustRightInd w:val="0"/>
        <w:spacing w:after="0" w:line="240" w:lineRule="auto"/>
        <w:ind w:left="0" w:right="-180"/>
        <w:jc w:val="both"/>
        <w:rPr>
          <w:rFonts w:ascii="Calibri" w:hAnsi="Calibri" w:cs="Calibri"/>
          <w:color w:val="000000"/>
          <w:sz w:val="24"/>
          <w:szCs w:val="24"/>
        </w:rPr>
      </w:pPr>
      <w:proofErr w:type="spellStart"/>
      <w:r w:rsidRPr="00F40E96">
        <w:rPr>
          <w:rFonts w:ascii="Calibri" w:hAnsi="Calibri" w:cs="Calibri"/>
          <w:color w:val="000000"/>
          <w:sz w:val="24"/>
          <w:szCs w:val="24"/>
        </w:rPr>
        <w:t>bartonella</w:t>
      </w:r>
      <w:proofErr w:type="spellEnd"/>
      <w:r w:rsidRPr="00F40E96">
        <w:rPr>
          <w:rFonts w:ascii="Calibri" w:hAnsi="Calibri" w:cs="Calibri"/>
          <w:color w:val="000000"/>
          <w:sz w:val="24"/>
          <w:szCs w:val="24"/>
        </w:rPr>
        <w:t xml:space="preserve"> </w:t>
      </w:r>
      <w:proofErr w:type="spellStart"/>
      <w:r w:rsidRPr="00F40E96">
        <w:rPr>
          <w:rFonts w:ascii="Calibri" w:hAnsi="Calibri" w:cs="Calibri"/>
          <w:color w:val="000000"/>
          <w:sz w:val="24"/>
          <w:szCs w:val="24"/>
        </w:rPr>
        <w:t>taylorii</w:t>
      </w:r>
      <w:proofErr w:type="spellEnd"/>
      <w:r w:rsidRPr="00F40E96">
        <w:rPr>
          <w:rFonts w:ascii="Calibri" w:hAnsi="Calibri" w:cs="Calibri"/>
          <w:color w:val="000000"/>
          <w:sz w:val="24"/>
          <w:szCs w:val="24"/>
        </w:rPr>
        <w:t xml:space="preserve"> was detected as a human pathogen in patients with HIV / AIDS; </w:t>
      </w:r>
      <w:proofErr w:type="spellStart"/>
      <w:r w:rsidRPr="00F40E96">
        <w:rPr>
          <w:rFonts w:ascii="Calibri" w:hAnsi="Calibri" w:cs="Calibri"/>
          <w:color w:val="000000"/>
          <w:sz w:val="24"/>
          <w:szCs w:val="24"/>
        </w:rPr>
        <w:t>Janibacter</w:t>
      </w:r>
      <w:proofErr w:type="spellEnd"/>
      <w:r w:rsidRPr="00F40E96">
        <w:rPr>
          <w:rFonts w:ascii="Calibri" w:hAnsi="Calibri" w:cs="Calibri"/>
          <w:color w:val="000000"/>
          <w:sz w:val="24"/>
          <w:szCs w:val="24"/>
        </w:rPr>
        <w:t xml:space="preserve"> </w:t>
      </w:r>
      <w:proofErr w:type="spellStart"/>
      <w:r w:rsidRPr="00F40E96">
        <w:rPr>
          <w:rFonts w:ascii="Calibri" w:hAnsi="Calibri" w:cs="Calibri"/>
          <w:color w:val="000000"/>
          <w:sz w:val="24"/>
          <w:szCs w:val="24"/>
        </w:rPr>
        <w:t>hoylei</w:t>
      </w:r>
      <w:proofErr w:type="spellEnd"/>
      <w:r w:rsidRPr="00F40E96">
        <w:rPr>
          <w:rFonts w:ascii="Calibri" w:hAnsi="Calibri" w:cs="Calibri"/>
          <w:color w:val="000000"/>
          <w:sz w:val="24"/>
          <w:szCs w:val="24"/>
        </w:rPr>
        <w:t xml:space="preserve"> PVAS-1 was separated from endocarditis clinical sample. </w:t>
      </w:r>
    </w:p>
    <w:p w:rsidR="00F40E96" w:rsidRPr="00F40E96" w:rsidRDefault="00F40E96" w:rsidP="00E57C92">
      <w:pPr>
        <w:autoSpaceDE w:val="0"/>
        <w:autoSpaceDN w:val="0"/>
        <w:adjustRightInd w:val="0"/>
        <w:spacing w:after="0" w:line="240" w:lineRule="auto"/>
        <w:ind w:right="-180" w:hanging="360"/>
        <w:jc w:val="both"/>
        <w:rPr>
          <w:rFonts w:ascii="Calibri" w:hAnsi="Calibri" w:cs="Calibri"/>
          <w:color w:val="000000"/>
          <w:sz w:val="24"/>
          <w:szCs w:val="24"/>
        </w:rPr>
      </w:pPr>
    </w:p>
    <w:p w:rsidR="00E21586" w:rsidRPr="009409FA" w:rsidRDefault="00125D2A" w:rsidP="00E57C92">
      <w:pPr>
        <w:pStyle w:val="ListParagraph"/>
        <w:spacing w:line="240" w:lineRule="auto"/>
        <w:ind w:left="0" w:right="-180" w:hanging="360"/>
        <w:rPr>
          <w:rFonts w:ascii="Calibri" w:hAnsi="Calibri" w:cs="Calibri"/>
          <w:color w:val="000000"/>
          <w:sz w:val="24"/>
          <w:szCs w:val="24"/>
        </w:rPr>
      </w:pPr>
      <w:r w:rsidRPr="009409FA">
        <w:rPr>
          <w:rFonts w:ascii="Calibri" w:hAnsi="Calibri" w:cs="Calibri"/>
          <w:color w:val="000000"/>
          <w:sz w:val="24"/>
          <w:szCs w:val="24"/>
        </w:rPr>
        <w:t>And</w:t>
      </w:r>
      <w:r w:rsidR="00606529">
        <w:rPr>
          <w:rFonts w:ascii="Calibri" w:hAnsi="Calibri" w:cs="Calibri"/>
          <w:color w:val="000000"/>
          <w:sz w:val="24"/>
          <w:szCs w:val="24"/>
        </w:rPr>
        <w:t xml:space="preserve"> the</w:t>
      </w:r>
      <w:r w:rsidRPr="009409FA">
        <w:rPr>
          <w:rFonts w:ascii="Calibri" w:hAnsi="Calibri" w:cs="Calibri"/>
          <w:color w:val="000000"/>
          <w:sz w:val="24"/>
          <w:szCs w:val="24"/>
        </w:rPr>
        <w:t xml:space="preserve"> first time in Georgia: </w:t>
      </w:r>
    </w:p>
    <w:p w:rsidR="00125D2A" w:rsidRPr="009409FA" w:rsidRDefault="00125D2A" w:rsidP="00E57C92">
      <w:pPr>
        <w:pStyle w:val="ListParagraph"/>
        <w:numPr>
          <w:ilvl w:val="0"/>
          <w:numId w:val="7"/>
        </w:numPr>
        <w:spacing w:line="240" w:lineRule="auto"/>
        <w:ind w:left="0" w:right="-180"/>
        <w:jc w:val="both"/>
        <w:rPr>
          <w:rFonts w:ascii="Calibri" w:hAnsi="Calibri" w:cs="Calibri"/>
          <w:color w:val="000000"/>
          <w:sz w:val="24"/>
          <w:szCs w:val="24"/>
        </w:rPr>
      </w:pPr>
      <w:r w:rsidRPr="009409FA">
        <w:rPr>
          <w:rFonts w:ascii="Calibri" w:hAnsi="Calibri" w:cs="Calibri"/>
          <w:color w:val="000000"/>
          <w:sz w:val="24"/>
          <w:szCs w:val="24"/>
        </w:rPr>
        <w:t xml:space="preserve">Cowpox detected in </w:t>
      </w:r>
      <w:proofErr w:type="spellStart"/>
      <w:r w:rsidRPr="009409FA">
        <w:rPr>
          <w:rFonts w:ascii="Calibri" w:hAnsi="Calibri" w:cs="Calibri"/>
          <w:color w:val="000000"/>
          <w:sz w:val="24"/>
          <w:szCs w:val="24"/>
        </w:rPr>
        <w:t>Samegrelo</w:t>
      </w:r>
      <w:proofErr w:type="spellEnd"/>
    </w:p>
    <w:p w:rsidR="00125D2A" w:rsidRPr="009409FA" w:rsidRDefault="00125D2A" w:rsidP="00E57C92">
      <w:pPr>
        <w:pStyle w:val="ListParagraph"/>
        <w:numPr>
          <w:ilvl w:val="0"/>
          <w:numId w:val="2"/>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The Results of the suspected but unconfirmed samples 41% of Anthrax turned out to be caused by the viral infection of Parapox</w:t>
      </w:r>
    </w:p>
    <w:p w:rsidR="00125D2A" w:rsidRPr="009409FA" w:rsidRDefault="00125D2A" w:rsidP="00E57C92">
      <w:pPr>
        <w:pStyle w:val="ListParagraph"/>
        <w:numPr>
          <w:ilvl w:val="0"/>
          <w:numId w:val="2"/>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Information on AMR was processed and published on the CAESAR network</w:t>
      </w:r>
    </w:p>
    <w:p w:rsidR="00125D2A" w:rsidRPr="009409FA" w:rsidRDefault="00125D2A" w:rsidP="00E57C92">
      <w:pPr>
        <w:pStyle w:val="ListParagraph"/>
        <w:numPr>
          <w:ilvl w:val="0"/>
          <w:numId w:val="2"/>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Gram-negative bacteria was detected as high resistant  (ESBL)</w:t>
      </w:r>
    </w:p>
    <w:p w:rsidR="00125D2A" w:rsidRPr="009409FA" w:rsidRDefault="00125D2A" w:rsidP="00E57C92">
      <w:pPr>
        <w:pStyle w:val="ListParagraph"/>
        <w:numPr>
          <w:ilvl w:val="0"/>
          <w:numId w:val="2"/>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 xml:space="preserve">First time it was introduced bacterial isolates of carbapenem for monitoring </w:t>
      </w:r>
    </w:p>
    <w:p w:rsidR="00125D2A" w:rsidRPr="009409FA" w:rsidRDefault="00125D2A" w:rsidP="00E57C92">
      <w:pPr>
        <w:pStyle w:val="ListParagraph"/>
        <w:numPr>
          <w:ilvl w:val="0"/>
          <w:numId w:val="2"/>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 xml:space="preserve">The mechanism of resistance was developed and resistant strains of Neisseria gonorrhea </w:t>
      </w:r>
    </w:p>
    <w:p w:rsidR="00125D2A" w:rsidRPr="009409FA" w:rsidRDefault="00125D2A" w:rsidP="00E57C92">
      <w:pPr>
        <w:pStyle w:val="ListParagraph"/>
        <w:numPr>
          <w:ilvl w:val="0"/>
          <w:numId w:val="2"/>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Viral pneumonia cases, bacterial research / molecular method found to be positive for bacterial etiology on Streptococcus pneumonia</w:t>
      </w:r>
    </w:p>
    <w:p w:rsidR="00125D2A" w:rsidRPr="009409FA" w:rsidRDefault="00125D2A" w:rsidP="00E57C92">
      <w:pPr>
        <w:pStyle w:val="ListParagraph"/>
        <w:numPr>
          <w:ilvl w:val="0"/>
          <w:numId w:val="3"/>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Anthrax in soil active foci detection increased to 15% (10% historically). Correspondently, increased the risk of disease, as in animals, as well as in humans</w:t>
      </w:r>
    </w:p>
    <w:p w:rsidR="00125D2A" w:rsidRPr="009409FA" w:rsidRDefault="00125D2A" w:rsidP="00E57C92">
      <w:pPr>
        <w:pStyle w:val="ListParagraph"/>
        <w:numPr>
          <w:ilvl w:val="0"/>
          <w:numId w:val="3"/>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Tularemia new foci was detected in Kvemo Kartli</w:t>
      </w:r>
    </w:p>
    <w:p w:rsidR="00125D2A" w:rsidRPr="009409FA" w:rsidRDefault="00125D2A" w:rsidP="00E57C92">
      <w:pPr>
        <w:pStyle w:val="ListParagraph"/>
        <w:numPr>
          <w:ilvl w:val="0"/>
          <w:numId w:val="3"/>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Cl. Dificille was isolated from clinical samples</w:t>
      </w:r>
    </w:p>
    <w:p w:rsidR="00125D2A" w:rsidRPr="009409FA" w:rsidRDefault="00125D2A" w:rsidP="00E57C92">
      <w:pPr>
        <w:pStyle w:val="ListParagraph"/>
        <w:numPr>
          <w:ilvl w:val="0"/>
          <w:numId w:val="3"/>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Leptospirosis species were identified in the country</w:t>
      </w:r>
    </w:p>
    <w:p w:rsidR="00125D2A" w:rsidRPr="009409FA" w:rsidRDefault="00125D2A" w:rsidP="00E57C92">
      <w:pPr>
        <w:pStyle w:val="ListParagraph"/>
        <w:numPr>
          <w:ilvl w:val="0"/>
          <w:numId w:val="3"/>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lastRenderedPageBreak/>
        <w:t>Escherichia coli (STEC) toxical markers (stx1/stx2/eae/Ehly) were identified</w:t>
      </w:r>
    </w:p>
    <w:p w:rsidR="00125D2A" w:rsidRPr="009409FA" w:rsidRDefault="00125D2A" w:rsidP="00E57C92">
      <w:pPr>
        <w:pStyle w:val="ListParagraph"/>
        <w:numPr>
          <w:ilvl w:val="0"/>
          <w:numId w:val="3"/>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Salmonella spp., Shigellosis spp. And inner toxins were identified producing Escherichia coli (STEC) of the genetic profiles of the pulsing field gel electrophoresis (PFGE), which is the source of an outbreak detection and identification</w:t>
      </w:r>
    </w:p>
    <w:p w:rsidR="00125D2A" w:rsidRPr="009409FA" w:rsidRDefault="00125D2A" w:rsidP="00E57C92">
      <w:pPr>
        <w:pStyle w:val="ListParagraph"/>
        <w:numPr>
          <w:ilvl w:val="0"/>
          <w:numId w:val="3"/>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Sequencing of measles / rubella was introduced. Cases revealed measles genotype - D8</w:t>
      </w:r>
    </w:p>
    <w:p w:rsidR="00125D2A" w:rsidRPr="009409FA" w:rsidRDefault="00125D2A" w:rsidP="00E57C92">
      <w:pPr>
        <w:pStyle w:val="ListParagraph"/>
        <w:numPr>
          <w:ilvl w:val="0"/>
          <w:numId w:val="3"/>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New serotypes of salmonella found in shigella</w:t>
      </w:r>
    </w:p>
    <w:p w:rsidR="00125D2A" w:rsidRPr="009409FA" w:rsidRDefault="00125D2A" w:rsidP="00E57C92">
      <w:pPr>
        <w:pStyle w:val="ListParagraph"/>
        <w:numPr>
          <w:ilvl w:val="0"/>
          <w:numId w:val="3"/>
        </w:numPr>
        <w:spacing w:line="240" w:lineRule="auto"/>
        <w:ind w:left="0" w:right="-180"/>
        <w:rPr>
          <w:rFonts w:ascii="Calibri" w:hAnsi="Calibri" w:cs="Calibri"/>
          <w:color w:val="000000"/>
          <w:sz w:val="24"/>
          <w:szCs w:val="24"/>
        </w:rPr>
      </w:pPr>
      <w:r w:rsidRPr="009409FA">
        <w:rPr>
          <w:rFonts w:ascii="Calibri" w:hAnsi="Calibri" w:cs="Calibri"/>
          <w:color w:val="000000"/>
          <w:sz w:val="24"/>
          <w:szCs w:val="24"/>
        </w:rPr>
        <w:t>Through GARP (Genetic Algorithm for Rule-set Production) it became possible to forecast and ecologically model of vectors; GIS database started to be developed</w:t>
      </w:r>
    </w:p>
    <w:p w:rsidR="00B8062F" w:rsidRPr="00DB2DD2" w:rsidRDefault="00125D2A" w:rsidP="00E57C92">
      <w:pPr>
        <w:autoSpaceDE w:val="0"/>
        <w:autoSpaceDN w:val="0"/>
        <w:adjustRightInd w:val="0"/>
        <w:spacing w:after="0" w:line="240" w:lineRule="auto"/>
        <w:ind w:left="-360" w:right="-180"/>
        <w:jc w:val="both"/>
        <w:rPr>
          <w:rFonts w:ascii="Calibri" w:hAnsi="Calibri" w:cs="Calibri"/>
          <w:color w:val="000000"/>
          <w:sz w:val="16"/>
          <w:szCs w:val="16"/>
        </w:rPr>
      </w:pPr>
      <w:r w:rsidRPr="009409FA">
        <w:rPr>
          <w:rFonts w:ascii="Calibri" w:hAnsi="Calibri" w:cs="Calibri"/>
          <w:color w:val="000000"/>
          <w:sz w:val="24"/>
          <w:szCs w:val="24"/>
        </w:rPr>
        <w:t>NCDC was awarded “</w:t>
      </w:r>
      <w:r w:rsidR="00087BCF">
        <w:rPr>
          <w:rFonts w:ascii="Calibri" w:hAnsi="Calibri" w:cs="Calibri"/>
          <w:color w:val="000000"/>
          <w:sz w:val="24"/>
          <w:szCs w:val="24"/>
        </w:rPr>
        <w:t>Q</w:t>
      </w:r>
      <w:r w:rsidRPr="009409FA">
        <w:rPr>
          <w:rFonts w:ascii="Calibri" w:hAnsi="Calibri" w:cs="Calibri"/>
          <w:color w:val="000000"/>
          <w:sz w:val="24"/>
          <w:szCs w:val="24"/>
        </w:rPr>
        <w:t>uality Management System” (in the area of laboratory examinations) International Standard ISO 9001:2008 certification</w:t>
      </w:r>
      <w:r w:rsidR="00104D13">
        <w:rPr>
          <w:rFonts w:ascii="Calibri" w:hAnsi="Calibri" w:cs="Calibri"/>
          <w:color w:val="000000"/>
          <w:sz w:val="24"/>
          <w:szCs w:val="24"/>
        </w:rPr>
        <w:t xml:space="preserve"> in 2015. </w:t>
      </w:r>
    </w:p>
    <w:p w:rsidR="00E57C92" w:rsidRDefault="00E57C92" w:rsidP="00E57C92">
      <w:pPr>
        <w:autoSpaceDE w:val="0"/>
        <w:autoSpaceDN w:val="0"/>
        <w:adjustRightInd w:val="0"/>
        <w:spacing w:after="0" w:line="240" w:lineRule="auto"/>
        <w:ind w:left="-360" w:right="-180"/>
        <w:jc w:val="both"/>
        <w:rPr>
          <w:rFonts w:ascii="Calibri" w:hAnsi="Calibri" w:cs="Calibri"/>
          <w:sz w:val="24"/>
          <w:szCs w:val="24"/>
        </w:rPr>
      </w:pPr>
    </w:p>
    <w:p w:rsidR="00125D2A" w:rsidRPr="00E84ABC" w:rsidRDefault="00E57C92" w:rsidP="00E57C92">
      <w:pPr>
        <w:autoSpaceDE w:val="0"/>
        <w:autoSpaceDN w:val="0"/>
        <w:adjustRightInd w:val="0"/>
        <w:spacing w:after="0" w:line="240" w:lineRule="auto"/>
        <w:ind w:left="-360" w:right="-180"/>
        <w:jc w:val="both"/>
        <w:rPr>
          <w:rFonts w:ascii="Calibri" w:hAnsi="Calibri" w:cs="Calibri"/>
          <w:sz w:val="24"/>
          <w:szCs w:val="24"/>
        </w:rPr>
      </w:pPr>
      <w:r w:rsidRPr="009F2E4D">
        <w:rPr>
          <w:rFonts w:ascii="Calibri" w:hAnsi="Calibri" w:cs="Calibri"/>
          <w:noProof/>
          <w:color w:val="000000"/>
          <w:sz w:val="24"/>
          <w:szCs w:val="24"/>
        </w:rPr>
        <w:drawing>
          <wp:anchor distT="0" distB="0" distL="114300" distR="114300" simplePos="0" relativeHeight="251661312" behindDoc="0" locked="0" layoutInCell="1" allowOverlap="1" wp14:anchorId="2DFEF998" wp14:editId="29BA0FC4">
            <wp:simplePos x="0" y="0"/>
            <wp:positionH relativeFrom="margin">
              <wp:posOffset>-47625</wp:posOffset>
            </wp:positionH>
            <wp:positionV relativeFrom="margin">
              <wp:posOffset>2286000</wp:posOffset>
            </wp:positionV>
            <wp:extent cx="2371725" cy="28194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28C" w:rsidRPr="00E84ABC">
        <w:rPr>
          <w:rFonts w:ascii="Calibri" w:hAnsi="Calibri" w:cs="Calibri"/>
          <w:sz w:val="24"/>
          <w:szCs w:val="24"/>
        </w:rPr>
        <w:t>Right</w:t>
      </w:r>
      <w:r w:rsidR="00104D13" w:rsidRPr="00E84ABC">
        <w:rPr>
          <w:rFonts w:ascii="Calibri" w:hAnsi="Calibri" w:cs="Calibri"/>
          <w:sz w:val="24"/>
          <w:szCs w:val="24"/>
        </w:rPr>
        <w:t xml:space="preserve"> now Lugar Center is in the process </w:t>
      </w:r>
      <w:r w:rsidR="0016352F" w:rsidRPr="00E84ABC">
        <w:rPr>
          <w:rFonts w:ascii="Calibri" w:hAnsi="Calibri" w:cs="Calibri"/>
          <w:sz w:val="24"/>
          <w:szCs w:val="24"/>
        </w:rPr>
        <w:t>of</w:t>
      </w:r>
      <w:r w:rsidR="00104D13" w:rsidRPr="00E84ABC">
        <w:rPr>
          <w:rFonts w:ascii="Calibri" w:hAnsi="Calibri" w:cs="Calibri"/>
          <w:sz w:val="24"/>
          <w:szCs w:val="24"/>
        </w:rPr>
        <w:t xml:space="preserve"> obtain</w:t>
      </w:r>
      <w:r w:rsidR="0016352F" w:rsidRPr="00E84ABC">
        <w:rPr>
          <w:rFonts w:ascii="Calibri" w:hAnsi="Calibri" w:cs="Calibri"/>
          <w:sz w:val="24"/>
          <w:szCs w:val="24"/>
        </w:rPr>
        <w:t>ing</w:t>
      </w:r>
      <w:r w:rsidR="00125D2A" w:rsidRPr="00E84ABC">
        <w:rPr>
          <w:rFonts w:ascii="Calibri" w:hAnsi="Calibri" w:cs="Calibri"/>
          <w:sz w:val="24"/>
          <w:szCs w:val="24"/>
        </w:rPr>
        <w:t xml:space="preserve"> Clinical Laboratory accreditation standard ISO 15189.</w:t>
      </w:r>
    </w:p>
    <w:p w:rsidR="00606529" w:rsidRPr="00DB2DD2" w:rsidRDefault="00606529" w:rsidP="00E57C92">
      <w:pPr>
        <w:autoSpaceDE w:val="0"/>
        <w:autoSpaceDN w:val="0"/>
        <w:adjustRightInd w:val="0"/>
        <w:spacing w:after="0" w:line="240" w:lineRule="auto"/>
        <w:ind w:left="-360" w:right="-180"/>
        <w:jc w:val="both"/>
        <w:rPr>
          <w:rFonts w:ascii="Calibri" w:hAnsi="Calibri" w:cs="Calibri"/>
          <w:color w:val="FF0000"/>
          <w:sz w:val="16"/>
          <w:szCs w:val="16"/>
        </w:rPr>
      </w:pPr>
    </w:p>
    <w:p w:rsidR="00F329E8" w:rsidRPr="009409FA" w:rsidRDefault="007C0405" w:rsidP="00E57C92">
      <w:pPr>
        <w:spacing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Lugar Centre is a Regional Training and Resource Center (RTRC) in biosafety, biosecurity and Laboratory management in the South Caucasus. Lugar Center is ready to provide trainings for our international partners from former Soviet Countries as well as other countries of the region. There were training sessions for Kyrgyz and Turkish scientist within collaborative projects.</w:t>
      </w:r>
      <w:r w:rsidR="00F329E8" w:rsidRPr="009409FA">
        <w:rPr>
          <w:rFonts w:ascii="Calibri" w:hAnsi="Calibri" w:cs="Calibri"/>
          <w:color w:val="000000"/>
          <w:sz w:val="24"/>
          <w:szCs w:val="24"/>
        </w:rPr>
        <w:t xml:space="preserve"> </w:t>
      </w:r>
    </w:p>
    <w:p w:rsidR="00E57C92" w:rsidRDefault="00F329E8" w:rsidP="00E57C92">
      <w:pPr>
        <w:spacing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As the country’s NPHRL, Lugar Center established a National EQA Program. In 2017 Lugar Center launched national EQA program by sending PT panels and required documents to all laboratories listed in the Hepatitis C registry.</w:t>
      </w:r>
    </w:p>
    <w:p w:rsidR="00E57C92" w:rsidRPr="00E57C92" w:rsidRDefault="00E57C92" w:rsidP="00E57C92">
      <w:pPr>
        <w:spacing w:line="240" w:lineRule="auto"/>
        <w:ind w:left="-360" w:right="-180"/>
        <w:jc w:val="both"/>
        <w:rPr>
          <w:rFonts w:ascii="Calibri" w:hAnsi="Calibri" w:cs="Calibri"/>
          <w:color w:val="000000"/>
          <w:sz w:val="16"/>
          <w:szCs w:val="16"/>
        </w:rPr>
      </w:pPr>
    </w:p>
    <w:p w:rsidR="000A4AB8" w:rsidRPr="009409FA" w:rsidRDefault="000A4AB8" w:rsidP="00E57C92">
      <w:pPr>
        <w:spacing w:line="240" w:lineRule="auto"/>
        <w:ind w:left="-360" w:right="-180"/>
        <w:rPr>
          <w:rFonts w:ascii="Calibri" w:hAnsi="Calibri" w:cs="Calibri"/>
          <w:b/>
          <w:i/>
          <w:color w:val="365F91" w:themeColor="accent1" w:themeShade="BF"/>
          <w:sz w:val="28"/>
          <w:szCs w:val="28"/>
        </w:rPr>
      </w:pPr>
      <w:r w:rsidRPr="009409FA">
        <w:rPr>
          <w:rFonts w:ascii="Calibri" w:hAnsi="Calibri" w:cs="Calibri"/>
          <w:b/>
          <w:i/>
          <w:color w:val="365F91" w:themeColor="accent1" w:themeShade="BF"/>
          <w:sz w:val="28"/>
          <w:szCs w:val="28"/>
        </w:rPr>
        <w:t>Challenges</w:t>
      </w:r>
      <w:r w:rsidR="002C5003">
        <w:rPr>
          <w:rFonts w:ascii="Calibri" w:hAnsi="Calibri" w:cs="Calibri"/>
          <w:b/>
          <w:i/>
          <w:color w:val="365F91" w:themeColor="accent1" w:themeShade="BF"/>
          <w:sz w:val="28"/>
          <w:szCs w:val="28"/>
        </w:rPr>
        <w:t xml:space="preserve"> and </w:t>
      </w:r>
      <w:r w:rsidRPr="009409FA">
        <w:rPr>
          <w:rFonts w:ascii="Calibri" w:hAnsi="Calibri" w:cs="Calibri"/>
          <w:b/>
          <w:i/>
          <w:color w:val="365F91" w:themeColor="accent1" w:themeShade="BF"/>
          <w:sz w:val="28"/>
          <w:szCs w:val="28"/>
        </w:rPr>
        <w:t>Future Steps</w:t>
      </w:r>
    </w:p>
    <w:p w:rsidR="00125D2A" w:rsidRPr="009409FA" w:rsidRDefault="00B56175" w:rsidP="00E57C92">
      <w:pPr>
        <w:spacing w:line="240" w:lineRule="auto"/>
        <w:ind w:left="-360" w:right="-180"/>
        <w:jc w:val="both"/>
        <w:rPr>
          <w:rFonts w:ascii="Calibri" w:hAnsi="Calibri" w:cs="Calibri"/>
          <w:color w:val="000000"/>
          <w:sz w:val="24"/>
          <w:szCs w:val="24"/>
        </w:rPr>
      </w:pPr>
      <w:r w:rsidRPr="009409FA">
        <w:rPr>
          <w:rFonts w:ascii="Calibri" w:hAnsi="Calibri" w:cs="Calibri"/>
          <w:color w:val="000000"/>
          <w:sz w:val="24"/>
          <w:szCs w:val="24"/>
        </w:rPr>
        <w:t xml:space="preserve">The Lugar Center will serve as the main reference laboratory for public health in Georgia and Provide subject matter expertise in a broad range of disciplines such as, but not limited to, pathogen research methods and technologies, clinical infectious diseases, clinical research methods, bio surveillance, biosecurity, biosafety, medical product development, grant writing training, facility operations, equipment and facility maintenance, and research marketing. </w:t>
      </w:r>
    </w:p>
    <w:tbl>
      <w:tblPr>
        <w:tblStyle w:val="TableGrid"/>
        <w:tblpPr w:leftFromText="180" w:rightFromText="180" w:vertAnchor="text" w:horzAnchor="margin" w:tblpXSpec="center" w:tblpY="831"/>
        <w:tblW w:w="10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7"/>
        <w:gridCol w:w="4831"/>
      </w:tblGrid>
      <w:tr w:rsidR="00E57C92" w:rsidRPr="004B4818" w:rsidTr="00E57C92">
        <w:trPr>
          <w:trHeight w:val="1802"/>
        </w:trPr>
        <w:tc>
          <w:tcPr>
            <w:tcW w:w="5507" w:type="dxa"/>
          </w:tcPr>
          <w:p w:rsidR="00E57C92" w:rsidRPr="004B4818" w:rsidRDefault="00E57C92" w:rsidP="00E57C92">
            <w:pPr>
              <w:spacing w:after="120"/>
              <w:contextualSpacing/>
              <w:jc w:val="center"/>
              <w:rPr>
                <w:rFonts w:cstheme="minorHAnsi"/>
                <w:color w:val="365F91" w:themeColor="accent1" w:themeShade="BF"/>
                <w:sz w:val="20"/>
                <w:szCs w:val="20"/>
              </w:rPr>
            </w:pPr>
            <w:r w:rsidRPr="004B4818">
              <w:rPr>
                <w:rFonts w:eastAsiaTheme="majorEastAsia" w:cstheme="minorHAnsi"/>
                <w:bCs/>
                <w:noProof/>
                <w:color w:val="365F91" w:themeColor="accent1" w:themeShade="BF"/>
                <w:sz w:val="20"/>
                <w:szCs w:val="20"/>
              </w:rPr>
              <w:drawing>
                <wp:anchor distT="0" distB="0" distL="114300" distR="114300" simplePos="0" relativeHeight="251668480" behindDoc="0" locked="0" layoutInCell="1" allowOverlap="1" wp14:anchorId="1F1492D8" wp14:editId="7352326C">
                  <wp:simplePos x="0" y="0"/>
                  <wp:positionH relativeFrom="column">
                    <wp:posOffset>1143635</wp:posOffset>
                  </wp:positionH>
                  <wp:positionV relativeFrom="paragraph">
                    <wp:posOffset>118745</wp:posOffset>
                  </wp:positionV>
                  <wp:extent cx="1133475" cy="448310"/>
                  <wp:effectExtent l="0" t="0" r="9525" b="8890"/>
                  <wp:wrapNone/>
                  <wp:docPr id="15" name="Picture 15"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448310"/>
                          </a:xfrm>
                          <a:prstGeom prst="rect">
                            <a:avLst/>
                          </a:prstGeom>
                          <a:noFill/>
                          <a:ln>
                            <a:noFill/>
                          </a:ln>
                        </pic:spPr>
                      </pic:pic>
                    </a:graphicData>
                  </a:graphic>
                </wp:anchor>
              </w:drawing>
            </w:r>
            <w:r w:rsidRPr="004B4818">
              <w:rPr>
                <w:rFonts w:cstheme="minorHAnsi"/>
                <w:color w:val="365F91" w:themeColor="accent1" w:themeShade="BF"/>
                <w:sz w:val="20"/>
                <w:szCs w:val="20"/>
              </w:rPr>
              <w:t xml:space="preserve">     </w:t>
            </w:r>
          </w:p>
          <w:p w:rsidR="00E57C92" w:rsidRPr="004B4818" w:rsidRDefault="00E57C92" w:rsidP="00E57C92">
            <w:pPr>
              <w:spacing w:after="120"/>
              <w:contextualSpacing/>
              <w:jc w:val="center"/>
              <w:rPr>
                <w:rFonts w:cstheme="minorHAnsi"/>
                <w:color w:val="365F91" w:themeColor="accent1" w:themeShade="BF"/>
                <w:sz w:val="20"/>
                <w:szCs w:val="20"/>
              </w:rPr>
            </w:pPr>
          </w:p>
          <w:p w:rsidR="00E57C92" w:rsidRPr="004B4818" w:rsidRDefault="00E57C92" w:rsidP="00E57C92">
            <w:pPr>
              <w:spacing w:after="120"/>
              <w:contextualSpacing/>
              <w:jc w:val="center"/>
              <w:rPr>
                <w:rFonts w:cstheme="minorHAnsi"/>
                <w:color w:val="365F91" w:themeColor="accent1" w:themeShade="BF"/>
                <w:sz w:val="20"/>
                <w:szCs w:val="20"/>
              </w:rPr>
            </w:pPr>
          </w:p>
          <w:p w:rsidR="00E57C92" w:rsidRPr="004B4818" w:rsidRDefault="00E57C92" w:rsidP="00E57C92">
            <w:pPr>
              <w:spacing w:after="120"/>
              <w:contextualSpacing/>
              <w:jc w:val="center"/>
              <w:rPr>
                <w:rFonts w:cstheme="minorHAnsi"/>
                <w:color w:val="365F91" w:themeColor="accent1" w:themeShade="BF"/>
                <w:sz w:val="20"/>
                <w:szCs w:val="20"/>
              </w:rPr>
            </w:pPr>
            <w:r w:rsidRPr="004B4818">
              <w:rPr>
                <w:rFonts w:cstheme="minorHAnsi"/>
                <w:color w:val="365F91" w:themeColor="accent1" w:themeShade="BF"/>
                <w:sz w:val="20"/>
                <w:szCs w:val="20"/>
              </w:rPr>
              <w:t xml:space="preserve">    </w:t>
            </w:r>
          </w:p>
          <w:p w:rsidR="00E57C92" w:rsidRPr="004B4818" w:rsidRDefault="00E57C92" w:rsidP="00E57C92">
            <w:pPr>
              <w:pStyle w:val="Heading2"/>
              <w:ind w:left="-392"/>
              <w:jc w:val="center"/>
              <w:outlineLvl w:val="1"/>
              <w:rPr>
                <w:rFonts w:asciiTheme="minorHAnsi" w:hAnsiTheme="minorHAnsi" w:cstheme="minorHAnsi"/>
                <w:b w:val="0"/>
                <w:bCs w:val="0"/>
                <w:i w:val="0"/>
                <w:color w:val="365F91" w:themeColor="accent1" w:themeShade="BF"/>
                <w:sz w:val="20"/>
                <w:szCs w:val="20"/>
              </w:rPr>
            </w:pPr>
            <w:r w:rsidRPr="004B4818">
              <w:rPr>
                <w:rFonts w:asciiTheme="minorHAnsi" w:hAnsiTheme="minorHAnsi" w:cstheme="minorHAnsi"/>
                <w:b w:val="0"/>
                <w:i w:val="0"/>
                <w:color w:val="365F91" w:themeColor="accent1" w:themeShade="BF"/>
                <w:sz w:val="20"/>
                <w:szCs w:val="20"/>
              </w:rPr>
              <w:t xml:space="preserve">Ministry of </w:t>
            </w:r>
            <w:proofErr w:type="spellStart"/>
            <w:r w:rsidRPr="004B4818">
              <w:rPr>
                <w:rFonts w:asciiTheme="minorHAnsi" w:hAnsiTheme="minorHAnsi" w:cstheme="minorHAnsi"/>
                <w:b w:val="0"/>
                <w:i w:val="0"/>
                <w:color w:val="365F91" w:themeColor="accent1" w:themeShade="BF"/>
                <w:sz w:val="20"/>
                <w:szCs w:val="20"/>
              </w:rPr>
              <w:t>Labour</w:t>
            </w:r>
            <w:proofErr w:type="spellEnd"/>
            <w:r w:rsidRPr="004B4818">
              <w:rPr>
                <w:rFonts w:asciiTheme="minorHAnsi" w:hAnsiTheme="minorHAnsi" w:cstheme="minorHAnsi"/>
                <w:b w:val="0"/>
                <w:i w:val="0"/>
                <w:color w:val="365F91" w:themeColor="accent1" w:themeShade="BF"/>
                <w:sz w:val="20"/>
                <w:szCs w:val="20"/>
              </w:rPr>
              <w:t>, Health and Social Affairs of Georgia</w:t>
            </w:r>
          </w:p>
          <w:p w:rsidR="00E57C92" w:rsidRPr="004B4818" w:rsidRDefault="00E57C92" w:rsidP="00E57C92">
            <w:pPr>
              <w:spacing w:after="120"/>
              <w:ind w:left="-392"/>
              <w:contextualSpacing/>
              <w:jc w:val="center"/>
              <w:rPr>
                <w:rFonts w:eastAsiaTheme="majorEastAsia" w:cstheme="minorHAnsi"/>
                <w:bCs/>
                <w:color w:val="365F91" w:themeColor="accent1" w:themeShade="BF"/>
                <w:sz w:val="20"/>
                <w:szCs w:val="20"/>
                <w:lang w:val="ka-GE"/>
              </w:rPr>
            </w:pPr>
            <w:r w:rsidRPr="004B4818">
              <w:rPr>
                <w:rFonts w:eastAsiaTheme="majorEastAsia" w:cstheme="minorHAnsi"/>
                <w:bCs/>
                <w:color w:val="365F91" w:themeColor="accent1" w:themeShade="BF"/>
                <w:sz w:val="20"/>
                <w:szCs w:val="20"/>
              </w:rPr>
              <w:t>144, A. Tsereteli avenue. Tbilisi, Georgia, 0119</w:t>
            </w:r>
          </w:p>
          <w:p w:rsidR="00E57C92" w:rsidRPr="004B4818" w:rsidRDefault="00E57C92" w:rsidP="00E57C92">
            <w:pPr>
              <w:spacing w:after="120"/>
              <w:ind w:left="-392"/>
              <w:contextualSpacing/>
              <w:jc w:val="center"/>
              <w:rPr>
                <w:rFonts w:cstheme="minorHAnsi"/>
                <w:color w:val="365F91" w:themeColor="accent1" w:themeShade="BF"/>
                <w:sz w:val="20"/>
                <w:szCs w:val="20"/>
              </w:rPr>
            </w:pPr>
            <w:r w:rsidRPr="004B4818">
              <w:rPr>
                <w:rFonts w:eastAsiaTheme="majorEastAsia" w:cstheme="minorHAnsi"/>
                <w:bCs/>
                <w:color w:val="365F91" w:themeColor="accent1" w:themeShade="BF"/>
                <w:sz w:val="20"/>
                <w:szCs w:val="20"/>
              </w:rPr>
              <w:t>www.moh.gov.ge</w:t>
            </w:r>
          </w:p>
        </w:tc>
        <w:tc>
          <w:tcPr>
            <w:tcW w:w="4831" w:type="dxa"/>
          </w:tcPr>
          <w:p w:rsidR="00E57C92" w:rsidRPr="004B4818" w:rsidRDefault="00E57C92" w:rsidP="00E57C92">
            <w:pPr>
              <w:spacing w:after="120"/>
              <w:contextualSpacing/>
              <w:jc w:val="center"/>
              <w:rPr>
                <w:rFonts w:eastAsiaTheme="majorEastAsia" w:cstheme="minorHAnsi"/>
                <w:bCs/>
                <w:color w:val="365F91" w:themeColor="accent1" w:themeShade="BF"/>
                <w:sz w:val="20"/>
                <w:szCs w:val="20"/>
              </w:rPr>
            </w:pPr>
            <w:r w:rsidRPr="004B4818">
              <w:rPr>
                <w:rFonts w:eastAsiaTheme="majorEastAsia" w:cstheme="minorHAnsi"/>
                <w:bCs/>
                <w:noProof/>
                <w:color w:val="365F91" w:themeColor="accent1" w:themeShade="BF"/>
                <w:sz w:val="20"/>
                <w:szCs w:val="20"/>
              </w:rPr>
              <w:drawing>
                <wp:anchor distT="0" distB="0" distL="114300" distR="114300" simplePos="0" relativeHeight="251667456" behindDoc="0" locked="0" layoutInCell="1" allowOverlap="1" wp14:anchorId="33653DCA" wp14:editId="4E003F3B">
                  <wp:simplePos x="0" y="0"/>
                  <wp:positionH relativeFrom="column">
                    <wp:posOffset>866140</wp:posOffset>
                  </wp:positionH>
                  <wp:positionV relativeFrom="paragraph">
                    <wp:posOffset>91440</wp:posOffset>
                  </wp:positionV>
                  <wp:extent cx="1457325" cy="46223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57325" cy="4622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7C92" w:rsidRPr="004B4818" w:rsidRDefault="00E57C92" w:rsidP="00E57C92">
            <w:pPr>
              <w:spacing w:after="120"/>
              <w:contextualSpacing/>
              <w:jc w:val="center"/>
              <w:rPr>
                <w:rFonts w:eastAsiaTheme="majorEastAsia" w:cstheme="minorHAnsi"/>
                <w:bCs/>
                <w:color w:val="365F91" w:themeColor="accent1" w:themeShade="BF"/>
                <w:sz w:val="20"/>
                <w:szCs w:val="20"/>
              </w:rPr>
            </w:pPr>
          </w:p>
          <w:p w:rsidR="00E57C92" w:rsidRPr="004B4818" w:rsidRDefault="00E57C92" w:rsidP="00E57C92">
            <w:pPr>
              <w:spacing w:after="120"/>
              <w:contextualSpacing/>
              <w:jc w:val="center"/>
              <w:rPr>
                <w:rFonts w:eastAsiaTheme="majorEastAsia" w:cstheme="minorHAnsi"/>
                <w:bCs/>
                <w:color w:val="365F91" w:themeColor="accent1" w:themeShade="BF"/>
                <w:sz w:val="20"/>
                <w:szCs w:val="20"/>
              </w:rPr>
            </w:pPr>
          </w:p>
          <w:p w:rsidR="00E57C92" w:rsidRPr="004B4818" w:rsidRDefault="00E57C92" w:rsidP="00E57C92">
            <w:pPr>
              <w:spacing w:after="120"/>
              <w:contextualSpacing/>
              <w:jc w:val="center"/>
              <w:rPr>
                <w:rFonts w:eastAsiaTheme="majorEastAsia" w:cstheme="minorHAnsi"/>
                <w:bCs/>
                <w:color w:val="365F91" w:themeColor="accent1" w:themeShade="BF"/>
                <w:sz w:val="20"/>
                <w:szCs w:val="20"/>
              </w:rPr>
            </w:pPr>
            <w:r w:rsidRPr="004B4818">
              <w:rPr>
                <w:rFonts w:eastAsiaTheme="majorEastAsia" w:cstheme="minorHAnsi"/>
                <w:bCs/>
                <w:color w:val="365F91" w:themeColor="accent1" w:themeShade="BF"/>
                <w:sz w:val="20"/>
                <w:szCs w:val="20"/>
              </w:rPr>
              <w:t xml:space="preserve"> </w:t>
            </w:r>
          </w:p>
          <w:p w:rsidR="00E57C92" w:rsidRPr="004B4818" w:rsidRDefault="00E57C92" w:rsidP="00E57C92">
            <w:pPr>
              <w:pStyle w:val="Heading2"/>
              <w:outlineLvl w:val="1"/>
              <w:rPr>
                <w:rFonts w:asciiTheme="minorHAnsi" w:hAnsiTheme="minorHAnsi" w:cstheme="minorHAnsi"/>
                <w:b w:val="0"/>
                <w:bCs w:val="0"/>
                <w:i w:val="0"/>
                <w:color w:val="365F91" w:themeColor="accent1" w:themeShade="BF"/>
                <w:sz w:val="20"/>
                <w:szCs w:val="20"/>
              </w:rPr>
            </w:pPr>
            <w:r w:rsidRPr="004B4818">
              <w:rPr>
                <w:rFonts w:asciiTheme="minorHAnsi" w:hAnsiTheme="minorHAnsi" w:cstheme="minorHAnsi"/>
                <w:b w:val="0"/>
                <w:i w:val="0"/>
                <w:color w:val="365F91" w:themeColor="accent1" w:themeShade="BF"/>
                <w:sz w:val="20"/>
                <w:szCs w:val="20"/>
              </w:rPr>
              <w:t>National Center for Disease Control and Public Health</w:t>
            </w:r>
          </w:p>
          <w:p w:rsidR="00E57C92" w:rsidRPr="004B4818" w:rsidRDefault="00E57C92" w:rsidP="00E57C92">
            <w:pPr>
              <w:pStyle w:val="Heading2"/>
              <w:jc w:val="center"/>
              <w:outlineLvl w:val="1"/>
              <w:rPr>
                <w:rFonts w:asciiTheme="minorHAnsi" w:hAnsiTheme="minorHAnsi" w:cstheme="minorHAnsi"/>
                <w:b w:val="0"/>
                <w:bCs w:val="0"/>
                <w:i w:val="0"/>
                <w:color w:val="365F91" w:themeColor="accent1" w:themeShade="BF"/>
                <w:sz w:val="20"/>
                <w:szCs w:val="20"/>
                <w:lang w:val="ka-GE"/>
              </w:rPr>
            </w:pPr>
            <w:r w:rsidRPr="004B4818">
              <w:rPr>
                <w:rFonts w:asciiTheme="minorHAnsi" w:hAnsiTheme="minorHAnsi" w:cstheme="minorHAnsi"/>
                <w:b w:val="0"/>
                <w:i w:val="0"/>
                <w:color w:val="365F91" w:themeColor="accent1" w:themeShade="BF"/>
                <w:sz w:val="20"/>
                <w:szCs w:val="20"/>
              </w:rPr>
              <w:t xml:space="preserve">9, M. </w:t>
            </w:r>
            <w:proofErr w:type="spellStart"/>
            <w:r w:rsidRPr="004B4818">
              <w:rPr>
                <w:rFonts w:asciiTheme="minorHAnsi" w:hAnsiTheme="minorHAnsi" w:cstheme="minorHAnsi"/>
                <w:b w:val="0"/>
                <w:i w:val="0"/>
                <w:color w:val="365F91" w:themeColor="accent1" w:themeShade="BF"/>
                <w:sz w:val="20"/>
                <w:szCs w:val="20"/>
              </w:rPr>
              <w:t>Asatiani</w:t>
            </w:r>
            <w:proofErr w:type="spellEnd"/>
            <w:r w:rsidRPr="004B4818">
              <w:rPr>
                <w:rFonts w:asciiTheme="minorHAnsi" w:hAnsiTheme="minorHAnsi" w:cstheme="minorHAnsi"/>
                <w:b w:val="0"/>
                <w:i w:val="0"/>
                <w:color w:val="365F91" w:themeColor="accent1" w:themeShade="BF"/>
                <w:sz w:val="20"/>
                <w:szCs w:val="20"/>
              </w:rPr>
              <w:t xml:space="preserve"> </w:t>
            </w:r>
            <w:proofErr w:type="gramStart"/>
            <w:r w:rsidRPr="004B4818">
              <w:rPr>
                <w:rFonts w:asciiTheme="minorHAnsi" w:hAnsiTheme="minorHAnsi" w:cstheme="minorHAnsi"/>
                <w:b w:val="0"/>
                <w:i w:val="0"/>
                <w:color w:val="365F91" w:themeColor="accent1" w:themeShade="BF"/>
                <w:sz w:val="20"/>
                <w:szCs w:val="20"/>
              </w:rPr>
              <w:t>street</w:t>
            </w:r>
            <w:proofErr w:type="gramEnd"/>
            <w:r w:rsidRPr="004B4818">
              <w:rPr>
                <w:rFonts w:asciiTheme="minorHAnsi" w:hAnsiTheme="minorHAnsi" w:cstheme="minorHAnsi"/>
                <w:b w:val="0"/>
                <w:i w:val="0"/>
                <w:color w:val="365F91" w:themeColor="accent1" w:themeShade="BF"/>
                <w:sz w:val="20"/>
                <w:szCs w:val="20"/>
                <w:lang w:val="ka-GE"/>
              </w:rPr>
              <w:t>.</w:t>
            </w:r>
            <w:r w:rsidRPr="004B4818">
              <w:rPr>
                <w:rFonts w:asciiTheme="minorHAnsi" w:hAnsiTheme="minorHAnsi" w:cstheme="minorHAnsi"/>
                <w:b w:val="0"/>
                <w:i w:val="0"/>
                <w:color w:val="365F91" w:themeColor="accent1" w:themeShade="BF"/>
                <w:sz w:val="20"/>
                <w:szCs w:val="20"/>
              </w:rPr>
              <w:t xml:space="preserve"> Tbilisi, Georgia,</w:t>
            </w:r>
            <w:r w:rsidRPr="004B4818">
              <w:rPr>
                <w:rFonts w:asciiTheme="minorHAnsi" w:hAnsiTheme="minorHAnsi" w:cstheme="minorHAnsi"/>
                <w:b w:val="0"/>
                <w:i w:val="0"/>
                <w:color w:val="365F91" w:themeColor="accent1" w:themeShade="BF"/>
                <w:sz w:val="20"/>
                <w:szCs w:val="20"/>
                <w:lang w:val="ka-GE"/>
              </w:rPr>
              <w:t xml:space="preserve"> 0177</w:t>
            </w:r>
          </w:p>
          <w:p w:rsidR="00E57C92" w:rsidRPr="004B4818" w:rsidRDefault="00E57C92" w:rsidP="00E57C92">
            <w:pPr>
              <w:spacing w:after="120"/>
              <w:contextualSpacing/>
              <w:jc w:val="center"/>
              <w:rPr>
                <w:rFonts w:cstheme="minorHAnsi"/>
                <w:color w:val="365F91" w:themeColor="accent1" w:themeShade="BF"/>
                <w:sz w:val="20"/>
                <w:szCs w:val="20"/>
              </w:rPr>
            </w:pPr>
            <w:r w:rsidRPr="004B4818">
              <w:rPr>
                <w:rFonts w:cstheme="minorHAnsi"/>
                <w:color w:val="365F91" w:themeColor="accent1" w:themeShade="BF"/>
                <w:sz w:val="20"/>
                <w:szCs w:val="20"/>
              </w:rPr>
              <w:t>www.ncdc.ge</w:t>
            </w:r>
          </w:p>
        </w:tc>
      </w:tr>
    </w:tbl>
    <w:p w:rsidR="00E57C92" w:rsidRPr="00FE3057" w:rsidRDefault="00DB2DD2" w:rsidP="00E57C92">
      <w:pPr>
        <w:spacing w:after="120" w:line="240" w:lineRule="auto"/>
        <w:ind w:left="-360" w:right="-270"/>
        <w:jc w:val="both"/>
        <w:rPr>
          <w:color w:val="365F91" w:themeColor="accent1" w:themeShade="BF"/>
        </w:rPr>
      </w:pPr>
      <w:r w:rsidRPr="00763174">
        <w:rPr>
          <w:rFonts w:ascii="Calibri" w:hAnsi="Calibri" w:cs="Calibri"/>
          <w:color w:val="548DD4" w:themeColor="text2" w:themeTint="99"/>
          <w:sz w:val="24"/>
          <w:szCs w:val="24"/>
        </w:rPr>
        <w:t xml:space="preserve">                              </w:t>
      </w:r>
      <w:r>
        <w:rPr>
          <w:rFonts w:ascii="Calibri" w:hAnsi="Calibri" w:cs="Calibri"/>
          <w:color w:val="548DD4" w:themeColor="text2" w:themeTint="99"/>
          <w:sz w:val="24"/>
          <w:szCs w:val="24"/>
        </w:rPr>
        <w:t xml:space="preserve">  </w:t>
      </w:r>
      <w:r w:rsidR="00E57C92" w:rsidRPr="00FE3057">
        <w:rPr>
          <w:color w:val="365F91" w:themeColor="accent1" w:themeShade="BF"/>
        </w:rPr>
        <w:t>_________________________________________________________</w:t>
      </w:r>
      <w:r w:rsidR="00E57C92">
        <w:rPr>
          <w:color w:val="365F91" w:themeColor="accent1" w:themeShade="BF"/>
        </w:rPr>
        <w:t>__________________________________</w:t>
      </w:r>
    </w:p>
    <w:sectPr w:rsidR="00E57C92" w:rsidRPr="00FE3057" w:rsidSect="00DB2DD2">
      <w:type w:val="continuous"/>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7DEE"/>
    <w:multiLevelType w:val="hybridMultilevel"/>
    <w:tmpl w:val="DF80C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E698A"/>
    <w:multiLevelType w:val="hybridMultilevel"/>
    <w:tmpl w:val="2FC02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96E55"/>
    <w:multiLevelType w:val="hybridMultilevel"/>
    <w:tmpl w:val="1122B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1A06599"/>
    <w:multiLevelType w:val="hybridMultilevel"/>
    <w:tmpl w:val="AF12D3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D0752A"/>
    <w:multiLevelType w:val="hybridMultilevel"/>
    <w:tmpl w:val="311C64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8B2F57"/>
    <w:multiLevelType w:val="hybridMultilevel"/>
    <w:tmpl w:val="B71A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C62B81"/>
    <w:multiLevelType w:val="hybridMultilevel"/>
    <w:tmpl w:val="73AAD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FCB0861"/>
    <w:multiLevelType w:val="hybridMultilevel"/>
    <w:tmpl w:val="33104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E82"/>
    <w:rsid w:val="00087BCF"/>
    <w:rsid w:val="000A4AB8"/>
    <w:rsid w:val="00104D13"/>
    <w:rsid w:val="00125D2A"/>
    <w:rsid w:val="0016352F"/>
    <w:rsid w:val="0018660D"/>
    <w:rsid w:val="002C5003"/>
    <w:rsid w:val="00382140"/>
    <w:rsid w:val="00382E6D"/>
    <w:rsid w:val="003A5220"/>
    <w:rsid w:val="003F2341"/>
    <w:rsid w:val="0042482A"/>
    <w:rsid w:val="0044529F"/>
    <w:rsid w:val="00464F69"/>
    <w:rsid w:val="004B0C56"/>
    <w:rsid w:val="0055128C"/>
    <w:rsid w:val="00606529"/>
    <w:rsid w:val="007458DB"/>
    <w:rsid w:val="007C0405"/>
    <w:rsid w:val="00820F39"/>
    <w:rsid w:val="008517E4"/>
    <w:rsid w:val="00873338"/>
    <w:rsid w:val="009409FA"/>
    <w:rsid w:val="009A2475"/>
    <w:rsid w:val="009E570A"/>
    <w:rsid w:val="00A05657"/>
    <w:rsid w:val="00B126DC"/>
    <w:rsid w:val="00B56175"/>
    <w:rsid w:val="00B8062F"/>
    <w:rsid w:val="00C57E82"/>
    <w:rsid w:val="00CB58E7"/>
    <w:rsid w:val="00D326AF"/>
    <w:rsid w:val="00DB2DD2"/>
    <w:rsid w:val="00E21586"/>
    <w:rsid w:val="00E57C92"/>
    <w:rsid w:val="00E84ABC"/>
    <w:rsid w:val="00F14E4F"/>
    <w:rsid w:val="00F329E8"/>
    <w:rsid w:val="00F40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D00250-63CA-4CDF-9CAA-3CD791FD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55128C"/>
    <w:pPr>
      <w:widowControl w:val="0"/>
      <w:spacing w:after="0" w:line="240" w:lineRule="auto"/>
      <w:ind w:left="100"/>
      <w:outlineLvl w:val="1"/>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D2A"/>
    <w:pPr>
      <w:ind w:left="720"/>
      <w:contextualSpacing/>
    </w:pPr>
  </w:style>
  <w:style w:type="paragraph" w:styleId="BalloonText">
    <w:name w:val="Balloon Text"/>
    <w:basedOn w:val="Normal"/>
    <w:link w:val="BalloonTextChar"/>
    <w:uiPriority w:val="99"/>
    <w:semiHidden/>
    <w:unhideWhenUsed/>
    <w:rsid w:val="004B0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C56"/>
    <w:rPr>
      <w:rFonts w:ascii="Tahoma" w:hAnsi="Tahoma" w:cs="Tahoma"/>
      <w:sz w:val="16"/>
      <w:szCs w:val="16"/>
    </w:rPr>
  </w:style>
  <w:style w:type="character" w:customStyle="1" w:styleId="Heading2Char">
    <w:name w:val="Heading 2 Char"/>
    <w:basedOn w:val="DefaultParagraphFont"/>
    <w:link w:val="Heading2"/>
    <w:uiPriority w:val="1"/>
    <w:rsid w:val="0055128C"/>
    <w:rPr>
      <w:rFonts w:ascii="Times New Roman" w:eastAsia="Times New Roman" w:hAnsi="Times New Roman"/>
      <w:b/>
      <w:bCs/>
      <w:i/>
      <w:sz w:val="24"/>
      <w:szCs w:val="24"/>
    </w:rPr>
  </w:style>
  <w:style w:type="table" w:styleId="TableGrid">
    <w:name w:val="Table Grid"/>
    <w:basedOn w:val="TableNormal"/>
    <w:uiPriority w:val="59"/>
    <w:rsid w:val="00DB2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CH2M HILL</Company>
  <LinksUpToDate>false</LinksUpToDate>
  <CharactersWithSpaces>7221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Nino Berishvili</dc:creator>
  <cp:lastModifiedBy>Nana Kavtaradze</cp:lastModifiedBy>
  <cp:revision>4</cp:revision>
  <dcterms:created xsi:type="dcterms:W3CDTF">2017-11-23T15:46:00Z</dcterms:created>
  <dcterms:modified xsi:type="dcterms:W3CDTF">2017-11-23T15:58:00Z</dcterms:modified>
</cp:coreProperties>
</file>