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C33" w:rsidRDefault="00AD6C33" w:rsidP="00E43AE1">
      <w:pPr>
        <w:spacing w:after="120"/>
        <w:jc w:val="both"/>
        <w:rPr>
          <w:rFonts w:ascii="Sylfaen" w:eastAsia="Times New Roman" w:hAnsi="Sylfaen"/>
          <w:b/>
          <w:color w:val="000000"/>
          <w:sz w:val="24"/>
          <w:szCs w:val="24"/>
        </w:rPr>
      </w:pPr>
      <w:r w:rsidRPr="00BF7DC2">
        <w:rPr>
          <w:rFonts w:ascii="Sylfaen" w:eastAsia="Times New Roman" w:hAnsi="Sylfaen"/>
          <w:b/>
          <w:color w:val="000000"/>
          <w:sz w:val="24"/>
          <w:szCs w:val="24"/>
        </w:rPr>
        <w:t xml:space="preserve">US-Georgia collaboration in the field of health </w:t>
      </w:r>
    </w:p>
    <w:p w:rsidR="00E43AE1" w:rsidRPr="000B08FB" w:rsidRDefault="00E43AE1" w:rsidP="000B08FB">
      <w:pPr>
        <w:jc w:val="both"/>
      </w:pPr>
      <w:r w:rsidRPr="000B08FB">
        <w:t>US-Georgian collaboration in development of Public Health and Biomedical &amp; applied and fundamental live sciences is the most noteworthy in these relations that had started since the early 90’s.  The US support through huge intellectual and technical assistance gave a path forward to Georgian professionals and scientists to share the international experience. Hundreds of projects contributing to sustainability of public health system and bio-science development in the country have been implemented under the assistance of US Governmental agencies, leading American Universities and private sector.</w:t>
      </w:r>
    </w:p>
    <w:p w:rsidR="00AD6C33" w:rsidRPr="000B08FB" w:rsidRDefault="00AD6C33" w:rsidP="000B08FB">
      <w:pPr>
        <w:jc w:val="both"/>
      </w:pPr>
      <w:r w:rsidRPr="000B08FB">
        <w:t xml:space="preserve">The crowning achievement of the US-Georgian collaboration is the largest investment through Nunn-Lugar Cooperative Threat Reduction Program in establishment of Unified Laboratory Surveillance System in Georgia under the “One Health” concept - represented by 22 human and animal surveillance labs throughout the country under the Ministries of </w:t>
      </w:r>
      <w:proofErr w:type="spellStart"/>
      <w:r w:rsidRPr="000B08FB">
        <w:t>Labour</w:t>
      </w:r>
      <w:proofErr w:type="spellEnd"/>
      <w:r w:rsidRPr="000B08FB">
        <w:t xml:space="preserve">, Health and Social Affairs and Agriculture, and of course, the Richard Lugar Center for Public Health Research - a state-of- the art biosafety level 3 research facility. </w:t>
      </w:r>
    </w:p>
    <w:p w:rsidR="00AD6C33" w:rsidRPr="000B08FB" w:rsidRDefault="00AD6C33" w:rsidP="000B08FB">
      <w:pPr>
        <w:jc w:val="both"/>
      </w:pPr>
      <w:r w:rsidRPr="000B08FB">
        <w:t xml:space="preserve">Since 2013 after the integration into the National Center for Disease Control and Public Health (NCDC) the NCDC/Lugar Center has been making a progress in light of epidemiological and laboratory capacity; in development of fundamental and biomedical science having already a number of remarkable achievements; is becoming a regional hub for BS&amp;S trainings; is a regional key-player in trans-boundary collaboration; due to its capacity Georgia is announced as a leader country in a real-time bio-surveillance and a supporter of lab and zoonotic infections surveillance action packages within the Global Health Security Agenda. </w:t>
      </w:r>
    </w:p>
    <w:p w:rsidR="00E43AE1" w:rsidRDefault="00E43AE1" w:rsidP="00417E0D">
      <w:pPr>
        <w:rPr>
          <w:rFonts w:cstheme="minorHAnsi"/>
          <w:b/>
          <w:sz w:val="24"/>
          <w:szCs w:val="24"/>
        </w:rPr>
      </w:pPr>
    </w:p>
    <w:p w:rsidR="00417E0D" w:rsidRPr="00207DB4" w:rsidRDefault="00417E0D" w:rsidP="00417E0D">
      <w:pPr>
        <w:pStyle w:val="ListParagraph"/>
        <w:numPr>
          <w:ilvl w:val="0"/>
          <w:numId w:val="1"/>
        </w:numPr>
        <w:ind w:left="360"/>
        <w:rPr>
          <w:rFonts w:asciiTheme="minorHAnsi" w:hAnsiTheme="minorHAnsi" w:cstheme="minorHAnsi"/>
          <w:sz w:val="24"/>
          <w:szCs w:val="24"/>
          <w:highlight w:val="yellow"/>
        </w:rPr>
      </w:pPr>
      <w:r w:rsidRPr="00207DB4">
        <w:rPr>
          <w:rFonts w:asciiTheme="minorHAnsi" w:hAnsiTheme="minorHAnsi" w:cstheme="minorHAnsi"/>
          <w:b/>
          <w:sz w:val="24"/>
          <w:szCs w:val="24"/>
          <w:highlight w:val="yellow"/>
        </w:rPr>
        <w:t>Hepatitis C and Tuberculosis Programs (U.S. lead</w:t>
      </w:r>
      <w:r w:rsidRPr="00207DB4">
        <w:rPr>
          <w:rFonts w:asciiTheme="minorHAnsi" w:hAnsiTheme="minorHAnsi" w:cstheme="minorHAnsi"/>
          <w:sz w:val="24"/>
          <w:szCs w:val="24"/>
          <w:highlight w:val="yellow"/>
        </w:rPr>
        <w:t>)</w:t>
      </w:r>
    </w:p>
    <w:p w:rsidR="00417E0D" w:rsidRPr="00A33D59" w:rsidRDefault="00417E0D" w:rsidP="00417E0D">
      <w:pPr>
        <w:rPr>
          <w:rFonts w:cstheme="minorHAnsi"/>
          <w:b/>
          <w:sz w:val="24"/>
          <w:szCs w:val="24"/>
          <w:lang w:val="en-GB"/>
        </w:rPr>
      </w:pPr>
    </w:p>
    <w:p w:rsidR="00AD6C33" w:rsidRPr="00A33D59" w:rsidRDefault="00AD6C33" w:rsidP="000B08FB">
      <w:pPr>
        <w:jc w:val="both"/>
        <w:rPr>
          <w:b/>
        </w:rPr>
      </w:pPr>
      <w:r w:rsidRPr="00A33D59">
        <w:rPr>
          <w:b/>
        </w:rPr>
        <w:t>Hep C</w:t>
      </w:r>
    </w:p>
    <w:p w:rsidR="000B08FB" w:rsidRDefault="000B08FB" w:rsidP="00AD6C33">
      <w:pPr>
        <w:jc w:val="both"/>
        <w:rPr>
          <w:rFonts w:eastAsiaTheme="minorEastAsia" w:cstheme="minorHAnsi"/>
          <w:color w:val="000000" w:themeColor="text1"/>
          <w:kern w:val="24"/>
          <w:lang w:val="en-GB" w:eastAsia="ka-GE"/>
        </w:rPr>
      </w:pPr>
      <w:r w:rsidRPr="000B08FB">
        <w:t xml:space="preserve">Georgia has a high prevalence of </w:t>
      </w:r>
      <w:proofErr w:type="spellStart"/>
      <w:r w:rsidRPr="000B08FB">
        <w:t>HepC</w:t>
      </w:r>
      <w:proofErr w:type="spellEnd"/>
      <w:r w:rsidRPr="000B08FB">
        <w:t xml:space="preserve"> infection.  National population-based </w:t>
      </w:r>
      <w:proofErr w:type="spellStart"/>
      <w:r w:rsidRPr="000B08FB">
        <w:t>sero</w:t>
      </w:r>
      <w:proofErr w:type="spellEnd"/>
      <w:r w:rsidRPr="000B08FB">
        <w:t xml:space="preserve">-survey conducted in 2015, by the NCDC and US </w:t>
      </w:r>
      <w:proofErr w:type="spellStart"/>
      <w:r w:rsidRPr="000B08FB">
        <w:t>Cenfers</w:t>
      </w:r>
      <w:proofErr w:type="spellEnd"/>
      <w:r w:rsidRPr="000B08FB">
        <w:t xml:space="preserve"> for Diseases Control revealed </w:t>
      </w:r>
      <w:proofErr w:type="gramStart"/>
      <w:r w:rsidRPr="000B08FB">
        <w:t>that  7.7</w:t>
      </w:r>
      <w:proofErr w:type="gramEnd"/>
      <w:r w:rsidRPr="000B08FB">
        <w:t xml:space="preserve">% of the adult population were living with </w:t>
      </w:r>
      <w:proofErr w:type="spellStart"/>
      <w:r w:rsidRPr="000B08FB">
        <w:t>HepC</w:t>
      </w:r>
      <w:proofErr w:type="spellEnd"/>
      <w:r w:rsidRPr="000B08FB">
        <w:t xml:space="preserve">, chronic HCV infection (i.e. RNA positive) was found 5.4%. </w:t>
      </w:r>
      <w:proofErr w:type="gramStart"/>
      <w:r w:rsidRPr="000B08FB">
        <w:t>by</w:t>
      </w:r>
      <w:proofErr w:type="gramEnd"/>
      <w:r w:rsidRPr="000B08FB">
        <w:t xml:space="preserve"> 2017 ~30% of the estimated population living with </w:t>
      </w:r>
      <w:proofErr w:type="spellStart"/>
      <w:r w:rsidRPr="000B08FB">
        <w:t>HepC</w:t>
      </w:r>
      <w:proofErr w:type="spellEnd"/>
      <w:r w:rsidRPr="000B08FB">
        <w:t xml:space="preserve"> in Georgia had received treatment. </w:t>
      </w:r>
    </w:p>
    <w:p w:rsidR="00E55665" w:rsidRDefault="00E55665" w:rsidP="00AD6C33">
      <w:pPr>
        <w:jc w:val="both"/>
        <w:rPr>
          <w:rFonts w:ascii="Sylfaen" w:hAnsi="Sylfaen"/>
          <w:lang w:val="ka-GE"/>
        </w:rPr>
      </w:pPr>
      <w:r w:rsidRPr="008D66B7">
        <w:t>In 2015, Hepatitis C elimination program has launched, with greatest efforts of the Government of Georgia, the US Center for Disease Control and the World Health Organization and with support of the pharmaceutical company "Gilead". The Hepatitis C Elimination Program includes prevention of the disease, diagnostics, financial access to medications (</w:t>
      </w:r>
      <w:proofErr w:type="spellStart"/>
      <w:r w:rsidRPr="008D66B7">
        <w:t>Harvoni</w:t>
      </w:r>
      <w:proofErr w:type="spellEnd"/>
      <w:r w:rsidRPr="008D66B7">
        <w:t xml:space="preserve">, </w:t>
      </w:r>
      <w:proofErr w:type="spellStart"/>
      <w:r w:rsidRPr="008D66B7">
        <w:t>Sofosbuvir</w:t>
      </w:r>
      <w:proofErr w:type="spellEnd"/>
      <w:r w:rsidRPr="008D66B7">
        <w:t xml:space="preserve">, </w:t>
      </w:r>
      <w:proofErr w:type="spellStart"/>
      <w:r w:rsidRPr="008D66B7">
        <w:t>Interpheron</w:t>
      </w:r>
      <w:proofErr w:type="spellEnd"/>
      <w:r w:rsidRPr="008D66B7">
        <w:t xml:space="preserve"> and Ribavirin) and monitoring of results. Georgia will become one of the first countries in the world to solve the problem of Hepatitis C.</w:t>
      </w:r>
      <w:r>
        <w:rPr>
          <w:rFonts w:ascii="Sylfaen" w:hAnsi="Sylfaen"/>
          <w:lang w:val="ka-GE"/>
        </w:rPr>
        <w:t xml:space="preserve"> </w:t>
      </w:r>
      <w:r w:rsidR="00AD6C33" w:rsidRPr="008D66B7">
        <w:t>Georgia will become one of the first countries in the world to solve the problem of Hepatitis C.</w:t>
      </w:r>
      <w:r w:rsidR="00AD6C33">
        <w:t xml:space="preserve"> </w:t>
      </w:r>
    </w:p>
    <w:p w:rsidR="00F2736B" w:rsidRDefault="00E55665" w:rsidP="000B08FB">
      <w:pPr>
        <w:jc w:val="both"/>
      </w:pPr>
      <w:r w:rsidRPr="000B08FB">
        <w:t>Long-term elimination strategy for 2016-2020 was approved by the Georgian government in 2016</w:t>
      </w:r>
      <w:r w:rsidR="00F2736B">
        <w:t>,</w:t>
      </w:r>
      <w:r w:rsidRPr="000B08FB">
        <w:t xml:space="preserve"> </w:t>
      </w:r>
      <w:r w:rsidR="00F2736B" w:rsidRPr="00F2736B">
        <w:t>which aims to achieve a 90% reduction in prevalence by 2020</w:t>
      </w:r>
      <w:r w:rsidR="00F2736B">
        <w:t xml:space="preserve">. </w:t>
      </w:r>
    </w:p>
    <w:p w:rsidR="00AD6C33" w:rsidRDefault="00AD6C33" w:rsidP="000B08FB">
      <w:pPr>
        <w:jc w:val="both"/>
      </w:pPr>
      <w:r w:rsidRPr="000B08FB">
        <w:t>In order to achieve the Elimination Strategy goals the Georgian government has significantly scaled up the screening activities. Since 2015 more than 1</w:t>
      </w:r>
      <w:proofErr w:type="gramStart"/>
      <w:r w:rsidRPr="000B08FB">
        <w:t>,2</w:t>
      </w:r>
      <w:proofErr w:type="gramEnd"/>
      <w:r w:rsidRPr="000B08FB">
        <w:t xml:space="preserve"> million people have been screened for HCV through different </w:t>
      </w:r>
      <w:r w:rsidRPr="000B08FB">
        <w:lastRenderedPageBreak/>
        <w:t xml:space="preserve">programs. As of December, 2017 -  up to 44 100 HCV patients were registered in the treatment program, out of them more then 37 000 patients already completed the treatment, and among those with SVR result available, overall cure rate has reached 95%, whereas for </w:t>
      </w:r>
      <w:proofErr w:type="spellStart"/>
      <w:r w:rsidRPr="000B08FB">
        <w:t>Sofosbuvir</w:t>
      </w:r>
      <w:proofErr w:type="spellEnd"/>
      <w:r w:rsidRPr="000B08FB">
        <w:t>/</w:t>
      </w:r>
      <w:proofErr w:type="spellStart"/>
      <w:r w:rsidRPr="000B08FB">
        <w:t>Ledipasvir</w:t>
      </w:r>
      <w:proofErr w:type="spellEnd"/>
      <w:r w:rsidRPr="000B08FB">
        <w:t>-based regimens the cure rate was 98%.</w:t>
      </w:r>
    </w:p>
    <w:p w:rsidR="00FD3616" w:rsidRDefault="00FD3616" w:rsidP="00FD3616">
      <w:pPr>
        <w:jc w:val="both"/>
      </w:pPr>
      <w:r>
        <w:t xml:space="preserve">In 2017, </w:t>
      </w:r>
      <w:proofErr w:type="gramStart"/>
      <w:r>
        <w:t>has</w:t>
      </w:r>
      <w:proofErr w:type="gramEnd"/>
      <w:r>
        <w:t xml:space="preserve"> started </w:t>
      </w:r>
      <w:r>
        <w:t xml:space="preserve">Integrated HCV, HIV and TB Screening at the Primary Health Care setting in </w:t>
      </w:r>
      <w:proofErr w:type="spellStart"/>
      <w:r>
        <w:t>Samegrel</w:t>
      </w:r>
      <w:r>
        <w:t>o-Zemo</w:t>
      </w:r>
      <w:proofErr w:type="spellEnd"/>
      <w:r>
        <w:t xml:space="preserve"> </w:t>
      </w:r>
      <w:proofErr w:type="spellStart"/>
      <w:r>
        <w:t>Svaneti</w:t>
      </w:r>
      <w:proofErr w:type="spellEnd"/>
      <w:r>
        <w:t xml:space="preserve"> region.  </w:t>
      </w:r>
      <w:r>
        <w:t>The Goal is to improve case detection for all three diseases under the one umbrella at the primary care level in the region through decentralization of the screening, development of effective referral systems, raising awareness in local population and engagement of the local government and the private sector. </w:t>
      </w:r>
    </w:p>
    <w:p w:rsidR="00AD6C33" w:rsidRDefault="00AD6C33" w:rsidP="00AD6C33">
      <w:pPr>
        <w:pStyle w:val="ListParagraph"/>
        <w:ind w:left="0"/>
        <w:jc w:val="both"/>
        <w:rPr>
          <w:rFonts w:cstheme="minorHAnsi"/>
          <w:color w:val="000000" w:themeColor="text1"/>
          <w:kern w:val="24"/>
          <w:lang w:val="en-GB" w:eastAsia="ka-GE"/>
        </w:rPr>
      </w:pPr>
    </w:p>
    <w:p w:rsidR="00AD6C33" w:rsidRPr="004462A9" w:rsidRDefault="00AD6C33" w:rsidP="00AD6C33">
      <w:pPr>
        <w:pStyle w:val="ListParagraph"/>
        <w:ind w:left="0"/>
        <w:jc w:val="both"/>
        <w:rPr>
          <w:rFonts w:cstheme="minorHAnsi"/>
          <w:b/>
          <w:color w:val="000000" w:themeColor="text1"/>
          <w:kern w:val="24"/>
          <w:lang w:val="en-GB" w:eastAsia="ka-GE"/>
        </w:rPr>
      </w:pPr>
      <w:r w:rsidRPr="004462A9">
        <w:rPr>
          <w:rFonts w:cstheme="minorHAnsi"/>
          <w:b/>
          <w:color w:val="000000" w:themeColor="text1"/>
          <w:kern w:val="24"/>
          <w:lang w:val="en-GB" w:eastAsia="ka-GE"/>
        </w:rPr>
        <w:t xml:space="preserve">TB </w:t>
      </w:r>
    </w:p>
    <w:p w:rsidR="00F2736B" w:rsidRDefault="00F2736B" w:rsidP="00BD033C">
      <w:pPr>
        <w:jc w:val="both"/>
        <w:rPr>
          <w:rFonts w:cstheme="minorHAnsi"/>
          <w:color w:val="000000" w:themeColor="text1"/>
          <w:kern w:val="24"/>
          <w:lang w:val="en-GB" w:eastAsia="ka-GE"/>
        </w:rPr>
      </w:pPr>
      <w:r w:rsidRPr="00F2736B">
        <w:t xml:space="preserve">According to the Global TB Report 2016 Georgia stays among the countries with the highest incidence of TB in the WHO European Region, despite the marked decreasing trend in notified TB cases over the past 6 years, from 137 cases per 100,000 </w:t>
      </w:r>
      <w:proofErr w:type="gramStart"/>
      <w:r w:rsidRPr="00F2736B">
        <w:t>population</w:t>
      </w:r>
      <w:proofErr w:type="gramEnd"/>
      <w:r w:rsidRPr="00F2736B">
        <w:t xml:space="preserve"> registered in 2009 to </w:t>
      </w:r>
      <w:r>
        <w:t>88</w:t>
      </w:r>
      <w:r w:rsidRPr="00F2736B">
        <w:t xml:space="preserve"> – in 201</w:t>
      </w:r>
      <w:r>
        <w:t>6.</w:t>
      </w:r>
      <w:r w:rsidRPr="00F2736B">
        <w:t xml:space="preserve"> The high burden of anti-TB drug resistance is a key challenge for the national TB program and the main obstacle for effective TB control in the country. The latest data (2015) show MDR prevalence of 12% and 39% in new and previously treated cases respectively. With support of the international donors Georgia ensured universal access to high-tech TB diagnosis and treatment, including new and repurposed drugs. The universal health care program launched in 2013 opened up new opportunities for developing an integrated model for TB service delivery promoting sustainability and health outcomes. </w:t>
      </w:r>
    </w:p>
    <w:p w:rsidR="00AD6C33" w:rsidRPr="00BD033C" w:rsidRDefault="00AD6C33" w:rsidP="00BD033C">
      <w:pPr>
        <w:jc w:val="both"/>
      </w:pPr>
      <w:proofErr w:type="gramStart"/>
      <w:r w:rsidRPr="00BD033C">
        <w:t>From December 2015 Georgia one of the first in the region started implementation of WHO “Treat ALL” strategy.</w:t>
      </w:r>
      <w:proofErr w:type="gramEnd"/>
      <w:r w:rsidRPr="00BD033C">
        <w:t xml:space="preserve"> Visible improvements have been documented during the recent years for TB burden, proven by the decreasing number of TB cases and TB rates.  The universal access is ensured to diagnosis and treatment of all forms of TB, including M/XDR-TB. The use of novel rapid diagnostic methods for TB and DR-TB, as well as that of newly developed drugs (</w:t>
      </w:r>
      <w:proofErr w:type="spellStart"/>
      <w:r w:rsidRPr="00BD033C">
        <w:t>Bedaquiline</w:t>
      </w:r>
      <w:proofErr w:type="spellEnd"/>
      <w:r w:rsidRPr="00BD033C">
        <w:t xml:space="preserve"> and </w:t>
      </w:r>
      <w:proofErr w:type="spellStart"/>
      <w:r w:rsidRPr="00BD033C">
        <w:t>Delamanid</w:t>
      </w:r>
      <w:proofErr w:type="spellEnd"/>
      <w:r w:rsidRPr="00BD033C">
        <w:t xml:space="preserve">) is being scaled up and introduced through the national program. Country plans to join the Zero TB initiative, launched by the Stop TB Partnership in order to move towards SDG 3.3. </w:t>
      </w:r>
    </w:p>
    <w:p w:rsidR="00AD6C33" w:rsidRDefault="00AD6C33" w:rsidP="00F2736B">
      <w:pPr>
        <w:jc w:val="both"/>
        <w:rPr>
          <w:rFonts w:cstheme="minorHAnsi"/>
          <w:sz w:val="24"/>
          <w:szCs w:val="24"/>
        </w:rPr>
      </w:pPr>
      <w:r w:rsidRPr="00BD033C">
        <w:t>As the country making a progress in</w:t>
      </w:r>
      <w:r w:rsidRPr="00EC7497">
        <w:rPr>
          <w:rFonts w:eastAsiaTheme="minorEastAsia" w:cstheme="minorHAnsi"/>
          <w:color w:val="000000" w:themeColor="text1"/>
          <w:kern w:val="24"/>
          <w:lang w:val="en-GB" w:eastAsia="ka-GE"/>
        </w:rPr>
        <w:t xml:space="preserve"> economic development, the donors’ support, including that of the Global Fund’s support to HIV and TB programs is decreasing. In order to address this challenge Georgia has developed the Global Fund Programs Sustainability and Transition Plan for 2017-2019 with clear milestones and budget estimates for smooth and effective transition. Since 2015 Country is procuring first line ARVs and Anti-TB medicines with the State money. By the end of 2020 Georgia will take a full responsibility for procurement of all medicines and laboratory test-systems for treatment monitoring. Success of the transition process is highly rely on strengthening of the country’s health systems, improvement of service reimbursement schemes through universal health care coverage and testing modern integrated service delivery models to align the country’s achievements with the SDG goals.  </w:t>
      </w:r>
    </w:p>
    <w:p w:rsidR="00AD6C33" w:rsidRPr="00417E0D" w:rsidRDefault="00AD6C33" w:rsidP="00417E0D">
      <w:pPr>
        <w:rPr>
          <w:rFonts w:cstheme="minorHAnsi"/>
          <w:sz w:val="24"/>
          <w:szCs w:val="24"/>
        </w:rPr>
      </w:pPr>
    </w:p>
    <w:p w:rsidR="00417E0D" w:rsidRPr="00207DB4" w:rsidRDefault="00417E0D" w:rsidP="00417E0D">
      <w:pPr>
        <w:pStyle w:val="ListParagraph"/>
        <w:numPr>
          <w:ilvl w:val="0"/>
          <w:numId w:val="2"/>
        </w:numPr>
        <w:ind w:left="360"/>
        <w:rPr>
          <w:rFonts w:asciiTheme="minorHAnsi" w:hAnsiTheme="minorHAnsi" w:cstheme="minorHAnsi"/>
          <w:sz w:val="24"/>
          <w:szCs w:val="24"/>
          <w:highlight w:val="yellow"/>
        </w:rPr>
      </w:pPr>
      <w:r w:rsidRPr="00207DB4">
        <w:rPr>
          <w:rFonts w:asciiTheme="minorHAnsi" w:hAnsiTheme="minorHAnsi" w:cstheme="minorHAnsi"/>
          <w:b/>
          <w:sz w:val="24"/>
          <w:szCs w:val="24"/>
          <w:highlight w:val="yellow"/>
        </w:rPr>
        <w:t>Health Programs in Occupied Territories (Georgia lead</w:t>
      </w:r>
      <w:r w:rsidRPr="00207DB4">
        <w:rPr>
          <w:rFonts w:asciiTheme="minorHAnsi" w:hAnsiTheme="minorHAnsi" w:cstheme="minorHAnsi"/>
          <w:sz w:val="24"/>
          <w:szCs w:val="24"/>
          <w:highlight w:val="yellow"/>
        </w:rPr>
        <w:t>)</w:t>
      </w:r>
    </w:p>
    <w:p w:rsidR="00E43AE1" w:rsidRDefault="00E43AE1" w:rsidP="00E43AE1">
      <w:pPr>
        <w:jc w:val="both"/>
        <w:rPr>
          <w:b/>
        </w:rPr>
      </w:pPr>
    </w:p>
    <w:p w:rsidR="00E43AE1" w:rsidRPr="00D16EF2" w:rsidRDefault="00E43AE1" w:rsidP="00E43AE1">
      <w:pPr>
        <w:jc w:val="both"/>
        <w:rPr>
          <w:b/>
        </w:rPr>
      </w:pPr>
      <w:r w:rsidRPr="00D16EF2">
        <w:rPr>
          <w:b/>
        </w:rPr>
        <w:lastRenderedPageBreak/>
        <w:t xml:space="preserve">State program of referral service </w:t>
      </w:r>
    </w:p>
    <w:p w:rsidR="00FD3616" w:rsidRDefault="00FD3616" w:rsidP="00FD3616">
      <w:pPr>
        <w:spacing w:before="100" w:beforeAutospacing="1" w:after="100" w:afterAutospacing="1" w:line="240" w:lineRule="auto"/>
        <w:jc w:val="both"/>
        <w:rPr>
          <w:rFonts w:cs="Franklin Gothic Medium"/>
          <w:bCs/>
          <w:color w:val="231F20"/>
          <w:szCs w:val="24"/>
        </w:rPr>
      </w:pPr>
      <w:r>
        <w:rPr>
          <w:rFonts w:eastAsia="Times New Roman" w:cs="Times New Roman"/>
          <w:szCs w:val="24"/>
        </w:rPr>
        <w:t xml:space="preserve">Based on </w:t>
      </w:r>
      <w:r>
        <w:rPr>
          <w:rFonts w:eastAsia="Times New Roman" w:cs="Arial"/>
          <w:szCs w:val="24"/>
        </w:rPr>
        <w:t xml:space="preserve">Ceasefire Agreement on August 12, 2008, </w:t>
      </w:r>
      <w:r>
        <w:rPr>
          <w:rFonts w:eastAsia="Times New Roman" w:cs="Times New Roman"/>
          <w:szCs w:val="24"/>
        </w:rPr>
        <w:t>Georgian citizens and s</w:t>
      </w:r>
      <w:r>
        <w:rPr>
          <w:rFonts w:cs="Franklin Gothic Medium"/>
          <w:bCs/>
          <w:color w:val="231F20"/>
          <w:szCs w:val="24"/>
        </w:rPr>
        <w:t>tateless persons permanently residing in v</w:t>
      </w:r>
      <w:r>
        <w:rPr>
          <w:rFonts w:eastAsia="Times New Roman" w:cs="Times New Roman"/>
          <w:szCs w:val="24"/>
        </w:rPr>
        <w:t xml:space="preserve">illage </w:t>
      </w:r>
      <w:proofErr w:type="spellStart"/>
      <w:r>
        <w:rPr>
          <w:rFonts w:eastAsia="Times New Roman" w:cs="Times New Roman"/>
          <w:szCs w:val="24"/>
        </w:rPr>
        <w:t>Perevi</w:t>
      </w:r>
      <w:proofErr w:type="spellEnd"/>
      <w:r>
        <w:rPr>
          <w:rFonts w:eastAsia="Times New Roman" w:cs="Times New Roman"/>
          <w:szCs w:val="24"/>
        </w:rPr>
        <w:t xml:space="preserve"> of </w:t>
      </w:r>
      <w:proofErr w:type="spellStart"/>
      <w:r>
        <w:rPr>
          <w:rFonts w:eastAsia="Times New Roman" w:cs="Times New Roman"/>
          <w:szCs w:val="24"/>
        </w:rPr>
        <w:t>Sachkhere</w:t>
      </w:r>
      <w:proofErr w:type="spellEnd"/>
      <w:r>
        <w:rPr>
          <w:rFonts w:eastAsia="Times New Roman" w:cs="Times New Roman"/>
          <w:szCs w:val="24"/>
        </w:rPr>
        <w:t xml:space="preserve"> district; Kurta, </w:t>
      </w:r>
      <w:proofErr w:type="spellStart"/>
      <w:r>
        <w:rPr>
          <w:rFonts w:eastAsia="Times New Roman" w:cs="Times New Roman"/>
          <w:szCs w:val="24"/>
        </w:rPr>
        <w:t>Eredvi</w:t>
      </w:r>
      <w:proofErr w:type="spellEnd"/>
      <w:r>
        <w:rPr>
          <w:rFonts w:eastAsia="Times New Roman" w:cs="Times New Roman"/>
          <w:szCs w:val="24"/>
        </w:rPr>
        <w:t xml:space="preserve">, </w:t>
      </w:r>
      <w:proofErr w:type="spellStart"/>
      <w:r>
        <w:rPr>
          <w:rFonts w:eastAsia="Times New Roman" w:cs="Times New Roman"/>
          <w:szCs w:val="24"/>
        </w:rPr>
        <w:t>Azhara</w:t>
      </w:r>
      <w:proofErr w:type="spellEnd"/>
      <w:r>
        <w:rPr>
          <w:rFonts w:eastAsia="Times New Roman" w:cs="Times New Roman"/>
          <w:szCs w:val="24"/>
        </w:rPr>
        <w:t xml:space="preserve"> Municipalities and </w:t>
      </w:r>
      <w:proofErr w:type="spellStart"/>
      <w:r>
        <w:rPr>
          <w:rFonts w:eastAsia="Times New Roman" w:cs="Times New Roman"/>
          <w:szCs w:val="24"/>
        </w:rPr>
        <w:t>Akhalgori</w:t>
      </w:r>
      <w:proofErr w:type="spellEnd"/>
      <w:r>
        <w:rPr>
          <w:rFonts w:eastAsia="Times New Roman" w:cs="Times New Roman"/>
          <w:szCs w:val="24"/>
        </w:rPr>
        <w:t xml:space="preserve"> Municipality, </w:t>
      </w:r>
      <w:r>
        <w:rPr>
          <w:rFonts w:cs="Franklin Gothic Medium"/>
          <w:bCs/>
          <w:color w:val="231F20"/>
          <w:szCs w:val="24"/>
        </w:rPr>
        <w:t xml:space="preserve">despite having an official document of Georgian citizenship are entitled to State Referral Service Program. </w:t>
      </w:r>
    </w:p>
    <w:p w:rsidR="00E43AE1" w:rsidRDefault="00E43AE1" w:rsidP="00E43AE1">
      <w:pPr>
        <w:jc w:val="both"/>
        <w:rPr>
          <w:rFonts w:ascii="Sylfaen" w:hAnsi="Sylfaen"/>
          <w:lang w:val="ka-GE"/>
        </w:rPr>
      </w:pPr>
      <w:r w:rsidRPr="00D16EF2">
        <w:t>In 2016, the state program of referral assistance was used by a citizen living in temporary occupied territories of 1316 Abkhazia and 964 former South Ossetia. In 2017, 11 months services have received from 1019 citizens living in temporary occupied territories of Abkhazia and 387 former South Ossetia.</w:t>
      </w:r>
    </w:p>
    <w:p w:rsidR="00E43AE1" w:rsidRPr="00E43AE1" w:rsidRDefault="00E43AE1" w:rsidP="00E43AE1">
      <w:pPr>
        <w:jc w:val="both"/>
        <w:rPr>
          <w:b/>
        </w:rPr>
      </w:pPr>
      <w:r w:rsidRPr="00E43AE1">
        <w:rPr>
          <w:b/>
        </w:rPr>
        <w:t>Providing medical services to temporary occupied territories of Abkhazia and former South Ossetia</w:t>
      </w:r>
    </w:p>
    <w:p w:rsidR="00E43AE1" w:rsidRPr="00D16EF2" w:rsidRDefault="00E43AE1" w:rsidP="00E43AE1">
      <w:pPr>
        <w:jc w:val="both"/>
      </w:pPr>
      <w:r w:rsidRPr="00D16EF2">
        <w:t>Within the framework of the Rural State Program, seven medical institutions are on special funding to provide access to medical services to the population.</w:t>
      </w:r>
      <w:r>
        <w:t xml:space="preserve"> </w:t>
      </w:r>
      <w:r w:rsidRPr="00D16EF2">
        <w:t xml:space="preserve">Minimum salary for </w:t>
      </w:r>
      <w:r w:rsidR="00CE49C3" w:rsidRPr="00FD3616">
        <w:t>ambulance</w:t>
      </w:r>
      <w:r w:rsidRPr="00D16EF2">
        <w:t xml:space="preserve"> service providers in the occupied territories is defined by the state program "Ambulance care and Medical Transportation", which is determined by the doctor - 450 GEL and for nurses - 300 GEL.</w:t>
      </w:r>
    </w:p>
    <w:p w:rsidR="00FD3616" w:rsidRPr="00FD3616" w:rsidRDefault="00FD3616" w:rsidP="00FD3616">
      <w:pPr>
        <w:jc w:val="both"/>
      </w:pPr>
      <w:r w:rsidRPr="00FD3616">
        <w:t>Relevantly equipped emergency vehicle is operating on the boundary line of occupied territory of Abkhazia to ensure patient’s referral in appropriate clinics, including referral of adult, pediatric and newborn patients. During 2016, 14 patients were transferred from Abkhazia and in the first three months of 2017 – 3 newborns.</w:t>
      </w:r>
    </w:p>
    <w:p w:rsidR="00FD3616" w:rsidRPr="00FD3616" w:rsidRDefault="00FD3616" w:rsidP="00FD3616">
      <w:pPr>
        <w:jc w:val="both"/>
      </w:pPr>
      <w:r w:rsidRPr="00FD3616">
        <w:t xml:space="preserve">Significant challenge during the implementation of the program is a delay of patient’s transportation on the boundary line of occupied territory of Abkhazia. Due to this problem, patient’s condition is often getting worse and some cases of death are also occurring. In 2016, due to the delay on the boundary line has been occurred death of a mother and in 2016 the death of an infant child. </w:t>
      </w:r>
    </w:p>
    <w:p w:rsidR="00FD3616" w:rsidRDefault="00FD3616" w:rsidP="00E43AE1">
      <w:pPr>
        <w:jc w:val="both"/>
        <w:rPr>
          <w:b/>
        </w:rPr>
      </w:pPr>
    </w:p>
    <w:p w:rsidR="00E43AE1" w:rsidRPr="00D16EF2" w:rsidRDefault="00E43AE1" w:rsidP="00E43AE1">
      <w:pPr>
        <w:jc w:val="both"/>
        <w:rPr>
          <w:b/>
        </w:rPr>
      </w:pPr>
      <w:r w:rsidRPr="00D16EF2">
        <w:rPr>
          <w:b/>
        </w:rPr>
        <w:t>TB prevention and treatment</w:t>
      </w:r>
    </w:p>
    <w:p w:rsidR="00E43AE1" w:rsidRDefault="00E43AE1" w:rsidP="00E43AE1">
      <w:pPr>
        <w:jc w:val="both"/>
      </w:pPr>
      <w:r w:rsidRPr="00D16EF2">
        <w:t xml:space="preserve">Based on the needs and specific request from Abkhazia, NTP provides first and second line Anti-TB drugs and laboratory reagents to the region. Linezolid, </w:t>
      </w:r>
      <w:proofErr w:type="spellStart"/>
      <w:r w:rsidRPr="00D16EF2">
        <w:t>Bedaquiline</w:t>
      </w:r>
      <w:proofErr w:type="spellEnd"/>
      <w:r w:rsidRPr="00D16EF2">
        <w:t xml:space="preserve"> and </w:t>
      </w:r>
      <w:proofErr w:type="spellStart"/>
      <w:r w:rsidRPr="00D16EF2">
        <w:t>Delamanid</w:t>
      </w:r>
      <w:proofErr w:type="spellEnd"/>
      <w:r w:rsidRPr="00D16EF2">
        <w:t xml:space="preserve"> as well as </w:t>
      </w:r>
      <w:proofErr w:type="spellStart"/>
      <w:r w:rsidRPr="00D16EF2">
        <w:t>GeneXpert</w:t>
      </w:r>
      <w:proofErr w:type="spellEnd"/>
      <w:r w:rsidRPr="00D16EF2">
        <w:t xml:space="preserve"> cartridges are expected to be delivered within the next request</w:t>
      </w:r>
      <w:r>
        <w:t xml:space="preserve">. </w:t>
      </w:r>
    </w:p>
    <w:p w:rsidR="00E43AE1" w:rsidRPr="00D16EF2" w:rsidRDefault="00E43AE1" w:rsidP="00E43AE1">
      <w:pPr>
        <w:jc w:val="both"/>
        <w:rPr>
          <w:b/>
        </w:rPr>
      </w:pPr>
      <w:r w:rsidRPr="00D16EF2">
        <w:rPr>
          <w:b/>
        </w:rPr>
        <w:t>Immunization</w:t>
      </w:r>
      <w:r w:rsidR="00AD6C33">
        <w:rPr>
          <w:b/>
        </w:rPr>
        <w:t xml:space="preserve"> and drug </w:t>
      </w:r>
    </w:p>
    <w:p w:rsidR="00E43AE1" w:rsidRPr="00D16EF2" w:rsidRDefault="00E43AE1" w:rsidP="00E43AE1">
      <w:pPr>
        <w:jc w:val="both"/>
      </w:pPr>
      <w:r w:rsidRPr="00D16EF2">
        <w:t xml:space="preserve">National Center for Disease Control and Public Health provides vaccines and consumables for population living in the occupied territory of </w:t>
      </w:r>
      <w:proofErr w:type="gramStart"/>
      <w:r w:rsidRPr="00D16EF2">
        <w:t>Abkhazia,</w:t>
      </w:r>
      <w:proofErr w:type="gramEnd"/>
      <w:r w:rsidRPr="00D16EF2">
        <w:t xml:space="preserve"> Georgia procured under the State Immunization </w:t>
      </w:r>
      <w:proofErr w:type="spellStart"/>
      <w:r w:rsidRPr="00D16EF2">
        <w:t>Programm</w:t>
      </w:r>
      <w:proofErr w:type="spellEnd"/>
      <w:r w:rsidRPr="00D16EF2">
        <w:t>.  </w:t>
      </w:r>
    </w:p>
    <w:p w:rsidR="00E43AE1" w:rsidRDefault="00E43AE1" w:rsidP="00E43AE1">
      <w:pPr>
        <w:jc w:val="both"/>
        <w:rPr>
          <w:rFonts w:ascii="Sylfaen" w:hAnsi="Sylfaen"/>
          <w:lang w:val="ka-GE"/>
        </w:rPr>
      </w:pPr>
      <w:r w:rsidRPr="00D16EF2">
        <w:t>In addition it should be mentioned that the National Center for Disease Control and Public Health provides​​ pharmaceutical products and consumables to the population living in the occupied territory of Abkhazia, Georgia after the request of the coordination mechanism (United Nations Development Program (UNDP), the project "Dialogue") and the Office of the State Minister of Georgia for Reintegration, according to the requested needs, as envisaged by the legislation.</w:t>
      </w:r>
    </w:p>
    <w:p w:rsidR="00FD3616" w:rsidRPr="00FD3616" w:rsidRDefault="00FD3616" w:rsidP="00FD3616">
      <w:pPr>
        <w:spacing w:before="100" w:beforeAutospacing="1" w:after="100" w:afterAutospacing="1" w:line="240" w:lineRule="auto"/>
        <w:jc w:val="both"/>
        <w:rPr>
          <w:rFonts w:eastAsia="Times New Roman" w:cs="Times New Roman"/>
          <w:b/>
          <w:szCs w:val="24"/>
        </w:rPr>
      </w:pPr>
      <w:r w:rsidRPr="00FD3616">
        <w:rPr>
          <w:b/>
          <w:lang w:val="en"/>
        </w:rPr>
        <w:t>Postgraduate Education</w:t>
      </w:r>
      <w:r w:rsidRPr="00FD3616">
        <w:rPr>
          <w:rFonts w:eastAsia="Times New Roman" w:cs="Times New Roman"/>
          <w:b/>
          <w:szCs w:val="24"/>
        </w:rPr>
        <w:t xml:space="preserve"> </w:t>
      </w:r>
    </w:p>
    <w:p w:rsidR="00FD3616" w:rsidRDefault="00FD3616" w:rsidP="00FD3616">
      <w:pPr>
        <w:spacing w:before="100" w:beforeAutospacing="1" w:after="100" w:afterAutospacing="1" w:line="240" w:lineRule="auto"/>
        <w:jc w:val="both"/>
        <w:rPr>
          <w:lang w:val="en"/>
        </w:rPr>
      </w:pPr>
      <w:r>
        <w:rPr>
          <w:rFonts w:eastAsia="Times New Roman" w:cs="Times New Roman"/>
          <w:szCs w:val="24"/>
        </w:rPr>
        <w:lastRenderedPageBreak/>
        <w:t xml:space="preserve">Within the </w:t>
      </w:r>
      <w:r>
        <w:rPr>
          <w:lang w:val="en"/>
        </w:rPr>
        <w:t xml:space="preserve">framework of the Postgraduate Medical Education Program, </w:t>
      </w:r>
      <w:r>
        <w:rPr>
          <w:rFonts w:eastAsia="Times New Roman" w:cs="Times New Roman"/>
          <w:szCs w:val="24"/>
        </w:rPr>
        <w:t xml:space="preserve">from 2017 </w:t>
      </w:r>
      <w:r>
        <w:rPr>
          <w:lang w:val="en"/>
        </w:rPr>
        <w:t>medical personnel living in the territories defined by the “Law of Georgia on Occupied Territories” have an opportunity to participate in human resource capacity development programs. This will facilitate provision of medical establishments in these areas with physicians, which currently is a serious problem in terms of providing medical services to the population living there.</w:t>
      </w:r>
    </w:p>
    <w:p w:rsidR="00FD3616" w:rsidRDefault="00FD3616" w:rsidP="00FD3616">
      <w:pPr>
        <w:jc w:val="both"/>
      </w:pPr>
      <w:r>
        <w:rPr>
          <w:lang w:val="en"/>
        </w:rPr>
        <w:t xml:space="preserve">Postgraduate Education/Residency Programs for applicants living in the villages on the boundary of occupied territory of Georgia are also funded within the Postgraduate Medical Education Program. </w:t>
      </w:r>
    </w:p>
    <w:p w:rsidR="00F204EF" w:rsidRPr="00FD3616" w:rsidRDefault="00F204EF" w:rsidP="008A76C8">
      <w:pPr>
        <w:rPr>
          <w:rFonts w:ascii="Sylfaen" w:hAnsi="Sylfaen"/>
          <w:b/>
        </w:rPr>
      </w:pPr>
    </w:p>
    <w:p w:rsidR="008A76C8" w:rsidRPr="00FD3616" w:rsidRDefault="00AD6C33" w:rsidP="008A76C8">
      <w:pPr>
        <w:rPr>
          <w:b/>
          <w:lang w:val="ka-GE"/>
        </w:rPr>
      </w:pPr>
      <w:r w:rsidRPr="00FD3616">
        <w:rPr>
          <w:b/>
          <w:highlight w:val="red"/>
          <w:lang w:val="ka-GE"/>
        </w:rPr>
        <w:t>Reproductive health</w:t>
      </w:r>
    </w:p>
    <w:p w:rsidR="008A76C8" w:rsidRDefault="008A76C8" w:rsidP="008A76C8">
      <w:pPr>
        <w:rPr>
          <w:rFonts w:eastAsia="Helvetica"/>
          <w:lang w:val="en-GB"/>
        </w:rPr>
      </w:pPr>
      <w:r w:rsidRPr="00FD3616">
        <w:rPr>
          <w:lang w:val="ka-GE"/>
        </w:rPr>
        <w:t xml:space="preserve">Against this background, since 2006, UNFPA/Georgia CO has been supporting provision of basic RH/FP services in the “break-away” region of Abkhazia, Georgia, and since 2012 - provision of the cervical cancer screening services that would otherwise remain uncovered for the local conflict-affected population neither by local healthcare system, nor by international aid. </w:t>
      </w:r>
      <w:r>
        <w:rPr>
          <w:rFonts w:eastAsia="Helvetica"/>
          <w:lang w:val="en-GB"/>
        </w:rPr>
        <w:t>Specifically:</w:t>
      </w:r>
    </w:p>
    <w:p w:rsidR="008A76C8" w:rsidRPr="00C45C92" w:rsidRDefault="008A76C8" w:rsidP="008A76C8">
      <w:pPr>
        <w:pStyle w:val="ListParagraph"/>
        <w:widowControl w:val="0"/>
        <w:numPr>
          <w:ilvl w:val="0"/>
          <w:numId w:val="7"/>
        </w:numPr>
        <w:spacing w:before="60" w:after="60"/>
        <w:ind w:left="584" w:hanging="357"/>
        <w:jc w:val="both"/>
        <w:rPr>
          <w:shd w:val="clear" w:color="auto" w:fill="FFFFFF"/>
          <w:lang w:val="en-GB"/>
        </w:rPr>
      </w:pPr>
      <w:r w:rsidRPr="004930E0">
        <w:t xml:space="preserve">Free-of-charge </w:t>
      </w:r>
      <w:r w:rsidRPr="00C45C92">
        <w:rPr>
          <w:b/>
        </w:rPr>
        <w:t>cervical cancer screening services</w:t>
      </w:r>
      <w:r w:rsidRPr="008C6AA2">
        <w:t xml:space="preserve"> provided to the 25-60 age women at the </w:t>
      </w:r>
      <w:r>
        <w:t>RH Centre in Sukhumi and 10</w:t>
      </w:r>
      <w:r w:rsidRPr="008C6AA2">
        <w:t xml:space="preserve"> affiliated facilities</w:t>
      </w:r>
      <w:r>
        <w:t xml:space="preserve"> Abkhazia-wide</w:t>
      </w:r>
      <w:r w:rsidRPr="008C6AA2">
        <w:t xml:space="preserve">. </w:t>
      </w:r>
      <w:r>
        <w:t>S</w:t>
      </w:r>
      <w:r w:rsidRPr="00F0461C">
        <w:t>creening</w:t>
      </w:r>
      <w:r>
        <w:t xml:space="preserve"> services management </w:t>
      </w:r>
      <w:r w:rsidRPr="00F0461C">
        <w:t xml:space="preserve">follows the practice and experience of </w:t>
      </w:r>
      <w:r>
        <w:t xml:space="preserve">the similar </w:t>
      </w:r>
      <w:proofErr w:type="spellStart"/>
      <w:r>
        <w:t>programme</w:t>
      </w:r>
      <w:proofErr w:type="spellEnd"/>
      <w:r w:rsidRPr="00F0461C">
        <w:t xml:space="preserve"> in </w:t>
      </w:r>
      <w:r>
        <w:t>other parts of Georgia</w:t>
      </w:r>
      <w:r w:rsidRPr="00F0461C">
        <w:t xml:space="preserve">. The reference check and quality assurance of cytology </w:t>
      </w:r>
      <w:r>
        <w:t xml:space="preserve">diagnostics </w:t>
      </w:r>
      <w:r w:rsidRPr="00F0461C">
        <w:t xml:space="preserve">and morphology of samples </w:t>
      </w:r>
      <w:r>
        <w:t>is</w:t>
      </w:r>
      <w:r w:rsidRPr="00F0461C">
        <w:t xml:space="preserve"> conducted in Tbilisi.</w:t>
      </w:r>
    </w:p>
    <w:p w:rsidR="008A76C8" w:rsidRPr="00C45C92" w:rsidRDefault="008A76C8" w:rsidP="008A76C8">
      <w:pPr>
        <w:pStyle w:val="ListParagraph"/>
        <w:widowControl w:val="0"/>
        <w:numPr>
          <w:ilvl w:val="0"/>
          <w:numId w:val="7"/>
        </w:numPr>
        <w:spacing w:before="60" w:after="60"/>
        <w:ind w:left="584" w:hanging="357"/>
        <w:jc w:val="both"/>
        <w:rPr>
          <w:shd w:val="clear" w:color="auto" w:fill="FFFFFF"/>
          <w:lang w:val="en-GB"/>
        </w:rPr>
      </w:pPr>
      <w:r w:rsidRPr="00C45C92">
        <w:rPr>
          <w:b/>
          <w:lang w:eastAsia="en-GB"/>
        </w:rPr>
        <w:t>C</w:t>
      </w:r>
      <w:proofErr w:type="spellStart"/>
      <w:r w:rsidRPr="00C45C92">
        <w:rPr>
          <w:b/>
          <w:lang w:val="en-GB" w:eastAsia="en-GB"/>
        </w:rPr>
        <w:t>apacity</w:t>
      </w:r>
      <w:proofErr w:type="spellEnd"/>
      <w:r w:rsidRPr="00C45C92">
        <w:rPr>
          <w:b/>
          <w:lang w:val="en-GB" w:eastAsia="en-GB"/>
        </w:rPr>
        <w:t xml:space="preserve"> development</w:t>
      </w:r>
      <w:r w:rsidRPr="00C45C92">
        <w:rPr>
          <w:lang w:val="en-GB" w:eastAsia="en-GB"/>
        </w:rPr>
        <w:t xml:space="preserve"> training of local RH/FP service providers</w:t>
      </w:r>
      <w:r>
        <w:rPr>
          <w:lang w:val="en-GB" w:eastAsia="en-GB"/>
        </w:rPr>
        <w:t xml:space="preserve"> </w:t>
      </w:r>
      <w:r w:rsidRPr="00C45C92">
        <w:rPr>
          <w:lang w:val="en-GB" w:eastAsia="en-GB"/>
        </w:rPr>
        <w:t>delivered by</w:t>
      </w:r>
      <w:r w:rsidRPr="00C15942">
        <w:t xml:space="preserve"> </w:t>
      </w:r>
      <w:r>
        <w:t>I</w:t>
      </w:r>
      <w:r w:rsidRPr="00C15942">
        <w:t>nternational Russian-language speaking experts/trainers</w:t>
      </w:r>
      <w:r>
        <w:t>;</w:t>
      </w:r>
      <w:r w:rsidRPr="00C15942">
        <w:t xml:space="preserve"> </w:t>
      </w:r>
      <w:r>
        <w:t xml:space="preserve">over </w:t>
      </w:r>
      <w:r w:rsidRPr="008F2EE9">
        <w:t xml:space="preserve">60 </w:t>
      </w:r>
      <w:r>
        <w:t>RH specialist and nurses and over 100 PHC doctors have been</w:t>
      </w:r>
      <w:r w:rsidRPr="008F2EE9">
        <w:t xml:space="preserve"> trained on in modern methods of FP</w:t>
      </w:r>
      <w:r>
        <w:t xml:space="preserve"> and other RH issues.</w:t>
      </w:r>
    </w:p>
    <w:p w:rsidR="008A76C8" w:rsidRPr="008C6AA2" w:rsidRDefault="008A76C8" w:rsidP="008A76C8">
      <w:pPr>
        <w:pStyle w:val="ListParagraph"/>
        <w:widowControl w:val="0"/>
        <w:numPr>
          <w:ilvl w:val="0"/>
          <w:numId w:val="7"/>
        </w:numPr>
        <w:spacing w:before="60" w:after="60"/>
        <w:ind w:left="584" w:hanging="357"/>
        <w:jc w:val="both"/>
      </w:pPr>
      <w:r w:rsidRPr="0082419B">
        <w:t>P</w:t>
      </w:r>
      <w:proofErr w:type="spellStart"/>
      <w:r w:rsidRPr="0082419B">
        <w:rPr>
          <w:lang w:val="en-GB"/>
        </w:rPr>
        <w:t>rocurement</w:t>
      </w:r>
      <w:proofErr w:type="spellEnd"/>
      <w:r w:rsidRPr="0082419B">
        <w:rPr>
          <w:lang w:val="en-GB"/>
        </w:rPr>
        <w:t xml:space="preserve"> and distribution </w:t>
      </w:r>
      <w:r>
        <w:rPr>
          <w:lang w:val="en-GB"/>
        </w:rPr>
        <w:t>of</w:t>
      </w:r>
      <w:r w:rsidRPr="0082419B">
        <w:rPr>
          <w:lang w:val="en-GB"/>
        </w:rPr>
        <w:t xml:space="preserve"> the </w:t>
      </w:r>
      <w:r w:rsidRPr="009E49C0">
        <w:rPr>
          <w:b/>
          <w:lang w:val="en-GB"/>
        </w:rPr>
        <w:t>modern</w:t>
      </w:r>
      <w:r w:rsidRPr="0082419B">
        <w:rPr>
          <w:lang w:val="en-GB"/>
        </w:rPr>
        <w:t xml:space="preserve"> </w:t>
      </w:r>
      <w:r w:rsidRPr="008C6AA2">
        <w:rPr>
          <w:b/>
          <w:lang w:val="en-GB"/>
        </w:rPr>
        <w:t>methods of Family Planning</w:t>
      </w:r>
      <w:r w:rsidRPr="0082419B">
        <w:rPr>
          <w:lang w:val="en-GB"/>
        </w:rPr>
        <w:t xml:space="preserve"> (contraceptives)</w:t>
      </w:r>
      <w:r>
        <w:rPr>
          <w:lang w:val="en-GB"/>
        </w:rPr>
        <w:t>, STI tests and basic medical equipment</w:t>
      </w:r>
      <w:r>
        <w:rPr>
          <w:i/>
          <w:lang w:val="en-GB"/>
        </w:rPr>
        <w:t>.</w:t>
      </w:r>
    </w:p>
    <w:p w:rsidR="00E43AE1" w:rsidRPr="00417E0D" w:rsidRDefault="00E43AE1" w:rsidP="00417E0D">
      <w:pPr>
        <w:rPr>
          <w:rFonts w:cstheme="minorHAnsi"/>
          <w:sz w:val="24"/>
          <w:szCs w:val="24"/>
        </w:rPr>
      </w:pPr>
    </w:p>
    <w:p w:rsidR="00417E0D" w:rsidRPr="00207DB4" w:rsidRDefault="00417E0D" w:rsidP="00417E0D">
      <w:pPr>
        <w:pStyle w:val="ListParagraph"/>
        <w:numPr>
          <w:ilvl w:val="0"/>
          <w:numId w:val="2"/>
        </w:numPr>
        <w:ind w:left="360" w:right="-720"/>
        <w:rPr>
          <w:rFonts w:asciiTheme="minorHAnsi" w:hAnsiTheme="minorHAnsi" w:cstheme="minorHAnsi"/>
          <w:sz w:val="24"/>
          <w:szCs w:val="24"/>
          <w:highlight w:val="yellow"/>
        </w:rPr>
      </w:pPr>
      <w:r w:rsidRPr="00207DB4">
        <w:rPr>
          <w:rFonts w:asciiTheme="minorHAnsi" w:hAnsiTheme="minorHAnsi" w:cstheme="minorHAnsi"/>
          <w:b/>
          <w:sz w:val="24"/>
          <w:szCs w:val="24"/>
          <w:highlight w:val="yellow"/>
        </w:rPr>
        <w:t>Global Health Security, Public Laboratory Network and Anti-Microbial Resistance (Georgia lead</w:t>
      </w:r>
      <w:r w:rsidRPr="00207DB4">
        <w:rPr>
          <w:rFonts w:asciiTheme="minorHAnsi" w:hAnsiTheme="minorHAnsi" w:cstheme="minorHAnsi"/>
          <w:sz w:val="24"/>
          <w:szCs w:val="24"/>
          <w:highlight w:val="yellow"/>
        </w:rPr>
        <w:t>)</w:t>
      </w:r>
    </w:p>
    <w:p w:rsidR="00D35611" w:rsidRDefault="00D35611">
      <w:pPr>
        <w:rPr>
          <w:lang w:val="en-GB"/>
        </w:rPr>
      </w:pPr>
    </w:p>
    <w:p w:rsidR="00417E0D" w:rsidRDefault="00417E0D" w:rsidP="00417E0D">
      <w:pPr>
        <w:jc w:val="both"/>
        <w:rPr>
          <w:rFonts w:eastAsiaTheme="minorEastAsia" w:cstheme="minorHAnsi"/>
          <w:kern w:val="24"/>
          <w:lang w:val="en-GB" w:eastAsia="ka-GE"/>
        </w:rPr>
      </w:pPr>
      <w:r w:rsidRPr="00873001">
        <w:rPr>
          <w:rFonts w:eastAsiaTheme="minorEastAsia" w:cstheme="minorHAnsi"/>
          <w:kern w:val="24"/>
          <w:lang w:val="en-GB" w:eastAsia="ka-GE"/>
        </w:rPr>
        <w:t>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country took a path to contribute to Global Zoonotic Diseases and National Laboratory System Action Packages and lead an Action Package of Real-Time Surveillance.</w:t>
      </w:r>
    </w:p>
    <w:p w:rsidR="00417E0D" w:rsidRDefault="00417E0D" w:rsidP="007F44A6">
      <w:pPr>
        <w:jc w:val="both"/>
        <w:rPr>
          <w:rFonts w:eastAsiaTheme="minorEastAsia" w:cstheme="minorHAnsi"/>
          <w:kern w:val="24"/>
          <w:lang w:val="en-GB" w:eastAsia="ka-GE"/>
        </w:rPr>
      </w:pPr>
      <w:r w:rsidRPr="00873001">
        <w:rPr>
          <w:rFonts w:eastAsiaTheme="minorEastAsia" w:cstheme="minorHAnsi"/>
          <w:kern w:val="24"/>
          <w:lang w:val="en-GB" w:eastAsia="ka-GE"/>
        </w:rPr>
        <w:t xml:space="preserve">Country is already moving forward on the target of developing the national and regional capacities to interconnect, </w:t>
      </w:r>
      <w:proofErr w:type="spellStart"/>
      <w:r w:rsidRPr="00873001">
        <w:rPr>
          <w:rFonts w:eastAsiaTheme="minorEastAsia" w:cstheme="minorHAnsi"/>
          <w:kern w:val="24"/>
          <w:lang w:val="en-GB" w:eastAsia="ka-GE"/>
        </w:rPr>
        <w:t>analyze</w:t>
      </w:r>
      <w:proofErr w:type="spellEnd"/>
      <w:r w:rsidRPr="00873001">
        <w:rPr>
          <w:rFonts w:eastAsiaTheme="minorEastAsia" w:cstheme="minorHAnsi"/>
          <w:kern w:val="24"/>
          <w:lang w:val="en-GB" w:eastAsia="ka-GE"/>
        </w:rPr>
        <w:t xml:space="preserve"> and link data through an existing surveillance system. Through Georgia’s long-standing and strong collaboration with US government, a fully functional Electronic Integrated Disease Surveillance System (EIDSS) and modern countrywide laboratory network, including Lugar </w:t>
      </w:r>
      <w:proofErr w:type="spellStart"/>
      <w:r w:rsidRPr="00873001">
        <w:rPr>
          <w:rFonts w:eastAsiaTheme="minorEastAsia" w:cstheme="minorHAnsi"/>
          <w:kern w:val="24"/>
          <w:lang w:val="en-GB" w:eastAsia="ka-GE"/>
        </w:rPr>
        <w:t>Center</w:t>
      </w:r>
      <w:proofErr w:type="spellEnd"/>
      <w:r w:rsidRPr="00873001">
        <w:rPr>
          <w:rFonts w:eastAsiaTheme="minorEastAsia" w:cstheme="minorHAnsi"/>
          <w:kern w:val="24"/>
          <w:lang w:val="en-GB" w:eastAsia="ka-GE"/>
        </w:rPr>
        <w:t xml:space="preserve"> of Public Health Research as a reference laboratory, was established. </w:t>
      </w:r>
    </w:p>
    <w:p w:rsidR="00417E0D" w:rsidRDefault="00417E0D" w:rsidP="00417E0D">
      <w:pPr>
        <w:jc w:val="both"/>
        <w:rPr>
          <w:rFonts w:eastAsiaTheme="minorEastAsia" w:cstheme="minorHAnsi"/>
          <w:kern w:val="24"/>
          <w:lang w:val="en-GB" w:eastAsia="ka-GE"/>
        </w:rPr>
      </w:pPr>
      <w:r>
        <w:rPr>
          <w:rFonts w:eastAsiaTheme="minorEastAsia" w:cstheme="minorHAnsi"/>
          <w:kern w:val="24"/>
          <w:lang w:val="en-GB" w:eastAsia="ka-GE"/>
        </w:rPr>
        <w:t>(EIDSS</w:t>
      </w:r>
      <w:r w:rsidRPr="00873001">
        <w:rPr>
          <w:rFonts w:eastAsiaTheme="minorEastAsia" w:cstheme="minorHAnsi"/>
          <w:kern w:val="24"/>
          <w:lang w:val="en-GB" w:eastAsia="ka-GE"/>
        </w:rPr>
        <w:t xml:space="preserve">, which is used for </w:t>
      </w:r>
      <w:proofErr w:type="spellStart"/>
      <w:r w:rsidRPr="00873001">
        <w:rPr>
          <w:rFonts w:eastAsiaTheme="minorEastAsia" w:cstheme="minorHAnsi"/>
          <w:kern w:val="24"/>
          <w:lang w:val="en-GB" w:eastAsia="ka-GE"/>
        </w:rPr>
        <w:t>intersectoral</w:t>
      </w:r>
      <w:proofErr w:type="spellEnd"/>
      <w:r w:rsidRPr="00873001">
        <w:rPr>
          <w:rFonts w:eastAsiaTheme="minorEastAsia" w:cstheme="minorHAnsi"/>
          <w:kern w:val="24"/>
          <w:lang w:val="en-GB" w:eastAsia="ka-GE"/>
        </w:rPr>
        <w:t xml:space="preserve"> collaboration in veterinary, human and vector surveillance is a path for the enhanced control of zoonotic diseases and successful implementation of One Health operational </w:t>
      </w:r>
      <w:r w:rsidRPr="00873001">
        <w:rPr>
          <w:rFonts w:eastAsiaTheme="minorEastAsia" w:cstheme="minorHAnsi"/>
          <w:kern w:val="24"/>
          <w:lang w:val="en-GB" w:eastAsia="ka-GE"/>
        </w:rPr>
        <w:lastRenderedPageBreak/>
        <w:t xml:space="preserve">framework. As a result of </w:t>
      </w:r>
      <w:proofErr w:type="spellStart"/>
      <w:r w:rsidRPr="00873001">
        <w:rPr>
          <w:rFonts w:eastAsiaTheme="minorEastAsia" w:cstheme="minorHAnsi"/>
          <w:kern w:val="24"/>
          <w:lang w:val="en-GB" w:eastAsia="ka-GE"/>
        </w:rPr>
        <w:t>sucssessful</w:t>
      </w:r>
      <w:proofErr w:type="spellEnd"/>
      <w:r w:rsidRPr="00873001">
        <w:rPr>
          <w:rFonts w:eastAsiaTheme="minorEastAsia" w:cstheme="minorHAnsi"/>
          <w:kern w:val="24"/>
          <w:lang w:val="en-GB" w:eastAsia="ka-GE"/>
        </w:rPr>
        <w:t xml:space="preserve"> </w:t>
      </w:r>
      <w:proofErr w:type="spellStart"/>
      <w:r w:rsidRPr="00873001">
        <w:rPr>
          <w:rFonts w:eastAsiaTheme="minorEastAsia" w:cstheme="minorHAnsi"/>
          <w:kern w:val="24"/>
          <w:lang w:val="en-GB" w:eastAsia="ka-GE"/>
        </w:rPr>
        <w:t>intersectoral</w:t>
      </w:r>
      <w:proofErr w:type="spellEnd"/>
      <w:r w:rsidRPr="00873001">
        <w:rPr>
          <w:rFonts w:eastAsiaTheme="minorEastAsia" w:cstheme="minorHAnsi"/>
          <w:kern w:val="24"/>
          <w:lang w:val="en-GB" w:eastAsia="ka-GE"/>
        </w:rPr>
        <w:t xml:space="preserve"> collaboration with the Ministry of Agriculture</w:t>
      </w:r>
      <w:proofErr w:type="gramStart"/>
      <w:r w:rsidRPr="00873001">
        <w:rPr>
          <w:rFonts w:eastAsiaTheme="minorEastAsia" w:cstheme="minorHAnsi"/>
          <w:kern w:val="24"/>
          <w:lang w:val="en-GB" w:eastAsia="ka-GE"/>
        </w:rPr>
        <w:t xml:space="preserve">,  </w:t>
      </w:r>
      <w:r w:rsidRPr="007F44A6">
        <w:rPr>
          <w:rFonts w:eastAsiaTheme="minorEastAsia" w:cstheme="minorHAnsi"/>
          <w:kern w:val="24"/>
          <w:lang w:val="en-GB" w:eastAsia="ka-GE"/>
        </w:rPr>
        <w:t>For</w:t>
      </w:r>
      <w:proofErr w:type="gramEnd"/>
      <w:r w:rsidRPr="007F44A6">
        <w:rPr>
          <w:rFonts w:eastAsiaTheme="minorEastAsia" w:cstheme="minorHAnsi"/>
          <w:kern w:val="24"/>
          <w:lang w:val="en-GB" w:eastAsia="ka-GE"/>
        </w:rPr>
        <w:t xml:space="preserve">   the   first   time since   1990,   2015   was remarkable for zero reporting of rabies cases, which maintained through 2016 and 2017. </w:t>
      </w:r>
      <w:r w:rsidRPr="00873001">
        <w:rPr>
          <w:rFonts w:eastAsiaTheme="minorEastAsia" w:cstheme="minorHAnsi"/>
          <w:kern w:val="24"/>
          <w:lang w:val="en-GB" w:eastAsia="ka-GE"/>
        </w:rPr>
        <w:t xml:space="preserve"> Since 2012, EIDSS is recognized by the </w:t>
      </w:r>
      <w:proofErr w:type="spellStart"/>
      <w:r w:rsidRPr="00873001">
        <w:rPr>
          <w:rFonts w:eastAsiaTheme="minorEastAsia" w:cstheme="minorHAnsi"/>
          <w:kern w:val="24"/>
          <w:lang w:val="en-GB" w:eastAsia="ka-GE"/>
        </w:rPr>
        <w:t>MoLHSA</w:t>
      </w:r>
      <w:proofErr w:type="spellEnd"/>
      <w:r w:rsidRPr="00873001">
        <w:rPr>
          <w:rFonts w:eastAsiaTheme="minorEastAsia" w:cstheme="minorHAnsi"/>
          <w:kern w:val="24"/>
          <w:lang w:val="en-GB" w:eastAsia="ka-GE"/>
        </w:rPr>
        <w:t xml:space="preserve"> as the single system for notification, data registration, analyses and medical statistics for Especially Dangerous Pathogens and notifiable diseases. EIDSS allows real-time link between human and animal cases. Network includes 90 “data entry points” under the </w:t>
      </w:r>
      <w:proofErr w:type="spellStart"/>
      <w:r w:rsidRPr="00873001">
        <w:rPr>
          <w:rFonts w:eastAsiaTheme="minorEastAsia" w:cstheme="minorHAnsi"/>
          <w:kern w:val="24"/>
          <w:lang w:val="en-GB" w:eastAsia="ka-GE"/>
        </w:rPr>
        <w:t>MoLHSA</w:t>
      </w:r>
      <w:proofErr w:type="spellEnd"/>
      <w:r w:rsidRPr="00873001">
        <w:rPr>
          <w:rFonts w:eastAsiaTheme="minorEastAsia" w:cstheme="minorHAnsi"/>
          <w:kern w:val="24"/>
          <w:lang w:val="en-GB" w:eastAsia="ka-GE"/>
        </w:rPr>
        <w:t xml:space="preserve"> and 102 “data entry points” under the Ministry of Agriculture throughout the country.</w:t>
      </w:r>
    </w:p>
    <w:p w:rsidR="00417E0D" w:rsidRPr="00873001" w:rsidRDefault="00417E0D" w:rsidP="00417E0D">
      <w:pPr>
        <w:jc w:val="both"/>
        <w:rPr>
          <w:rFonts w:eastAsiaTheme="minorEastAsia" w:cstheme="minorHAnsi"/>
          <w:kern w:val="24"/>
          <w:lang w:val="en-GB" w:eastAsia="ka-GE"/>
        </w:rPr>
      </w:pPr>
      <w:r w:rsidRPr="00873001">
        <w:rPr>
          <w:rFonts w:eastAsiaTheme="minorEastAsia" w:cstheme="minorHAnsi"/>
          <w:kern w:val="24"/>
          <w:lang w:val="en-GB" w:eastAsia="ka-GE"/>
        </w:rPr>
        <w:t xml:space="preserve">One of the most significant contributions of US Government is an establishment of the Unified Laboratory System (ULS) based on the “One Health” concept, representing by 22 human and animal surveillance labs throughout the country under the Ministry of Labour, Health and Social Affairs and Ministry of Agriculture and the construction of the Richard Lugar </w:t>
      </w:r>
      <w:proofErr w:type="spellStart"/>
      <w:r w:rsidRPr="00873001">
        <w:rPr>
          <w:rFonts w:eastAsiaTheme="minorEastAsia" w:cstheme="minorHAnsi"/>
          <w:kern w:val="24"/>
          <w:lang w:val="en-GB" w:eastAsia="ka-GE"/>
        </w:rPr>
        <w:t>Center</w:t>
      </w:r>
      <w:proofErr w:type="spellEnd"/>
      <w:r w:rsidRPr="00873001">
        <w:rPr>
          <w:rFonts w:eastAsiaTheme="minorEastAsia" w:cstheme="minorHAnsi"/>
          <w:kern w:val="24"/>
          <w:lang w:val="en-GB" w:eastAsia="ka-GE"/>
        </w:rPr>
        <w:t xml:space="preserve"> for Public Health Research, a state-of- the art biosafety level 3 research facility, unique in the Region, which has become a regional hub for Biosafety and Security trainings and is a regional key-player in trans-boundary collaboration. Three Labs of the </w:t>
      </w:r>
      <w:proofErr w:type="spellStart"/>
      <w:r w:rsidRPr="00873001">
        <w:rPr>
          <w:rFonts w:eastAsiaTheme="minorEastAsia" w:cstheme="minorHAnsi"/>
          <w:kern w:val="24"/>
          <w:lang w:val="en-GB" w:eastAsia="ka-GE"/>
        </w:rPr>
        <w:t>Center</w:t>
      </w:r>
      <w:proofErr w:type="spellEnd"/>
      <w:r w:rsidRPr="00873001">
        <w:rPr>
          <w:rFonts w:eastAsiaTheme="minorEastAsia" w:cstheme="minorHAnsi"/>
          <w:kern w:val="24"/>
          <w:lang w:val="en-GB" w:eastAsia="ka-GE"/>
        </w:rPr>
        <w:t xml:space="preserve"> have already received WHO accreditation: 1. Polio (virology and molecular surveillance -which also serves as a referral for Armenia); 2. </w:t>
      </w:r>
      <w:proofErr w:type="gramStart"/>
      <w:r w:rsidRPr="00873001">
        <w:rPr>
          <w:rFonts w:eastAsiaTheme="minorEastAsia" w:cstheme="minorHAnsi"/>
          <w:kern w:val="24"/>
          <w:lang w:val="en-GB" w:eastAsia="ka-GE"/>
        </w:rPr>
        <w:t>Influenza (virology and molecular surveillance) and 3.</w:t>
      </w:r>
      <w:proofErr w:type="gramEnd"/>
      <w:r w:rsidRPr="00873001">
        <w:rPr>
          <w:rFonts w:eastAsiaTheme="minorEastAsia" w:cstheme="minorHAnsi"/>
          <w:kern w:val="24"/>
          <w:lang w:val="en-GB" w:eastAsia="ka-GE"/>
        </w:rPr>
        <w:t xml:space="preserve"> </w:t>
      </w:r>
      <w:proofErr w:type="gramStart"/>
      <w:r w:rsidRPr="00873001">
        <w:rPr>
          <w:rFonts w:eastAsiaTheme="minorEastAsia" w:cstheme="minorHAnsi"/>
          <w:kern w:val="24"/>
          <w:lang w:val="en-GB" w:eastAsia="ka-GE"/>
        </w:rPr>
        <w:t>Measles/Rubella (genotyping and</w:t>
      </w:r>
      <w:r>
        <w:rPr>
          <w:rFonts w:eastAsiaTheme="minorEastAsia" w:cstheme="minorHAnsi"/>
          <w:kern w:val="24"/>
          <w:lang w:val="en-GB" w:eastAsia="ka-GE"/>
        </w:rPr>
        <w:t xml:space="preserve"> </w:t>
      </w:r>
      <w:r w:rsidRPr="00873001">
        <w:rPr>
          <w:rFonts w:eastAsiaTheme="minorEastAsia" w:cstheme="minorHAnsi"/>
          <w:kern w:val="24"/>
          <w:lang w:val="en-GB" w:eastAsia="ka-GE"/>
        </w:rPr>
        <w:t>surveillance).</w:t>
      </w:r>
      <w:proofErr w:type="gramEnd"/>
      <w:r w:rsidRPr="00873001">
        <w:rPr>
          <w:rFonts w:eastAsiaTheme="minorEastAsia" w:cstheme="minorHAnsi"/>
          <w:kern w:val="24"/>
          <w:lang w:val="en-GB" w:eastAsia="ka-GE"/>
        </w:rPr>
        <w:t xml:space="preserve"> Also, the </w:t>
      </w:r>
      <w:proofErr w:type="spellStart"/>
      <w:r w:rsidRPr="00873001">
        <w:rPr>
          <w:rFonts w:eastAsiaTheme="minorEastAsia" w:cstheme="minorHAnsi"/>
          <w:kern w:val="24"/>
          <w:lang w:val="en-GB" w:eastAsia="ka-GE"/>
        </w:rPr>
        <w:t>Center</w:t>
      </w:r>
      <w:proofErr w:type="spellEnd"/>
      <w:r w:rsidRPr="00873001">
        <w:rPr>
          <w:rFonts w:eastAsiaTheme="minorEastAsia" w:cstheme="minorHAnsi"/>
          <w:kern w:val="24"/>
          <w:lang w:val="en-GB" w:eastAsia="ka-GE"/>
        </w:rPr>
        <w:t xml:space="preserve"> has obtained a “Quality Management System” International Standard ISO 9001 certificate in the area of laboratory examinations and was successfully re-certified in 2016.  The same year </w:t>
      </w:r>
      <w:proofErr w:type="gramStart"/>
      <w:r w:rsidRPr="00873001">
        <w:rPr>
          <w:rFonts w:eastAsiaTheme="minorEastAsia" w:cstheme="minorHAnsi"/>
          <w:kern w:val="24"/>
          <w:lang w:val="en-GB" w:eastAsia="ka-GE"/>
        </w:rPr>
        <w:t>the  process</w:t>
      </w:r>
      <w:proofErr w:type="gramEnd"/>
      <w:r w:rsidRPr="00873001">
        <w:rPr>
          <w:rFonts w:eastAsiaTheme="minorEastAsia" w:cstheme="minorHAnsi"/>
          <w:kern w:val="24"/>
          <w:lang w:val="en-GB" w:eastAsia="ka-GE"/>
        </w:rPr>
        <w:t xml:space="preserve"> for obtaining a certificate for the international standard ISO 15189 has been initiated by the Lugar </w:t>
      </w:r>
      <w:proofErr w:type="spellStart"/>
      <w:r w:rsidRPr="00873001">
        <w:rPr>
          <w:rFonts w:eastAsiaTheme="minorEastAsia" w:cstheme="minorHAnsi"/>
          <w:kern w:val="24"/>
          <w:lang w:val="en-GB" w:eastAsia="ka-GE"/>
        </w:rPr>
        <w:t>Center</w:t>
      </w:r>
      <w:proofErr w:type="spellEnd"/>
      <w:r w:rsidRPr="00873001">
        <w:rPr>
          <w:rFonts w:eastAsiaTheme="minorEastAsia" w:cstheme="minorHAnsi"/>
          <w:kern w:val="24"/>
          <w:lang w:val="en-GB" w:eastAsia="ka-GE"/>
        </w:rPr>
        <w:t xml:space="preserve"> for General Bacteriology and Serology and it’s in a final stage.</w:t>
      </w:r>
      <w:r w:rsidRPr="007F44A6">
        <w:rPr>
          <w:rFonts w:eastAsiaTheme="minorEastAsia" w:cstheme="minorHAnsi"/>
          <w:kern w:val="24"/>
          <w:lang w:val="en-GB" w:eastAsia="ka-GE"/>
        </w:rPr>
        <w:t xml:space="preserve"> </w:t>
      </w:r>
    </w:p>
    <w:p w:rsidR="00417E0D" w:rsidRPr="00873001" w:rsidRDefault="00417E0D" w:rsidP="00417E0D">
      <w:pPr>
        <w:contextualSpacing/>
        <w:jc w:val="both"/>
        <w:rPr>
          <w:rFonts w:eastAsiaTheme="minorEastAsia" w:cstheme="minorHAnsi"/>
          <w:kern w:val="24"/>
          <w:lang w:val="en-GB" w:eastAsia="ka-GE"/>
        </w:rPr>
      </w:pPr>
    </w:p>
    <w:p w:rsidR="00417E0D" w:rsidRPr="00873001" w:rsidRDefault="00417E0D" w:rsidP="00417E0D">
      <w:pPr>
        <w:contextualSpacing/>
        <w:jc w:val="both"/>
        <w:rPr>
          <w:rFonts w:eastAsiaTheme="minorEastAsia" w:cstheme="minorHAnsi"/>
          <w:kern w:val="24"/>
          <w:lang w:val="en-GB" w:eastAsia="ka-GE"/>
        </w:rPr>
      </w:pPr>
      <w:r w:rsidRPr="00873001">
        <w:rPr>
          <w:rFonts w:eastAsiaTheme="minorEastAsia" w:cstheme="minorHAnsi"/>
          <w:kern w:val="24"/>
          <w:lang w:val="en-GB" w:eastAsia="ka-GE"/>
        </w:rPr>
        <w:t xml:space="preserve">Information exchange for GHSA is considered to be the proxy indicator for controlling and managing communicable diseases. In this regard, </w:t>
      </w:r>
      <w:proofErr w:type="spellStart"/>
      <w:r w:rsidRPr="00873001">
        <w:rPr>
          <w:rFonts w:eastAsiaTheme="minorEastAsia" w:cstheme="minorHAnsi"/>
          <w:kern w:val="24"/>
          <w:lang w:val="en-GB" w:eastAsia="ka-GE"/>
        </w:rPr>
        <w:t>Biosurveillance</w:t>
      </w:r>
      <w:proofErr w:type="spellEnd"/>
      <w:r w:rsidRPr="00873001">
        <w:rPr>
          <w:rFonts w:eastAsiaTheme="minorEastAsia" w:cstheme="minorHAnsi"/>
          <w:kern w:val="24"/>
          <w:lang w:val="en-GB" w:eastAsia="ka-GE"/>
        </w:rPr>
        <w:t xml:space="preserve"> Network of the Silk Road (BNSR) as a regional partnership, which consists of Human and Animal Health professionals from Georgia, Azerbaijan, Kazakhstan, and Ukraine, works to create sustainable, integrated disease surveillance network, thereby contributing to One Health perspective and supporting the implementation of global health security agenda within the region.  </w:t>
      </w:r>
    </w:p>
    <w:p w:rsidR="00417E0D" w:rsidRPr="00873001" w:rsidRDefault="00417E0D" w:rsidP="00417E0D">
      <w:pPr>
        <w:contextualSpacing/>
        <w:jc w:val="both"/>
        <w:rPr>
          <w:rFonts w:eastAsiaTheme="minorEastAsia" w:cstheme="minorHAnsi"/>
          <w:kern w:val="24"/>
          <w:lang w:val="en-GB" w:eastAsia="ka-GE"/>
        </w:rPr>
      </w:pPr>
    </w:p>
    <w:p w:rsidR="00417E0D" w:rsidRPr="00873001" w:rsidRDefault="00417E0D" w:rsidP="00417E0D">
      <w:pPr>
        <w:jc w:val="both"/>
        <w:rPr>
          <w:rFonts w:eastAsiaTheme="minorEastAsia" w:cstheme="minorHAnsi"/>
          <w:kern w:val="24"/>
          <w:lang w:val="en-GB" w:eastAsia="ka-GE"/>
        </w:rPr>
      </w:pPr>
      <w:r w:rsidRPr="00873001">
        <w:rPr>
          <w:rFonts w:eastAsiaTheme="minorEastAsia" w:cstheme="minorHAnsi"/>
          <w:kern w:val="24"/>
          <w:lang w:val="en-GB" w:eastAsia="ka-GE"/>
        </w:rPr>
        <w:t xml:space="preserve">International Health Regulations (IHR) </w:t>
      </w:r>
      <w:proofErr w:type="gramStart"/>
      <w:r w:rsidRPr="00873001">
        <w:rPr>
          <w:rFonts w:eastAsiaTheme="minorEastAsia" w:cstheme="minorHAnsi"/>
          <w:kern w:val="24"/>
          <w:lang w:val="en-GB" w:eastAsia="ka-GE"/>
        </w:rPr>
        <w:t>represent</w:t>
      </w:r>
      <w:proofErr w:type="gramEnd"/>
      <w:r w:rsidRPr="00873001">
        <w:rPr>
          <w:rFonts w:eastAsiaTheme="minorEastAsia" w:cstheme="minorHAnsi"/>
          <w:kern w:val="24"/>
          <w:lang w:val="en-GB" w:eastAsia="ka-GE"/>
        </w:rPr>
        <w:t xml:space="preserve"> a key tool in enhancing global health security. The successful implementation of the IHR requires a national public health system with capacity to respond to public health emergencies of the national and/or international concern. Georgia reached the full compliance with the core IHR requirements by June 2012, the deadline set by the World Health Organization (WHO).</w:t>
      </w:r>
    </w:p>
    <w:p w:rsidR="00417E0D" w:rsidRDefault="00417E0D" w:rsidP="00417E0D">
      <w:pPr>
        <w:jc w:val="both"/>
        <w:rPr>
          <w:rFonts w:eastAsiaTheme="minorEastAsia" w:cstheme="minorHAnsi"/>
          <w:kern w:val="24"/>
          <w:lang w:val="en-GB" w:eastAsia="ka-GE"/>
        </w:rPr>
      </w:pPr>
      <w:r w:rsidRPr="00873001">
        <w:rPr>
          <w:rFonts w:eastAsiaTheme="minorEastAsia" w:cstheme="minorHAnsi"/>
          <w:kern w:val="24"/>
          <w:lang w:val="en-GB" w:eastAsia="ka-GE"/>
        </w:rPr>
        <w:t xml:space="preserve">Strengthening capabilities to get prepared and rapidly respond to public health emergencies was identified as one of the major priorities in the country. An initial capacity has been established and collaboration is ongoing with US </w:t>
      </w:r>
      <w:proofErr w:type="spellStart"/>
      <w:r w:rsidRPr="00873001">
        <w:rPr>
          <w:rFonts w:eastAsiaTheme="minorEastAsia" w:cstheme="minorHAnsi"/>
          <w:kern w:val="24"/>
          <w:lang w:val="en-GB" w:eastAsia="ka-GE"/>
        </w:rPr>
        <w:t>Centers</w:t>
      </w:r>
      <w:proofErr w:type="spellEnd"/>
      <w:r w:rsidRPr="00873001">
        <w:rPr>
          <w:rFonts w:eastAsiaTheme="minorEastAsia" w:cstheme="minorHAnsi"/>
          <w:kern w:val="24"/>
          <w:lang w:val="en-GB" w:eastAsia="ka-GE"/>
        </w:rPr>
        <w:t xml:space="preserve"> for Disease Control and Prevention (CDC) to develop public health emergency program framework. The significant achievement of this collaboration is the detection of unknown </w:t>
      </w:r>
      <w:proofErr w:type="spellStart"/>
      <w:r w:rsidRPr="00873001">
        <w:rPr>
          <w:rFonts w:eastAsiaTheme="minorEastAsia" w:cstheme="minorHAnsi"/>
          <w:kern w:val="24"/>
          <w:lang w:val="en-GB" w:eastAsia="ka-GE"/>
        </w:rPr>
        <w:t>orthopoxvirus</w:t>
      </w:r>
      <w:proofErr w:type="spellEnd"/>
      <w:r w:rsidRPr="00873001">
        <w:rPr>
          <w:rFonts w:eastAsiaTheme="minorEastAsia" w:cstheme="minorHAnsi"/>
          <w:kern w:val="24"/>
          <w:lang w:val="en-GB" w:eastAsia="ka-GE"/>
        </w:rPr>
        <w:t xml:space="preserve"> that has been named as the </w:t>
      </w:r>
      <w:proofErr w:type="spellStart"/>
      <w:r w:rsidRPr="00873001">
        <w:rPr>
          <w:rFonts w:eastAsiaTheme="minorEastAsia" w:cstheme="minorHAnsi"/>
          <w:kern w:val="24"/>
          <w:lang w:val="en-GB" w:eastAsia="ka-GE"/>
        </w:rPr>
        <w:t>Akhmeta</w:t>
      </w:r>
      <w:proofErr w:type="spellEnd"/>
      <w:r w:rsidRPr="00873001">
        <w:rPr>
          <w:rFonts w:eastAsiaTheme="minorEastAsia" w:cstheme="minorHAnsi"/>
          <w:kern w:val="24"/>
          <w:lang w:val="en-GB" w:eastAsia="ka-GE"/>
        </w:rPr>
        <w:t xml:space="preserve"> virus.</w:t>
      </w:r>
    </w:p>
    <w:p w:rsidR="00417E0D" w:rsidRPr="00640A60" w:rsidRDefault="00417E0D" w:rsidP="00417E0D">
      <w:pPr>
        <w:spacing w:after="120"/>
        <w:jc w:val="both"/>
        <w:rPr>
          <w:rStyle w:val="shorttext"/>
          <w:b/>
          <w:sz w:val="24"/>
          <w:szCs w:val="24"/>
          <w:lang w:val="en"/>
        </w:rPr>
      </w:pPr>
      <w:r w:rsidRPr="002C0011">
        <w:rPr>
          <w:rStyle w:val="shorttext"/>
          <w:b/>
          <w:sz w:val="24"/>
          <w:szCs w:val="24"/>
          <w:lang w:val="en"/>
        </w:rPr>
        <w:t>As</w:t>
      </w:r>
      <w:r>
        <w:rPr>
          <w:rStyle w:val="shorttext"/>
          <w:b/>
          <w:sz w:val="24"/>
          <w:szCs w:val="24"/>
          <w:lang w:val="en"/>
        </w:rPr>
        <w:t xml:space="preserve">sess the public </w:t>
      </w:r>
      <w:r w:rsidRPr="002C0011">
        <w:rPr>
          <w:rStyle w:val="shorttext"/>
          <w:b/>
          <w:sz w:val="24"/>
          <w:szCs w:val="24"/>
          <w:lang w:val="en"/>
        </w:rPr>
        <w:t>knowledge on antibiotics and antimicrobial resistance</w:t>
      </w:r>
      <w:r>
        <w:rPr>
          <w:rStyle w:val="shorttext"/>
          <w:b/>
          <w:sz w:val="24"/>
          <w:szCs w:val="24"/>
          <w:lang w:val="en"/>
        </w:rPr>
        <w:t xml:space="preserve"> </w:t>
      </w:r>
    </w:p>
    <w:p w:rsidR="00417E0D" w:rsidRDefault="00417E0D" w:rsidP="00417E0D">
      <w:pPr>
        <w:spacing w:after="120"/>
        <w:jc w:val="both"/>
        <w:rPr>
          <w:rStyle w:val="shorttext"/>
          <w:sz w:val="24"/>
          <w:szCs w:val="24"/>
          <w:lang w:val="en"/>
        </w:rPr>
      </w:pPr>
      <w:proofErr w:type="gramStart"/>
      <w:r>
        <w:rPr>
          <w:rStyle w:val="shorttext"/>
          <w:sz w:val="24"/>
          <w:szCs w:val="24"/>
          <w:lang w:val="en"/>
        </w:rPr>
        <w:t>Level of kn</w:t>
      </w:r>
      <w:r w:rsidRPr="00B43038">
        <w:rPr>
          <w:rStyle w:val="shorttext"/>
          <w:sz w:val="24"/>
          <w:szCs w:val="24"/>
          <w:lang w:val="en"/>
        </w:rPr>
        <w:t xml:space="preserve">owledge </w:t>
      </w:r>
      <w:r>
        <w:rPr>
          <w:rStyle w:val="shorttext"/>
          <w:sz w:val="24"/>
          <w:szCs w:val="24"/>
          <w:lang w:val="en"/>
        </w:rPr>
        <w:t>on</w:t>
      </w:r>
      <w:r w:rsidRPr="00B43038">
        <w:rPr>
          <w:rStyle w:val="shorttext"/>
          <w:sz w:val="24"/>
          <w:szCs w:val="24"/>
          <w:lang w:val="en"/>
        </w:rPr>
        <w:t xml:space="preserve"> antibiotics and antimicrobial resi</w:t>
      </w:r>
      <w:r>
        <w:rPr>
          <w:rStyle w:val="shorttext"/>
          <w:sz w:val="24"/>
          <w:szCs w:val="24"/>
          <w:lang w:val="en"/>
        </w:rPr>
        <w:t>stance</w:t>
      </w:r>
      <w:r w:rsidRPr="00B43038">
        <w:rPr>
          <w:rStyle w:val="shorttext"/>
          <w:sz w:val="24"/>
          <w:szCs w:val="24"/>
          <w:lang w:val="en"/>
        </w:rPr>
        <w:t xml:space="preserve"> </w:t>
      </w:r>
      <w:r>
        <w:rPr>
          <w:rStyle w:val="shorttext"/>
          <w:sz w:val="24"/>
          <w:szCs w:val="24"/>
          <w:lang w:val="en"/>
        </w:rPr>
        <w:t>among</w:t>
      </w:r>
      <w:r w:rsidRPr="00B43038">
        <w:rPr>
          <w:rStyle w:val="shorttext"/>
          <w:sz w:val="24"/>
          <w:szCs w:val="24"/>
          <w:lang w:val="en"/>
        </w:rPr>
        <w:t xml:space="preserve"> general population</w:t>
      </w:r>
      <w:r>
        <w:rPr>
          <w:rStyle w:val="shorttext"/>
          <w:sz w:val="24"/>
          <w:szCs w:val="24"/>
          <w:lang w:val="en"/>
        </w:rPr>
        <w:t>, students and medical personnel have</w:t>
      </w:r>
      <w:proofErr w:type="gramEnd"/>
      <w:r>
        <w:rPr>
          <w:rStyle w:val="shorttext"/>
          <w:sz w:val="24"/>
          <w:szCs w:val="24"/>
          <w:lang w:val="en"/>
        </w:rPr>
        <w:t xml:space="preserve"> been studied. A</w:t>
      </w:r>
      <w:r w:rsidRPr="00B43038">
        <w:rPr>
          <w:rStyle w:val="shorttext"/>
          <w:sz w:val="24"/>
          <w:szCs w:val="24"/>
          <w:lang w:val="en"/>
        </w:rPr>
        <w:t xml:space="preserve"> questionnaire on awareness on antibiotics and </w:t>
      </w:r>
      <w:r w:rsidRPr="00B43038">
        <w:rPr>
          <w:rStyle w:val="shorttext"/>
          <w:sz w:val="24"/>
          <w:szCs w:val="24"/>
          <w:lang w:val="en"/>
        </w:rPr>
        <w:lastRenderedPageBreak/>
        <w:t>antimicrobial resistance has been developed (</w:t>
      </w:r>
      <w:r>
        <w:rPr>
          <w:rStyle w:val="shorttext"/>
          <w:sz w:val="24"/>
          <w:szCs w:val="24"/>
          <w:lang w:val="en"/>
        </w:rPr>
        <w:t xml:space="preserve">the tool was adapted in accordance to </w:t>
      </w:r>
      <w:r w:rsidRPr="00B43038">
        <w:rPr>
          <w:rStyle w:val="shorttext"/>
          <w:sz w:val="24"/>
          <w:szCs w:val="24"/>
          <w:lang w:val="en"/>
        </w:rPr>
        <w:t>World Health Organization's respective questionnaire). Respective database was created for data analysis.</w:t>
      </w:r>
    </w:p>
    <w:p w:rsidR="00417E0D" w:rsidRPr="001F7A12" w:rsidRDefault="00417E0D" w:rsidP="00417E0D">
      <w:pPr>
        <w:jc w:val="both"/>
        <w:rPr>
          <w:rStyle w:val="shorttext"/>
          <w:sz w:val="24"/>
          <w:szCs w:val="24"/>
        </w:rPr>
      </w:pPr>
      <w:r>
        <w:rPr>
          <w:sz w:val="24"/>
          <w:szCs w:val="24"/>
        </w:rPr>
        <w:t xml:space="preserve">The </w:t>
      </w:r>
      <w:r w:rsidRPr="00B43038">
        <w:rPr>
          <w:sz w:val="24"/>
          <w:szCs w:val="24"/>
        </w:rPr>
        <w:t xml:space="preserve">survey has shown that the degree of knowledge among general population on antibiotic and antimicrobial resistance is </w:t>
      </w:r>
      <w:r>
        <w:rPr>
          <w:sz w:val="24"/>
          <w:szCs w:val="24"/>
        </w:rPr>
        <w:t>not sufficient</w:t>
      </w:r>
      <w:r w:rsidRPr="00B43038">
        <w:rPr>
          <w:sz w:val="24"/>
          <w:szCs w:val="24"/>
        </w:rPr>
        <w:t xml:space="preserve">, which </w:t>
      </w:r>
      <w:r>
        <w:rPr>
          <w:sz w:val="24"/>
          <w:szCs w:val="24"/>
        </w:rPr>
        <w:t xml:space="preserve">highlights </w:t>
      </w:r>
      <w:r w:rsidRPr="00B43038">
        <w:rPr>
          <w:sz w:val="24"/>
          <w:szCs w:val="24"/>
        </w:rPr>
        <w:t>the necessity of awareness campaigns through mass media and social media, which itself would lead to change of behavior in regards to antibiotic usage.</w:t>
      </w:r>
      <w:r>
        <w:rPr>
          <w:sz w:val="24"/>
          <w:szCs w:val="24"/>
        </w:rPr>
        <w:t xml:space="preserve"> </w:t>
      </w:r>
      <w:proofErr w:type="gramStart"/>
      <w:r>
        <w:rPr>
          <w:sz w:val="24"/>
          <w:szCs w:val="24"/>
        </w:rPr>
        <w:t xml:space="preserve">As for at the professional level, the survey </w:t>
      </w:r>
      <w:r w:rsidRPr="00B43038">
        <w:rPr>
          <w:sz w:val="24"/>
          <w:szCs w:val="24"/>
        </w:rPr>
        <w:t xml:space="preserve">revealed </w:t>
      </w:r>
      <w:r>
        <w:rPr>
          <w:sz w:val="24"/>
          <w:szCs w:val="24"/>
        </w:rPr>
        <w:t xml:space="preserve">the necessity to strengthen the under-graduate and </w:t>
      </w:r>
      <w:r w:rsidRPr="00B43038">
        <w:rPr>
          <w:sz w:val="24"/>
          <w:szCs w:val="24"/>
        </w:rPr>
        <w:t>post-grad</w:t>
      </w:r>
      <w:r>
        <w:rPr>
          <w:sz w:val="24"/>
          <w:szCs w:val="24"/>
        </w:rPr>
        <w:t xml:space="preserve">uate education on </w:t>
      </w:r>
      <w:r w:rsidRPr="00B43038">
        <w:rPr>
          <w:rStyle w:val="shorttext"/>
          <w:sz w:val="24"/>
          <w:szCs w:val="24"/>
          <w:lang w:val="en"/>
        </w:rPr>
        <w:t>antibiotics and antimicrobial resi</w:t>
      </w:r>
      <w:r>
        <w:rPr>
          <w:rStyle w:val="shorttext"/>
          <w:sz w:val="24"/>
          <w:szCs w:val="24"/>
          <w:lang w:val="en"/>
        </w:rPr>
        <w:t>stance.</w:t>
      </w:r>
      <w:proofErr w:type="gramEnd"/>
      <w:r>
        <w:rPr>
          <w:rStyle w:val="shorttext"/>
          <w:sz w:val="24"/>
          <w:szCs w:val="24"/>
          <w:lang w:val="en"/>
        </w:rPr>
        <w:t xml:space="preserve"> </w:t>
      </w:r>
    </w:p>
    <w:p w:rsidR="00417E0D" w:rsidRDefault="00417E0D" w:rsidP="00417E0D">
      <w:pPr>
        <w:spacing w:after="120"/>
        <w:jc w:val="both"/>
        <w:rPr>
          <w:sz w:val="24"/>
          <w:szCs w:val="24"/>
        </w:rPr>
      </w:pPr>
      <w:r>
        <w:rPr>
          <w:rStyle w:val="shorttext"/>
          <w:sz w:val="24"/>
          <w:szCs w:val="24"/>
        </w:rPr>
        <w:t xml:space="preserve">In order to </w:t>
      </w:r>
      <w:r>
        <w:rPr>
          <w:rStyle w:val="shorttext"/>
          <w:sz w:val="24"/>
          <w:szCs w:val="24"/>
          <w:lang w:val="en"/>
        </w:rPr>
        <w:t>increase the</w:t>
      </w:r>
      <w:r w:rsidRPr="00B43038">
        <w:rPr>
          <w:rStyle w:val="shorttext"/>
          <w:sz w:val="24"/>
          <w:szCs w:val="24"/>
          <w:lang w:val="en"/>
        </w:rPr>
        <w:t xml:space="preserve"> awareness on antibiotics and antimicrobial resistance</w:t>
      </w:r>
      <w:r>
        <w:rPr>
          <w:rStyle w:val="shorttext"/>
          <w:sz w:val="24"/>
          <w:szCs w:val="24"/>
          <w:lang w:val="en"/>
        </w:rPr>
        <w:t>, the information have been delivered to the general population by various tools of mass media (TV and radio program discussions) and social media, in addition, open meetings with students and medical personnel</w:t>
      </w:r>
      <w:r w:rsidRPr="00B43038">
        <w:rPr>
          <w:sz w:val="24"/>
          <w:szCs w:val="24"/>
        </w:rPr>
        <w:t>.</w:t>
      </w:r>
    </w:p>
    <w:p w:rsidR="00417E0D" w:rsidRDefault="00417E0D" w:rsidP="00417E0D">
      <w:pPr>
        <w:spacing w:after="120"/>
        <w:jc w:val="both"/>
        <w:rPr>
          <w:sz w:val="24"/>
          <w:szCs w:val="24"/>
        </w:rPr>
      </w:pPr>
    </w:p>
    <w:p w:rsidR="00417E0D" w:rsidRPr="00462E64" w:rsidRDefault="00417E0D" w:rsidP="00417E0D">
      <w:pPr>
        <w:spacing w:after="120"/>
        <w:jc w:val="both"/>
        <w:rPr>
          <w:rStyle w:val="shorttext"/>
          <w:b/>
          <w:sz w:val="24"/>
          <w:szCs w:val="24"/>
        </w:rPr>
      </w:pPr>
      <w:r>
        <w:rPr>
          <w:b/>
          <w:color w:val="000000"/>
        </w:rPr>
        <w:t>P</w:t>
      </w:r>
      <w:r w:rsidRPr="00462E64">
        <w:rPr>
          <w:b/>
          <w:color w:val="000000"/>
        </w:rPr>
        <w:t xml:space="preserve">rovide PPS Study </w:t>
      </w:r>
    </w:p>
    <w:p w:rsidR="00417E0D" w:rsidRDefault="00417E0D" w:rsidP="00417E0D">
      <w:pPr>
        <w:spacing w:after="120"/>
        <w:jc w:val="both"/>
        <w:rPr>
          <w:rStyle w:val="shorttext"/>
          <w:sz w:val="24"/>
          <w:szCs w:val="24"/>
        </w:rPr>
      </w:pPr>
      <w:r>
        <w:rPr>
          <w:rStyle w:val="shorttext"/>
          <w:sz w:val="24"/>
          <w:szCs w:val="24"/>
        </w:rPr>
        <w:t xml:space="preserve">First in Georgia was conducted a </w:t>
      </w:r>
      <w:r w:rsidRPr="00B43038">
        <w:rPr>
          <w:rStyle w:val="shorttext"/>
          <w:sz w:val="24"/>
          <w:szCs w:val="24"/>
          <w:lang w:val="en"/>
        </w:rPr>
        <w:t xml:space="preserve">Point Prevalence </w:t>
      </w:r>
      <w:r>
        <w:rPr>
          <w:rStyle w:val="shorttext"/>
          <w:sz w:val="24"/>
          <w:szCs w:val="24"/>
        </w:rPr>
        <w:t xml:space="preserve">Survey (PPS) study on </w:t>
      </w:r>
      <w:r w:rsidRPr="00B43038">
        <w:rPr>
          <w:rStyle w:val="shorttext"/>
          <w:sz w:val="24"/>
          <w:szCs w:val="24"/>
          <w:lang w:val="en"/>
        </w:rPr>
        <w:t>Antimicrobial Consumption and Resistance</w:t>
      </w:r>
      <w:r>
        <w:rPr>
          <w:rStyle w:val="shorttext"/>
          <w:sz w:val="24"/>
          <w:szCs w:val="24"/>
        </w:rPr>
        <w:t xml:space="preserve"> in the six hospitals (pilot study). The </w:t>
      </w:r>
      <w:proofErr w:type="gramStart"/>
      <w:r>
        <w:rPr>
          <w:rStyle w:val="shorttext"/>
          <w:sz w:val="24"/>
          <w:szCs w:val="24"/>
        </w:rPr>
        <w:t>survey give</w:t>
      </w:r>
      <w:proofErr w:type="gramEnd"/>
      <w:r>
        <w:rPr>
          <w:rStyle w:val="shorttext"/>
          <w:sz w:val="24"/>
          <w:szCs w:val="24"/>
        </w:rPr>
        <w:t xml:space="preserve"> us a significant information about the antibiotics usage and health-care association infections. In the future PPS study is planned to be conducted annually in hospitals of Georgia.</w:t>
      </w:r>
    </w:p>
    <w:p w:rsidR="00417E0D" w:rsidRPr="00E4647B" w:rsidRDefault="00417E0D" w:rsidP="00417E0D">
      <w:pPr>
        <w:spacing w:after="120"/>
        <w:jc w:val="both"/>
        <w:rPr>
          <w:rStyle w:val="shorttext"/>
          <w:sz w:val="24"/>
          <w:szCs w:val="24"/>
        </w:rPr>
      </w:pPr>
    </w:p>
    <w:p w:rsidR="00417E0D" w:rsidRPr="00E4647B" w:rsidRDefault="00417E0D" w:rsidP="00417E0D">
      <w:pPr>
        <w:pStyle w:val="Default"/>
        <w:spacing w:line="480" w:lineRule="auto"/>
        <w:jc w:val="both"/>
        <w:rPr>
          <w:rFonts w:ascii="Sylfaen" w:hAnsi="Sylfaen"/>
          <w:b/>
          <w:bCs/>
          <w:i/>
          <w:iCs/>
          <w:sz w:val="22"/>
          <w:szCs w:val="22"/>
        </w:rPr>
      </w:pPr>
      <w:r w:rsidRPr="00E4647B">
        <w:rPr>
          <w:rFonts w:ascii="Sylfaen" w:hAnsi="Sylfaen"/>
          <w:b/>
          <w:bCs/>
          <w:iCs/>
          <w:sz w:val="22"/>
          <w:szCs w:val="22"/>
        </w:rPr>
        <w:t>Strengthen microbiology reference lab capacity</w:t>
      </w:r>
      <w:r w:rsidRPr="00E4647B">
        <w:rPr>
          <w:rFonts w:ascii="Sylfaen" w:hAnsi="Sylfaen"/>
          <w:b/>
          <w:bCs/>
          <w:i/>
          <w:iCs/>
          <w:sz w:val="22"/>
          <w:szCs w:val="22"/>
        </w:rPr>
        <w:t xml:space="preserve"> </w:t>
      </w:r>
    </w:p>
    <w:p w:rsidR="00417E0D" w:rsidRPr="00417E0D" w:rsidRDefault="00417E0D" w:rsidP="00417E0D">
      <w:pPr>
        <w:spacing w:after="120"/>
        <w:jc w:val="both"/>
        <w:rPr>
          <w:rStyle w:val="shorttext"/>
          <w:sz w:val="24"/>
          <w:szCs w:val="24"/>
        </w:rPr>
      </w:pPr>
      <w:r w:rsidRPr="00417E0D">
        <w:rPr>
          <w:rStyle w:val="shorttext"/>
          <w:sz w:val="24"/>
          <w:szCs w:val="24"/>
        </w:rPr>
        <w:t xml:space="preserve">The following activities have been considered to be implemented: </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 xml:space="preserve">Strengthen Microbiology Reference Laboratory (Lugar Center) Capacity </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Establish a National Bacteriology External Quality Assurance (EQA) Program (</w:t>
      </w:r>
      <w:proofErr w:type="spellStart"/>
      <w:r w:rsidRPr="00417E0D">
        <w:rPr>
          <w:rStyle w:val="shorttext"/>
          <w:sz w:val="24"/>
          <w:szCs w:val="24"/>
        </w:rPr>
        <w:t>bacterila</w:t>
      </w:r>
      <w:proofErr w:type="spellEnd"/>
      <w:r w:rsidRPr="00417E0D">
        <w:rPr>
          <w:rStyle w:val="shorttext"/>
          <w:sz w:val="24"/>
          <w:szCs w:val="24"/>
        </w:rPr>
        <w:t xml:space="preserve"> identification and antibiotic susceptibility )</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Work on Recommendations for Corrective Actions and mentoring Georgian microbiologists</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 xml:space="preserve">In the 1st round of the project have been performed and implemented: </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Review/adopt standard operation procedures (SOPs) and protocols for lab standardization at Lugar Center</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Develop EQA Forms</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Prepare procurement list</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 xml:space="preserve">Prepare 1st EQA panel  </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Evaluation of 1st EQA panel  at Lugar Center</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 xml:space="preserve">Distribution of 1st EQA </w:t>
      </w:r>
      <w:proofErr w:type="spellStart"/>
      <w:r w:rsidRPr="00417E0D">
        <w:rPr>
          <w:rStyle w:val="shorttext"/>
          <w:sz w:val="24"/>
          <w:szCs w:val="24"/>
        </w:rPr>
        <w:t>procifiency</w:t>
      </w:r>
      <w:proofErr w:type="spellEnd"/>
      <w:r w:rsidRPr="00417E0D">
        <w:rPr>
          <w:rStyle w:val="shorttext"/>
          <w:sz w:val="24"/>
          <w:szCs w:val="24"/>
        </w:rPr>
        <w:t xml:space="preserve"> testing (PT) panel between laboratories (in first round had been involved 4 laboratories only)</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lastRenderedPageBreak/>
        <w:t xml:space="preserve">Evaluate first results of PTs from labs </w:t>
      </w:r>
    </w:p>
    <w:p w:rsidR="00417E0D" w:rsidRPr="00417E0D" w:rsidRDefault="00417E0D" w:rsidP="00417E0D">
      <w:pPr>
        <w:pStyle w:val="ListParagraph"/>
        <w:numPr>
          <w:ilvl w:val="0"/>
          <w:numId w:val="2"/>
        </w:numPr>
        <w:spacing w:after="120"/>
        <w:jc w:val="both"/>
        <w:rPr>
          <w:rStyle w:val="shorttext"/>
          <w:sz w:val="24"/>
          <w:szCs w:val="24"/>
        </w:rPr>
      </w:pPr>
      <w:r w:rsidRPr="00417E0D">
        <w:rPr>
          <w:rStyle w:val="shorttext"/>
          <w:sz w:val="24"/>
          <w:szCs w:val="24"/>
        </w:rPr>
        <w:t xml:space="preserve">Sending feedback of EQA PT to labs </w:t>
      </w:r>
    </w:p>
    <w:p w:rsidR="00417E0D" w:rsidRPr="00417E0D" w:rsidRDefault="00417E0D" w:rsidP="00417E0D">
      <w:pPr>
        <w:spacing w:after="120"/>
        <w:jc w:val="both"/>
        <w:rPr>
          <w:rStyle w:val="shorttext"/>
          <w:sz w:val="24"/>
          <w:szCs w:val="24"/>
        </w:rPr>
      </w:pPr>
      <w:r w:rsidRPr="00417E0D">
        <w:rPr>
          <w:rStyle w:val="shorttext"/>
          <w:sz w:val="24"/>
          <w:szCs w:val="24"/>
        </w:rPr>
        <w:t> </w:t>
      </w:r>
    </w:p>
    <w:p w:rsidR="00417E0D" w:rsidRDefault="00417E0D" w:rsidP="00417E0D">
      <w:pPr>
        <w:pStyle w:val="Default"/>
        <w:jc w:val="both"/>
        <w:rPr>
          <w:rFonts w:ascii="Sylfaen" w:hAnsi="Sylfaen"/>
          <w:b/>
        </w:rPr>
      </w:pPr>
      <w:r>
        <w:rPr>
          <w:rFonts w:ascii="Sylfaen" w:hAnsi="Sylfaen"/>
          <w:b/>
          <w:lang w:val="en-GB"/>
        </w:rPr>
        <w:t>E</w:t>
      </w:r>
      <w:proofErr w:type="spellStart"/>
      <w:r w:rsidRPr="006C0E31">
        <w:rPr>
          <w:rFonts w:ascii="Sylfaen" w:hAnsi="Sylfaen"/>
          <w:b/>
        </w:rPr>
        <w:t>stabli</w:t>
      </w:r>
      <w:r>
        <w:rPr>
          <w:rFonts w:ascii="Sylfaen" w:hAnsi="Sylfaen"/>
          <w:b/>
        </w:rPr>
        <w:t>shment</w:t>
      </w:r>
      <w:proofErr w:type="spellEnd"/>
      <w:r>
        <w:rPr>
          <w:rFonts w:ascii="Sylfaen" w:hAnsi="Sylfaen"/>
          <w:b/>
        </w:rPr>
        <w:t xml:space="preserve"> of </w:t>
      </w:r>
      <w:r w:rsidRPr="006C0E31">
        <w:rPr>
          <w:rFonts w:ascii="Sylfaen" w:hAnsi="Sylfaen"/>
          <w:b/>
        </w:rPr>
        <w:t xml:space="preserve">Health-care Associated Infections (HAI) sentinel based surveillance </w:t>
      </w:r>
    </w:p>
    <w:p w:rsidR="00417E0D" w:rsidRDefault="00417E0D" w:rsidP="00417E0D">
      <w:pPr>
        <w:pStyle w:val="Default"/>
        <w:jc w:val="both"/>
        <w:rPr>
          <w:rFonts w:ascii="Sylfaen" w:hAnsi="Sylfaen"/>
          <w:b/>
        </w:rPr>
      </w:pPr>
    </w:p>
    <w:p w:rsidR="00417E0D" w:rsidRPr="00417E0D" w:rsidRDefault="00417E0D" w:rsidP="00417E0D">
      <w:pPr>
        <w:spacing w:after="120"/>
        <w:jc w:val="both"/>
        <w:rPr>
          <w:rStyle w:val="shorttext"/>
          <w:sz w:val="24"/>
          <w:szCs w:val="24"/>
        </w:rPr>
      </w:pPr>
      <w:r w:rsidRPr="00417E0D">
        <w:rPr>
          <w:rStyle w:val="shorttext"/>
          <w:sz w:val="24"/>
          <w:szCs w:val="24"/>
        </w:rPr>
        <w:t>Two hospitals were selected based on which Sentinel Sites have been established. According to the US CDC Protocol, the introduction of a new surveillance system for HAI has begun in ICU departments focused on blood-stream infections (BSI) and urinary tract infections (UTI).  Within the sentinel settings Surveillance protocol trainings were provided to medical personnel.</w:t>
      </w:r>
    </w:p>
    <w:p w:rsidR="00417E0D" w:rsidRPr="00417E0D" w:rsidRDefault="00417E0D" w:rsidP="00417E0D">
      <w:pPr>
        <w:spacing w:after="120"/>
        <w:jc w:val="both"/>
        <w:rPr>
          <w:rStyle w:val="shorttext"/>
          <w:sz w:val="24"/>
          <w:szCs w:val="24"/>
        </w:rPr>
      </w:pPr>
      <w:r w:rsidRPr="00417E0D">
        <w:rPr>
          <w:rStyle w:val="shorttext"/>
          <w:sz w:val="24"/>
          <w:szCs w:val="24"/>
        </w:rPr>
        <w:t>Clinical samples microbiological study and antibiotic susceptibility are conducting at the Lugar Center labs.</w:t>
      </w:r>
    </w:p>
    <w:p w:rsidR="00417E0D" w:rsidRDefault="00417E0D" w:rsidP="00417E0D">
      <w:pPr>
        <w:spacing w:after="120"/>
        <w:jc w:val="both"/>
        <w:rPr>
          <w:rStyle w:val="shorttext"/>
          <w:sz w:val="24"/>
          <w:szCs w:val="24"/>
        </w:rPr>
      </w:pPr>
    </w:p>
    <w:p w:rsidR="00417E0D" w:rsidRPr="006A6664" w:rsidRDefault="00417E0D" w:rsidP="00417E0D">
      <w:pPr>
        <w:spacing w:after="120"/>
        <w:jc w:val="both"/>
        <w:rPr>
          <w:b/>
          <w:sz w:val="24"/>
        </w:rPr>
      </w:pPr>
      <w:r w:rsidRPr="006A6664">
        <w:rPr>
          <w:b/>
          <w:sz w:val="24"/>
        </w:rPr>
        <w:t>Promote sound IPC policies and guidelines at national and facility levels</w:t>
      </w:r>
    </w:p>
    <w:p w:rsidR="00417E0D" w:rsidRPr="006A6664" w:rsidRDefault="00417E0D" w:rsidP="00417E0D">
      <w:pPr>
        <w:spacing w:after="120"/>
        <w:jc w:val="both"/>
        <w:rPr>
          <w:rStyle w:val="shorttext"/>
          <w:sz w:val="24"/>
          <w:szCs w:val="24"/>
        </w:rPr>
      </w:pPr>
      <w:r w:rsidRPr="006A6664">
        <w:rPr>
          <w:rStyle w:val="shorttext"/>
          <w:sz w:val="24"/>
          <w:szCs w:val="24"/>
        </w:rPr>
        <w:t>To promote IPC policies and guidelines at National and facility level, the National IPC coordinator have been designated and technical work group (TWG) established, who develops the national IPC guideline in compliance to WHO and CDC recommendations.</w:t>
      </w:r>
    </w:p>
    <w:p w:rsidR="00417E0D" w:rsidRPr="006A6664" w:rsidRDefault="00417E0D" w:rsidP="00417E0D">
      <w:pPr>
        <w:spacing w:after="120"/>
        <w:jc w:val="both"/>
        <w:rPr>
          <w:rStyle w:val="shorttext"/>
          <w:sz w:val="24"/>
          <w:szCs w:val="24"/>
        </w:rPr>
      </w:pPr>
      <w:r w:rsidRPr="006A6664">
        <w:rPr>
          <w:rStyle w:val="shorttext"/>
          <w:sz w:val="24"/>
          <w:szCs w:val="24"/>
        </w:rPr>
        <w:t xml:space="preserve">During the project implementation period with the support from CDC/Atlanta the TWG has developed the first module of IPC guideline and continue working on the second module development. </w:t>
      </w:r>
    </w:p>
    <w:p w:rsidR="00417E0D" w:rsidRPr="006A6664" w:rsidRDefault="00417E0D" w:rsidP="00417E0D">
      <w:pPr>
        <w:spacing w:after="120"/>
        <w:jc w:val="both"/>
        <w:rPr>
          <w:rStyle w:val="shorttext"/>
          <w:sz w:val="24"/>
          <w:szCs w:val="24"/>
        </w:rPr>
      </w:pPr>
      <w:r w:rsidRPr="006A6664">
        <w:rPr>
          <w:rStyle w:val="shorttext"/>
          <w:sz w:val="24"/>
          <w:szCs w:val="24"/>
        </w:rPr>
        <w:t>Initial assessment of National IPC policy was conducted with the support of CDC/Atlanta, on the evidence of its results the Natio</w:t>
      </w:r>
      <w:bookmarkStart w:id="0" w:name="_GoBack"/>
      <w:bookmarkEnd w:id="0"/>
      <w:r w:rsidRPr="006A6664">
        <w:rPr>
          <w:rStyle w:val="shorttext"/>
          <w:sz w:val="24"/>
          <w:szCs w:val="24"/>
        </w:rPr>
        <w:t xml:space="preserve">nal IPC Action plan is under development. </w:t>
      </w:r>
    </w:p>
    <w:p w:rsidR="00417E0D" w:rsidRPr="006A6664" w:rsidRDefault="00417E0D" w:rsidP="00417E0D">
      <w:pPr>
        <w:spacing w:after="120"/>
        <w:jc w:val="both"/>
        <w:rPr>
          <w:rStyle w:val="shorttext"/>
          <w:sz w:val="24"/>
          <w:szCs w:val="24"/>
        </w:rPr>
      </w:pPr>
      <w:r w:rsidRPr="006A6664">
        <w:rPr>
          <w:rStyle w:val="shorttext"/>
          <w:sz w:val="24"/>
          <w:szCs w:val="24"/>
        </w:rPr>
        <w:t xml:space="preserve">The facility self-assessment survey is planned to be conducted in March 2018. The aim of the survey is to help IPC strategy development at national and also at facility level, which in the future will encourage </w:t>
      </w:r>
      <w:r w:rsidR="001D6B39" w:rsidRPr="006A6664">
        <w:rPr>
          <w:rStyle w:val="shorttext"/>
          <w:sz w:val="24"/>
          <w:szCs w:val="24"/>
        </w:rPr>
        <w:t>strengthening</w:t>
      </w:r>
      <w:r w:rsidRPr="006A6664">
        <w:rPr>
          <w:rStyle w:val="shorttext"/>
          <w:sz w:val="24"/>
          <w:szCs w:val="24"/>
        </w:rPr>
        <w:t xml:space="preserve"> national IPC.</w:t>
      </w:r>
    </w:p>
    <w:p w:rsidR="001D6B39" w:rsidRDefault="001D6B39" w:rsidP="00417E0D">
      <w:pPr>
        <w:jc w:val="both"/>
        <w:rPr>
          <w:rFonts w:eastAsiaTheme="minorEastAsia" w:cstheme="minorHAnsi"/>
          <w:kern w:val="24"/>
          <w:lang w:val="en-GB" w:eastAsia="ka-GE"/>
        </w:rPr>
      </w:pPr>
    </w:p>
    <w:p w:rsidR="00417E0D" w:rsidRPr="00464CE5" w:rsidRDefault="001D6B39" w:rsidP="001D6B39">
      <w:pPr>
        <w:jc w:val="both"/>
        <w:rPr>
          <w:b/>
          <w:lang w:val="en-GB"/>
        </w:rPr>
      </w:pPr>
      <w:r w:rsidRPr="00464CE5">
        <w:rPr>
          <w:rFonts w:eastAsiaTheme="minorEastAsia" w:cstheme="minorHAnsi"/>
          <w:b/>
          <w:kern w:val="24"/>
          <w:lang w:val="en-GB" w:eastAsia="ka-GE"/>
        </w:rPr>
        <w:t xml:space="preserve">Future collaboration: </w:t>
      </w:r>
      <w:r w:rsidRPr="00464CE5">
        <w:rPr>
          <w:b/>
          <w:lang w:val="en-GB"/>
        </w:rPr>
        <w:t xml:space="preserve">hospital </w:t>
      </w:r>
      <w:r w:rsidR="00464CE5" w:rsidRPr="00464CE5">
        <w:rPr>
          <w:b/>
          <w:lang w:val="en-GB"/>
        </w:rPr>
        <w:t xml:space="preserve">associated </w:t>
      </w:r>
      <w:r w:rsidRPr="00464CE5">
        <w:rPr>
          <w:b/>
          <w:lang w:val="en-GB"/>
        </w:rPr>
        <w:t xml:space="preserve">infections </w:t>
      </w:r>
      <w:proofErr w:type="spellStart"/>
      <w:r w:rsidRPr="00464CE5">
        <w:rPr>
          <w:b/>
          <w:lang w:val="en-GB"/>
        </w:rPr>
        <w:t>epidsurveillance</w:t>
      </w:r>
      <w:proofErr w:type="spellEnd"/>
      <w:r w:rsidRPr="00464CE5">
        <w:rPr>
          <w:b/>
          <w:lang w:val="en-GB"/>
        </w:rPr>
        <w:t xml:space="preserve"> (</w:t>
      </w:r>
      <w:r w:rsidR="00464CE5" w:rsidRPr="00464CE5">
        <w:rPr>
          <w:b/>
          <w:lang w:val="en-GB"/>
        </w:rPr>
        <w:t>accounting, control and notification of hospital associated infections</w:t>
      </w:r>
      <w:r w:rsidRPr="00464CE5">
        <w:rPr>
          <w:b/>
          <w:lang w:val="en-GB"/>
        </w:rPr>
        <w:t>)</w:t>
      </w:r>
      <w:r w:rsidR="00464CE5" w:rsidRPr="00464CE5">
        <w:rPr>
          <w:b/>
          <w:lang w:val="en-GB"/>
        </w:rPr>
        <w:t>,</w:t>
      </w:r>
      <w:r w:rsidRPr="00464CE5">
        <w:rPr>
          <w:b/>
          <w:lang w:val="en-GB"/>
        </w:rPr>
        <w:t xml:space="preserve"> institutional strengthening</w:t>
      </w:r>
      <w:r w:rsidR="00464CE5" w:rsidRPr="00464CE5">
        <w:rPr>
          <w:b/>
          <w:lang w:val="en-GB"/>
        </w:rPr>
        <w:t xml:space="preserve"> (capacity building of </w:t>
      </w:r>
      <w:r w:rsidRPr="00464CE5">
        <w:rPr>
          <w:b/>
          <w:lang w:val="en-GB"/>
        </w:rPr>
        <w:t>medical facilities</w:t>
      </w:r>
      <w:r w:rsidR="00464CE5" w:rsidRPr="00464CE5">
        <w:rPr>
          <w:b/>
          <w:lang w:val="en-GB"/>
        </w:rPr>
        <w:t>, also government bodies, f</w:t>
      </w:r>
      <w:r w:rsidRPr="00464CE5">
        <w:rPr>
          <w:b/>
          <w:lang w:val="en-GB"/>
        </w:rPr>
        <w:t>unctional strengthening, as well as its integration into the public health system in general.</w:t>
      </w:r>
    </w:p>
    <w:sectPr w:rsidR="00417E0D" w:rsidRPr="00464CE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E38"/>
    <w:multiLevelType w:val="hybridMultilevel"/>
    <w:tmpl w:val="1AF0ECC4"/>
    <w:lvl w:ilvl="0" w:tplc="08090001">
      <w:start w:val="1"/>
      <w:numFmt w:val="bullet"/>
      <w:lvlText w:val=""/>
      <w:lvlJc w:val="left"/>
      <w:pPr>
        <w:ind w:left="720" w:hanging="360"/>
      </w:pPr>
      <w:rPr>
        <w:rFonts w:ascii="Symbol" w:hAnsi="Symbol" w:hint="default"/>
      </w:rPr>
    </w:lvl>
    <w:lvl w:ilvl="1" w:tplc="C0C014DC">
      <w:numFmt w:val="bullet"/>
      <w:lvlText w:val="-"/>
      <w:lvlJc w:val="left"/>
      <w:pPr>
        <w:ind w:left="1710" w:hanging="630"/>
      </w:pPr>
      <w:rPr>
        <w:rFonts w:ascii="Sylfaen" w:eastAsia="Times New Roman" w:hAnsi="Sylfae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6641CC"/>
    <w:multiLevelType w:val="hybridMultilevel"/>
    <w:tmpl w:val="29CE28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4AB12E86"/>
    <w:multiLevelType w:val="hybridMultilevel"/>
    <w:tmpl w:val="0D188F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54B7F38"/>
    <w:multiLevelType w:val="hybridMultilevel"/>
    <w:tmpl w:val="C78E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8EC360D"/>
    <w:multiLevelType w:val="hybridMultilevel"/>
    <w:tmpl w:val="986C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0D"/>
    <w:rsid w:val="0008317E"/>
    <w:rsid w:val="000B08FB"/>
    <w:rsid w:val="000B3ABA"/>
    <w:rsid w:val="001D6B39"/>
    <w:rsid w:val="00207DB4"/>
    <w:rsid w:val="00417E0D"/>
    <w:rsid w:val="00464CE5"/>
    <w:rsid w:val="005B054F"/>
    <w:rsid w:val="006A6664"/>
    <w:rsid w:val="007F44A6"/>
    <w:rsid w:val="00801BDA"/>
    <w:rsid w:val="00805B7D"/>
    <w:rsid w:val="008A76C8"/>
    <w:rsid w:val="00A33D59"/>
    <w:rsid w:val="00A454C4"/>
    <w:rsid w:val="00AD6C33"/>
    <w:rsid w:val="00BD033C"/>
    <w:rsid w:val="00CE49C3"/>
    <w:rsid w:val="00D35611"/>
    <w:rsid w:val="00E43AE1"/>
    <w:rsid w:val="00E55665"/>
    <w:rsid w:val="00EE23C9"/>
    <w:rsid w:val="00F204EF"/>
    <w:rsid w:val="00F2736B"/>
    <w:rsid w:val="00FD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List Paragraph (numbered (a)) Char,Akapit z listą BS Char,List Square Char"/>
    <w:link w:val="ListParagraph"/>
    <w:uiPriority w:val="34"/>
    <w:locked/>
    <w:rsid w:val="00417E0D"/>
    <w:rPr>
      <w:rFonts w:ascii="Calibri" w:hAnsi="Calibri" w:cs="Times New Roman"/>
    </w:rPr>
  </w:style>
  <w:style w:type="paragraph" w:styleId="ListParagraph">
    <w:name w:val="List Paragraph"/>
    <w:aliases w:val="Bullets,List Paragraph1,List Paragraph (numbered (a)),Akapit z listą BS,List Square"/>
    <w:basedOn w:val="Normal"/>
    <w:link w:val="ListParagraphChar"/>
    <w:uiPriority w:val="34"/>
    <w:qFormat/>
    <w:rsid w:val="00417E0D"/>
    <w:pPr>
      <w:spacing w:after="0" w:line="240" w:lineRule="auto"/>
      <w:ind w:left="720"/>
    </w:pPr>
    <w:rPr>
      <w:rFonts w:ascii="Calibri" w:hAnsi="Calibri" w:cs="Times New Roman"/>
    </w:rPr>
  </w:style>
  <w:style w:type="paragraph" w:styleId="NormalWeb">
    <w:name w:val="Normal (Web)"/>
    <w:basedOn w:val="Normal"/>
    <w:uiPriority w:val="99"/>
    <w:unhideWhenUsed/>
    <w:rsid w:val="00417E0D"/>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Default">
    <w:name w:val="Default"/>
    <w:rsid w:val="00417E0D"/>
    <w:pPr>
      <w:autoSpaceDE w:val="0"/>
      <w:autoSpaceDN w:val="0"/>
      <w:adjustRightInd w:val="0"/>
      <w:spacing w:after="0" w:line="240" w:lineRule="auto"/>
    </w:pPr>
    <w:rPr>
      <w:rFonts w:ascii="Trebuchet MS" w:eastAsia="Sylfaen" w:hAnsi="Trebuchet MS" w:cs="Trebuchet MS"/>
      <w:color w:val="000000"/>
      <w:sz w:val="24"/>
      <w:szCs w:val="24"/>
    </w:rPr>
  </w:style>
  <w:style w:type="character" w:customStyle="1" w:styleId="shorttext">
    <w:name w:val="short_text"/>
    <w:basedOn w:val="DefaultParagraphFont"/>
    <w:rsid w:val="00417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List Paragraph (numbered (a)) Char,Akapit z listą BS Char,List Square Char"/>
    <w:link w:val="ListParagraph"/>
    <w:uiPriority w:val="34"/>
    <w:locked/>
    <w:rsid w:val="00417E0D"/>
    <w:rPr>
      <w:rFonts w:ascii="Calibri" w:hAnsi="Calibri" w:cs="Times New Roman"/>
    </w:rPr>
  </w:style>
  <w:style w:type="paragraph" w:styleId="ListParagraph">
    <w:name w:val="List Paragraph"/>
    <w:aliases w:val="Bullets,List Paragraph1,List Paragraph (numbered (a)),Akapit z listą BS,List Square"/>
    <w:basedOn w:val="Normal"/>
    <w:link w:val="ListParagraphChar"/>
    <w:uiPriority w:val="34"/>
    <w:qFormat/>
    <w:rsid w:val="00417E0D"/>
    <w:pPr>
      <w:spacing w:after="0" w:line="240" w:lineRule="auto"/>
      <w:ind w:left="720"/>
    </w:pPr>
    <w:rPr>
      <w:rFonts w:ascii="Calibri" w:hAnsi="Calibri" w:cs="Times New Roman"/>
    </w:rPr>
  </w:style>
  <w:style w:type="paragraph" w:styleId="NormalWeb">
    <w:name w:val="Normal (Web)"/>
    <w:basedOn w:val="Normal"/>
    <w:uiPriority w:val="99"/>
    <w:unhideWhenUsed/>
    <w:rsid w:val="00417E0D"/>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Default">
    <w:name w:val="Default"/>
    <w:rsid w:val="00417E0D"/>
    <w:pPr>
      <w:autoSpaceDE w:val="0"/>
      <w:autoSpaceDN w:val="0"/>
      <w:adjustRightInd w:val="0"/>
      <w:spacing w:after="0" w:line="240" w:lineRule="auto"/>
    </w:pPr>
    <w:rPr>
      <w:rFonts w:ascii="Trebuchet MS" w:eastAsia="Sylfaen" w:hAnsi="Trebuchet MS" w:cs="Trebuchet MS"/>
      <w:color w:val="000000"/>
      <w:sz w:val="24"/>
      <w:szCs w:val="24"/>
    </w:rPr>
  </w:style>
  <w:style w:type="character" w:customStyle="1" w:styleId="shorttext">
    <w:name w:val="short_text"/>
    <w:basedOn w:val="DefaultParagraphFont"/>
    <w:rsid w:val="00417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8780">
      <w:bodyDiv w:val="1"/>
      <w:marLeft w:val="0"/>
      <w:marRight w:val="0"/>
      <w:marTop w:val="0"/>
      <w:marBottom w:val="0"/>
      <w:divBdr>
        <w:top w:val="none" w:sz="0" w:space="0" w:color="auto"/>
        <w:left w:val="none" w:sz="0" w:space="0" w:color="auto"/>
        <w:bottom w:val="none" w:sz="0" w:space="0" w:color="auto"/>
        <w:right w:val="none" w:sz="0" w:space="0" w:color="auto"/>
      </w:divBdr>
    </w:div>
    <w:div w:id="535198816">
      <w:bodyDiv w:val="1"/>
      <w:marLeft w:val="0"/>
      <w:marRight w:val="0"/>
      <w:marTop w:val="0"/>
      <w:marBottom w:val="0"/>
      <w:divBdr>
        <w:top w:val="none" w:sz="0" w:space="0" w:color="auto"/>
        <w:left w:val="none" w:sz="0" w:space="0" w:color="auto"/>
        <w:bottom w:val="none" w:sz="0" w:space="0" w:color="auto"/>
        <w:right w:val="none" w:sz="0" w:space="0" w:color="auto"/>
      </w:divBdr>
    </w:div>
    <w:div w:id="697315633">
      <w:bodyDiv w:val="1"/>
      <w:marLeft w:val="0"/>
      <w:marRight w:val="0"/>
      <w:marTop w:val="0"/>
      <w:marBottom w:val="0"/>
      <w:divBdr>
        <w:top w:val="none" w:sz="0" w:space="0" w:color="auto"/>
        <w:left w:val="none" w:sz="0" w:space="0" w:color="auto"/>
        <w:bottom w:val="none" w:sz="0" w:space="0" w:color="auto"/>
        <w:right w:val="none" w:sz="0" w:space="0" w:color="auto"/>
      </w:divBdr>
    </w:div>
    <w:div w:id="1162770450">
      <w:bodyDiv w:val="1"/>
      <w:marLeft w:val="0"/>
      <w:marRight w:val="0"/>
      <w:marTop w:val="0"/>
      <w:marBottom w:val="0"/>
      <w:divBdr>
        <w:top w:val="none" w:sz="0" w:space="0" w:color="auto"/>
        <w:left w:val="none" w:sz="0" w:space="0" w:color="auto"/>
        <w:bottom w:val="none" w:sz="0" w:space="0" w:color="auto"/>
        <w:right w:val="none" w:sz="0" w:space="0" w:color="auto"/>
      </w:divBdr>
    </w:div>
    <w:div w:id="1628704286">
      <w:bodyDiv w:val="1"/>
      <w:marLeft w:val="0"/>
      <w:marRight w:val="0"/>
      <w:marTop w:val="0"/>
      <w:marBottom w:val="0"/>
      <w:divBdr>
        <w:top w:val="none" w:sz="0" w:space="0" w:color="auto"/>
        <w:left w:val="none" w:sz="0" w:space="0" w:color="auto"/>
        <w:bottom w:val="none" w:sz="0" w:space="0" w:color="auto"/>
        <w:right w:val="none" w:sz="0" w:space="0" w:color="auto"/>
      </w:divBdr>
    </w:div>
    <w:div w:id="16558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Pages>
  <Words>3017</Words>
  <Characters>17201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Ketevan Goginashvili</dc:creator>
  <cp:lastModifiedBy>Ketevan Goginashvili</cp:lastModifiedBy>
  <cp:revision>16</cp:revision>
  <dcterms:created xsi:type="dcterms:W3CDTF">2017-12-08T06:52:00Z</dcterms:created>
  <dcterms:modified xsi:type="dcterms:W3CDTF">2017-12-08T16:04:00Z</dcterms:modified>
</cp:coreProperties>
</file>