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02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83"/>
        <w:gridCol w:w="5637"/>
      </w:tblGrid>
      <w:tr>
        <w:tblPrEx>
          <w:shd w:val="clear" w:color="auto" w:fill="ced7e7"/>
        </w:tblPrEx>
        <w:trPr>
          <w:trHeight w:val="223" w:hRule="atLeast"/>
        </w:trPr>
        <w:tc>
          <w:tcPr>
            <w:tcW w:type="dxa" w:w="3383"/>
            <w:vMerge w:val="restart"/>
            <w:tcBorders>
              <w:top w:val="nil"/>
              <w:left w:val="nil"/>
              <w:bottom w:val="nil"/>
              <w:right w:val="nil"/>
            </w:tcBorders>
            <w:shd w:val="clear" w:color="auto" w:fill="auto"/>
            <w:tcMar>
              <w:top w:type="dxa" w:w="80"/>
              <w:left w:type="dxa" w:w="80"/>
              <w:bottom w:type="dxa" w:w="80"/>
              <w:right w:type="dxa" w:w="80"/>
            </w:tcMar>
            <w:vAlign w:val="top"/>
          </w:tcPr>
          <w:p/>
        </w:tc>
        <w:tc>
          <w:tcPr>
            <w:tcW w:type="dxa" w:w="5636"/>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16" w:hRule="atLeast"/>
        </w:trPr>
        <w:tc>
          <w:tcPr>
            <w:tcW w:type="dxa" w:w="3383"/>
            <w:vMerge w:val="continue"/>
            <w:tcBorders>
              <w:top w:val="nil"/>
              <w:left w:val="nil"/>
              <w:bottom w:val="nil"/>
              <w:right w:val="nil"/>
            </w:tcBorders>
            <w:shd w:val="clear" w:color="auto" w:fill="auto"/>
          </w:tcPr>
          <w:p/>
        </w:tc>
        <w:tc>
          <w:tcPr>
            <w:tcW w:type="dxa" w:w="5636"/>
            <w:tcBorders>
              <w:top w:val="nil"/>
              <w:left w:val="nil"/>
              <w:bottom w:val="nil"/>
              <w:right w:val="nil"/>
            </w:tcBorders>
            <w:shd w:val="clear" w:color="auto" w:fill="auto"/>
            <w:tcMar>
              <w:top w:type="dxa" w:w="80"/>
              <w:left w:type="dxa" w:w="80"/>
              <w:bottom w:type="dxa" w:w="80"/>
              <w:right w:type="dxa" w:w="80"/>
            </w:tcMar>
            <w:vAlign w:val="top"/>
          </w:tcPr>
          <w:p/>
        </w:tc>
      </w:tr>
    </w:tbl>
    <w:p>
      <w:pPr>
        <w:pStyle w:val="Corps"/>
        <w:widowControl w:val="0"/>
        <w:spacing w:line="240" w:lineRule="auto"/>
        <w:jc w:val="center"/>
      </w:pPr>
    </w:p>
    <w:p>
      <w:pPr>
        <w:pStyle w:val="Corps"/>
        <w:spacing w:after="0" w:line="240" w:lineRule="auto"/>
        <w:jc w:val="both"/>
        <w:rPr>
          <w:rFonts w:ascii="Times New Roman" w:cs="Times New Roman" w:hAnsi="Times New Roman" w:eastAsia="Times New Roman"/>
          <w:sz w:val="2"/>
          <w:szCs w:val="2"/>
        </w:rPr>
      </w:pPr>
    </w:p>
    <w:tbl>
      <w:tblPr>
        <w:tblW w:w="708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88"/>
      </w:tblGrid>
      <w:tr>
        <w:tblPrEx>
          <w:shd w:val="clear" w:color="auto" w:fill="ced7e7"/>
        </w:tblPrEx>
        <w:trPr>
          <w:trHeight w:val="253" w:hRule="atLeast"/>
        </w:trPr>
        <w:tc>
          <w:tcPr>
            <w:tcW w:type="dxa" w:w="7088"/>
            <w:tcBorders>
              <w:top w:val="nil"/>
              <w:left w:val="nil"/>
              <w:bottom w:val="nil"/>
              <w:right w:val="nil"/>
            </w:tcBorders>
            <w:shd w:val="clear" w:color="auto" w:fill="auto"/>
            <w:tcMar>
              <w:top w:type="dxa" w:w="80"/>
              <w:left w:type="dxa" w:w="80"/>
              <w:bottom w:type="dxa" w:w="80"/>
              <w:right w:type="dxa" w:w="80"/>
            </w:tcMar>
            <w:vAlign w:val="top"/>
          </w:tcPr>
          <w:p>
            <w:pPr>
              <w:pStyle w:val="Corps"/>
              <w:spacing w:before="240" w:after="0" w:line="240" w:lineRule="auto"/>
            </w:pPr>
            <w:r>
              <w:rPr>
                <w:rFonts w:ascii="Arial" w:hAnsi="Arial"/>
                <w:b w:val="1"/>
                <w:bCs w:val="1"/>
                <w:caps w:val="1"/>
                <w:strike w:val="0"/>
                <w:dstrike w:val="0"/>
                <w:outline w:val="0"/>
                <w:color w:val="000000"/>
                <w:spacing w:val="0"/>
                <w:kern w:val="0"/>
                <w:position w:val="0"/>
                <w:sz w:val="22"/>
                <w:szCs w:val="22"/>
                <w:u w:val="none" w:color="000000"/>
                <w:vertAlign w:val="baseline"/>
                <w:rtl w:val="0"/>
                <w:lang w:val="en-US"/>
              </w:rPr>
              <w:t>WORLD HEALTH ASSEMBLY</w:t>
            </w:r>
          </w:p>
        </w:tc>
      </w:tr>
      <w:tr>
        <w:tblPrEx>
          <w:shd w:val="clear" w:color="auto" w:fill="ced7e7"/>
        </w:tblPrEx>
        <w:trPr>
          <w:trHeight w:val="253" w:hRule="atLeast"/>
        </w:trPr>
        <w:tc>
          <w:tcPr>
            <w:tcW w:type="dxa" w:w="7088"/>
            <w:tcBorders>
              <w:top w:val="nil"/>
              <w:left w:val="nil"/>
              <w:bottom w:val="nil"/>
              <w:right w:val="nil"/>
            </w:tcBorders>
            <w:shd w:val="clear" w:color="auto" w:fill="auto"/>
            <w:tcMar>
              <w:top w:type="dxa" w:w="80"/>
              <w:left w:type="dxa" w:w="80"/>
              <w:bottom w:type="dxa" w:w="80"/>
              <w:right w:type="dxa" w:w="80"/>
            </w:tcMar>
            <w:vAlign w:val="top"/>
          </w:tcPr>
          <w:p>
            <w:pPr>
              <w:pStyle w:val="Corps"/>
              <w:spacing w:after="0" w:line="240" w:lineRule="auto"/>
            </w:pPr>
            <w:r>
              <w:rPr>
                <w:rFonts w:ascii="Arial" w:hAnsi="Arial"/>
                <w:b w:val="1"/>
                <w:bCs w:val="1"/>
                <w:caps w:val="0"/>
                <w:smallCaps w:val="0"/>
                <w:strike w:val="0"/>
                <w:dstrike w:val="0"/>
                <w:outline w:val="0"/>
                <w:color w:val="000000"/>
                <w:spacing w:val="0"/>
                <w:kern w:val="0"/>
                <w:position w:val="0"/>
                <w:sz w:val="22"/>
                <w:szCs w:val="22"/>
                <w:u w:val="none" w:color="000000"/>
                <w:vertAlign w:val="baseline"/>
                <w:rtl w:val="0"/>
                <w:lang w:val="en-US"/>
              </w:rPr>
              <w:t>70th session</w:t>
            </w:r>
          </w:p>
        </w:tc>
      </w:tr>
      <w:tr>
        <w:tblPrEx>
          <w:shd w:val="clear" w:color="auto" w:fill="ced7e7"/>
        </w:tblPrEx>
        <w:trPr>
          <w:trHeight w:val="253" w:hRule="atLeast"/>
        </w:trPr>
        <w:tc>
          <w:tcPr>
            <w:tcW w:type="dxa" w:w="7088"/>
            <w:tcBorders>
              <w:top w:val="nil"/>
              <w:left w:val="nil"/>
              <w:bottom w:val="single" w:color="000000" w:sz="8" w:space="0" w:shadow="0" w:frame="0"/>
              <w:right w:val="nil"/>
            </w:tcBorders>
            <w:shd w:val="clear" w:color="auto" w:fill="auto"/>
            <w:tcMar>
              <w:top w:type="dxa" w:w="80"/>
              <w:left w:type="dxa" w:w="80"/>
              <w:bottom w:type="dxa" w:w="80"/>
              <w:right w:type="dxa" w:w="80"/>
            </w:tcMar>
            <w:vAlign w:val="top"/>
          </w:tcPr>
          <w:p>
            <w:pPr>
              <w:pStyle w:val="Corps"/>
              <w:spacing w:after="240" w:line="240" w:lineRule="auto"/>
            </w:pPr>
            <w:r>
              <w:rPr>
                <w:rFonts w:ascii="Arial" w:hAnsi="Arial"/>
                <w:b w:val="1"/>
                <w:bCs w:val="1"/>
                <w:caps w:val="0"/>
                <w:smallCaps w:val="0"/>
                <w:strike w:val="0"/>
                <w:dstrike w:val="0"/>
                <w:outline w:val="0"/>
                <w:color w:val="000000"/>
                <w:spacing w:val="0"/>
                <w:kern w:val="0"/>
                <w:position w:val="0"/>
                <w:sz w:val="22"/>
                <w:szCs w:val="22"/>
                <w:u w:val="none" w:color="000000"/>
                <w:vertAlign w:val="baseline"/>
                <w:rtl w:val="0"/>
                <w:lang w:val="en-US"/>
              </w:rPr>
              <w:t>Agenda item 12.3</w:t>
            </w:r>
          </w:p>
        </w:tc>
      </w:tr>
    </w:tbl>
    <w:p>
      <w:pPr>
        <w:pStyle w:val="Corps"/>
        <w:widowControl w:val="0"/>
        <w:spacing w:after="0" w:line="240" w:lineRule="auto"/>
        <w:jc w:val="both"/>
        <w:rPr>
          <w:rFonts w:ascii="Times New Roman" w:cs="Times New Roman" w:hAnsi="Times New Roman" w:eastAsia="Times New Roman"/>
          <w:sz w:val="2"/>
          <w:szCs w:val="2"/>
        </w:rPr>
      </w:pPr>
    </w:p>
    <w:p>
      <w:pPr>
        <w:pStyle w:val="Corps"/>
        <w:jc w:val="center"/>
        <w:rPr>
          <w:rFonts w:ascii="Times New Roman" w:cs="Times New Roman" w:hAnsi="Times New Roman" w:eastAsia="Times New Roman"/>
          <w:b w:val="1"/>
          <w:bCs w:val="1"/>
          <w:sz w:val="32"/>
          <w:szCs w:val="32"/>
          <w:lang w:val="en-US"/>
        </w:rPr>
      </w:pPr>
      <w:bookmarkStart w:name="Title" w:id="0"/>
      <w:bookmarkEnd w:id="0"/>
    </w:p>
    <w:p>
      <w:pPr>
        <w:pStyle w:val="Corps"/>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Poliomyelitis: transition planning</w:t>
      </w:r>
    </w:p>
    <w:p>
      <w:pPr>
        <w:pStyle w:val="Corps"/>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 xml:space="preserve">Draft decision proposed Canada, Czech Republic, Finland, Germany, Israel, Monaco, </w:t>
      </w:r>
      <w:r>
        <w:rPr>
          <w:rFonts w:ascii="Times New Roman" w:hAnsi="Times New Roman"/>
          <w:b w:val="1"/>
          <w:bCs w:val="1"/>
          <w:sz w:val="32"/>
          <w:szCs w:val="32"/>
          <w:rtl w:val="0"/>
          <w:lang w:val="fr-FR"/>
        </w:rPr>
        <w:t xml:space="preserve">Nigeria, </w:t>
      </w:r>
      <w:r>
        <w:rPr>
          <w:rFonts w:ascii="Times New Roman" w:hAnsi="Times New Roman"/>
          <w:b w:val="1"/>
          <w:bCs w:val="1"/>
          <w:sz w:val="32"/>
          <w:szCs w:val="32"/>
          <w:rtl w:val="0"/>
          <w:lang w:val="en-US"/>
        </w:rPr>
        <w:t>Norway and Pakistan</w:t>
      </w:r>
      <w:r>
        <w:rPr>
          <w:rFonts w:ascii="Times New Roman" w:hAnsi="Times New Roman"/>
          <w:b w:val="1"/>
          <w:bCs w:val="1"/>
          <w:sz w:val="32"/>
          <w:szCs w:val="32"/>
          <w:rtl w:val="0"/>
          <w:lang w:val="fr-FR"/>
        </w:rPr>
        <w:t xml:space="preserve">. </w:t>
      </w:r>
      <w:r>
        <w:rPr>
          <w:rFonts w:ascii="Times New Roman" w:hAnsi="Times New Roman"/>
          <w:b w:val="1"/>
          <w:bCs w:val="1"/>
          <w:sz w:val="32"/>
          <w:szCs w:val="32"/>
          <w:rtl w:val="0"/>
          <w:lang w:val="en-US"/>
        </w:rPr>
        <w:t xml:space="preserve"> </w:t>
      </w:r>
    </w:p>
    <w:p>
      <w:pPr>
        <w:pStyle w:val="Corps"/>
        <w:spacing w:after="0" w:line="240" w:lineRule="auto"/>
        <w:rPr>
          <w:rFonts w:ascii="Times New Roman" w:cs="Times New Roman" w:hAnsi="Times New Roman" w:eastAsia="Times New Roman"/>
          <w:color w:val="000000"/>
          <w:sz w:val="24"/>
          <w:szCs w:val="24"/>
          <w:u w:color="000000"/>
          <w:lang w:val="en-US"/>
        </w:rPr>
      </w:pPr>
    </w:p>
    <w:p>
      <w:pPr>
        <w:pStyle w:val="Corps"/>
        <w:spacing w:after="0" w:line="240" w:lineRule="auto"/>
        <w:rPr>
          <w:rFonts w:ascii="Times New Roman" w:cs="Times New Roman" w:hAnsi="Times New Roman" w:eastAsia="Times New Roman"/>
          <w:color w:val="000000"/>
          <w:sz w:val="24"/>
          <w:szCs w:val="24"/>
          <w:u w:color="000000"/>
          <w:lang w:val="en-US"/>
        </w:rPr>
      </w:pPr>
    </w:p>
    <w:p>
      <w:pPr>
        <w:pStyle w:val="Corps"/>
        <w:jc w:val="both"/>
        <w:rPr>
          <w:rFonts w:ascii="Times New Roman" w:cs="Times New Roman" w:hAnsi="Times New Roman" w:eastAsia="Times New Roman"/>
          <w:sz w:val="24"/>
          <w:szCs w:val="24"/>
        </w:rPr>
      </w:pPr>
      <w:r>
        <w:rPr>
          <w:rFonts w:ascii="Times New Roman" w:hAnsi="Times New Roman"/>
          <w:sz w:val="24"/>
          <w:szCs w:val="24"/>
          <w:rtl w:val="0"/>
          <w:lang w:val="en-US"/>
        </w:rPr>
        <w:t>The seventieth World Health Assembly, having considered the updated report on Polio transition planning [</w:t>
      </w:r>
      <w:r>
        <w:rPr>
          <w:rFonts w:ascii="Times New Roman" w:hAnsi="Times New Roman"/>
          <w:b w:val="1"/>
          <w:bCs w:val="1"/>
          <w:sz w:val="24"/>
          <w:szCs w:val="24"/>
          <w:rtl w:val="0"/>
          <w:lang w:val="en-US"/>
        </w:rPr>
        <w:t>footnote with doc ref</w:t>
      </w:r>
      <w:r>
        <w:rPr>
          <w:rFonts w:ascii="Times New Roman" w:hAnsi="Times New Roman"/>
          <w:sz w:val="24"/>
          <w:szCs w:val="24"/>
          <w:rtl w:val="0"/>
          <w:lang w:val="pt-PT"/>
        </w:rPr>
        <w:t>];</w:t>
      </w:r>
    </w:p>
    <w:p>
      <w:pPr>
        <w:pStyle w:val="Corps"/>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(1)Acknowledged that the active role taken by the Director General Office in directing and leading this process is of key importance; </w:t>
      </w:r>
    </w:p>
    <w:p>
      <w:pPr>
        <w:pStyle w:val="Corps"/>
        <w:jc w:val="both"/>
        <w:rPr>
          <w:rFonts w:ascii="Times New Roman" w:cs="Times New Roman" w:hAnsi="Times New Roman" w:eastAsia="Times New Roman"/>
          <w:sz w:val="24"/>
          <w:szCs w:val="24"/>
        </w:rPr>
      </w:pPr>
      <w:r>
        <w:rPr>
          <w:rFonts w:ascii="Times New Roman" w:hAnsi="Times New Roman"/>
          <w:sz w:val="24"/>
          <w:szCs w:val="24"/>
          <w:rtl w:val="0"/>
          <w:lang w:val="en-US"/>
        </w:rPr>
        <w:t>(2) Emphasized the critical and urgent need to maintain and pursue eradication efforts in polio-endemic countries and</w:t>
      </w:r>
      <w:r>
        <w:rPr>
          <w:rFonts w:ascii="Times New Roman" w:hAnsi="Times New Roman"/>
          <w:b w:val="1"/>
          <w:bCs w:val="1"/>
          <w:sz w:val="24"/>
          <w:szCs w:val="24"/>
          <w:rtl w:val="0"/>
          <w:lang w:val="en-US"/>
        </w:rPr>
        <w:t xml:space="preserve"> to support countries for polio eradication certification, and</w:t>
      </w:r>
      <w:r>
        <w:rPr>
          <w:rFonts w:ascii="Times New Roman" w:hAnsi="Times New Roman"/>
          <w:sz w:val="24"/>
          <w:szCs w:val="24"/>
          <w:rtl w:val="0"/>
          <w:lang w:val="en-US"/>
        </w:rPr>
        <w:t xml:space="preserve"> the importance of ensuring that GPEI is fit for purpose, with adequate levels of qualified staff (from EB140(4));</w:t>
      </w:r>
    </w:p>
    <w:p>
      <w:pPr>
        <w:pStyle w:val="Corps"/>
        <w:jc w:val="both"/>
        <w:rPr>
          <w:rFonts w:ascii="Times New Roman" w:cs="Times New Roman" w:hAnsi="Times New Roman" w:eastAsia="Times New Roman"/>
          <w:sz w:val="24"/>
          <w:szCs w:val="24"/>
        </w:rPr>
      </w:pPr>
      <w:r>
        <w:rPr>
          <w:rFonts w:ascii="Times New Roman" w:hAnsi="Times New Roman"/>
          <w:sz w:val="24"/>
          <w:szCs w:val="24"/>
          <w:rtl w:val="0"/>
          <w:lang w:val="it-IT"/>
        </w:rPr>
        <w:t xml:space="preserve">2 bis) </w:t>
      </w:r>
      <w:r>
        <w:rPr>
          <w:rFonts w:ascii="Times New Roman" w:hAnsi="Times New Roman"/>
          <w:b w:val="1"/>
          <w:bCs w:val="1"/>
          <w:sz w:val="24"/>
          <w:szCs w:val="24"/>
          <w:rtl w:val="0"/>
          <w:lang w:val="en-US"/>
        </w:rPr>
        <w:t xml:space="preserve">Acknowledged that GPEI ramp down has started and highlighted the need for WHO to strategically manage the resulting impact on WHO Human Resources and other assets. </w:t>
      </w:r>
    </w:p>
    <w:p>
      <w:pPr>
        <w:pStyle w:val="Corps"/>
        <w:jc w:val="both"/>
        <w:rPr>
          <w:rFonts w:ascii="Times New Roman" w:cs="Times New Roman" w:hAnsi="Times New Roman" w:eastAsia="Times New Roman"/>
          <w:sz w:val="24"/>
          <w:szCs w:val="24"/>
        </w:rPr>
      </w:pPr>
      <w:r>
        <w:rPr>
          <w:rFonts w:ascii="Times New Roman" w:hAnsi="Times New Roman"/>
          <w:sz w:val="24"/>
          <w:szCs w:val="24"/>
          <w:rtl w:val="0"/>
          <w:lang w:val="en-US"/>
        </w:rPr>
        <w:t>(3) Noted the ongoing process of developing a Post-Certification Strategy</w:t>
      </w:r>
      <w:r>
        <w:rPr>
          <w:rFonts w:ascii="Times New Roman" w:hAnsi="Times New Roman"/>
          <w:b w:val="1"/>
          <w:bCs w:val="1"/>
          <w:sz w:val="24"/>
          <w:szCs w:val="24"/>
          <w:rtl w:val="0"/>
        </w:rPr>
        <w:t>,</w:t>
      </w:r>
      <w:r>
        <w:rPr>
          <w:rFonts w:ascii="Times New Roman" w:hAnsi="Times New Roman"/>
          <w:sz w:val="24"/>
          <w:szCs w:val="24"/>
          <w:rtl w:val="0"/>
          <w:lang w:val="en-US"/>
        </w:rPr>
        <w:t xml:space="preserve"> that will define the essential polio functions needed to sustain eradication and maintain a polio free-world;</w:t>
      </w:r>
    </w:p>
    <w:p>
      <w:pPr>
        <w:pStyle w:val="Corps"/>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(4) Highlighted the need for WHO to work with all relevant stakeholders, in particular immunization ones, on options for ensuring effective accountability and oversight after eradication in the Post-Certification Strategy; </w:t>
      </w:r>
    </w:p>
    <w:p>
      <w:pPr>
        <w:pStyle w:val="Corps"/>
        <w:jc w:val="both"/>
        <w:rPr>
          <w:rFonts w:ascii="Times New Roman" w:cs="Times New Roman" w:hAnsi="Times New Roman" w:eastAsia="Times New Roman"/>
          <w:sz w:val="24"/>
          <w:szCs w:val="24"/>
        </w:rPr>
      </w:pPr>
      <w:r>
        <w:rPr>
          <w:rFonts w:ascii="Times New Roman" w:hAnsi="Times New Roman"/>
          <w:sz w:val="24"/>
          <w:szCs w:val="24"/>
          <w:rtl w:val="0"/>
          <w:lang w:val="en-US"/>
        </w:rPr>
        <w:t>(5) Noted with great concern the reliance of all three levels (global, regional and country) of WHO and multiple WHO program activities on GPEI funding, and the financial, organisational and programmatic risks that this reliance represents for WHO, including for the sustainability of WHO</w:t>
      </w:r>
      <w:r>
        <w:rPr>
          <w:rFonts w:ascii="Times New Roman" w:hAnsi="Times New Roman" w:hint="default"/>
          <w:sz w:val="24"/>
          <w:szCs w:val="24"/>
          <w:rtl w:val="0"/>
          <w:lang w:val="en-US"/>
        </w:rPr>
        <w:t>’</w:t>
      </w:r>
      <w:r>
        <w:rPr>
          <w:rFonts w:ascii="Times New Roman" w:hAnsi="Times New Roman"/>
          <w:sz w:val="24"/>
          <w:szCs w:val="24"/>
          <w:rtl w:val="0"/>
          <w:lang w:val="en-US"/>
        </w:rPr>
        <w:t xml:space="preserve">s ability to deliver in key programmatic areas and maintain essential ongoing functions; </w:t>
      </w:r>
    </w:p>
    <w:p>
      <w:pPr>
        <w:pStyle w:val="Corps"/>
        <w:jc w:val="both"/>
        <w:rPr>
          <w:rFonts w:ascii="Times New Roman" w:cs="Times New Roman" w:hAnsi="Times New Roman" w:eastAsia="Times New Roman"/>
          <w:sz w:val="24"/>
          <w:szCs w:val="24"/>
        </w:rPr>
      </w:pPr>
      <w:r>
        <w:rPr>
          <w:rFonts w:ascii="Times New Roman" w:hAnsi="Times New Roman"/>
          <w:sz w:val="24"/>
          <w:szCs w:val="24"/>
          <w:rtl w:val="0"/>
        </w:rPr>
        <w:t xml:space="preserve"> (</w:t>
      </w:r>
      <w:r>
        <w:rPr>
          <w:rFonts w:ascii="Times New Roman" w:hAnsi="Times New Roman"/>
          <w:b w:val="1"/>
          <w:bCs w:val="1"/>
          <w:sz w:val="24"/>
          <w:szCs w:val="24"/>
          <w:rtl w:val="0"/>
        </w:rPr>
        <w:t>6</w:t>
      </w:r>
      <w:r>
        <w:rPr>
          <w:rFonts w:ascii="Times New Roman" w:hAnsi="Times New Roman"/>
          <w:sz w:val="24"/>
          <w:szCs w:val="24"/>
          <w:rtl w:val="0"/>
        </w:rPr>
        <w:t xml:space="preserve">) </w:t>
      </w:r>
      <w:commentRangeStart w:id="1"/>
      <w:r>
        <w:rPr>
          <w:rFonts w:ascii="Times New Roman" w:hAnsi="Times New Roman"/>
          <w:sz w:val="24"/>
          <w:szCs w:val="24"/>
          <w:rtl w:val="0"/>
          <w:lang w:val="en-US"/>
        </w:rPr>
        <w:t xml:space="preserve">Endorsed/Welcomed the list of proposed actions to be implemented by the end of 2017 as referred to in document </w:t>
      </w:r>
      <w:r>
        <w:rPr>
          <w:rFonts w:ascii="Times New Roman" w:hAnsi="Times New Roman"/>
          <w:b w:val="1"/>
          <w:bCs w:val="1"/>
          <w:sz w:val="24"/>
          <w:szCs w:val="24"/>
          <w:rtl w:val="0"/>
          <w:lang w:val="en-US"/>
        </w:rPr>
        <w:t>A70/14 add.1 [current ref</w:t>
      </w:r>
      <w:r>
        <w:rPr>
          <w:rFonts w:ascii="Times New Roman" w:hAnsi="Times New Roman"/>
          <w:sz w:val="24"/>
          <w:szCs w:val="24"/>
          <w:rtl w:val="0"/>
          <w:lang w:val="en-US"/>
        </w:rPr>
        <w:t xml:space="preserve">], in particular the </w:t>
      </w:r>
      <w:r>
        <w:rPr>
          <w:rFonts w:ascii="Times New Roman" w:hAnsi="Times New Roman"/>
          <w:i w:val="1"/>
          <w:iCs w:val="1"/>
          <w:sz w:val="24"/>
          <w:szCs w:val="24"/>
          <w:rtl w:val="0"/>
          <w:lang w:val="en-US"/>
        </w:rPr>
        <w:t>Strategic Action Plan and Options</w:t>
      </w:r>
      <w:r>
        <w:rPr>
          <w:rFonts w:ascii="Times New Roman" w:hAnsi="Times New Roman"/>
          <w:sz w:val="24"/>
          <w:szCs w:val="24"/>
          <w:rtl w:val="0"/>
        </w:rPr>
        <w:t>;</w:t>
      </w:r>
      <w:commentRangeEnd w:id="1"/>
      <w:r>
        <w:commentReference w:id="1"/>
      </w:r>
    </w:p>
    <w:p>
      <w:pPr>
        <w:pStyle w:val="Corps"/>
        <w:jc w:val="both"/>
        <w:rPr>
          <w:rFonts w:ascii="Times New Roman" w:cs="Times New Roman" w:hAnsi="Times New Roman" w:eastAsia="Times New Roman"/>
          <w:sz w:val="24"/>
          <w:szCs w:val="24"/>
        </w:rPr>
      </w:pPr>
      <w:r>
        <w:rPr>
          <w:rFonts w:ascii="Times New Roman" w:hAnsi="Times New Roman"/>
          <w:sz w:val="24"/>
          <w:szCs w:val="24"/>
          <w:rtl w:val="0"/>
        </w:rPr>
        <w:t>(</w:t>
      </w:r>
      <w:r>
        <w:rPr>
          <w:rFonts w:ascii="Times New Roman" w:hAnsi="Times New Roman"/>
          <w:b w:val="1"/>
          <w:bCs w:val="1"/>
          <w:sz w:val="24"/>
          <w:szCs w:val="24"/>
          <w:rtl w:val="0"/>
        </w:rPr>
        <w:t>7</w:t>
      </w:r>
      <w:r>
        <w:rPr>
          <w:rFonts w:ascii="Times New Roman" w:hAnsi="Times New Roman"/>
          <w:sz w:val="24"/>
          <w:szCs w:val="24"/>
          <w:rtl w:val="0"/>
          <w:lang w:val="en-US"/>
        </w:rPr>
        <w:t xml:space="preserve">) Decided to urge the Director General to: </w:t>
      </w:r>
    </w:p>
    <w:p>
      <w:pPr>
        <w:pStyle w:val="List Paragraph"/>
        <w:numPr>
          <w:ilvl w:val="1"/>
          <w:numId w:val="2"/>
        </w:numPr>
        <w:bidi w:val="0"/>
        <w:ind w:right="0"/>
        <w:jc w:val="both"/>
        <w:rPr>
          <w:rFonts w:ascii="Times New Roman" w:cs="Times New Roman" w:hAnsi="Times New Roman" w:eastAsia="Times New Roman"/>
          <w:color w:val="000000"/>
          <w:sz w:val="24"/>
          <w:szCs w:val="24"/>
          <w:u w:color="000000"/>
          <w:rtl w:val="0"/>
          <w:lang w:val="en-US"/>
        </w:rPr>
      </w:pPr>
      <w:r>
        <w:rPr>
          <w:rFonts w:ascii="Times New Roman" w:hAnsi="Times New Roman"/>
          <w:color w:val="000000"/>
          <w:sz w:val="24"/>
          <w:szCs w:val="24"/>
          <w:u w:color="000000"/>
          <w:rtl w:val="0"/>
          <w:lang w:val="en-US"/>
        </w:rPr>
        <w:t>Make polio transition a key priority for the Organization at its three levels;</w:t>
      </w:r>
    </w:p>
    <w:p>
      <w:pPr>
        <w:pStyle w:val="List Paragraph"/>
        <w:ind w:left="1070" w:firstLine="0"/>
        <w:jc w:val="both"/>
        <w:rPr>
          <w:rFonts w:ascii="Times New Roman" w:cs="Times New Roman" w:hAnsi="Times New Roman" w:eastAsia="Times New Roman"/>
          <w:color w:val="000000"/>
          <w:sz w:val="24"/>
          <w:szCs w:val="24"/>
          <w:u w:color="000000"/>
          <w:lang w:val="en-US"/>
        </w:rPr>
      </w:pPr>
    </w:p>
    <w:p>
      <w:pPr>
        <w:pStyle w:val="List Paragraph"/>
        <w:numPr>
          <w:ilvl w:val="1"/>
          <w:numId w:val="2"/>
        </w:numPr>
        <w:bidi w:val="0"/>
        <w:ind w:right="0"/>
        <w:jc w:val="both"/>
        <w:rPr>
          <w:rFonts w:ascii="Times New Roman" w:cs="Times New Roman" w:hAnsi="Times New Roman" w:eastAsia="Times New Roman"/>
          <w:b w:val="1"/>
          <w:bCs w:val="1"/>
          <w:strike w:val="1"/>
          <w:dstrike w:val="0"/>
          <w:color w:val="000000"/>
          <w:sz w:val="24"/>
          <w:szCs w:val="24"/>
          <w:u w:color="000000"/>
          <w:rtl w:val="0"/>
          <w:lang w:val="en-US"/>
        </w:rPr>
      </w:pPr>
      <w:r>
        <w:rPr>
          <w:rFonts w:ascii="Times New Roman" w:hAnsi="Times New Roman"/>
          <w:b w:val="0"/>
          <w:bCs w:val="0"/>
          <w:strike w:val="1"/>
          <w:dstrike w:val="0"/>
          <w:color w:val="000000"/>
          <w:sz w:val="24"/>
          <w:szCs w:val="24"/>
          <w:u w:color="000000"/>
          <w:rtl w:val="0"/>
          <w:lang w:val="en-US"/>
        </w:rPr>
        <w:t>Ensure that GPEI ramp-down, as well as the</w:t>
      </w:r>
      <w:r>
        <w:rPr>
          <w:rFonts w:ascii="Times New Roman" w:hAnsi="Times New Roman"/>
          <w:b w:val="0"/>
          <w:bCs w:val="0"/>
          <w:i w:val="1"/>
          <w:iCs w:val="1"/>
          <w:strike w:val="1"/>
          <w:dstrike w:val="0"/>
          <w:color w:val="000000"/>
          <w:sz w:val="24"/>
          <w:szCs w:val="24"/>
          <w:u w:color="000000"/>
          <w:rtl w:val="0"/>
          <w:lang w:val="en-US"/>
        </w:rPr>
        <w:t xml:space="preserve"> Strategic Action Plan and Options,</w:t>
      </w:r>
      <w:r>
        <w:rPr>
          <w:rFonts w:ascii="Times New Roman" w:hAnsi="Times New Roman"/>
          <w:b w:val="0"/>
          <w:bCs w:val="0"/>
          <w:strike w:val="1"/>
          <w:dstrike w:val="0"/>
          <w:color w:val="000000"/>
          <w:sz w:val="24"/>
          <w:szCs w:val="24"/>
          <w:u w:color="000000"/>
          <w:rtl w:val="0"/>
          <w:lang w:val="en-US"/>
        </w:rPr>
        <w:t xml:space="preserve"> are guided by comprehensive and strategic country-led transition planning and task WHO country representatives with facilitating and supporting planning that maintains polio essential functions and ensures that WHO transition planning is guided by an overarching principle of responding to country needs and priorities.</w:t>
      </w:r>
    </w:p>
    <w:p>
      <w:pPr>
        <w:pStyle w:val="Corps"/>
        <w:jc w:val="both"/>
        <w:rPr>
          <w:rFonts w:ascii="Times New Roman" w:cs="Times New Roman" w:hAnsi="Times New Roman" w:eastAsia="Times New Roman"/>
          <w:b w:val="1"/>
          <w:bCs w:val="1"/>
          <w:strike w:val="1"/>
          <w:dstrike w:val="0"/>
          <w:sz w:val="24"/>
          <w:szCs w:val="24"/>
        </w:rPr>
      </w:pPr>
    </w:p>
    <w:p>
      <w:pPr>
        <w:pStyle w:val="List Paragraph"/>
        <w:numPr>
          <w:ilvl w:val="0"/>
          <w:numId w:val="5"/>
        </w:numPr>
        <w:bidi w:val="0"/>
        <w:ind w:right="0"/>
        <w:jc w:val="both"/>
        <w:rPr>
          <w:rFonts w:ascii="Times New Roman" w:cs="Times New Roman" w:hAnsi="Times New Roman" w:eastAsia="Times New Roman"/>
          <w:b w:val="1"/>
          <w:bCs w:val="1"/>
          <w:color w:val="000000"/>
          <w:sz w:val="24"/>
          <w:szCs w:val="24"/>
          <w:u w:color="000000"/>
          <w:rtl w:val="0"/>
          <w:lang w:val="en-US"/>
        </w:rPr>
      </w:pPr>
      <w:r>
        <w:rPr>
          <w:rFonts w:ascii="Times New Roman" w:hAnsi="Times New Roman"/>
          <w:b w:val="1"/>
          <w:bCs w:val="1"/>
          <w:color w:val="000000"/>
          <w:sz w:val="24"/>
          <w:szCs w:val="24"/>
          <w:u w:color="000000"/>
          <w:rtl w:val="0"/>
          <w:lang w:val="en-US"/>
        </w:rPr>
        <w:t xml:space="preserve">Ensure that the development of the WHO Strategic Action Plan on polio transition is guided by an overarching principle of responding to country needs and priorities, including by participating in and supporting GPEI country transition planning. </w:t>
      </w:r>
    </w:p>
    <w:p>
      <w:pPr>
        <w:pStyle w:val="List Paragraph"/>
        <w:rPr>
          <w:rFonts w:ascii="Times New Roman" w:cs="Times New Roman" w:hAnsi="Times New Roman" w:eastAsia="Times New Roman"/>
          <w:color w:val="000000"/>
          <w:sz w:val="24"/>
          <w:szCs w:val="24"/>
          <w:u w:color="000000"/>
          <w:lang w:val="en-US"/>
        </w:rPr>
      </w:pPr>
    </w:p>
    <w:p>
      <w:pPr>
        <w:pStyle w:val="List Paragraph"/>
        <w:numPr>
          <w:ilvl w:val="0"/>
          <w:numId w:val="4"/>
        </w:numPr>
        <w:bidi w:val="0"/>
        <w:ind w:right="0"/>
        <w:jc w:val="both"/>
        <w:rPr>
          <w:rFonts w:ascii="Times New Roman" w:cs="Times New Roman" w:hAnsi="Times New Roman" w:eastAsia="Times New Roman"/>
          <w:b w:val="1"/>
          <w:bCs w:val="1"/>
          <w:color w:val="000000"/>
          <w:sz w:val="24"/>
          <w:szCs w:val="24"/>
          <w:u w:color="000000"/>
          <w:rtl w:val="0"/>
          <w:lang w:val="en-US"/>
        </w:rPr>
      </w:pPr>
      <w:r>
        <w:rPr>
          <w:rFonts w:ascii="Times New Roman" w:hAnsi="Times New Roman"/>
          <w:b w:val="0"/>
          <w:bCs w:val="0"/>
          <w:color w:val="000000"/>
          <w:sz w:val="24"/>
          <w:szCs w:val="24"/>
          <w:u w:color="000000"/>
          <w:rtl w:val="0"/>
          <w:lang w:val="en-US"/>
        </w:rPr>
        <w:t>Mainstream best practices from polio eradication into all relevant health interventions and build capacity and responsibility for polio eradication ongoing functions and assets in national programs, while maintaining WHO</w:t>
      </w:r>
      <w:r>
        <w:rPr>
          <w:rFonts w:ascii="Times New Roman" w:hAnsi="Times New Roman" w:hint="default"/>
          <w:b w:val="0"/>
          <w:bCs w:val="0"/>
          <w:color w:val="000000"/>
          <w:sz w:val="24"/>
          <w:szCs w:val="24"/>
          <w:u w:color="000000"/>
          <w:rtl w:val="0"/>
          <w:lang w:val="en-US"/>
        </w:rPr>
        <w:t>’</w:t>
      </w:r>
      <w:r>
        <w:rPr>
          <w:rFonts w:ascii="Times New Roman" w:hAnsi="Times New Roman"/>
          <w:b w:val="0"/>
          <w:bCs w:val="0"/>
          <w:color w:val="000000"/>
          <w:sz w:val="24"/>
          <w:szCs w:val="24"/>
          <w:u w:color="000000"/>
          <w:rtl w:val="0"/>
          <w:lang w:val="en-US"/>
        </w:rPr>
        <w:t>s capacity to provide norms and standards for post eradication planning and oversight.</w:t>
      </w:r>
    </w:p>
    <w:p>
      <w:pPr>
        <w:pStyle w:val="List Paragraph"/>
        <w:rPr>
          <w:rFonts w:ascii="Times New Roman" w:cs="Times New Roman" w:hAnsi="Times New Roman" w:eastAsia="Times New Roman"/>
          <w:b w:val="1"/>
          <w:bCs w:val="1"/>
          <w:color w:val="000000"/>
          <w:sz w:val="24"/>
          <w:szCs w:val="24"/>
          <w:u w:color="000000"/>
          <w:lang w:val="en-US"/>
        </w:rPr>
      </w:pPr>
    </w:p>
    <w:p>
      <w:pPr>
        <w:pStyle w:val="List Paragraph"/>
        <w:numPr>
          <w:ilvl w:val="0"/>
          <w:numId w:val="4"/>
        </w:numPr>
        <w:bidi w:val="0"/>
        <w:ind w:right="0"/>
        <w:jc w:val="both"/>
        <w:rPr>
          <w:rFonts w:ascii="Times New Roman" w:cs="Times New Roman" w:hAnsi="Times New Roman" w:eastAsia="Times New Roman"/>
          <w:b w:val="1"/>
          <w:bCs w:val="1"/>
          <w:color w:val="000000"/>
          <w:sz w:val="24"/>
          <w:szCs w:val="24"/>
          <w:u w:color="000000"/>
          <w:rtl w:val="0"/>
          <w:lang w:val="en-US"/>
        </w:rPr>
      </w:pPr>
      <w:r>
        <w:rPr>
          <w:rFonts w:ascii="Times New Roman" w:hAnsi="Times New Roman"/>
          <w:b w:val="0"/>
          <w:bCs w:val="0"/>
          <w:color w:val="29272a"/>
          <w:sz w:val="24"/>
          <w:szCs w:val="24"/>
          <w:rtl w:val="0"/>
          <w:lang w:val="en-US"/>
        </w:rPr>
        <w:t xml:space="preserve">Explore innovative ways for mobilizing additional funding for the period 2017-2019 to mitigate the possible impact on GPEI ramp-down as well as for the </w:t>
      </w:r>
      <w:r>
        <w:rPr>
          <w:rFonts w:ascii="Times New Roman" w:hAnsi="Times New Roman"/>
          <w:b w:val="0"/>
          <w:bCs w:val="0"/>
          <w:color w:val="000000"/>
          <w:sz w:val="24"/>
          <w:szCs w:val="24"/>
          <w:u w:color="000000"/>
          <w:rtl w:val="0"/>
          <w:lang w:val="en-US"/>
        </w:rPr>
        <w:t>longer-term sustainability of key assets that are currently financed by GPEI and to update Member States on this work</w:t>
      </w:r>
      <w:r>
        <w:rPr>
          <w:rFonts w:ascii="Times New Roman" w:hAnsi="Times New Roman"/>
          <w:b w:val="0"/>
          <w:bCs w:val="0"/>
          <w:color w:val="29272a"/>
          <w:sz w:val="24"/>
          <w:szCs w:val="24"/>
          <w:rtl w:val="0"/>
          <w:lang w:val="en-US"/>
        </w:rPr>
        <w:t xml:space="preserve">, through a dedicated session at the forthcoming Financing Dialogue;  </w:t>
      </w:r>
    </w:p>
    <w:p>
      <w:pPr>
        <w:pStyle w:val="Corps"/>
        <w:jc w:val="both"/>
        <w:rPr>
          <w:rFonts w:ascii="Times New Roman" w:cs="Times New Roman" w:hAnsi="Times New Roman" w:eastAsia="Times New Roman"/>
          <w:sz w:val="24"/>
          <w:szCs w:val="24"/>
        </w:rPr>
      </w:pPr>
    </w:p>
    <w:p>
      <w:pPr>
        <w:pStyle w:val="Corps"/>
        <w:jc w:val="both"/>
        <w:rPr>
          <w:rFonts w:ascii="Times New Roman" w:cs="Times New Roman" w:hAnsi="Times New Roman" w:eastAsia="Times New Roman"/>
          <w:b w:val="1"/>
          <w:bCs w:val="1"/>
          <w:sz w:val="24"/>
          <w:szCs w:val="24"/>
        </w:rPr>
      </w:pPr>
      <w:r>
        <w:rPr>
          <w:rFonts w:ascii="Times New Roman" w:hAnsi="Times New Roman"/>
          <w:sz w:val="24"/>
          <w:szCs w:val="24"/>
          <w:rtl w:val="0"/>
          <w:lang w:val="en-US"/>
        </w:rPr>
        <w:t>(8) Decided to request the Director General to</w:t>
      </w:r>
      <w:r>
        <w:rPr>
          <w:rFonts w:ascii="Times New Roman" w:hAnsi="Times New Roman"/>
          <w:b w:val="1"/>
          <w:bCs w:val="1"/>
          <w:sz w:val="24"/>
          <w:szCs w:val="24"/>
          <w:rtl w:val="0"/>
        </w:rPr>
        <w:t>:</w:t>
      </w:r>
      <w:r>
        <w:rPr>
          <w:rFonts w:ascii="Times New Roman" w:hAnsi="Times New Roman"/>
          <w:sz w:val="24"/>
          <w:szCs w:val="24"/>
          <w:rtl w:val="0"/>
        </w:rPr>
        <w:t xml:space="preserve"> </w:t>
      </w:r>
    </w:p>
    <w:p>
      <w:pPr>
        <w:pStyle w:val="List Paragraph"/>
        <w:ind w:left="786" w:firstLine="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a) develop a </w:t>
      </w:r>
      <w:commentRangeStart w:id="2"/>
      <w:r>
        <w:rPr>
          <w:rFonts w:ascii="Times New Roman" w:hAnsi="Times New Roman"/>
          <w:i w:val="1"/>
          <w:iCs w:val="1"/>
          <w:sz w:val="24"/>
          <w:szCs w:val="24"/>
          <w:rtl w:val="0"/>
          <w:lang w:val="en-US"/>
        </w:rPr>
        <w:t>Strategic Action Plan and Options</w:t>
      </w:r>
      <w:r>
        <w:rPr>
          <w:rFonts w:ascii="Times New Roman" w:hAnsi="Times New Roman"/>
          <w:sz w:val="24"/>
          <w:szCs w:val="24"/>
          <w:rtl w:val="0"/>
          <w:lang w:val="en-US"/>
        </w:rPr>
        <w:t xml:space="preserve"> </w:t>
      </w:r>
      <w:commentRangeEnd w:id="2"/>
      <w:r>
        <w:commentReference w:id="2"/>
      </w:r>
      <w:r>
        <w:rPr>
          <w:rFonts w:ascii="Times New Roman" w:hAnsi="Times New Roman"/>
          <w:sz w:val="24"/>
          <w:szCs w:val="24"/>
          <w:rtl w:val="0"/>
          <w:lang w:val="en-US"/>
        </w:rPr>
        <w:t>by the end of 2017 for submission at 71</w:t>
      </w:r>
      <w:r>
        <w:rPr>
          <w:rFonts w:ascii="Times New Roman" w:hAnsi="Times New Roman"/>
          <w:sz w:val="24"/>
          <w:szCs w:val="24"/>
          <w:vertAlign w:val="superscript"/>
          <w:rtl w:val="0"/>
          <w:lang w:val="en-US"/>
        </w:rPr>
        <w:t>st</w:t>
      </w:r>
      <w:r>
        <w:rPr>
          <w:rFonts w:ascii="Times New Roman" w:hAnsi="Times New Roman"/>
          <w:sz w:val="24"/>
          <w:szCs w:val="24"/>
          <w:rtl w:val="0"/>
          <w:lang w:val="en-US"/>
        </w:rPr>
        <w:t xml:space="preserve"> World Health Assembly through 142</w:t>
      </w:r>
      <w:r>
        <w:rPr>
          <w:rFonts w:ascii="Times New Roman" w:hAnsi="Times New Roman"/>
          <w:sz w:val="24"/>
          <w:szCs w:val="24"/>
          <w:vertAlign w:val="superscript"/>
          <w:rtl w:val="0"/>
          <w:lang w:val="en-US"/>
        </w:rPr>
        <w:t>nd</w:t>
      </w:r>
      <w:r>
        <w:rPr>
          <w:rFonts w:ascii="Times New Roman" w:hAnsi="Times New Roman"/>
          <w:sz w:val="24"/>
          <w:szCs w:val="24"/>
          <w:rtl w:val="0"/>
          <w:lang w:val="en-US"/>
        </w:rPr>
        <w:t xml:space="preserve"> Executive Board that: </w:t>
      </w:r>
    </w:p>
    <w:p>
      <w:pPr>
        <w:pStyle w:val="List Paragraph"/>
        <w:ind w:left="786" w:firstLine="0"/>
        <w:jc w:val="both"/>
        <w:rPr>
          <w:rFonts w:ascii="Times New Roman" w:cs="Times New Roman" w:hAnsi="Times New Roman" w:eastAsia="Times New Roman"/>
          <w:sz w:val="24"/>
          <w:szCs w:val="24"/>
        </w:rPr>
      </w:pPr>
    </w:p>
    <w:p>
      <w:pPr>
        <w:pStyle w:val="List Paragraph"/>
        <w:numPr>
          <w:ilvl w:val="0"/>
          <w:numId w:val="8"/>
        </w:numPr>
        <w:bidi w:val="0"/>
        <w:ind w:right="0"/>
        <w:jc w:val="both"/>
        <w:rPr>
          <w:rFonts w:ascii="Times New Roman" w:cs="Times New Roman" w:hAnsi="Times New Roman" w:eastAsia="Times New Roman"/>
          <w:sz w:val="24"/>
          <w:szCs w:val="24"/>
          <w:rtl w:val="0"/>
          <w:lang w:val="en-US"/>
        </w:rPr>
      </w:pPr>
      <w:r>
        <w:rPr>
          <w:rFonts w:ascii="Times New Roman" w:hAnsi="Times New Roman"/>
          <w:sz w:val="24"/>
          <w:szCs w:val="24"/>
          <w:rtl w:val="0"/>
          <w:lang w:val="en-US"/>
        </w:rPr>
        <w:t>Clearly identifies capacities and assets, especially at country and where appropriate community levels, required to:</w:t>
      </w:r>
    </w:p>
    <w:p>
      <w:pPr>
        <w:pStyle w:val="List Paragraph"/>
        <w:numPr>
          <w:ilvl w:val="3"/>
          <w:numId w:val="10"/>
        </w:numPr>
        <w:bidi w:val="0"/>
        <w:ind w:right="0"/>
        <w:jc w:val="both"/>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sustain progress in other programmatic areas, such as disease surveillance, emergency and outbreak response, immunization and health systems strengthening; </w:t>
      </w:r>
    </w:p>
    <w:p>
      <w:pPr>
        <w:pStyle w:val="List Paragraph"/>
        <w:numPr>
          <w:ilvl w:val="3"/>
          <w:numId w:val="10"/>
        </w:numPr>
        <w:bidi w:val="0"/>
        <w:ind w:right="0"/>
        <w:jc w:val="both"/>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maintain a polio free world after eradication; </w:t>
      </w:r>
    </w:p>
    <w:p>
      <w:pPr>
        <w:pStyle w:val="List Paragraph"/>
        <w:ind w:left="1440" w:firstLine="0"/>
        <w:jc w:val="both"/>
        <w:rPr>
          <w:rFonts w:ascii="Times New Roman" w:cs="Times New Roman" w:hAnsi="Times New Roman" w:eastAsia="Times New Roman"/>
          <w:sz w:val="24"/>
          <w:szCs w:val="24"/>
        </w:rPr>
      </w:pPr>
    </w:p>
    <w:p>
      <w:pPr>
        <w:pStyle w:val="List Paragraph"/>
        <w:numPr>
          <w:ilvl w:val="0"/>
          <w:numId w:val="13"/>
        </w:numPr>
        <w:bidi w:val="0"/>
        <w:ind w:right="0"/>
        <w:jc w:val="both"/>
        <w:rPr>
          <w:rFonts w:ascii="Times New Roman" w:cs="Times New Roman" w:hAnsi="Times New Roman" w:eastAsia="Times New Roman"/>
          <w:sz w:val="24"/>
          <w:szCs w:val="24"/>
          <w:rtl w:val="0"/>
          <w:lang w:val="en-US"/>
        </w:rPr>
      </w:pPr>
      <w:r>
        <w:rPr>
          <w:rFonts w:ascii="Times New Roman" w:hAnsi="Times New Roman"/>
          <w:sz w:val="24"/>
          <w:szCs w:val="24"/>
          <w:rtl w:val="0"/>
          <w:lang w:val="en-US"/>
        </w:rPr>
        <w:t>Provides a detailed costing of these capacities and assets;</w:t>
      </w:r>
    </w:p>
    <w:p>
      <w:pPr>
        <w:pStyle w:val="List Paragraph"/>
        <w:ind w:left="1776" w:firstLine="0"/>
        <w:jc w:val="both"/>
        <w:rPr>
          <w:rFonts w:ascii="Times New Roman" w:cs="Times New Roman" w:hAnsi="Times New Roman" w:eastAsia="Times New Roman"/>
          <w:sz w:val="24"/>
          <w:szCs w:val="24"/>
        </w:rPr>
      </w:pPr>
    </w:p>
    <w:p>
      <w:pPr>
        <w:pStyle w:val="Corps"/>
        <w:ind w:left="644" w:firstLine="0"/>
        <w:jc w:val="both"/>
        <w:rPr>
          <w:rFonts w:ascii="Times New Roman" w:cs="Times New Roman" w:hAnsi="Times New Roman" w:eastAsia="Times New Roman"/>
          <w:sz w:val="24"/>
          <w:szCs w:val="24"/>
        </w:rPr>
      </w:pPr>
      <w:r>
        <w:rPr>
          <w:rFonts w:ascii="Times New Roman" w:hAnsi="Times New Roman"/>
          <w:sz w:val="24"/>
          <w:szCs w:val="24"/>
          <w:rtl w:val="0"/>
          <w:lang w:val="en-US"/>
        </w:rPr>
        <w:t>b) present to the 71</w:t>
      </w:r>
      <w:r>
        <w:rPr>
          <w:rFonts w:ascii="Times New Roman" w:hAnsi="Times New Roman"/>
          <w:sz w:val="24"/>
          <w:szCs w:val="24"/>
          <w:vertAlign w:val="superscript"/>
          <w:rtl w:val="0"/>
        </w:rPr>
        <w:t>st</w:t>
      </w:r>
      <w:r>
        <w:rPr>
          <w:rFonts w:ascii="Times New Roman" w:hAnsi="Times New Roman"/>
          <w:sz w:val="24"/>
          <w:szCs w:val="24"/>
          <w:rtl w:val="0"/>
          <w:lang w:val="en-US"/>
        </w:rPr>
        <w:t xml:space="preserve"> World Health Assembly a report on the efforts to mobilise funding for transitioning capacities and assets that are currently GPEI-funded into the Programme Budget, to enable the 71</w:t>
      </w:r>
      <w:r>
        <w:rPr>
          <w:rFonts w:ascii="Times New Roman" w:hAnsi="Times New Roman"/>
          <w:sz w:val="24"/>
          <w:szCs w:val="24"/>
          <w:vertAlign w:val="superscript"/>
          <w:rtl w:val="0"/>
        </w:rPr>
        <w:t>st</w:t>
      </w:r>
      <w:r>
        <w:rPr>
          <w:rFonts w:ascii="Times New Roman" w:hAnsi="Times New Roman"/>
          <w:sz w:val="24"/>
          <w:szCs w:val="24"/>
          <w:rtl w:val="0"/>
          <w:lang w:val="en-US"/>
        </w:rPr>
        <w:t xml:space="preserve"> World Health Assembly to provide guidance for the development of the Programme Budget for 2020-2021 and the 13</w:t>
      </w:r>
      <w:r>
        <w:rPr>
          <w:rFonts w:ascii="Times New Roman" w:hAnsi="Times New Roman"/>
          <w:sz w:val="24"/>
          <w:szCs w:val="24"/>
          <w:vertAlign w:val="superscript"/>
          <w:rtl w:val="0"/>
          <w:lang w:val="en-US"/>
        </w:rPr>
        <w:t>th</w:t>
      </w:r>
      <w:r>
        <w:rPr>
          <w:rFonts w:ascii="Times New Roman" w:hAnsi="Times New Roman"/>
          <w:sz w:val="24"/>
          <w:szCs w:val="24"/>
          <w:rtl w:val="0"/>
          <w:lang w:val="en-US"/>
        </w:rPr>
        <w:t xml:space="preserve"> Programme of Work 2020-2025 on a realistic basis;</w:t>
      </w:r>
    </w:p>
    <w:p>
      <w:pPr>
        <w:pStyle w:val="Corps"/>
        <w:ind w:left="644" w:firstLine="0"/>
        <w:jc w:val="both"/>
      </w:pPr>
      <w:r>
        <w:rPr>
          <w:rFonts w:ascii="Times New Roman" w:hAnsi="Times New Roman"/>
          <w:sz w:val="24"/>
          <w:szCs w:val="24"/>
          <w:rtl w:val="0"/>
          <w:lang w:val="en-US"/>
        </w:rPr>
        <w:t xml:space="preserve">c) </w:t>
      </w:r>
      <w:r>
        <w:rPr>
          <w:rFonts w:ascii="Times New Roman" w:hAnsi="Times New Roman"/>
          <w:sz w:val="24"/>
          <w:szCs w:val="24"/>
          <w:rtl w:val="0"/>
          <w:lang w:val="en-US"/>
        </w:rPr>
        <w:t xml:space="preserve">report regularly on the planning and implementation of the transition process to the World Health Assembly, through the Regional Committees and the Executive Board. </w:t>
      </w:r>
    </w:p>
    <w:sectPr>
      <w:headerReference w:type="default" r:id="rId4"/>
      <w:footerReference w:type="default" r:id="rId5"/>
      <w:pgSz w:w="11900" w:h="16840" w:orient="portrait"/>
      <w:pgMar w:top="1440" w:right="1440" w:bottom="1440" w:left="1440" w:header="708" w:footer="708"/>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w:comment w:id="1" w:author="Utilisateur Windows" w:date="2017-05-16T11:23:00Z">
    <w:p>
      <w:pPr>
        <w:pStyle w:val="Par défaut"/>
        <w:bidi w:val="0"/>
      </w:pPr>
    </w:p>
    <w:p>
      <w:pPr>
        <w:pStyle w:val="Par défaut"/>
        <w:bidi w:val="0"/>
      </w:pPr>
      <w:r>
        <w:rPr>
          <w:rFonts w:cs="Arial Unicode MS" w:eastAsia="Arial Unicode MS"/>
        </w:rPr>
        <w:t>To be updated once the final report on Transition Planning is available.</w:t>
      </w:r>
    </w:p>
    <w:p>
      <w:pPr>
        <w:pStyle w:val="Par défaut"/>
        <w:bidi w:val="0"/>
      </w:pPr>
    </w:p>
    <w:p>
      <w:pPr>
        <w:pStyle w:val="Par défaut"/>
        <w:bidi w:val="0"/>
      </w:pPr>
      <w:r>
        <w:rPr>
          <w:rFonts w:cs="Arial Unicode MS" w:eastAsia="Arial Unicode MS"/>
        </w:rPr>
        <w:t>Utilisateur Windows</w:t>
      </w:r>
    </w:p>
    <w:p>
      <w:pPr>
        <w:pStyle w:val="Par défaut"/>
        <w:bidi w:val="0"/>
      </w:pPr>
      <w:r>
        <w:rPr>
          <w:rFonts w:cs="Arial Unicode MS" w:eastAsia="Arial Unicode MS"/>
        </w:rPr>
        <w:t>This para will be finalized once the final report on Transition Planning is available</w:t>
      </w:r>
    </w:p>
  </w:comment>
  <w:comment w:id="2" w:author="Utilisateur Windows" w:date="2017-05-16T11:24:00Z">
    <w:p>
      <w:pPr>
        <w:pStyle w:val="Par défaut"/>
        <w:bidi w:val="0"/>
      </w:pPr>
    </w:p>
    <w:p>
      <w:pPr>
        <w:pStyle w:val="Par défaut"/>
        <w:bidi w:val="0"/>
      </w:pPr>
      <w:r>
        <w:rPr>
          <w:rFonts w:cs="Arial Unicode MS" w:eastAsia="Arial Unicode MS"/>
        </w:rPr>
        <w:t>To be updated once the final report on Transition Planning is available.</w:t>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bas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jc w:val="right"/>
    </w:pPr>
    <w:r>
      <w:rPr>
        <w:rFonts w:ascii="Calibri" w:cs="Calibri" w:hAnsi="Calibri" w:eastAsia="Calibri"/>
        <w:b w:val="1"/>
        <w:bCs w:val="1"/>
        <w:rtl w:val="0"/>
        <w:lang w:val="es-ES_tradnl"/>
      </w:rPr>
      <w:t xml:space="preserve">Draft 0 </w:t>
    </w:r>
    <w:r>
      <w:rPr>
        <w:rFonts w:ascii="Calibri" w:cs="Calibri" w:hAnsi="Calibri" w:eastAsia="Calibri"/>
        <w:b w:val="1"/>
        <w:bCs w:val="1"/>
        <w:rtl w:val="0"/>
        <w:lang w:val="es-ES_tradnl"/>
      </w:rPr>
      <w:t xml:space="preserve">– </w:t>
    </w:r>
    <w:r>
      <w:rPr>
        <w:rFonts w:ascii="Calibri" w:cs="Calibri" w:hAnsi="Calibri" w:eastAsia="Calibri"/>
        <w:b w:val="1"/>
        <w:bCs w:val="1"/>
        <w:rtl w:val="0"/>
        <w:lang w:val="es-ES_tradnl"/>
      </w:rPr>
      <w:t>18 May 2017</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yle 1 importé"/>
  </w:abstractNum>
  <w:abstractNum w:abstractNumId="1">
    <w:multiLevelType w:val="hybridMultilevel"/>
    <w:styleLink w:val="Style 1 importé"/>
    <w:lvl w:ilvl="0">
      <w:start w:val="1"/>
      <w:numFmt w:val="decimal"/>
      <w:suff w:val="tab"/>
      <w:lvlText w:val="(%1)"/>
      <w:lvlJc w:val="left"/>
      <w:pPr>
        <w:ind w:left="819"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7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lowerRoman"/>
      <w:suff w:val="tab"/>
      <w:lvlText w:val="%4."/>
      <w:lvlJc w:val="left"/>
      <w:pPr>
        <w:ind w:left="288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Style 2 importé"/>
  </w:abstractNum>
  <w:abstractNum w:abstractNumId="3">
    <w:multiLevelType w:val="hybridMultilevel"/>
    <w:styleLink w:val="Style 2 importé"/>
    <w:lvl w:ilvl="0">
      <w:start w:val="1"/>
      <w:numFmt w:val="lowerLetter"/>
      <w:suff w:val="tab"/>
      <w:lvlText w:val="(%1)"/>
      <w:lvlJc w:val="left"/>
      <w:pPr>
        <w:ind w:left="1070" w:hanging="48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30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30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30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Style 3 importé"/>
  </w:abstractNum>
  <w:abstractNum w:abstractNumId="5">
    <w:multiLevelType w:val="hybridMultilevel"/>
    <w:styleLink w:val="Style 3 importé"/>
    <w:lvl w:ilvl="0">
      <w:start w:val="1"/>
      <w:numFmt w:val="lowerLetter"/>
      <w:suff w:val="tab"/>
      <w:lvlText w:val="(%1)"/>
      <w:lvlJc w:val="left"/>
      <w:pPr>
        <w:ind w:left="177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43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315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59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31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03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75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47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Style 1 importé.0"/>
  </w:abstractNum>
  <w:abstractNum w:abstractNumId="7">
    <w:multiLevelType w:val="hybridMultilevel"/>
    <w:styleLink w:val="Style 1 importé.0"/>
    <w:lvl w:ilvl="0">
      <w:start w:val="1"/>
      <w:numFmt w:val="bullet"/>
      <w:suff w:val="tab"/>
      <w:lvlText w:val="-"/>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23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720" w:hanging="36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560" w:hanging="36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240" w:hanging="36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080" w:hanging="36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Style 4 importé"/>
  </w:abstractNum>
  <w:abstractNum w:abstractNumId="9">
    <w:multiLevelType w:val="hybridMultilevel"/>
    <w:styleLink w:val="Style 4 importé"/>
    <w:lvl w:ilvl="0">
      <w:start w:val="1"/>
      <w:numFmt w:val="lowerLetter"/>
      <w:suff w:val="tab"/>
      <w:lvlText w:val="(%1)"/>
      <w:lvlJc w:val="left"/>
      <w:pPr>
        <w:ind w:left="177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2"/>
    </w:lvlOverride>
  </w:num>
  <w:num w:numId="6">
    <w:abstractNumId w:val="5"/>
  </w:num>
  <w:num w:numId="7">
    <w:abstractNumId w:val="4"/>
  </w:num>
  <w:num w:numId="8">
    <w:abstractNumId w:val="4"/>
    <w:lvlOverride w:ilvl="0">
      <w:startOverride w:val="9"/>
    </w:lvlOverride>
  </w:num>
  <w:num w:numId="9">
    <w:abstractNumId w:val="7"/>
  </w:num>
  <w:num w:numId="10">
    <w:abstractNumId w:val="6"/>
  </w:num>
  <w:num w:numId="11">
    <w:abstractNumId w:val="9"/>
  </w:num>
  <w:num w:numId="12">
    <w:abstractNumId w:val="8"/>
  </w:num>
  <w:num w:numId="13">
    <w:abstractNumId w:val="8"/>
    <w:lvlOverride w:ilvl="0">
      <w:startOverride w:val="35"/>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En-tête, bas de page">
    <w:name w:val="En-tête"/>
    <w:next w:val="En-tête, bas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Corps">
    <w:name w:val="Corps"/>
    <w:next w:val="Corps"/>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Par défaut">
    <w:name w:val="Par défaut"/>
    <w:next w:val="Par défau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720" w:right="0" w:firstLine="0"/>
      <w:jc w:val="left"/>
      <w:outlineLvl w:val="9"/>
    </w:pPr>
    <w:rPr>
      <w:rFonts w:ascii="Times" w:cs="Arial Unicode MS" w:hAnsi="Times" w:eastAsia="Arial Unicode MS"/>
      <w:b w:val="0"/>
      <w:bCs w:val="0"/>
      <w:i w:val="0"/>
      <w:iCs w:val="0"/>
      <w:caps w:val="0"/>
      <w:smallCaps w:val="0"/>
      <w:strike w:val="0"/>
      <w:dstrike w:val="0"/>
      <w:outline w:val="0"/>
      <w:color w:val="29272a"/>
      <w:spacing w:val="0"/>
      <w:kern w:val="0"/>
      <w:position w:val="0"/>
      <w:sz w:val="26"/>
      <w:szCs w:val="26"/>
      <w:u w:val="none" w:color="29272a"/>
      <w:vertAlign w:val="baseline"/>
      <w:lang w:val="en-US"/>
    </w:rPr>
  </w:style>
  <w:style w:type="numbering" w:styleId="Style 1 importé">
    <w:name w:val="Style 1 importé"/>
    <w:pPr>
      <w:numPr>
        <w:numId w:val="1"/>
      </w:numPr>
    </w:pPr>
  </w:style>
  <w:style w:type="numbering" w:styleId="Style 2 importé">
    <w:name w:val="Style 2 importé"/>
    <w:pPr>
      <w:numPr>
        <w:numId w:val="3"/>
      </w:numPr>
    </w:pPr>
  </w:style>
  <w:style w:type="numbering" w:styleId="Style 3 importé">
    <w:name w:val="Style 3 importé"/>
    <w:pPr>
      <w:numPr>
        <w:numId w:val="6"/>
      </w:numPr>
    </w:pPr>
  </w:style>
  <w:style w:type="numbering" w:styleId="Style 1 importé.0">
    <w:name w:val="Style 1 importé.0"/>
    <w:pPr>
      <w:numPr>
        <w:numId w:val="9"/>
      </w:numPr>
    </w:pPr>
  </w:style>
  <w:style w:type="numbering" w:styleId="Style 4 importé">
    <w:name w:val="Style 4 importé"/>
    <w:pPr>
      <w:numPr>
        <w:numId w:val="1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