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11F2" w:rsidRDefault="007316EA" w:rsidP="00CD125D">
      <w:pPr>
        <w:shd w:val="clear" w:color="auto" w:fill="FFFFFF" w:themeFill="background1"/>
        <w:spacing w:after="0" w:line="240" w:lineRule="auto"/>
        <w:rPr>
          <w:rFonts w:ascii="Calibri" w:eastAsiaTheme="majorEastAsia" w:hAnsi="Calibri" w:cs="Calibri"/>
          <w:b/>
          <w:bCs/>
          <w:i/>
          <w:color w:val="365F91" w:themeColor="accent1" w:themeShade="BF"/>
        </w:rPr>
      </w:pPr>
      <w:r w:rsidRPr="00624570">
        <w:rPr>
          <w:rFonts w:ascii="Calibri" w:eastAsiaTheme="majorEastAsia" w:hAnsi="Calibri" w:cs="Calibri"/>
          <w:b/>
          <w:bCs/>
          <w:i/>
          <w:noProof/>
          <w:color w:val="365F91" w:themeColor="accent1" w:themeShade="BF"/>
        </w:rPr>
        <w:drawing>
          <wp:anchor distT="0" distB="0" distL="114300" distR="114300" simplePos="0" relativeHeight="251660288" behindDoc="0" locked="0" layoutInCell="1" allowOverlap="1">
            <wp:simplePos x="0" y="0"/>
            <wp:positionH relativeFrom="column">
              <wp:posOffset>5174615</wp:posOffset>
            </wp:positionH>
            <wp:positionV relativeFrom="paragraph">
              <wp:posOffset>-270510</wp:posOffset>
            </wp:positionV>
            <wp:extent cx="1504950" cy="6116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NCDC gamchvirvale new.png"/>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1504950" cy="611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24570">
        <w:rPr>
          <w:rFonts w:asciiTheme="majorHAnsi" w:eastAsiaTheme="majorEastAsia" w:hAnsiTheme="majorHAnsi" w:cstheme="majorBidi"/>
          <w:b/>
          <w:bCs/>
          <w:i/>
          <w:noProof/>
          <w:color w:val="365F91" w:themeColor="accent1" w:themeShade="BF"/>
          <w:sz w:val="26"/>
          <w:szCs w:val="26"/>
        </w:rPr>
        <w:drawing>
          <wp:anchor distT="0" distB="0" distL="114300" distR="114300" simplePos="0" relativeHeight="251659264" behindDoc="0" locked="0" layoutInCell="1" allowOverlap="1">
            <wp:simplePos x="0" y="0"/>
            <wp:positionH relativeFrom="column">
              <wp:posOffset>107315</wp:posOffset>
            </wp:positionH>
            <wp:positionV relativeFrom="paragraph">
              <wp:posOffset>-288643</wp:posOffset>
            </wp:positionV>
            <wp:extent cx="1600200" cy="632813"/>
            <wp:effectExtent l="0" t="0" r="0" b="0"/>
            <wp:wrapNone/>
            <wp:docPr id="8" name="Picture 8" descr="F:\SCRC შეხვედრისთვის 7.11.2017\Briefs\New new briefs\MOH 1 Logo-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CRC შეხვედრისთვის 7.11.2017\Briefs\New new briefs\MOH 1 Logo-ENG.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27351" cy="64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11F2">
        <w:rPr>
          <w:rFonts w:ascii="Calibri" w:eastAsiaTheme="minorEastAsia" w:hAnsi="Calibri" w:cs="Calibri"/>
        </w:rPr>
        <w:t xml:space="preserve">   </w:t>
      </w:r>
      <w:r w:rsidR="00B311F2" w:rsidRPr="00624570">
        <w:rPr>
          <w:rFonts w:ascii="Calibri" w:eastAsiaTheme="majorEastAsia" w:hAnsi="Calibri" w:cs="Calibri"/>
          <w:color w:val="365F91" w:themeColor="accent1" w:themeShade="BF"/>
        </w:rPr>
        <w:t xml:space="preserve"> </w:t>
      </w:r>
      <w:r w:rsidR="00B311F2" w:rsidRPr="00624570">
        <w:rPr>
          <w:rFonts w:ascii="Calibri" w:eastAsiaTheme="majorEastAsia" w:hAnsi="Calibri" w:cs="Calibri"/>
          <w:color w:val="365F91" w:themeColor="accent1" w:themeShade="BF"/>
          <w:lang w:val="ka-GE"/>
        </w:rPr>
        <w:t xml:space="preserve"> </w:t>
      </w:r>
      <w:r w:rsidR="00B311F2" w:rsidRPr="00624570">
        <w:rPr>
          <w:rFonts w:ascii="Calibri" w:eastAsiaTheme="majorEastAsia" w:hAnsi="Calibri" w:cs="Calibri"/>
          <w:color w:val="365F91" w:themeColor="accent1" w:themeShade="BF"/>
        </w:rPr>
        <w:t xml:space="preserve">  </w:t>
      </w:r>
      <w:r w:rsidR="00B311F2">
        <w:rPr>
          <w:rFonts w:ascii="Calibri" w:eastAsiaTheme="majorEastAsia" w:hAnsi="Calibri" w:cs="Calibri"/>
          <w:color w:val="365F91" w:themeColor="accent1" w:themeShade="BF"/>
        </w:rPr>
        <w:t xml:space="preserve">      </w:t>
      </w:r>
      <w:r w:rsidR="00B311F2" w:rsidRPr="00624570">
        <w:rPr>
          <w:rFonts w:ascii="Calibri" w:eastAsiaTheme="majorEastAsia" w:hAnsi="Calibri" w:cs="Calibri"/>
          <w:color w:val="365F91" w:themeColor="accent1" w:themeShade="BF"/>
        </w:rPr>
        <w:t xml:space="preserve">  </w:t>
      </w:r>
      <w:r w:rsidR="00B311F2" w:rsidRPr="00624570">
        <w:rPr>
          <w:rFonts w:ascii="Calibri" w:eastAsiaTheme="majorEastAsia" w:hAnsi="Calibri" w:cs="Calibri"/>
          <w:color w:val="365F91" w:themeColor="accent1" w:themeShade="BF"/>
          <w:lang w:val="ka-GE"/>
        </w:rPr>
        <w:t xml:space="preserve">          </w:t>
      </w:r>
      <w:r w:rsidR="00B311F2" w:rsidRPr="00624570">
        <w:rPr>
          <w:rFonts w:eastAsiaTheme="majorEastAsia" w:cs="Calibri"/>
          <w:color w:val="365F91" w:themeColor="accent1" w:themeShade="BF"/>
          <w:lang w:val="ka-GE"/>
        </w:rPr>
        <w:tab/>
      </w:r>
      <w:r w:rsidR="0012710C">
        <w:rPr>
          <w:rFonts w:eastAsiaTheme="majorEastAsia" w:cs="Calibri"/>
          <w:color w:val="365F91" w:themeColor="accent1" w:themeShade="BF"/>
        </w:rPr>
        <w:t xml:space="preserve">  </w:t>
      </w:r>
      <w:r w:rsidR="00B311F2">
        <w:rPr>
          <w:rFonts w:eastAsiaTheme="majorEastAsia" w:cs="Calibri"/>
          <w:color w:val="365F91" w:themeColor="accent1" w:themeShade="BF"/>
        </w:rPr>
        <w:t xml:space="preserve">                 </w:t>
      </w:r>
      <w:r w:rsidR="00B311F2" w:rsidRPr="00624570">
        <w:rPr>
          <w:rFonts w:eastAsiaTheme="majorEastAsia" w:cs="Calibri"/>
          <w:color w:val="365F91" w:themeColor="accent1" w:themeShade="BF"/>
          <w:lang w:val="ka-GE"/>
        </w:rPr>
        <w:tab/>
      </w:r>
      <w:r w:rsidR="0012710C">
        <w:rPr>
          <w:rFonts w:eastAsiaTheme="majorEastAsia" w:cs="Calibri"/>
          <w:color w:val="365F91" w:themeColor="accent1" w:themeShade="BF"/>
        </w:rPr>
        <w:t xml:space="preserve">                 </w:t>
      </w:r>
      <w:r w:rsidR="00B311F2" w:rsidRPr="00624570">
        <w:rPr>
          <w:rFonts w:ascii="Calibri" w:eastAsiaTheme="majorEastAsia" w:hAnsi="Calibri" w:cs="Calibri"/>
          <w:color w:val="365F91" w:themeColor="accent1" w:themeShade="BF"/>
          <w:lang w:val="ka-GE"/>
        </w:rPr>
        <w:t xml:space="preserve">  </w:t>
      </w:r>
      <w:r w:rsidR="00B311F2" w:rsidRPr="00624570">
        <w:rPr>
          <w:rFonts w:ascii="Calibri" w:eastAsiaTheme="majorEastAsia" w:hAnsi="Calibri" w:cs="Calibri"/>
          <w:color w:val="365F91" w:themeColor="accent1" w:themeShade="BF"/>
        </w:rPr>
        <w:t xml:space="preserve">   </w:t>
      </w:r>
    </w:p>
    <w:p w:rsidR="007316EA" w:rsidRPr="001B2D55" w:rsidRDefault="007316EA" w:rsidP="00CD125D">
      <w:pPr>
        <w:pStyle w:val="Heading2"/>
        <w:jc w:val="right"/>
        <w:rPr>
          <w:rFonts w:ascii="Calibri" w:eastAsiaTheme="majorEastAsia" w:hAnsi="Calibri" w:cs="Calibri"/>
          <w:bCs w:val="0"/>
          <w:i w:val="0"/>
          <w:color w:val="244061" w:themeColor="accent1" w:themeShade="80"/>
          <w:sz w:val="60"/>
          <w:szCs w:val="60"/>
        </w:rPr>
      </w:pPr>
    </w:p>
    <w:p w:rsidR="00B311F2" w:rsidRPr="006B392D" w:rsidRDefault="00B311F2" w:rsidP="00CD125D">
      <w:pPr>
        <w:pStyle w:val="Heading2"/>
        <w:jc w:val="right"/>
        <w:rPr>
          <w:rFonts w:ascii="Calibri" w:eastAsiaTheme="majorEastAsia" w:hAnsi="Calibri" w:cs="Calibri"/>
          <w:bCs w:val="0"/>
          <w:i w:val="0"/>
          <w:color w:val="365F91" w:themeColor="accent1" w:themeShade="BF"/>
          <w:sz w:val="32"/>
          <w:szCs w:val="32"/>
        </w:rPr>
      </w:pPr>
      <w:r w:rsidRPr="00AC03F4">
        <w:rPr>
          <w:rFonts w:ascii="Calibri" w:eastAsiaTheme="majorEastAsia" w:hAnsi="Calibri" w:cs="Calibri"/>
          <w:bCs w:val="0"/>
          <w:i w:val="0"/>
          <w:color w:val="365F91" w:themeColor="accent1" w:themeShade="BF"/>
          <w:sz w:val="36"/>
          <w:szCs w:val="36"/>
        </w:rPr>
        <w:t>GEORGIA</w:t>
      </w:r>
      <w:r w:rsidRPr="006B392D">
        <w:rPr>
          <w:rFonts w:ascii="Calibri" w:eastAsiaTheme="majorEastAsia" w:hAnsi="Calibri" w:cs="Calibri"/>
          <w:bCs w:val="0"/>
          <w:color w:val="365F91" w:themeColor="accent1" w:themeShade="BF"/>
          <w:sz w:val="32"/>
          <w:szCs w:val="32"/>
        </w:rPr>
        <w:t xml:space="preserve"> </w:t>
      </w:r>
      <w:r w:rsidRPr="006B392D">
        <w:rPr>
          <w:rFonts w:ascii="Calibri" w:eastAsiaTheme="majorEastAsia" w:hAnsi="Calibri" w:cs="Calibri"/>
          <w:bCs w:val="0"/>
          <w:color w:val="365F91" w:themeColor="accent1" w:themeShade="BF"/>
          <w:sz w:val="36"/>
          <w:szCs w:val="36"/>
        </w:rPr>
        <w:t>Brief</w:t>
      </w:r>
    </w:p>
    <w:p w:rsidR="00F56480" w:rsidRPr="007C17A7" w:rsidRDefault="00950D3D" w:rsidP="00CD125D">
      <w:pPr>
        <w:shd w:val="clear" w:color="auto" w:fill="FFFFFF" w:themeFill="background1"/>
        <w:spacing w:after="0" w:line="240" w:lineRule="auto"/>
        <w:rPr>
          <w:rFonts w:ascii="Calibri" w:hAnsi="Calibri" w:cs="Calibri"/>
          <w:b/>
          <w:bCs/>
          <w:sz w:val="24"/>
          <w:szCs w:val="24"/>
        </w:rPr>
      </w:pPr>
      <w:r w:rsidRPr="007C17A7">
        <w:rPr>
          <w:rFonts w:ascii="Calibri" w:hAnsi="Calibri" w:cs="Calibri"/>
          <w:b/>
          <w:bCs/>
          <w:noProof/>
          <w:sz w:val="24"/>
          <w:szCs w:val="24"/>
        </w:rPr>
        <mc:AlternateContent>
          <mc:Choice Requires="wps">
            <w:drawing>
              <wp:anchor distT="0" distB="0" distL="114300" distR="114300" simplePos="0" relativeHeight="251658240" behindDoc="0" locked="0" layoutInCell="1" allowOverlap="1" wp14:anchorId="22A02BB2" wp14:editId="75B90BF4">
                <wp:simplePos x="0" y="0"/>
                <wp:positionH relativeFrom="margin">
                  <wp:align>right</wp:align>
                </wp:positionH>
                <wp:positionV relativeFrom="paragraph">
                  <wp:posOffset>26035</wp:posOffset>
                </wp:positionV>
                <wp:extent cx="6667500" cy="790575"/>
                <wp:effectExtent l="0" t="0" r="19050" b="28575"/>
                <wp:wrapNone/>
                <wp:docPr id="12" name="Round Single Corner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00" cy="790575"/>
                        </a:xfrm>
                        <a:prstGeom prst="round1Rect">
                          <a:avLst>
                            <a:gd name="adj" fmla="val 0"/>
                          </a:avLst>
                        </a:prstGeom>
                        <a:solidFill>
                          <a:srgbClr val="4F81BD"/>
                        </a:solidFill>
                        <a:ln w="25400" cap="flat" cmpd="sng" algn="ctr">
                          <a:solidFill>
                            <a:srgbClr val="4F81BD">
                              <a:shade val="50000"/>
                            </a:srgbClr>
                          </a:solidFill>
                          <a:prstDash val="solid"/>
                        </a:ln>
                        <a:effectLst/>
                      </wps:spPr>
                      <wps:txbx>
                        <w:txbxContent>
                          <w:p w:rsidR="007C17A7" w:rsidRDefault="006B392D" w:rsidP="00B311F2">
                            <w:pPr>
                              <w:spacing w:after="0" w:line="240" w:lineRule="auto"/>
                              <w:ind w:left="720"/>
                              <w:jc w:val="center"/>
                            </w:pPr>
                            <w:r w:rsidRPr="006B392D">
                              <w:rPr>
                                <w:rFonts w:eastAsiaTheme="minorEastAsia" w:cstheme="minorHAnsi"/>
                                <w:b/>
                                <w:color w:val="FFFFFF" w:themeColor="background1"/>
                                <w:sz w:val="44"/>
                                <w:szCs w:val="44"/>
                              </w:rPr>
                              <w:t>Public Health System Management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02BB2" id="Round Single Corner Rectangle 12" o:spid="_x0000_s1026" style="position:absolute;margin-left:473.8pt;margin-top:2.05pt;width:525pt;height:62.2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6667500,790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" adj="-11796480,,5400" path="m,l6667500,r,l6667500,790575,,790575,,xe" fillcolor="#4f81bd" strokecolor="#385d8a" strokeweight="2pt">
                <v:stroke joinstyle="miter"/>
                <v:formulas/>
                <v:path arrowok="t" o:connecttype="custom" o:connectlocs="0,0;6667500,0;6667500,0;6667500,790575;0,790575;0,0" o:connectangles="0,0,0,0,0,0" textboxrect="0,0,6667500,790575"/>
                <v:textbox>
                  <w:txbxContent>
                    <w:p w:rsidR="007C17A7" w:rsidRDefault="006B392D" w:rsidP="00B311F2">
                      <w:pPr>
                        <w:spacing w:after="0" w:line="240" w:lineRule="auto"/>
                        <w:ind w:left="720"/>
                        <w:jc w:val="center"/>
                      </w:pPr>
                      <w:r w:rsidRPr="006B392D">
                        <w:rPr>
                          <w:rFonts w:eastAsiaTheme="minorEastAsia" w:cstheme="minorHAnsi"/>
                          <w:b/>
                          <w:color w:val="FFFFFF" w:themeColor="background1"/>
                          <w:sz w:val="44"/>
                          <w:szCs w:val="44"/>
                        </w:rPr>
                        <w:t>Public Health System Management</w:t>
                      </w:r>
                    </w:p>
                  </w:txbxContent>
                </v:textbox>
                <w10:wrap anchorx="margin"/>
              </v:shape>
            </w:pict>
          </mc:Fallback>
        </mc:AlternateContent>
      </w:r>
    </w:p>
    <w:p w:rsidR="007C17A7" w:rsidRPr="007C17A7" w:rsidRDefault="007C17A7" w:rsidP="00CD125D">
      <w:pPr>
        <w:shd w:val="clear" w:color="auto" w:fill="FFFFFF" w:themeFill="background1"/>
        <w:spacing w:after="0" w:line="240" w:lineRule="auto"/>
        <w:jc w:val="center"/>
        <w:rPr>
          <w:rFonts w:ascii="Calibri" w:hAnsi="Calibri" w:cs="Calibri"/>
          <w:b/>
          <w:bCs/>
          <w:color w:val="365F91" w:themeColor="accent1" w:themeShade="BF"/>
          <w:sz w:val="24"/>
          <w:szCs w:val="24"/>
        </w:rPr>
      </w:pPr>
    </w:p>
    <w:p w:rsidR="007C17A7" w:rsidRPr="007C17A7" w:rsidRDefault="007C17A7" w:rsidP="00CD125D">
      <w:pPr>
        <w:shd w:val="clear" w:color="auto" w:fill="FFFFFF" w:themeFill="background1"/>
        <w:spacing w:after="0" w:line="240" w:lineRule="auto"/>
        <w:jc w:val="center"/>
        <w:rPr>
          <w:rFonts w:ascii="Calibri" w:hAnsi="Calibri" w:cs="Calibri"/>
          <w:b/>
          <w:bCs/>
          <w:color w:val="365F91" w:themeColor="accent1" w:themeShade="BF"/>
          <w:sz w:val="24"/>
          <w:szCs w:val="24"/>
        </w:rPr>
      </w:pPr>
    </w:p>
    <w:p w:rsidR="007C17A7" w:rsidRPr="007C17A7" w:rsidRDefault="007C17A7" w:rsidP="00CD125D">
      <w:pPr>
        <w:shd w:val="clear" w:color="auto" w:fill="FFFFFF" w:themeFill="background1"/>
        <w:spacing w:after="0" w:line="240" w:lineRule="auto"/>
        <w:jc w:val="center"/>
        <w:rPr>
          <w:rFonts w:ascii="Calibri" w:hAnsi="Calibri" w:cs="Calibri"/>
          <w:b/>
          <w:bCs/>
          <w:color w:val="365F91" w:themeColor="accent1" w:themeShade="BF"/>
          <w:sz w:val="24"/>
          <w:szCs w:val="24"/>
        </w:rPr>
      </w:pPr>
    </w:p>
    <w:p w:rsidR="007C17A7" w:rsidRPr="007C17A7" w:rsidRDefault="007C17A7" w:rsidP="00CD125D">
      <w:pPr>
        <w:shd w:val="clear" w:color="auto" w:fill="FFFFFF" w:themeFill="background1"/>
        <w:spacing w:after="0" w:line="240" w:lineRule="auto"/>
        <w:jc w:val="center"/>
        <w:rPr>
          <w:rFonts w:ascii="Calibri" w:hAnsi="Calibri" w:cs="Calibri"/>
          <w:b/>
          <w:bCs/>
          <w:color w:val="365F91" w:themeColor="accent1" w:themeShade="BF"/>
          <w:sz w:val="24"/>
          <w:szCs w:val="24"/>
        </w:rPr>
      </w:pPr>
    </w:p>
    <w:p w:rsidR="006B392D" w:rsidRDefault="006B392D" w:rsidP="006B392D">
      <w:pPr>
        <w:tabs>
          <w:tab w:val="num" w:pos="1440"/>
        </w:tabs>
        <w:spacing w:line="240" w:lineRule="auto"/>
        <w:contextualSpacing/>
        <w:jc w:val="both"/>
        <w:rPr>
          <w:rFonts w:eastAsiaTheme="minorEastAsia" w:cstheme="minorHAnsi"/>
          <w:sz w:val="23"/>
          <w:szCs w:val="23"/>
        </w:rPr>
      </w:pPr>
    </w:p>
    <w:p w:rsidR="006B392D" w:rsidRPr="006B392D" w:rsidRDefault="006B392D" w:rsidP="006B392D">
      <w:pPr>
        <w:tabs>
          <w:tab w:val="num" w:pos="1440"/>
        </w:tabs>
        <w:spacing w:line="240" w:lineRule="auto"/>
        <w:contextualSpacing/>
        <w:jc w:val="both"/>
        <w:rPr>
          <w:rFonts w:eastAsiaTheme="minorEastAsia" w:cstheme="minorHAnsi"/>
          <w:sz w:val="23"/>
          <w:szCs w:val="23"/>
        </w:rPr>
      </w:pPr>
      <w:r w:rsidRPr="006B392D">
        <w:rPr>
          <w:rFonts w:eastAsiaTheme="minorEastAsia" w:cstheme="minorHAnsi"/>
          <w:sz w:val="23"/>
          <w:szCs w:val="23"/>
        </w:rPr>
        <w:t>The National Center for Disease Control and Public Health (NCDC) –</w:t>
      </w:r>
      <w:r w:rsidR="00C07F5E">
        <w:rPr>
          <w:rFonts w:eastAsiaTheme="minorEastAsia" w:cstheme="minorHAnsi"/>
          <w:sz w:val="23"/>
          <w:szCs w:val="23"/>
        </w:rPr>
        <w:t xml:space="preserve"> </w:t>
      </w:r>
      <w:r w:rsidRPr="006B392D">
        <w:rPr>
          <w:rFonts w:eastAsiaTheme="minorEastAsia" w:cstheme="minorHAnsi"/>
          <w:sz w:val="23"/>
          <w:szCs w:val="23"/>
        </w:rPr>
        <w:t xml:space="preserve">under the state control of the Ministry of </w:t>
      </w:r>
      <w:proofErr w:type="spellStart"/>
      <w:r w:rsidRPr="006B392D">
        <w:rPr>
          <w:rFonts w:eastAsiaTheme="minorEastAsia" w:cstheme="minorHAnsi"/>
          <w:sz w:val="23"/>
          <w:szCs w:val="23"/>
        </w:rPr>
        <w:t>Labour</w:t>
      </w:r>
      <w:proofErr w:type="spellEnd"/>
      <w:r w:rsidRPr="006B392D">
        <w:rPr>
          <w:rFonts w:eastAsiaTheme="minorEastAsia" w:cstheme="minorHAnsi"/>
          <w:sz w:val="23"/>
          <w:szCs w:val="23"/>
        </w:rPr>
        <w:t xml:space="preserve">, Health and Social Affairs of Georgia was created in 2007, after a merger of the Public Health Department and the Center for National Disease Control and Medical Statistics. NCDC is responsible for the public health of the entire population, including security and monitoring of epidemiological situation in the country, immunization, surveillance, disease prevention and timely response to public health emergencies, health promotion, information support, </w:t>
      </w:r>
      <w:r w:rsidRPr="006B392D">
        <w:rPr>
          <w:rFonts w:eastAsiaTheme="minorEastAsia" w:cstheme="minorHAnsi"/>
          <w:bCs/>
          <w:sz w:val="23"/>
          <w:szCs w:val="23"/>
        </w:rPr>
        <w:t>Prevention of environmental hazards and behavioral risk-factors, Development of applied and fundamental bio-medical scientific researches in Public health</w:t>
      </w:r>
      <w:r w:rsidRPr="006B392D">
        <w:rPr>
          <w:rFonts w:eastAsiaTheme="minorEastAsia" w:cstheme="minorHAnsi"/>
          <w:b/>
          <w:bCs/>
          <w:sz w:val="23"/>
          <w:szCs w:val="23"/>
        </w:rPr>
        <w:t xml:space="preserve"> </w:t>
      </w:r>
      <w:r w:rsidRPr="006B392D">
        <w:rPr>
          <w:rFonts w:eastAsiaTheme="minorEastAsia" w:cstheme="minorHAnsi"/>
          <w:sz w:val="23"/>
          <w:szCs w:val="23"/>
        </w:rPr>
        <w:t xml:space="preserve">the laboratory system for health and coordinates the public health lab services based on the “One Health” principle together with the Ministry of Agriculture. </w:t>
      </w:r>
    </w:p>
    <w:p w:rsidR="006B392D" w:rsidRPr="006B392D" w:rsidRDefault="006B392D" w:rsidP="006B392D">
      <w:pPr>
        <w:tabs>
          <w:tab w:val="num" w:pos="1440"/>
        </w:tabs>
        <w:spacing w:line="240" w:lineRule="auto"/>
        <w:contextualSpacing/>
        <w:jc w:val="both"/>
        <w:rPr>
          <w:rFonts w:eastAsiaTheme="minorEastAsia" w:cstheme="minorHAnsi"/>
          <w:sz w:val="23"/>
          <w:szCs w:val="23"/>
        </w:rPr>
      </w:pPr>
    </w:p>
    <w:p w:rsidR="006B392D" w:rsidRPr="006B392D" w:rsidRDefault="006B392D" w:rsidP="006B392D">
      <w:pPr>
        <w:spacing w:line="240" w:lineRule="auto"/>
        <w:contextualSpacing/>
        <w:jc w:val="both"/>
        <w:rPr>
          <w:rFonts w:eastAsiaTheme="minorEastAsia" w:cstheme="minorHAnsi"/>
          <w:b/>
          <w:sz w:val="23"/>
          <w:szCs w:val="23"/>
        </w:rPr>
      </w:pPr>
      <w:r w:rsidRPr="006B392D">
        <w:rPr>
          <w:rFonts w:eastAsiaTheme="minorEastAsia" w:cstheme="minorHAnsi"/>
          <w:b/>
          <w:sz w:val="23"/>
          <w:szCs w:val="23"/>
        </w:rPr>
        <w:t xml:space="preserve">Public health system in Georgia is arranged by the following structures: </w:t>
      </w:r>
    </w:p>
    <w:p w:rsidR="006B392D" w:rsidRPr="006B392D" w:rsidRDefault="006B392D" w:rsidP="006B392D">
      <w:pPr>
        <w:numPr>
          <w:ilvl w:val="0"/>
          <w:numId w:val="44"/>
        </w:numPr>
        <w:spacing w:after="0" w:line="240" w:lineRule="auto"/>
        <w:contextualSpacing/>
        <w:rPr>
          <w:rFonts w:eastAsiaTheme="minorEastAsia" w:cstheme="minorHAnsi"/>
          <w:sz w:val="23"/>
          <w:szCs w:val="23"/>
        </w:rPr>
      </w:pPr>
      <w:r w:rsidRPr="006B392D">
        <w:rPr>
          <w:rFonts w:eastAsiaTheme="minorEastAsia" w:cstheme="minorHAnsi"/>
          <w:sz w:val="23"/>
          <w:szCs w:val="23"/>
        </w:rPr>
        <w:t>The National Center for Disease Control and Public Health</w:t>
      </w:r>
    </w:p>
    <w:p w:rsidR="006B392D" w:rsidRPr="006B392D" w:rsidRDefault="006B392D" w:rsidP="006B392D">
      <w:pPr>
        <w:numPr>
          <w:ilvl w:val="0"/>
          <w:numId w:val="44"/>
        </w:numPr>
        <w:spacing w:after="0" w:line="240" w:lineRule="auto"/>
        <w:contextualSpacing/>
        <w:rPr>
          <w:rFonts w:eastAsiaTheme="minorEastAsia" w:cstheme="minorHAnsi"/>
          <w:sz w:val="23"/>
          <w:szCs w:val="23"/>
        </w:rPr>
      </w:pPr>
      <w:r w:rsidRPr="006B392D">
        <w:rPr>
          <w:rFonts w:eastAsiaTheme="minorEastAsia" w:cstheme="minorHAnsi"/>
          <w:sz w:val="23"/>
          <w:szCs w:val="23"/>
        </w:rPr>
        <w:t>9 regional branches of the NCDC</w:t>
      </w:r>
    </w:p>
    <w:p w:rsidR="006B392D" w:rsidRPr="006B392D" w:rsidRDefault="006B392D" w:rsidP="006B392D">
      <w:pPr>
        <w:numPr>
          <w:ilvl w:val="0"/>
          <w:numId w:val="44"/>
        </w:numPr>
        <w:spacing w:after="0" w:line="240" w:lineRule="auto"/>
        <w:contextualSpacing/>
        <w:rPr>
          <w:rFonts w:eastAsiaTheme="minorEastAsia" w:cstheme="minorHAnsi"/>
          <w:sz w:val="23"/>
          <w:szCs w:val="23"/>
        </w:rPr>
      </w:pPr>
      <w:r w:rsidRPr="006B392D">
        <w:rPr>
          <w:rFonts w:eastAsiaTheme="minorEastAsia" w:cstheme="minorHAnsi"/>
          <w:sz w:val="23"/>
          <w:szCs w:val="23"/>
        </w:rPr>
        <w:t xml:space="preserve">PH centers in 61 municipalities. </w:t>
      </w:r>
    </w:p>
    <w:p w:rsidR="006B392D" w:rsidRPr="006B392D" w:rsidRDefault="006B392D" w:rsidP="006B392D">
      <w:pPr>
        <w:spacing w:after="0" w:line="240" w:lineRule="auto"/>
        <w:contextualSpacing/>
        <w:rPr>
          <w:rFonts w:eastAsiaTheme="minorEastAsia" w:cstheme="minorHAnsi"/>
          <w:sz w:val="23"/>
          <w:szCs w:val="23"/>
        </w:rPr>
      </w:pPr>
    </w:p>
    <w:p w:rsidR="006B392D" w:rsidRPr="006B392D" w:rsidRDefault="006B392D" w:rsidP="006B392D">
      <w:pPr>
        <w:spacing w:after="0" w:line="240" w:lineRule="auto"/>
        <w:contextualSpacing/>
        <w:rPr>
          <w:rFonts w:eastAsiaTheme="minorEastAsia" w:cstheme="minorHAnsi"/>
          <w:sz w:val="23"/>
          <w:szCs w:val="23"/>
        </w:rPr>
        <w:sectPr w:rsidR="006B392D" w:rsidRPr="006B392D" w:rsidSect="00076554">
          <w:pgSz w:w="12240" w:h="15840"/>
          <w:pgMar w:top="720" w:right="900" w:bottom="810" w:left="720" w:header="720" w:footer="720" w:gutter="0"/>
          <w:cols w:space="720"/>
          <w:docGrid w:linePitch="360"/>
        </w:sectPr>
      </w:pPr>
    </w:p>
    <w:p w:rsidR="006B392D" w:rsidRDefault="006B392D" w:rsidP="006B392D">
      <w:pPr>
        <w:spacing w:line="240" w:lineRule="auto"/>
        <w:contextualSpacing/>
        <w:jc w:val="both"/>
        <w:rPr>
          <w:rFonts w:eastAsiaTheme="minorEastAsia" w:cstheme="minorHAnsi"/>
          <w:sz w:val="23"/>
          <w:szCs w:val="23"/>
        </w:rPr>
      </w:pPr>
      <w:r w:rsidRPr="006B392D">
        <w:rPr>
          <w:rFonts w:eastAsiaTheme="minorEastAsia" w:cstheme="minorHAnsi"/>
          <w:sz w:val="23"/>
          <w:szCs w:val="23"/>
        </w:rPr>
        <w:t>While the first two structures are strongly connected and the work is coordinated centrally by the NCDC, the municipality centers are under local authorities; the NCDC provides also some funding to them (i.e. certain surveillance, outbreaks etc.). Public health laboratories belong also to the NCDC.</w:t>
      </w:r>
    </w:p>
    <w:p w:rsidR="00C07F5E" w:rsidRPr="006B392D" w:rsidRDefault="00C07F5E" w:rsidP="006B392D">
      <w:pPr>
        <w:spacing w:line="240" w:lineRule="auto"/>
        <w:contextualSpacing/>
        <w:jc w:val="both"/>
        <w:rPr>
          <w:rFonts w:eastAsiaTheme="minorEastAsia" w:cstheme="minorHAnsi"/>
          <w:sz w:val="23"/>
          <w:szCs w:val="23"/>
        </w:rPr>
      </w:pPr>
    </w:p>
    <w:p w:rsidR="006B392D" w:rsidRPr="006B392D" w:rsidRDefault="006B392D" w:rsidP="006B392D">
      <w:pPr>
        <w:spacing w:after="0" w:line="240" w:lineRule="auto"/>
        <w:contextualSpacing/>
        <w:jc w:val="both"/>
        <w:rPr>
          <w:rFonts w:ascii="Calibri" w:eastAsiaTheme="minorEastAsia" w:hAnsi="Calibri" w:cs="Calibri"/>
          <w:sz w:val="23"/>
          <w:szCs w:val="23"/>
        </w:rPr>
      </w:pPr>
      <w:r w:rsidRPr="006B392D">
        <w:rPr>
          <w:rFonts w:ascii="Calibri" w:eastAsiaTheme="minorEastAsia" w:hAnsi="Calibri" w:cs="Calibri"/>
          <w:sz w:val="23"/>
          <w:szCs w:val="23"/>
          <w:lang w:val="ka-GE"/>
        </w:rPr>
        <w:t>The main objective of the municipal centers is to support the health of the population of the</w:t>
      </w:r>
      <w:r w:rsidRPr="006B392D">
        <w:rPr>
          <w:rFonts w:ascii="Calibri" w:eastAsiaTheme="minorEastAsia" w:hAnsi="Calibri" w:cs="Calibri"/>
          <w:sz w:val="23"/>
          <w:szCs w:val="23"/>
        </w:rPr>
        <w:t xml:space="preserve"> particular municipality </w:t>
      </w:r>
      <w:r w:rsidRPr="006B392D">
        <w:rPr>
          <w:rFonts w:ascii="Calibri" w:eastAsiaTheme="minorEastAsia" w:hAnsi="Calibri" w:cs="Calibri"/>
          <w:sz w:val="23"/>
          <w:szCs w:val="23"/>
          <w:lang w:val="ka-GE"/>
        </w:rPr>
        <w:t xml:space="preserve">area </w:t>
      </w:r>
      <w:r w:rsidRPr="006B392D">
        <w:rPr>
          <w:rFonts w:ascii="Calibri" w:eastAsiaTheme="minorEastAsia" w:hAnsi="Calibri" w:cs="Calibri"/>
          <w:sz w:val="23"/>
          <w:szCs w:val="23"/>
        </w:rPr>
        <w:t>by promoting state public health programs</w:t>
      </w:r>
      <w:r w:rsidRPr="006B392D">
        <w:rPr>
          <w:rFonts w:ascii="Sylfaen" w:eastAsiaTheme="minorEastAsia" w:hAnsi="Sylfaen" w:cs="Calibri"/>
          <w:sz w:val="23"/>
          <w:szCs w:val="23"/>
          <w:lang w:val="ka-GE"/>
        </w:rPr>
        <w:t xml:space="preserve"> </w:t>
      </w:r>
      <w:r w:rsidRPr="006B392D">
        <w:rPr>
          <w:rFonts w:ascii="Calibri" w:eastAsiaTheme="minorEastAsia" w:hAnsi="Calibri" w:cs="Calibri"/>
          <w:sz w:val="23"/>
          <w:szCs w:val="23"/>
          <w:lang w:val="ka-GE"/>
        </w:rPr>
        <w:t xml:space="preserve">and to prevent diseases, in close cooperation with primary health care </w:t>
      </w:r>
      <w:r w:rsidRPr="006B392D">
        <w:rPr>
          <w:rFonts w:ascii="Calibri" w:eastAsiaTheme="minorEastAsia" w:hAnsi="Calibri" w:cs="Calibri"/>
          <w:sz w:val="23"/>
          <w:szCs w:val="23"/>
        </w:rPr>
        <w:t xml:space="preserve">centers as well as other </w:t>
      </w:r>
      <w:r w:rsidRPr="006B392D">
        <w:rPr>
          <w:rFonts w:ascii="Calibri" w:eastAsiaTheme="minorEastAsia" w:hAnsi="Calibri" w:cs="Calibri"/>
          <w:sz w:val="23"/>
          <w:szCs w:val="23"/>
          <w:lang w:val="ka-GE"/>
        </w:rPr>
        <w:t xml:space="preserve">medical </w:t>
      </w:r>
      <w:r w:rsidRPr="006B392D">
        <w:rPr>
          <w:rFonts w:ascii="Calibri" w:eastAsiaTheme="minorEastAsia" w:hAnsi="Calibri" w:cs="Calibri"/>
          <w:sz w:val="23"/>
          <w:szCs w:val="23"/>
        </w:rPr>
        <w:t xml:space="preserve">institutions </w:t>
      </w:r>
      <w:r w:rsidRPr="006B392D">
        <w:rPr>
          <w:rFonts w:ascii="Calibri" w:eastAsiaTheme="minorEastAsia" w:hAnsi="Calibri" w:cs="Calibri"/>
          <w:sz w:val="23"/>
          <w:szCs w:val="23"/>
          <w:lang w:val="ka-GE"/>
        </w:rPr>
        <w:t>(hospital</w:t>
      </w:r>
      <w:r w:rsidRPr="006B392D">
        <w:rPr>
          <w:rFonts w:ascii="Calibri" w:eastAsiaTheme="minorEastAsia" w:hAnsi="Calibri" w:cs="Calibri"/>
          <w:sz w:val="23"/>
          <w:szCs w:val="23"/>
        </w:rPr>
        <w:t>s</w:t>
      </w:r>
      <w:r w:rsidRPr="006B392D">
        <w:rPr>
          <w:rFonts w:ascii="Calibri" w:eastAsiaTheme="minorEastAsia" w:hAnsi="Calibri" w:cs="Calibri"/>
          <w:sz w:val="23"/>
          <w:szCs w:val="23"/>
          <w:lang w:val="ka-GE"/>
        </w:rPr>
        <w:t>, diagnostic laboratories</w:t>
      </w:r>
      <w:r w:rsidRPr="006B392D">
        <w:rPr>
          <w:rFonts w:ascii="Calibri" w:eastAsiaTheme="minorEastAsia" w:hAnsi="Calibri" w:cs="Calibri"/>
          <w:sz w:val="23"/>
          <w:szCs w:val="23"/>
        </w:rPr>
        <w:t>, medical</w:t>
      </w:r>
      <w:r w:rsidRPr="006B392D">
        <w:rPr>
          <w:rFonts w:ascii="Calibri" w:eastAsiaTheme="minorEastAsia" w:hAnsi="Calibri" w:cs="Calibri"/>
          <w:sz w:val="23"/>
          <w:szCs w:val="23"/>
          <w:lang w:val="ka-GE"/>
        </w:rPr>
        <w:t xml:space="preserve"> centers)</w:t>
      </w:r>
      <w:r w:rsidRPr="006B392D">
        <w:rPr>
          <w:rFonts w:ascii="Calibri" w:eastAsiaTheme="minorEastAsia" w:hAnsi="Calibri" w:cs="Calibri"/>
          <w:sz w:val="23"/>
          <w:szCs w:val="23"/>
        </w:rPr>
        <w:t>, governmental and international</w:t>
      </w:r>
      <w:r w:rsidRPr="006B392D">
        <w:rPr>
          <w:rFonts w:ascii="Calibri" w:eastAsiaTheme="minorEastAsia" w:hAnsi="Calibri" w:cs="Calibri"/>
          <w:sz w:val="23"/>
          <w:szCs w:val="23"/>
          <w:lang w:val="ka-GE"/>
        </w:rPr>
        <w:t xml:space="preserve"> </w:t>
      </w:r>
      <w:r w:rsidRPr="006B392D">
        <w:rPr>
          <w:rFonts w:ascii="Calibri" w:eastAsiaTheme="minorEastAsia" w:hAnsi="Calibri" w:cs="Calibri"/>
          <w:sz w:val="23"/>
          <w:szCs w:val="23"/>
        </w:rPr>
        <w:t>organizations</w:t>
      </w:r>
      <w:r w:rsidRPr="006B392D">
        <w:rPr>
          <w:rFonts w:ascii="Calibri" w:eastAsiaTheme="minorEastAsia" w:hAnsi="Calibri" w:cs="Calibri"/>
          <w:sz w:val="23"/>
          <w:szCs w:val="23"/>
          <w:lang w:val="ka-GE"/>
        </w:rPr>
        <w:t>.</w:t>
      </w:r>
      <w:r w:rsidRPr="006B392D">
        <w:rPr>
          <w:rFonts w:ascii="Calibri" w:eastAsiaTheme="minorEastAsia" w:hAnsi="Calibri" w:cs="Calibri"/>
          <w:sz w:val="23"/>
          <w:szCs w:val="23"/>
        </w:rPr>
        <w:t xml:space="preserve"> </w:t>
      </w:r>
    </w:p>
    <w:p w:rsidR="006B392D" w:rsidRPr="006B392D" w:rsidRDefault="006B392D" w:rsidP="006B392D">
      <w:pPr>
        <w:spacing w:after="0" w:line="240" w:lineRule="auto"/>
        <w:contextualSpacing/>
        <w:jc w:val="both"/>
        <w:rPr>
          <w:rFonts w:ascii="Calibri" w:eastAsiaTheme="minorEastAsia" w:hAnsi="Calibri" w:cs="Calibri"/>
          <w:sz w:val="23"/>
          <w:szCs w:val="23"/>
        </w:rPr>
      </w:pPr>
    </w:p>
    <w:p w:rsidR="006B392D" w:rsidRPr="006B392D" w:rsidRDefault="006B392D" w:rsidP="006B392D">
      <w:pPr>
        <w:spacing w:after="0" w:line="240" w:lineRule="auto"/>
        <w:contextualSpacing/>
        <w:jc w:val="both"/>
        <w:rPr>
          <w:rFonts w:ascii="Sylfaen" w:eastAsiaTheme="minorEastAsia" w:hAnsi="Sylfaen" w:cs="Calibri"/>
          <w:sz w:val="23"/>
          <w:szCs w:val="23"/>
          <w:lang w:val="ka-GE"/>
        </w:rPr>
      </w:pPr>
      <w:r w:rsidRPr="006B392D">
        <w:rPr>
          <w:rFonts w:ascii="Calibri" w:eastAsiaTheme="minorEastAsia" w:hAnsi="Calibri" w:cs="Calibri"/>
          <w:sz w:val="23"/>
          <w:szCs w:val="23"/>
        </w:rPr>
        <w:t>In cooperation with primary healthcare centers</w:t>
      </w:r>
    </w:p>
    <w:p w:rsidR="006B392D" w:rsidRPr="006B392D" w:rsidRDefault="006B392D" w:rsidP="006B392D">
      <w:pPr>
        <w:spacing w:line="240" w:lineRule="auto"/>
        <w:ind w:left="-360"/>
        <w:contextualSpacing/>
        <w:jc w:val="both"/>
        <w:rPr>
          <w:rFonts w:eastAsiaTheme="minorEastAsia" w:cstheme="minorHAnsi"/>
          <w:sz w:val="23"/>
          <w:szCs w:val="23"/>
        </w:rPr>
      </w:pPr>
      <w:r w:rsidRPr="006B392D">
        <w:rPr>
          <w:rFonts w:eastAsia="Calibri" w:cstheme="minorHAnsi"/>
          <w:noProof/>
          <w:sz w:val="23"/>
          <w:szCs w:val="23"/>
        </w:rPr>
        <w:drawing>
          <wp:inline distT="0" distB="0" distL="0" distR="0" wp14:anchorId="57705889" wp14:editId="0C01612E">
            <wp:extent cx="3505200" cy="2571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val="0"/>
                        </a:ext>
                      </a:extLst>
                    </a:blip>
                    <a:srcRect r="1700" b="10071"/>
                    <a:stretch/>
                  </pic:blipFill>
                  <pic:spPr bwMode="auto">
                    <a:xfrm>
                      <a:off x="0" y="0"/>
                      <a:ext cx="3505200" cy="2571750"/>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6B392D">
        <w:rPr>
          <w:rFonts w:eastAsiaTheme="minorEastAsia" w:cstheme="minorHAnsi"/>
          <w:sz w:val="23"/>
          <w:szCs w:val="23"/>
        </w:rPr>
        <w:t xml:space="preserve"> </w:t>
      </w:r>
    </w:p>
    <w:p w:rsidR="006B392D" w:rsidRPr="006B392D" w:rsidRDefault="006B392D" w:rsidP="006B392D">
      <w:pPr>
        <w:spacing w:line="240" w:lineRule="auto"/>
        <w:contextualSpacing/>
        <w:jc w:val="center"/>
        <w:rPr>
          <w:rFonts w:eastAsiaTheme="minorEastAsia" w:cstheme="minorHAnsi"/>
          <w:sz w:val="23"/>
          <w:szCs w:val="23"/>
        </w:rPr>
        <w:sectPr w:rsidR="006B392D" w:rsidRPr="006B392D" w:rsidSect="00106400">
          <w:type w:val="continuous"/>
          <w:pgSz w:w="12240" w:h="15840"/>
          <w:pgMar w:top="720" w:right="900" w:bottom="810" w:left="720" w:header="720" w:footer="720" w:gutter="0"/>
          <w:cols w:num="2" w:space="720"/>
          <w:docGrid w:linePitch="360"/>
        </w:sectPr>
      </w:pPr>
    </w:p>
    <w:p w:rsidR="006B392D" w:rsidRPr="006B392D" w:rsidRDefault="006B392D" w:rsidP="006B392D">
      <w:pPr>
        <w:spacing w:line="240" w:lineRule="auto"/>
        <w:contextualSpacing/>
        <w:jc w:val="both"/>
        <w:rPr>
          <w:rFonts w:ascii="Calibri" w:eastAsiaTheme="minorEastAsia" w:hAnsi="Calibri" w:cs="Calibri"/>
          <w:sz w:val="23"/>
          <w:szCs w:val="23"/>
        </w:rPr>
      </w:pPr>
      <w:r w:rsidRPr="006B392D">
        <w:rPr>
          <w:rFonts w:ascii="Calibri" w:eastAsiaTheme="minorEastAsia" w:hAnsi="Calibri" w:cs="Calibri"/>
          <w:sz w:val="23"/>
          <w:szCs w:val="23"/>
        </w:rPr>
        <w:t>Municipal PHCs implement:</w:t>
      </w:r>
    </w:p>
    <w:p w:rsidR="006B392D" w:rsidRPr="006B392D" w:rsidRDefault="006B392D" w:rsidP="006B392D">
      <w:pPr>
        <w:numPr>
          <w:ilvl w:val="0"/>
          <w:numId w:val="45"/>
        </w:numPr>
        <w:spacing w:line="240" w:lineRule="auto"/>
        <w:contextualSpacing/>
        <w:jc w:val="both"/>
        <w:rPr>
          <w:rFonts w:ascii="Calibri" w:eastAsiaTheme="minorEastAsia" w:hAnsi="Calibri" w:cs="Calibri"/>
          <w:sz w:val="23"/>
          <w:szCs w:val="23"/>
        </w:rPr>
      </w:pPr>
      <w:r w:rsidRPr="006B392D">
        <w:rPr>
          <w:rFonts w:ascii="Calibri" w:eastAsiaTheme="minorEastAsia" w:hAnsi="Calibri" w:cs="Calibri"/>
          <w:sz w:val="23"/>
          <w:szCs w:val="23"/>
        </w:rPr>
        <w:t>State Immunization program</w:t>
      </w:r>
    </w:p>
    <w:p w:rsidR="006B392D" w:rsidRPr="006B392D" w:rsidRDefault="006B392D" w:rsidP="006B392D">
      <w:pPr>
        <w:numPr>
          <w:ilvl w:val="0"/>
          <w:numId w:val="45"/>
        </w:numPr>
        <w:spacing w:line="240" w:lineRule="auto"/>
        <w:contextualSpacing/>
        <w:jc w:val="both"/>
        <w:rPr>
          <w:rFonts w:ascii="Calibri" w:eastAsiaTheme="minorEastAsia" w:hAnsi="Calibri" w:cs="Calibri"/>
          <w:sz w:val="23"/>
          <w:szCs w:val="23"/>
        </w:rPr>
      </w:pPr>
      <w:r w:rsidRPr="006B392D">
        <w:rPr>
          <w:rFonts w:ascii="Calibri" w:eastAsiaTheme="minorEastAsia" w:hAnsi="Calibri" w:cs="Calibri"/>
          <w:sz w:val="23"/>
          <w:szCs w:val="23"/>
        </w:rPr>
        <w:t>Epidemiological surveillance and control of communicable and non-communicable diseases</w:t>
      </w:r>
    </w:p>
    <w:p w:rsidR="006B392D" w:rsidRPr="006B392D" w:rsidRDefault="006B392D" w:rsidP="006B392D">
      <w:pPr>
        <w:numPr>
          <w:ilvl w:val="0"/>
          <w:numId w:val="45"/>
        </w:numPr>
        <w:spacing w:line="240" w:lineRule="auto"/>
        <w:contextualSpacing/>
        <w:jc w:val="both"/>
        <w:rPr>
          <w:rFonts w:ascii="Calibri" w:eastAsiaTheme="minorEastAsia" w:hAnsi="Calibri" w:cs="Calibri"/>
          <w:sz w:val="23"/>
          <w:szCs w:val="23"/>
        </w:rPr>
      </w:pPr>
      <w:r w:rsidRPr="006B392D">
        <w:rPr>
          <w:rFonts w:ascii="Calibri" w:eastAsiaTheme="minorEastAsia" w:hAnsi="Calibri" w:cs="Calibri"/>
          <w:sz w:val="23"/>
          <w:szCs w:val="23"/>
        </w:rPr>
        <w:t>Timely respond to the reportable/notifiable  diseases and data management</w:t>
      </w:r>
    </w:p>
    <w:p w:rsidR="006B392D" w:rsidRPr="006B392D" w:rsidRDefault="006B392D" w:rsidP="006B392D">
      <w:pPr>
        <w:numPr>
          <w:ilvl w:val="0"/>
          <w:numId w:val="45"/>
        </w:numPr>
        <w:spacing w:line="240" w:lineRule="auto"/>
        <w:contextualSpacing/>
        <w:jc w:val="both"/>
        <w:rPr>
          <w:rFonts w:ascii="Calibri" w:eastAsiaTheme="minorEastAsia" w:hAnsi="Calibri" w:cs="Calibri"/>
          <w:sz w:val="23"/>
          <w:szCs w:val="23"/>
        </w:rPr>
      </w:pPr>
      <w:r w:rsidRPr="006B392D">
        <w:rPr>
          <w:rFonts w:ascii="Calibri" w:eastAsiaTheme="minorEastAsia" w:hAnsi="Calibri" w:cs="Calibri"/>
          <w:sz w:val="23"/>
          <w:szCs w:val="23"/>
        </w:rPr>
        <w:t xml:space="preserve">Primary detection of TB patients and their referral to the TB cabinets, monitoring, supply with anti-TB drugs of diagnosed patients, surveillance </w:t>
      </w:r>
    </w:p>
    <w:p w:rsidR="006B392D" w:rsidRPr="006B392D" w:rsidRDefault="006B392D" w:rsidP="006B392D">
      <w:pPr>
        <w:numPr>
          <w:ilvl w:val="0"/>
          <w:numId w:val="45"/>
        </w:numPr>
        <w:spacing w:line="240" w:lineRule="auto"/>
        <w:contextualSpacing/>
        <w:jc w:val="both"/>
        <w:rPr>
          <w:rFonts w:ascii="Calibri" w:eastAsiaTheme="minorEastAsia" w:hAnsi="Calibri" w:cs="Calibri"/>
          <w:sz w:val="23"/>
          <w:szCs w:val="23"/>
        </w:rPr>
      </w:pPr>
      <w:r w:rsidRPr="006B392D">
        <w:rPr>
          <w:rFonts w:ascii="Calibri" w:eastAsiaTheme="minorEastAsia" w:hAnsi="Calibri" w:cs="Calibri"/>
          <w:sz w:val="23"/>
          <w:szCs w:val="23"/>
        </w:rPr>
        <w:t>Planning and implementing of preventive healthcare activities on the territory of municipality</w:t>
      </w:r>
    </w:p>
    <w:p w:rsidR="006B392D" w:rsidRPr="006B392D" w:rsidRDefault="006B392D" w:rsidP="006B392D">
      <w:pPr>
        <w:numPr>
          <w:ilvl w:val="0"/>
          <w:numId w:val="45"/>
        </w:numPr>
        <w:spacing w:line="240" w:lineRule="auto"/>
        <w:contextualSpacing/>
        <w:jc w:val="both"/>
        <w:rPr>
          <w:rFonts w:ascii="Calibri" w:eastAsiaTheme="minorEastAsia" w:hAnsi="Calibri" w:cs="Calibri"/>
          <w:sz w:val="24"/>
          <w:szCs w:val="24"/>
          <w:lang w:val="ka-GE"/>
        </w:rPr>
      </w:pPr>
      <w:r w:rsidRPr="006B392D">
        <w:rPr>
          <w:rFonts w:ascii="Calibri" w:eastAsiaTheme="minorEastAsia" w:hAnsi="Calibri" w:cs="Calibri"/>
          <w:sz w:val="24"/>
          <w:szCs w:val="24"/>
        </w:rPr>
        <w:t>Participation in</w:t>
      </w:r>
      <w:r w:rsidRPr="006B392D">
        <w:rPr>
          <w:rFonts w:ascii="Calibri" w:eastAsiaTheme="minorEastAsia" w:hAnsi="Calibri" w:cs="Calibri"/>
          <w:sz w:val="24"/>
          <w:szCs w:val="24"/>
          <w:lang w:val="ka-GE"/>
        </w:rPr>
        <w:t xml:space="preserve"> </w:t>
      </w:r>
      <w:r w:rsidRPr="006B392D">
        <w:rPr>
          <w:rFonts w:ascii="Calibri" w:eastAsiaTheme="minorEastAsia" w:hAnsi="Calibri" w:cs="Calibri"/>
          <w:sz w:val="24"/>
          <w:szCs w:val="24"/>
        </w:rPr>
        <w:t>the State Hepatitis C program, reporting</w:t>
      </w:r>
    </w:p>
    <w:p w:rsidR="006B392D" w:rsidRPr="006B392D" w:rsidRDefault="006B392D" w:rsidP="006B392D">
      <w:pPr>
        <w:spacing w:line="240" w:lineRule="auto"/>
        <w:contextualSpacing/>
        <w:jc w:val="both"/>
        <w:rPr>
          <w:rFonts w:eastAsiaTheme="minorEastAsia" w:cstheme="minorHAnsi"/>
          <w:sz w:val="24"/>
          <w:szCs w:val="24"/>
        </w:rPr>
      </w:pPr>
      <w:r w:rsidRPr="006B392D">
        <w:rPr>
          <w:rFonts w:eastAsiaTheme="minorEastAsia" w:cstheme="minorHAnsi"/>
          <w:sz w:val="24"/>
          <w:szCs w:val="24"/>
        </w:rPr>
        <w:lastRenderedPageBreak/>
        <w:t>Public Health Regional Management Department at</w:t>
      </w:r>
      <w:r w:rsidRPr="006B392D">
        <w:rPr>
          <w:rFonts w:eastAsiaTheme="minorEastAsia" w:cstheme="minorHAnsi"/>
          <w:sz w:val="24"/>
          <w:szCs w:val="24"/>
          <w:lang w:val="ka-GE"/>
        </w:rPr>
        <w:t xml:space="preserve"> </w:t>
      </w:r>
      <w:r w:rsidRPr="006B392D">
        <w:rPr>
          <w:rFonts w:eastAsiaTheme="minorEastAsia" w:cstheme="minorHAnsi"/>
          <w:sz w:val="24"/>
          <w:szCs w:val="24"/>
        </w:rPr>
        <w:t>the NCDC plays an important role in coordinating activities of local (61) municipal public health centers (PHCs) of self-governing cities and districts in compliance with requirements of state programs that aims at fulfillment of its obligations in the field of public health.</w:t>
      </w:r>
    </w:p>
    <w:p w:rsidR="006B392D" w:rsidRPr="006B392D" w:rsidRDefault="006B392D" w:rsidP="006B392D">
      <w:pPr>
        <w:spacing w:line="240" w:lineRule="auto"/>
        <w:contextualSpacing/>
        <w:jc w:val="both"/>
        <w:rPr>
          <w:rFonts w:eastAsiaTheme="minorEastAsia" w:cstheme="minorHAnsi"/>
          <w:b/>
          <w:i/>
          <w:color w:val="365F91" w:themeColor="accent1" w:themeShade="BF"/>
          <w:sz w:val="28"/>
          <w:szCs w:val="28"/>
        </w:rPr>
      </w:pPr>
    </w:p>
    <w:p w:rsidR="006B392D" w:rsidRPr="006B392D" w:rsidRDefault="006B392D" w:rsidP="006B392D">
      <w:pPr>
        <w:spacing w:line="240" w:lineRule="auto"/>
        <w:contextualSpacing/>
        <w:jc w:val="both"/>
        <w:rPr>
          <w:rFonts w:eastAsiaTheme="minorEastAsia" w:cstheme="minorHAnsi"/>
          <w:b/>
          <w:i/>
          <w:color w:val="365F91" w:themeColor="accent1" w:themeShade="BF"/>
          <w:sz w:val="28"/>
          <w:szCs w:val="28"/>
        </w:rPr>
      </w:pPr>
      <w:r w:rsidRPr="006B392D">
        <w:rPr>
          <w:rFonts w:eastAsiaTheme="minorEastAsia" w:cstheme="minorHAnsi"/>
          <w:b/>
          <w:i/>
          <w:color w:val="365F91" w:themeColor="accent1" w:themeShade="BF"/>
          <w:sz w:val="28"/>
          <w:szCs w:val="28"/>
        </w:rPr>
        <w:t>Key Findings</w:t>
      </w:r>
    </w:p>
    <w:p w:rsidR="006B392D" w:rsidRPr="006B392D" w:rsidRDefault="006B392D" w:rsidP="006B392D">
      <w:pPr>
        <w:spacing w:line="240" w:lineRule="auto"/>
        <w:contextualSpacing/>
        <w:jc w:val="both"/>
        <w:rPr>
          <w:rFonts w:eastAsiaTheme="minorEastAsia" w:cstheme="minorHAnsi"/>
          <w:sz w:val="23"/>
          <w:szCs w:val="23"/>
        </w:rPr>
      </w:pPr>
      <w:r w:rsidRPr="006B392D">
        <w:rPr>
          <w:rFonts w:eastAsiaTheme="minorEastAsia" w:cstheme="minorHAnsi"/>
          <w:sz w:val="23"/>
          <w:szCs w:val="23"/>
        </w:rPr>
        <w:t>Public Health Law has been endorsed in 2007. Several legislative acts were adopted in past 5 years to ensure better infection control in Georgia including rules and conditions of issuing permits and licensing for conducting medical activities, on accomplishment of better medical and prophylactic disinfection services, on medical waste collection, storage and neutralization, on sanitary norms of conducting activities on biological pathogens, on surveillance, prevention and control of nosocomial infections, on transfusion, on infection control while conducting esthetic and cosmetic activities in publicly important  institutions/facilities, on disinfection and sterilization norms in medical, public health and public facilities etc. Decree of Government of Georgia “on Adoption of the National Strategic Plan 2017-2020 on Fighting Antimicrobial Resistance” was adopted in 11.01.2017.</w:t>
      </w:r>
    </w:p>
    <w:p w:rsidR="006B392D" w:rsidRPr="006B392D" w:rsidRDefault="006B392D" w:rsidP="006B392D">
      <w:pPr>
        <w:spacing w:line="240" w:lineRule="auto"/>
        <w:contextualSpacing/>
        <w:jc w:val="both"/>
        <w:rPr>
          <w:rFonts w:eastAsiaTheme="minorEastAsia" w:cstheme="minorHAnsi"/>
          <w:sz w:val="23"/>
          <w:szCs w:val="23"/>
        </w:rPr>
      </w:pPr>
      <w:r w:rsidRPr="006B392D">
        <w:rPr>
          <w:rFonts w:eastAsiaTheme="minorEastAsia" w:cstheme="minorHAnsi"/>
          <w:noProof/>
          <w:sz w:val="23"/>
          <w:szCs w:val="23"/>
        </w:rPr>
        <w:drawing>
          <wp:anchor distT="0" distB="0" distL="114300" distR="114300" simplePos="0" relativeHeight="251666432" behindDoc="0" locked="0" layoutInCell="1" allowOverlap="1" wp14:anchorId="2BF9DA49" wp14:editId="2B37DB51">
            <wp:simplePos x="0" y="0"/>
            <wp:positionH relativeFrom="margin">
              <wp:align>left</wp:align>
            </wp:positionH>
            <wp:positionV relativeFrom="paragraph">
              <wp:posOffset>79375</wp:posOffset>
            </wp:positionV>
            <wp:extent cx="1257300" cy="897255"/>
            <wp:effectExtent l="0" t="0" r="0" b="0"/>
            <wp:wrapNone/>
            <wp:docPr id="10" name="Picture 10" descr="E:\ABSA posteris masalebi\IMG_0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ABSA posteris masalebi\IMG_037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7300" cy="897255"/>
                    </a:xfrm>
                    <a:prstGeom prst="rect">
                      <a:avLst/>
                    </a:prstGeom>
                    <a:noFill/>
                    <a:extLst/>
                  </pic:spPr>
                </pic:pic>
              </a:graphicData>
            </a:graphic>
            <wp14:sizeRelH relativeFrom="margin">
              <wp14:pctWidth>0</wp14:pctWidth>
            </wp14:sizeRelH>
            <wp14:sizeRelV relativeFrom="margin">
              <wp14:pctHeight>0</wp14:pctHeight>
            </wp14:sizeRelV>
          </wp:anchor>
        </w:drawing>
      </w:r>
      <w:r w:rsidRPr="006B392D">
        <w:rPr>
          <w:rFonts w:eastAsiaTheme="minorEastAsia" w:cstheme="minorHAnsi"/>
          <w:noProof/>
          <w:sz w:val="23"/>
          <w:szCs w:val="23"/>
        </w:rPr>
        <w:drawing>
          <wp:anchor distT="0" distB="0" distL="114300" distR="114300" simplePos="0" relativeHeight="251664384" behindDoc="0" locked="0" layoutInCell="1" allowOverlap="1" wp14:anchorId="18E58021" wp14:editId="37713354">
            <wp:simplePos x="0" y="0"/>
            <wp:positionH relativeFrom="column">
              <wp:posOffset>1713865</wp:posOffset>
            </wp:positionH>
            <wp:positionV relativeFrom="paragraph">
              <wp:posOffset>66675</wp:posOffset>
            </wp:positionV>
            <wp:extent cx="1371600" cy="891540"/>
            <wp:effectExtent l="0" t="0" r="0" b="3810"/>
            <wp:wrapNone/>
            <wp:docPr id="11" name="Picture 11" descr="Picture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icture 0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1600" cy="89154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a:graphicData>
            </a:graphic>
          </wp:anchor>
        </w:drawing>
      </w:r>
      <w:r w:rsidRPr="006B392D">
        <w:rPr>
          <w:rFonts w:eastAsiaTheme="minorEastAsia" w:cstheme="minorHAnsi"/>
          <w:noProof/>
          <w:sz w:val="23"/>
          <w:szCs w:val="23"/>
        </w:rPr>
        <w:drawing>
          <wp:anchor distT="0" distB="0" distL="114300" distR="114300" simplePos="0" relativeHeight="251667456" behindDoc="0" locked="0" layoutInCell="1" allowOverlap="1" wp14:anchorId="0CCADFFB" wp14:editId="5DFF5814">
            <wp:simplePos x="0" y="0"/>
            <wp:positionH relativeFrom="margin">
              <wp:posOffset>3648710</wp:posOffset>
            </wp:positionH>
            <wp:positionV relativeFrom="paragraph">
              <wp:posOffset>5080</wp:posOffset>
            </wp:positionV>
            <wp:extent cx="1228090" cy="968375"/>
            <wp:effectExtent l="0" t="0" r="0" b="3175"/>
            <wp:wrapNone/>
            <wp:docPr id="15" name="Picture 3" descr="C:\Users\G.Giorgidze\Downloads\DSC04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G.Giorgidze\Downloads\DSC0473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28090" cy="968375"/>
                    </a:xfrm>
                    <a:prstGeom prst="rect">
                      <a:avLst/>
                    </a:prstGeom>
                    <a:noFill/>
                    <a:extLst/>
                  </pic:spPr>
                </pic:pic>
              </a:graphicData>
            </a:graphic>
            <wp14:sizeRelH relativeFrom="margin">
              <wp14:pctWidth>0</wp14:pctWidth>
            </wp14:sizeRelH>
          </wp:anchor>
        </w:drawing>
      </w:r>
      <w:r w:rsidRPr="006B392D">
        <w:rPr>
          <w:rFonts w:eastAsiaTheme="minorEastAsia" w:cstheme="minorHAnsi"/>
          <w:noProof/>
          <w:sz w:val="23"/>
          <w:szCs w:val="23"/>
        </w:rPr>
        <w:drawing>
          <wp:anchor distT="0" distB="0" distL="114300" distR="114300" simplePos="0" relativeHeight="251670528" behindDoc="0" locked="0" layoutInCell="1" allowOverlap="1" wp14:anchorId="27E2E470" wp14:editId="4662691D">
            <wp:simplePos x="0" y="0"/>
            <wp:positionH relativeFrom="column">
              <wp:posOffset>5243830</wp:posOffset>
            </wp:positionH>
            <wp:positionV relativeFrom="paragraph">
              <wp:posOffset>6350</wp:posOffset>
            </wp:positionV>
            <wp:extent cx="1268730" cy="900430"/>
            <wp:effectExtent l="0" t="0" r="0" b="0"/>
            <wp:wrapNone/>
            <wp:docPr id="7" name="Picture 6" descr="E:\ABSA posteris masalebi\DSC_5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E:\ABSA posteris masalebi\DSC_525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8730" cy="900430"/>
                    </a:xfrm>
                    <a:prstGeom prst="rect">
                      <a:avLst/>
                    </a:prstGeom>
                    <a:noFill/>
                    <a:extLst/>
                  </pic:spPr>
                </pic:pic>
              </a:graphicData>
            </a:graphic>
            <wp14:sizeRelH relativeFrom="margin">
              <wp14:pctWidth>0</wp14:pctWidth>
            </wp14:sizeRelH>
          </wp:anchor>
        </w:drawing>
      </w:r>
    </w:p>
    <w:p w:rsidR="006B392D" w:rsidRPr="006B392D" w:rsidRDefault="006B392D" w:rsidP="006B392D">
      <w:pPr>
        <w:spacing w:line="240" w:lineRule="auto"/>
        <w:contextualSpacing/>
        <w:jc w:val="both"/>
        <w:rPr>
          <w:rFonts w:eastAsiaTheme="minorEastAsia" w:cstheme="minorHAnsi"/>
          <w:sz w:val="23"/>
          <w:szCs w:val="23"/>
        </w:rPr>
      </w:pPr>
    </w:p>
    <w:p w:rsidR="006B392D" w:rsidRPr="006B392D" w:rsidRDefault="006B392D" w:rsidP="006B392D">
      <w:pPr>
        <w:spacing w:line="240" w:lineRule="auto"/>
        <w:contextualSpacing/>
        <w:jc w:val="both"/>
        <w:rPr>
          <w:rFonts w:eastAsiaTheme="minorEastAsia" w:cstheme="minorHAnsi"/>
          <w:sz w:val="23"/>
          <w:szCs w:val="23"/>
        </w:rPr>
      </w:pPr>
    </w:p>
    <w:p w:rsidR="006B392D" w:rsidRPr="006B392D" w:rsidRDefault="006B392D" w:rsidP="006B392D">
      <w:pPr>
        <w:spacing w:line="240" w:lineRule="auto"/>
        <w:contextualSpacing/>
        <w:jc w:val="both"/>
        <w:rPr>
          <w:rFonts w:eastAsiaTheme="minorEastAsia" w:cstheme="minorHAnsi"/>
          <w:sz w:val="23"/>
          <w:szCs w:val="23"/>
        </w:rPr>
      </w:pPr>
    </w:p>
    <w:p w:rsidR="006B392D" w:rsidRPr="006B392D" w:rsidRDefault="006B392D" w:rsidP="006B392D">
      <w:pPr>
        <w:spacing w:line="240" w:lineRule="auto"/>
        <w:contextualSpacing/>
        <w:jc w:val="both"/>
        <w:rPr>
          <w:rFonts w:eastAsiaTheme="minorEastAsia" w:cstheme="minorHAnsi"/>
          <w:b/>
          <w:color w:val="002060"/>
          <w:sz w:val="23"/>
          <w:szCs w:val="23"/>
        </w:rPr>
      </w:pPr>
    </w:p>
    <w:p w:rsidR="006B392D" w:rsidRPr="006B392D" w:rsidRDefault="006B392D" w:rsidP="006B392D">
      <w:pPr>
        <w:spacing w:line="240" w:lineRule="auto"/>
        <w:contextualSpacing/>
        <w:jc w:val="both"/>
        <w:rPr>
          <w:rFonts w:eastAsiaTheme="minorEastAsia" w:cstheme="minorHAnsi"/>
          <w:b/>
          <w:color w:val="002060"/>
          <w:sz w:val="23"/>
          <w:szCs w:val="23"/>
        </w:rPr>
      </w:pPr>
      <w:r w:rsidRPr="006B392D">
        <w:rPr>
          <w:rFonts w:eastAsiaTheme="minorEastAsia" w:cstheme="minorHAnsi"/>
          <w:noProof/>
          <w:sz w:val="23"/>
          <w:szCs w:val="23"/>
        </w:rPr>
        <w:drawing>
          <wp:anchor distT="0" distB="0" distL="114300" distR="114300" simplePos="0" relativeHeight="251671552" behindDoc="0" locked="0" layoutInCell="1" allowOverlap="1" wp14:anchorId="486761DD" wp14:editId="41223D71">
            <wp:simplePos x="0" y="0"/>
            <wp:positionH relativeFrom="column">
              <wp:posOffset>5248275</wp:posOffset>
            </wp:positionH>
            <wp:positionV relativeFrom="paragraph">
              <wp:posOffset>51435</wp:posOffset>
            </wp:positionV>
            <wp:extent cx="1268730" cy="925164"/>
            <wp:effectExtent l="0" t="0" r="7620" b="8890"/>
            <wp:wrapNone/>
            <wp:docPr id="14" name="Picture 4" descr="C:\Users\G.Giorgidze\Downloads\IMG_0650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Users\G.Giorgidze\Downloads\IMG_0650 .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73209" cy="928430"/>
                    </a:xfrm>
                    <a:prstGeom prst="rect">
                      <a:avLst/>
                    </a:prstGeom>
                    <a:noFill/>
                    <a:extLst/>
                  </pic:spPr>
                </pic:pic>
              </a:graphicData>
            </a:graphic>
            <wp14:sizeRelH relativeFrom="margin">
              <wp14:pctWidth>0</wp14:pctWidth>
            </wp14:sizeRelH>
            <wp14:sizeRelV relativeFrom="margin">
              <wp14:pctHeight>0</wp14:pctHeight>
            </wp14:sizeRelV>
          </wp:anchor>
        </w:drawing>
      </w:r>
      <w:r w:rsidRPr="006B392D">
        <w:rPr>
          <w:rFonts w:eastAsiaTheme="minorEastAsia" w:cstheme="minorHAnsi"/>
          <w:noProof/>
          <w:sz w:val="23"/>
          <w:szCs w:val="23"/>
        </w:rPr>
        <w:drawing>
          <wp:anchor distT="0" distB="0" distL="114300" distR="114300" simplePos="0" relativeHeight="251669504" behindDoc="0" locked="0" layoutInCell="1" allowOverlap="1" wp14:anchorId="599BEFF1" wp14:editId="4E50CCDD">
            <wp:simplePos x="0" y="0"/>
            <wp:positionH relativeFrom="column">
              <wp:posOffset>3648075</wp:posOffset>
            </wp:positionH>
            <wp:positionV relativeFrom="paragraph">
              <wp:posOffset>112395</wp:posOffset>
            </wp:positionV>
            <wp:extent cx="1324610" cy="855345"/>
            <wp:effectExtent l="0" t="0" r="8890" b="1905"/>
            <wp:wrapNone/>
            <wp:docPr id="6" name="Picture 6" descr="E:\ჩიპის ინფორმაცია\გაერთიანებული ინფორმაცია\ვებ გვერდის მასალები\IMG_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ჩიპის ინფორმაცია\გაერთიანებული ინფორმაცია\ვებ გვერდის მასალები\IMG_040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24610" cy="855345"/>
                    </a:xfrm>
                    <a:prstGeom prst="rect">
                      <a:avLst/>
                    </a:prstGeom>
                    <a:noFill/>
                    <a:extLst/>
                  </pic:spPr>
                </pic:pic>
              </a:graphicData>
            </a:graphic>
            <wp14:sizeRelH relativeFrom="margin">
              <wp14:pctWidth>0</wp14:pctWidth>
            </wp14:sizeRelH>
          </wp:anchor>
        </w:drawing>
      </w:r>
      <w:r w:rsidRPr="006B392D">
        <w:rPr>
          <w:rFonts w:eastAsiaTheme="minorEastAsia" w:cstheme="minorHAnsi"/>
          <w:noProof/>
          <w:sz w:val="23"/>
          <w:szCs w:val="23"/>
        </w:rPr>
        <w:drawing>
          <wp:anchor distT="0" distB="0" distL="114300" distR="114300" simplePos="0" relativeHeight="251665408" behindDoc="0" locked="0" layoutInCell="1" allowOverlap="1" wp14:anchorId="0CD00BBC" wp14:editId="245EEFC9">
            <wp:simplePos x="0" y="0"/>
            <wp:positionH relativeFrom="margin">
              <wp:posOffset>0</wp:posOffset>
            </wp:positionH>
            <wp:positionV relativeFrom="paragraph">
              <wp:posOffset>109855</wp:posOffset>
            </wp:positionV>
            <wp:extent cx="1268730" cy="900430"/>
            <wp:effectExtent l="0" t="0" r="7620" b="0"/>
            <wp:wrapNone/>
            <wp:docPr id="16" name="Picture 2" descr="C:\Users\G.Giorgidze\Desktop\ABSA posteris masalebi\DSC_5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G.Giorgidze\Desktop\ABSA posteris masalebi\DSC_522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68730" cy="900430"/>
                    </a:xfrm>
                    <a:prstGeom prst="rect">
                      <a:avLst/>
                    </a:prstGeom>
                    <a:noFill/>
                    <a:extLst/>
                  </pic:spPr>
                </pic:pic>
              </a:graphicData>
            </a:graphic>
            <wp14:sizeRelH relativeFrom="margin">
              <wp14:pctWidth>0</wp14:pctWidth>
            </wp14:sizeRelH>
            <wp14:sizeRelV relativeFrom="margin">
              <wp14:pctHeight>0</wp14:pctHeight>
            </wp14:sizeRelV>
          </wp:anchor>
        </w:drawing>
      </w:r>
      <w:r w:rsidRPr="006B392D">
        <w:rPr>
          <w:rFonts w:eastAsiaTheme="minorEastAsia" w:cstheme="minorHAnsi"/>
          <w:noProof/>
          <w:sz w:val="23"/>
          <w:szCs w:val="23"/>
        </w:rPr>
        <w:drawing>
          <wp:anchor distT="0" distB="0" distL="114300" distR="114300" simplePos="0" relativeHeight="251668480" behindDoc="0" locked="0" layoutInCell="1" allowOverlap="1" wp14:anchorId="6921A63E" wp14:editId="4AF38984">
            <wp:simplePos x="0" y="0"/>
            <wp:positionH relativeFrom="margin">
              <wp:posOffset>1714500</wp:posOffset>
            </wp:positionH>
            <wp:positionV relativeFrom="paragraph">
              <wp:posOffset>106680</wp:posOffset>
            </wp:positionV>
            <wp:extent cx="1381125" cy="937260"/>
            <wp:effectExtent l="0" t="0" r="9525" b="0"/>
            <wp:wrapNone/>
            <wp:docPr id="14351" name="Picture 88" descr="IMG_3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1" name="Picture 88" descr="IMG_3267"/>
                    <pic:cNvPicPr>
                      <a:picLocks noChangeAspect="1" noChangeArrowheads="1"/>
                    </pic:cNvPicPr>
                  </pic:nvPicPr>
                  <pic:blipFill>
                    <a:blip r:embed="rId16"/>
                    <a:srcRect/>
                    <a:stretch>
                      <a:fillRect/>
                    </a:stretch>
                  </pic:blipFill>
                  <pic:spPr bwMode="auto">
                    <a:xfrm>
                      <a:off x="0" y="0"/>
                      <a:ext cx="1381125" cy="937260"/>
                    </a:xfrm>
                    <a:prstGeom prst="rect">
                      <a:avLst/>
                    </a:prstGeom>
                    <a:noFill/>
                    <a:ln w="9525">
                      <a:noFill/>
                      <a:miter lim="800000"/>
                      <a:headEnd/>
                      <a:tailEnd/>
                    </a:ln>
                  </pic:spPr>
                </pic:pic>
              </a:graphicData>
            </a:graphic>
            <wp14:sizeRelH relativeFrom="margin">
              <wp14:pctWidth>0</wp14:pctWidth>
            </wp14:sizeRelH>
          </wp:anchor>
        </w:drawing>
      </w:r>
    </w:p>
    <w:p w:rsidR="006B392D" w:rsidRPr="006B392D" w:rsidRDefault="006B392D" w:rsidP="006B392D">
      <w:pPr>
        <w:spacing w:line="240" w:lineRule="auto"/>
        <w:contextualSpacing/>
        <w:jc w:val="both"/>
        <w:rPr>
          <w:rFonts w:eastAsiaTheme="minorEastAsia" w:cstheme="minorHAnsi"/>
          <w:b/>
          <w:color w:val="002060"/>
          <w:sz w:val="23"/>
          <w:szCs w:val="23"/>
        </w:rPr>
      </w:pPr>
    </w:p>
    <w:p w:rsidR="006B392D" w:rsidRPr="006B392D" w:rsidRDefault="006B392D" w:rsidP="006B392D">
      <w:pPr>
        <w:spacing w:line="240" w:lineRule="auto"/>
        <w:contextualSpacing/>
        <w:jc w:val="both"/>
        <w:rPr>
          <w:rFonts w:eastAsiaTheme="minorEastAsia" w:cstheme="minorHAnsi"/>
          <w:b/>
          <w:color w:val="002060"/>
          <w:sz w:val="23"/>
          <w:szCs w:val="23"/>
        </w:rPr>
      </w:pPr>
    </w:p>
    <w:p w:rsidR="006B392D" w:rsidRPr="006B392D" w:rsidRDefault="006B392D" w:rsidP="006B392D">
      <w:pPr>
        <w:spacing w:line="240" w:lineRule="auto"/>
        <w:contextualSpacing/>
        <w:jc w:val="both"/>
        <w:rPr>
          <w:rFonts w:eastAsiaTheme="minorEastAsia" w:cstheme="minorHAnsi"/>
          <w:b/>
          <w:color w:val="002060"/>
          <w:sz w:val="23"/>
          <w:szCs w:val="23"/>
        </w:rPr>
      </w:pPr>
    </w:p>
    <w:p w:rsidR="006B392D" w:rsidRPr="006B392D" w:rsidRDefault="006B392D" w:rsidP="006B392D">
      <w:pPr>
        <w:spacing w:line="240" w:lineRule="auto"/>
        <w:contextualSpacing/>
        <w:jc w:val="both"/>
        <w:rPr>
          <w:rFonts w:eastAsiaTheme="minorEastAsia" w:cstheme="minorHAnsi"/>
          <w:b/>
          <w:i/>
          <w:color w:val="365F91" w:themeColor="accent1" w:themeShade="BF"/>
          <w:sz w:val="23"/>
          <w:szCs w:val="23"/>
        </w:rPr>
      </w:pPr>
    </w:p>
    <w:p w:rsidR="006B392D" w:rsidRPr="006B392D" w:rsidRDefault="006B392D" w:rsidP="006B392D">
      <w:pPr>
        <w:spacing w:line="240" w:lineRule="auto"/>
        <w:contextualSpacing/>
        <w:jc w:val="both"/>
        <w:rPr>
          <w:rFonts w:eastAsiaTheme="minorEastAsia" w:cstheme="minorHAnsi"/>
          <w:b/>
          <w:i/>
          <w:color w:val="365F91" w:themeColor="accent1" w:themeShade="BF"/>
          <w:sz w:val="23"/>
          <w:szCs w:val="23"/>
        </w:rPr>
      </w:pPr>
    </w:p>
    <w:p w:rsidR="006B392D" w:rsidRPr="006B392D" w:rsidRDefault="006B392D" w:rsidP="006B392D">
      <w:pPr>
        <w:autoSpaceDE w:val="0"/>
        <w:autoSpaceDN w:val="0"/>
        <w:adjustRightInd w:val="0"/>
        <w:spacing w:line="240" w:lineRule="auto"/>
        <w:contextualSpacing/>
        <w:jc w:val="both"/>
        <w:rPr>
          <w:rFonts w:eastAsia="Times New Roman" w:cstheme="minorHAnsi"/>
          <w:sz w:val="23"/>
          <w:szCs w:val="23"/>
          <w:lang w:eastAsia="en-GB"/>
        </w:rPr>
      </w:pPr>
      <w:r w:rsidRPr="006B392D">
        <w:rPr>
          <w:rFonts w:eastAsiaTheme="minorEastAsia" w:cstheme="minorHAnsi"/>
          <w:sz w:val="23"/>
          <w:szCs w:val="23"/>
        </w:rPr>
        <w:t xml:space="preserve">WHO Regional Office for Europe conducted the </w:t>
      </w:r>
      <w:r w:rsidRPr="006B392D">
        <w:rPr>
          <w:rFonts w:eastAsiaTheme="minorEastAsia" w:cstheme="minorHAnsi"/>
          <w:b/>
          <w:sz w:val="23"/>
          <w:szCs w:val="23"/>
        </w:rPr>
        <w:t>Public Health Services Expert Mission</w:t>
      </w:r>
      <w:r w:rsidRPr="006B392D">
        <w:rPr>
          <w:rFonts w:eastAsiaTheme="minorEastAsia" w:cstheme="minorHAnsi"/>
          <w:sz w:val="23"/>
          <w:szCs w:val="23"/>
        </w:rPr>
        <w:t xml:space="preserve"> to Georgia on May 8-10, 2017. </w:t>
      </w:r>
      <w:r w:rsidRPr="006B392D">
        <w:rPr>
          <w:rFonts w:eastAsiaTheme="minorEastAsia" w:cstheme="minorHAnsi"/>
          <w:sz w:val="23"/>
          <w:szCs w:val="23"/>
          <w:lang w:eastAsia="en-GB"/>
        </w:rPr>
        <w:t>Objectives of the mission were to</w:t>
      </w:r>
      <w:r w:rsidRPr="006B392D">
        <w:rPr>
          <w:rFonts w:eastAsiaTheme="minorEastAsia" w:cstheme="minorHAnsi"/>
          <w:b/>
          <w:sz w:val="23"/>
          <w:szCs w:val="23"/>
          <w:lang w:eastAsia="en-GB"/>
        </w:rPr>
        <w:t xml:space="preserve"> </w:t>
      </w:r>
      <w:r w:rsidRPr="006B392D">
        <w:rPr>
          <w:rFonts w:eastAsia="Times New Roman" w:cstheme="minorHAnsi"/>
          <w:sz w:val="23"/>
          <w:szCs w:val="23"/>
          <w:lang w:eastAsia="en-GB"/>
        </w:rPr>
        <w:t>study and evaluate current public health services in Georgia; to support the discussion and Brain-storm the vision of long-term development of public health in Georgia; and to find integrated solutions with the aim to</w:t>
      </w:r>
      <w:r w:rsidRPr="006B392D">
        <w:rPr>
          <w:rFonts w:eastAsiaTheme="minorEastAsia" w:cstheme="minorHAnsi"/>
          <w:sz w:val="23"/>
          <w:szCs w:val="23"/>
        </w:rPr>
        <w:t xml:space="preserve"> strengthen public health services and capacities</w:t>
      </w:r>
      <w:r w:rsidRPr="006B392D">
        <w:rPr>
          <w:rFonts w:eastAsia="Times New Roman" w:cstheme="minorHAnsi"/>
          <w:sz w:val="23"/>
          <w:szCs w:val="23"/>
          <w:lang w:eastAsia="en-GB"/>
        </w:rPr>
        <w:t>. In particular, Expert Mission aimed to assess the human resource capacity for public health, including education of public health professionals; Find the ways where and how to introduce changes in order to fully implement national strategies/</w:t>
      </w:r>
      <w:proofErr w:type="spellStart"/>
      <w:r w:rsidRPr="006B392D">
        <w:rPr>
          <w:rFonts w:eastAsia="Times New Roman" w:cstheme="minorHAnsi"/>
          <w:sz w:val="23"/>
          <w:szCs w:val="23"/>
          <w:lang w:eastAsia="en-GB"/>
        </w:rPr>
        <w:t>programmes</w:t>
      </w:r>
      <w:proofErr w:type="spellEnd"/>
      <w:r w:rsidRPr="006B392D">
        <w:rPr>
          <w:rFonts w:eastAsia="Times New Roman" w:cstheme="minorHAnsi"/>
          <w:sz w:val="23"/>
          <w:szCs w:val="23"/>
          <w:lang w:eastAsia="en-GB"/>
        </w:rPr>
        <w:t xml:space="preserve"> at the municipality level; Define institutions, procedures and mechanisms for enforcing key public health legislation etc. </w:t>
      </w:r>
    </w:p>
    <w:p w:rsidR="006B392D" w:rsidRPr="006B392D" w:rsidRDefault="006B392D" w:rsidP="006B392D">
      <w:pPr>
        <w:autoSpaceDE w:val="0"/>
        <w:autoSpaceDN w:val="0"/>
        <w:adjustRightInd w:val="0"/>
        <w:spacing w:line="240" w:lineRule="auto"/>
        <w:contextualSpacing/>
        <w:jc w:val="both"/>
        <w:rPr>
          <w:rFonts w:eastAsia="Times New Roman" w:cstheme="minorHAnsi"/>
          <w:sz w:val="24"/>
          <w:szCs w:val="24"/>
          <w:lang w:eastAsia="en-GB"/>
        </w:rPr>
        <w:sectPr w:rsidR="006B392D" w:rsidRPr="006B392D" w:rsidSect="00106400">
          <w:type w:val="continuous"/>
          <w:pgSz w:w="12240" w:h="15840"/>
          <w:pgMar w:top="720" w:right="900" w:bottom="810" w:left="720" w:header="720" w:footer="720" w:gutter="0"/>
          <w:cols w:space="720"/>
          <w:docGrid w:linePitch="360"/>
        </w:sectPr>
      </w:pPr>
    </w:p>
    <w:p w:rsidR="006B392D" w:rsidRPr="006B392D" w:rsidRDefault="006B392D" w:rsidP="006B392D">
      <w:pPr>
        <w:autoSpaceDE w:val="0"/>
        <w:autoSpaceDN w:val="0"/>
        <w:adjustRightInd w:val="0"/>
        <w:spacing w:line="240" w:lineRule="auto"/>
        <w:contextualSpacing/>
        <w:jc w:val="both"/>
        <w:rPr>
          <w:rFonts w:eastAsia="Times New Roman" w:cstheme="minorHAnsi"/>
          <w:sz w:val="24"/>
          <w:szCs w:val="24"/>
          <w:lang w:eastAsia="en-GB"/>
        </w:rPr>
      </w:pPr>
      <w:r w:rsidRPr="006B392D">
        <w:rPr>
          <w:rFonts w:eastAsia="Times New Roman" w:cstheme="minorHAnsi"/>
          <w:noProof/>
          <w:sz w:val="24"/>
          <w:szCs w:val="24"/>
        </w:rPr>
        <w:drawing>
          <wp:inline distT="0" distB="0" distL="0" distR="0" wp14:anchorId="7BEF637E" wp14:editId="29C8D11C">
            <wp:extent cx="3218687" cy="2057400"/>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8279004_1361183897302870_1846346443742226841_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18687" cy="2057400"/>
                    </a:xfrm>
                    <a:prstGeom prst="rect">
                      <a:avLst/>
                    </a:prstGeom>
                  </pic:spPr>
                </pic:pic>
              </a:graphicData>
            </a:graphic>
          </wp:inline>
        </w:drawing>
      </w:r>
    </w:p>
    <w:p w:rsidR="006B392D" w:rsidRPr="006B392D" w:rsidRDefault="006B392D" w:rsidP="006B392D">
      <w:pPr>
        <w:autoSpaceDE w:val="0"/>
        <w:autoSpaceDN w:val="0"/>
        <w:adjustRightInd w:val="0"/>
        <w:spacing w:line="240" w:lineRule="auto"/>
        <w:ind w:left="-270"/>
        <w:contextualSpacing/>
        <w:jc w:val="both"/>
        <w:rPr>
          <w:rFonts w:eastAsia="Times New Roman" w:cstheme="minorHAnsi"/>
          <w:sz w:val="23"/>
          <w:szCs w:val="23"/>
          <w:lang w:eastAsia="en-GB"/>
        </w:rPr>
        <w:sectPr w:rsidR="006B392D" w:rsidRPr="006B392D" w:rsidSect="00EF3F04">
          <w:type w:val="continuous"/>
          <w:pgSz w:w="12240" w:h="15840"/>
          <w:pgMar w:top="720" w:right="900" w:bottom="810" w:left="720" w:header="720" w:footer="720" w:gutter="0"/>
          <w:cols w:num="2" w:space="720"/>
          <w:docGrid w:linePitch="360"/>
        </w:sectPr>
      </w:pPr>
      <w:r w:rsidRPr="006B392D">
        <w:rPr>
          <w:rFonts w:eastAsiaTheme="minorEastAsia" w:cstheme="minorHAnsi"/>
          <w:sz w:val="23"/>
          <w:szCs w:val="23"/>
        </w:rPr>
        <w:t>Expert mission covered a vast technical area: studied arrangement</w:t>
      </w:r>
      <w:r w:rsidRPr="006B392D">
        <w:rPr>
          <w:rFonts w:eastAsiaTheme="minorEastAsia" w:cstheme="minorHAnsi"/>
          <w:sz w:val="23"/>
          <w:szCs w:val="23"/>
          <w:shd w:val="clear" w:color="auto" w:fill="FFFFFF"/>
        </w:rPr>
        <w:t xml:space="preserve"> of Georgian Public Health System and principles of its functioning, became acquainted with the procedures and mechanisms for drafting the public health legislation, discussed the human resource development issues etc. </w:t>
      </w:r>
      <w:r w:rsidRPr="006B392D">
        <w:rPr>
          <w:rFonts w:eastAsiaTheme="minorEastAsia" w:cstheme="minorHAnsi"/>
          <w:sz w:val="23"/>
          <w:szCs w:val="23"/>
        </w:rPr>
        <w:t>and identified recommendations for possible next steps: A paradigm shift towards prevention and health promotion was suggested at all levels of the health system. Establishing strong accountability structures and legislative mandate for public health outcomes (governance, finance &amp; legislation), enabling cross-</w:t>
      </w:r>
      <w:r w:rsidR="00457AFD" w:rsidRPr="00457AFD">
        <w:rPr>
          <w:rFonts w:eastAsiaTheme="minorEastAsia" w:cstheme="minorHAnsi"/>
          <w:sz w:val="23"/>
          <w:szCs w:val="23"/>
        </w:rPr>
        <w:t xml:space="preserve"> </w:t>
      </w:r>
      <w:r w:rsidR="00457AFD" w:rsidRPr="006B392D">
        <w:rPr>
          <w:rFonts w:eastAsiaTheme="minorEastAsia" w:cstheme="minorHAnsi"/>
          <w:sz w:val="23"/>
          <w:szCs w:val="23"/>
        </w:rPr>
        <w:t>sector leadership</w:t>
      </w:r>
      <w:r w:rsidR="00457AFD" w:rsidRPr="00457AFD">
        <w:rPr>
          <w:rFonts w:eastAsiaTheme="minorEastAsia" w:cstheme="minorHAnsi"/>
          <w:sz w:val="23"/>
          <w:szCs w:val="23"/>
        </w:rPr>
        <w:t xml:space="preserve"> </w:t>
      </w:r>
      <w:r w:rsidR="00457AFD" w:rsidRPr="006B392D">
        <w:rPr>
          <w:rFonts w:eastAsiaTheme="minorEastAsia" w:cstheme="minorHAnsi"/>
          <w:sz w:val="23"/>
          <w:szCs w:val="23"/>
        </w:rPr>
        <w:t>and</w:t>
      </w:r>
      <w:r w:rsidR="00457AFD">
        <w:rPr>
          <w:rFonts w:eastAsiaTheme="minorEastAsia" w:cstheme="minorHAnsi"/>
          <w:sz w:val="23"/>
          <w:szCs w:val="23"/>
        </w:rPr>
        <w:t xml:space="preserve"> </w:t>
      </w:r>
      <w:r w:rsidR="00457AFD" w:rsidRPr="006B392D">
        <w:rPr>
          <w:rFonts w:eastAsiaTheme="minorEastAsia" w:cstheme="minorHAnsi"/>
          <w:sz w:val="23"/>
          <w:szCs w:val="23"/>
        </w:rPr>
        <w:t>stake</w:t>
      </w:r>
      <w:r w:rsidR="00457AFD">
        <w:rPr>
          <w:rFonts w:eastAsiaTheme="minorEastAsia" w:cstheme="minorHAnsi"/>
          <w:sz w:val="23"/>
          <w:szCs w:val="23"/>
        </w:rPr>
        <w:t>-</w:t>
      </w:r>
    </w:p>
    <w:p w:rsidR="006B392D" w:rsidRPr="006B392D" w:rsidRDefault="006B392D" w:rsidP="0077448C">
      <w:pPr>
        <w:spacing w:before="100" w:beforeAutospacing="1" w:after="100" w:afterAutospacing="1" w:line="240" w:lineRule="auto"/>
        <w:ind w:left="-90"/>
        <w:contextualSpacing/>
        <w:jc w:val="both"/>
        <w:rPr>
          <w:rFonts w:eastAsiaTheme="minorEastAsia" w:cstheme="minorHAnsi"/>
          <w:sz w:val="23"/>
          <w:szCs w:val="23"/>
        </w:rPr>
      </w:pPr>
      <w:bookmarkStart w:id="0" w:name="_GoBack"/>
      <w:r w:rsidRPr="006B392D">
        <w:rPr>
          <w:rFonts w:eastAsiaTheme="minorEastAsia" w:cstheme="minorHAnsi"/>
          <w:sz w:val="23"/>
          <w:szCs w:val="23"/>
        </w:rPr>
        <w:t>holder engagement towards improved public health outcomes, building capacity of modern public health competencies in the health workforce, review the existing funding arrangements, learning more about the options to establishment of a modern public health system, with appropriate authority at local level; and conducting the study tour (in order to examine governance, finance &amp; legislation for public health outcomes) in the country with a strong track record on this - was considered a good starting point.</w:t>
      </w:r>
    </w:p>
    <w:bookmarkEnd w:id="0"/>
    <w:p w:rsidR="006B392D" w:rsidRPr="006B392D" w:rsidRDefault="006B392D" w:rsidP="006B392D">
      <w:pPr>
        <w:spacing w:before="100" w:beforeAutospacing="1" w:after="100" w:afterAutospacing="1" w:line="240" w:lineRule="auto"/>
        <w:contextualSpacing/>
        <w:jc w:val="both"/>
        <w:rPr>
          <w:rFonts w:eastAsiaTheme="minorEastAsia" w:cstheme="minorHAnsi"/>
          <w:sz w:val="24"/>
          <w:szCs w:val="24"/>
        </w:rPr>
      </w:pPr>
    </w:p>
    <w:p w:rsidR="006B392D" w:rsidRPr="006B392D" w:rsidRDefault="006B392D" w:rsidP="006B392D">
      <w:pPr>
        <w:spacing w:line="240" w:lineRule="auto"/>
        <w:contextualSpacing/>
        <w:jc w:val="both"/>
        <w:rPr>
          <w:rFonts w:eastAsiaTheme="minorEastAsia" w:cstheme="minorHAnsi"/>
          <w:b/>
          <w:i/>
          <w:color w:val="365F91" w:themeColor="accent1" w:themeShade="BF"/>
          <w:sz w:val="28"/>
          <w:szCs w:val="28"/>
        </w:rPr>
      </w:pPr>
      <w:r w:rsidRPr="006B392D">
        <w:rPr>
          <w:rFonts w:eastAsiaTheme="minorEastAsia" w:cstheme="minorHAnsi"/>
          <w:b/>
          <w:i/>
          <w:color w:val="365F91" w:themeColor="accent1" w:themeShade="BF"/>
          <w:sz w:val="28"/>
          <w:szCs w:val="28"/>
        </w:rPr>
        <w:lastRenderedPageBreak/>
        <w:t>Recent Key Achievements</w:t>
      </w:r>
    </w:p>
    <w:p w:rsidR="006B392D" w:rsidRPr="006B392D" w:rsidRDefault="006B392D" w:rsidP="006B392D">
      <w:pPr>
        <w:autoSpaceDE w:val="0"/>
        <w:autoSpaceDN w:val="0"/>
        <w:adjustRightInd w:val="0"/>
        <w:spacing w:after="0" w:line="240" w:lineRule="auto"/>
        <w:jc w:val="both"/>
        <w:rPr>
          <w:rFonts w:ascii="Calibri" w:eastAsiaTheme="minorEastAsia" w:hAnsi="Calibri" w:cs="Calibri"/>
          <w:color w:val="000000"/>
          <w:sz w:val="23"/>
          <w:szCs w:val="23"/>
        </w:rPr>
      </w:pPr>
      <w:r w:rsidRPr="006B392D">
        <w:rPr>
          <w:rFonts w:ascii="Calibri" w:eastAsiaTheme="minorEastAsia" w:hAnsi="Calibri" w:cs="Calibri"/>
          <w:color w:val="000000"/>
          <w:sz w:val="23"/>
          <w:szCs w:val="23"/>
        </w:rPr>
        <w:t>Based on the needs of local population, the list of possible municipal programs and the methodology for their elaboration and implementation have been developed. According to the new requirements, Public Health National Recommendation (Guideline) for further functioning of municipal PHCs, typical methodic provisions and job descriptions for public health workforce have been updated and approved</w:t>
      </w:r>
      <w:r w:rsidRPr="006B392D">
        <w:rPr>
          <w:rFonts w:ascii="Calibri" w:eastAsiaTheme="minorEastAsia" w:hAnsi="Calibri" w:cs="Calibri"/>
          <w:color w:val="000000"/>
          <w:sz w:val="23"/>
          <w:szCs w:val="23"/>
          <w:lang w:val="ka-GE"/>
        </w:rPr>
        <w:t xml:space="preserve"> </w:t>
      </w:r>
      <w:r w:rsidRPr="006B392D">
        <w:rPr>
          <w:rFonts w:ascii="Calibri" w:eastAsiaTheme="minorEastAsia" w:hAnsi="Calibri" w:cs="Calibri"/>
          <w:color w:val="000000"/>
          <w:sz w:val="23"/>
          <w:szCs w:val="23"/>
        </w:rPr>
        <w:t xml:space="preserve">on 20.07.2017 by the Order of the Minister of </w:t>
      </w:r>
      <w:proofErr w:type="spellStart"/>
      <w:r w:rsidRPr="006B392D">
        <w:rPr>
          <w:rFonts w:ascii="Calibri" w:eastAsiaTheme="minorEastAsia" w:hAnsi="Calibri" w:cs="Calibri"/>
          <w:color w:val="000000"/>
          <w:sz w:val="23"/>
          <w:szCs w:val="23"/>
        </w:rPr>
        <w:t>Labour</w:t>
      </w:r>
      <w:proofErr w:type="spellEnd"/>
      <w:r w:rsidRPr="006B392D">
        <w:rPr>
          <w:rFonts w:ascii="Calibri" w:eastAsiaTheme="minorEastAsia" w:hAnsi="Calibri" w:cs="Calibri"/>
          <w:color w:val="000000"/>
          <w:sz w:val="23"/>
          <w:szCs w:val="23"/>
        </w:rPr>
        <w:t>, Health and Social Affairs of Georgia #01-163/o on Functioning Public Health Municipal Services”.</w:t>
      </w:r>
    </w:p>
    <w:p w:rsidR="006B392D" w:rsidRPr="006B392D" w:rsidRDefault="006B392D" w:rsidP="006B392D">
      <w:pPr>
        <w:autoSpaceDE w:val="0"/>
        <w:autoSpaceDN w:val="0"/>
        <w:adjustRightInd w:val="0"/>
        <w:spacing w:after="0" w:line="240" w:lineRule="auto"/>
        <w:rPr>
          <w:rFonts w:ascii="Calibri" w:eastAsiaTheme="minorEastAsia" w:hAnsi="Calibri" w:cs="Calibri"/>
          <w:color w:val="000000"/>
          <w:sz w:val="23"/>
          <w:szCs w:val="23"/>
        </w:rPr>
      </w:pPr>
    </w:p>
    <w:p w:rsidR="006B392D" w:rsidRPr="006B392D" w:rsidRDefault="006B392D" w:rsidP="006B392D">
      <w:pPr>
        <w:autoSpaceDE w:val="0"/>
        <w:autoSpaceDN w:val="0"/>
        <w:adjustRightInd w:val="0"/>
        <w:spacing w:after="0" w:line="240" w:lineRule="auto"/>
        <w:jc w:val="both"/>
        <w:rPr>
          <w:rFonts w:ascii="Calibri" w:eastAsiaTheme="minorEastAsia" w:hAnsi="Calibri" w:cs="Calibri"/>
          <w:color w:val="000000"/>
          <w:sz w:val="23"/>
          <w:szCs w:val="23"/>
        </w:rPr>
      </w:pPr>
      <w:r w:rsidRPr="006B392D">
        <w:rPr>
          <w:rFonts w:ascii="Calibri" w:eastAsiaTheme="minorEastAsia" w:hAnsi="Calibri" w:cs="Calibri"/>
          <w:color w:val="000000"/>
          <w:sz w:val="23"/>
          <w:szCs w:val="23"/>
        </w:rPr>
        <w:t xml:space="preserve">Order defines the responsibilities of the municipal PHCs: supervision of sanitary and hygienic norms in educational and other facilities of public importance (including esthetic and cosmetic salons); organization of preventive measures and other needed activities for infection control; implementing activities set forth in the Order of the Minister of </w:t>
      </w:r>
      <w:proofErr w:type="spellStart"/>
      <w:r w:rsidRPr="006B392D">
        <w:rPr>
          <w:rFonts w:ascii="Calibri" w:eastAsiaTheme="minorEastAsia" w:hAnsi="Calibri" w:cs="Calibri"/>
          <w:color w:val="000000"/>
          <w:sz w:val="23"/>
          <w:szCs w:val="23"/>
        </w:rPr>
        <w:t>Labour</w:t>
      </w:r>
      <w:proofErr w:type="spellEnd"/>
      <w:r w:rsidRPr="006B392D">
        <w:rPr>
          <w:rFonts w:ascii="Calibri" w:eastAsiaTheme="minorEastAsia" w:hAnsi="Calibri" w:cs="Calibri"/>
          <w:color w:val="000000"/>
          <w:sz w:val="23"/>
          <w:szCs w:val="23"/>
        </w:rPr>
        <w:t>, Health and Social Affairs of Georgia for maintaining and proper distribution of vaccines and consumables to service provider medical centers in accordance with the immunization calendar; epidemiological surveillance and primary investigation at the territory of municipality; implementation of preventive and epidemiological control activities  in emergency situations  etc.</w:t>
      </w:r>
    </w:p>
    <w:p w:rsidR="006B392D" w:rsidRPr="006B392D" w:rsidRDefault="006B392D" w:rsidP="006B392D">
      <w:pPr>
        <w:autoSpaceDE w:val="0"/>
        <w:autoSpaceDN w:val="0"/>
        <w:adjustRightInd w:val="0"/>
        <w:spacing w:after="0" w:line="240" w:lineRule="auto"/>
        <w:jc w:val="both"/>
        <w:rPr>
          <w:rFonts w:ascii="Calibri" w:eastAsiaTheme="minorEastAsia" w:hAnsi="Calibri" w:cs="Calibri"/>
          <w:color w:val="000000"/>
          <w:sz w:val="23"/>
          <w:szCs w:val="23"/>
        </w:rPr>
      </w:pPr>
    </w:p>
    <w:p w:rsidR="006B392D" w:rsidRPr="006B392D" w:rsidRDefault="006B392D" w:rsidP="006B392D">
      <w:pPr>
        <w:autoSpaceDE w:val="0"/>
        <w:autoSpaceDN w:val="0"/>
        <w:adjustRightInd w:val="0"/>
        <w:spacing w:after="0" w:line="240" w:lineRule="auto"/>
        <w:jc w:val="both"/>
        <w:rPr>
          <w:rFonts w:ascii="Calibri" w:eastAsiaTheme="minorEastAsia" w:hAnsi="Calibri" w:cs="Calibri"/>
          <w:color w:val="000000"/>
          <w:sz w:val="23"/>
          <w:szCs w:val="23"/>
        </w:rPr>
      </w:pPr>
      <w:r w:rsidRPr="006B392D">
        <w:rPr>
          <w:rFonts w:ascii="Calibri" w:eastAsiaTheme="minorEastAsia" w:hAnsi="Calibri" w:cs="Calibri"/>
          <w:color w:val="000000"/>
          <w:sz w:val="23"/>
          <w:szCs w:val="23"/>
        </w:rPr>
        <w:t xml:space="preserve">According to the Order, budget of the local municipalities envisages funds for elaborating and implementing the municipal PH programs according to the local needs, which should be based on epidemiological analysis in given municipality. These programs together with the State Healthcare programs should serve for improving the health of local population and has to be elaborated according to the 10 essential public health operations (EPHO), recommended by WHO Regional Office for Europe.  </w:t>
      </w:r>
    </w:p>
    <w:p w:rsidR="006B392D" w:rsidRPr="006B392D" w:rsidRDefault="006B392D" w:rsidP="006B392D">
      <w:pPr>
        <w:spacing w:line="240" w:lineRule="auto"/>
        <w:contextualSpacing/>
        <w:jc w:val="both"/>
        <w:rPr>
          <w:rFonts w:ascii="Calibri" w:eastAsiaTheme="minorEastAsia" w:hAnsi="Calibri" w:cs="Calibri"/>
          <w:sz w:val="23"/>
          <w:szCs w:val="23"/>
        </w:rPr>
      </w:pPr>
    </w:p>
    <w:p w:rsidR="006B392D" w:rsidRPr="006B392D" w:rsidRDefault="006B392D" w:rsidP="006B392D">
      <w:pPr>
        <w:spacing w:line="240" w:lineRule="auto"/>
        <w:contextualSpacing/>
        <w:jc w:val="both"/>
        <w:rPr>
          <w:rFonts w:ascii="Calibri" w:eastAsiaTheme="minorEastAsia" w:hAnsi="Calibri" w:cs="Calibri"/>
          <w:sz w:val="23"/>
          <w:szCs w:val="23"/>
        </w:rPr>
      </w:pPr>
      <w:r w:rsidRPr="006B392D">
        <w:rPr>
          <w:rFonts w:ascii="Calibri" w:eastAsiaTheme="minorEastAsia" w:hAnsi="Calibri" w:cs="Calibri"/>
          <w:sz w:val="23"/>
          <w:szCs w:val="23"/>
        </w:rPr>
        <w:t xml:space="preserve">The list of the possible municipal programs was identified: Ensuring Detection and prevention of tobacco consumption and other habits </w:t>
      </w:r>
      <w:r w:rsidRPr="006B392D">
        <w:rPr>
          <w:rFonts w:ascii="Calibri" w:eastAsiaTheme="minorEastAsia" w:hAnsi="Calibri" w:cs="Calibri"/>
          <w:sz w:val="23"/>
          <w:szCs w:val="23"/>
          <w:lang w:val="ka-GE"/>
        </w:rPr>
        <w:t>-</w:t>
      </w:r>
      <w:r w:rsidRPr="006B392D">
        <w:rPr>
          <w:rFonts w:ascii="Calibri" w:eastAsiaTheme="minorEastAsia" w:hAnsi="Calibri" w:cs="Calibri"/>
          <w:sz w:val="23"/>
          <w:szCs w:val="23"/>
        </w:rPr>
        <w:t xml:space="preserve"> harmful to the health (alcohol, drug abuse etc.); promotion of healthy development of children (prevention of mental health disorders); education of adolescents on medical/preventive issues; identifying risk-factors which causes communicable and/or non-communicable diseases; prevention of cardio-vascular diseases at family environment; prevention of traumatism; screening and monitoring of preschool and school children’s health status (on helminthiasis, physical development etc.); awareness raising of local population on healthy diet and physical activity, preventive measures to avoid diseases caused by the deficiency of iodine and other microelements, immunization, family planning methods, STDs, early marriages and accompanying possible complications</w:t>
      </w:r>
      <w:r w:rsidRPr="006B392D">
        <w:rPr>
          <w:rFonts w:ascii="Calibri" w:eastAsiaTheme="minorEastAsia" w:hAnsi="Calibri" w:cs="Calibri"/>
          <w:sz w:val="23"/>
          <w:szCs w:val="23"/>
          <w:lang w:val="ka-GE"/>
        </w:rPr>
        <w:t xml:space="preserve">, </w:t>
      </w:r>
      <w:r w:rsidRPr="006B392D">
        <w:rPr>
          <w:rFonts w:ascii="Calibri" w:eastAsiaTheme="minorEastAsia" w:hAnsi="Calibri" w:cs="Calibri"/>
          <w:sz w:val="23"/>
          <w:szCs w:val="23"/>
        </w:rPr>
        <w:t>socially dangerous diseases; informing local medical personnel on the methods of processing obligatory medical/statistical data and local population - employed in the institutions of public importance about the mandatory sanitary norms; investigation and prevention of psycho-social problems in adolescents; elaboration of recommendations for local municipalities, local population and educational institutions, etc.</w:t>
      </w:r>
    </w:p>
    <w:p w:rsidR="006B392D" w:rsidRPr="006B392D" w:rsidRDefault="006B392D" w:rsidP="006B392D">
      <w:pPr>
        <w:spacing w:line="240" w:lineRule="auto"/>
        <w:contextualSpacing/>
        <w:jc w:val="both"/>
        <w:rPr>
          <w:rFonts w:ascii="Calibri" w:eastAsiaTheme="minorEastAsia" w:hAnsi="Calibri" w:cs="Calibri"/>
          <w:sz w:val="23"/>
          <w:szCs w:val="23"/>
        </w:rPr>
      </w:pPr>
    </w:p>
    <w:p w:rsidR="006B392D" w:rsidRPr="006B392D" w:rsidRDefault="006B392D" w:rsidP="006B392D">
      <w:pPr>
        <w:spacing w:before="120" w:line="240" w:lineRule="auto"/>
        <w:ind w:left="33"/>
        <w:contextualSpacing/>
        <w:jc w:val="both"/>
        <w:rPr>
          <w:rFonts w:eastAsiaTheme="minorEastAsia" w:cstheme="minorHAnsi"/>
          <w:sz w:val="24"/>
          <w:szCs w:val="24"/>
        </w:rPr>
      </w:pPr>
      <w:r w:rsidRPr="006B392D">
        <w:rPr>
          <w:rFonts w:ascii="Calibri" w:eastAsiaTheme="minorEastAsia" w:hAnsi="Calibri" w:cs="Calibri"/>
          <w:sz w:val="23"/>
          <w:szCs w:val="23"/>
        </w:rPr>
        <w:t xml:space="preserve">Draft of the concept for further development of public health has been developed based on EPHO 1-10. </w:t>
      </w:r>
      <w:r w:rsidRPr="006B392D">
        <w:rPr>
          <w:rFonts w:eastAsiaTheme="minorEastAsia" w:cstheme="minorHAnsi"/>
          <w:sz w:val="24"/>
          <w:szCs w:val="24"/>
        </w:rPr>
        <w:t xml:space="preserve">In January, 30-31 2017, Georgia participated in the </w:t>
      </w:r>
      <w:r w:rsidRPr="006B392D">
        <w:rPr>
          <w:rFonts w:eastAsiaTheme="minorEastAsia" w:cstheme="minorHAnsi"/>
          <w:b/>
          <w:sz w:val="24"/>
          <w:szCs w:val="24"/>
        </w:rPr>
        <w:t>“</w:t>
      </w:r>
      <w:r w:rsidRPr="006B392D">
        <w:rPr>
          <w:rFonts w:eastAsiaTheme="minorEastAsia" w:cstheme="minorHAnsi"/>
          <w:b/>
          <w:bCs/>
          <w:sz w:val="24"/>
          <w:szCs w:val="24"/>
        </w:rPr>
        <w:t>Coalition of Partners Expert Meeting on Strengthening Public Health Capacities and Services in Europe</w:t>
      </w:r>
      <w:r w:rsidRPr="006B392D">
        <w:rPr>
          <w:rFonts w:eastAsiaTheme="minorEastAsia" w:cstheme="minorHAnsi"/>
          <w:bCs/>
          <w:sz w:val="24"/>
          <w:szCs w:val="24"/>
        </w:rPr>
        <w:t xml:space="preserve">” organized by the </w:t>
      </w:r>
      <w:r w:rsidRPr="006B392D">
        <w:rPr>
          <w:rFonts w:eastAsiaTheme="minorEastAsia" w:cstheme="minorHAnsi"/>
          <w:sz w:val="24"/>
          <w:szCs w:val="24"/>
        </w:rPr>
        <w:t xml:space="preserve">WHO Regional Office for Europe </w:t>
      </w:r>
      <w:r w:rsidRPr="006B392D">
        <w:rPr>
          <w:rFonts w:eastAsiaTheme="minorEastAsia" w:cstheme="minorHAnsi"/>
          <w:bCs/>
          <w:sz w:val="24"/>
          <w:szCs w:val="24"/>
        </w:rPr>
        <w:t xml:space="preserve">where presented the framework of the planned actions for the development of the public health system in Georgia, which envisages consistent and coordinated strengthening of the public health services in the country, </w:t>
      </w:r>
      <w:r w:rsidRPr="006B392D">
        <w:rPr>
          <w:rFonts w:eastAsiaTheme="minorEastAsia" w:cstheme="minorHAnsi"/>
          <w:sz w:val="24"/>
          <w:szCs w:val="24"/>
        </w:rPr>
        <w:t xml:space="preserve">focused on four enabling functions – </w:t>
      </w:r>
      <w:r w:rsidRPr="006B392D">
        <w:rPr>
          <w:rFonts w:eastAsiaTheme="minorEastAsia" w:cstheme="minorHAnsi"/>
          <w:bCs/>
          <w:sz w:val="24"/>
          <w:szCs w:val="24"/>
        </w:rPr>
        <w:t>human and financial resources for public health, organization and governance of public health services, and public health legislation</w:t>
      </w:r>
      <w:r w:rsidRPr="006B392D">
        <w:rPr>
          <w:rFonts w:eastAsiaTheme="minorEastAsia" w:cstheme="minorHAnsi"/>
          <w:sz w:val="24"/>
          <w:szCs w:val="24"/>
        </w:rPr>
        <w:t xml:space="preserve">. </w:t>
      </w:r>
    </w:p>
    <w:p w:rsidR="006B392D" w:rsidRPr="006B392D" w:rsidRDefault="006B392D" w:rsidP="006B392D">
      <w:pPr>
        <w:spacing w:before="120" w:line="240" w:lineRule="auto"/>
        <w:ind w:left="753" w:firstLine="687"/>
        <w:contextualSpacing/>
        <w:jc w:val="center"/>
        <w:rPr>
          <w:rFonts w:eastAsiaTheme="minorEastAsia" w:cstheme="minorHAnsi"/>
          <w:i/>
        </w:rPr>
      </w:pPr>
      <w:r w:rsidRPr="006B392D">
        <w:rPr>
          <w:rFonts w:eastAsiaTheme="minorEastAsia" w:cstheme="minorHAnsi"/>
          <w:noProof/>
          <w:sz w:val="24"/>
          <w:szCs w:val="24"/>
        </w:rPr>
        <w:drawing>
          <wp:inline distT="0" distB="0" distL="0" distR="0" wp14:anchorId="180AEE39" wp14:editId="7661CC62">
            <wp:extent cx="3699961" cy="1104900"/>
            <wp:effectExtent l="0" t="0" r="0" b="0"/>
            <wp:docPr id="17" name="Picture 1">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1ACB8968-5F11-4157-9EC1-9115A55A27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6" name="Picture 1">
                      <a:extLst>
                        <a:ext uri="{FF2B5EF4-FFF2-40B4-BE49-F238E27FC236}">
                          <a16:creationId xmlns:arto="http://schemas.microsoft.com/office/word/2006/arto"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1ACB8968-5F11-4157-9EC1-9115A55A2771}"/>
                        </a:ext>
                      </a:extLst>
                    </pic:cNvPr>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67102" cy="1154813"/>
                    </a:xfrm>
                    <a:prstGeom prst="rect">
                      <a:avLst/>
                    </a:prstGeom>
                    <a:noFill/>
                    <a:ln>
                      <a:noFill/>
                    </a:ln>
                    <a:extLst>
                      <a:ext uri="{909E8E84-426E-40dd-AFC4-6F175D3DCCD1}">
                        <a14:hiddenFill xmlns:arto="http://schemas.microsoft.com/office/word/2006/arto"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arto="http://schemas.microsoft.com/office/word/2006/arto"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pic:spPr>
                </pic:pic>
              </a:graphicData>
            </a:graphic>
          </wp:inline>
        </w:drawing>
      </w:r>
      <w:r w:rsidRPr="006B392D">
        <w:rPr>
          <w:rFonts w:eastAsiaTheme="minorEastAsia" w:cstheme="minorHAnsi"/>
          <w:i/>
        </w:rPr>
        <w:t xml:space="preserve">Source: </w:t>
      </w:r>
      <w:proofErr w:type="gramStart"/>
      <w:r w:rsidRPr="006B392D">
        <w:rPr>
          <w:rFonts w:eastAsiaTheme="minorEastAsia" w:cstheme="minorHAnsi"/>
          <w:i/>
        </w:rPr>
        <w:t>WHO</w:t>
      </w:r>
      <w:proofErr w:type="gramEnd"/>
      <w:r w:rsidRPr="006B392D">
        <w:rPr>
          <w:rFonts w:eastAsiaTheme="minorEastAsia" w:cstheme="minorHAnsi"/>
          <w:i/>
        </w:rPr>
        <w:t xml:space="preserve"> EURO</w:t>
      </w:r>
    </w:p>
    <w:p w:rsidR="006B392D" w:rsidRDefault="006B392D" w:rsidP="006B392D">
      <w:pPr>
        <w:spacing w:after="0" w:line="240" w:lineRule="auto"/>
        <w:contextualSpacing/>
        <w:jc w:val="both"/>
        <w:rPr>
          <w:rFonts w:eastAsiaTheme="minorEastAsia" w:cstheme="minorHAnsi"/>
          <w:b/>
          <w:i/>
          <w:color w:val="365F91" w:themeColor="accent1" w:themeShade="BF"/>
          <w:sz w:val="28"/>
          <w:szCs w:val="28"/>
        </w:rPr>
      </w:pPr>
    </w:p>
    <w:p w:rsidR="006B392D" w:rsidRDefault="006B392D" w:rsidP="006B392D">
      <w:pPr>
        <w:spacing w:after="0" w:line="240" w:lineRule="auto"/>
        <w:contextualSpacing/>
        <w:jc w:val="both"/>
        <w:rPr>
          <w:rFonts w:eastAsiaTheme="minorEastAsia" w:cstheme="minorHAnsi"/>
          <w:b/>
          <w:i/>
          <w:color w:val="365F91" w:themeColor="accent1" w:themeShade="BF"/>
          <w:sz w:val="28"/>
          <w:szCs w:val="28"/>
        </w:rPr>
      </w:pPr>
    </w:p>
    <w:p w:rsidR="006B392D" w:rsidRPr="006B392D" w:rsidRDefault="006B392D" w:rsidP="006B392D">
      <w:pPr>
        <w:spacing w:after="0" w:line="240" w:lineRule="auto"/>
        <w:contextualSpacing/>
        <w:jc w:val="both"/>
        <w:rPr>
          <w:rFonts w:eastAsiaTheme="minorEastAsia" w:cstheme="minorHAnsi"/>
          <w:b/>
          <w:i/>
          <w:color w:val="365F91" w:themeColor="accent1" w:themeShade="BF"/>
          <w:sz w:val="28"/>
          <w:szCs w:val="28"/>
        </w:rPr>
      </w:pPr>
      <w:r w:rsidRPr="006B392D">
        <w:rPr>
          <w:rFonts w:eastAsiaTheme="minorEastAsia" w:cstheme="minorHAnsi"/>
          <w:b/>
          <w:i/>
          <w:color w:val="365F91" w:themeColor="accent1" w:themeShade="BF"/>
          <w:sz w:val="28"/>
          <w:szCs w:val="28"/>
        </w:rPr>
        <w:lastRenderedPageBreak/>
        <w:t>Challenges and Future Steps</w:t>
      </w:r>
    </w:p>
    <w:p w:rsidR="006B392D" w:rsidRPr="006B392D" w:rsidRDefault="006B392D" w:rsidP="006B392D">
      <w:pPr>
        <w:spacing w:after="0" w:line="240" w:lineRule="auto"/>
        <w:contextualSpacing/>
        <w:jc w:val="both"/>
        <w:rPr>
          <w:rFonts w:eastAsiaTheme="minorEastAsia" w:cstheme="minorHAnsi"/>
          <w:sz w:val="23"/>
          <w:szCs w:val="23"/>
          <w:lang w:val="ka-GE"/>
        </w:rPr>
      </w:pPr>
      <w:r w:rsidRPr="006B392D">
        <w:rPr>
          <w:rFonts w:eastAsiaTheme="minorEastAsia" w:cstheme="minorHAnsi"/>
          <w:sz w:val="23"/>
          <w:szCs w:val="23"/>
        </w:rPr>
        <w:t>Implementing unified, effective and coordinated disease control and public health system in Georgia that will be based on European and global experience</w:t>
      </w:r>
      <w:r w:rsidRPr="006B392D">
        <w:rPr>
          <w:rFonts w:eastAsiaTheme="minorEastAsia" w:cstheme="minorHAnsi"/>
          <w:sz w:val="23"/>
          <w:szCs w:val="23"/>
          <w:lang w:val="ka-GE"/>
        </w:rPr>
        <w:t>:</w:t>
      </w:r>
    </w:p>
    <w:p w:rsidR="006B392D" w:rsidRPr="006B392D" w:rsidRDefault="006B392D" w:rsidP="006B392D">
      <w:pPr>
        <w:numPr>
          <w:ilvl w:val="0"/>
          <w:numId w:val="43"/>
        </w:numPr>
        <w:spacing w:line="240" w:lineRule="auto"/>
        <w:contextualSpacing/>
        <w:jc w:val="both"/>
        <w:rPr>
          <w:rFonts w:eastAsiaTheme="minorEastAsia" w:cstheme="minorHAnsi"/>
          <w:sz w:val="23"/>
          <w:szCs w:val="23"/>
        </w:rPr>
      </w:pPr>
      <w:r w:rsidRPr="006B392D">
        <w:rPr>
          <w:rFonts w:eastAsiaTheme="minorEastAsia" w:cstheme="minorHAnsi"/>
          <w:sz w:val="23"/>
          <w:szCs w:val="23"/>
        </w:rPr>
        <w:t xml:space="preserve">Introduction of modern technologies according to EPHOs 1–4 to improve public health activities, in terms of multidisciplinary and </w:t>
      </w:r>
      <w:proofErr w:type="spellStart"/>
      <w:r w:rsidRPr="006B392D">
        <w:rPr>
          <w:rFonts w:eastAsiaTheme="minorEastAsia" w:cstheme="minorHAnsi"/>
          <w:sz w:val="23"/>
          <w:szCs w:val="23"/>
        </w:rPr>
        <w:t>multisectoral</w:t>
      </w:r>
      <w:proofErr w:type="spellEnd"/>
      <w:r w:rsidRPr="006B392D">
        <w:rPr>
          <w:rFonts w:eastAsiaTheme="minorEastAsia" w:cstheme="minorHAnsi"/>
          <w:sz w:val="23"/>
          <w:szCs w:val="23"/>
        </w:rPr>
        <w:t xml:space="preserve"> perspectives with improving quality of monitoring and evaluation.</w:t>
      </w:r>
    </w:p>
    <w:p w:rsidR="006B392D" w:rsidRPr="006B392D" w:rsidRDefault="006B392D" w:rsidP="006B392D">
      <w:pPr>
        <w:numPr>
          <w:ilvl w:val="0"/>
          <w:numId w:val="43"/>
        </w:numPr>
        <w:spacing w:after="0" w:line="240" w:lineRule="auto"/>
        <w:contextualSpacing/>
        <w:jc w:val="both"/>
        <w:rPr>
          <w:rFonts w:eastAsiaTheme="minorEastAsia" w:cstheme="minorHAnsi"/>
          <w:sz w:val="23"/>
          <w:szCs w:val="23"/>
        </w:rPr>
      </w:pPr>
      <w:r w:rsidRPr="006B392D">
        <w:rPr>
          <w:rFonts w:eastAsiaTheme="minorEastAsia" w:cstheme="minorHAnsi"/>
          <w:sz w:val="23"/>
          <w:szCs w:val="23"/>
        </w:rPr>
        <w:t>Discussing and approval of the Public Health Strategy and Action Plan with the  participation  of  all  stakeholders and decision-makers</w:t>
      </w:r>
    </w:p>
    <w:p w:rsidR="006B392D" w:rsidRPr="006B392D" w:rsidRDefault="006B392D" w:rsidP="006B392D">
      <w:pPr>
        <w:numPr>
          <w:ilvl w:val="0"/>
          <w:numId w:val="43"/>
        </w:numPr>
        <w:spacing w:after="0" w:line="240" w:lineRule="auto"/>
        <w:contextualSpacing/>
        <w:jc w:val="both"/>
        <w:rPr>
          <w:rFonts w:eastAsiaTheme="minorEastAsia" w:cstheme="minorHAnsi"/>
          <w:sz w:val="23"/>
          <w:szCs w:val="23"/>
        </w:rPr>
      </w:pPr>
      <w:r w:rsidRPr="006B392D">
        <w:rPr>
          <w:rFonts w:eastAsiaTheme="minorEastAsia" w:cstheme="minorHAnsi"/>
          <w:sz w:val="23"/>
          <w:szCs w:val="23"/>
        </w:rPr>
        <w:t xml:space="preserve">Developing strategy for infrastructure arrangement of regional and district PHCs </w:t>
      </w:r>
    </w:p>
    <w:p w:rsidR="006B392D" w:rsidRPr="006B392D" w:rsidRDefault="006B392D" w:rsidP="006B392D">
      <w:pPr>
        <w:numPr>
          <w:ilvl w:val="0"/>
          <w:numId w:val="43"/>
        </w:numPr>
        <w:spacing w:line="240" w:lineRule="auto"/>
        <w:contextualSpacing/>
        <w:jc w:val="both"/>
        <w:rPr>
          <w:rFonts w:eastAsiaTheme="minorEastAsia" w:cstheme="minorHAnsi"/>
          <w:sz w:val="23"/>
          <w:szCs w:val="23"/>
        </w:rPr>
      </w:pPr>
      <w:r w:rsidRPr="006B392D">
        <w:rPr>
          <w:rFonts w:eastAsiaTheme="minorEastAsia" w:cstheme="minorHAnsi"/>
          <w:sz w:val="23"/>
          <w:szCs w:val="23"/>
        </w:rPr>
        <w:t>Review and improvement of the legislative framework in cooperation with WHO, governmental structures, parliament, and international partners; harmonization with the EU Acquis and other international standards for ensuring implementation of unified policy</w:t>
      </w:r>
    </w:p>
    <w:p w:rsidR="006B392D" w:rsidRPr="006B392D" w:rsidRDefault="006B392D" w:rsidP="006B392D">
      <w:pPr>
        <w:numPr>
          <w:ilvl w:val="0"/>
          <w:numId w:val="43"/>
        </w:numPr>
        <w:spacing w:after="0" w:line="240" w:lineRule="auto"/>
        <w:contextualSpacing/>
        <w:jc w:val="both"/>
        <w:rPr>
          <w:rFonts w:eastAsiaTheme="minorEastAsia" w:cstheme="minorHAnsi"/>
          <w:sz w:val="23"/>
          <w:szCs w:val="23"/>
        </w:rPr>
      </w:pPr>
      <w:r w:rsidRPr="006B392D">
        <w:rPr>
          <w:rFonts w:eastAsiaTheme="minorEastAsia" w:cstheme="minorHAnsi"/>
          <w:sz w:val="23"/>
          <w:szCs w:val="23"/>
        </w:rPr>
        <w:t>Increasing effectiveness and efficiency of organization and management of public health services</w:t>
      </w:r>
    </w:p>
    <w:p w:rsidR="006B392D" w:rsidRPr="006B392D" w:rsidRDefault="006B392D" w:rsidP="006B392D">
      <w:pPr>
        <w:numPr>
          <w:ilvl w:val="0"/>
          <w:numId w:val="43"/>
        </w:numPr>
        <w:spacing w:after="0" w:line="240" w:lineRule="auto"/>
        <w:contextualSpacing/>
        <w:jc w:val="both"/>
        <w:rPr>
          <w:rFonts w:eastAsiaTheme="minorEastAsia" w:cstheme="minorHAnsi"/>
          <w:sz w:val="23"/>
          <w:szCs w:val="23"/>
        </w:rPr>
      </w:pPr>
      <w:r w:rsidRPr="006B392D">
        <w:rPr>
          <w:rFonts w:eastAsiaTheme="minorEastAsia" w:cstheme="minorHAnsi"/>
          <w:sz w:val="23"/>
          <w:szCs w:val="23"/>
        </w:rPr>
        <w:t>Strengthening the coordinating role of public health specialists in solving local health care problems;</w:t>
      </w:r>
    </w:p>
    <w:p w:rsidR="006B392D" w:rsidRPr="006B392D" w:rsidRDefault="006B392D" w:rsidP="006B392D">
      <w:pPr>
        <w:numPr>
          <w:ilvl w:val="0"/>
          <w:numId w:val="43"/>
        </w:numPr>
        <w:spacing w:after="0" w:line="240" w:lineRule="auto"/>
        <w:contextualSpacing/>
        <w:jc w:val="both"/>
        <w:rPr>
          <w:rFonts w:eastAsiaTheme="minorEastAsia" w:cstheme="minorHAnsi"/>
          <w:sz w:val="23"/>
          <w:szCs w:val="23"/>
        </w:rPr>
      </w:pPr>
      <w:r w:rsidRPr="006B392D">
        <w:rPr>
          <w:rFonts w:eastAsiaTheme="minorEastAsia" w:cstheme="minorHAnsi"/>
          <w:sz w:val="23"/>
          <w:szCs w:val="23"/>
          <w:lang w:val="ka-GE"/>
        </w:rPr>
        <w:t xml:space="preserve">Recognition of </w:t>
      </w:r>
      <w:r w:rsidRPr="006B392D">
        <w:rPr>
          <w:rFonts w:eastAsiaTheme="minorEastAsia" w:cstheme="minorHAnsi"/>
          <w:sz w:val="23"/>
          <w:szCs w:val="23"/>
        </w:rPr>
        <w:t>p</w:t>
      </w:r>
      <w:r w:rsidRPr="006B392D">
        <w:rPr>
          <w:rFonts w:eastAsiaTheme="minorEastAsia" w:cstheme="minorHAnsi"/>
          <w:sz w:val="23"/>
          <w:szCs w:val="23"/>
          <w:lang w:val="ka-GE"/>
        </w:rPr>
        <w:t xml:space="preserve">ublic </w:t>
      </w:r>
      <w:r w:rsidRPr="006B392D">
        <w:rPr>
          <w:rFonts w:eastAsiaTheme="minorEastAsia" w:cstheme="minorHAnsi"/>
          <w:sz w:val="23"/>
          <w:szCs w:val="23"/>
        </w:rPr>
        <w:t>h</w:t>
      </w:r>
      <w:r w:rsidRPr="006B392D">
        <w:rPr>
          <w:rFonts w:eastAsiaTheme="minorEastAsia" w:cstheme="minorHAnsi"/>
          <w:sz w:val="23"/>
          <w:szCs w:val="23"/>
          <w:lang w:val="ka-GE"/>
        </w:rPr>
        <w:t xml:space="preserve">ealth </w:t>
      </w:r>
      <w:r w:rsidRPr="006B392D">
        <w:rPr>
          <w:rFonts w:eastAsiaTheme="minorEastAsia" w:cstheme="minorHAnsi"/>
          <w:sz w:val="23"/>
          <w:szCs w:val="23"/>
        </w:rPr>
        <w:t>workforce</w:t>
      </w:r>
      <w:r w:rsidRPr="006B392D">
        <w:rPr>
          <w:rFonts w:eastAsiaTheme="minorEastAsia" w:cstheme="minorHAnsi"/>
          <w:sz w:val="23"/>
          <w:szCs w:val="23"/>
          <w:lang w:val="ka-GE"/>
        </w:rPr>
        <w:t xml:space="preserve"> as a profession within the framework of </w:t>
      </w:r>
      <w:r w:rsidRPr="006B392D">
        <w:rPr>
          <w:rFonts w:eastAsiaTheme="minorEastAsia" w:cstheme="minorHAnsi"/>
          <w:sz w:val="23"/>
          <w:szCs w:val="23"/>
        </w:rPr>
        <w:t>current</w:t>
      </w:r>
      <w:r w:rsidRPr="006B392D">
        <w:rPr>
          <w:rFonts w:eastAsiaTheme="minorEastAsia" w:cstheme="minorHAnsi"/>
          <w:sz w:val="23"/>
          <w:szCs w:val="23"/>
          <w:lang w:val="ka-GE"/>
        </w:rPr>
        <w:t xml:space="preserve"> legislation; </w:t>
      </w:r>
      <w:r w:rsidRPr="006B392D">
        <w:rPr>
          <w:rFonts w:eastAsiaTheme="minorEastAsia" w:cstheme="minorHAnsi"/>
          <w:sz w:val="23"/>
          <w:szCs w:val="23"/>
        </w:rPr>
        <w:t xml:space="preserve"> Organizing continuous education system for public health system workforce</w:t>
      </w:r>
    </w:p>
    <w:p w:rsidR="006B392D" w:rsidRPr="006B392D" w:rsidRDefault="006B392D" w:rsidP="006B392D">
      <w:pPr>
        <w:numPr>
          <w:ilvl w:val="0"/>
          <w:numId w:val="43"/>
        </w:numPr>
        <w:spacing w:after="0" w:line="240" w:lineRule="auto"/>
        <w:contextualSpacing/>
        <w:jc w:val="both"/>
        <w:rPr>
          <w:rFonts w:eastAsiaTheme="minorEastAsia" w:cstheme="minorHAnsi"/>
          <w:sz w:val="23"/>
          <w:szCs w:val="23"/>
        </w:rPr>
      </w:pPr>
      <w:r w:rsidRPr="006B392D">
        <w:rPr>
          <w:rFonts w:eastAsiaTheme="minorEastAsia" w:cstheme="minorHAnsi"/>
          <w:sz w:val="23"/>
          <w:szCs w:val="23"/>
        </w:rPr>
        <w:t>Increasing the sustainability of the regional laboratory network by expanding commercial research areas</w:t>
      </w:r>
    </w:p>
    <w:p w:rsidR="006B392D" w:rsidRPr="006B392D" w:rsidRDefault="006B392D" w:rsidP="006B392D">
      <w:pPr>
        <w:numPr>
          <w:ilvl w:val="0"/>
          <w:numId w:val="43"/>
        </w:numPr>
        <w:spacing w:after="0" w:line="240" w:lineRule="auto"/>
        <w:contextualSpacing/>
        <w:jc w:val="both"/>
        <w:rPr>
          <w:rFonts w:eastAsiaTheme="minorEastAsia" w:cstheme="minorHAnsi"/>
          <w:sz w:val="23"/>
          <w:szCs w:val="23"/>
        </w:rPr>
      </w:pPr>
      <w:r w:rsidRPr="006B392D">
        <w:rPr>
          <w:rFonts w:eastAsiaTheme="minorEastAsia" w:cstheme="minorHAnsi"/>
          <w:sz w:val="23"/>
          <w:szCs w:val="23"/>
        </w:rPr>
        <w:t>Increasing integration of public health programs into primary health care programs; increasing integration of preventive measures in universal health care and private insurance packages.</w:t>
      </w:r>
    </w:p>
    <w:p w:rsidR="006B392D" w:rsidRPr="006B392D" w:rsidRDefault="006B392D" w:rsidP="006B392D">
      <w:pPr>
        <w:spacing w:line="240" w:lineRule="auto"/>
        <w:contextualSpacing/>
        <w:rPr>
          <w:rFonts w:eastAsiaTheme="minorEastAsia" w:cstheme="minorHAnsi"/>
          <w:b/>
          <w:sz w:val="23"/>
          <w:szCs w:val="23"/>
        </w:rPr>
      </w:pPr>
      <w:r w:rsidRPr="006B392D">
        <w:rPr>
          <w:rFonts w:eastAsiaTheme="minorEastAsia" w:cstheme="minorHAnsi"/>
          <w:b/>
          <w:sz w:val="23"/>
          <w:szCs w:val="23"/>
        </w:rPr>
        <w:t>In order to meet the public health needs, WHO contributions</w:t>
      </w:r>
      <w:r w:rsidRPr="006B392D">
        <w:rPr>
          <w:rFonts w:eastAsiaTheme="minorEastAsia" w:cstheme="minorHAnsi"/>
          <w:b/>
          <w:sz w:val="23"/>
          <w:szCs w:val="23"/>
          <w:lang w:val="ka-GE"/>
        </w:rPr>
        <w:t xml:space="preserve"> may</w:t>
      </w:r>
      <w:r w:rsidRPr="006B392D">
        <w:rPr>
          <w:rFonts w:eastAsiaTheme="minorEastAsia" w:cstheme="minorHAnsi"/>
          <w:b/>
          <w:sz w:val="23"/>
          <w:szCs w:val="23"/>
        </w:rPr>
        <w:t xml:space="preserve"> be spread on the following areas and relevant actions:</w:t>
      </w:r>
    </w:p>
    <w:p w:rsidR="006B392D" w:rsidRPr="006B392D" w:rsidRDefault="006B392D" w:rsidP="006B392D">
      <w:pPr>
        <w:numPr>
          <w:ilvl w:val="0"/>
          <w:numId w:val="42"/>
        </w:numPr>
        <w:spacing w:line="240" w:lineRule="auto"/>
        <w:contextualSpacing/>
        <w:jc w:val="both"/>
        <w:rPr>
          <w:rFonts w:eastAsiaTheme="minorEastAsia" w:cstheme="minorHAnsi"/>
          <w:sz w:val="23"/>
          <w:szCs w:val="23"/>
        </w:rPr>
      </w:pPr>
      <w:r w:rsidRPr="006B392D">
        <w:rPr>
          <w:rFonts w:eastAsiaTheme="minorEastAsia" w:cstheme="minorHAnsi"/>
          <w:sz w:val="23"/>
          <w:szCs w:val="23"/>
        </w:rPr>
        <w:t>Identifying the core competencies of public health professionals – evaluation of the professional level of public health</w:t>
      </w:r>
      <w:r w:rsidRPr="006B392D">
        <w:rPr>
          <w:rFonts w:eastAsiaTheme="minorEastAsia" w:cstheme="minorHAnsi"/>
          <w:sz w:val="23"/>
          <w:szCs w:val="23"/>
          <w:lang w:val="ka-GE"/>
        </w:rPr>
        <w:t xml:space="preserve"> </w:t>
      </w:r>
      <w:r w:rsidRPr="006B392D">
        <w:rPr>
          <w:rFonts w:eastAsiaTheme="minorEastAsia" w:cstheme="minorHAnsi"/>
          <w:sz w:val="23"/>
          <w:szCs w:val="23"/>
        </w:rPr>
        <w:t>workforce;</w:t>
      </w:r>
    </w:p>
    <w:p w:rsidR="006B392D" w:rsidRPr="006B392D" w:rsidRDefault="006B392D" w:rsidP="006B392D">
      <w:pPr>
        <w:numPr>
          <w:ilvl w:val="0"/>
          <w:numId w:val="42"/>
        </w:numPr>
        <w:spacing w:line="240" w:lineRule="auto"/>
        <w:contextualSpacing/>
        <w:jc w:val="both"/>
        <w:rPr>
          <w:rFonts w:eastAsiaTheme="minorEastAsia" w:cstheme="minorHAnsi"/>
          <w:sz w:val="23"/>
          <w:szCs w:val="23"/>
        </w:rPr>
      </w:pPr>
      <w:r w:rsidRPr="006B392D">
        <w:rPr>
          <w:rFonts w:eastAsiaTheme="minorEastAsia" w:cstheme="minorHAnsi"/>
          <w:sz w:val="23"/>
          <w:szCs w:val="23"/>
        </w:rPr>
        <w:t>Creating  a curriculum for continuous professional development (short-term course curriculum) for public health workforce;</w:t>
      </w:r>
      <w:r w:rsidRPr="006B392D">
        <w:rPr>
          <w:rFonts w:eastAsiaTheme="minorEastAsia" w:cstheme="minorHAnsi"/>
          <w:sz w:val="23"/>
          <w:szCs w:val="23"/>
          <w:lang w:val="ka-GE"/>
        </w:rPr>
        <w:t xml:space="preserve"> </w:t>
      </w:r>
      <w:r w:rsidRPr="006B392D">
        <w:rPr>
          <w:rFonts w:eastAsiaTheme="minorEastAsia" w:cstheme="minorHAnsi"/>
          <w:sz w:val="23"/>
          <w:szCs w:val="23"/>
        </w:rPr>
        <w:t>Developing</w:t>
      </w:r>
      <w:r w:rsidRPr="006B392D">
        <w:rPr>
          <w:rFonts w:eastAsiaTheme="minorEastAsia" w:cstheme="minorHAnsi"/>
          <w:sz w:val="23"/>
          <w:szCs w:val="23"/>
          <w:lang w:val="ka-GE"/>
        </w:rPr>
        <w:t xml:space="preserve"> </w:t>
      </w:r>
      <w:r w:rsidRPr="006B392D">
        <w:rPr>
          <w:rFonts w:eastAsiaTheme="minorEastAsia" w:cstheme="minorHAnsi"/>
          <w:bCs/>
          <w:iCs/>
          <w:sz w:val="23"/>
          <w:szCs w:val="23"/>
        </w:rPr>
        <w:t>roadmap</w:t>
      </w:r>
      <w:r w:rsidRPr="006B392D">
        <w:rPr>
          <w:rFonts w:eastAsiaTheme="minorEastAsia" w:cstheme="minorHAnsi"/>
          <w:bCs/>
          <w:iCs/>
          <w:sz w:val="23"/>
          <w:szCs w:val="23"/>
          <w:lang w:val="ka-GE"/>
        </w:rPr>
        <w:t xml:space="preserve"> </w:t>
      </w:r>
      <w:r w:rsidRPr="006B392D">
        <w:rPr>
          <w:rFonts w:eastAsiaTheme="minorEastAsia" w:cstheme="minorHAnsi"/>
          <w:bCs/>
          <w:iCs/>
          <w:sz w:val="23"/>
          <w:szCs w:val="23"/>
        </w:rPr>
        <w:t>towards professionalization of the public health workforce</w:t>
      </w:r>
      <w:r w:rsidRPr="006B392D">
        <w:rPr>
          <w:rFonts w:eastAsiaTheme="minorEastAsia" w:cstheme="minorHAnsi"/>
          <w:bCs/>
          <w:iCs/>
          <w:sz w:val="23"/>
          <w:szCs w:val="23"/>
          <w:lang w:val="ka-GE"/>
        </w:rPr>
        <w:t xml:space="preserve">, </w:t>
      </w:r>
      <w:r w:rsidRPr="006B392D">
        <w:rPr>
          <w:rFonts w:eastAsiaTheme="minorEastAsia" w:cstheme="minorHAnsi"/>
          <w:bCs/>
          <w:iCs/>
          <w:sz w:val="23"/>
          <w:szCs w:val="23"/>
        </w:rPr>
        <w:t>compendium of case studies</w:t>
      </w:r>
      <w:r w:rsidRPr="006B392D">
        <w:rPr>
          <w:rFonts w:eastAsiaTheme="minorEastAsia" w:cstheme="minorHAnsi"/>
          <w:sz w:val="23"/>
          <w:szCs w:val="23"/>
        </w:rPr>
        <w:t>;</w:t>
      </w:r>
    </w:p>
    <w:p w:rsidR="006B392D" w:rsidRPr="006B392D" w:rsidRDefault="006B392D" w:rsidP="006B392D">
      <w:pPr>
        <w:numPr>
          <w:ilvl w:val="0"/>
          <w:numId w:val="42"/>
        </w:numPr>
        <w:spacing w:line="240" w:lineRule="auto"/>
        <w:contextualSpacing/>
        <w:jc w:val="both"/>
        <w:rPr>
          <w:rFonts w:eastAsiaTheme="minorEastAsia" w:cstheme="minorHAnsi"/>
          <w:sz w:val="23"/>
          <w:szCs w:val="23"/>
        </w:rPr>
      </w:pPr>
      <w:r w:rsidRPr="006B392D">
        <w:rPr>
          <w:rFonts w:eastAsiaTheme="minorEastAsia" w:cstheme="minorHAnsi"/>
          <w:sz w:val="23"/>
          <w:szCs w:val="23"/>
        </w:rPr>
        <w:t>Creating and developing licensing and accreditation systems; developing template public health workforce development plan;</w:t>
      </w:r>
    </w:p>
    <w:p w:rsidR="006B392D" w:rsidRPr="006B392D" w:rsidRDefault="006B392D" w:rsidP="006B392D">
      <w:pPr>
        <w:numPr>
          <w:ilvl w:val="0"/>
          <w:numId w:val="42"/>
        </w:numPr>
        <w:spacing w:line="240" w:lineRule="auto"/>
        <w:contextualSpacing/>
        <w:jc w:val="both"/>
        <w:rPr>
          <w:rFonts w:eastAsiaTheme="minorEastAsia" w:cstheme="minorHAnsi"/>
          <w:sz w:val="23"/>
          <w:szCs w:val="23"/>
        </w:rPr>
      </w:pPr>
      <w:r w:rsidRPr="006B392D">
        <w:rPr>
          <w:rFonts w:eastAsiaTheme="minorEastAsia" w:cstheme="minorHAnsi"/>
          <w:sz w:val="23"/>
          <w:szCs w:val="23"/>
        </w:rPr>
        <w:t>Organizing public health capacity building workshops;</w:t>
      </w:r>
    </w:p>
    <w:p w:rsidR="006B392D" w:rsidRPr="006B392D" w:rsidRDefault="006B392D" w:rsidP="006B392D">
      <w:pPr>
        <w:numPr>
          <w:ilvl w:val="0"/>
          <w:numId w:val="42"/>
        </w:numPr>
        <w:spacing w:line="240" w:lineRule="auto"/>
        <w:contextualSpacing/>
        <w:jc w:val="both"/>
        <w:rPr>
          <w:rFonts w:eastAsiaTheme="minorEastAsia" w:cstheme="minorHAnsi"/>
          <w:sz w:val="23"/>
          <w:szCs w:val="23"/>
        </w:rPr>
      </w:pPr>
      <w:r w:rsidRPr="006B392D">
        <w:rPr>
          <w:rFonts w:eastAsiaTheme="minorEastAsia" w:cstheme="minorHAnsi"/>
          <w:sz w:val="23"/>
          <w:szCs w:val="23"/>
        </w:rPr>
        <w:t>Reviewing the public health legislation to identify shortcomings and extent of relevance of national legislation with 10 EPHOs. Studying the best practices in this field;</w:t>
      </w:r>
    </w:p>
    <w:p w:rsidR="006B392D" w:rsidRPr="006B392D" w:rsidRDefault="006B392D" w:rsidP="006B392D">
      <w:pPr>
        <w:numPr>
          <w:ilvl w:val="0"/>
          <w:numId w:val="42"/>
        </w:numPr>
        <w:spacing w:after="0" w:line="240" w:lineRule="auto"/>
        <w:contextualSpacing/>
        <w:jc w:val="both"/>
        <w:rPr>
          <w:rFonts w:eastAsiaTheme="minorEastAsia" w:cstheme="minorHAnsi"/>
          <w:sz w:val="23"/>
          <w:szCs w:val="23"/>
        </w:rPr>
      </w:pPr>
      <w:r w:rsidRPr="006B392D">
        <w:rPr>
          <w:rFonts w:eastAsiaTheme="minorEastAsia" w:cstheme="minorHAnsi"/>
          <w:sz w:val="23"/>
          <w:szCs w:val="23"/>
        </w:rPr>
        <w:t>Reviewing and comparison of legislation framework, testing the methodology in other countries with different public health structures.</w:t>
      </w:r>
    </w:p>
    <w:p w:rsidR="006B392D" w:rsidRPr="006B392D" w:rsidRDefault="006B392D" w:rsidP="006B392D">
      <w:pPr>
        <w:spacing w:line="240" w:lineRule="auto"/>
        <w:contextualSpacing/>
        <w:jc w:val="center"/>
        <w:rPr>
          <w:rFonts w:ascii="Sylfaen" w:eastAsia="MS PGothic" w:hAnsi="Sylfaen" w:cs="Arial"/>
          <w:b/>
          <w:bCs/>
          <w:color w:val="003366"/>
          <w:kern w:val="24"/>
          <w:sz w:val="24"/>
          <w:szCs w:val="24"/>
        </w:rPr>
      </w:pPr>
      <w:r w:rsidRPr="006B392D">
        <w:rPr>
          <w:rFonts w:ascii="Sylfaen" w:eastAsia="Calibri" w:hAnsi="Sylfaen" w:cs="Times New Roman"/>
          <w:noProof/>
          <w:sz w:val="24"/>
          <w:szCs w:val="24"/>
        </w:rPr>
        <w:drawing>
          <wp:inline distT="0" distB="0" distL="0" distR="0" wp14:anchorId="20EAB6FA" wp14:editId="677A5389">
            <wp:extent cx="4105275" cy="2070694"/>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extLst>
                        <a:ext uri="{28A0092B-C50C-407E-A947-70E740481C1C}">
                          <a14:useLocalDpi xmlns:a14="http://schemas.microsoft.com/office/drawing/2010/main" val="0"/>
                        </a:ext>
                      </a:extLst>
                    </a:blip>
                    <a:srcRect l="1" r="-58" b="11344"/>
                    <a:stretch/>
                  </pic:blipFill>
                  <pic:spPr bwMode="auto">
                    <a:xfrm>
                      <a:off x="0" y="0"/>
                      <a:ext cx="4118897" cy="2077565"/>
                    </a:xfrm>
                    <a:prstGeom prst="rect">
                      <a:avLst/>
                    </a:prstGeom>
                    <a:noFill/>
                    <a:ln>
                      <a:noFill/>
                    </a:ln>
                    <a:effectLst/>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6B392D">
        <w:rPr>
          <w:rFonts w:ascii="Sylfaen" w:eastAsia="MS PGothic" w:hAnsi="Sylfaen" w:cs="Arial"/>
          <w:b/>
          <w:bCs/>
          <w:color w:val="003366"/>
          <w:kern w:val="24"/>
          <w:sz w:val="24"/>
          <w:szCs w:val="24"/>
        </w:rPr>
        <w:t xml:space="preserve"> </w:t>
      </w:r>
    </w:p>
    <w:p w:rsidR="000F6455" w:rsidRDefault="006B392D" w:rsidP="000F6455">
      <w:pPr>
        <w:spacing w:before="120" w:line="240" w:lineRule="auto"/>
        <w:contextualSpacing/>
        <w:rPr>
          <w:rFonts w:ascii="Calibri" w:hAnsi="Calibri" w:cs="Calibri"/>
          <w:b/>
          <w:bCs/>
          <w:sz w:val="24"/>
          <w:szCs w:val="24"/>
        </w:rPr>
      </w:pPr>
      <w:r w:rsidRPr="006B392D">
        <w:rPr>
          <w:rFonts w:eastAsiaTheme="minorEastAsia" w:cstheme="minorHAnsi"/>
          <w:i/>
          <w:sz w:val="18"/>
          <w:szCs w:val="18"/>
        </w:rPr>
        <w:t xml:space="preserve">Source: </w:t>
      </w:r>
      <w:proofErr w:type="gramStart"/>
      <w:r w:rsidRPr="006B392D">
        <w:rPr>
          <w:rFonts w:eastAsiaTheme="minorEastAsia" w:cstheme="minorHAnsi"/>
          <w:i/>
          <w:sz w:val="18"/>
          <w:szCs w:val="18"/>
        </w:rPr>
        <w:t>WHO</w:t>
      </w:r>
      <w:proofErr w:type="gramEnd"/>
      <w:r w:rsidRPr="006B392D">
        <w:rPr>
          <w:rFonts w:eastAsiaTheme="minorEastAsia" w:cstheme="minorHAnsi"/>
          <w:i/>
          <w:sz w:val="18"/>
          <w:szCs w:val="18"/>
        </w:rPr>
        <w:t xml:space="preserve"> EURO</w:t>
      </w:r>
      <w:r w:rsidR="00CD125D">
        <w:rPr>
          <w:rFonts w:ascii="Calibri" w:hAnsi="Calibri" w:cs="Calibri"/>
          <w:b/>
          <w:bCs/>
          <w:sz w:val="24"/>
          <w:szCs w:val="24"/>
        </w:rPr>
        <w:t xml:space="preserve">  </w:t>
      </w:r>
    </w:p>
    <w:p w:rsidR="00CD125D" w:rsidRPr="00CD125D" w:rsidRDefault="000F6455" w:rsidP="000F6455">
      <w:pPr>
        <w:spacing w:before="120" w:line="240" w:lineRule="auto"/>
        <w:contextualSpacing/>
        <w:rPr>
          <w:rFonts w:ascii="Calibri" w:hAnsi="Calibri" w:cs="Calibri"/>
          <w:color w:val="548DD4" w:themeColor="text2" w:themeTint="99"/>
          <w:sz w:val="24"/>
          <w:szCs w:val="24"/>
        </w:rPr>
      </w:pPr>
      <w:r>
        <w:rPr>
          <w:rFonts w:ascii="Calibri" w:hAnsi="Calibri" w:cs="Calibri"/>
          <w:bCs/>
          <w:color w:val="365F91" w:themeColor="accent1" w:themeShade="BF"/>
          <w:sz w:val="24"/>
          <w:szCs w:val="24"/>
        </w:rPr>
        <w:t>________________________________________________________________________________________</w:t>
      </w:r>
      <w:r w:rsidR="00CD125D" w:rsidRPr="00CD125D">
        <w:rPr>
          <w:rFonts w:ascii="Calibri" w:hAnsi="Calibri" w:cs="Calibri"/>
          <w:color w:val="548DD4" w:themeColor="text2" w:themeTint="99"/>
          <w:sz w:val="24"/>
          <w:szCs w:val="24"/>
        </w:rPr>
        <w:t xml:space="preserve">                               </w:t>
      </w:r>
      <w:r w:rsidR="00CD125D">
        <w:rPr>
          <w:rFonts w:ascii="Calibri" w:hAnsi="Calibri" w:cs="Calibri"/>
          <w:color w:val="548DD4" w:themeColor="text2" w:themeTint="99"/>
          <w:sz w:val="24"/>
          <w:szCs w:val="24"/>
        </w:rPr>
        <w:t xml:space="preserve">  </w:t>
      </w:r>
      <w:r w:rsidR="00150764">
        <w:rPr>
          <w:rFonts w:ascii="Calibri" w:hAnsi="Calibri" w:cs="Calibri"/>
          <w:color w:val="548DD4" w:themeColor="text2" w:themeTint="99"/>
          <w:sz w:val="24"/>
          <w:szCs w:val="24"/>
        </w:rPr>
        <w:t xml:space="preserve">           </w:t>
      </w:r>
    </w:p>
    <w:tbl>
      <w:tblPr>
        <w:tblStyle w:val="TableGrid1"/>
        <w:tblW w:w="15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54"/>
        <w:gridCol w:w="2651"/>
        <w:gridCol w:w="2651"/>
      </w:tblGrid>
      <w:tr w:rsidR="000F6455" w:rsidRPr="00CD125D" w:rsidTr="000F6455">
        <w:trPr>
          <w:trHeight w:val="1521"/>
        </w:trPr>
        <w:tc>
          <w:tcPr>
            <w:tcW w:w="5564" w:type="dxa"/>
          </w:tcPr>
          <w:tbl>
            <w:tblPr>
              <w:tblStyle w:val="TableGrid"/>
              <w:tblW w:w="103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7"/>
              <w:gridCol w:w="4831"/>
            </w:tblGrid>
            <w:tr w:rsidR="000F6455" w:rsidRPr="00A1367F" w:rsidTr="00603FA6">
              <w:trPr>
                <w:trHeight w:val="1802"/>
              </w:trPr>
              <w:tc>
                <w:tcPr>
                  <w:tcW w:w="5507" w:type="dxa"/>
                </w:tcPr>
                <w:p w:rsidR="000F6455" w:rsidRPr="000F6455" w:rsidRDefault="000F6455" w:rsidP="000F6455">
                  <w:pPr>
                    <w:spacing w:after="120"/>
                    <w:contextualSpacing/>
                    <w:jc w:val="center"/>
                    <w:rPr>
                      <w:rFonts w:ascii="Calibri" w:hAnsi="Calibri" w:cs="Calibri"/>
                      <w:color w:val="365F91" w:themeColor="accent1" w:themeShade="BF"/>
                      <w:sz w:val="20"/>
                      <w:szCs w:val="20"/>
                    </w:rPr>
                  </w:pPr>
                  <w:r w:rsidRPr="000F6455">
                    <w:rPr>
                      <w:rFonts w:asciiTheme="majorHAnsi" w:eastAsiaTheme="majorEastAsia" w:hAnsiTheme="majorHAnsi" w:cstheme="majorBidi"/>
                      <w:bCs/>
                      <w:noProof/>
                      <w:color w:val="365F91" w:themeColor="accent1" w:themeShade="BF"/>
                      <w:sz w:val="20"/>
                      <w:szCs w:val="20"/>
                    </w:rPr>
                    <w:drawing>
                      <wp:anchor distT="0" distB="0" distL="114300" distR="114300" simplePos="0" relativeHeight="251674624" behindDoc="0" locked="0" layoutInCell="1" allowOverlap="1" wp14:anchorId="4235FC8D" wp14:editId="2C26742E">
                        <wp:simplePos x="0" y="0"/>
                        <wp:positionH relativeFrom="column">
                          <wp:posOffset>1143635</wp:posOffset>
                        </wp:positionH>
                        <wp:positionV relativeFrom="paragraph">
                          <wp:posOffset>118745</wp:posOffset>
                        </wp:positionV>
                        <wp:extent cx="1133475" cy="448310"/>
                        <wp:effectExtent l="0" t="0" r="9525" b="8890"/>
                        <wp:wrapNone/>
                        <wp:docPr id="31" name="Picture 31" descr="F:\SCRC შეხვედრისთვის 7.11.2017\Briefs\New new briefs\MOH 1 Logo-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CRC შეხვედრისთვის 7.11.2017\Briefs\New new briefs\MOH 1 Logo-ENG.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33475" cy="448310"/>
                                </a:xfrm>
                                <a:prstGeom prst="rect">
                                  <a:avLst/>
                                </a:prstGeom>
                                <a:noFill/>
                                <a:ln>
                                  <a:noFill/>
                                </a:ln>
                              </pic:spPr>
                            </pic:pic>
                          </a:graphicData>
                        </a:graphic>
                      </wp:anchor>
                    </w:drawing>
                  </w:r>
                  <w:r w:rsidRPr="000F6455">
                    <w:rPr>
                      <w:rFonts w:ascii="Calibri" w:hAnsi="Calibri" w:cs="Calibri"/>
                      <w:color w:val="365F91" w:themeColor="accent1" w:themeShade="BF"/>
                      <w:sz w:val="20"/>
                      <w:szCs w:val="20"/>
                    </w:rPr>
                    <w:t xml:space="preserve">     </w:t>
                  </w:r>
                </w:p>
                <w:p w:rsidR="000F6455" w:rsidRPr="000F6455" w:rsidRDefault="000F6455" w:rsidP="000F6455">
                  <w:pPr>
                    <w:spacing w:after="120"/>
                    <w:contextualSpacing/>
                    <w:jc w:val="center"/>
                    <w:rPr>
                      <w:rFonts w:ascii="Calibri" w:hAnsi="Calibri" w:cs="Calibri"/>
                      <w:color w:val="365F91" w:themeColor="accent1" w:themeShade="BF"/>
                      <w:sz w:val="20"/>
                      <w:szCs w:val="20"/>
                    </w:rPr>
                  </w:pPr>
                </w:p>
                <w:p w:rsidR="000F6455" w:rsidRPr="000F6455" w:rsidRDefault="000F6455" w:rsidP="000F6455">
                  <w:pPr>
                    <w:spacing w:after="120"/>
                    <w:contextualSpacing/>
                    <w:jc w:val="center"/>
                    <w:rPr>
                      <w:rFonts w:ascii="Calibri" w:hAnsi="Calibri" w:cs="Calibri"/>
                      <w:color w:val="365F91" w:themeColor="accent1" w:themeShade="BF"/>
                      <w:sz w:val="20"/>
                      <w:szCs w:val="20"/>
                    </w:rPr>
                  </w:pPr>
                </w:p>
                <w:p w:rsidR="000F6455" w:rsidRPr="000F6455" w:rsidRDefault="000F6455" w:rsidP="000F6455">
                  <w:pPr>
                    <w:spacing w:after="120"/>
                    <w:contextualSpacing/>
                    <w:jc w:val="center"/>
                    <w:rPr>
                      <w:rFonts w:ascii="Calibri" w:hAnsi="Calibri" w:cs="Calibri"/>
                      <w:color w:val="365F91" w:themeColor="accent1" w:themeShade="BF"/>
                      <w:sz w:val="20"/>
                      <w:szCs w:val="20"/>
                    </w:rPr>
                  </w:pPr>
                  <w:r w:rsidRPr="000F6455">
                    <w:rPr>
                      <w:rFonts w:ascii="Calibri" w:hAnsi="Calibri" w:cs="Calibri"/>
                      <w:color w:val="365F91" w:themeColor="accent1" w:themeShade="BF"/>
                      <w:sz w:val="20"/>
                      <w:szCs w:val="20"/>
                    </w:rPr>
                    <w:t xml:space="preserve">    </w:t>
                  </w:r>
                </w:p>
                <w:p w:rsidR="000F6455" w:rsidRPr="000F6455" w:rsidRDefault="000F6455" w:rsidP="000F6455">
                  <w:pPr>
                    <w:pStyle w:val="Heading2"/>
                    <w:ind w:left="-392"/>
                    <w:jc w:val="center"/>
                    <w:outlineLvl w:val="1"/>
                    <w:rPr>
                      <w:rFonts w:ascii="Calibri" w:hAnsi="Calibri" w:cs="Calibri"/>
                      <w:b w:val="0"/>
                      <w:bCs w:val="0"/>
                      <w:i w:val="0"/>
                      <w:color w:val="365F91" w:themeColor="accent1" w:themeShade="BF"/>
                      <w:sz w:val="20"/>
                      <w:szCs w:val="20"/>
                    </w:rPr>
                  </w:pPr>
                  <w:r w:rsidRPr="000F6455">
                    <w:rPr>
                      <w:rFonts w:ascii="Calibri" w:hAnsi="Calibri" w:cs="Calibri"/>
                      <w:b w:val="0"/>
                      <w:i w:val="0"/>
                      <w:color w:val="365F91" w:themeColor="accent1" w:themeShade="BF"/>
                      <w:sz w:val="20"/>
                      <w:szCs w:val="20"/>
                    </w:rPr>
                    <w:t xml:space="preserve">Ministry of </w:t>
                  </w:r>
                  <w:proofErr w:type="spellStart"/>
                  <w:r w:rsidRPr="000F6455">
                    <w:rPr>
                      <w:rFonts w:ascii="Calibri" w:hAnsi="Calibri" w:cs="Calibri"/>
                      <w:b w:val="0"/>
                      <w:i w:val="0"/>
                      <w:color w:val="365F91" w:themeColor="accent1" w:themeShade="BF"/>
                      <w:sz w:val="20"/>
                      <w:szCs w:val="20"/>
                    </w:rPr>
                    <w:t>Labour</w:t>
                  </w:r>
                  <w:proofErr w:type="spellEnd"/>
                  <w:r w:rsidRPr="000F6455">
                    <w:rPr>
                      <w:rFonts w:ascii="Calibri" w:hAnsi="Calibri" w:cs="Calibri"/>
                      <w:b w:val="0"/>
                      <w:i w:val="0"/>
                      <w:color w:val="365F91" w:themeColor="accent1" w:themeShade="BF"/>
                      <w:sz w:val="20"/>
                      <w:szCs w:val="20"/>
                    </w:rPr>
                    <w:t>, Health and Social Affairs of Georgia</w:t>
                  </w:r>
                </w:p>
                <w:p w:rsidR="000F6455" w:rsidRPr="000F6455" w:rsidRDefault="000F6455" w:rsidP="000F6455">
                  <w:pPr>
                    <w:spacing w:after="120"/>
                    <w:ind w:left="-392"/>
                    <w:contextualSpacing/>
                    <w:jc w:val="center"/>
                    <w:rPr>
                      <w:rFonts w:ascii="Sylfaen" w:eastAsiaTheme="majorEastAsia" w:hAnsi="Sylfaen" w:cs="Calibri"/>
                      <w:bCs/>
                      <w:color w:val="365F91" w:themeColor="accent1" w:themeShade="BF"/>
                      <w:sz w:val="20"/>
                      <w:szCs w:val="20"/>
                      <w:lang w:val="ka-GE"/>
                    </w:rPr>
                  </w:pPr>
                  <w:r w:rsidRPr="000F6455">
                    <w:rPr>
                      <w:rFonts w:ascii="Calibri" w:eastAsiaTheme="majorEastAsia" w:hAnsi="Calibri" w:cs="Calibri"/>
                      <w:bCs/>
                      <w:color w:val="365F91" w:themeColor="accent1" w:themeShade="BF"/>
                      <w:sz w:val="20"/>
                      <w:szCs w:val="20"/>
                    </w:rPr>
                    <w:t>144, A. Tsereteli avenue. Tbilisi, Georgia, 0119</w:t>
                  </w:r>
                </w:p>
                <w:p w:rsidR="000F6455" w:rsidRPr="000F6455" w:rsidRDefault="000F6455" w:rsidP="000F6455">
                  <w:pPr>
                    <w:spacing w:after="120"/>
                    <w:ind w:left="-392"/>
                    <w:contextualSpacing/>
                    <w:jc w:val="center"/>
                    <w:rPr>
                      <w:rFonts w:ascii="Calibri" w:hAnsi="Calibri" w:cs="Calibri"/>
                      <w:color w:val="365F91" w:themeColor="accent1" w:themeShade="BF"/>
                      <w:sz w:val="20"/>
                      <w:szCs w:val="20"/>
                    </w:rPr>
                  </w:pPr>
                  <w:r w:rsidRPr="000F6455">
                    <w:rPr>
                      <w:rFonts w:ascii="Calibri" w:eastAsiaTheme="majorEastAsia" w:hAnsi="Calibri" w:cs="Calibri"/>
                      <w:bCs/>
                      <w:color w:val="365F91" w:themeColor="accent1" w:themeShade="BF"/>
                      <w:sz w:val="20"/>
                      <w:szCs w:val="20"/>
                    </w:rPr>
                    <w:t>www.moh.gov.ge</w:t>
                  </w:r>
                </w:p>
              </w:tc>
              <w:tc>
                <w:tcPr>
                  <w:tcW w:w="4831" w:type="dxa"/>
                </w:tcPr>
                <w:p w:rsidR="000F6455" w:rsidRPr="000F6455" w:rsidRDefault="000F6455" w:rsidP="000F6455">
                  <w:pPr>
                    <w:spacing w:after="120"/>
                    <w:contextualSpacing/>
                    <w:jc w:val="center"/>
                    <w:rPr>
                      <w:rFonts w:ascii="Calibri" w:eastAsiaTheme="majorEastAsia" w:hAnsi="Calibri" w:cs="Calibri"/>
                      <w:bCs/>
                      <w:color w:val="365F91" w:themeColor="accent1" w:themeShade="BF"/>
                      <w:sz w:val="20"/>
                      <w:szCs w:val="20"/>
                    </w:rPr>
                  </w:pPr>
                  <w:r w:rsidRPr="000F6455">
                    <w:rPr>
                      <w:rFonts w:ascii="Calibri" w:eastAsiaTheme="majorEastAsia" w:hAnsi="Calibri" w:cs="Calibri"/>
                      <w:bCs/>
                      <w:noProof/>
                      <w:color w:val="365F91" w:themeColor="accent1" w:themeShade="BF"/>
                      <w:sz w:val="20"/>
                      <w:szCs w:val="20"/>
                    </w:rPr>
                    <w:drawing>
                      <wp:anchor distT="0" distB="0" distL="114300" distR="114300" simplePos="0" relativeHeight="251673600" behindDoc="0" locked="0" layoutInCell="1" allowOverlap="1" wp14:anchorId="5A43E313" wp14:editId="796B2BFC">
                        <wp:simplePos x="0" y="0"/>
                        <wp:positionH relativeFrom="column">
                          <wp:posOffset>866140</wp:posOffset>
                        </wp:positionH>
                        <wp:positionV relativeFrom="paragraph">
                          <wp:posOffset>91440</wp:posOffset>
                        </wp:positionV>
                        <wp:extent cx="1457325" cy="462233"/>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NCDC gamchvirvale new.pn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457325" cy="46223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F6455" w:rsidRPr="000F6455" w:rsidRDefault="000F6455" w:rsidP="000F6455">
                  <w:pPr>
                    <w:spacing w:after="120"/>
                    <w:contextualSpacing/>
                    <w:jc w:val="center"/>
                    <w:rPr>
                      <w:rFonts w:ascii="Calibri" w:eastAsiaTheme="majorEastAsia" w:hAnsi="Calibri" w:cs="Calibri"/>
                      <w:bCs/>
                      <w:color w:val="365F91" w:themeColor="accent1" w:themeShade="BF"/>
                      <w:sz w:val="20"/>
                      <w:szCs w:val="20"/>
                    </w:rPr>
                  </w:pPr>
                </w:p>
                <w:p w:rsidR="000F6455" w:rsidRPr="000F6455" w:rsidRDefault="000F6455" w:rsidP="000F6455">
                  <w:pPr>
                    <w:spacing w:after="120"/>
                    <w:contextualSpacing/>
                    <w:jc w:val="center"/>
                    <w:rPr>
                      <w:rFonts w:ascii="Calibri" w:eastAsiaTheme="majorEastAsia" w:hAnsi="Calibri" w:cs="Calibri"/>
                      <w:bCs/>
                      <w:color w:val="365F91" w:themeColor="accent1" w:themeShade="BF"/>
                      <w:sz w:val="20"/>
                      <w:szCs w:val="20"/>
                    </w:rPr>
                  </w:pPr>
                </w:p>
                <w:p w:rsidR="000F6455" w:rsidRPr="000F6455" w:rsidRDefault="000F6455" w:rsidP="000F6455">
                  <w:pPr>
                    <w:spacing w:after="120"/>
                    <w:contextualSpacing/>
                    <w:jc w:val="center"/>
                    <w:rPr>
                      <w:rFonts w:ascii="Calibri" w:eastAsiaTheme="majorEastAsia" w:hAnsi="Calibri" w:cs="Calibri"/>
                      <w:bCs/>
                      <w:color w:val="365F91" w:themeColor="accent1" w:themeShade="BF"/>
                      <w:sz w:val="20"/>
                      <w:szCs w:val="20"/>
                    </w:rPr>
                  </w:pPr>
                  <w:r w:rsidRPr="000F6455">
                    <w:rPr>
                      <w:rFonts w:ascii="Calibri" w:eastAsiaTheme="majorEastAsia" w:hAnsi="Calibri" w:cs="Calibri"/>
                      <w:bCs/>
                      <w:color w:val="365F91" w:themeColor="accent1" w:themeShade="BF"/>
                      <w:sz w:val="20"/>
                      <w:szCs w:val="20"/>
                    </w:rPr>
                    <w:t xml:space="preserve"> </w:t>
                  </w:r>
                </w:p>
                <w:p w:rsidR="000F6455" w:rsidRPr="000F6455" w:rsidRDefault="000F6455" w:rsidP="000F6455">
                  <w:pPr>
                    <w:pStyle w:val="Heading2"/>
                    <w:outlineLvl w:val="1"/>
                    <w:rPr>
                      <w:rFonts w:ascii="Calibri" w:hAnsi="Calibri" w:cs="Calibri"/>
                      <w:b w:val="0"/>
                      <w:bCs w:val="0"/>
                      <w:i w:val="0"/>
                      <w:color w:val="365F91" w:themeColor="accent1" w:themeShade="BF"/>
                      <w:sz w:val="20"/>
                      <w:szCs w:val="20"/>
                    </w:rPr>
                  </w:pPr>
                  <w:r w:rsidRPr="000F6455">
                    <w:rPr>
                      <w:rFonts w:ascii="Calibri" w:hAnsi="Calibri" w:cs="Calibri"/>
                      <w:b w:val="0"/>
                      <w:i w:val="0"/>
                      <w:color w:val="365F91" w:themeColor="accent1" w:themeShade="BF"/>
                      <w:sz w:val="20"/>
                      <w:szCs w:val="20"/>
                    </w:rPr>
                    <w:t>National Center for Disease Control and Public Health</w:t>
                  </w:r>
                </w:p>
                <w:p w:rsidR="000F6455" w:rsidRPr="000F6455" w:rsidRDefault="000F6455" w:rsidP="000F6455">
                  <w:pPr>
                    <w:pStyle w:val="Heading2"/>
                    <w:jc w:val="center"/>
                    <w:outlineLvl w:val="1"/>
                    <w:rPr>
                      <w:rFonts w:ascii="Calibri" w:hAnsi="Calibri" w:cs="Calibri"/>
                      <w:b w:val="0"/>
                      <w:bCs w:val="0"/>
                      <w:i w:val="0"/>
                      <w:color w:val="365F91" w:themeColor="accent1" w:themeShade="BF"/>
                      <w:sz w:val="20"/>
                      <w:szCs w:val="20"/>
                      <w:lang w:val="ka-GE"/>
                    </w:rPr>
                  </w:pPr>
                  <w:r w:rsidRPr="000F6455">
                    <w:rPr>
                      <w:rFonts w:ascii="Calibri" w:hAnsi="Calibri" w:cs="Calibri"/>
                      <w:b w:val="0"/>
                      <w:i w:val="0"/>
                      <w:color w:val="365F91" w:themeColor="accent1" w:themeShade="BF"/>
                      <w:sz w:val="20"/>
                      <w:szCs w:val="20"/>
                    </w:rPr>
                    <w:t xml:space="preserve">9, M. </w:t>
                  </w:r>
                  <w:proofErr w:type="spellStart"/>
                  <w:r w:rsidRPr="000F6455">
                    <w:rPr>
                      <w:rFonts w:ascii="Calibri" w:hAnsi="Calibri" w:cs="Calibri"/>
                      <w:b w:val="0"/>
                      <w:i w:val="0"/>
                      <w:color w:val="365F91" w:themeColor="accent1" w:themeShade="BF"/>
                      <w:sz w:val="20"/>
                      <w:szCs w:val="20"/>
                    </w:rPr>
                    <w:t>Asatiani</w:t>
                  </w:r>
                  <w:proofErr w:type="spellEnd"/>
                  <w:r w:rsidRPr="000F6455">
                    <w:rPr>
                      <w:rFonts w:ascii="Calibri" w:hAnsi="Calibri" w:cs="Calibri"/>
                      <w:b w:val="0"/>
                      <w:i w:val="0"/>
                      <w:color w:val="365F91" w:themeColor="accent1" w:themeShade="BF"/>
                      <w:sz w:val="20"/>
                      <w:szCs w:val="20"/>
                    </w:rPr>
                    <w:t xml:space="preserve"> </w:t>
                  </w:r>
                  <w:proofErr w:type="gramStart"/>
                  <w:r w:rsidRPr="000F6455">
                    <w:rPr>
                      <w:rFonts w:ascii="Calibri" w:hAnsi="Calibri" w:cs="Calibri"/>
                      <w:b w:val="0"/>
                      <w:i w:val="0"/>
                      <w:color w:val="365F91" w:themeColor="accent1" w:themeShade="BF"/>
                      <w:sz w:val="20"/>
                      <w:szCs w:val="20"/>
                    </w:rPr>
                    <w:t>street</w:t>
                  </w:r>
                  <w:proofErr w:type="gramEnd"/>
                  <w:r w:rsidRPr="000F6455">
                    <w:rPr>
                      <w:rFonts w:ascii="Calibri" w:hAnsi="Calibri" w:cs="Calibri"/>
                      <w:b w:val="0"/>
                      <w:i w:val="0"/>
                      <w:color w:val="365F91" w:themeColor="accent1" w:themeShade="BF"/>
                      <w:sz w:val="20"/>
                      <w:szCs w:val="20"/>
                      <w:lang w:val="ka-GE"/>
                    </w:rPr>
                    <w:t>.</w:t>
                  </w:r>
                  <w:r w:rsidRPr="000F6455">
                    <w:rPr>
                      <w:rFonts w:ascii="Calibri" w:hAnsi="Calibri" w:cs="Calibri"/>
                      <w:b w:val="0"/>
                      <w:i w:val="0"/>
                      <w:color w:val="365F91" w:themeColor="accent1" w:themeShade="BF"/>
                      <w:sz w:val="20"/>
                      <w:szCs w:val="20"/>
                    </w:rPr>
                    <w:t xml:space="preserve"> Tbilisi, Georgia,</w:t>
                  </w:r>
                  <w:r w:rsidRPr="000F6455">
                    <w:rPr>
                      <w:rFonts w:ascii="Calibri" w:hAnsi="Calibri" w:cs="Calibri"/>
                      <w:b w:val="0"/>
                      <w:i w:val="0"/>
                      <w:color w:val="365F91" w:themeColor="accent1" w:themeShade="BF"/>
                      <w:sz w:val="20"/>
                      <w:szCs w:val="20"/>
                      <w:lang w:val="ka-GE"/>
                    </w:rPr>
                    <w:t xml:space="preserve"> 0177</w:t>
                  </w:r>
                </w:p>
                <w:p w:rsidR="000F6455" w:rsidRPr="000F6455" w:rsidRDefault="000F6455" w:rsidP="000F6455">
                  <w:pPr>
                    <w:spacing w:after="120"/>
                    <w:contextualSpacing/>
                    <w:jc w:val="center"/>
                    <w:rPr>
                      <w:rFonts w:ascii="Calibri" w:hAnsi="Calibri" w:cs="Calibri"/>
                      <w:color w:val="365F91" w:themeColor="accent1" w:themeShade="BF"/>
                      <w:sz w:val="20"/>
                      <w:szCs w:val="20"/>
                    </w:rPr>
                  </w:pPr>
                  <w:r w:rsidRPr="000F6455">
                    <w:rPr>
                      <w:rFonts w:ascii="Calibri" w:hAnsi="Calibri" w:cs="Calibri"/>
                      <w:color w:val="365F91" w:themeColor="accent1" w:themeShade="BF"/>
                      <w:sz w:val="20"/>
                      <w:szCs w:val="20"/>
                    </w:rPr>
                    <w:t>www.ncdc.ge</w:t>
                  </w:r>
                </w:p>
              </w:tc>
            </w:tr>
          </w:tbl>
          <w:p w:rsidR="000F6455" w:rsidRPr="000F6455" w:rsidRDefault="000F6455" w:rsidP="00CD125D">
            <w:pPr>
              <w:spacing w:after="120"/>
              <w:contextualSpacing/>
              <w:jc w:val="center"/>
              <w:rPr>
                <w:rFonts w:ascii="Calibri" w:hAnsi="Calibri" w:cs="Calibri"/>
                <w:color w:val="365F91" w:themeColor="accent1" w:themeShade="BF"/>
                <w:sz w:val="20"/>
                <w:szCs w:val="20"/>
              </w:rPr>
            </w:pPr>
          </w:p>
        </w:tc>
        <w:tc>
          <w:tcPr>
            <w:tcW w:w="5146" w:type="dxa"/>
          </w:tcPr>
          <w:p w:rsidR="000F6455" w:rsidRPr="000F6455" w:rsidRDefault="000F6455" w:rsidP="00CD125D">
            <w:pPr>
              <w:spacing w:after="120"/>
              <w:contextualSpacing/>
              <w:jc w:val="center"/>
              <w:rPr>
                <w:rFonts w:ascii="Calibri" w:hAnsi="Calibri" w:cs="Calibri"/>
                <w:color w:val="365F91" w:themeColor="accent1" w:themeShade="BF"/>
                <w:sz w:val="20"/>
                <w:szCs w:val="20"/>
              </w:rPr>
            </w:pPr>
          </w:p>
        </w:tc>
        <w:tc>
          <w:tcPr>
            <w:tcW w:w="5146" w:type="dxa"/>
          </w:tcPr>
          <w:p w:rsidR="000F6455" w:rsidRPr="00CD125D" w:rsidRDefault="000F6455" w:rsidP="00CD125D">
            <w:pPr>
              <w:spacing w:after="120"/>
              <w:contextualSpacing/>
              <w:jc w:val="center"/>
              <w:rPr>
                <w:rFonts w:ascii="Calibri" w:eastAsiaTheme="majorEastAsia" w:hAnsi="Calibri" w:cs="Calibri"/>
                <w:b/>
                <w:bCs/>
                <w:i/>
                <w:noProof/>
                <w:color w:val="365F91" w:themeColor="accent1" w:themeShade="BF"/>
              </w:rPr>
            </w:pPr>
          </w:p>
        </w:tc>
      </w:tr>
    </w:tbl>
    <w:p w:rsidR="00CD125D" w:rsidRPr="007C17A7" w:rsidRDefault="00CD125D" w:rsidP="00CD125D">
      <w:pPr>
        <w:spacing w:after="120" w:line="240" w:lineRule="auto"/>
        <w:contextualSpacing/>
        <w:jc w:val="both"/>
        <w:rPr>
          <w:rFonts w:ascii="Calibri" w:hAnsi="Calibri" w:cs="Calibri"/>
          <w:b/>
          <w:bCs/>
          <w:sz w:val="24"/>
          <w:szCs w:val="24"/>
        </w:rPr>
      </w:pPr>
    </w:p>
    <w:sectPr w:rsidR="00CD125D" w:rsidRPr="007C17A7" w:rsidSect="0074442B">
      <w:type w:val="continuous"/>
      <w:pgSz w:w="12240" w:h="15840"/>
      <w:pgMar w:top="709" w:right="850" w:bottom="284"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AA4775"/>
    <w:multiLevelType w:val="hybridMultilevel"/>
    <w:tmpl w:val="9EE64D3E"/>
    <w:lvl w:ilvl="0" w:tplc="24645970">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842C3C"/>
    <w:multiLevelType w:val="hybridMultilevel"/>
    <w:tmpl w:val="79262BE2"/>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850E8A"/>
    <w:multiLevelType w:val="hybridMultilevel"/>
    <w:tmpl w:val="0838BBB2"/>
    <w:lvl w:ilvl="0" w:tplc="0AA227C4">
      <w:start w:val="1"/>
      <w:numFmt w:val="bullet"/>
      <w:lvlText w:val="o"/>
      <w:lvlJc w:val="left"/>
      <w:pPr>
        <w:tabs>
          <w:tab w:val="num" w:pos="720"/>
        </w:tabs>
        <w:ind w:left="720" w:hanging="360"/>
      </w:pPr>
      <w:rPr>
        <w:rFonts w:ascii="Courier New" w:hAnsi="Courier New" w:hint="default"/>
      </w:rPr>
    </w:lvl>
    <w:lvl w:ilvl="1" w:tplc="04F0DC72">
      <w:start w:val="1"/>
      <w:numFmt w:val="bullet"/>
      <w:lvlText w:val="o"/>
      <w:lvlJc w:val="left"/>
      <w:pPr>
        <w:tabs>
          <w:tab w:val="num" w:pos="1440"/>
        </w:tabs>
        <w:ind w:left="1440" w:hanging="360"/>
      </w:pPr>
      <w:rPr>
        <w:rFonts w:ascii="Courier New" w:hAnsi="Courier New" w:hint="default"/>
      </w:rPr>
    </w:lvl>
    <w:lvl w:ilvl="2" w:tplc="90C084EC" w:tentative="1">
      <w:start w:val="1"/>
      <w:numFmt w:val="bullet"/>
      <w:lvlText w:val="o"/>
      <w:lvlJc w:val="left"/>
      <w:pPr>
        <w:tabs>
          <w:tab w:val="num" w:pos="2160"/>
        </w:tabs>
        <w:ind w:left="2160" w:hanging="360"/>
      </w:pPr>
      <w:rPr>
        <w:rFonts w:ascii="Courier New" w:hAnsi="Courier New" w:hint="default"/>
      </w:rPr>
    </w:lvl>
    <w:lvl w:ilvl="3" w:tplc="B5E4695A" w:tentative="1">
      <w:start w:val="1"/>
      <w:numFmt w:val="bullet"/>
      <w:lvlText w:val="o"/>
      <w:lvlJc w:val="left"/>
      <w:pPr>
        <w:tabs>
          <w:tab w:val="num" w:pos="2880"/>
        </w:tabs>
        <w:ind w:left="2880" w:hanging="360"/>
      </w:pPr>
      <w:rPr>
        <w:rFonts w:ascii="Courier New" w:hAnsi="Courier New" w:hint="default"/>
      </w:rPr>
    </w:lvl>
    <w:lvl w:ilvl="4" w:tplc="08CCF9F4" w:tentative="1">
      <w:start w:val="1"/>
      <w:numFmt w:val="bullet"/>
      <w:lvlText w:val="o"/>
      <w:lvlJc w:val="left"/>
      <w:pPr>
        <w:tabs>
          <w:tab w:val="num" w:pos="3600"/>
        </w:tabs>
        <w:ind w:left="3600" w:hanging="360"/>
      </w:pPr>
      <w:rPr>
        <w:rFonts w:ascii="Courier New" w:hAnsi="Courier New" w:hint="default"/>
      </w:rPr>
    </w:lvl>
    <w:lvl w:ilvl="5" w:tplc="B94404DA" w:tentative="1">
      <w:start w:val="1"/>
      <w:numFmt w:val="bullet"/>
      <w:lvlText w:val="o"/>
      <w:lvlJc w:val="left"/>
      <w:pPr>
        <w:tabs>
          <w:tab w:val="num" w:pos="4320"/>
        </w:tabs>
        <w:ind w:left="4320" w:hanging="360"/>
      </w:pPr>
      <w:rPr>
        <w:rFonts w:ascii="Courier New" w:hAnsi="Courier New" w:hint="default"/>
      </w:rPr>
    </w:lvl>
    <w:lvl w:ilvl="6" w:tplc="801AE1E2" w:tentative="1">
      <w:start w:val="1"/>
      <w:numFmt w:val="bullet"/>
      <w:lvlText w:val="o"/>
      <w:lvlJc w:val="left"/>
      <w:pPr>
        <w:tabs>
          <w:tab w:val="num" w:pos="5040"/>
        </w:tabs>
        <w:ind w:left="5040" w:hanging="360"/>
      </w:pPr>
      <w:rPr>
        <w:rFonts w:ascii="Courier New" w:hAnsi="Courier New" w:hint="default"/>
      </w:rPr>
    </w:lvl>
    <w:lvl w:ilvl="7" w:tplc="18560854" w:tentative="1">
      <w:start w:val="1"/>
      <w:numFmt w:val="bullet"/>
      <w:lvlText w:val="o"/>
      <w:lvlJc w:val="left"/>
      <w:pPr>
        <w:tabs>
          <w:tab w:val="num" w:pos="5760"/>
        </w:tabs>
        <w:ind w:left="5760" w:hanging="360"/>
      </w:pPr>
      <w:rPr>
        <w:rFonts w:ascii="Courier New" w:hAnsi="Courier New" w:hint="default"/>
      </w:rPr>
    </w:lvl>
    <w:lvl w:ilvl="8" w:tplc="C31A510E" w:tentative="1">
      <w:start w:val="1"/>
      <w:numFmt w:val="bullet"/>
      <w:lvlText w:val="o"/>
      <w:lvlJc w:val="left"/>
      <w:pPr>
        <w:tabs>
          <w:tab w:val="num" w:pos="6480"/>
        </w:tabs>
        <w:ind w:left="6480" w:hanging="360"/>
      </w:pPr>
      <w:rPr>
        <w:rFonts w:ascii="Courier New" w:hAnsi="Courier New" w:hint="default"/>
      </w:rPr>
    </w:lvl>
  </w:abstractNum>
  <w:abstractNum w:abstractNumId="3" w15:restartNumberingAfterBreak="0">
    <w:nsid w:val="0FEC7673"/>
    <w:multiLevelType w:val="hybridMultilevel"/>
    <w:tmpl w:val="B8725CEA"/>
    <w:lvl w:ilvl="0" w:tplc="E5AC8108">
      <w:start w:val="1"/>
      <w:numFmt w:val="bullet"/>
      <w:lvlText w:val="•"/>
      <w:lvlJc w:val="left"/>
      <w:pPr>
        <w:tabs>
          <w:tab w:val="num" w:pos="720"/>
        </w:tabs>
        <w:ind w:left="720" w:hanging="360"/>
      </w:pPr>
      <w:rPr>
        <w:rFonts w:ascii="Arial" w:hAnsi="Arial" w:hint="default"/>
      </w:rPr>
    </w:lvl>
    <w:lvl w:ilvl="1" w:tplc="A384A0BA" w:tentative="1">
      <w:start w:val="1"/>
      <w:numFmt w:val="bullet"/>
      <w:lvlText w:val="•"/>
      <w:lvlJc w:val="left"/>
      <w:pPr>
        <w:tabs>
          <w:tab w:val="num" w:pos="1440"/>
        </w:tabs>
        <w:ind w:left="1440" w:hanging="360"/>
      </w:pPr>
      <w:rPr>
        <w:rFonts w:ascii="Arial" w:hAnsi="Arial" w:hint="default"/>
      </w:rPr>
    </w:lvl>
    <w:lvl w:ilvl="2" w:tplc="A8F40686" w:tentative="1">
      <w:start w:val="1"/>
      <w:numFmt w:val="bullet"/>
      <w:lvlText w:val="•"/>
      <w:lvlJc w:val="left"/>
      <w:pPr>
        <w:tabs>
          <w:tab w:val="num" w:pos="2160"/>
        </w:tabs>
        <w:ind w:left="2160" w:hanging="360"/>
      </w:pPr>
      <w:rPr>
        <w:rFonts w:ascii="Arial" w:hAnsi="Arial" w:hint="default"/>
      </w:rPr>
    </w:lvl>
    <w:lvl w:ilvl="3" w:tplc="7E3C4746" w:tentative="1">
      <w:start w:val="1"/>
      <w:numFmt w:val="bullet"/>
      <w:lvlText w:val="•"/>
      <w:lvlJc w:val="left"/>
      <w:pPr>
        <w:tabs>
          <w:tab w:val="num" w:pos="2880"/>
        </w:tabs>
        <w:ind w:left="2880" w:hanging="360"/>
      </w:pPr>
      <w:rPr>
        <w:rFonts w:ascii="Arial" w:hAnsi="Arial" w:hint="default"/>
      </w:rPr>
    </w:lvl>
    <w:lvl w:ilvl="4" w:tplc="9B7E9A2A" w:tentative="1">
      <w:start w:val="1"/>
      <w:numFmt w:val="bullet"/>
      <w:lvlText w:val="•"/>
      <w:lvlJc w:val="left"/>
      <w:pPr>
        <w:tabs>
          <w:tab w:val="num" w:pos="3600"/>
        </w:tabs>
        <w:ind w:left="3600" w:hanging="360"/>
      </w:pPr>
      <w:rPr>
        <w:rFonts w:ascii="Arial" w:hAnsi="Arial" w:hint="default"/>
      </w:rPr>
    </w:lvl>
    <w:lvl w:ilvl="5" w:tplc="B2388102" w:tentative="1">
      <w:start w:val="1"/>
      <w:numFmt w:val="bullet"/>
      <w:lvlText w:val="•"/>
      <w:lvlJc w:val="left"/>
      <w:pPr>
        <w:tabs>
          <w:tab w:val="num" w:pos="4320"/>
        </w:tabs>
        <w:ind w:left="4320" w:hanging="360"/>
      </w:pPr>
      <w:rPr>
        <w:rFonts w:ascii="Arial" w:hAnsi="Arial" w:hint="default"/>
      </w:rPr>
    </w:lvl>
    <w:lvl w:ilvl="6" w:tplc="C108D386" w:tentative="1">
      <w:start w:val="1"/>
      <w:numFmt w:val="bullet"/>
      <w:lvlText w:val="•"/>
      <w:lvlJc w:val="left"/>
      <w:pPr>
        <w:tabs>
          <w:tab w:val="num" w:pos="5040"/>
        </w:tabs>
        <w:ind w:left="5040" w:hanging="360"/>
      </w:pPr>
      <w:rPr>
        <w:rFonts w:ascii="Arial" w:hAnsi="Arial" w:hint="default"/>
      </w:rPr>
    </w:lvl>
    <w:lvl w:ilvl="7" w:tplc="4ACCD33C" w:tentative="1">
      <w:start w:val="1"/>
      <w:numFmt w:val="bullet"/>
      <w:lvlText w:val="•"/>
      <w:lvlJc w:val="left"/>
      <w:pPr>
        <w:tabs>
          <w:tab w:val="num" w:pos="5760"/>
        </w:tabs>
        <w:ind w:left="5760" w:hanging="360"/>
      </w:pPr>
      <w:rPr>
        <w:rFonts w:ascii="Arial" w:hAnsi="Arial" w:hint="default"/>
      </w:rPr>
    </w:lvl>
    <w:lvl w:ilvl="8" w:tplc="53AC58D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0F81E9A"/>
    <w:multiLevelType w:val="hybridMultilevel"/>
    <w:tmpl w:val="5C7A0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83451B"/>
    <w:multiLevelType w:val="hybridMultilevel"/>
    <w:tmpl w:val="6A04B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AE22FF"/>
    <w:multiLevelType w:val="hybridMultilevel"/>
    <w:tmpl w:val="8A58B760"/>
    <w:lvl w:ilvl="0" w:tplc="FFFFFFFF">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C1159A"/>
    <w:multiLevelType w:val="hybridMultilevel"/>
    <w:tmpl w:val="F5B6F67A"/>
    <w:lvl w:ilvl="0" w:tplc="5EFC5E34">
      <w:start w:val="1"/>
      <w:numFmt w:val="bullet"/>
      <w:lvlText w:val="•"/>
      <w:lvlJc w:val="left"/>
      <w:pPr>
        <w:tabs>
          <w:tab w:val="num" w:pos="720"/>
        </w:tabs>
        <w:ind w:left="720" w:hanging="360"/>
      </w:pPr>
      <w:rPr>
        <w:rFonts w:ascii="Arial" w:hAnsi="Arial" w:hint="default"/>
      </w:rPr>
    </w:lvl>
    <w:lvl w:ilvl="1" w:tplc="438CA8A2" w:tentative="1">
      <w:start w:val="1"/>
      <w:numFmt w:val="bullet"/>
      <w:lvlText w:val="•"/>
      <w:lvlJc w:val="left"/>
      <w:pPr>
        <w:tabs>
          <w:tab w:val="num" w:pos="1440"/>
        </w:tabs>
        <w:ind w:left="1440" w:hanging="360"/>
      </w:pPr>
      <w:rPr>
        <w:rFonts w:ascii="Arial" w:hAnsi="Arial" w:hint="default"/>
      </w:rPr>
    </w:lvl>
    <w:lvl w:ilvl="2" w:tplc="F740E2D0" w:tentative="1">
      <w:start w:val="1"/>
      <w:numFmt w:val="bullet"/>
      <w:lvlText w:val="•"/>
      <w:lvlJc w:val="left"/>
      <w:pPr>
        <w:tabs>
          <w:tab w:val="num" w:pos="2160"/>
        </w:tabs>
        <w:ind w:left="2160" w:hanging="360"/>
      </w:pPr>
      <w:rPr>
        <w:rFonts w:ascii="Arial" w:hAnsi="Arial" w:hint="default"/>
      </w:rPr>
    </w:lvl>
    <w:lvl w:ilvl="3" w:tplc="D338A886" w:tentative="1">
      <w:start w:val="1"/>
      <w:numFmt w:val="bullet"/>
      <w:lvlText w:val="•"/>
      <w:lvlJc w:val="left"/>
      <w:pPr>
        <w:tabs>
          <w:tab w:val="num" w:pos="2880"/>
        </w:tabs>
        <w:ind w:left="2880" w:hanging="360"/>
      </w:pPr>
      <w:rPr>
        <w:rFonts w:ascii="Arial" w:hAnsi="Arial" w:hint="default"/>
      </w:rPr>
    </w:lvl>
    <w:lvl w:ilvl="4" w:tplc="CAD26718" w:tentative="1">
      <w:start w:val="1"/>
      <w:numFmt w:val="bullet"/>
      <w:lvlText w:val="•"/>
      <w:lvlJc w:val="left"/>
      <w:pPr>
        <w:tabs>
          <w:tab w:val="num" w:pos="3600"/>
        </w:tabs>
        <w:ind w:left="3600" w:hanging="360"/>
      </w:pPr>
      <w:rPr>
        <w:rFonts w:ascii="Arial" w:hAnsi="Arial" w:hint="default"/>
      </w:rPr>
    </w:lvl>
    <w:lvl w:ilvl="5" w:tplc="A2DE9A14" w:tentative="1">
      <w:start w:val="1"/>
      <w:numFmt w:val="bullet"/>
      <w:lvlText w:val="•"/>
      <w:lvlJc w:val="left"/>
      <w:pPr>
        <w:tabs>
          <w:tab w:val="num" w:pos="4320"/>
        </w:tabs>
        <w:ind w:left="4320" w:hanging="360"/>
      </w:pPr>
      <w:rPr>
        <w:rFonts w:ascii="Arial" w:hAnsi="Arial" w:hint="default"/>
      </w:rPr>
    </w:lvl>
    <w:lvl w:ilvl="6" w:tplc="5CB4BC84" w:tentative="1">
      <w:start w:val="1"/>
      <w:numFmt w:val="bullet"/>
      <w:lvlText w:val="•"/>
      <w:lvlJc w:val="left"/>
      <w:pPr>
        <w:tabs>
          <w:tab w:val="num" w:pos="5040"/>
        </w:tabs>
        <w:ind w:left="5040" w:hanging="360"/>
      </w:pPr>
      <w:rPr>
        <w:rFonts w:ascii="Arial" w:hAnsi="Arial" w:hint="default"/>
      </w:rPr>
    </w:lvl>
    <w:lvl w:ilvl="7" w:tplc="C6B47F6C" w:tentative="1">
      <w:start w:val="1"/>
      <w:numFmt w:val="bullet"/>
      <w:lvlText w:val="•"/>
      <w:lvlJc w:val="left"/>
      <w:pPr>
        <w:tabs>
          <w:tab w:val="num" w:pos="5760"/>
        </w:tabs>
        <w:ind w:left="5760" w:hanging="360"/>
      </w:pPr>
      <w:rPr>
        <w:rFonts w:ascii="Arial" w:hAnsi="Arial" w:hint="default"/>
      </w:rPr>
    </w:lvl>
    <w:lvl w:ilvl="8" w:tplc="D750C01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57D1DAF"/>
    <w:multiLevelType w:val="hybridMultilevel"/>
    <w:tmpl w:val="17E89B84"/>
    <w:lvl w:ilvl="0" w:tplc="FFFFFFFF">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CF0B1B"/>
    <w:multiLevelType w:val="multilevel"/>
    <w:tmpl w:val="77A2094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15:restartNumberingAfterBreak="0">
    <w:nsid w:val="18B211AD"/>
    <w:multiLevelType w:val="hybridMultilevel"/>
    <w:tmpl w:val="B5006402"/>
    <w:lvl w:ilvl="0" w:tplc="FFFFFFFF">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5B753E"/>
    <w:multiLevelType w:val="multilevel"/>
    <w:tmpl w:val="2632A9CE"/>
    <w:lvl w:ilvl="0">
      <w:start w:val="1"/>
      <w:numFmt w:val="bullet"/>
      <w:lvlText w:val="o"/>
      <w:lvlJc w:val="left"/>
      <w:pPr>
        <w:ind w:left="720" w:firstLine="360"/>
      </w:pPr>
      <w:rPr>
        <w:rFonts w:ascii="Arial" w:eastAsia="Arial" w:hAnsi="Arial" w:cs="Arial"/>
      </w:rPr>
    </w:lvl>
    <w:lvl w:ilvl="1">
      <w:start w:val="1"/>
      <w:numFmt w:val="bullet"/>
      <w:lvlText w:val="•"/>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2" w15:restartNumberingAfterBreak="0">
    <w:nsid w:val="22E15C81"/>
    <w:multiLevelType w:val="hybridMultilevel"/>
    <w:tmpl w:val="29C25990"/>
    <w:lvl w:ilvl="0" w:tplc="9840693E">
      <w:numFmt w:val="bullet"/>
      <w:lvlText w:val="-"/>
      <w:lvlJc w:val="left"/>
      <w:pPr>
        <w:ind w:left="720" w:hanging="360"/>
      </w:pPr>
      <w:rPr>
        <w:rFonts w:ascii="Calibri" w:eastAsiaTheme="minorHAnsi" w:hAnsi="Calibri"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A47DA6"/>
    <w:multiLevelType w:val="multilevel"/>
    <w:tmpl w:val="23D614B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15:restartNumberingAfterBreak="0">
    <w:nsid w:val="2ECB7017"/>
    <w:multiLevelType w:val="hybridMultilevel"/>
    <w:tmpl w:val="D16E0826"/>
    <w:lvl w:ilvl="0" w:tplc="F7507D1C">
      <w:start w:val="1"/>
      <w:numFmt w:val="bullet"/>
      <w:lvlText w:val="o"/>
      <w:lvlJc w:val="left"/>
      <w:pPr>
        <w:tabs>
          <w:tab w:val="num" w:pos="720"/>
        </w:tabs>
        <w:ind w:left="720" w:hanging="360"/>
      </w:pPr>
      <w:rPr>
        <w:rFonts w:ascii="Courier New" w:hAnsi="Courier New" w:hint="default"/>
      </w:rPr>
    </w:lvl>
    <w:lvl w:ilvl="1" w:tplc="FF7004A0" w:tentative="1">
      <w:start w:val="1"/>
      <w:numFmt w:val="bullet"/>
      <w:lvlText w:val="o"/>
      <w:lvlJc w:val="left"/>
      <w:pPr>
        <w:tabs>
          <w:tab w:val="num" w:pos="1440"/>
        </w:tabs>
        <w:ind w:left="1440" w:hanging="360"/>
      </w:pPr>
      <w:rPr>
        <w:rFonts w:ascii="Courier New" w:hAnsi="Courier New" w:hint="default"/>
      </w:rPr>
    </w:lvl>
    <w:lvl w:ilvl="2" w:tplc="B61CD46C" w:tentative="1">
      <w:start w:val="1"/>
      <w:numFmt w:val="bullet"/>
      <w:lvlText w:val="o"/>
      <w:lvlJc w:val="left"/>
      <w:pPr>
        <w:tabs>
          <w:tab w:val="num" w:pos="2160"/>
        </w:tabs>
        <w:ind w:left="2160" w:hanging="360"/>
      </w:pPr>
      <w:rPr>
        <w:rFonts w:ascii="Courier New" w:hAnsi="Courier New" w:hint="default"/>
      </w:rPr>
    </w:lvl>
    <w:lvl w:ilvl="3" w:tplc="E05CADB2" w:tentative="1">
      <w:start w:val="1"/>
      <w:numFmt w:val="bullet"/>
      <w:lvlText w:val="o"/>
      <w:lvlJc w:val="left"/>
      <w:pPr>
        <w:tabs>
          <w:tab w:val="num" w:pos="2880"/>
        </w:tabs>
        <w:ind w:left="2880" w:hanging="360"/>
      </w:pPr>
      <w:rPr>
        <w:rFonts w:ascii="Courier New" w:hAnsi="Courier New" w:hint="default"/>
      </w:rPr>
    </w:lvl>
    <w:lvl w:ilvl="4" w:tplc="171CD662" w:tentative="1">
      <w:start w:val="1"/>
      <w:numFmt w:val="bullet"/>
      <w:lvlText w:val="o"/>
      <w:lvlJc w:val="left"/>
      <w:pPr>
        <w:tabs>
          <w:tab w:val="num" w:pos="3600"/>
        </w:tabs>
        <w:ind w:left="3600" w:hanging="360"/>
      </w:pPr>
      <w:rPr>
        <w:rFonts w:ascii="Courier New" w:hAnsi="Courier New" w:hint="default"/>
      </w:rPr>
    </w:lvl>
    <w:lvl w:ilvl="5" w:tplc="0AF0FFB0" w:tentative="1">
      <w:start w:val="1"/>
      <w:numFmt w:val="bullet"/>
      <w:lvlText w:val="o"/>
      <w:lvlJc w:val="left"/>
      <w:pPr>
        <w:tabs>
          <w:tab w:val="num" w:pos="4320"/>
        </w:tabs>
        <w:ind w:left="4320" w:hanging="360"/>
      </w:pPr>
      <w:rPr>
        <w:rFonts w:ascii="Courier New" w:hAnsi="Courier New" w:hint="default"/>
      </w:rPr>
    </w:lvl>
    <w:lvl w:ilvl="6" w:tplc="A9FA7436" w:tentative="1">
      <w:start w:val="1"/>
      <w:numFmt w:val="bullet"/>
      <w:lvlText w:val="o"/>
      <w:lvlJc w:val="left"/>
      <w:pPr>
        <w:tabs>
          <w:tab w:val="num" w:pos="5040"/>
        </w:tabs>
        <w:ind w:left="5040" w:hanging="360"/>
      </w:pPr>
      <w:rPr>
        <w:rFonts w:ascii="Courier New" w:hAnsi="Courier New" w:hint="default"/>
      </w:rPr>
    </w:lvl>
    <w:lvl w:ilvl="7" w:tplc="AE348418" w:tentative="1">
      <w:start w:val="1"/>
      <w:numFmt w:val="bullet"/>
      <w:lvlText w:val="o"/>
      <w:lvlJc w:val="left"/>
      <w:pPr>
        <w:tabs>
          <w:tab w:val="num" w:pos="5760"/>
        </w:tabs>
        <w:ind w:left="5760" w:hanging="360"/>
      </w:pPr>
      <w:rPr>
        <w:rFonts w:ascii="Courier New" w:hAnsi="Courier New" w:hint="default"/>
      </w:rPr>
    </w:lvl>
    <w:lvl w:ilvl="8" w:tplc="2A3477E0" w:tentative="1">
      <w:start w:val="1"/>
      <w:numFmt w:val="bullet"/>
      <w:lvlText w:val="o"/>
      <w:lvlJc w:val="left"/>
      <w:pPr>
        <w:tabs>
          <w:tab w:val="num" w:pos="6480"/>
        </w:tabs>
        <w:ind w:left="6480" w:hanging="360"/>
      </w:pPr>
      <w:rPr>
        <w:rFonts w:ascii="Courier New" w:hAnsi="Courier New" w:hint="default"/>
      </w:rPr>
    </w:lvl>
  </w:abstractNum>
  <w:abstractNum w:abstractNumId="15" w15:restartNumberingAfterBreak="0">
    <w:nsid w:val="2F593553"/>
    <w:multiLevelType w:val="hybridMultilevel"/>
    <w:tmpl w:val="02D2B314"/>
    <w:lvl w:ilvl="0" w:tplc="B164C976">
      <w:start w:val="1"/>
      <w:numFmt w:val="bullet"/>
      <w:lvlText w:val="o"/>
      <w:lvlJc w:val="left"/>
      <w:pPr>
        <w:tabs>
          <w:tab w:val="num" w:pos="720"/>
        </w:tabs>
        <w:ind w:left="720" w:hanging="360"/>
      </w:pPr>
      <w:rPr>
        <w:rFonts w:ascii="Courier New" w:hAnsi="Courier New" w:hint="default"/>
      </w:rPr>
    </w:lvl>
    <w:lvl w:ilvl="1" w:tplc="57EEB3C2" w:tentative="1">
      <w:start w:val="1"/>
      <w:numFmt w:val="bullet"/>
      <w:lvlText w:val="o"/>
      <w:lvlJc w:val="left"/>
      <w:pPr>
        <w:tabs>
          <w:tab w:val="num" w:pos="1440"/>
        </w:tabs>
        <w:ind w:left="1440" w:hanging="360"/>
      </w:pPr>
      <w:rPr>
        <w:rFonts w:ascii="Courier New" w:hAnsi="Courier New" w:hint="default"/>
      </w:rPr>
    </w:lvl>
    <w:lvl w:ilvl="2" w:tplc="ACC0DC28" w:tentative="1">
      <w:start w:val="1"/>
      <w:numFmt w:val="bullet"/>
      <w:lvlText w:val="o"/>
      <w:lvlJc w:val="left"/>
      <w:pPr>
        <w:tabs>
          <w:tab w:val="num" w:pos="2160"/>
        </w:tabs>
        <w:ind w:left="2160" w:hanging="360"/>
      </w:pPr>
      <w:rPr>
        <w:rFonts w:ascii="Courier New" w:hAnsi="Courier New" w:hint="default"/>
      </w:rPr>
    </w:lvl>
    <w:lvl w:ilvl="3" w:tplc="77CC610A" w:tentative="1">
      <w:start w:val="1"/>
      <w:numFmt w:val="bullet"/>
      <w:lvlText w:val="o"/>
      <w:lvlJc w:val="left"/>
      <w:pPr>
        <w:tabs>
          <w:tab w:val="num" w:pos="2880"/>
        </w:tabs>
        <w:ind w:left="2880" w:hanging="360"/>
      </w:pPr>
      <w:rPr>
        <w:rFonts w:ascii="Courier New" w:hAnsi="Courier New" w:hint="default"/>
      </w:rPr>
    </w:lvl>
    <w:lvl w:ilvl="4" w:tplc="583415E0" w:tentative="1">
      <w:start w:val="1"/>
      <w:numFmt w:val="bullet"/>
      <w:lvlText w:val="o"/>
      <w:lvlJc w:val="left"/>
      <w:pPr>
        <w:tabs>
          <w:tab w:val="num" w:pos="3600"/>
        </w:tabs>
        <w:ind w:left="3600" w:hanging="360"/>
      </w:pPr>
      <w:rPr>
        <w:rFonts w:ascii="Courier New" w:hAnsi="Courier New" w:hint="default"/>
      </w:rPr>
    </w:lvl>
    <w:lvl w:ilvl="5" w:tplc="97566B8E" w:tentative="1">
      <w:start w:val="1"/>
      <w:numFmt w:val="bullet"/>
      <w:lvlText w:val="o"/>
      <w:lvlJc w:val="left"/>
      <w:pPr>
        <w:tabs>
          <w:tab w:val="num" w:pos="4320"/>
        </w:tabs>
        <w:ind w:left="4320" w:hanging="360"/>
      </w:pPr>
      <w:rPr>
        <w:rFonts w:ascii="Courier New" w:hAnsi="Courier New" w:hint="default"/>
      </w:rPr>
    </w:lvl>
    <w:lvl w:ilvl="6" w:tplc="AC2CC5C4" w:tentative="1">
      <w:start w:val="1"/>
      <w:numFmt w:val="bullet"/>
      <w:lvlText w:val="o"/>
      <w:lvlJc w:val="left"/>
      <w:pPr>
        <w:tabs>
          <w:tab w:val="num" w:pos="5040"/>
        </w:tabs>
        <w:ind w:left="5040" w:hanging="360"/>
      </w:pPr>
      <w:rPr>
        <w:rFonts w:ascii="Courier New" w:hAnsi="Courier New" w:hint="default"/>
      </w:rPr>
    </w:lvl>
    <w:lvl w:ilvl="7" w:tplc="6D96AB96" w:tentative="1">
      <w:start w:val="1"/>
      <w:numFmt w:val="bullet"/>
      <w:lvlText w:val="o"/>
      <w:lvlJc w:val="left"/>
      <w:pPr>
        <w:tabs>
          <w:tab w:val="num" w:pos="5760"/>
        </w:tabs>
        <w:ind w:left="5760" w:hanging="360"/>
      </w:pPr>
      <w:rPr>
        <w:rFonts w:ascii="Courier New" w:hAnsi="Courier New" w:hint="default"/>
      </w:rPr>
    </w:lvl>
    <w:lvl w:ilvl="8" w:tplc="46AA6C7E" w:tentative="1">
      <w:start w:val="1"/>
      <w:numFmt w:val="bullet"/>
      <w:lvlText w:val="o"/>
      <w:lvlJc w:val="left"/>
      <w:pPr>
        <w:tabs>
          <w:tab w:val="num" w:pos="6480"/>
        </w:tabs>
        <w:ind w:left="6480" w:hanging="360"/>
      </w:pPr>
      <w:rPr>
        <w:rFonts w:ascii="Courier New" w:hAnsi="Courier New" w:hint="default"/>
      </w:rPr>
    </w:lvl>
  </w:abstractNum>
  <w:abstractNum w:abstractNumId="16" w15:restartNumberingAfterBreak="0">
    <w:nsid w:val="32884ADF"/>
    <w:multiLevelType w:val="hybridMultilevel"/>
    <w:tmpl w:val="34760C46"/>
    <w:lvl w:ilvl="0" w:tplc="5D781A24">
      <w:start w:val="1"/>
      <w:numFmt w:val="bullet"/>
      <w:lvlText w:val="•"/>
      <w:lvlJc w:val="left"/>
      <w:pPr>
        <w:tabs>
          <w:tab w:val="num" w:pos="720"/>
        </w:tabs>
        <w:ind w:left="720" w:hanging="360"/>
      </w:pPr>
      <w:rPr>
        <w:rFonts w:ascii="Arial" w:hAnsi="Arial" w:hint="default"/>
      </w:rPr>
    </w:lvl>
    <w:lvl w:ilvl="1" w:tplc="59FC754E" w:tentative="1">
      <w:start w:val="1"/>
      <w:numFmt w:val="bullet"/>
      <w:lvlText w:val="•"/>
      <w:lvlJc w:val="left"/>
      <w:pPr>
        <w:tabs>
          <w:tab w:val="num" w:pos="1440"/>
        </w:tabs>
        <w:ind w:left="1440" w:hanging="360"/>
      </w:pPr>
      <w:rPr>
        <w:rFonts w:ascii="Arial" w:hAnsi="Arial" w:hint="default"/>
      </w:rPr>
    </w:lvl>
    <w:lvl w:ilvl="2" w:tplc="A9468476" w:tentative="1">
      <w:start w:val="1"/>
      <w:numFmt w:val="bullet"/>
      <w:lvlText w:val="•"/>
      <w:lvlJc w:val="left"/>
      <w:pPr>
        <w:tabs>
          <w:tab w:val="num" w:pos="2160"/>
        </w:tabs>
        <w:ind w:left="2160" w:hanging="360"/>
      </w:pPr>
      <w:rPr>
        <w:rFonts w:ascii="Arial" w:hAnsi="Arial" w:hint="default"/>
      </w:rPr>
    </w:lvl>
    <w:lvl w:ilvl="3" w:tplc="4054529C" w:tentative="1">
      <w:start w:val="1"/>
      <w:numFmt w:val="bullet"/>
      <w:lvlText w:val="•"/>
      <w:lvlJc w:val="left"/>
      <w:pPr>
        <w:tabs>
          <w:tab w:val="num" w:pos="2880"/>
        </w:tabs>
        <w:ind w:left="2880" w:hanging="360"/>
      </w:pPr>
      <w:rPr>
        <w:rFonts w:ascii="Arial" w:hAnsi="Arial" w:hint="default"/>
      </w:rPr>
    </w:lvl>
    <w:lvl w:ilvl="4" w:tplc="AD2010AC" w:tentative="1">
      <w:start w:val="1"/>
      <w:numFmt w:val="bullet"/>
      <w:lvlText w:val="•"/>
      <w:lvlJc w:val="left"/>
      <w:pPr>
        <w:tabs>
          <w:tab w:val="num" w:pos="3600"/>
        </w:tabs>
        <w:ind w:left="3600" w:hanging="360"/>
      </w:pPr>
      <w:rPr>
        <w:rFonts w:ascii="Arial" w:hAnsi="Arial" w:hint="default"/>
      </w:rPr>
    </w:lvl>
    <w:lvl w:ilvl="5" w:tplc="0F7C8024" w:tentative="1">
      <w:start w:val="1"/>
      <w:numFmt w:val="bullet"/>
      <w:lvlText w:val="•"/>
      <w:lvlJc w:val="left"/>
      <w:pPr>
        <w:tabs>
          <w:tab w:val="num" w:pos="4320"/>
        </w:tabs>
        <w:ind w:left="4320" w:hanging="360"/>
      </w:pPr>
      <w:rPr>
        <w:rFonts w:ascii="Arial" w:hAnsi="Arial" w:hint="default"/>
      </w:rPr>
    </w:lvl>
    <w:lvl w:ilvl="6" w:tplc="58F66AA4" w:tentative="1">
      <w:start w:val="1"/>
      <w:numFmt w:val="bullet"/>
      <w:lvlText w:val="•"/>
      <w:lvlJc w:val="left"/>
      <w:pPr>
        <w:tabs>
          <w:tab w:val="num" w:pos="5040"/>
        </w:tabs>
        <w:ind w:left="5040" w:hanging="360"/>
      </w:pPr>
      <w:rPr>
        <w:rFonts w:ascii="Arial" w:hAnsi="Arial" w:hint="default"/>
      </w:rPr>
    </w:lvl>
    <w:lvl w:ilvl="7" w:tplc="6C5A3F92" w:tentative="1">
      <w:start w:val="1"/>
      <w:numFmt w:val="bullet"/>
      <w:lvlText w:val="•"/>
      <w:lvlJc w:val="left"/>
      <w:pPr>
        <w:tabs>
          <w:tab w:val="num" w:pos="5760"/>
        </w:tabs>
        <w:ind w:left="5760" w:hanging="360"/>
      </w:pPr>
      <w:rPr>
        <w:rFonts w:ascii="Arial" w:hAnsi="Arial" w:hint="default"/>
      </w:rPr>
    </w:lvl>
    <w:lvl w:ilvl="8" w:tplc="24FAEDB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6E40F5D"/>
    <w:multiLevelType w:val="hybridMultilevel"/>
    <w:tmpl w:val="2D6CF516"/>
    <w:lvl w:ilvl="0" w:tplc="FFFFFFFF">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1F413F"/>
    <w:multiLevelType w:val="hybridMultilevel"/>
    <w:tmpl w:val="8D5EEA7A"/>
    <w:lvl w:ilvl="0" w:tplc="823A6A34">
      <w:start w:val="1"/>
      <w:numFmt w:val="bullet"/>
      <w:lvlText w:val="-"/>
      <w:lvlJc w:val="left"/>
      <w:pPr>
        <w:ind w:left="720" w:hanging="360"/>
      </w:pPr>
      <w:rPr>
        <w:rFonts w:ascii="Times New Roman" w:hAnsi="Times New Roman" w:cs="Times New Roman" w:hint="default"/>
        <w:color w:val="8080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9714F2"/>
    <w:multiLevelType w:val="multilevel"/>
    <w:tmpl w:val="62049586"/>
    <w:lvl w:ilvl="0">
      <w:start w:val="1"/>
      <w:numFmt w:val="bullet"/>
      <w:lvlText w:val="o"/>
      <w:lvlJc w:val="left"/>
      <w:pPr>
        <w:ind w:left="1080" w:firstLine="720"/>
      </w:pPr>
      <w:rPr>
        <w:rFonts w:ascii="Arial" w:eastAsia="Arial" w:hAnsi="Arial" w:cs="Arial"/>
      </w:rPr>
    </w:lvl>
    <w:lvl w:ilvl="1">
      <w:start w:val="1"/>
      <w:numFmt w:val="bullet"/>
      <w:lvlText w:val="•"/>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20" w15:restartNumberingAfterBreak="0">
    <w:nsid w:val="3A424059"/>
    <w:multiLevelType w:val="multilevel"/>
    <w:tmpl w:val="AD62133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15:restartNumberingAfterBreak="0">
    <w:nsid w:val="3A7C73BA"/>
    <w:multiLevelType w:val="hybridMultilevel"/>
    <w:tmpl w:val="D72E9390"/>
    <w:lvl w:ilvl="0" w:tplc="08306472">
      <w:numFmt w:val="bullet"/>
      <w:lvlText w:val="-"/>
      <w:lvlJc w:val="left"/>
      <w:pPr>
        <w:ind w:left="720" w:hanging="360"/>
      </w:pPr>
      <w:rPr>
        <w:rFonts w:ascii="Calibri" w:eastAsia="Calibri" w:hAnsi="Calibri"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3DCA23B9"/>
    <w:multiLevelType w:val="hybridMultilevel"/>
    <w:tmpl w:val="480EC7BA"/>
    <w:lvl w:ilvl="0" w:tplc="9840693E">
      <w:numFmt w:val="bullet"/>
      <w:lvlText w:val="-"/>
      <w:lvlJc w:val="left"/>
      <w:pPr>
        <w:ind w:left="720" w:hanging="360"/>
      </w:pPr>
      <w:rPr>
        <w:rFonts w:ascii="Calibri" w:eastAsiaTheme="minorHAnsi" w:hAnsi="Calibri"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D81588"/>
    <w:multiLevelType w:val="multilevel"/>
    <w:tmpl w:val="825C74BE"/>
    <w:lvl w:ilvl="0">
      <w:start w:val="1"/>
      <w:numFmt w:val="bullet"/>
      <w:lvlText w:val="o"/>
      <w:lvlJc w:val="left"/>
      <w:pPr>
        <w:ind w:left="720" w:firstLine="360"/>
      </w:pPr>
      <w:rPr>
        <w:rFonts w:ascii="Arial" w:eastAsia="Arial" w:hAnsi="Arial" w:cs="Arial"/>
      </w:rPr>
    </w:lvl>
    <w:lvl w:ilvl="1">
      <w:start w:val="1"/>
      <w:numFmt w:val="bullet"/>
      <w:lvlText w:val="•"/>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4" w15:restartNumberingAfterBreak="0">
    <w:nsid w:val="43485CDA"/>
    <w:multiLevelType w:val="hybridMultilevel"/>
    <w:tmpl w:val="C8F27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CC3092"/>
    <w:multiLevelType w:val="hybridMultilevel"/>
    <w:tmpl w:val="0278F3D6"/>
    <w:lvl w:ilvl="0" w:tplc="F7B68ECC">
      <w:start w:val="1"/>
      <w:numFmt w:val="bullet"/>
      <w:lvlText w:val="-"/>
      <w:lvlJc w:val="left"/>
      <w:pPr>
        <w:tabs>
          <w:tab w:val="num" w:pos="720"/>
        </w:tabs>
        <w:ind w:left="720" w:hanging="360"/>
      </w:pPr>
      <w:rPr>
        <w:rFonts w:ascii="Times New Roman" w:hAnsi="Times New Roman" w:hint="default"/>
      </w:rPr>
    </w:lvl>
    <w:lvl w:ilvl="1" w:tplc="B6A8CB3C" w:tentative="1">
      <w:start w:val="1"/>
      <w:numFmt w:val="bullet"/>
      <w:lvlText w:val="-"/>
      <w:lvlJc w:val="left"/>
      <w:pPr>
        <w:tabs>
          <w:tab w:val="num" w:pos="1440"/>
        </w:tabs>
        <w:ind w:left="1440" w:hanging="360"/>
      </w:pPr>
      <w:rPr>
        <w:rFonts w:ascii="Times New Roman" w:hAnsi="Times New Roman" w:hint="default"/>
      </w:rPr>
    </w:lvl>
    <w:lvl w:ilvl="2" w:tplc="4F2EE860" w:tentative="1">
      <w:start w:val="1"/>
      <w:numFmt w:val="bullet"/>
      <w:lvlText w:val="-"/>
      <w:lvlJc w:val="left"/>
      <w:pPr>
        <w:tabs>
          <w:tab w:val="num" w:pos="2160"/>
        </w:tabs>
        <w:ind w:left="2160" w:hanging="360"/>
      </w:pPr>
      <w:rPr>
        <w:rFonts w:ascii="Times New Roman" w:hAnsi="Times New Roman" w:hint="default"/>
      </w:rPr>
    </w:lvl>
    <w:lvl w:ilvl="3" w:tplc="588A358A" w:tentative="1">
      <w:start w:val="1"/>
      <w:numFmt w:val="bullet"/>
      <w:lvlText w:val="-"/>
      <w:lvlJc w:val="left"/>
      <w:pPr>
        <w:tabs>
          <w:tab w:val="num" w:pos="2880"/>
        </w:tabs>
        <w:ind w:left="2880" w:hanging="360"/>
      </w:pPr>
      <w:rPr>
        <w:rFonts w:ascii="Times New Roman" w:hAnsi="Times New Roman" w:hint="default"/>
      </w:rPr>
    </w:lvl>
    <w:lvl w:ilvl="4" w:tplc="5C9C3D70" w:tentative="1">
      <w:start w:val="1"/>
      <w:numFmt w:val="bullet"/>
      <w:lvlText w:val="-"/>
      <w:lvlJc w:val="left"/>
      <w:pPr>
        <w:tabs>
          <w:tab w:val="num" w:pos="3600"/>
        </w:tabs>
        <w:ind w:left="3600" w:hanging="360"/>
      </w:pPr>
      <w:rPr>
        <w:rFonts w:ascii="Times New Roman" w:hAnsi="Times New Roman" w:hint="default"/>
      </w:rPr>
    </w:lvl>
    <w:lvl w:ilvl="5" w:tplc="3FD40A18" w:tentative="1">
      <w:start w:val="1"/>
      <w:numFmt w:val="bullet"/>
      <w:lvlText w:val="-"/>
      <w:lvlJc w:val="left"/>
      <w:pPr>
        <w:tabs>
          <w:tab w:val="num" w:pos="4320"/>
        </w:tabs>
        <w:ind w:left="4320" w:hanging="360"/>
      </w:pPr>
      <w:rPr>
        <w:rFonts w:ascii="Times New Roman" w:hAnsi="Times New Roman" w:hint="default"/>
      </w:rPr>
    </w:lvl>
    <w:lvl w:ilvl="6" w:tplc="8C82E2A8" w:tentative="1">
      <w:start w:val="1"/>
      <w:numFmt w:val="bullet"/>
      <w:lvlText w:val="-"/>
      <w:lvlJc w:val="left"/>
      <w:pPr>
        <w:tabs>
          <w:tab w:val="num" w:pos="5040"/>
        </w:tabs>
        <w:ind w:left="5040" w:hanging="360"/>
      </w:pPr>
      <w:rPr>
        <w:rFonts w:ascii="Times New Roman" w:hAnsi="Times New Roman" w:hint="default"/>
      </w:rPr>
    </w:lvl>
    <w:lvl w:ilvl="7" w:tplc="D4A6A646" w:tentative="1">
      <w:start w:val="1"/>
      <w:numFmt w:val="bullet"/>
      <w:lvlText w:val="-"/>
      <w:lvlJc w:val="left"/>
      <w:pPr>
        <w:tabs>
          <w:tab w:val="num" w:pos="5760"/>
        </w:tabs>
        <w:ind w:left="5760" w:hanging="360"/>
      </w:pPr>
      <w:rPr>
        <w:rFonts w:ascii="Times New Roman" w:hAnsi="Times New Roman" w:hint="default"/>
      </w:rPr>
    </w:lvl>
    <w:lvl w:ilvl="8" w:tplc="4DAC14B8"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48535344"/>
    <w:multiLevelType w:val="hybridMultilevel"/>
    <w:tmpl w:val="20EC7B50"/>
    <w:lvl w:ilvl="0" w:tplc="FFFFFFFF">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40531C"/>
    <w:multiLevelType w:val="hybridMultilevel"/>
    <w:tmpl w:val="4B662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8E0FD1"/>
    <w:multiLevelType w:val="hybridMultilevel"/>
    <w:tmpl w:val="43520008"/>
    <w:lvl w:ilvl="0" w:tplc="A7BA0940">
      <w:start w:val="1"/>
      <w:numFmt w:val="bullet"/>
      <w:lvlText w:val="o"/>
      <w:lvlJc w:val="left"/>
      <w:pPr>
        <w:tabs>
          <w:tab w:val="num" w:pos="720"/>
        </w:tabs>
        <w:ind w:left="720" w:hanging="360"/>
      </w:pPr>
      <w:rPr>
        <w:rFonts w:ascii="Courier New" w:hAnsi="Courier New" w:hint="default"/>
      </w:rPr>
    </w:lvl>
    <w:lvl w:ilvl="1" w:tplc="7242CC10">
      <w:start w:val="1"/>
      <w:numFmt w:val="decimal"/>
      <w:lvlText w:val="%2."/>
      <w:lvlJc w:val="left"/>
      <w:pPr>
        <w:tabs>
          <w:tab w:val="num" w:pos="1440"/>
        </w:tabs>
        <w:ind w:left="1440" w:hanging="360"/>
      </w:pPr>
      <w:rPr>
        <w:rFonts w:asciiTheme="minorHAnsi" w:eastAsiaTheme="minorHAnsi" w:hAnsiTheme="minorHAnsi" w:cstheme="minorHAnsi"/>
      </w:rPr>
    </w:lvl>
    <w:lvl w:ilvl="2" w:tplc="576C479A" w:tentative="1">
      <w:start w:val="1"/>
      <w:numFmt w:val="bullet"/>
      <w:lvlText w:val="o"/>
      <w:lvlJc w:val="left"/>
      <w:pPr>
        <w:tabs>
          <w:tab w:val="num" w:pos="2160"/>
        </w:tabs>
        <w:ind w:left="2160" w:hanging="360"/>
      </w:pPr>
      <w:rPr>
        <w:rFonts w:ascii="Courier New" w:hAnsi="Courier New" w:hint="default"/>
      </w:rPr>
    </w:lvl>
    <w:lvl w:ilvl="3" w:tplc="4DD2D212" w:tentative="1">
      <w:start w:val="1"/>
      <w:numFmt w:val="bullet"/>
      <w:lvlText w:val="o"/>
      <w:lvlJc w:val="left"/>
      <w:pPr>
        <w:tabs>
          <w:tab w:val="num" w:pos="2880"/>
        </w:tabs>
        <w:ind w:left="2880" w:hanging="360"/>
      </w:pPr>
      <w:rPr>
        <w:rFonts w:ascii="Courier New" w:hAnsi="Courier New" w:hint="default"/>
      </w:rPr>
    </w:lvl>
    <w:lvl w:ilvl="4" w:tplc="9036E26A" w:tentative="1">
      <w:start w:val="1"/>
      <w:numFmt w:val="bullet"/>
      <w:lvlText w:val="o"/>
      <w:lvlJc w:val="left"/>
      <w:pPr>
        <w:tabs>
          <w:tab w:val="num" w:pos="3600"/>
        </w:tabs>
        <w:ind w:left="3600" w:hanging="360"/>
      </w:pPr>
      <w:rPr>
        <w:rFonts w:ascii="Courier New" w:hAnsi="Courier New" w:hint="default"/>
      </w:rPr>
    </w:lvl>
    <w:lvl w:ilvl="5" w:tplc="7B3AC08C" w:tentative="1">
      <w:start w:val="1"/>
      <w:numFmt w:val="bullet"/>
      <w:lvlText w:val="o"/>
      <w:lvlJc w:val="left"/>
      <w:pPr>
        <w:tabs>
          <w:tab w:val="num" w:pos="4320"/>
        </w:tabs>
        <w:ind w:left="4320" w:hanging="360"/>
      </w:pPr>
      <w:rPr>
        <w:rFonts w:ascii="Courier New" w:hAnsi="Courier New" w:hint="default"/>
      </w:rPr>
    </w:lvl>
    <w:lvl w:ilvl="6" w:tplc="5CFC831E" w:tentative="1">
      <w:start w:val="1"/>
      <w:numFmt w:val="bullet"/>
      <w:lvlText w:val="o"/>
      <w:lvlJc w:val="left"/>
      <w:pPr>
        <w:tabs>
          <w:tab w:val="num" w:pos="5040"/>
        </w:tabs>
        <w:ind w:left="5040" w:hanging="360"/>
      </w:pPr>
      <w:rPr>
        <w:rFonts w:ascii="Courier New" w:hAnsi="Courier New" w:hint="default"/>
      </w:rPr>
    </w:lvl>
    <w:lvl w:ilvl="7" w:tplc="AAF2774A" w:tentative="1">
      <w:start w:val="1"/>
      <w:numFmt w:val="bullet"/>
      <w:lvlText w:val="o"/>
      <w:lvlJc w:val="left"/>
      <w:pPr>
        <w:tabs>
          <w:tab w:val="num" w:pos="5760"/>
        </w:tabs>
        <w:ind w:left="5760" w:hanging="360"/>
      </w:pPr>
      <w:rPr>
        <w:rFonts w:ascii="Courier New" w:hAnsi="Courier New" w:hint="default"/>
      </w:rPr>
    </w:lvl>
    <w:lvl w:ilvl="8" w:tplc="B89233AE" w:tentative="1">
      <w:start w:val="1"/>
      <w:numFmt w:val="bullet"/>
      <w:lvlText w:val="o"/>
      <w:lvlJc w:val="left"/>
      <w:pPr>
        <w:tabs>
          <w:tab w:val="num" w:pos="6480"/>
        </w:tabs>
        <w:ind w:left="6480" w:hanging="360"/>
      </w:pPr>
      <w:rPr>
        <w:rFonts w:ascii="Courier New" w:hAnsi="Courier New" w:hint="default"/>
      </w:rPr>
    </w:lvl>
  </w:abstractNum>
  <w:abstractNum w:abstractNumId="29" w15:restartNumberingAfterBreak="0">
    <w:nsid w:val="4E640CC5"/>
    <w:multiLevelType w:val="hybridMultilevel"/>
    <w:tmpl w:val="22C2D8B0"/>
    <w:lvl w:ilvl="0" w:tplc="59429970">
      <w:start w:val="1"/>
      <w:numFmt w:val="bullet"/>
      <w:lvlText w:val="o"/>
      <w:lvlJc w:val="left"/>
      <w:pPr>
        <w:tabs>
          <w:tab w:val="num" w:pos="720"/>
        </w:tabs>
        <w:ind w:left="720" w:hanging="360"/>
      </w:pPr>
      <w:rPr>
        <w:rFonts w:ascii="Courier New" w:hAnsi="Courier New" w:hint="default"/>
      </w:rPr>
    </w:lvl>
    <w:lvl w:ilvl="1" w:tplc="CF6AB8EA">
      <w:start w:val="1"/>
      <w:numFmt w:val="bullet"/>
      <w:lvlText w:val="o"/>
      <w:lvlJc w:val="left"/>
      <w:pPr>
        <w:tabs>
          <w:tab w:val="num" w:pos="1440"/>
        </w:tabs>
        <w:ind w:left="1440" w:hanging="360"/>
      </w:pPr>
      <w:rPr>
        <w:rFonts w:ascii="Courier New" w:hAnsi="Courier New" w:hint="default"/>
      </w:rPr>
    </w:lvl>
    <w:lvl w:ilvl="2" w:tplc="90DA769E" w:tentative="1">
      <w:start w:val="1"/>
      <w:numFmt w:val="bullet"/>
      <w:lvlText w:val="o"/>
      <w:lvlJc w:val="left"/>
      <w:pPr>
        <w:tabs>
          <w:tab w:val="num" w:pos="2160"/>
        </w:tabs>
        <w:ind w:left="2160" w:hanging="360"/>
      </w:pPr>
      <w:rPr>
        <w:rFonts w:ascii="Courier New" w:hAnsi="Courier New" w:hint="default"/>
      </w:rPr>
    </w:lvl>
    <w:lvl w:ilvl="3" w:tplc="1AB04940" w:tentative="1">
      <w:start w:val="1"/>
      <w:numFmt w:val="bullet"/>
      <w:lvlText w:val="o"/>
      <w:lvlJc w:val="left"/>
      <w:pPr>
        <w:tabs>
          <w:tab w:val="num" w:pos="2880"/>
        </w:tabs>
        <w:ind w:left="2880" w:hanging="360"/>
      </w:pPr>
      <w:rPr>
        <w:rFonts w:ascii="Courier New" w:hAnsi="Courier New" w:hint="default"/>
      </w:rPr>
    </w:lvl>
    <w:lvl w:ilvl="4" w:tplc="905CA2C2" w:tentative="1">
      <w:start w:val="1"/>
      <w:numFmt w:val="bullet"/>
      <w:lvlText w:val="o"/>
      <w:lvlJc w:val="left"/>
      <w:pPr>
        <w:tabs>
          <w:tab w:val="num" w:pos="3600"/>
        </w:tabs>
        <w:ind w:left="3600" w:hanging="360"/>
      </w:pPr>
      <w:rPr>
        <w:rFonts w:ascii="Courier New" w:hAnsi="Courier New" w:hint="default"/>
      </w:rPr>
    </w:lvl>
    <w:lvl w:ilvl="5" w:tplc="66E6FAB2" w:tentative="1">
      <w:start w:val="1"/>
      <w:numFmt w:val="bullet"/>
      <w:lvlText w:val="o"/>
      <w:lvlJc w:val="left"/>
      <w:pPr>
        <w:tabs>
          <w:tab w:val="num" w:pos="4320"/>
        </w:tabs>
        <w:ind w:left="4320" w:hanging="360"/>
      </w:pPr>
      <w:rPr>
        <w:rFonts w:ascii="Courier New" w:hAnsi="Courier New" w:hint="default"/>
      </w:rPr>
    </w:lvl>
    <w:lvl w:ilvl="6" w:tplc="27203EAE" w:tentative="1">
      <w:start w:val="1"/>
      <w:numFmt w:val="bullet"/>
      <w:lvlText w:val="o"/>
      <w:lvlJc w:val="left"/>
      <w:pPr>
        <w:tabs>
          <w:tab w:val="num" w:pos="5040"/>
        </w:tabs>
        <w:ind w:left="5040" w:hanging="360"/>
      </w:pPr>
      <w:rPr>
        <w:rFonts w:ascii="Courier New" w:hAnsi="Courier New" w:hint="default"/>
      </w:rPr>
    </w:lvl>
    <w:lvl w:ilvl="7" w:tplc="194E2A52" w:tentative="1">
      <w:start w:val="1"/>
      <w:numFmt w:val="bullet"/>
      <w:lvlText w:val="o"/>
      <w:lvlJc w:val="left"/>
      <w:pPr>
        <w:tabs>
          <w:tab w:val="num" w:pos="5760"/>
        </w:tabs>
        <w:ind w:left="5760" w:hanging="360"/>
      </w:pPr>
      <w:rPr>
        <w:rFonts w:ascii="Courier New" w:hAnsi="Courier New" w:hint="default"/>
      </w:rPr>
    </w:lvl>
    <w:lvl w:ilvl="8" w:tplc="D77C409C" w:tentative="1">
      <w:start w:val="1"/>
      <w:numFmt w:val="bullet"/>
      <w:lvlText w:val="o"/>
      <w:lvlJc w:val="left"/>
      <w:pPr>
        <w:tabs>
          <w:tab w:val="num" w:pos="6480"/>
        </w:tabs>
        <w:ind w:left="6480" w:hanging="360"/>
      </w:pPr>
      <w:rPr>
        <w:rFonts w:ascii="Courier New" w:hAnsi="Courier New" w:hint="default"/>
      </w:rPr>
    </w:lvl>
  </w:abstractNum>
  <w:abstractNum w:abstractNumId="30" w15:restartNumberingAfterBreak="0">
    <w:nsid w:val="4FF231D3"/>
    <w:multiLevelType w:val="multilevel"/>
    <w:tmpl w:val="3420FAB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1" w15:restartNumberingAfterBreak="0">
    <w:nsid w:val="500061DD"/>
    <w:multiLevelType w:val="hybridMultilevel"/>
    <w:tmpl w:val="544C4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F63EFF"/>
    <w:multiLevelType w:val="multilevel"/>
    <w:tmpl w:val="E1340DA2"/>
    <w:lvl w:ilvl="0">
      <w:start w:val="1"/>
      <w:numFmt w:val="bullet"/>
      <w:lvlText w:val="o"/>
      <w:lvlJc w:val="left"/>
      <w:pPr>
        <w:ind w:left="720" w:firstLine="360"/>
      </w:pPr>
      <w:rPr>
        <w:rFonts w:ascii="Arial" w:eastAsia="Arial" w:hAnsi="Arial" w:cs="Arial"/>
      </w:rPr>
    </w:lvl>
    <w:lvl w:ilvl="1">
      <w:start w:val="1"/>
      <w:numFmt w:val="bullet"/>
      <w:lvlText w:val="•"/>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3" w15:restartNumberingAfterBreak="0">
    <w:nsid w:val="5B48286E"/>
    <w:multiLevelType w:val="hybridMultilevel"/>
    <w:tmpl w:val="88EC5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1126A1"/>
    <w:multiLevelType w:val="multilevel"/>
    <w:tmpl w:val="3BD250C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5" w15:restartNumberingAfterBreak="0">
    <w:nsid w:val="60F437C9"/>
    <w:multiLevelType w:val="hybridMultilevel"/>
    <w:tmpl w:val="AE88439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FF428E"/>
    <w:multiLevelType w:val="hybridMultilevel"/>
    <w:tmpl w:val="C53048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3C705D3"/>
    <w:multiLevelType w:val="hybridMultilevel"/>
    <w:tmpl w:val="82068466"/>
    <w:lvl w:ilvl="0" w:tplc="24645970">
      <w:numFmt w:val="bullet"/>
      <w:lvlText w:val="-"/>
      <w:lvlJc w:val="left"/>
      <w:pPr>
        <w:ind w:left="420" w:hanging="360"/>
      </w:pPr>
      <w:rPr>
        <w:rFonts w:ascii="Sylfaen" w:eastAsiaTheme="minorHAnsi" w:hAnsi="Sylfaen" w:cstheme="minorBidi" w:hint="default"/>
      </w:rPr>
    </w:lvl>
    <w:lvl w:ilvl="1" w:tplc="04370003" w:tentative="1">
      <w:start w:val="1"/>
      <w:numFmt w:val="bullet"/>
      <w:lvlText w:val="o"/>
      <w:lvlJc w:val="left"/>
      <w:pPr>
        <w:ind w:left="1140" w:hanging="360"/>
      </w:pPr>
      <w:rPr>
        <w:rFonts w:ascii="Courier New" w:hAnsi="Courier New" w:hint="default"/>
      </w:rPr>
    </w:lvl>
    <w:lvl w:ilvl="2" w:tplc="04370005" w:tentative="1">
      <w:start w:val="1"/>
      <w:numFmt w:val="bullet"/>
      <w:lvlText w:val=""/>
      <w:lvlJc w:val="left"/>
      <w:pPr>
        <w:ind w:left="1860" w:hanging="360"/>
      </w:pPr>
      <w:rPr>
        <w:rFonts w:ascii="Wingdings" w:hAnsi="Wingdings" w:hint="default"/>
      </w:rPr>
    </w:lvl>
    <w:lvl w:ilvl="3" w:tplc="04370001" w:tentative="1">
      <w:start w:val="1"/>
      <w:numFmt w:val="bullet"/>
      <w:lvlText w:val=""/>
      <w:lvlJc w:val="left"/>
      <w:pPr>
        <w:ind w:left="2580" w:hanging="360"/>
      </w:pPr>
      <w:rPr>
        <w:rFonts w:ascii="Symbol" w:hAnsi="Symbol" w:hint="default"/>
      </w:rPr>
    </w:lvl>
    <w:lvl w:ilvl="4" w:tplc="04370003" w:tentative="1">
      <w:start w:val="1"/>
      <w:numFmt w:val="bullet"/>
      <w:lvlText w:val="o"/>
      <w:lvlJc w:val="left"/>
      <w:pPr>
        <w:ind w:left="3300" w:hanging="360"/>
      </w:pPr>
      <w:rPr>
        <w:rFonts w:ascii="Courier New" w:hAnsi="Courier New" w:hint="default"/>
      </w:rPr>
    </w:lvl>
    <w:lvl w:ilvl="5" w:tplc="04370005" w:tentative="1">
      <w:start w:val="1"/>
      <w:numFmt w:val="bullet"/>
      <w:lvlText w:val=""/>
      <w:lvlJc w:val="left"/>
      <w:pPr>
        <w:ind w:left="4020" w:hanging="360"/>
      </w:pPr>
      <w:rPr>
        <w:rFonts w:ascii="Wingdings" w:hAnsi="Wingdings" w:hint="default"/>
      </w:rPr>
    </w:lvl>
    <w:lvl w:ilvl="6" w:tplc="04370001" w:tentative="1">
      <w:start w:val="1"/>
      <w:numFmt w:val="bullet"/>
      <w:lvlText w:val=""/>
      <w:lvlJc w:val="left"/>
      <w:pPr>
        <w:ind w:left="4740" w:hanging="360"/>
      </w:pPr>
      <w:rPr>
        <w:rFonts w:ascii="Symbol" w:hAnsi="Symbol" w:hint="default"/>
      </w:rPr>
    </w:lvl>
    <w:lvl w:ilvl="7" w:tplc="04370003" w:tentative="1">
      <w:start w:val="1"/>
      <w:numFmt w:val="bullet"/>
      <w:lvlText w:val="o"/>
      <w:lvlJc w:val="left"/>
      <w:pPr>
        <w:ind w:left="5460" w:hanging="360"/>
      </w:pPr>
      <w:rPr>
        <w:rFonts w:ascii="Courier New" w:hAnsi="Courier New" w:hint="default"/>
      </w:rPr>
    </w:lvl>
    <w:lvl w:ilvl="8" w:tplc="04370005" w:tentative="1">
      <w:start w:val="1"/>
      <w:numFmt w:val="bullet"/>
      <w:lvlText w:val=""/>
      <w:lvlJc w:val="left"/>
      <w:pPr>
        <w:ind w:left="6180" w:hanging="360"/>
      </w:pPr>
      <w:rPr>
        <w:rFonts w:ascii="Wingdings" w:hAnsi="Wingdings" w:hint="default"/>
      </w:rPr>
    </w:lvl>
  </w:abstractNum>
  <w:abstractNum w:abstractNumId="38" w15:restartNumberingAfterBreak="0">
    <w:nsid w:val="686A6D91"/>
    <w:multiLevelType w:val="hybridMultilevel"/>
    <w:tmpl w:val="4AB21BF0"/>
    <w:lvl w:ilvl="0" w:tplc="3A66CF48">
      <w:start w:val="1"/>
      <w:numFmt w:val="bullet"/>
      <w:lvlText w:val="•"/>
      <w:lvlJc w:val="left"/>
      <w:pPr>
        <w:tabs>
          <w:tab w:val="num" w:pos="720"/>
        </w:tabs>
        <w:ind w:left="720" w:hanging="360"/>
      </w:pPr>
      <w:rPr>
        <w:rFonts w:ascii="Arial" w:hAnsi="Arial" w:hint="default"/>
      </w:rPr>
    </w:lvl>
    <w:lvl w:ilvl="1" w:tplc="A0C404AE" w:tentative="1">
      <w:start w:val="1"/>
      <w:numFmt w:val="bullet"/>
      <w:lvlText w:val="•"/>
      <w:lvlJc w:val="left"/>
      <w:pPr>
        <w:tabs>
          <w:tab w:val="num" w:pos="1440"/>
        </w:tabs>
        <w:ind w:left="1440" w:hanging="360"/>
      </w:pPr>
      <w:rPr>
        <w:rFonts w:ascii="Arial" w:hAnsi="Arial" w:hint="default"/>
      </w:rPr>
    </w:lvl>
    <w:lvl w:ilvl="2" w:tplc="CACEBF92" w:tentative="1">
      <w:start w:val="1"/>
      <w:numFmt w:val="bullet"/>
      <w:lvlText w:val="•"/>
      <w:lvlJc w:val="left"/>
      <w:pPr>
        <w:tabs>
          <w:tab w:val="num" w:pos="2160"/>
        </w:tabs>
        <w:ind w:left="2160" w:hanging="360"/>
      </w:pPr>
      <w:rPr>
        <w:rFonts w:ascii="Arial" w:hAnsi="Arial" w:hint="default"/>
      </w:rPr>
    </w:lvl>
    <w:lvl w:ilvl="3" w:tplc="F1CE362C" w:tentative="1">
      <w:start w:val="1"/>
      <w:numFmt w:val="bullet"/>
      <w:lvlText w:val="•"/>
      <w:lvlJc w:val="left"/>
      <w:pPr>
        <w:tabs>
          <w:tab w:val="num" w:pos="2880"/>
        </w:tabs>
        <w:ind w:left="2880" w:hanging="360"/>
      </w:pPr>
      <w:rPr>
        <w:rFonts w:ascii="Arial" w:hAnsi="Arial" w:hint="default"/>
      </w:rPr>
    </w:lvl>
    <w:lvl w:ilvl="4" w:tplc="B5923BD6" w:tentative="1">
      <w:start w:val="1"/>
      <w:numFmt w:val="bullet"/>
      <w:lvlText w:val="•"/>
      <w:lvlJc w:val="left"/>
      <w:pPr>
        <w:tabs>
          <w:tab w:val="num" w:pos="3600"/>
        </w:tabs>
        <w:ind w:left="3600" w:hanging="360"/>
      </w:pPr>
      <w:rPr>
        <w:rFonts w:ascii="Arial" w:hAnsi="Arial" w:hint="default"/>
      </w:rPr>
    </w:lvl>
    <w:lvl w:ilvl="5" w:tplc="0FB26DC4" w:tentative="1">
      <w:start w:val="1"/>
      <w:numFmt w:val="bullet"/>
      <w:lvlText w:val="•"/>
      <w:lvlJc w:val="left"/>
      <w:pPr>
        <w:tabs>
          <w:tab w:val="num" w:pos="4320"/>
        </w:tabs>
        <w:ind w:left="4320" w:hanging="360"/>
      </w:pPr>
      <w:rPr>
        <w:rFonts w:ascii="Arial" w:hAnsi="Arial" w:hint="default"/>
      </w:rPr>
    </w:lvl>
    <w:lvl w:ilvl="6" w:tplc="5AA873AE" w:tentative="1">
      <w:start w:val="1"/>
      <w:numFmt w:val="bullet"/>
      <w:lvlText w:val="•"/>
      <w:lvlJc w:val="left"/>
      <w:pPr>
        <w:tabs>
          <w:tab w:val="num" w:pos="5040"/>
        </w:tabs>
        <w:ind w:left="5040" w:hanging="360"/>
      </w:pPr>
      <w:rPr>
        <w:rFonts w:ascii="Arial" w:hAnsi="Arial" w:hint="default"/>
      </w:rPr>
    </w:lvl>
    <w:lvl w:ilvl="7" w:tplc="5DD63718" w:tentative="1">
      <w:start w:val="1"/>
      <w:numFmt w:val="bullet"/>
      <w:lvlText w:val="•"/>
      <w:lvlJc w:val="left"/>
      <w:pPr>
        <w:tabs>
          <w:tab w:val="num" w:pos="5760"/>
        </w:tabs>
        <w:ind w:left="5760" w:hanging="360"/>
      </w:pPr>
      <w:rPr>
        <w:rFonts w:ascii="Arial" w:hAnsi="Arial" w:hint="default"/>
      </w:rPr>
    </w:lvl>
    <w:lvl w:ilvl="8" w:tplc="EC66C066"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B1C6E10"/>
    <w:multiLevelType w:val="hybridMultilevel"/>
    <w:tmpl w:val="5220E4F2"/>
    <w:lvl w:ilvl="0" w:tplc="FFFFFFFF">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CA0096"/>
    <w:multiLevelType w:val="hybridMultilevel"/>
    <w:tmpl w:val="6C8A836A"/>
    <w:lvl w:ilvl="0" w:tplc="24645970">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154542"/>
    <w:multiLevelType w:val="multilevel"/>
    <w:tmpl w:val="CD7221CE"/>
    <w:lvl w:ilvl="0">
      <w:start w:val="1"/>
      <w:numFmt w:val="bullet"/>
      <w:lvlText w:val=""/>
      <w:lvlJc w:val="left"/>
      <w:pPr>
        <w:ind w:left="720" w:firstLine="360"/>
      </w:pPr>
      <w:rPr>
        <w:rFonts w:ascii="Symbol" w:hAnsi="Symbol" w:hint="default"/>
      </w:rPr>
    </w:lvl>
    <w:lvl w:ilvl="1">
      <w:start w:val="1"/>
      <w:numFmt w:val="bullet"/>
      <w:lvlText w:val="•"/>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2" w15:restartNumberingAfterBreak="0">
    <w:nsid w:val="769F1032"/>
    <w:multiLevelType w:val="hybridMultilevel"/>
    <w:tmpl w:val="23C22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8C907F2"/>
    <w:multiLevelType w:val="hybridMultilevel"/>
    <w:tmpl w:val="DC9AA866"/>
    <w:lvl w:ilvl="0" w:tplc="FFFFFFFF">
      <w:numFmt w:val="bullet"/>
      <w:lvlText w:val="-"/>
      <w:lvlJc w:val="left"/>
      <w:pPr>
        <w:ind w:left="1080" w:hanging="360"/>
      </w:pPr>
      <w:rPr>
        <w:rFonts w:ascii="Times New Roman" w:eastAsia="Times New Roman" w:hAnsi="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790451E6"/>
    <w:multiLevelType w:val="hybridMultilevel"/>
    <w:tmpl w:val="BFAA652E"/>
    <w:lvl w:ilvl="0" w:tplc="24426FDC">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num w:numId="1">
    <w:abstractNumId w:val="1"/>
  </w:num>
  <w:num w:numId="2">
    <w:abstractNumId w:val="20"/>
  </w:num>
  <w:num w:numId="3">
    <w:abstractNumId w:val="34"/>
  </w:num>
  <w:num w:numId="4">
    <w:abstractNumId w:val="30"/>
  </w:num>
  <w:num w:numId="5">
    <w:abstractNumId w:val="23"/>
  </w:num>
  <w:num w:numId="6">
    <w:abstractNumId w:val="11"/>
  </w:num>
  <w:num w:numId="7">
    <w:abstractNumId w:val="32"/>
  </w:num>
  <w:num w:numId="8">
    <w:abstractNumId w:val="19"/>
  </w:num>
  <w:num w:numId="9">
    <w:abstractNumId w:val="9"/>
  </w:num>
  <w:num w:numId="10">
    <w:abstractNumId w:val="41"/>
  </w:num>
  <w:num w:numId="11">
    <w:abstractNumId w:val="13"/>
  </w:num>
  <w:num w:numId="12">
    <w:abstractNumId w:val="3"/>
  </w:num>
  <w:num w:numId="13">
    <w:abstractNumId w:val="18"/>
  </w:num>
  <w:num w:numId="14">
    <w:abstractNumId w:val="26"/>
  </w:num>
  <w:num w:numId="15">
    <w:abstractNumId w:val="10"/>
  </w:num>
  <w:num w:numId="16">
    <w:abstractNumId w:val="35"/>
  </w:num>
  <w:num w:numId="17">
    <w:abstractNumId w:val="37"/>
  </w:num>
  <w:num w:numId="18">
    <w:abstractNumId w:val="36"/>
  </w:num>
  <w:num w:numId="19">
    <w:abstractNumId w:val="40"/>
  </w:num>
  <w:num w:numId="20">
    <w:abstractNumId w:val="25"/>
  </w:num>
  <w:num w:numId="21">
    <w:abstractNumId w:val="43"/>
  </w:num>
  <w:num w:numId="22">
    <w:abstractNumId w:val="38"/>
  </w:num>
  <w:num w:numId="23">
    <w:abstractNumId w:val="7"/>
  </w:num>
  <w:num w:numId="24">
    <w:abstractNumId w:val="16"/>
  </w:num>
  <w:num w:numId="25">
    <w:abstractNumId w:val="39"/>
  </w:num>
  <w:num w:numId="26">
    <w:abstractNumId w:val="29"/>
  </w:num>
  <w:num w:numId="27">
    <w:abstractNumId w:val="2"/>
  </w:num>
  <w:num w:numId="28">
    <w:abstractNumId w:val="14"/>
  </w:num>
  <w:num w:numId="29">
    <w:abstractNumId w:val="15"/>
  </w:num>
  <w:num w:numId="30">
    <w:abstractNumId w:val="28"/>
  </w:num>
  <w:num w:numId="31">
    <w:abstractNumId w:val="8"/>
  </w:num>
  <w:num w:numId="32">
    <w:abstractNumId w:val="44"/>
  </w:num>
  <w:num w:numId="33">
    <w:abstractNumId w:val="33"/>
  </w:num>
  <w:num w:numId="34">
    <w:abstractNumId w:val="31"/>
  </w:num>
  <w:num w:numId="35">
    <w:abstractNumId w:val="27"/>
  </w:num>
  <w:num w:numId="36">
    <w:abstractNumId w:val="0"/>
  </w:num>
  <w:num w:numId="37">
    <w:abstractNumId w:val="22"/>
  </w:num>
  <w:num w:numId="38">
    <w:abstractNumId w:val="12"/>
  </w:num>
  <w:num w:numId="39">
    <w:abstractNumId w:val="6"/>
  </w:num>
  <w:num w:numId="40">
    <w:abstractNumId w:val="17"/>
  </w:num>
  <w:num w:numId="41">
    <w:abstractNumId w:val="24"/>
  </w:num>
  <w:num w:numId="42">
    <w:abstractNumId w:val="5"/>
  </w:num>
  <w:num w:numId="43">
    <w:abstractNumId w:val="42"/>
  </w:num>
  <w:num w:numId="44">
    <w:abstractNumId w:val="21"/>
  </w:num>
  <w:num w:numId="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141"/>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63CD"/>
    <w:rsid w:val="0000292E"/>
    <w:rsid w:val="000039A3"/>
    <w:rsid w:val="00016B01"/>
    <w:rsid w:val="00031DCD"/>
    <w:rsid w:val="00033336"/>
    <w:rsid w:val="00044869"/>
    <w:rsid w:val="000510A7"/>
    <w:rsid w:val="00055201"/>
    <w:rsid w:val="000557DA"/>
    <w:rsid w:val="00072345"/>
    <w:rsid w:val="000949D3"/>
    <w:rsid w:val="00094C07"/>
    <w:rsid w:val="000B290E"/>
    <w:rsid w:val="000B74CA"/>
    <w:rsid w:val="000C4C9D"/>
    <w:rsid w:val="000E51B4"/>
    <w:rsid w:val="000F6455"/>
    <w:rsid w:val="00107966"/>
    <w:rsid w:val="00112B40"/>
    <w:rsid w:val="00123A73"/>
    <w:rsid w:val="0012404C"/>
    <w:rsid w:val="00126245"/>
    <w:rsid w:val="0012710C"/>
    <w:rsid w:val="001366E5"/>
    <w:rsid w:val="001374C0"/>
    <w:rsid w:val="00150764"/>
    <w:rsid w:val="001579FE"/>
    <w:rsid w:val="00157D56"/>
    <w:rsid w:val="00184A75"/>
    <w:rsid w:val="00184AD7"/>
    <w:rsid w:val="00187A2D"/>
    <w:rsid w:val="0019199B"/>
    <w:rsid w:val="001A5B22"/>
    <w:rsid w:val="001B2D55"/>
    <w:rsid w:val="001B6080"/>
    <w:rsid w:val="001B64CB"/>
    <w:rsid w:val="001D623A"/>
    <w:rsid w:val="001D7017"/>
    <w:rsid w:val="001F010E"/>
    <w:rsid w:val="00204E29"/>
    <w:rsid w:val="0020724B"/>
    <w:rsid w:val="00210F2B"/>
    <w:rsid w:val="00212690"/>
    <w:rsid w:val="00223522"/>
    <w:rsid w:val="00227346"/>
    <w:rsid w:val="0024034F"/>
    <w:rsid w:val="00241BAC"/>
    <w:rsid w:val="002430DE"/>
    <w:rsid w:val="002472CD"/>
    <w:rsid w:val="002530C2"/>
    <w:rsid w:val="002548AE"/>
    <w:rsid w:val="00256BC5"/>
    <w:rsid w:val="002800FC"/>
    <w:rsid w:val="00282A31"/>
    <w:rsid w:val="002939B4"/>
    <w:rsid w:val="0029701A"/>
    <w:rsid w:val="002D644C"/>
    <w:rsid w:val="002E51DE"/>
    <w:rsid w:val="002F0776"/>
    <w:rsid w:val="003063CD"/>
    <w:rsid w:val="00306FF8"/>
    <w:rsid w:val="00311E8E"/>
    <w:rsid w:val="00312CF3"/>
    <w:rsid w:val="003372EF"/>
    <w:rsid w:val="00340473"/>
    <w:rsid w:val="0034346A"/>
    <w:rsid w:val="00351A5F"/>
    <w:rsid w:val="00353940"/>
    <w:rsid w:val="00356B78"/>
    <w:rsid w:val="00356F32"/>
    <w:rsid w:val="00360339"/>
    <w:rsid w:val="00371754"/>
    <w:rsid w:val="00383826"/>
    <w:rsid w:val="0038775C"/>
    <w:rsid w:val="00390E57"/>
    <w:rsid w:val="00395423"/>
    <w:rsid w:val="003B2BFE"/>
    <w:rsid w:val="003C7A05"/>
    <w:rsid w:val="003D5B12"/>
    <w:rsid w:val="003E0DBF"/>
    <w:rsid w:val="003F1BFC"/>
    <w:rsid w:val="003F487D"/>
    <w:rsid w:val="004039F4"/>
    <w:rsid w:val="004326E5"/>
    <w:rsid w:val="00435D37"/>
    <w:rsid w:val="004446B0"/>
    <w:rsid w:val="00457AFD"/>
    <w:rsid w:val="004639E5"/>
    <w:rsid w:val="004728C2"/>
    <w:rsid w:val="004B69C4"/>
    <w:rsid w:val="004B6C03"/>
    <w:rsid w:val="004C1B73"/>
    <w:rsid w:val="004D22C3"/>
    <w:rsid w:val="004D2E14"/>
    <w:rsid w:val="004D630A"/>
    <w:rsid w:val="004E4CFC"/>
    <w:rsid w:val="004F3FAE"/>
    <w:rsid w:val="00504E7D"/>
    <w:rsid w:val="00507728"/>
    <w:rsid w:val="0051596D"/>
    <w:rsid w:val="00520C73"/>
    <w:rsid w:val="005220A6"/>
    <w:rsid w:val="005238DA"/>
    <w:rsid w:val="00525CA5"/>
    <w:rsid w:val="00536846"/>
    <w:rsid w:val="00536CB0"/>
    <w:rsid w:val="0055575F"/>
    <w:rsid w:val="0056359E"/>
    <w:rsid w:val="005639C8"/>
    <w:rsid w:val="00566891"/>
    <w:rsid w:val="00567A7E"/>
    <w:rsid w:val="00567EC7"/>
    <w:rsid w:val="0058400E"/>
    <w:rsid w:val="00587619"/>
    <w:rsid w:val="005A34F4"/>
    <w:rsid w:val="005B0BEC"/>
    <w:rsid w:val="005B4CBA"/>
    <w:rsid w:val="005C4C14"/>
    <w:rsid w:val="005C4E5E"/>
    <w:rsid w:val="005E1B55"/>
    <w:rsid w:val="005F129B"/>
    <w:rsid w:val="005F3625"/>
    <w:rsid w:val="005F508E"/>
    <w:rsid w:val="0060162C"/>
    <w:rsid w:val="00607312"/>
    <w:rsid w:val="0061420E"/>
    <w:rsid w:val="00624442"/>
    <w:rsid w:val="006369EE"/>
    <w:rsid w:val="006433AD"/>
    <w:rsid w:val="00657B84"/>
    <w:rsid w:val="006613BD"/>
    <w:rsid w:val="00667D34"/>
    <w:rsid w:val="00683D97"/>
    <w:rsid w:val="006857A1"/>
    <w:rsid w:val="006B0FD6"/>
    <w:rsid w:val="006B392D"/>
    <w:rsid w:val="006B473C"/>
    <w:rsid w:val="00700842"/>
    <w:rsid w:val="00717BD5"/>
    <w:rsid w:val="00721226"/>
    <w:rsid w:val="007316EA"/>
    <w:rsid w:val="007329DB"/>
    <w:rsid w:val="0074442B"/>
    <w:rsid w:val="007477A4"/>
    <w:rsid w:val="00751958"/>
    <w:rsid w:val="00752829"/>
    <w:rsid w:val="007629DA"/>
    <w:rsid w:val="00767C6F"/>
    <w:rsid w:val="0077448C"/>
    <w:rsid w:val="00780955"/>
    <w:rsid w:val="007B33FE"/>
    <w:rsid w:val="007B5DDB"/>
    <w:rsid w:val="007C17A7"/>
    <w:rsid w:val="007C55BF"/>
    <w:rsid w:val="007D0C57"/>
    <w:rsid w:val="007E0B08"/>
    <w:rsid w:val="007E4B9C"/>
    <w:rsid w:val="007F46AD"/>
    <w:rsid w:val="007F65B7"/>
    <w:rsid w:val="008001BE"/>
    <w:rsid w:val="00811D09"/>
    <w:rsid w:val="0081264B"/>
    <w:rsid w:val="00815F3F"/>
    <w:rsid w:val="00817A95"/>
    <w:rsid w:val="00822D33"/>
    <w:rsid w:val="0082360C"/>
    <w:rsid w:val="00827C8C"/>
    <w:rsid w:val="00832DC0"/>
    <w:rsid w:val="00834D5E"/>
    <w:rsid w:val="00840126"/>
    <w:rsid w:val="00853E34"/>
    <w:rsid w:val="008570D3"/>
    <w:rsid w:val="00860E6F"/>
    <w:rsid w:val="00864473"/>
    <w:rsid w:val="008723B4"/>
    <w:rsid w:val="00887D4E"/>
    <w:rsid w:val="0089590B"/>
    <w:rsid w:val="008A2237"/>
    <w:rsid w:val="008A262F"/>
    <w:rsid w:val="008A45F4"/>
    <w:rsid w:val="008C4F16"/>
    <w:rsid w:val="008C6327"/>
    <w:rsid w:val="00901601"/>
    <w:rsid w:val="009078A0"/>
    <w:rsid w:val="00921BFA"/>
    <w:rsid w:val="00923187"/>
    <w:rsid w:val="00950D3D"/>
    <w:rsid w:val="00974150"/>
    <w:rsid w:val="0098043E"/>
    <w:rsid w:val="0098738C"/>
    <w:rsid w:val="00991553"/>
    <w:rsid w:val="00995174"/>
    <w:rsid w:val="009A615E"/>
    <w:rsid w:val="009B12EC"/>
    <w:rsid w:val="009B56F7"/>
    <w:rsid w:val="009B6680"/>
    <w:rsid w:val="009C6D72"/>
    <w:rsid w:val="009D453A"/>
    <w:rsid w:val="009D6984"/>
    <w:rsid w:val="009E066E"/>
    <w:rsid w:val="009E60D5"/>
    <w:rsid w:val="009E613B"/>
    <w:rsid w:val="009F0834"/>
    <w:rsid w:val="009F2DBD"/>
    <w:rsid w:val="00A03423"/>
    <w:rsid w:val="00A20206"/>
    <w:rsid w:val="00A265D9"/>
    <w:rsid w:val="00A32FA1"/>
    <w:rsid w:val="00A40338"/>
    <w:rsid w:val="00A53861"/>
    <w:rsid w:val="00A56BB0"/>
    <w:rsid w:val="00A67373"/>
    <w:rsid w:val="00A87586"/>
    <w:rsid w:val="00A90983"/>
    <w:rsid w:val="00AA067A"/>
    <w:rsid w:val="00AA4DEA"/>
    <w:rsid w:val="00AB5C6F"/>
    <w:rsid w:val="00AB7B78"/>
    <w:rsid w:val="00AC03F4"/>
    <w:rsid w:val="00AD112A"/>
    <w:rsid w:val="00AD27BA"/>
    <w:rsid w:val="00AE0CD0"/>
    <w:rsid w:val="00AF7298"/>
    <w:rsid w:val="00B0321E"/>
    <w:rsid w:val="00B07245"/>
    <w:rsid w:val="00B10534"/>
    <w:rsid w:val="00B10E0A"/>
    <w:rsid w:val="00B15D6E"/>
    <w:rsid w:val="00B311F2"/>
    <w:rsid w:val="00B5118A"/>
    <w:rsid w:val="00B528F5"/>
    <w:rsid w:val="00B567CD"/>
    <w:rsid w:val="00B71C65"/>
    <w:rsid w:val="00B77C05"/>
    <w:rsid w:val="00BA3552"/>
    <w:rsid w:val="00BA500F"/>
    <w:rsid w:val="00BC1C91"/>
    <w:rsid w:val="00BE7D66"/>
    <w:rsid w:val="00BF0F64"/>
    <w:rsid w:val="00BF6263"/>
    <w:rsid w:val="00C0323C"/>
    <w:rsid w:val="00C03394"/>
    <w:rsid w:val="00C07F5E"/>
    <w:rsid w:val="00C1321C"/>
    <w:rsid w:val="00C17689"/>
    <w:rsid w:val="00C2622E"/>
    <w:rsid w:val="00C340D1"/>
    <w:rsid w:val="00C45161"/>
    <w:rsid w:val="00C457B7"/>
    <w:rsid w:val="00C52C34"/>
    <w:rsid w:val="00C52EC4"/>
    <w:rsid w:val="00C60052"/>
    <w:rsid w:val="00C74B74"/>
    <w:rsid w:val="00C824C0"/>
    <w:rsid w:val="00C829C7"/>
    <w:rsid w:val="00C9028C"/>
    <w:rsid w:val="00CB6EAF"/>
    <w:rsid w:val="00CC0614"/>
    <w:rsid w:val="00CD125D"/>
    <w:rsid w:val="00CD13CB"/>
    <w:rsid w:val="00CD35EA"/>
    <w:rsid w:val="00CE3565"/>
    <w:rsid w:val="00CE3BE1"/>
    <w:rsid w:val="00CF3AB1"/>
    <w:rsid w:val="00CF4CA6"/>
    <w:rsid w:val="00D109F1"/>
    <w:rsid w:val="00D17173"/>
    <w:rsid w:val="00D21782"/>
    <w:rsid w:val="00D60EA0"/>
    <w:rsid w:val="00D72EB2"/>
    <w:rsid w:val="00D76616"/>
    <w:rsid w:val="00D8176E"/>
    <w:rsid w:val="00D833CF"/>
    <w:rsid w:val="00D83AEB"/>
    <w:rsid w:val="00D86A5B"/>
    <w:rsid w:val="00D90850"/>
    <w:rsid w:val="00D93BF2"/>
    <w:rsid w:val="00DA269C"/>
    <w:rsid w:val="00DB0FAF"/>
    <w:rsid w:val="00DC0DA0"/>
    <w:rsid w:val="00DD4298"/>
    <w:rsid w:val="00DE7190"/>
    <w:rsid w:val="00DF0621"/>
    <w:rsid w:val="00DF2532"/>
    <w:rsid w:val="00E05CD3"/>
    <w:rsid w:val="00E353BE"/>
    <w:rsid w:val="00E37D14"/>
    <w:rsid w:val="00E47758"/>
    <w:rsid w:val="00E51845"/>
    <w:rsid w:val="00E522B7"/>
    <w:rsid w:val="00E6295F"/>
    <w:rsid w:val="00E66938"/>
    <w:rsid w:val="00E92327"/>
    <w:rsid w:val="00E94E92"/>
    <w:rsid w:val="00EB153D"/>
    <w:rsid w:val="00EB359C"/>
    <w:rsid w:val="00EB7B58"/>
    <w:rsid w:val="00EC5F70"/>
    <w:rsid w:val="00ED7BD0"/>
    <w:rsid w:val="00EF51CB"/>
    <w:rsid w:val="00F03B9A"/>
    <w:rsid w:val="00F06BA4"/>
    <w:rsid w:val="00F16A69"/>
    <w:rsid w:val="00F24787"/>
    <w:rsid w:val="00F3438B"/>
    <w:rsid w:val="00F34459"/>
    <w:rsid w:val="00F3663E"/>
    <w:rsid w:val="00F406AE"/>
    <w:rsid w:val="00F47320"/>
    <w:rsid w:val="00F473DB"/>
    <w:rsid w:val="00F56480"/>
    <w:rsid w:val="00F73FA2"/>
    <w:rsid w:val="00F9426F"/>
    <w:rsid w:val="00FA1043"/>
    <w:rsid w:val="00FB225E"/>
    <w:rsid w:val="00FB7915"/>
    <w:rsid w:val="00FE3399"/>
    <w:rsid w:val="00FF0078"/>
    <w:rsid w:val="00FF40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2CB30B-C4BC-407C-A53D-89F603D11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6080"/>
  </w:style>
  <w:style w:type="paragraph" w:styleId="Heading2">
    <w:name w:val="heading 2"/>
    <w:basedOn w:val="Normal"/>
    <w:link w:val="Heading2Char"/>
    <w:uiPriority w:val="9"/>
    <w:qFormat/>
    <w:rsid w:val="00B311F2"/>
    <w:pPr>
      <w:widowControl w:val="0"/>
      <w:spacing w:after="0" w:line="240" w:lineRule="auto"/>
      <w:ind w:left="100"/>
      <w:outlineLvl w:val="1"/>
    </w:pPr>
    <w:rPr>
      <w:rFonts w:ascii="Times New Roman" w:eastAsia="Times New Roman" w:hAnsi="Times New Roman"/>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13CB"/>
    <w:pPr>
      <w:spacing w:after="0" w:line="240" w:lineRule="auto"/>
      <w:ind w:left="720"/>
      <w:contextualSpacing/>
    </w:pPr>
    <w:rPr>
      <w:rFonts w:ascii="Sylfaen" w:hAnsi="Sylfaen" w:cs="Times New Roman"/>
    </w:rPr>
  </w:style>
  <w:style w:type="table" w:styleId="TableGrid">
    <w:name w:val="Table Grid"/>
    <w:basedOn w:val="TableNormal"/>
    <w:uiPriority w:val="59"/>
    <w:rsid w:val="00F564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37D14"/>
    <w:rPr>
      <w:sz w:val="16"/>
      <w:szCs w:val="16"/>
    </w:rPr>
  </w:style>
  <w:style w:type="paragraph" w:styleId="CommentText">
    <w:name w:val="annotation text"/>
    <w:basedOn w:val="Normal"/>
    <w:link w:val="CommentTextChar"/>
    <w:uiPriority w:val="99"/>
    <w:semiHidden/>
    <w:unhideWhenUsed/>
    <w:rsid w:val="00E37D14"/>
    <w:pPr>
      <w:spacing w:line="240" w:lineRule="auto"/>
    </w:pPr>
    <w:rPr>
      <w:sz w:val="20"/>
      <w:szCs w:val="20"/>
    </w:rPr>
  </w:style>
  <w:style w:type="character" w:customStyle="1" w:styleId="CommentTextChar">
    <w:name w:val="Comment Text Char"/>
    <w:basedOn w:val="DefaultParagraphFont"/>
    <w:link w:val="CommentText"/>
    <w:uiPriority w:val="99"/>
    <w:semiHidden/>
    <w:rsid w:val="00E37D14"/>
    <w:rPr>
      <w:sz w:val="20"/>
      <w:szCs w:val="20"/>
    </w:rPr>
  </w:style>
  <w:style w:type="paragraph" w:styleId="CommentSubject">
    <w:name w:val="annotation subject"/>
    <w:basedOn w:val="CommentText"/>
    <w:next w:val="CommentText"/>
    <w:link w:val="CommentSubjectChar"/>
    <w:uiPriority w:val="99"/>
    <w:semiHidden/>
    <w:unhideWhenUsed/>
    <w:rsid w:val="00E37D14"/>
    <w:rPr>
      <w:b/>
      <w:bCs/>
    </w:rPr>
  </w:style>
  <w:style w:type="character" w:customStyle="1" w:styleId="CommentSubjectChar">
    <w:name w:val="Comment Subject Char"/>
    <w:basedOn w:val="CommentTextChar"/>
    <w:link w:val="CommentSubject"/>
    <w:uiPriority w:val="99"/>
    <w:semiHidden/>
    <w:rsid w:val="00E37D14"/>
    <w:rPr>
      <w:b/>
      <w:bCs/>
      <w:sz w:val="20"/>
      <w:szCs w:val="20"/>
    </w:rPr>
  </w:style>
  <w:style w:type="paragraph" w:styleId="BalloonText">
    <w:name w:val="Balloon Text"/>
    <w:basedOn w:val="Normal"/>
    <w:link w:val="BalloonTextChar"/>
    <w:uiPriority w:val="99"/>
    <w:semiHidden/>
    <w:unhideWhenUsed/>
    <w:rsid w:val="00E37D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7D14"/>
    <w:rPr>
      <w:rFonts w:ascii="Segoe UI" w:hAnsi="Segoe UI" w:cs="Segoe UI"/>
      <w:sz w:val="18"/>
      <w:szCs w:val="18"/>
    </w:rPr>
  </w:style>
  <w:style w:type="paragraph" w:styleId="NormalWeb">
    <w:name w:val="Normal (Web)"/>
    <w:basedOn w:val="Normal"/>
    <w:uiPriority w:val="99"/>
    <w:semiHidden/>
    <w:unhideWhenUsed/>
    <w:rsid w:val="00860E6F"/>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CB6EAF"/>
    <w:pPr>
      <w:spacing w:after="0" w:line="240" w:lineRule="auto"/>
    </w:pPr>
  </w:style>
  <w:style w:type="character" w:customStyle="1" w:styleId="Heading2Char">
    <w:name w:val="Heading 2 Char"/>
    <w:basedOn w:val="DefaultParagraphFont"/>
    <w:link w:val="Heading2"/>
    <w:uiPriority w:val="9"/>
    <w:rsid w:val="00B311F2"/>
    <w:rPr>
      <w:rFonts w:ascii="Times New Roman" w:eastAsia="Times New Roman" w:hAnsi="Times New Roman"/>
      <w:b/>
      <w:bCs/>
      <w:i/>
      <w:sz w:val="24"/>
      <w:szCs w:val="24"/>
    </w:rPr>
  </w:style>
  <w:style w:type="table" w:customStyle="1" w:styleId="TableGrid1">
    <w:name w:val="Table Grid1"/>
    <w:basedOn w:val="TableNormal"/>
    <w:next w:val="TableGrid"/>
    <w:uiPriority w:val="59"/>
    <w:rsid w:val="00CD12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855936">
      <w:bodyDiv w:val="1"/>
      <w:marLeft w:val="0"/>
      <w:marRight w:val="0"/>
      <w:marTop w:val="0"/>
      <w:marBottom w:val="0"/>
      <w:divBdr>
        <w:top w:val="none" w:sz="0" w:space="0" w:color="auto"/>
        <w:left w:val="none" w:sz="0" w:space="0" w:color="auto"/>
        <w:bottom w:val="none" w:sz="0" w:space="0" w:color="auto"/>
        <w:right w:val="none" w:sz="0" w:space="0" w:color="auto"/>
      </w:divBdr>
    </w:div>
    <w:div w:id="1026515654">
      <w:bodyDiv w:val="1"/>
      <w:marLeft w:val="0"/>
      <w:marRight w:val="0"/>
      <w:marTop w:val="0"/>
      <w:marBottom w:val="0"/>
      <w:divBdr>
        <w:top w:val="none" w:sz="0" w:space="0" w:color="auto"/>
        <w:left w:val="none" w:sz="0" w:space="0" w:color="auto"/>
        <w:bottom w:val="none" w:sz="0" w:space="0" w:color="auto"/>
        <w:right w:val="none" w:sz="0" w:space="0" w:color="auto"/>
      </w:divBdr>
    </w:div>
    <w:div w:id="1104301688">
      <w:bodyDiv w:val="1"/>
      <w:marLeft w:val="0"/>
      <w:marRight w:val="0"/>
      <w:marTop w:val="0"/>
      <w:marBottom w:val="0"/>
      <w:divBdr>
        <w:top w:val="none" w:sz="0" w:space="0" w:color="auto"/>
        <w:left w:val="none" w:sz="0" w:space="0" w:color="auto"/>
        <w:bottom w:val="none" w:sz="0" w:space="0" w:color="auto"/>
        <w:right w:val="none" w:sz="0" w:space="0" w:color="auto"/>
      </w:divBdr>
    </w:div>
    <w:div w:id="1304388670">
      <w:bodyDiv w:val="1"/>
      <w:marLeft w:val="0"/>
      <w:marRight w:val="0"/>
      <w:marTop w:val="0"/>
      <w:marBottom w:val="0"/>
      <w:divBdr>
        <w:top w:val="none" w:sz="0" w:space="0" w:color="auto"/>
        <w:left w:val="none" w:sz="0" w:space="0" w:color="auto"/>
        <w:bottom w:val="none" w:sz="0" w:space="0" w:color="auto"/>
        <w:right w:val="none" w:sz="0" w:space="0" w:color="auto"/>
      </w:divBdr>
    </w:div>
    <w:div w:id="1346782817">
      <w:bodyDiv w:val="1"/>
      <w:marLeft w:val="0"/>
      <w:marRight w:val="0"/>
      <w:marTop w:val="0"/>
      <w:marBottom w:val="0"/>
      <w:divBdr>
        <w:top w:val="none" w:sz="0" w:space="0" w:color="auto"/>
        <w:left w:val="none" w:sz="0" w:space="0" w:color="auto"/>
        <w:bottom w:val="none" w:sz="0" w:space="0" w:color="auto"/>
        <w:right w:val="none" w:sz="0" w:space="0" w:color="auto"/>
      </w:divBdr>
    </w:div>
    <w:div w:id="1439452236">
      <w:bodyDiv w:val="1"/>
      <w:marLeft w:val="0"/>
      <w:marRight w:val="0"/>
      <w:marTop w:val="0"/>
      <w:marBottom w:val="0"/>
      <w:divBdr>
        <w:top w:val="none" w:sz="0" w:space="0" w:color="auto"/>
        <w:left w:val="none" w:sz="0" w:space="0" w:color="auto"/>
        <w:bottom w:val="none" w:sz="0" w:space="0" w:color="auto"/>
        <w:right w:val="none" w:sz="0" w:space="0" w:color="auto"/>
      </w:divBdr>
      <w:divsChild>
        <w:div w:id="23141581">
          <w:marLeft w:val="360"/>
          <w:marRight w:val="0"/>
          <w:marTop w:val="200"/>
          <w:marBottom w:val="0"/>
          <w:divBdr>
            <w:top w:val="none" w:sz="0" w:space="0" w:color="auto"/>
            <w:left w:val="none" w:sz="0" w:space="0" w:color="auto"/>
            <w:bottom w:val="none" w:sz="0" w:space="0" w:color="auto"/>
            <w:right w:val="none" w:sz="0" w:space="0" w:color="auto"/>
          </w:divBdr>
        </w:div>
        <w:div w:id="216010564">
          <w:marLeft w:val="360"/>
          <w:marRight w:val="0"/>
          <w:marTop w:val="200"/>
          <w:marBottom w:val="0"/>
          <w:divBdr>
            <w:top w:val="none" w:sz="0" w:space="0" w:color="auto"/>
            <w:left w:val="none" w:sz="0" w:space="0" w:color="auto"/>
            <w:bottom w:val="none" w:sz="0" w:space="0" w:color="auto"/>
            <w:right w:val="none" w:sz="0" w:space="0" w:color="auto"/>
          </w:divBdr>
        </w:div>
        <w:div w:id="289630662">
          <w:marLeft w:val="360"/>
          <w:marRight w:val="0"/>
          <w:marTop w:val="200"/>
          <w:marBottom w:val="0"/>
          <w:divBdr>
            <w:top w:val="none" w:sz="0" w:space="0" w:color="auto"/>
            <w:left w:val="none" w:sz="0" w:space="0" w:color="auto"/>
            <w:bottom w:val="none" w:sz="0" w:space="0" w:color="auto"/>
            <w:right w:val="none" w:sz="0" w:space="0" w:color="auto"/>
          </w:divBdr>
        </w:div>
        <w:div w:id="918175544">
          <w:marLeft w:val="360"/>
          <w:marRight w:val="0"/>
          <w:marTop w:val="200"/>
          <w:marBottom w:val="0"/>
          <w:divBdr>
            <w:top w:val="none" w:sz="0" w:space="0" w:color="auto"/>
            <w:left w:val="none" w:sz="0" w:space="0" w:color="auto"/>
            <w:bottom w:val="none" w:sz="0" w:space="0" w:color="auto"/>
            <w:right w:val="none" w:sz="0" w:space="0" w:color="auto"/>
          </w:divBdr>
        </w:div>
        <w:div w:id="1735811192">
          <w:marLeft w:val="360"/>
          <w:marRight w:val="0"/>
          <w:marTop w:val="200"/>
          <w:marBottom w:val="0"/>
          <w:divBdr>
            <w:top w:val="none" w:sz="0" w:space="0" w:color="auto"/>
            <w:left w:val="none" w:sz="0" w:space="0" w:color="auto"/>
            <w:bottom w:val="none" w:sz="0" w:space="0" w:color="auto"/>
            <w:right w:val="none" w:sz="0" w:space="0" w:color="auto"/>
          </w:divBdr>
        </w:div>
      </w:divsChild>
    </w:div>
    <w:div w:id="1484543030">
      <w:bodyDiv w:val="1"/>
      <w:marLeft w:val="0"/>
      <w:marRight w:val="0"/>
      <w:marTop w:val="0"/>
      <w:marBottom w:val="0"/>
      <w:divBdr>
        <w:top w:val="none" w:sz="0" w:space="0" w:color="auto"/>
        <w:left w:val="none" w:sz="0" w:space="0" w:color="auto"/>
        <w:bottom w:val="none" w:sz="0" w:space="0" w:color="auto"/>
        <w:right w:val="none" w:sz="0" w:space="0" w:color="auto"/>
      </w:divBdr>
      <w:divsChild>
        <w:div w:id="622883794">
          <w:marLeft w:val="360"/>
          <w:marRight w:val="0"/>
          <w:marTop w:val="120"/>
          <w:marBottom w:val="0"/>
          <w:divBdr>
            <w:top w:val="none" w:sz="0" w:space="0" w:color="auto"/>
            <w:left w:val="none" w:sz="0" w:space="0" w:color="auto"/>
            <w:bottom w:val="none" w:sz="0" w:space="0" w:color="auto"/>
            <w:right w:val="none" w:sz="0" w:space="0" w:color="auto"/>
          </w:divBdr>
        </w:div>
        <w:div w:id="1527332652">
          <w:marLeft w:val="360"/>
          <w:marRight w:val="0"/>
          <w:marTop w:val="200"/>
          <w:marBottom w:val="0"/>
          <w:divBdr>
            <w:top w:val="none" w:sz="0" w:space="0" w:color="auto"/>
            <w:left w:val="none" w:sz="0" w:space="0" w:color="auto"/>
            <w:bottom w:val="none" w:sz="0" w:space="0" w:color="auto"/>
            <w:right w:val="none" w:sz="0" w:space="0" w:color="auto"/>
          </w:divBdr>
        </w:div>
      </w:divsChild>
    </w:div>
    <w:div w:id="1548298621">
      <w:bodyDiv w:val="1"/>
      <w:marLeft w:val="0"/>
      <w:marRight w:val="0"/>
      <w:marTop w:val="0"/>
      <w:marBottom w:val="0"/>
      <w:divBdr>
        <w:top w:val="none" w:sz="0" w:space="0" w:color="auto"/>
        <w:left w:val="none" w:sz="0" w:space="0" w:color="auto"/>
        <w:bottom w:val="none" w:sz="0" w:space="0" w:color="auto"/>
        <w:right w:val="none" w:sz="0" w:space="0" w:color="auto"/>
      </w:divBdr>
      <w:divsChild>
        <w:div w:id="864562441">
          <w:marLeft w:val="360"/>
          <w:marRight w:val="0"/>
          <w:marTop w:val="0"/>
          <w:marBottom w:val="0"/>
          <w:divBdr>
            <w:top w:val="none" w:sz="0" w:space="0" w:color="auto"/>
            <w:left w:val="none" w:sz="0" w:space="0" w:color="auto"/>
            <w:bottom w:val="none" w:sz="0" w:space="0" w:color="auto"/>
            <w:right w:val="none" w:sz="0" w:space="0" w:color="auto"/>
          </w:divBdr>
        </w:div>
        <w:div w:id="1083339249">
          <w:marLeft w:val="360"/>
          <w:marRight w:val="0"/>
          <w:marTop w:val="0"/>
          <w:marBottom w:val="0"/>
          <w:divBdr>
            <w:top w:val="none" w:sz="0" w:space="0" w:color="auto"/>
            <w:left w:val="none" w:sz="0" w:space="0" w:color="auto"/>
            <w:bottom w:val="none" w:sz="0" w:space="0" w:color="auto"/>
            <w:right w:val="none" w:sz="0" w:space="0" w:color="auto"/>
          </w:divBdr>
        </w:div>
        <w:div w:id="1125082248">
          <w:marLeft w:val="360"/>
          <w:marRight w:val="0"/>
          <w:marTop w:val="0"/>
          <w:marBottom w:val="0"/>
          <w:divBdr>
            <w:top w:val="none" w:sz="0" w:space="0" w:color="auto"/>
            <w:left w:val="none" w:sz="0" w:space="0" w:color="auto"/>
            <w:bottom w:val="none" w:sz="0" w:space="0" w:color="auto"/>
            <w:right w:val="none" w:sz="0" w:space="0" w:color="auto"/>
          </w:divBdr>
        </w:div>
        <w:div w:id="1273630243">
          <w:marLeft w:val="360"/>
          <w:marRight w:val="0"/>
          <w:marTop w:val="0"/>
          <w:marBottom w:val="0"/>
          <w:divBdr>
            <w:top w:val="none" w:sz="0" w:space="0" w:color="auto"/>
            <w:left w:val="none" w:sz="0" w:space="0" w:color="auto"/>
            <w:bottom w:val="none" w:sz="0" w:space="0" w:color="auto"/>
            <w:right w:val="none" w:sz="0" w:space="0" w:color="auto"/>
          </w:divBdr>
        </w:div>
        <w:div w:id="1446728629">
          <w:marLeft w:val="360"/>
          <w:marRight w:val="0"/>
          <w:marTop w:val="0"/>
          <w:marBottom w:val="0"/>
          <w:divBdr>
            <w:top w:val="none" w:sz="0" w:space="0" w:color="auto"/>
            <w:left w:val="none" w:sz="0" w:space="0" w:color="auto"/>
            <w:bottom w:val="none" w:sz="0" w:space="0" w:color="auto"/>
            <w:right w:val="none" w:sz="0" w:space="0" w:color="auto"/>
          </w:divBdr>
        </w:div>
        <w:div w:id="1780101155">
          <w:marLeft w:val="360"/>
          <w:marRight w:val="0"/>
          <w:marTop w:val="0"/>
          <w:marBottom w:val="0"/>
          <w:divBdr>
            <w:top w:val="none" w:sz="0" w:space="0" w:color="auto"/>
            <w:left w:val="none" w:sz="0" w:space="0" w:color="auto"/>
            <w:bottom w:val="none" w:sz="0" w:space="0" w:color="auto"/>
            <w:right w:val="none" w:sz="0" w:space="0" w:color="auto"/>
          </w:divBdr>
        </w:div>
      </w:divsChild>
    </w:div>
    <w:div w:id="1570580889">
      <w:bodyDiv w:val="1"/>
      <w:marLeft w:val="0"/>
      <w:marRight w:val="0"/>
      <w:marTop w:val="0"/>
      <w:marBottom w:val="0"/>
      <w:divBdr>
        <w:top w:val="none" w:sz="0" w:space="0" w:color="auto"/>
        <w:left w:val="none" w:sz="0" w:space="0" w:color="auto"/>
        <w:bottom w:val="none" w:sz="0" w:space="0" w:color="auto"/>
        <w:right w:val="none" w:sz="0" w:space="0" w:color="auto"/>
      </w:divBdr>
    </w:div>
    <w:div w:id="1590844202">
      <w:bodyDiv w:val="1"/>
      <w:marLeft w:val="0"/>
      <w:marRight w:val="0"/>
      <w:marTop w:val="0"/>
      <w:marBottom w:val="0"/>
      <w:divBdr>
        <w:top w:val="none" w:sz="0" w:space="0" w:color="auto"/>
        <w:left w:val="none" w:sz="0" w:space="0" w:color="auto"/>
        <w:bottom w:val="none" w:sz="0" w:space="0" w:color="auto"/>
        <w:right w:val="none" w:sz="0" w:space="0" w:color="auto"/>
      </w:divBdr>
    </w:div>
    <w:div w:id="1814759380">
      <w:bodyDiv w:val="1"/>
      <w:marLeft w:val="0"/>
      <w:marRight w:val="0"/>
      <w:marTop w:val="0"/>
      <w:marBottom w:val="0"/>
      <w:divBdr>
        <w:top w:val="none" w:sz="0" w:space="0" w:color="auto"/>
        <w:left w:val="none" w:sz="0" w:space="0" w:color="auto"/>
        <w:bottom w:val="none" w:sz="0" w:space="0" w:color="auto"/>
        <w:right w:val="none" w:sz="0" w:space="0" w:color="auto"/>
      </w:divBdr>
      <w:divsChild>
        <w:div w:id="217208614">
          <w:marLeft w:val="720"/>
          <w:marRight w:val="0"/>
          <w:marTop w:val="0"/>
          <w:marBottom w:val="0"/>
          <w:divBdr>
            <w:top w:val="none" w:sz="0" w:space="0" w:color="auto"/>
            <w:left w:val="none" w:sz="0" w:space="0" w:color="auto"/>
            <w:bottom w:val="none" w:sz="0" w:space="0" w:color="auto"/>
            <w:right w:val="none" w:sz="0" w:space="0" w:color="auto"/>
          </w:divBdr>
        </w:div>
        <w:div w:id="454257739">
          <w:marLeft w:val="720"/>
          <w:marRight w:val="0"/>
          <w:marTop w:val="0"/>
          <w:marBottom w:val="0"/>
          <w:divBdr>
            <w:top w:val="none" w:sz="0" w:space="0" w:color="auto"/>
            <w:left w:val="none" w:sz="0" w:space="0" w:color="auto"/>
            <w:bottom w:val="none" w:sz="0" w:space="0" w:color="auto"/>
            <w:right w:val="none" w:sz="0" w:space="0" w:color="auto"/>
          </w:divBdr>
        </w:div>
        <w:div w:id="1246961807">
          <w:marLeft w:val="720"/>
          <w:marRight w:val="0"/>
          <w:marTop w:val="0"/>
          <w:marBottom w:val="0"/>
          <w:divBdr>
            <w:top w:val="none" w:sz="0" w:space="0" w:color="auto"/>
            <w:left w:val="none" w:sz="0" w:space="0" w:color="auto"/>
            <w:bottom w:val="none" w:sz="0" w:space="0" w:color="auto"/>
            <w:right w:val="none" w:sz="0" w:space="0" w:color="auto"/>
          </w:divBdr>
        </w:div>
        <w:div w:id="1473131666">
          <w:marLeft w:val="720"/>
          <w:marRight w:val="0"/>
          <w:marTop w:val="0"/>
          <w:marBottom w:val="0"/>
          <w:divBdr>
            <w:top w:val="none" w:sz="0" w:space="0" w:color="auto"/>
            <w:left w:val="none" w:sz="0" w:space="0" w:color="auto"/>
            <w:bottom w:val="none" w:sz="0" w:space="0" w:color="auto"/>
            <w:right w:val="none" w:sz="0" w:space="0" w:color="auto"/>
          </w:divBdr>
        </w:div>
        <w:div w:id="1517621731">
          <w:marLeft w:val="720"/>
          <w:marRight w:val="0"/>
          <w:marTop w:val="0"/>
          <w:marBottom w:val="0"/>
          <w:divBdr>
            <w:top w:val="none" w:sz="0" w:space="0" w:color="auto"/>
            <w:left w:val="none" w:sz="0" w:space="0" w:color="auto"/>
            <w:bottom w:val="none" w:sz="0" w:space="0" w:color="auto"/>
            <w:right w:val="none" w:sz="0" w:space="0" w:color="auto"/>
          </w:divBdr>
        </w:div>
        <w:div w:id="1677221120">
          <w:marLeft w:val="720"/>
          <w:marRight w:val="0"/>
          <w:marTop w:val="0"/>
          <w:marBottom w:val="0"/>
          <w:divBdr>
            <w:top w:val="none" w:sz="0" w:space="0" w:color="auto"/>
            <w:left w:val="none" w:sz="0" w:space="0" w:color="auto"/>
            <w:bottom w:val="none" w:sz="0" w:space="0" w:color="auto"/>
            <w:right w:val="none" w:sz="0" w:space="0" w:color="auto"/>
          </w:divBdr>
        </w:div>
        <w:div w:id="1896159746">
          <w:marLeft w:val="720"/>
          <w:marRight w:val="0"/>
          <w:marTop w:val="0"/>
          <w:marBottom w:val="0"/>
          <w:divBdr>
            <w:top w:val="none" w:sz="0" w:space="0" w:color="auto"/>
            <w:left w:val="none" w:sz="0" w:space="0" w:color="auto"/>
            <w:bottom w:val="none" w:sz="0" w:space="0" w:color="auto"/>
            <w:right w:val="none" w:sz="0" w:space="0" w:color="auto"/>
          </w:divBdr>
        </w:div>
        <w:div w:id="1975330229">
          <w:marLeft w:val="720"/>
          <w:marRight w:val="0"/>
          <w:marTop w:val="0"/>
          <w:marBottom w:val="0"/>
          <w:divBdr>
            <w:top w:val="none" w:sz="0" w:space="0" w:color="auto"/>
            <w:left w:val="none" w:sz="0" w:space="0" w:color="auto"/>
            <w:bottom w:val="none" w:sz="0" w:space="0" w:color="auto"/>
            <w:right w:val="none" w:sz="0" w:space="0" w:color="auto"/>
          </w:divBdr>
        </w:div>
        <w:div w:id="1995835393">
          <w:marLeft w:val="720"/>
          <w:marRight w:val="0"/>
          <w:marTop w:val="0"/>
          <w:marBottom w:val="0"/>
          <w:divBdr>
            <w:top w:val="none" w:sz="0" w:space="0" w:color="auto"/>
            <w:left w:val="none" w:sz="0" w:space="0" w:color="auto"/>
            <w:bottom w:val="none" w:sz="0" w:space="0" w:color="auto"/>
            <w:right w:val="none" w:sz="0" w:space="0" w:color="auto"/>
          </w:divBdr>
        </w:div>
      </w:divsChild>
    </w:div>
    <w:div w:id="1898781807">
      <w:bodyDiv w:val="1"/>
      <w:marLeft w:val="0"/>
      <w:marRight w:val="0"/>
      <w:marTop w:val="0"/>
      <w:marBottom w:val="0"/>
      <w:divBdr>
        <w:top w:val="none" w:sz="0" w:space="0" w:color="auto"/>
        <w:left w:val="none" w:sz="0" w:space="0" w:color="auto"/>
        <w:bottom w:val="none" w:sz="0" w:space="0" w:color="auto"/>
        <w:right w:val="none" w:sz="0" w:space="0" w:color="auto"/>
      </w:divBdr>
      <w:divsChild>
        <w:div w:id="328675948">
          <w:marLeft w:val="360"/>
          <w:marRight w:val="0"/>
          <w:marTop w:val="200"/>
          <w:marBottom w:val="0"/>
          <w:divBdr>
            <w:top w:val="none" w:sz="0" w:space="0" w:color="auto"/>
            <w:left w:val="none" w:sz="0" w:space="0" w:color="auto"/>
            <w:bottom w:val="none" w:sz="0" w:space="0" w:color="auto"/>
            <w:right w:val="none" w:sz="0" w:space="0" w:color="auto"/>
          </w:divBdr>
        </w:div>
        <w:div w:id="349528936">
          <w:marLeft w:val="360"/>
          <w:marRight w:val="0"/>
          <w:marTop w:val="200"/>
          <w:marBottom w:val="0"/>
          <w:divBdr>
            <w:top w:val="none" w:sz="0" w:space="0" w:color="auto"/>
            <w:left w:val="none" w:sz="0" w:space="0" w:color="auto"/>
            <w:bottom w:val="none" w:sz="0" w:space="0" w:color="auto"/>
            <w:right w:val="none" w:sz="0" w:space="0" w:color="auto"/>
          </w:divBdr>
        </w:div>
        <w:div w:id="1081176099">
          <w:marLeft w:val="360"/>
          <w:marRight w:val="0"/>
          <w:marTop w:val="200"/>
          <w:marBottom w:val="0"/>
          <w:divBdr>
            <w:top w:val="none" w:sz="0" w:space="0" w:color="auto"/>
            <w:left w:val="none" w:sz="0" w:space="0" w:color="auto"/>
            <w:bottom w:val="none" w:sz="0" w:space="0" w:color="auto"/>
            <w:right w:val="none" w:sz="0" w:space="0" w:color="auto"/>
          </w:divBdr>
        </w:div>
        <w:div w:id="1893998730">
          <w:marLeft w:val="360"/>
          <w:marRight w:val="0"/>
          <w:marTop w:val="200"/>
          <w:marBottom w:val="0"/>
          <w:divBdr>
            <w:top w:val="none" w:sz="0" w:space="0" w:color="auto"/>
            <w:left w:val="none" w:sz="0" w:space="0" w:color="auto"/>
            <w:bottom w:val="none" w:sz="0" w:space="0" w:color="auto"/>
            <w:right w:val="none" w:sz="0" w:space="0" w:color="auto"/>
          </w:divBdr>
        </w:div>
      </w:divsChild>
    </w:div>
    <w:div w:id="2100366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image" Target="media/image12.jp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5</Pages>
  <Words>1844</Words>
  <Characters>10514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dc:creator>
  <cp:keywords/>
  <dc:description/>
  <cp:lastModifiedBy>Nana Kavtaradze</cp:lastModifiedBy>
  <cp:revision>8</cp:revision>
  <cp:lastPrinted>2017-11-23T09:30:00Z</cp:lastPrinted>
  <dcterms:created xsi:type="dcterms:W3CDTF">2017-11-23T12:54:00Z</dcterms:created>
  <dcterms:modified xsi:type="dcterms:W3CDTF">2017-11-23T16:21:00Z</dcterms:modified>
</cp:coreProperties>
</file>