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4A" w:rsidRPr="007C17A7" w:rsidRDefault="0055654A" w:rsidP="0055654A">
      <w:pPr>
        <w:shd w:val="clear" w:color="auto" w:fill="FFFFFF" w:themeFill="background1"/>
        <w:spacing w:after="0" w:line="240" w:lineRule="auto"/>
        <w:rPr>
          <w:rFonts w:ascii="Calibri" w:hAnsi="Calibri" w:cs="Calibri"/>
          <w:b/>
          <w:bCs/>
          <w:sz w:val="24"/>
          <w:szCs w:val="24"/>
        </w:rPr>
      </w:pPr>
      <w:r w:rsidRPr="00624570">
        <w:rPr>
          <w:rFonts w:ascii="Calibri" w:eastAsiaTheme="majorEastAsia" w:hAnsi="Calibri" w:cs="Calibri"/>
          <w:b/>
          <w:bCs/>
          <w:i/>
          <w:noProof/>
          <w:color w:val="365F91" w:themeColor="accent1" w:themeShade="BF"/>
        </w:rPr>
        <w:drawing>
          <wp:anchor distT="0" distB="0" distL="114300" distR="114300" simplePos="0" relativeHeight="251662336" behindDoc="0" locked="0" layoutInCell="1" allowOverlap="1" wp14:anchorId="57C6D620" wp14:editId="02115ED3">
            <wp:simplePos x="0" y="0"/>
            <wp:positionH relativeFrom="column">
              <wp:posOffset>5174615</wp:posOffset>
            </wp:positionH>
            <wp:positionV relativeFrom="paragraph">
              <wp:posOffset>-270510</wp:posOffset>
            </wp:positionV>
            <wp:extent cx="1504950" cy="61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24570">
        <w:rPr>
          <w:rFonts w:asciiTheme="majorHAnsi" w:eastAsiaTheme="majorEastAsia" w:hAnsiTheme="majorHAnsi" w:cstheme="majorBidi"/>
          <w:b/>
          <w:bCs/>
          <w:i/>
          <w:noProof/>
          <w:color w:val="365F91" w:themeColor="accent1" w:themeShade="BF"/>
          <w:sz w:val="26"/>
          <w:szCs w:val="26"/>
        </w:rPr>
        <w:drawing>
          <wp:anchor distT="0" distB="0" distL="114300" distR="114300" simplePos="0" relativeHeight="251661312" behindDoc="0" locked="0" layoutInCell="1" allowOverlap="1" wp14:anchorId="6F6F65EB" wp14:editId="1FA5DB17">
            <wp:simplePos x="0" y="0"/>
            <wp:positionH relativeFrom="column">
              <wp:posOffset>107315</wp:posOffset>
            </wp:positionH>
            <wp:positionV relativeFrom="paragraph">
              <wp:posOffset>-288643</wp:posOffset>
            </wp:positionV>
            <wp:extent cx="1600200" cy="632813"/>
            <wp:effectExtent l="0" t="0" r="0" b="0"/>
            <wp:wrapNone/>
            <wp:docPr id="8"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7351" cy="6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654A" w:rsidRPr="0055654A" w:rsidRDefault="0055654A" w:rsidP="0064438B">
      <w:pPr>
        <w:widowControl w:val="0"/>
        <w:spacing w:after="0" w:line="240" w:lineRule="auto"/>
        <w:ind w:left="100"/>
        <w:jc w:val="right"/>
        <w:outlineLvl w:val="1"/>
        <w:rPr>
          <w:rFonts w:ascii="Calibri" w:eastAsiaTheme="majorEastAsia" w:hAnsi="Calibri" w:cs="Calibri"/>
          <w:b/>
          <w:color w:val="365F91" w:themeColor="accent1" w:themeShade="BF"/>
          <w:sz w:val="48"/>
          <w:szCs w:val="48"/>
        </w:rPr>
      </w:pPr>
    </w:p>
    <w:p w:rsidR="0064438B" w:rsidRPr="007B156A" w:rsidRDefault="0064438B" w:rsidP="0064438B">
      <w:pPr>
        <w:widowControl w:val="0"/>
        <w:spacing w:after="0" w:line="240" w:lineRule="auto"/>
        <w:ind w:left="100"/>
        <w:jc w:val="right"/>
        <w:outlineLvl w:val="1"/>
        <w:rPr>
          <w:rFonts w:ascii="Calibri" w:hAnsi="Calibri" w:cs="Calibri"/>
          <w:b/>
          <w:bCs/>
          <w:color w:val="365F91" w:themeColor="accent1" w:themeShade="BF"/>
          <w:sz w:val="24"/>
          <w:szCs w:val="24"/>
        </w:rPr>
      </w:pPr>
      <w:r w:rsidRPr="007B156A">
        <w:rPr>
          <w:rFonts w:ascii="Calibri" w:eastAsiaTheme="majorEastAsia" w:hAnsi="Calibri" w:cs="Calibri"/>
          <w:b/>
          <w:color w:val="365F91" w:themeColor="accent1" w:themeShade="BF"/>
          <w:sz w:val="36"/>
          <w:szCs w:val="36"/>
        </w:rPr>
        <w:t>GEORGIA</w:t>
      </w:r>
      <w:r w:rsidRPr="007B156A">
        <w:rPr>
          <w:rFonts w:ascii="Calibri" w:eastAsiaTheme="majorEastAsia" w:hAnsi="Calibri" w:cs="Calibri"/>
          <w:b/>
          <w:i/>
          <w:color w:val="365F91" w:themeColor="accent1" w:themeShade="BF"/>
          <w:sz w:val="32"/>
          <w:szCs w:val="32"/>
        </w:rPr>
        <w:t xml:space="preserve"> </w:t>
      </w:r>
      <w:r w:rsidRPr="007B156A">
        <w:rPr>
          <w:rFonts w:ascii="Calibri" w:eastAsiaTheme="majorEastAsia" w:hAnsi="Calibri" w:cs="Calibri"/>
          <w:b/>
          <w:i/>
          <w:color w:val="365F91" w:themeColor="accent1" w:themeShade="BF"/>
          <w:sz w:val="36"/>
          <w:szCs w:val="36"/>
        </w:rPr>
        <w:t>Brief</w:t>
      </w:r>
    </w:p>
    <w:p w:rsidR="001C1ADC" w:rsidRPr="007C17A7" w:rsidRDefault="00FE3057" w:rsidP="001C1ADC">
      <w:pPr>
        <w:shd w:val="clear" w:color="auto" w:fill="FFFFFF" w:themeFill="background1"/>
        <w:spacing w:after="0" w:line="240" w:lineRule="auto"/>
        <w:rPr>
          <w:rFonts w:ascii="Calibri" w:hAnsi="Calibri" w:cs="Calibri"/>
          <w:b/>
          <w:bCs/>
          <w:sz w:val="24"/>
          <w:szCs w:val="24"/>
        </w:rPr>
      </w:pPr>
      <w:r w:rsidRPr="007C17A7">
        <w:rPr>
          <w:rFonts w:ascii="Calibri" w:hAnsi="Calibri" w:cs="Calibri"/>
          <w:b/>
          <w:bCs/>
          <w:noProof/>
          <w:sz w:val="24"/>
          <w:szCs w:val="24"/>
        </w:rPr>
        <mc:AlternateContent>
          <mc:Choice Requires="wps">
            <w:drawing>
              <wp:anchor distT="0" distB="0" distL="114300" distR="114300" simplePos="0" relativeHeight="251659264" behindDoc="0" locked="0" layoutInCell="1" allowOverlap="1" wp14:anchorId="50404B72" wp14:editId="4D9B2B2E">
                <wp:simplePos x="0" y="0"/>
                <wp:positionH relativeFrom="margin">
                  <wp:posOffset>-9525</wp:posOffset>
                </wp:positionH>
                <wp:positionV relativeFrom="paragraph">
                  <wp:posOffset>67945</wp:posOffset>
                </wp:positionV>
                <wp:extent cx="6848475" cy="866775"/>
                <wp:effectExtent l="0" t="0" r="28575" b="28575"/>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8667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1C1ADC" w:rsidRDefault="001C1ADC" w:rsidP="0064438B">
                            <w:pPr>
                              <w:spacing w:after="120" w:line="240" w:lineRule="auto"/>
                              <w:contextualSpacing/>
                              <w:jc w:val="center"/>
                            </w:pPr>
                            <w:bookmarkStart w:id="0" w:name="_GoBack"/>
                            <w:r w:rsidRPr="001C1ADC">
                              <w:rPr>
                                <w:rFonts w:cstheme="minorHAnsi"/>
                                <w:b/>
                                <w:color w:val="FFFFFF" w:themeColor="background1"/>
                                <w:sz w:val="44"/>
                                <w:szCs w:val="44"/>
                              </w:rPr>
                              <w:t>Nutritional Surveillance in Georgia</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404B72" id="Round Single Corner Rectangle 12" o:spid="_x0000_s1026" style="position:absolute;margin-left:-.75pt;margin-top:5.35pt;width:539.25pt;height:68.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6848475,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" adj="-11796480,,5400" path="m,l6848475,r,l6848475,866775,,866775,,xe" fillcolor="#4f81bd" strokecolor="#385d8a" strokeweight="2pt">
                <v:stroke joinstyle="miter"/>
                <v:formulas/>
                <v:path arrowok="t" o:connecttype="custom" o:connectlocs="0,0;6848475,0;6848475,0;6848475,866775;0,866775;0,0" o:connectangles="0,0,0,0,0,0" textboxrect="0,0,6848475,866775"/>
                <v:textbox>
                  <w:txbxContent>
                    <w:p w:rsidR="001C1ADC" w:rsidRDefault="001C1ADC" w:rsidP="0064438B">
                      <w:pPr>
                        <w:spacing w:after="120" w:line="240" w:lineRule="auto"/>
                        <w:contextualSpacing/>
                        <w:jc w:val="center"/>
                      </w:pPr>
                      <w:bookmarkStart w:id="1" w:name="_GoBack"/>
                      <w:r w:rsidRPr="001C1ADC">
                        <w:rPr>
                          <w:rFonts w:cstheme="minorHAnsi"/>
                          <w:b/>
                          <w:color w:val="FFFFFF" w:themeColor="background1"/>
                          <w:sz w:val="44"/>
                          <w:szCs w:val="44"/>
                        </w:rPr>
                        <w:t>Nutritional Surveillance in Georgia</w:t>
                      </w:r>
                      <w:bookmarkEnd w:id="1"/>
                    </w:p>
                  </w:txbxContent>
                </v:textbox>
                <w10:wrap anchorx="margin"/>
              </v:shape>
            </w:pict>
          </mc:Fallback>
        </mc:AlternateContent>
      </w:r>
    </w:p>
    <w:p w:rsidR="001C1ADC" w:rsidRPr="007C17A7" w:rsidRDefault="001C1ADC" w:rsidP="001C1ADC">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1C1ADC" w:rsidRPr="007C17A7" w:rsidRDefault="001C1ADC" w:rsidP="001C1ADC">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1C1ADC" w:rsidRPr="007C17A7" w:rsidRDefault="001C1ADC" w:rsidP="001C1ADC">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1C1ADC" w:rsidRDefault="001C1ADC" w:rsidP="007D7B25">
      <w:pPr>
        <w:spacing w:after="120" w:line="240" w:lineRule="auto"/>
        <w:contextualSpacing/>
        <w:jc w:val="both"/>
        <w:rPr>
          <w:rFonts w:cstheme="minorHAnsi"/>
          <w:b/>
          <w:color w:val="000000" w:themeColor="text1"/>
        </w:rPr>
      </w:pPr>
    </w:p>
    <w:p w:rsidR="001C1ADC" w:rsidRDefault="001C1ADC" w:rsidP="007D7B25">
      <w:pPr>
        <w:spacing w:after="120" w:line="240" w:lineRule="auto"/>
        <w:contextualSpacing/>
        <w:jc w:val="both"/>
        <w:rPr>
          <w:rFonts w:cstheme="minorHAnsi"/>
          <w:b/>
          <w:color w:val="000000" w:themeColor="text1"/>
        </w:rPr>
      </w:pPr>
    </w:p>
    <w:p w:rsidR="00B255F7" w:rsidRDefault="007D7B25" w:rsidP="007D7B25">
      <w:pPr>
        <w:spacing w:after="120" w:line="240" w:lineRule="auto"/>
        <w:jc w:val="both"/>
        <w:rPr>
          <w:rFonts w:cstheme="minorHAnsi"/>
          <w:iCs/>
          <w:color w:val="000000" w:themeColor="text1"/>
        </w:rPr>
      </w:pPr>
      <w:r>
        <w:rPr>
          <w:rFonts w:cstheme="minorHAnsi"/>
          <w:color w:val="000000" w:themeColor="text1"/>
        </w:rPr>
        <w:t xml:space="preserve">The </w:t>
      </w:r>
      <w:r w:rsidRPr="007D7B25">
        <w:rPr>
          <w:rFonts w:cstheme="minorHAnsi"/>
          <w:color w:val="000000" w:themeColor="text1"/>
        </w:rPr>
        <w:t xml:space="preserve">micronutrients deficiency surveillance </w:t>
      </w:r>
      <w:r>
        <w:rPr>
          <w:rFonts w:cstheme="minorHAnsi"/>
          <w:color w:val="000000" w:themeColor="text1"/>
        </w:rPr>
        <w:t xml:space="preserve">system has been </w:t>
      </w:r>
      <w:r w:rsidR="00136770">
        <w:rPr>
          <w:rFonts w:cstheme="minorHAnsi"/>
          <w:color w:val="000000" w:themeColor="text1"/>
        </w:rPr>
        <w:t xml:space="preserve">established under the </w:t>
      </w:r>
      <w:r w:rsidR="00136770" w:rsidRPr="007D7B25">
        <w:rPr>
          <w:rFonts w:cstheme="minorHAnsi"/>
          <w:color w:val="000000" w:themeColor="text1"/>
        </w:rPr>
        <w:t>CDC</w:t>
      </w:r>
      <w:r w:rsidR="00136770">
        <w:rPr>
          <w:rFonts w:cstheme="minorHAnsi"/>
          <w:color w:val="000000" w:themeColor="text1"/>
        </w:rPr>
        <w:t>/</w:t>
      </w:r>
      <w:r w:rsidR="00136770" w:rsidRPr="007D7B25">
        <w:rPr>
          <w:rFonts w:cstheme="minorHAnsi"/>
          <w:color w:val="000000" w:themeColor="text1"/>
        </w:rPr>
        <w:t xml:space="preserve">USA </w:t>
      </w:r>
      <w:r w:rsidR="00136770">
        <w:rPr>
          <w:rFonts w:cstheme="minorHAnsi"/>
          <w:color w:val="000000" w:themeColor="text1"/>
        </w:rPr>
        <w:t>and</w:t>
      </w:r>
      <w:r w:rsidR="00136770" w:rsidRPr="007D7B25">
        <w:rPr>
          <w:rFonts w:cstheme="minorHAnsi"/>
          <w:color w:val="000000" w:themeColor="text1"/>
        </w:rPr>
        <w:t xml:space="preserve"> NCDC</w:t>
      </w:r>
      <w:r w:rsidR="00136770">
        <w:rPr>
          <w:rFonts w:cstheme="minorHAnsi"/>
          <w:color w:val="000000" w:themeColor="text1"/>
        </w:rPr>
        <w:t>/</w:t>
      </w:r>
      <w:r w:rsidR="00136770" w:rsidRPr="007D7B25">
        <w:rPr>
          <w:rFonts w:cstheme="minorHAnsi"/>
          <w:color w:val="000000" w:themeColor="text1"/>
        </w:rPr>
        <w:t xml:space="preserve">Georgia Collaborative Project </w:t>
      </w:r>
      <w:r w:rsidR="00136770">
        <w:rPr>
          <w:rFonts w:cstheme="minorHAnsi"/>
          <w:color w:val="000000" w:themeColor="text1"/>
        </w:rPr>
        <w:t>with o</w:t>
      </w:r>
      <w:r w:rsidR="00136770">
        <w:rPr>
          <w:rStyle w:val="Emphasis"/>
          <w:rFonts w:cstheme="minorHAnsi"/>
          <w:i w:val="0"/>
          <w:color w:val="000000" w:themeColor="text1"/>
        </w:rPr>
        <w:t>bjectives to</w:t>
      </w:r>
      <w:r w:rsidR="00B255F7" w:rsidRPr="007D7B25">
        <w:rPr>
          <w:rStyle w:val="Emphasis"/>
          <w:rFonts w:cstheme="minorHAnsi"/>
          <w:i w:val="0"/>
          <w:color w:val="000000" w:themeColor="text1"/>
        </w:rPr>
        <w:t xml:space="preserve"> </w:t>
      </w:r>
      <w:r w:rsidR="00136770">
        <w:rPr>
          <w:rStyle w:val="Emphasis"/>
          <w:rFonts w:cstheme="minorHAnsi"/>
          <w:i w:val="0"/>
          <w:color w:val="000000" w:themeColor="text1"/>
        </w:rPr>
        <w:t>i</w:t>
      </w:r>
      <w:r w:rsidR="00136770">
        <w:rPr>
          <w:rFonts w:cstheme="minorHAnsi"/>
          <w:iCs/>
          <w:color w:val="000000" w:themeColor="text1"/>
        </w:rPr>
        <w:t>mplement</w:t>
      </w:r>
      <w:r w:rsidR="00B255F7" w:rsidRPr="007D7B25">
        <w:rPr>
          <w:rFonts w:cstheme="minorHAnsi"/>
          <w:iCs/>
          <w:color w:val="000000" w:themeColor="text1"/>
        </w:rPr>
        <w:t xml:space="preserve"> practical and effective surveillance system, which will be essential to control micronutrient deficiency successfully, using the sentinel surveillance approach</w:t>
      </w:r>
      <w:r w:rsidR="00136770">
        <w:rPr>
          <w:rFonts w:cstheme="minorHAnsi"/>
          <w:iCs/>
          <w:color w:val="000000" w:themeColor="text1"/>
        </w:rPr>
        <w:t xml:space="preserve"> and to</w:t>
      </w:r>
      <w:r w:rsidR="00B255F7" w:rsidRPr="007D7B25">
        <w:rPr>
          <w:rStyle w:val="Emphasis"/>
          <w:rFonts w:cstheme="minorHAnsi"/>
          <w:i w:val="0"/>
          <w:color w:val="000000" w:themeColor="text1"/>
        </w:rPr>
        <w:t xml:space="preserve"> </w:t>
      </w:r>
      <w:r w:rsidR="00136770">
        <w:rPr>
          <w:rStyle w:val="Emphasis"/>
          <w:rFonts w:cstheme="minorHAnsi"/>
          <w:i w:val="0"/>
          <w:color w:val="000000" w:themeColor="text1"/>
        </w:rPr>
        <w:t>s</w:t>
      </w:r>
      <w:r w:rsidR="00B255F7" w:rsidRPr="007D7B25">
        <w:rPr>
          <w:rFonts w:cstheme="minorHAnsi"/>
          <w:iCs/>
          <w:color w:val="000000" w:themeColor="text1"/>
        </w:rPr>
        <w:t>tudy existing situation on micronutrient deficiency.</w:t>
      </w:r>
    </w:p>
    <w:p w:rsidR="00136770" w:rsidRDefault="00136770" w:rsidP="00136770">
      <w:pPr>
        <w:spacing w:after="120" w:line="240" w:lineRule="auto"/>
        <w:jc w:val="both"/>
      </w:pPr>
      <w:r>
        <w:t>Data on selected indicators of micronutrient status of young children 12 – 23 months old, 1</w:t>
      </w:r>
      <w:r>
        <w:rPr>
          <w:vertAlign w:val="superscript"/>
        </w:rPr>
        <w:t>st</w:t>
      </w:r>
      <w:r>
        <w:t xml:space="preserve"> trimester pregnant women, and 12-year-old school children were/are being collected across four sentinel regions in Georgia (Tbilisi, Kakheti, Ajara and Samegrelo).  Those micronutrient status indicators include: </w:t>
      </w:r>
    </w:p>
    <w:tbl>
      <w:tblPr>
        <w:tblStyle w:val="TableGrid0"/>
        <w:tblpPr w:vertAnchor="text" w:horzAnchor="margin" w:tblpY="248"/>
        <w:tblOverlap w:val="never"/>
        <w:tblW w:w="10800" w:type="dxa"/>
        <w:tblInd w:w="0" w:type="dxa"/>
        <w:tblCellMar>
          <w:top w:w="80" w:type="dxa"/>
          <w:left w:w="108" w:type="dxa"/>
          <w:right w:w="115" w:type="dxa"/>
        </w:tblCellMar>
        <w:tblLook w:val="04A0" w:firstRow="1" w:lastRow="0" w:firstColumn="1" w:lastColumn="0" w:noHBand="0" w:noVBand="1"/>
      </w:tblPr>
      <w:tblGrid>
        <w:gridCol w:w="10800"/>
      </w:tblGrid>
      <w:tr w:rsidR="00136770" w:rsidTr="009A7162">
        <w:tc>
          <w:tcPr>
            <w:tcW w:w="10800" w:type="dxa"/>
            <w:shd w:val="clear" w:color="auto" w:fill="244061" w:themeFill="accent1" w:themeFillShade="80"/>
            <w:hideMark/>
          </w:tcPr>
          <w:p w:rsidR="00136770" w:rsidRDefault="00136770" w:rsidP="00136770">
            <w:pPr>
              <w:spacing w:after="120"/>
            </w:pPr>
            <w:r w:rsidRPr="008B6858">
              <w:rPr>
                <w:color w:val="FFFFFF" w:themeColor="background1"/>
              </w:rPr>
              <w:t>Micronutrient status indicators</w:t>
            </w:r>
          </w:p>
        </w:tc>
      </w:tr>
      <w:tr w:rsidR="00136770" w:rsidTr="009A7162">
        <w:tc>
          <w:tcPr>
            <w:tcW w:w="10800" w:type="dxa"/>
            <w:shd w:val="clear" w:color="auto" w:fill="DBE5F1" w:themeFill="accent1" w:themeFillTint="33"/>
            <w:vAlign w:val="bottom"/>
            <w:hideMark/>
          </w:tcPr>
          <w:p w:rsidR="00136770" w:rsidRPr="00120D99" w:rsidRDefault="00136770" w:rsidP="00136770">
            <w:pPr>
              <w:pStyle w:val="ListParagraph"/>
              <w:numPr>
                <w:ilvl w:val="0"/>
                <w:numId w:val="22"/>
              </w:numPr>
              <w:spacing w:after="120"/>
              <w:ind w:hanging="288"/>
              <w:jc w:val="both"/>
              <w:rPr>
                <w:sz w:val="20"/>
              </w:rPr>
            </w:pPr>
            <w:r w:rsidRPr="00120D99">
              <w:rPr>
                <w:sz w:val="20"/>
              </w:rPr>
              <w:t>Hemoglobin (Hb) and serum ferritin (SFer), as indicators of iron status in young children 12 to 23 month old.</w:t>
            </w:r>
          </w:p>
          <w:p w:rsidR="00136770" w:rsidRPr="00120D99" w:rsidRDefault="00136770" w:rsidP="00136770">
            <w:pPr>
              <w:pStyle w:val="ListParagraph"/>
              <w:numPr>
                <w:ilvl w:val="0"/>
                <w:numId w:val="22"/>
              </w:numPr>
              <w:spacing w:after="120"/>
              <w:ind w:hanging="288"/>
              <w:jc w:val="both"/>
              <w:rPr>
                <w:sz w:val="20"/>
              </w:rPr>
            </w:pPr>
            <w:r w:rsidRPr="00120D99">
              <w:rPr>
                <w:sz w:val="20"/>
              </w:rPr>
              <w:t>Hemoglobin (Hb) and serum ferritin (SFer), as indicators of iron status; serum folate (SFol) as indicator of folate status; and urinary iodine as indicator of iodine status in 1</w:t>
            </w:r>
            <w:r w:rsidRPr="00120D99">
              <w:rPr>
                <w:sz w:val="20"/>
                <w:vertAlign w:val="superscript"/>
              </w:rPr>
              <w:t>st</w:t>
            </w:r>
            <w:r w:rsidRPr="00120D99">
              <w:rPr>
                <w:sz w:val="20"/>
              </w:rPr>
              <w:t xml:space="preserve"> trimester pregnant women.</w:t>
            </w:r>
          </w:p>
          <w:p w:rsidR="00136770" w:rsidRPr="00120D99" w:rsidRDefault="00136770" w:rsidP="00136770">
            <w:pPr>
              <w:pStyle w:val="ListParagraph"/>
              <w:numPr>
                <w:ilvl w:val="0"/>
                <w:numId w:val="22"/>
              </w:numPr>
              <w:spacing w:after="120"/>
              <w:ind w:hanging="288"/>
              <w:jc w:val="both"/>
              <w:rPr>
                <w:sz w:val="20"/>
              </w:rPr>
            </w:pPr>
            <w:r w:rsidRPr="00120D99">
              <w:rPr>
                <w:sz w:val="20"/>
              </w:rPr>
              <w:t>Urinary iodine as indicator or iodine status in 12 year old school children.</w:t>
            </w:r>
          </w:p>
          <w:p w:rsidR="00136770" w:rsidRDefault="00136770" w:rsidP="00136770">
            <w:pPr>
              <w:pStyle w:val="ListParagraph"/>
              <w:numPr>
                <w:ilvl w:val="0"/>
                <w:numId w:val="22"/>
              </w:numPr>
              <w:spacing w:after="120"/>
              <w:ind w:hanging="288"/>
              <w:jc w:val="both"/>
            </w:pPr>
            <w:r w:rsidRPr="00120D99">
              <w:rPr>
                <w:sz w:val="20"/>
              </w:rPr>
              <w:t>Cases of the neural tube defects (NTDs), spina bifida and anencephaly identified in fetuses that were medically terminated, and among newborns delivered in sentinel maternity facilities as indicators of folate insufficiency among women of childbearing age.</w:t>
            </w:r>
          </w:p>
        </w:tc>
      </w:tr>
    </w:tbl>
    <w:p w:rsidR="00136770" w:rsidRDefault="00136770" w:rsidP="00136770">
      <w:pPr>
        <w:spacing w:after="120" w:line="240" w:lineRule="auto"/>
        <w:jc w:val="both"/>
      </w:pPr>
    </w:p>
    <w:p w:rsidR="00136770" w:rsidRPr="00120D99" w:rsidRDefault="00136770" w:rsidP="00120D99">
      <w:pPr>
        <w:spacing w:after="120" w:line="240" w:lineRule="auto"/>
        <w:jc w:val="both"/>
        <w:rPr>
          <w:b/>
        </w:rPr>
      </w:pPr>
      <w:r w:rsidRPr="00120D99">
        <w:rPr>
          <w:b/>
        </w:rPr>
        <w:t xml:space="preserve">Anemia and iron deficiency in </w:t>
      </w:r>
      <w:r w:rsidR="009A7162" w:rsidRPr="00120D99">
        <w:rPr>
          <w:b/>
        </w:rPr>
        <w:t xml:space="preserve">12 – 23 months old </w:t>
      </w:r>
      <w:r w:rsidRPr="00120D99">
        <w:rPr>
          <w:b/>
        </w:rPr>
        <w:t xml:space="preserve">children </w:t>
      </w:r>
    </w:p>
    <w:p w:rsidR="00136770" w:rsidRDefault="00136770" w:rsidP="00136770">
      <w:pPr>
        <w:spacing w:after="120" w:line="240" w:lineRule="auto"/>
        <w:jc w:val="both"/>
      </w:pPr>
      <w:r>
        <w:t>About 34% of children 12 – 23 months old were identified as anemic. The prevalence of anemia ranged from about 15% to 42% in 2016, and from about 24% to 43% in 2017.</w:t>
      </w:r>
      <w:r w:rsidR="00120D99">
        <w:t xml:space="preserve"> </w:t>
      </w:r>
      <w:r>
        <w:t>The prevalence of iron deficiency (based on serum ferritin &lt; 12 µg/L) among those young children, ranged from about 78% to 91% across the sentinel health facilities. Such alarmingly high prevalence of iron deficiency can potentially have significant negative consequences on the cognitive development of the children.</w:t>
      </w:r>
    </w:p>
    <w:p w:rsidR="00120D99" w:rsidRDefault="00120D99" w:rsidP="00120D99">
      <w:pPr>
        <w:spacing w:after="120" w:line="240" w:lineRule="auto"/>
        <w:jc w:val="center"/>
      </w:pPr>
      <w:r>
        <w:rPr>
          <w:noProof/>
        </w:rPr>
        <w:drawing>
          <wp:inline distT="0" distB="0" distL="0" distR="0" wp14:anchorId="3E6D2637" wp14:editId="04628D96">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0"/>
        <w:tblpPr w:vertAnchor="text" w:horzAnchor="margin" w:tblpY="219"/>
        <w:tblOverlap w:val="never"/>
        <w:tblW w:w="10800" w:type="dxa"/>
        <w:tblInd w:w="0" w:type="dxa"/>
        <w:tblCellMar>
          <w:top w:w="80" w:type="dxa"/>
          <w:left w:w="108" w:type="dxa"/>
          <w:right w:w="115" w:type="dxa"/>
        </w:tblCellMar>
        <w:tblLook w:val="04A0" w:firstRow="1" w:lastRow="0" w:firstColumn="1" w:lastColumn="0" w:noHBand="0" w:noVBand="1"/>
      </w:tblPr>
      <w:tblGrid>
        <w:gridCol w:w="10800"/>
      </w:tblGrid>
      <w:tr w:rsidR="009A7162" w:rsidTr="009A7162">
        <w:tc>
          <w:tcPr>
            <w:tcW w:w="10800" w:type="dxa"/>
            <w:shd w:val="clear" w:color="auto" w:fill="244061" w:themeFill="accent1" w:themeFillShade="80"/>
            <w:hideMark/>
          </w:tcPr>
          <w:p w:rsidR="009A7162" w:rsidRDefault="009A7162" w:rsidP="009A7162">
            <w:r w:rsidRPr="00120D99">
              <w:rPr>
                <w:b/>
                <w:color w:val="FFFFFF" w:themeColor="background1"/>
                <w:sz w:val="24"/>
              </w:rPr>
              <w:lastRenderedPageBreak/>
              <w:t>Recommendations</w:t>
            </w:r>
          </w:p>
        </w:tc>
      </w:tr>
      <w:tr w:rsidR="009A7162" w:rsidTr="009A7162">
        <w:tc>
          <w:tcPr>
            <w:tcW w:w="10800" w:type="dxa"/>
            <w:shd w:val="clear" w:color="auto" w:fill="DBE5F1" w:themeFill="accent1" w:themeFillTint="33"/>
            <w:vAlign w:val="bottom"/>
            <w:hideMark/>
          </w:tcPr>
          <w:p w:rsidR="009A7162" w:rsidRPr="00120D99" w:rsidRDefault="009A7162" w:rsidP="009A7162">
            <w:pPr>
              <w:pStyle w:val="ListParagraph"/>
              <w:numPr>
                <w:ilvl w:val="0"/>
                <w:numId w:val="22"/>
              </w:numPr>
              <w:spacing w:after="160" w:line="256" w:lineRule="auto"/>
              <w:ind w:hanging="360"/>
              <w:jc w:val="both"/>
              <w:rPr>
                <w:sz w:val="20"/>
              </w:rPr>
            </w:pPr>
            <w:r w:rsidRPr="00120D99">
              <w:rPr>
                <w:sz w:val="20"/>
              </w:rPr>
              <w:t>Verify that the process of recruitment of children for Hb and serum ferritin testing is followed according to the criteria established by the NCDC, and that it does not result in “bias” toward mostly sampling children at risk of anemia and/or iron deficiency.</w:t>
            </w:r>
          </w:p>
          <w:p w:rsidR="009A7162" w:rsidRPr="00120D99" w:rsidRDefault="009A7162" w:rsidP="009A7162">
            <w:pPr>
              <w:pStyle w:val="ListParagraph"/>
              <w:numPr>
                <w:ilvl w:val="0"/>
                <w:numId w:val="22"/>
              </w:numPr>
              <w:spacing w:after="160" w:line="256" w:lineRule="auto"/>
              <w:ind w:hanging="360"/>
              <w:jc w:val="both"/>
              <w:rPr>
                <w:sz w:val="20"/>
              </w:rPr>
            </w:pPr>
            <w:r w:rsidRPr="00120D99">
              <w:rPr>
                <w:sz w:val="20"/>
              </w:rPr>
              <w:t xml:space="preserve">Improve the promotion of </w:t>
            </w:r>
            <w:r w:rsidRPr="00FC1DC6">
              <w:rPr>
                <w:sz w:val="20"/>
              </w:rPr>
              <w:t>exclusive breastfeeding</w:t>
            </w:r>
            <w:r w:rsidRPr="00120D99">
              <w:rPr>
                <w:sz w:val="20"/>
              </w:rPr>
              <w:t xml:space="preserve"> during the first 6 months of life.  However, at the same time, develop and enforce mandatory regulations related to fortification of the many brands of breast milk substitutes that are widely marketed in Georgia (while adhering to the principles that prohibit commercial promotion of such products).</w:t>
            </w:r>
          </w:p>
          <w:p w:rsidR="009A7162" w:rsidRPr="00120D99" w:rsidRDefault="009A7162" w:rsidP="009A7162">
            <w:pPr>
              <w:pStyle w:val="ListParagraph"/>
              <w:numPr>
                <w:ilvl w:val="0"/>
                <w:numId w:val="22"/>
              </w:numPr>
              <w:spacing w:after="160" w:line="256" w:lineRule="auto"/>
              <w:ind w:hanging="360"/>
              <w:jc w:val="both"/>
            </w:pPr>
            <w:r w:rsidRPr="00120D99">
              <w:rPr>
                <w:sz w:val="20"/>
              </w:rPr>
              <w:t>Develop and enforce regulations related to fortification of all commercially marketed complementary foods for children 6 – 23 months old, and also enable families who prefer to prepare home-cooked complementary foods to fortify the food using micronutrient powders (MNPs).</w:t>
            </w:r>
          </w:p>
        </w:tc>
      </w:tr>
    </w:tbl>
    <w:p w:rsidR="00BE056F" w:rsidRDefault="00BE056F" w:rsidP="00120D99">
      <w:pPr>
        <w:spacing w:after="160" w:line="256" w:lineRule="auto"/>
        <w:jc w:val="both"/>
        <w:rPr>
          <w:b/>
        </w:rPr>
      </w:pPr>
    </w:p>
    <w:p w:rsidR="00136770" w:rsidRPr="00120D99" w:rsidRDefault="00136770" w:rsidP="00120D99">
      <w:pPr>
        <w:spacing w:after="160" w:line="256" w:lineRule="auto"/>
        <w:jc w:val="both"/>
        <w:rPr>
          <w:b/>
        </w:rPr>
      </w:pPr>
      <w:r w:rsidRPr="00120D99">
        <w:rPr>
          <w:b/>
        </w:rPr>
        <w:t>Anemia, iron deficiency and folate deficiency in 1</w:t>
      </w:r>
      <w:r w:rsidRPr="00120D99">
        <w:rPr>
          <w:b/>
          <w:vertAlign w:val="superscript"/>
        </w:rPr>
        <w:t>st</w:t>
      </w:r>
      <w:r w:rsidRPr="00120D99">
        <w:rPr>
          <w:b/>
        </w:rPr>
        <w:t xml:space="preserve"> trimester pregnant women, and neural tube defects-affected pregnancies.</w:t>
      </w:r>
    </w:p>
    <w:p w:rsidR="00136770" w:rsidRDefault="004657F0" w:rsidP="004657F0">
      <w:pPr>
        <w:jc w:val="both"/>
      </w:pPr>
      <w:r>
        <w:t xml:space="preserve">The prevalence of anemia among </w:t>
      </w:r>
      <w:r w:rsidR="00136770">
        <w:t>1</w:t>
      </w:r>
      <w:r w:rsidR="00136770">
        <w:rPr>
          <w:vertAlign w:val="superscript"/>
        </w:rPr>
        <w:t>st</w:t>
      </w:r>
      <w:r w:rsidR="00136770">
        <w:t xml:space="preserve"> trimester pregnant women is much lower than among young children, more than 50% of the women were found to be iron deficient (based on serum ferritin &lt;15 µg /dL).  </w:t>
      </w:r>
    </w:p>
    <w:p w:rsidR="004657F0" w:rsidRDefault="004657F0" w:rsidP="004657F0">
      <w:pPr>
        <w:jc w:val="center"/>
      </w:pPr>
      <w:r>
        <w:rPr>
          <w:noProof/>
        </w:rPr>
        <w:drawing>
          <wp:inline distT="0" distB="0" distL="0" distR="0" wp14:anchorId="60591B71" wp14:editId="775337F1">
            <wp:extent cx="4572000" cy="21526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6770" w:rsidRDefault="00136770" w:rsidP="00AA0828">
      <w:pPr>
        <w:jc w:val="both"/>
      </w:pPr>
      <w:r>
        <w:t>20% of 1</w:t>
      </w:r>
      <w:r>
        <w:rPr>
          <w:vertAlign w:val="superscript"/>
        </w:rPr>
        <w:t>st</w:t>
      </w:r>
      <w:r>
        <w:t xml:space="preserve"> trimester pregnant women were found to be folate deficient, based on serum folate concentration &lt;3 ng/mL.  Their me</w:t>
      </w:r>
      <w:r w:rsidR="00AA0828">
        <w:t xml:space="preserve">dian serum folate of 7.5 ng/mL </w:t>
      </w:r>
      <w:r>
        <w:t>is also quite low, and increases the risk of fetuses developing neural tube defects (NTDs) such as spina bifida and anencephaly. Such increased risk of NTDs is illustrated in the very high birth-prevalence of NTDs (i.e. 27.5/10,000 births and 34.2/10,000 births in 2</w:t>
      </w:r>
      <w:r w:rsidR="00AA0828">
        <w:t>016 and 2017, respectively),</w:t>
      </w:r>
      <w:r>
        <w:t xml:space="preserve"> more than five and six times higher than in countries where folic acid fortification of flour has been ma</w:t>
      </w:r>
      <w:r w:rsidR="00AA0828">
        <w:t>ndatory for more than 10 years</w:t>
      </w:r>
      <w:r>
        <w:t xml:space="preserve">.  </w:t>
      </w:r>
    </w:p>
    <w:p w:rsidR="00BB2D76" w:rsidRDefault="00BB2D76" w:rsidP="00BB2D76">
      <w:pPr>
        <w:jc w:val="center"/>
      </w:pPr>
      <w:r>
        <w:rPr>
          <w:noProof/>
        </w:rPr>
        <w:drawing>
          <wp:inline distT="0" distB="0" distL="0" distR="0" wp14:anchorId="6BCFEDC1" wp14:editId="2A5FAB29">
            <wp:extent cx="4572000" cy="22955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7162" w:rsidRDefault="009A7162" w:rsidP="00BB2D76">
      <w:pPr>
        <w:jc w:val="center"/>
      </w:pPr>
    </w:p>
    <w:tbl>
      <w:tblPr>
        <w:tblStyle w:val="TableGrid0"/>
        <w:tblpPr w:vertAnchor="text" w:horzAnchor="margin" w:tblpY="248"/>
        <w:tblOverlap w:val="never"/>
        <w:tblW w:w="10800" w:type="dxa"/>
        <w:tblInd w:w="0" w:type="dxa"/>
        <w:tblCellMar>
          <w:top w:w="80" w:type="dxa"/>
          <w:left w:w="108" w:type="dxa"/>
          <w:right w:w="115" w:type="dxa"/>
        </w:tblCellMar>
        <w:tblLook w:val="04A0" w:firstRow="1" w:lastRow="0" w:firstColumn="1" w:lastColumn="0" w:noHBand="0" w:noVBand="1"/>
      </w:tblPr>
      <w:tblGrid>
        <w:gridCol w:w="10800"/>
      </w:tblGrid>
      <w:tr w:rsidR="00BB2D76" w:rsidRPr="00BB2D76" w:rsidTr="009A7162">
        <w:tc>
          <w:tcPr>
            <w:tcW w:w="10800" w:type="dxa"/>
            <w:shd w:val="clear" w:color="auto" w:fill="244061" w:themeFill="accent1" w:themeFillShade="80"/>
            <w:hideMark/>
          </w:tcPr>
          <w:p w:rsidR="00BB2D76" w:rsidRPr="00BB2D76" w:rsidRDefault="00BB2D76" w:rsidP="00E75C54">
            <w:pPr>
              <w:rPr>
                <w:sz w:val="20"/>
                <w:szCs w:val="20"/>
              </w:rPr>
            </w:pPr>
            <w:r w:rsidRPr="00BB2D76">
              <w:rPr>
                <w:b/>
                <w:color w:val="FFFFFF" w:themeColor="background1"/>
                <w:sz w:val="20"/>
                <w:szCs w:val="20"/>
              </w:rPr>
              <w:t>Recommendations</w:t>
            </w:r>
          </w:p>
        </w:tc>
      </w:tr>
      <w:tr w:rsidR="00BB2D76" w:rsidRPr="00BB2D76" w:rsidTr="009A7162">
        <w:tc>
          <w:tcPr>
            <w:tcW w:w="10800" w:type="dxa"/>
            <w:shd w:val="clear" w:color="auto" w:fill="DBE5F1" w:themeFill="accent1" w:themeFillTint="33"/>
            <w:vAlign w:val="bottom"/>
            <w:hideMark/>
          </w:tcPr>
          <w:p w:rsidR="00BB2D76" w:rsidRDefault="00BB2D76" w:rsidP="00661F36">
            <w:pPr>
              <w:pStyle w:val="ListParagraph"/>
              <w:numPr>
                <w:ilvl w:val="0"/>
                <w:numId w:val="22"/>
              </w:numPr>
              <w:spacing w:after="160" w:line="256" w:lineRule="auto"/>
              <w:ind w:hanging="360"/>
              <w:jc w:val="both"/>
              <w:rPr>
                <w:sz w:val="20"/>
                <w:szCs w:val="20"/>
              </w:rPr>
            </w:pPr>
            <w:r w:rsidRPr="00BB2D76">
              <w:rPr>
                <w:sz w:val="20"/>
                <w:szCs w:val="20"/>
              </w:rPr>
              <w:t>Since iron deficiency in early stages of pregnancy increases the risk of pre-term delivery, it is essential to enable women of childbearing age to improve their dietary intake and start pregnancy with adequate iron status.</w:t>
            </w:r>
          </w:p>
          <w:p w:rsidR="00BB2D76" w:rsidRPr="00BB2D76" w:rsidRDefault="00BB2D76" w:rsidP="00BB2D76">
            <w:pPr>
              <w:pStyle w:val="ListParagraph"/>
              <w:numPr>
                <w:ilvl w:val="0"/>
                <w:numId w:val="22"/>
              </w:numPr>
              <w:spacing w:after="160" w:line="256" w:lineRule="auto"/>
              <w:ind w:hanging="360"/>
              <w:jc w:val="both"/>
              <w:rPr>
                <w:sz w:val="20"/>
                <w:szCs w:val="20"/>
              </w:rPr>
            </w:pPr>
            <w:r w:rsidRPr="00BB2D76">
              <w:rPr>
                <w:sz w:val="20"/>
              </w:rPr>
              <w:t>Promulgate legislation, and develop and enforce regulations on mandatory fortification of all industrially milled wheat flour in Georgia (domestically produced and imported) with at least iron and folic acid to help eliminate iron deficiency as a public health problem among the population, especially women of childbearing age, and to significantly reduce the tremendous and tragic burden of NTD-affected pregnancies</w:t>
            </w:r>
            <w:r>
              <w:rPr>
                <w:sz w:val="20"/>
              </w:rPr>
              <w:t>.</w:t>
            </w:r>
          </w:p>
        </w:tc>
      </w:tr>
    </w:tbl>
    <w:p w:rsidR="00BB2D76" w:rsidRDefault="00BB2D76" w:rsidP="00BB2D76">
      <w:pPr>
        <w:spacing w:after="120" w:line="240" w:lineRule="auto"/>
        <w:rPr>
          <w:b/>
        </w:rPr>
      </w:pPr>
    </w:p>
    <w:p w:rsidR="00136770" w:rsidRPr="00BB2D76" w:rsidRDefault="00136770" w:rsidP="00BB2D76">
      <w:pPr>
        <w:spacing w:after="120" w:line="240" w:lineRule="auto"/>
        <w:rPr>
          <w:b/>
        </w:rPr>
      </w:pPr>
      <w:r w:rsidRPr="00BB2D76">
        <w:rPr>
          <w:b/>
        </w:rPr>
        <w:t>Iodine status of school-age children and pregnant women.</w:t>
      </w:r>
    </w:p>
    <w:p w:rsidR="00136770" w:rsidRDefault="00BB2D76" w:rsidP="00BB2D76">
      <w:pPr>
        <w:spacing w:after="120" w:line="240" w:lineRule="auto"/>
        <w:jc w:val="both"/>
      </w:pPr>
      <w:r>
        <w:t>I</w:t>
      </w:r>
      <w:r w:rsidR="00136770">
        <w:t>odine deficiency has been eliminated as a public health burden in Georgia due to effective iodization of salt.  In fact, it may be necessary to consider possibly reducing the required concentration of iodine in salt.</w:t>
      </w:r>
    </w:p>
    <w:p w:rsidR="00BB2D76" w:rsidRDefault="00BB2D76" w:rsidP="00BB2D76">
      <w:pPr>
        <w:jc w:val="center"/>
      </w:pPr>
      <w:r>
        <w:rPr>
          <w:noProof/>
        </w:rPr>
        <w:drawing>
          <wp:inline distT="0" distB="0" distL="0" distR="0" wp14:anchorId="2F96394D" wp14:editId="5A0FFFC8">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4966" w:rsidRDefault="002D4966" w:rsidP="00BB2D76">
      <w:pPr>
        <w:jc w:val="center"/>
      </w:pPr>
    </w:p>
    <w:tbl>
      <w:tblPr>
        <w:tblStyle w:val="TableGrid0"/>
        <w:tblpPr w:vertAnchor="text" w:horzAnchor="margin" w:tblpY="248"/>
        <w:tblOverlap w:val="never"/>
        <w:tblW w:w="10890" w:type="dxa"/>
        <w:tblInd w:w="0" w:type="dxa"/>
        <w:tblCellMar>
          <w:top w:w="80" w:type="dxa"/>
          <w:left w:w="108" w:type="dxa"/>
          <w:right w:w="115" w:type="dxa"/>
        </w:tblCellMar>
        <w:tblLook w:val="04A0" w:firstRow="1" w:lastRow="0" w:firstColumn="1" w:lastColumn="0" w:noHBand="0" w:noVBand="1"/>
      </w:tblPr>
      <w:tblGrid>
        <w:gridCol w:w="10890"/>
      </w:tblGrid>
      <w:tr w:rsidR="00BB2D76" w:rsidRPr="00BB2D76" w:rsidTr="009A7162">
        <w:tc>
          <w:tcPr>
            <w:tcW w:w="10890" w:type="dxa"/>
            <w:shd w:val="clear" w:color="auto" w:fill="244061" w:themeFill="accent1" w:themeFillShade="80"/>
            <w:hideMark/>
          </w:tcPr>
          <w:p w:rsidR="00BB2D76" w:rsidRPr="00BB2D76" w:rsidRDefault="00BB2D76" w:rsidP="00E75C54">
            <w:pPr>
              <w:rPr>
                <w:sz w:val="20"/>
                <w:szCs w:val="20"/>
              </w:rPr>
            </w:pPr>
            <w:r w:rsidRPr="00BB2D76">
              <w:rPr>
                <w:b/>
                <w:color w:val="FFFFFF" w:themeColor="background1"/>
                <w:sz w:val="20"/>
                <w:szCs w:val="20"/>
              </w:rPr>
              <w:t>Recommendations</w:t>
            </w:r>
          </w:p>
        </w:tc>
      </w:tr>
      <w:tr w:rsidR="00BB2D76" w:rsidRPr="00BB2D76" w:rsidTr="009A7162">
        <w:tc>
          <w:tcPr>
            <w:tcW w:w="10890" w:type="dxa"/>
            <w:shd w:val="clear" w:color="auto" w:fill="DBE5F1" w:themeFill="accent1" w:themeFillTint="33"/>
            <w:vAlign w:val="bottom"/>
            <w:hideMark/>
          </w:tcPr>
          <w:p w:rsidR="00BB2D76" w:rsidRPr="00BB2D76" w:rsidRDefault="00BB2D76" w:rsidP="00BB2D76">
            <w:pPr>
              <w:pStyle w:val="ListParagraph"/>
              <w:numPr>
                <w:ilvl w:val="0"/>
                <w:numId w:val="22"/>
              </w:numPr>
              <w:spacing w:after="160" w:line="256" w:lineRule="auto"/>
              <w:ind w:hanging="288"/>
              <w:jc w:val="both"/>
              <w:rPr>
                <w:sz w:val="20"/>
              </w:rPr>
            </w:pPr>
            <w:r w:rsidRPr="00BB2D76">
              <w:rPr>
                <w:sz w:val="20"/>
              </w:rPr>
              <w:t>The public health authorities of Georgia, including the NCDC, should clearly acknowledge the critical contribution and role of the country’s salt importers toward elimination of iodine deficiency in the country and protecting the cognitive development of the population.</w:t>
            </w:r>
          </w:p>
          <w:p w:rsidR="00BB2D76" w:rsidRPr="00BB2D76" w:rsidRDefault="00BB2D76" w:rsidP="00BB2D76">
            <w:pPr>
              <w:pStyle w:val="ListParagraph"/>
              <w:numPr>
                <w:ilvl w:val="0"/>
                <w:numId w:val="22"/>
              </w:numPr>
              <w:spacing w:after="160" w:line="256" w:lineRule="auto"/>
              <w:ind w:hanging="288"/>
              <w:jc w:val="both"/>
              <w:rPr>
                <w:sz w:val="20"/>
              </w:rPr>
            </w:pPr>
            <w:r w:rsidRPr="00BB2D76">
              <w:rPr>
                <w:sz w:val="20"/>
              </w:rPr>
              <w:t>The public-private sector partnership on salt iodization and marketing of adequately iodized salt must be sustained indefinitely to prevent the recurrence of iodine deficiency disorders (IDD) in Georgia.</w:t>
            </w:r>
          </w:p>
          <w:p w:rsidR="00BB2D76" w:rsidRPr="00BB2D76" w:rsidRDefault="00BB2D76" w:rsidP="00BB2D76">
            <w:pPr>
              <w:pStyle w:val="ListParagraph"/>
              <w:numPr>
                <w:ilvl w:val="0"/>
                <w:numId w:val="22"/>
              </w:numPr>
              <w:spacing w:after="160" w:line="256" w:lineRule="auto"/>
              <w:ind w:hanging="288"/>
              <w:jc w:val="both"/>
              <w:rPr>
                <w:sz w:val="20"/>
                <w:szCs w:val="20"/>
              </w:rPr>
            </w:pPr>
            <w:r w:rsidRPr="00BB2D76">
              <w:rPr>
                <w:sz w:val="20"/>
              </w:rPr>
              <w:t xml:space="preserve">Engage the salt importers and the agency responsible for regulatory monitoring of iodized salt, so that they might provide data on the annual quantity of </w:t>
            </w:r>
            <w:r w:rsidRPr="009A7162">
              <w:rPr>
                <w:sz w:val="20"/>
              </w:rPr>
              <w:t>adequately</w:t>
            </w:r>
            <w:r w:rsidRPr="00BB2D76">
              <w:rPr>
                <w:b/>
                <w:sz w:val="20"/>
              </w:rPr>
              <w:t xml:space="preserve"> </w:t>
            </w:r>
            <w:r w:rsidRPr="00BB2D76">
              <w:rPr>
                <w:sz w:val="20"/>
              </w:rPr>
              <w:t>iodized salt marketed across the 4 sentinel regions, and use those data and an estimated per capita salt consumption of 10 g/person/day, as well as the population of each region, to calculate the “expected” population coverage of iodized salt in each area (assumed to be well over 90%).</w:t>
            </w:r>
          </w:p>
        </w:tc>
      </w:tr>
    </w:tbl>
    <w:p w:rsidR="0000063C" w:rsidRDefault="0000063C" w:rsidP="006D4C91">
      <w:pPr>
        <w:spacing w:after="120" w:line="240" w:lineRule="auto"/>
        <w:jc w:val="both"/>
        <w:rPr>
          <w:b/>
          <w:szCs w:val="36"/>
        </w:rPr>
      </w:pPr>
    </w:p>
    <w:p w:rsidR="006D4C91" w:rsidRPr="006D4C91" w:rsidRDefault="006D4C91" w:rsidP="006D4C91">
      <w:pPr>
        <w:spacing w:after="120" w:line="240" w:lineRule="auto"/>
        <w:jc w:val="both"/>
        <w:rPr>
          <w:b/>
          <w:szCs w:val="36"/>
        </w:rPr>
      </w:pPr>
      <w:r w:rsidRPr="006D4C91">
        <w:rPr>
          <w:b/>
          <w:szCs w:val="36"/>
        </w:rPr>
        <w:t>National assessment of iodine nutrition status and iodized salt use in Georgia</w:t>
      </w:r>
    </w:p>
    <w:p w:rsidR="006D4C91" w:rsidRPr="006D4C91" w:rsidRDefault="006D4C91" w:rsidP="006D4C91">
      <w:pPr>
        <w:autoSpaceDE w:val="0"/>
        <w:autoSpaceDN w:val="0"/>
        <w:adjustRightInd w:val="0"/>
        <w:spacing w:after="0" w:line="240" w:lineRule="auto"/>
        <w:jc w:val="both"/>
        <w:rPr>
          <w:color w:val="000000"/>
        </w:rPr>
      </w:pPr>
      <w:r>
        <w:rPr>
          <w:color w:val="000000"/>
        </w:rPr>
        <w:t>To p</w:t>
      </w:r>
      <w:r w:rsidRPr="006D4C91">
        <w:rPr>
          <w:color w:val="000000"/>
        </w:rPr>
        <w:t>rovide information on coverage of population with iodi</w:t>
      </w:r>
      <w:r>
        <w:rPr>
          <w:color w:val="000000"/>
        </w:rPr>
        <w:t>zed salt in Georgia nationwide</w:t>
      </w:r>
      <w:r w:rsidRPr="006D4C91">
        <w:rPr>
          <w:color w:val="000000"/>
        </w:rPr>
        <w:t>, and on adequacy of iodine content in salt on the household level though quantitative measurement of iodine concentration in salt,</w:t>
      </w:r>
      <w:r>
        <w:rPr>
          <w:color w:val="000000"/>
        </w:rPr>
        <w:t xml:space="preserve"> to d</w:t>
      </w:r>
      <w:r w:rsidRPr="006D4C91">
        <w:rPr>
          <w:color w:val="000000"/>
        </w:rPr>
        <w:t>etermine status of iodine nutrition of the population in Georgia nationwide by measuring UIC</w:t>
      </w:r>
      <w:r w:rsidRPr="006D4C91">
        <w:t xml:space="preserve"> and total body weight</w:t>
      </w:r>
      <w:r w:rsidRPr="006D4C91">
        <w:rPr>
          <w:color w:val="FF0000"/>
        </w:rPr>
        <w:t xml:space="preserve"> </w:t>
      </w:r>
      <w:r w:rsidRPr="006D4C91">
        <w:rPr>
          <w:color w:val="000000"/>
        </w:rPr>
        <w:t xml:space="preserve">in </w:t>
      </w:r>
      <w:r>
        <w:rPr>
          <w:color w:val="000000"/>
        </w:rPr>
        <w:t>school aged children (</w:t>
      </w:r>
      <w:r w:rsidRPr="006D4C91">
        <w:rPr>
          <w:color w:val="000000"/>
        </w:rPr>
        <w:t>SAC</w:t>
      </w:r>
      <w:r>
        <w:rPr>
          <w:color w:val="000000"/>
        </w:rPr>
        <w:t>)</w:t>
      </w:r>
      <w:r w:rsidRPr="006D4C91">
        <w:rPr>
          <w:color w:val="000000"/>
        </w:rPr>
        <w:t>,</w:t>
      </w:r>
      <w:r>
        <w:rPr>
          <w:color w:val="000000"/>
        </w:rPr>
        <w:t xml:space="preserve"> to a</w:t>
      </w:r>
      <w:r w:rsidRPr="006D4C91">
        <w:rPr>
          <w:color w:val="000000"/>
        </w:rPr>
        <w:t xml:space="preserve">ssess status of iodine nutrition in </w:t>
      </w:r>
      <w:r>
        <w:rPr>
          <w:color w:val="000000"/>
        </w:rPr>
        <w:t>pregnant women (</w:t>
      </w:r>
      <w:r w:rsidRPr="006D4C91">
        <w:rPr>
          <w:color w:val="000000"/>
        </w:rPr>
        <w:t>PW</w:t>
      </w:r>
      <w:r>
        <w:rPr>
          <w:color w:val="000000"/>
        </w:rPr>
        <w:t>)</w:t>
      </w:r>
      <w:r w:rsidRPr="006D4C91">
        <w:rPr>
          <w:color w:val="000000"/>
        </w:rPr>
        <w:t xml:space="preserve"> by collecting urine samples on the 1</w:t>
      </w:r>
      <w:r w:rsidRPr="006D4C91">
        <w:rPr>
          <w:color w:val="000000"/>
          <w:vertAlign w:val="superscript"/>
        </w:rPr>
        <w:t>st</w:t>
      </w:r>
      <w:r w:rsidRPr="006D4C91">
        <w:rPr>
          <w:color w:val="000000"/>
        </w:rPr>
        <w:t xml:space="preserve"> trimester </w:t>
      </w:r>
      <w:r w:rsidRPr="006D4C91">
        <w:rPr>
          <w:color w:val="000000"/>
        </w:rPr>
        <w:lastRenderedPageBreak/>
        <w:t>of pregnancy in clinics nationwide and measuring UIC,</w:t>
      </w:r>
      <w:r>
        <w:rPr>
          <w:color w:val="000000"/>
        </w:rPr>
        <w:t xml:space="preserve"> to</w:t>
      </w:r>
      <w:r w:rsidRPr="006D4C91">
        <w:rPr>
          <w:color w:val="000000"/>
        </w:rPr>
        <w:t xml:space="preserve"> </w:t>
      </w:r>
      <w:r>
        <w:rPr>
          <w:color w:val="000000"/>
        </w:rPr>
        <w:t>d</w:t>
      </w:r>
      <w:r w:rsidRPr="006D4C91">
        <w:rPr>
          <w:color w:val="000000"/>
        </w:rPr>
        <w:t>evelop recommendations for revision of present normative values of iodine in salt, as well approaches to use of iodine nutritional supplements among SAC and PW</w:t>
      </w:r>
      <w:r>
        <w:rPr>
          <w:color w:val="000000"/>
        </w:rPr>
        <w:t xml:space="preserve"> the </w:t>
      </w:r>
      <w:r w:rsidRPr="006D4C91">
        <w:rPr>
          <w:color w:val="000000"/>
        </w:rPr>
        <w:t xml:space="preserve">national survey of iodized salt use and status of iodine nutrition </w:t>
      </w:r>
      <w:r>
        <w:rPr>
          <w:color w:val="000000"/>
        </w:rPr>
        <w:t>has been conducted by the NCDC in collaboration with the UNICEF-Georgia.</w:t>
      </w:r>
    </w:p>
    <w:tbl>
      <w:tblPr>
        <w:tblStyle w:val="TableGrid0"/>
        <w:tblpPr w:vertAnchor="text" w:horzAnchor="margin" w:tblpY="248"/>
        <w:tblOverlap w:val="never"/>
        <w:tblW w:w="10800" w:type="dxa"/>
        <w:tblInd w:w="0" w:type="dxa"/>
        <w:tblCellMar>
          <w:top w:w="80" w:type="dxa"/>
          <w:left w:w="108" w:type="dxa"/>
          <w:right w:w="115" w:type="dxa"/>
        </w:tblCellMar>
        <w:tblLook w:val="04A0" w:firstRow="1" w:lastRow="0" w:firstColumn="1" w:lastColumn="0" w:noHBand="0" w:noVBand="1"/>
      </w:tblPr>
      <w:tblGrid>
        <w:gridCol w:w="10800"/>
      </w:tblGrid>
      <w:tr w:rsidR="00B17888" w:rsidRPr="00BB2D76" w:rsidTr="009A7162">
        <w:tc>
          <w:tcPr>
            <w:tcW w:w="10800" w:type="dxa"/>
            <w:shd w:val="clear" w:color="auto" w:fill="244061" w:themeFill="accent1" w:themeFillShade="80"/>
            <w:hideMark/>
          </w:tcPr>
          <w:p w:rsidR="00B17888" w:rsidRPr="00BB2D76" w:rsidRDefault="00B17888" w:rsidP="00B17888">
            <w:pPr>
              <w:rPr>
                <w:sz w:val="20"/>
                <w:szCs w:val="20"/>
              </w:rPr>
            </w:pPr>
            <w:r w:rsidRPr="00BB2D76">
              <w:rPr>
                <w:b/>
                <w:color w:val="FFFFFF" w:themeColor="background1"/>
                <w:sz w:val="20"/>
                <w:szCs w:val="20"/>
              </w:rPr>
              <w:t>Re</w:t>
            </w:r>
            <w:r>
              <w:rPr>
                <w:b/>
                <w:color w:val="FFFFFF" w:themeColor="background1"/>
                <w:sz w:val="20"/>
                <w:szCs w:val="20"/>
              </w:rPr>
              <w:t>sults</w:t>
            </w:r>
          </w:p>
        </w:tc>
      </w:tr>
      <w:tr w:rsidR="00B17888" w:rsidRPr="00BB2D76" w:rsidTr="009A7162">
        <w:tc>
          <w:tcPr>
            <w:tcW w:w="10800" w:type="dxa"/>
            <w:shd w:val="clear" w:color="auto" w:fill="DBE5F1" w:themeFill="accent1" w:themeFillTint="33"/>
            <w:vAlign w:val="bottom"/>
            <w:hideMark/>
          </w:tcPr>
          <w:p w:rsidR="00B17888" w:rsidRPr="00B17888" w:rsidRDefault="00B17888" w:rsidP="00B17888">
            <w:pPr>
              <w:pStyle w:val="ListParagraph"/>
              <w:numPr>
                <w:ilvl w:val="0"/>
                <w:numId w:val="22"/>
              </w:numPr>
              <w:spacing w:after="120"/>
              <w:ind w:hanging="288"/>
              <w:jc w:val="both"/>
              <w:rPr>
                <w:sz w:val="20"/>
              </w:rPr>
            </w:pPr>
            <w:r w:rsidRPr="00B17888">
              <w:rPr>
                <w:sz w:val="20"/>
              </w:rPr>
              <w:t xml:space="preserve">Over 90% of households in Georgia consume adequately iodized salt both in General and Mountain stratum. </w:t>
            </w:r>
          </w:p>
          <w:p w:rsidR="00B17888" w:rsidRPr="00B17888" w:rsidRDefault="00B17888" w:rsidP="00B17888">
            <w:pPr>
              <w:pStyle w:val="ListParagraph"/>
              <w:numPr>
                <w:ilvl w:val="0"/>
                <w:numId w:val="22"/>
              </w:numPr>
              <w:spacing w:after="120"/>
              <w:ind w:hanging="288"/>
              <w:jc w:val="both"/>
              <w:rPr>
                <w:sz w:val="20"/>
              </w:rPr>
            </w:pPr>
            <w:r w:rsidRPr="00B17888">
              <w:rPr>
                <w:sz w:val="20"/>
              </w:rPr>
              <w:t>Quality of iodized salt was remarkably good for all major brands of salt imported from various countries.</w:t>
            </w:r>
          </w:p>
          <w:p w:rsidR="00B17888" w:rsidRPr="00B17888" w:rsidRDefault="00B17888" w:rsidP="00B17888">
            <w:pPr>
              <w:pStyle w:val="ListParagraph"/>
              <w:numPr>
                <w:ilvl w:val="0"/>
                <w:numId w:val="22"/>
              </w:numPr>
              <w:spacing w:after="120"/>
              <w:ind w:hanging="288"/>
              <w:jc w:val="both"/>
              <w:rPr>
                <w:sz w:val="20"/>
              </w:rPr>
            </w:pPr>
            <w:r w:rsidRPr="00B17888">
              <w:rPr>
                <w:sz w:val="20"/>
              </w:rPr>
              <w:t>Adjusted median UIC in SAC nationwide (298</w:t>
            </w:r>
            <w:r w:rsidRPr="00B17888">
              <w:rPr>
                <w:rFonts w:cstheme="minorHAnsi"/>
                <w:sz w:val="20"/>
              </w:rPr>
              <w:t>µ</w:t>
            </w:r>
            <w:r w:rsidRPr="00B17888">
              <w:rPr>
                <w:sz w:val="20"/>
              </w:rPr>
              <w:t>g/L) was within the range (100-299</w:t>
            </w:r>
            <w:r w:rsidRPr="00B17888">
              <w:rPr>
                <w:rFonts w:cstheme="minorHAnsi"/>
                <w:sz w:val="20"/>
              </w:rPr>
              <w:t>µ</w:t>
            </w:r>
            <w:r w:rsidRPr="00B17888">
              <w:rPr>
                <w:sz w:val="20"/>
              </w:rPr>
              <w:t>g/L) for optimum iodine nutrition of population, albeit close to the upper limit.</w:t>
            </w:r>
          </w:p>
          <w:p w:rsidR="00B17888" w:rsidRPr="00B17888" w:rsidRDefault="00B17888" w:rsidP="00B17888">
            <w:pPr>
              <w:pStyle w:val="ListParagraph"/>
              <w:numPr>
                <w:ilvl w:val="0"/>
                <w:numId w:val="22"/>
              </w:numPr>
              <w:spacing w:after="120"/>
              <w:ind w:hanging="288"/>
              <w:jc w:val="both"/>
              <w:rPr>
                <w:sz w:val="20"/>
              </w:rPr>
            </w:pPr>
            <w:r w:rsidRPr="00B17888">
              <w:rPr>
                <w:sz w:val="20"/>
              </w:rPr>
              <w:t xml:space="preserve">Median UIC findings in all the SAC groups are clearly above the threshold for population iodine deficiency. </w:t>
            </w:r>
          </w:p>
          <w:p w:rsidR="00B17888" w:rsidRPr="00B17888" w:rsidRDefault="00B17888" w:rsidP="00B17888">
            <w:pPr>
              <w:pStyle w:val="ListParagraph"/>
              <w:numPr>
                <w:ilvl w:val="0"/>
                <w:numId w:val="22"/>
              </w:numPr>
              <w:spacing w:after="120"/>
              <w:ind w:hanging="288"/>
              <w:jc w:val="both"/>
              <w:rPr>
                <w:sz w:val="20"/>
              </w:rPr>
            </w:pPr>
            <w:r w:rsidRPr="00B17888">
              <w:rPr>
                <w:sz w:val="20"/>
              </w:rPr>
              <w:t>Percent UIC values less than 100</w:t>
            </w:r>
            <w:r w:rsidRPr="00B17888">
              <w:rPr>
                <w:rFonts w:cstheme="minorHAnsi"/>
                <w:sz w:val="20"/>
              </w:rPr>
              <w:t>µ</w:t>
            </w:r>
            <w:r w:rsidRPr="00B17888">
              <w:rPr>
                <w:sz w:val="20"/>
              </w:rPr>
              <w:t>g/L in the 3 groups were 0.6%, 2.2% and 3.1% of SAC in urban, rural and mountainous areas, respectively.</w:t>
            </w:r>
          </w:p>
          <w:p w:rsidR="00B17888" w:rsidRPr="00B17888" w:rsidRDefault="00B17888" w:rsidP="00B17888">
            <w:pPr>
              <w:pStyle w:val="ListParagraph"/>
              <w:numPr>
                <w:ilvl w:val="0"/>
                <w:numId w:val="22"/>
              </w:numPr>
              <w:spacing w:after="120"/>
              <w:ind w:hanging="288"/>
              <w:jc w:val="both"/>
              <w:rPr>
                <w:sz w:val="20"/>
              </w:rPr>
            </w:pPr>
            <w:r w:rsidRPr="00B17888">
              <w:rPr>
                <w:sz w:val="20"/>
              </w:rPr>
              <w:t>The median iodine intake estimate in SAC was 227</w:t>
            </w:r>
            <w:r w:rsidRPr="00B17888">
              <w:rPr>
                <w:rFonts w:cstheme="minorHAnsi"/>
                <w:sz w:val="20"/>
              </w:rPr>
              <w:t>µ</w:t>
            </w:r>
            <w:r w:rsidRPr="00B17888">
              <w:rPr>
                <w:sz w:val="20"/>
              </w:rPr>
              <w:t xml:space="preserve">g/day. The analysis shows that the iodine intake of Mountain SAC is lower by 19% than of SAC in the General stratum. </w:t>
            </w:r>
          </w:p>
          <w:p w:rsidR="00B17888" w:rsidRPr="00BB2D76" w:rsidRDefault="00B17888" w:rsidP="00B17888">
            <w:pPr>
              <w:pStyle w:val="ListParagraph"/>
              <w:numPr>
                <w:ilvl w:val="0"/>
                <w:numId w:val="22"/>
              </w:numPr>
              <w:spacing w:after="120"/>
              <w:ind w:hanging="288"/>
              <w:jc w:val="both"/>
              <w:rPr>
                <w:sz w:val="20"/>
                <w:szCs w:val="20"/>
              </w:rPr>
            </w:pPr>
            <w:r w:rsidRPr="00B17888">
              <w:rPr>
                <w:sz w:val="20"/>
              </w:rPr>
              <w:t>The median UIC in the 634 PW was 211</w:t>
            </w:r>
            <w:r w:rsidRPr="00B17888">
              <w:rPr>
                <w:rFonts w:cstheme="minorHAnsi"/>
                <w:sz w:val="20"/>
              </w:rPr>
              <w:t>µ</w:t>
            </w:r>
            <w:r w:rsidRPr="00B17888">
              <w:rPr>
                <w:sz w:val="20"/>
              </w:rPr>
              <w:t>g/L. This finding suggests optimal iodine status of PW in Georgia as the level is conveniently in the middle of the normative 150-250</w:t>
            </w:r>
            <w:r w:rsidRPr="00B17888">
              <w:rPr>
                <w:rFonts w:cstheme="minorHAnsi"/>
                <w:sz w:val="20"/>
              </w:rPr>
              <w:t>µ</w:t>
            </w:r>
            <w:r w:rsidRPr="00B17888">
              <w:rPr>
                <w:sz w:val="20"/>
              </w:rPr>
              <w:t>g/L range.</w:t>
            </w:r>
          </w:p>
        </w:tc>
      </w:tr>
    </w:tbl>
    <w:p w:rsidR="00BE056F" w:rsidRDefault="00BE056F" w:rsidP="00FC1DC6">
      <w:pPr>
        <w:spacing w:after="120" w:line="240" w:lineRule="auto"/>
        <w:jc w:val="both"/>
        <w:rPr>
          <w:b/>
          <w:i/>
          <w:color w:val="365F91" w:themeColor="accent1" w:themeShade="BF"/>
          <w:sz w:val="28"/>
          <w:szCs w:val="28"/>
          <w:shd w:val="clear" w:color="auto" w:fill="FFFFFF"/>
        </w:rPr>
      </w:pPr>
    </w:p>
    <w:p w:rsidR="00FC1DC6" w:rsidRPr="001C1ADC" w:rsidRDefault="00FC1DC6" w:rsidP="00FC1DC6">
      <w:pPr>
        <w:spacing w:after="120" w:line="240" w:lineRule="auto"/>
        <w:jc w:val="both"/>
        <w:rPr>
          <w:i/>
          <w:color w:val="365F91" w:themeColor="accent1" w:themeShade="BF"/>
          <w:sz w:val="28"/>
          <w:szCs w:val="28"/>
        </w:rPr>
      </w:pPr>
      <w:r w:rsidRPr="001C1ADC">
        <w:rPr>
          <w:b/>
          <w:i/>
          <w:color w:val="365F91" w:themeColor="accent1" w:themeShade="BF"/>
          <w:sz w:val="28"/>
          <w:szCs w:val="28"/>
          <w:shd w:val="clear" w:color="auto" w:fill="FFFFFF"/>
        </w:rPr>
        <w:t xml:space="preserve">Key </w:t>
      </w:r>
      <w:r w:rsidR="00603C71">
        <w:rPr>
          <w:b/>
          <w:i/>
          <w:color w:val="365F91" w:themeColor="accent1" w:themeShade="BF"/>
          <w:sz w:val="28"/>
          <w:szCs w:val="28"/>
          <w:shd w:val="clear" w:color="auto" w:fill="FFFFFF"/>
        </w:rPr>
        <w:t>A</w:t>
      </w:r>
      <w:r w:rsidRPr="001C1ADC">
        <w:rPr>
          <w:b/>
          <w:i/>
          <w:color w:val="365F91" w:themeColor="accent1" w:themeShade="BF"/>
          <w:sz w:val="28"/>
          <w:szCs w:val="28"/>
          <w:shd w:val="clear" w:color="auto" w:fill="FFFFFF"/>
        </w:rPr>
        <w:t>chievements</w:t>
      </w:r>
      <w:r w:rsidRPr="001C1ADC">
        <w:rPr>
          <w:i/>
          <w:color w:val="365F91" w:themeColor="accent1" w:themeShade="BF"/>
          <w:sz w:val="28"/>
          <w:szCs w:val="28"/>
        </w:rPr>
        <w:t xml:space="preserve"> </w:t>
      </w:r>
    </w:p>
    <w:p w:rsidR="00FC1DC6" w:rsidRDefault="00420AA6" w:rsidP="00FC1DC6">
      <w:pPr>
        <w:spacing w:after="120" w:line="240" w:lineRule="auto"/>
        <w:jc w:val="both"/>
      </w:pPr>
      <w:r>
        <w:t>According both surveys Iodine deficiency has been eliminated as a public health burden in Georgia due to effective iodization of salt</w:t>
      </w:r>
      <w:r w:rsidR="00FC1DC6" w:rsidRPr="00B17888">
        <w:t xml:space="preserve">. </w:t>
      </w:r>
    </w:p>
    <w:p w:rsidR="00BE056F" w:rsidRDefault="00BE056F" w:rsidP="00FC1DC6">
      <w:pPr>
        <w:spacing w:after="120" w:line="240" w:lineRule="auto"/>
        <w:jc w:val="both"/>
        <w:rPr>
          <w:b/>
          <w:i/>
          <w:color w:val="365F91" w:themeColor="accent1" w:themeShade="BF"/>
          <w:sz w:val="28"/>
          <w:szCs w:val="28"/>
          <w:shd w:val="clear" w:color="auto" w:fill="FFFFFF"/>
        </w:rPr>
      </w:pPr>
    </w:p>
    <w:p w:rsidR="00FC1DC6" w:rsidRPr="001C1ADC" w:rsidRDefault="00FC1DC6" w:rsidP="00FC1DC6">
      <w:pPr>
        <w:spacing w:after="120" w:line="240" w:lineRule="auto"/>
        <w:jc w:val="both"/>
        <w:rPr>
          <w:b/>
          <w:i/>
          <w:color w:val="365F91" w:themeColor="accent1" w:themeShade="BF"/>
          <w:sz w:val="28"/>
          <w:szCs w:val="28"/>
        </w:rPr>
      </w:pPr>
      <w:r w:rsidRPr="001C1ADC">
        <w:rPr>
          <w:b/>
          <w:i/>
          <w:color w:val="365F91" w:themeColor="accent1" w:themeShade="BF"/>
          <w:sz w:val="28"/>
          <w:szCs w:val="28"/>
          <w:shd w:val="clear" w:color="auto" w:fill="FFFFFF"/>
        </w:rPr>
        <w:t xml:space="preserve">Challenges </w:t>
      </w:r>
      <w:r w:rsidR="001C1ADC">
        <w:rPr>
          <w:b/>
          <w:i/>
          <w:color w:val="365F91" w:themeColor="accent1" w:themeShade="BF"/>
          <w:sz w:val="28"/>
          <w:szCs w:val="28"/>
          <w:shd w:val="clear" w:color="auto" w:fill="FFFFFF"/>
        </w:rPr>
        <w:t xml:space="preserve">and </w:t>
      </w:r>
      <w:r w:rsidR="00603C71">
        <w:rPr>
          <w:b/>
          <w:i/>
          <w:color w:val="365F91" w:themeColor="accent1" w:themeShade="BF"/>
          <w:sz w:val="28"/>
          <w:szCs w:val="28"/>
          <w:shd w:val="clear" w:color="auto" w:fill="FFFFFF"/>
        </w:rPr>
        <w:t>F</w:t>
      </w:r>
      <w:r w:rsidRPr="001C1ADC">
        <w:rPr>
          <w:b/>
          <w:i/>
          <w:color w:val="365F91" w:themeColor="accent1" w:themeShade="BF"/>
          <w:sz w:val="28"/>
          <w:szCs w:val="28"/>
          <w:shd w:val="clear" w:color="auto" w:fill="FFFFFF"/>
        </w:rPr>
        <w:t xml:space="preserve">uture </w:t>
      </w:r>
      <w:r w:rsidR="00603C71">
        <w:rPr>
          <w:b/>
          <w:i/>
          <w:color w:val="365F91" w:themeColor="accent1" w:themeShade="BF"/>
          <w:sz w:val="28"/>
          <w:szCs w:val="28"/>
          <w:shd w:val="clear" w:color="auto" w:fill="FFFFFF"/>
        </w:rPr>
        <w:t>S</w:t>
      </w:r>
      <w:r w:rsidRPr="001C1ADC">
        <w:rPr>
          <w:b/>
          <w:i/>
          <w:color w:val="365F91" w:themeColor="accent1" w:themeShade="BF"/>
          <w:sz w:val="28"/>
          <w:szCs w:val="28"/>
          <w:shd w:val="clear" w:color="auto" w:fill="FFFFFF"/>
        </w:rPr>
        <w:t>teps</w:t>
      </w:r>
    </w:p>
    <w:p w:rsidR="00420AA6" w:rsidRPr="00420AA6" w:rsidRDefault="00420AA6" w:rsidP="00420AA6">
      <w:pPr>
        <w:pStyle w:val="ListParagraph"/>
        <w:numPr>
          <w:ilvl w:val="0"/>
          <w:numId w:val="30"/>
        </w:numPr>
        <w:spacing w:after="120" w:line="240" w:lineRule="auto"/>
        <w:jc w:val="both"/>
      </w:pPr>
      <w:r w:rsidRPr="00420AA6">
        <w:t>Alarmingly high prevalence of iron deficiency in children can potentially have significant negative consequences on the cognitive development of the children</w:t>
      </w:r>
    </w:p>
    <w:p w:rsidR="00420AA6" w:rsidRPr="00420AA6" w:rsidRDefault="00420AA6" w:rsidP="00420AA6">
      <w:pPr>
        <w:pStyle w:val="ListParagraph"/>
        <w:numPr>
          <w:ilvl w:val="0"/>
          <w:numId w:val="30"/>
        </w:numPr>
        <w:spacing w:after="160" w:line="256" w:lineRule="auto"/>
        <w:jc w:val="both"/>
      </w:pPr>
      <w:r w:rsidRPr="00420AA6">
        <w:t>High prevalence of anemia, iron deficiency and folate deficiency in 1</w:t>
      </w:r>
      <w:r w:rsidRPr="00420AA6">
        <w:rPr>
          <w:vertAlign w:val="superscript"/>
        </w:rPr>
        <w:t>st</w:t>
      </w:r>
      <w:r w:rsidRPr="00420AA6">
        <w:t xml:space="preserve"> trimester pregnant women</w:t>
      </w:r>
    </w:p>
    <w:p w:rsidR="00420AA6" w:rsidRPr="00420AA6" w:rsidRDefault="00420AA6" w:rsidP="00420AA6">
      <w:pPr>
        <w:pStyle w:val="ListParagraph"/>
        <w:numPr>
          <w:ilvl w:val="0"/>
          <w:numId w:val="30"/>
        </w:numPr>
        <w:spacing w:after="160" w:line="256" w:lineRule="auto"/>
        <w:jc w:val="both"/>
      </w:pPr>
      <w:r w:rsidRPr="00420AA6">
        <w:t>High prevalence of neural tube defects-affected pregnancies</w:t>
      </w:r>
    </w:p>
    <w:p w:rsidR="00FC1DC6" w:rsidRDefault="00FC1DC6" w:rsidP="006D4C91">
      <w:pPr>
        <w:spacing w:after="120" w:line="240" w:lineRule="auto"/>
        <w:jc w:val="both"/>
      </w:pPr>
      <w:r w:rsidRPr="00B17888">
        <w:t>Further monitoring of iodized salt use and iodine nutrition is recommended to assur</w:t>
      </w:r>
      <w:r>
        <w:t xml:space="preserve">e permanent IDD elimination and </w:t>
      </w:r>
      <w:r w:rsidRPr="00B17888">
        <w:t xml:space="preserve">optimal iodine nutrition in Georgia. </w:t>
      </w:r>
    </w:p>
    <w:p w:rsidR="00BE056F" w:rsidRDefault="00BE056F" w:rsidP="006D4C91">
      <w:pPr>
        <w:spacing w:after="120" w:line="240" w:lineRule="auto"/>
        <w:jc w:val="both"/>
      </w:pPr>
    </w:p>
    <w:p w:rsidR="00FE3057" w:rsidRDefault="00FE3057" w:rsidP="006D4C91">
      <w:pPr>
        <w:spacing w:after="120" w:line="240" w:lineRule="auto"/>
        <w:jc w:val="both"/>
      </w:pPr>
    </w:p>
    <w:p w:rsidR="00FE3057" w:rsidRDefault="00FE3057" w:rsidP="006D4C91">
      <w:pPr>
        <w:spacing w:after="120" w:line="240" w:lineRule="auto"/>
        <w:jc w:val="both"/>
      </w:pPr>
    </w:p>
    <w:p w:rsidR="00FE3057" w:rsidRDefault="00FE3057" w:rsidP="006D4C91">
      <w:pPr>
        <w:spacing w:after="120" w:line="240" w:lineRule="auto"/>
        <w:jc w:val="both"/>
      </w:pPr>
    </w:p>
    <w:p w:rsidR="00BE056F" w:rsidRDefault="00BE056F" w:rsidP="006D4C91">
      <w:pPr>
        <w:spacing w:after="120" w:line="240" w:lineRule="auto"/>
        <w:jc w:val="both"/>
      </w:pPr>
    </w:p>
    <w:p w:rsidR="00FE3057" w:rsidRDefault="00FE3057" w:rsidP="006D4C91">
      <w:pPr>
        <w:spacing w:after="120" w:line="240" w:lineRule="auto"/>
        <w:jc w:val="both"/>
      </w:pPr>
    </w:p>
    <w:p w:rsidR="00BE056F" w:rsidRDefault="00BE056F" w:rsidP="006D4C91">
      <w:pPr>
        <w:spacing w:after="120" w:line="240" w:lineRule="auto"/>
        <w:jc w:val="both"/>
      </w:pPr>
    </w:p>
    <w:p w:rsidR="00BE056F" w:rsidRPr="00FE3057" w:rsidRDefault="00FE3057" w:rsidP="006D4C91">
      <w:pPr>
        <w:spacing w:after="120" w:line="240" w:lineRule="auto"/>
        <w:jc w:val="both"/>
        <w:rPr>
          <w:color w:val="365F91" w:themeColor="accent1" w:themeShade="BF"/>
        </w:rPr>
      </w:pPr>
      <w:r w:rsidRPr="00FE3057">
        <w:rPr>
          <w:color w:val="365F91" w:themeColor="accent1" w:themeShade="BF"/>
        </w:rPr>
        <w:t>__________________________________________________________________________________________________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FE3057" w:rsidRPr="00EA39DE" w:rsidTr="00603FA6">
        <w:trPr>
          <w:trHeight w:val="1802"/>
        </w:trPr>
        <w:tc>
          <w:tcPr>
            <w:tcW w:w="5507" w:type="dxa"/>
          </w:tcPr>
          <w:p w:rsidR="00FE3057" w:rsidRPr="00FE3057" w:rsidRDefault="00FE3057" w:rsidP="00603FA6">
            <w:pPr>
              <w:spacing w:after="120"/>
              <w:contextualSpacing/>
              <w:jc w:val="center"/>
              <w:rPr>
                <w:rFonts w:cstheme="minorHAnsi"/>
                <w:color w:val="365F91" w:themeColor="accent1" w:themeShade="BF"/>
                <w:sz w:val="20"/>
                <w:szCs w:val="20"/>
              </w:rPr>
            </w:pPr>
            <w:r w:rsidRPr="00FE3057">
              <w:rPr>
                <w:rFonts w:eastAsiaTheme="majorEastAsia" w:cstheme="minorHAnsi"/>
                <w:bCs/>
                <w:noProof/>
                <w:color w:val="365F91" w:themeColor="accent1" w:themeShade="BF"/>
                <w:sz w:val="20"/>
                <w:szCs w:val="20"/>
              </w:rPr>
              <w:drawing>
                <wp:anchor distT="0" distB="0" distL="114300" distR="114300" simplePos="0" relativeHeight="251665408" behindDoc="0" locked="0" layoutInCell="1" allowOverlap="1" wp14:anchorId="6C888C5D" wp14:editId="4D7DB895">
                  <wp:simplePos x="0" y="0"/>
                  <wp:positionH relativeFrom="column">
                    <wp:posOffset>1143635</wp:posOffset>
                  </wp:positionH>
                  <wp:positionV relativeFrom="paragraph">
                    <wp:posOffset>118745</wp:posOffset>
                  </wp:positionV>
                  <wp:extent cx="1133475" cy="448310"/>
                  <wp:effectExtent l="0" t="0" r="9525" b="8890"/>
                  <wp:wrapNone/>
                  <wp:docPr id="10" name="Picture 10"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FE3057">
              <w:rPr>
                <w:rFonts w:cstheme="minorHAnsi"/>
                <w:color w:val="365F91" w:themeColor="accent1" w:themeShade="BF"/>
                <w:sz w:val="20"/>
                <w:szCs w:val="20"/>
              </w:rPr>
              <w:t xml:space="preserve">     </w:t>
            </w:r>
          </w:p>
          <w:p w:rsidR="00FE3057" w:rsidRPr="00FE3057" w:rsidRDefault="00FE3057" w:rsidP="00603FA6">
            <w:pPr>
              <w:spacing w:after="120"/>
              <w:contextualSpacing/>
              <w:jc w:val="center"/>
              <w:rPr>
                <w:rFonts w:cstheme="minorHAnsi"/>
                <w:color w:val="365F91" w:themeColor="accent1" w:themeShade="BF"/>
                <w:sz w:val="20"/>
                <w:szCs w:val="20"/>
              </w:rPr>
            </w:pPr>
          </w:p>
          <w:p w:rsidR="00FE3057" w:rsidRPr="00FE3057" w:rsidRDefault="00FE3057" w:rsidP="00603FA6">
            <w:pPr>
              <w:spacing w:after="120"/>
              <w:contextualSpacing/>
              <w:jc w:val="center"/>
              <w:rPr>
                <w:rFonts w:cstheme="minorHAnsi"/>
                <w:color w:val="365F91" w:themeColor="accent1" w:themeShade="BF"/>
                <w:sz w:val="20"/>
                <w:szCs w:val="20"/>
              </w:rPr>
            </w:pPr>
          </w:p>
          <w:p w:rsidR="00FE3057" w:rsidRPr="00FE3057" w:rsidRDefault="00FE3057" w:rsidP="00603FA6">
            <w:pPr>
              <w:spacing w:after="120"/>
              <w:contextualSpacing/>
              <w:jc w:val="center"/>
              <w:rPr>
                <w:rFonts w:cstheme="minorHAnsi"/>
                <w:color w:val="365F91" w:themeColor="accent1" w:themeShade="BF"/>
                <w:sz w:val="20"/>
                <w:szCs w:val="20"/>
              </w:rPr>
            </w:pPr>
            <w:r w:rsidRPr="00FE3057">
              <w:rPr>
                <w:rFonts w:cstheme="minorHAnsi"/>
                <w:color w:val="365F91" w:themeColor="accent1" w:themeShade="BF"/>
                <w:sz w:val="20"/>
                <w:szCs w:val="20"/>
              </w:rPr>
              <w:t xml:space="preserve">    </w:t>
            </w:r>
          </w:p>
          <w:p w:rsidR="00FE3057" w:rsidRPr="00FE3057" w:rsidRDefault="00FE3057" w:rsidP="00603FA6">
            <w:pPr>
              <w:pStyle w:val="Heading2"/>
              <w:spacing w:line="240" w:lineRule="auto"/>
              <w:ind w:left="-392"/>
              <w:jc w:val="center"/>
              <w:outlineLvl w:val="1"/>
              <w:rPr>
                <w:rFonts w:asciiTheme="minorHAnsi" w:hAnsiTheme="minorHAnsi" w:cstheme="minorHAnsi"/>
                <w:b/>
                <w:bCs/>
                <w:i/>
                <w:color w:val="365F91" w:themeColor="accent1" w:themeShade="BF"/>
                <w:sz w:val="20"/>
                <w:szCs w:val="20"/>
              </w:rPr>
            </w:pPr>
            <w:r w:rsidRPr="00FE3057">
              <w:rPr>
                <w:rFonts w:asciiTheme="minorHAnsi" w:hAnsiTheme="minorHAnsi" w:cstheme="minorHAnsi"/>
                <w:color w:val="365F91" w:themeColor="accent1" w:themeShade="BF"/>
                <w:sz w:val="20"/>
                <w:szCs w:val="20"/>
              </w:rPr>
              <w:t>Ministry of Labour, Health and Social Affairs of Georgia</w:t>
            </w:r>
          </w:p>
          <w:p w:rsidR="00FE3057" w:rsidRPr="00FE3057" w:rsidRDefault="00FE3057" w:rsidP="00603FA6">
            <w:pPr>
              <w:spacing w:after="120"/>
              <w:ind w:left="-392"/>
              <w:contextualSpacing/>
              <w:jc w:val="center"/>
              <w:rPr>
                <w:rFonts w:eastAsiaTheme="majorEastAsia" w:cstheme="minorHAnsi"/>
                <w:bCs/>
                <w:color w:val="365F91" w:themeColor="accent1" w:themeShade="BF"/>
                <w:sz w:val="20"/>
                <w:szCs w:val="20"/>
                <w:lang w:val="ka-GE"/>
              </w:rPr>
            </w:pPr>
            <w:r w:rsidRPr="00FE3057">
              <w:rPr>
                <w:rFonts w:eastAsiaTheme="majorEastAsia" w:cstheme="minorHAnsi"/>
                <w:bCs/>
                <w:color w:val="365F91" w:themeColor="accent1" w:themeShade="BF"/>
                <w:sz w:val="20"/>
                <w:szCs w:val="20"/>
              </w:rPr>
              <w:t>144, A. Tsereteli avenue. Tbilisi, Georgia, 0119</w:t>
            </w:r>
          </w:p>
          <w:p w:rsidR="00FE3057" w:rsidRPr="00FE3057" w:rsidRDefault="00FE3057" w:rsidP="00603FA6">
            <w:pPr>
              <w:spacing w:after="120"/>
              <w:ind w:left="-392"/>
              <w:contextualSpacing/>
              <w:jc w:val="center"/>
              <w:rPr>
                <w:rFonts w:cstheme="minorHAnsi"/>
                <w:color w:val="365F91" w:themeColor="accent1" w:themeShade="BF"/>
                <w:sz w:val="20"/>
                <w:szCs w:val="20"/>
              </w:rPr>
            </w:pPr>
            <w:r w:rsidRPr="00FE3057">
              <w:rPr>
                <w:rFonts w:eastAsiaTheme="majorEastAsia" w:cstheme="minorHAnsi"/>
                <w:bCs/>
                <w:color w:val="365F91" w:themeColor="accent1" w:themeShade="BF"/>
                <w:sz w:val="20"/>
                <w:szCs w:val="20"/>
              </w:rPr>
              <w:t>www.moh.gov.ge</w:t>
            </w:r>
          </w:p>
        </w:tc>
        <w:tc>
          <w:tcPr>
            <w:tcW w:w="4831" w:type="dxa"/>
          </w:tcPr>
          <w:p w:rsidR="00FE3057" w:rsidRPr="00FE3057" w:rsidRDefault="00FE3057" w:rsidP="00603FA6">
            <w:pPr>
              <w:spacing w:after="120"/>
              <w:contextualSpacing/>
              <w:jc w:val="center"/>
              <w:rPr>
                <w:rFonts w:eastAsiaTheme="majorEastAsia" w:cstheme="minorHAnsi"/>
                <w:bCs/>
                <w:color w:val="365F91" w:themeColor="accent1" w:themeShade="BF"/>
                <w:sz w:val="20"/>
                <w:szCs w:val="20"/>
              </w:rPr>
            </w:pPr>
            <w:r w:rsidRPr="00FE3057">
              <w:rPr>
                <w:rFonts w:eastAsiaTheme="majorEastAsia" w:cstheme="minorHAnsi"/>
                <w:bCs/>
                <w:noProof/>
                <w:color w:val="365F91" w:themeColor="accent1" w:themeShade="BF"/>
                <w:sz w:val="20"/>
                <w:szCs w:val="20"/>
              </w:rPr>
              <w:drawing>
                <wp:anchor distT="0" distB="0" distL="114300" distR="114300" simplePos="0" relativeHeight="251664384" behindDoc="0" locked="0" layoutInCell="1" allowOverlap="1" wp14:anchorId="6B1EFC13" wp14:editId="1EB95DD7">
                  <wp:simplePos x="0" y="0"/>
                  <wp:positionH relativeFrom="column">
                    <wp:posOffset>866140</wp:posOffset>
                  </wp:positionH>
                  <wp:positionV relativeFrom="paragraph">
                    <wp:posOffset>91440</wp:posOffset>
                  </wp:positionV>
                  <wp:extent cx="1457325" cy="46223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E3057" w:rsidRPr="00FE3057" w:rsidRDefault="00FE3057" w:rsidP="00603FA6">
            <w:pPr>
              <w:spacing w:after="120"/>
              <w:contextualSpacing/>
              <w:jc w:val="center"/>
              <w:rPr>
                <w:rFonts w:eastAsiaTheme="majorEastAsia" w:cstheme="minorHAnsi"/>
                <w:bCs/>
                <w:color w:val="365F91" w:themeColor="accent1" w:themeShade="BF"/>
                <w:sz w:val="20"/>
                <w:szCs w:val="20"/>
              </w:rPr>
            </w:pPr>
          </w:p>
          <w:p w:rsidR="00FE3057" w:rsidRPr="00FE3057" w:rsidRDefault="00FE3057" w:rsidP="00603FA6">
            <w:pPr>
              <w:spacing w:after="120"/>
              <w:contextualSpacing/>
              <w:jc w:val="center"/>
              <w:rPr>
                <w:rFonts w:eastAsiaTheme="majorEastAsia" w:cstheme="minorHAnsi"/>
                <w:bCs/>
                <w:color w:val="365F91" w:themeColor="accent1" w:themeShade="BF"/>
                <w:sz w:val="20"/>
                <w:szCs w:val="20"/>
              </w:rPr>
            </w:pPr>
          </w:p>
          <w:p w:rsidR="00FE3057" w:rsidRPr="00FE3057" w:rsidRDefault="00FE3057" w:rsidP="00603FA6">
            <w:pPr>
              <w:spacing w:after="120"/>
              <w:contextualSpacing/>
              <w:jc w:val="center"/>
              <w:rPr>
                <w:rFonts w:eastAsiaTheme="majorEastAsia" w:cstheme="minorHAnsi"/>
                <w:bCs/>
                <w:color w:val="365F91" w:themeColor="accent1" w:themeShade="BF"/>
                <w:sz w:val="20"/>
                <w:szCs w:val="20"/>
              </w:rPr>
            </w:pPr>
            <w:r w:rsidRPr="00FE3057">
              <w:rPr>
                <w:rFonts w:eastAsiaTheme="majorEastAsia" w:cstheme="minorHAnsi"/>
                <w:bCs/>
                <w:color w:val="365F91" w:themeColor="accent1" w:themeShade="BF"/>
                <w:sz w:val="20"/>
                <w:szCs w:val="20"/>
              </w:rPr>
              <w:t xml:space="preserve"> </w:t>
            </w:r>
          </w:p>
          <w:p w:rsidR="00FE3057" w:rsidRPr="00FE3057" w:rsidRDefault="00FE3057" w:rsidP="00603FA6">
            <w:pPr>
              <w:pStyle w:val="Heading2"/>
              <w:spacing w:line="240" w:lineRule="auto"/>
              <w:outlineLvl w:val="1"/>
              <w:rPr>
                <w:rFonts w:asciiTheme="minorHAnsi" w:hAnsiTheme="minorHAnsi" w:cstheme="minorHAnsi"/>
                <w:b/>
                <w:bCs/>
                <w:i/>
                <w:color w:val="365F91" w:themeColor="accent1" w:themeShade="BF"/>
                <w:sz w:val="20"/>
                <w:szCs w:val="20"/>
              </w:rPr>
            </w:pPr>
            <w:r w:rsidRPr="00FE3057">
              <w:rPr>
                <w:rFonts w:asciiTheme="minorHAnsi" w:hAnsiTheme="minorHAnsi" w:cstheme="minorHAnsi"/>
                <w:color w:val="365F91" w:themeColor="accent1" w:themeShade="BF"/>
                <w:sz w:val="20"/>
                <w:szCs w:val="20"/>
              </w:rPr>
              <w:t>National Center for Disease Control and Public Health</w:t>
            </w:r>
          </w:p>
          <w:p w:rsidR="00FE3057" w:rsidRPr="00FE3057" w:rsidRDefault="00FE3057" w:rsidP="00603FA6">
            <w:pPr>
              <w:pStyle w:val="Heading2"/>
              <w:spacing w:line="240" w:lineRule="auto"/>
              <w:jc w:val="center"/>
              <w:outlineLvl w:val="1"/>
              <w:rPr>
                <w:rFonts w:asciiTheme="minorHAnsi" w:hAnsiTheme="minorHAnsi" w:cstheme="minorHAnsi"/>
                <w:b/>
                <w:bCs/>
                <w:i/>
                <w:color w:val="365F91" w:themeColor="accent1" w:themeShade="BF"/>
                <w:sz w:val="20"/>
                <w:szCs w:val="20"/>
                <w:lang w:val="ka-GE"/>
              </w:rPr>
            </w:pPr>
            <w:r w:rsidRPr="00FE3057">
              <w:rPr>
                <w:rFonts w:asciiTheme="minorHAnsi" w:hAnsiTheme="minorHAnsi" w:cstheme="minorHAnsi"/>
                <w:color w:val="365F91" w:themeColor="accent1" w:themeShade="BF"/>
                <w:sz w:val="20"/>
                <w:szCs w:val="20"/>
              </w:rPr>
              <w:t>9, M. Asatiani street</w:t>
            </w:r>
            <w:r w:rsidRPr="00FE3057">
              <w:rPr>
                <w:rFonts w:asciiTheme="minorHAnsi" w:hAnsiTheme="minorHAnsi" w:cstheme="minorHAnsi"/>
                <w:color w:val="365F91" w:themeColor="accent1" w:themeShade="BF"/>
                <w:sz w:val="20"/>
                <w:szCs w:val="20"/>
                <w:lang w:val="ka-GE"/>
              </w:rPr>
              <w:t>.</w:t>
            </w:r>
            <w:r w:rsidRPr="00FE3057">
              <w:rPr>
                <w:rFonts w:asciiTheme="minorHAnsi" w:hAnsiTheme="minorHAnsi" w:cstheme="minorHAnsi"/>
                <w:color w:val="365F91" w:themeColor="accent1" w:themeShade="BF"/>
                <w:sz w:val="20"/>
                <w:szCs w:val="20"/>
              </w:rPr>
              <w:t xml:space="preserve"> Tbilisi, Georgia,</w:t>
            </w:r>
            <w:r w:rsidRPr="00FE3057">
              <w:rPr>
                <w:rFonts w:asciiTheme="minorHAnsi" w:hAnsiTheme="minorHAnsi" w:cstheme="minorHAnsi"/>
                <w:color w:val="365F91" w:themeColor="accent1" w:themeShade="BF"/>
                <w:sz w:val="20"/>
                <w:szCs w:val="20"/>
                <w:lang w:val="ka-GE"/>
              </w:rPr>
              <w:t xml:space="preserve"> 0177</w:t>
            </w:r>
          </w:p>
          <w:p w:rsidR="00FE3057" w:rsidRPr="00FE3057" w:rsidRDefault="00FE3057" w:rsidP="00603FA6">
            <w:pPr>
              <w:spacing w:after="120"/>
              <w:contextualSpacing/>
              <w:jc w:val="center"/>
              <w:rPr>
                <w:rFonts w:cstheme="minorHAnsi"/>
                <w:color w:val="365F91" w:themeColor="accent1" w:themeShade="BF"/>
                <w:sz w:val="20"/>
                <w:szCs w:val="20"/>
              </w:rPr>
            </w:pPr>
            <w:r w:rsidRPr="00FE3057">
              <w:rPr>
                <w:rFonts w:cstheme="minorHAnsi"/>
                <w:color w:val="365F91" w:themeColor="accent1" w:themeShade="BF"/>
                <w:sz w:val="20"/>
                <w:szCs w:val="20"/>
              </w:rPr>
              <w:t>www.ncdc.ge</w:t>
            </w:r>
          </w:p>
        </w:tc>
      </w:tr>
    </w:tbl>
    <w:p w:rsidR="00277A2E" w:rsidRPr="00FC1DC6" w:rsidRDefault="00277A2E" w:rsidP="006D4C91">
      <w:pPr>
        <w:spacing w:after="120" w:line="240" w:lineRule="auto"/>
        <w:jc w:val="both"/>
        <w:rPr>
          <w:b/>
          <w:color w:val="000000" w:themeColor="text1"/>
        </w:rPr>
      </w:pPr>
    </w:p>
    <w:sectPr w:rsidR="00277A2E" w:rsidRPr="00FC1DC6" w:rsidSect="009A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3BF" w:rsidRDefault="009643BF" w:rsidP="00136770">
      <w:pPr>
        <w:spacing w:after="0" w:line="240" w:lineRule="auto"/>
      </w:pPr>
      <w:r>
        <w:separator/>
      </w:r>
    </w:p>
  </w:endnote>
  <w:endnote w:type="continuationSeparator" w:id="0">
    <w:p w:rsidR="009643BF" w:rsidRDefault="009643BF" w:rsidP="0013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3BF" w:rsidRDefault="009643BF" w:rsidP="00136770">
      <w:pPr>
        <w:spacing w:after="0" w:line="240" w:lineRule="auto"/>
      </w:pPr>
      <w:r>
        <w:separator/>
      </w:r>
    </w:p>
  </w:footnote>
  <w:footnote w:type="continuationSeparator" w:id="0">
    <w:p w:rsidR="009643BF" w:rsidRDefault="009643BF" w:rsidP="001367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434"/>
    <w:multiLevelType w:val="hybridMultilevel"/>
    <w:tmpl w:val="B5C4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174"/>
    <w:multiLevelType w:val="hybridMultilevel"/>
    <w:tmpl w:val="998AC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7B36"/>
    <w:multiLevelType w:val="hybridMultilevel"/>
    <w:tmpl w:val="1466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65650"/>
    <w:multiLevelType w:val="hybridMultilevel"/>
    <w:tmpl w:val="F054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B1637"/>
    <w:multiLevelType w:val="hybridMultilevel"/>
    <w:tmpl w:val="D76E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13431"/>
    <w:multiLevelType w:val="hybridMultilevel"/>
    <w:tmpl w:val="0572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44259"/>
    <w:multiLevelType w:val="hybridMultilevel"/>
    <w:tmpl w:val="1C486C2A"/>
    <w:lvl w:ilvl="0" w:tplc="FAF07AB6">
      <w:start w:val="1"/>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65DA1"/>
    <w:multiLevelType w:val="hybridMultilevel"/>
    <w:tmpl w:val="4ABEBD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70D2B"/>
    <w:multiLevelType w:val="hybridMultilevel"/>
    <w:tmpl w:val="A060F72E"/>
    <w:lvl w:ilvl="0" w:tplc="A234197A">
      <w:start w:val="1"/>
      <w:numFmt w:val="decimal"/>
      <w:lvlText w:val="%1."/>
      <w:lvlJc w:val="left"/>
      <w:pPr>
        <w:ind w:left="-45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9" w15:restartNumberingAfterBreak="0">
    <w:nsid w:val="1B152B9F"/>
    <w:multiLevelType w:val="hybridMultilevel"/>
    <w:tmpl w:val="402427A8"/>
    <w:lvl w:ilvl="0" w:tplc="B1D49806">
      <w:start w:val="1"/>
      <w:numFmt w:val="bullet"/>
      <w:lvlText w:val="•"/>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BD32D21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7CFC58D6">
      <w:start w:val="1"/>
      <w:numFmt w:val="bullet"/>
      <w:lvlText w:val="▪"/>
      <w:lvlJc w:val="left"/>
      <w:pPr>
        <w:ind w:left="18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A330FCE2">
      <w:start w:val="1"/>
      <w:numFmt w:val="bullet"/>
      <w:lvlText w:val="•"/>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1BA4CFA6">
      <w:start w:val="1"/>
      <w:numFmt w:val="bullet"/>
      <w:lvlText w:val="o"/>
      <w:lvlJc w:val="left"/>
      <w:pPr>
        <w:ind w:left="32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AB485D3E">
      <w:start w:val="1"/>
      <w:numFmt w:val="bullet"/>
      <w:lvlText w:val="▪"/>
      <w:lvlJc w:val="left"/>
      <w:pPr>
        <w:ind w:left="39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9C06121C">
      <w:start w:val="1"/>
      <w:numFmt w:val="bullet"/>
      <w:lvlText w:val="•"/>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2C26162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C700EE4A">
      <w:start w:val="1"/>
      <w:numFmt w:val="bullet"/>
      <w:lvlText w:val="▪"/>
      <w:lvlJc w:val="left"/>
      <w:pPr>
        <w:ind w:left="61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10" w15:restartNumberingAfterBreak="0">
    <w:nsid w:val="1B50793D"/>
    <w:multiLevelType w:val="hybridMultilevel"/>
    <w:tmpl w:val="D2CA19A2"/>
    <w:lvl w:ilvl="0" w:tplc="AAD64BA0">
      <w:start w:val="1"/>
      <w:numFmt w:val="bullet"/>
      <w:pStyle w:val="Bullet2"/>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CFD4E1F"/>
    <w:multiLevelType w:val="hybridMultilevel"/>
    <w:tmpl w:val="0E809E9A"/>
    <w:lvl w:ilvl="0" w:tplc="B33C7CF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A21001"/>
    <w:multiLevelType w:val="hybridMultilevel"/>
    <w:tmpl w:val="6834FBB8"/>
    <w:lvl w:ilvl="0" w:tplc="9BE07C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50F5E"/>
    <w:multiLevelType w:val="hybridMultilevel"/>
    <w:tmpl w:val="717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E0612"/>
    <w:multiLevelType w:val="hybridMultilevel"/>
    <w:tmpl w:val="425C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54011"/>
    <w:multiLevelType w:val="hybridMultilevel"/>
    <w:tmpl w:val="0572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A1D0A"/>
    <w:multiLevelType w:val="hybridMultilevel"/>
    <w:tmpl w:val="66A41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33795"/>
    <w:multiLevelType w:val="hybridMultilevel"/>
    <w:tmpl w:val="D438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46703"/>
    <w:multiLevelType w:val="multilevel"/>
    <w:tmpl w:val="4406F37C"/>
    <w:lvl w:ilvl="0">
      <w:start w:val="1"/>
      <w:numFmt w:val="decimal"/>
      <w:lvlText w:val="%1."/>
      <w:lvlJc w:val="left"/>
      <w:pPr>
        <w:ind w:left="420" w:hanging="420"/>
      </w:pPr>
      <w:rPr>
        <w:rFonts w:cstheme="minorBidi"/>
        <w:color w:val="auto"/>
        <w:sz w:val="24"/>
      </w:rPr>
    </w:lvl>
    <w:lvl w:ilvl="1">
      <w:start w:val="1"/>
      <w:numFmt w:val="decimal"/>
      <w:lvlText w:val="%1.%2."/>
      <w:lvlJc w:val="left"/>
      <w:pPr>
        <w:ind w:left="720" w:hanging="720"/>
      </w:pPr>
      <w:rPr>
        <w:rFonts w:cstheme="minorBidi"/>
        <w:color w:val="auto"/>
        <w:sz w:val="24"/>
      </w:rPr>
    </w:lvl>
    <w:lvl w:ilvl="2">
      <w:start w:val="1"/>
      <w:numFmt w:val="decimal"/>
      <w:lvlText w:val="%1.%2.%3."/>
      <w:lvlJc w:val="left"/>
      <w:pPr>
        <w:ind w:left="720" w:hanging="720"/>
      </w:pPr>
      <w:rPr>
        <w:rFonts w:cstheme="minorBidi"/>
        <w:color w:val="auto"/>
        <w:sz w:val="24"/>
      </w:rPr>
    </w:lvl>
    <w:lvl w:ilvl="3">
      <w:start w:val="1"/>
      <w:numFmt w:val="decimal"/>
      <w:lvlText w:val="%1.%2.%3.%4."/>
      <w:lvlJc w:val="left"/>
      <w:pPr>
        <w:ind w:left="1080" w:hanging="1080"/>
      </w:pPr>
      <w:rPr>
        <w:rFonts w:cstheme="minorBidi"/>
        <w:color w:val="auto"/>
        <w:sz w:val="24"/>
      </w:rPr>
    </w:lvl>
    <w:lvl w:ilvl="4">
      <w:start w:val="1"/>
      <w:numFmt w:val="decimal"/>
      <w:lvlText w:val="%1.%2.%3.%4.%5."/>
      <w:lvlJc w:val="left"/>
      <w:pPr>
        <w:ind w:left="1080" w:hanging="1080"/>
      </w:pPr>
      <w:rPr>
        <w:rFonts w:cstheme="minorBidi"/>
        <w:color w:val="auto"/>
        <w:sz w:val="24"/>
      </w:rPr>
    </w:lvl>
    <w:lvl w:ilvl="5">
      <w:start w:val="1"/>
      <w:numFmt w:val="decimal"/>
      <w:lvlText w:val="%1.%2.%3.%4.%5.%6."/>
      <w:lvlJc w:val="left"/>
      <w:pPr>
        <w:ind w:left="1440" w:hanging="1440"/>
      </w:pPr>
      <w:rPr>
        <w:rFonts w:cstheme="minorBidi"/>
        <w:color w:val="auto"/>
        <w:sz w:val="24"/>
      </w:rPr>
    </w:lvl>
    <w:lvl w:ilvl="6">
      <w:start w:val="1"/>
      <w:numFmt w:val="decimal"/>
      <w:lvlText w:val="%1.%2.%3.%4.%5.%6.%7."/>
      <w:lvlJc w:val="left"/>
      <w:pPr>
        <w:ind w:left="1440" w:hanging="1440"/>
      </w:pPr>
      <w:rPr>
        <w:rFonts w:cstheme="minorBidi"/>
        <w:color w:val="auto"/>
        <w:sz w:val="24"/>
      </w:rPr>
    </w:lvl>
    <w:lvl w:ilvl="7">
      <w:start w:val="1"/>
      <w:numFmt w:val="decimal"/>
      <w:lvlText w:val="%1.%2.%3.%4.%5.%6.%7.%8."/>
      <w:lvlJc w:val="left"/>
      <w:pPr>
        <w:ind w:left="1800" w:hanging="1800"/>
      </w:pPr>
      <w:rPr>
        <w:rFonts w:cstheme="minorBidi"/>
        <w:color w:val="auto"/>
        <w:sz w:val="24"/>
      </w:rPr>
    </w:lvl>
    <w:lvl w:ilvl="8">
      <w:start w:val="1"/>
      <w:numFmt w:val="decimal"/>
      <w:lvlText w:val="%1.%2.%3.%4.%5.%6.%7.%8.%9."/>
      <w:lvlJc w:val="left"/>
      <w:pPr>
        <w:ind w:left="1800" w:hanging="1800"/>
      </w:pPr>
      <w:rPr>
        <w:rFonts w:cstheme="minorBidi"/>
        <w:color w:val="auto"/>
        <w:sz w:val="24"/>
      </w:rPr>
    </w:lvl>
  </w:abstractNum>
  <w:abstractNum w:abstractNumId="19" w15:restartNumberingAfterBreak="0">
    <w:nsid w:val="4C477AA8"/>
    <w:multiLevelType w:val="hybridMultilevel"/>
    <w:tmpl w:val="9AC0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A3171"/>
    <w:multiLevelType w:val="hybridMultilevel"/>
    <w:tmpl w:val="10C497A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61EF682F"/>
    <w:multiLevelType w:val="hybridMultilevel"/>
    <w:tmpl w:val="CD68A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711DE"/>
    <w:multiLevelType w:val="hybridMultilevel"/>
    <w:tmpl w:val="2848A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46DE3"/>
    <w:multiLevelType w:val="hybridMultilevel"/>
    <w:tmpl w:val="19ECF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5853CD"/>
    <w:multiLevelType w:val="hybridMultilevel"/>
    <w:tmpl w:val="9CE4750A"/>
    <w:lvl w:ilvl="0" w:tplc="85C8F09A">
      <w:start w:val="1"/>
      <w:numFmt w:val="decimal"/>
      <w:lvlText w:val="%1"/>
      <w:lvlJc w:val="left"/>
      <w:pPr>
        <w:ind w:left="360" w:firstLine="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3656E"/>
    <w:multiLevelType w:val="multilevel"/>
    <w:tmpl w:val="CF34922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587040"/>
    <w:multiLevelType w:val="hybridMultilevel"/>
    <w:tmpl w:val="BCBC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A69DC"/>
    <w:multiLevelType w:val="hybridMultilevel"/>
    <w:tmpl w:val="E7B23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860F6"/>
    <w:multiLevelType w:val="hybridMultilevel"/>
    <w:tmpl w:val="59EC484E"/>
    <w:lvl w:ilvl="0" w:tplc="0680AC6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7"/>
  </w:num>
  <w:num w:numId="2">
    <w:abstractNumId w:val="17"/>
  </w:num>
  <w:num w:numId="3">
    <w:abstractNumId w:val="5"/>
  </w:num>
  <w:num w:numId="4">
    <w:abstractNumId w:val="6"/>
  </w:num>
  <w:num w:numId="5">
    <w:abstractNumId w:val="8"/>
  </w:num>
  <w:num w:numId="6">
    <w:abstractNumId w:val="15"/>
  </w:num>
  <w:num w:numId="7">
    <w:abstractNumId w:val="25"/>
  </w:num>
  <w:num w:numId="8">
    <w:abstractNumId w:val="10"/>
  </w:num>
  <w:num w:numId="9">
    <w:abstractNumId w:val="26"/>
  </w:num>
  <w:num w:numId="10">
    <w:abstractNumId w:val="24"/>
  </w:num>
  <w:num w:numId="11">
    <w:abstractNumId w:val="7"/>
  </w:num>
  <w:num w:numId="12">
    <w:abstractNumId w:val="14"/>
  </w:num>
  <w:num w:numId="13">
    <w:abstractNumId w:val="22"/>
  </w:num>
  <w:num w:numId="14">
    <w:abstractNumId w:val="16"/>
  </w:num>
  <w:num w:numId="15">
    <w:abstractNumId w:val="0"/>
  </w:num>
  <w:num w:numId="16">
    <w:abstractNumId w:val="1"/>
  </w:num>
  <w:num w:numId="17">
    <w:abstractNumId w:val="3"/>
  </w:num>
  <w:num w:numId="18">
    <w:abstractNumId w:val="13"/>
  </w:num>
  <w:num w:numId="19">
    <w:abstractNumId w:val="21"/>
  </w:num>
  <w:num w:numId="20">
    <w:abstractNumId w:val="12"/>
  </w:num>
  <w:num w:numId="21">
    <w:abstractNumId w:val="11"/>
  </w:num>
  <w:num w:numId="22">
    <w:abstractNumId w:val="9"/>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1D"/>
    <w:rsid w:val="0000063C"/>
    <w:rsid w:val="000008A7"/>
    <w:rsid w:val="0000608A"/>
    <w:rsid w:val="000145D8"/>
    <w:rsid w:val="0001769F"/>
    <w:rsid w:val="00031FDE"/>
    <w:rsid w:val="00042327"/>
    <w:rsid w:val="00042AD7"/>
    <w:rsid w:val="000448D2"/>
    <w:rsid w:val="00051697"/>
    <w:rsid w:val="000547D3"/>
    <w:rsid w:val="00056D4F"/>
    <w:rsid w:val="00062B1E"/>
    <w:rsid w:val="00070493"/>
    <w:rsid w:val="000725FB"/>
    <w:rsid w:val="000775D2"/>
    <w:rsid w:val="00081390"/>
    <w:rsid w:val="000840C8"/>
    <w:rsid w:val="00085F8F"/>
    <w:rsid w:val="00092750"/>
    <w:rsid w:val="0009550A"/>
    <w:rsid w:val="0009750B"/>
    <w:rsid w:val="000A11EF"/>
    <w:rsid w:val="000A20EC"/>
    <w:rsid w:val="000B3593"/>
    <w:rsid w:val="000B498C"/>
    <w:rsid w:val="000B53F0"/>
    <w:rsid w:val="000C65FA"/>
    <w:rsid w:val="000D2754"/>
    <w:rsid w:val="000D2C00"/>
    <w:rsid w:val="000E2B60"/>
    <w:rsid w:val="000F0ED8"/>
    <w:rsid w:val="001041E9"/>
    <w:rsid w:val="00120D99"/>
    <w:rsid w:val="001312D1"/>
    <w:rsid w:val="00132673"/>
    <w:rsid w:val="00136770"/>
    <w:rsid w:val="00143D63"/>
    <w:rsid w:val="00151930"/>
    <w:rsid w:val="00167539"/>
    <w:rsid w:val="001760DF"/>
    <w:rsid w:val="00190AA4"/>
    <w:rsid w:val="00190FF9"/>
    <w:rsid w:val="001934CE"/>
    <w:rsid w:val="00197EFE"/>
    <w:rsid w:val="001A33BA"/>
    <w:rsid w:val="001A3571"/>
    <w:rsid w:val="001A6453"/>
    <w:rsid w:val="001A7DEF"/>
    <w:rsid w:val="001C1ADC"/>
    <w:rsid w:val="001C403C"/>
    <w:rsid w:val="001C78E5"/>
    <w:rsid w:val="001D287C"/>
    <w:rsid w:val="001E04EB"/>
    <w:rsid w:val="001E3FB9"/>
    <w:rsid w:val="001E5A3C"/>
    <w:rsid w:val="001F56DC"/>
    <w:rsid w:val="001F6120"/>
    <w:rsid w:val="002118B0"/>
    <w:rsid w:val="00230F21"/>
    <w:rsid w:val="002351A9"/>
    <w:rsid w:val="00236E68"/>
    <w:rsid w:val="00242E4A"/>
    <w:rsid w:val="00244C35"/>
    <w:rsid w:val="00255BE1"/>
    <w:rsid w:val="0025676F"/>
    <w:rsid w:val="00261BC5"/>
    <w:rsid w:val="00272127"/>
    <w:rsid w:val="00273D7A"/>
    <w:rsid w:val="002746BD"/>
    <w:rsid w:val="00277A2E"/>
    <w:rsid w:val="00292353"/>
    <w:rsid w:val="00292903"/>
    <w:rsid w:val="00292F6D"/>
    <w:rsid w:val="00295289"/>
    <w:rsid w:val="002B01F5"/>
    <w:rsid w:val="002B2B1F"/>
    <w:rsid w:val="002B4882"/>
    <w:rsid w:val="002B70B3"/>
    <w:rsid w:val="002C3D43"/>
    <w:rsid w:val="002D4758"/>
    <w:rsid w:val="002D4966"/>
    <w:rsid w:val="00301E20"/>
    <w:rsid w:val="00307533"/>
    <w:rsid w:val="00313C37"/>
    <w:rsid w:val="00325C6B"/>
    <w:rsid w:val="0032765D"/>
    <w:rsid w:val="003547B9"/>
    <w:rsid w:val="00362B37"/>
    <w:rsid w:val="003655A2"/>
    <w:rsid w:val="00380D85"/>
    <w:rsid w:val="00387122"/>
    <w:rsid w:val="003A23D1"/>
    <w:rsid w:val="003A33EF"/>
    <w:rsid w:val="003C5B79"/>
    <w:rsid w:val="003D02CD"/>
    <w:rsid w:val="003E0A6D"/>
    <w:rsid w:val="003E1BA0"/>
    <w:rsid w:val="003E1E97"/>
    <w:rsid w:val="003F189D"/>
    <w:rsid w:val="004015AF"/>
    <w:rsid w:val="00420AA6"/>
    <w:rsid w:val="00426D07"/>
    <w:rsid w:val="004509D9"/>
    <w:rsid w:val="004539DC"/>
    <w:rsid w:val="00455933"/>
    <w:rsid w:val="00460112"/>
    <w:rsid w:val="004629F5"/>
    <w:rsid w:val="004657F0"/>
    <w:rsid w:val="00473E62"/>
    <w:rsid w:val="00475EDC"/>
    <w:rsid w:val="004818D6"/>
    <w:rsid w:val="004827CD"/>
    <w:rsid w:val="00494A4C"/>
    <w:rsid w:val="004B2365"/>
    <w:rsid w:val="004D27DA"/>
    <w:rsid w:val="004D4575"/>
    <w:rsid w:val="004E50B7"/>
    <w:rsid w:val="004F4695"/>
    <w:rsid w:val="0050163B"/>
    <w:rsid w:val="00501DE2"/>
    <w:rsid w:val="00517DAA"/>
    <w:rsid w:val="005239FE"/>
    <w:rsid w:val="005267AC"/>
    <w:rsid w:val="00534475"/>
    <w:rsid w:val="005352E7"/>
    <w:rsid w:val="00536694"/>
    <w:rsid w:val="005564C4"/>
    <w:rsid w:val="0055654A"/>
    <w:rsid w:val="00567DC2"/>
    <w:rsid w:val="005832AA"/>
    <w:rsid w:val="00586C07"/>
    <w:rsid w:val="005907C4"/>
    <w:rsid w:val="005A3F28"/>
    <w:rsid w:val="005A5072"/>
    <w:rsid w:val="005B28B1"/>
    <w:rsid w:val="005B2C52"/>
    <w:rsid w:val="005B4AA9"/>
    <w:rsid w:val="005C54B8"/>
    <w:rsid w:val="005E349A"/>
    <w:rsid w:val="005F6653"/>
    <w:rsid w:val="00603C71"/>
    <w:rsid w:val="00605D9A"/>
    <w:rsid w:val="006344A6"/>
    <w:rsid w:val="006368CB"/>
    <w:rsid w:val="0064438B"/>
    <w:rsid w:val="00661A00"/>
    <w:rsid w:val="006622D1"/>
    <w:rsid w:val="0067167A"/>
    <w:rsid w:val="0069125E"/>
    <w:rsid w:val="00692405"/>
    <w:rsid w:val="00696EA1"/>
    <w:rsid w:val="006B7523"/>
    <w:rsid w:val="006D3A4D"/>
    <w:rsid w:val="006D4C91"/>
    <w:rsid w:val="006E180B"/>
    <w:rsid w:val="006F0F34"/>
    <w:rsid w:val="007043F3"/>
    <w:rsid w:val="00715833"/>
    <w:rsid w:val="0072704B"/>
    <w:rsid w:val="00730459"/>
    <w:rsid w:val="0075368F"/>
    <w:rsid w:val="007601C6"/>
    <w:rsid w:val="0076250D"/>
    <w:rsid w:val="00783BEB"/>
    <w:rsid w:val="00785CE1"/>
    <w:rsid w:val="007A74F9"/>
    <w:rsid w:val="007A7606"/>
    <w:rsid w:val="007B156A"/>
    <w:rsid w:val="007B4594"/>
    <w:rsid w:val="007D08C1"/>
    <w:rsid w:val="007D0F8D"/>
    <w:rsid w:val="007D7B25"/>
    <w:rsid w:val="007F7AC7"/>
    <w:rsid w:val="00801527"/>
    <w:rsid w:val="00801D22"/>
    <w:rsid w:val="00813FE5"/>
    <w:rsid w:val="00815066"/>
    <w:rsid w:val="00824C93"/>
    <w:rsid w:val="00830828"/>
    <w:rsid w:val="00834B89"/>
    <w:rsid w:val="0084727E"/>
    <w:rsid w:val="00864B1C"/>
    <w:rsid w:val="00871E54"/>
    <w:rsid w:val="008732AB"/>
    <w:rsid w:val="00875A07"/>
    <w:rsid w:val="00881442"/>
    <w:rsid w:val="008859BE"/>
    <w:rsid w:val="00897363"/>
    <w:rsid w:val="008B2D6F"/>
    <w:rsid w:val="008B67BC"/>
    <w:rsid w:val="008B6858"/>
    <w:rsid w:val="008C319C"/>
    <w:rsid w:val="008C6FD8"/>
    <w:rsid w:val="008E4D36"/>
    <w:rsid w:val="008F468F"/>
    <w:rsid w:val="008F6D17"/>
    <w:rsid w:val="00917764"/>
    <w:rsid w:val="00922479"/>
    <w:rsid w:val="00942ADD"/>
    <w:rsid w:val="009643BF"/>
    <w:rsid w:val="009953CF"/>
    <w:rsid w:val="00996CA5"/>
    <w:rsid w:val="009A7162"/>
    <w:rsid w:val="009A7C2B"/>
    <w:rsid w:val="009B24F2"/>
    <w:rsid w:val="009D3512"/>
    <w:rsid w:val="009E4974"/>
    <w:rsid w:val="009F391F"/>
    <w:rsid w:val="009F47E4"/>
    <w:rsid w:val="00A01E66"/>
    <w:rsid w:val="00A02740"/>
    <w:rsid w:val="00A029FA"/>
    <w:rsid w:val="00A032CB"/>
    <w:rsid w:val="00A0749B"/>
    <w:rsid w:val="00A07526"/>
    <w:rsid w:val="00A2391D"/>
    <w:rsid w:val="00A342F3"/>
    <w:rsid w:val="00A57534"/>
    <w:rsid w:val="00A708BB"/>
    <w:rsid w:val="00A72294"/>
    <w:rsid w:val="00A745B4"/>
    <w:rsid w:val="00A8241B"/>
    <w:rsid w:val="00A86277"/>
    <w:rsid w:val="00A86394"/>
    <w:rsid w:val="00A93FEB"/>
    <w:rsid w:val="00A955F3"/>
    <w:rsid w:val="00A9576B"/>
    <w:rsid w:val="00AA0828"/>
    <w:rsid w:val="00AA40AD"/>
    <w:rsid w:val="00AA6DE1"/>
    <w:rsid w:val="00AA72ED"/>
    <w:rsid w:val="00AB04D5"/>
    <w:rsid w:val="00AB2722"/>
    <w:rsid w:val="00AB3496"/>
    <w:rsid w:val="00AC2A75"/>
    <w:rsid w:val="00AC60FA"/>
    <w:rsid w:val="00AC75D5"/>
    <w:rsid w:val="00AD4A60"/>
    <w:rsid w:val="00AD6B7C"/>
    <w:rsid w:val="00AE6DCD"/>
    <w:rsid w:val="00AF40D1"/>
    <w:rsid w:val="00B0345E"/>
    <w:rsid w:val="00B17888"/>
    <w:rsid w:val="00B17BBD"/>
    <w:rsid w:val="00B200D6"/>
    <w:rsid w:val="00B255F7"/>
    <w:rsid w:val="00B31C3E"/>
    <w:rsid w:val="00B444E4"/>
    <w:rsid w:val="00B5308E"/>
    <w:rsid w:val="00B54B1A"/>
    <w:rsid w:val="00B575BC"/>
    <w:rsid w:val="00B70C84"/>
    <w:rsid w:val="00B803D6"/>
    <w:rsid w:val="00B83433"/>
    <w:rsid w:val="00B85051"/>
    <w:rsid w:val="00B95090"/>
    <w:rsid w:val="00B96043"/>
    <w:rsid w:val="00BA6311"/>
    <w:rsid w:val="00BB0238"/>
    <w:rsid w:val="00BB2D76"/>
    <w:rsid w:val="00BB48A5"/>
    <w:rsid w:val="00BC22B0"/>
    <w:rsid w:val="00BC7E95"/>
    <w:rsid w:val="00BD4A72"/>
    <w:rsid w:val="00BE056F"/>
    <w:rsid w:val="00BE492E"/>
    <w:rsid w:val="00BF20C2"/>
    <w:rsid w:val="00BF4789"/>
    <w:rsid w:val="00C02D85"/>
    <w:rsid w:val="00C31434"/>
    <w:rsid w:val="00C35F92"/>
    <w:rsid w:val="00C37F76"/>
    <w:rsid w:val="00C41DCB"/>
    <w:rsid w:val="00C447DC"/>
    <w:rsid w:val="00C5184A"/>
    <w:rsid w:val="00C53A8F"/>
    <w:rsid w:val="00C54114"/>
    <w:rsid w:val="00C62508"/>
    <w:rsid w:val="00C626BA"/>
    <w:rsid w:val="00C62710"/>
    <w:rsid w:val="00C639C3"/>
    <w:rsid w:val="00C67BAC"/>
    <w:rsid w:val="00C721E2"/>
    <w:rsid w:val="00C74FBA"/>
    <w:rsid w:val="00C771B8"/>
    <w:rsid w:val="00C803CA"/>
    <w:rsid w:val="00C81402"/>
    <w:rsid w:val="00C90564"/>
    <w:rsid w:val="00CB5A91"/>
    <w:rsid w:val="00CD24CB"/>
    <w:rsid w:val="00CD7F9E"/>
    <w:rsid w:val="00CE2FFB"/>
    <w:rsid w:val="00CE31F1"/>
    <w:rsid w:val="00CF0232"/>
    <w:rsid w:val="00CF1EB6"/>
    <w:rsid w:val="00CF225D"/>
    <w:rsid w:val="00CF6E36"/>
    <w:rsid w:val="00D04B87"/>
    <w:rsid w:val="00D06DBF"/>
    <w:rsid w:val="00D073DD"/>
    <w:rsid w:val="00D2163C"/>
    <w:rsid w:val="00D219E3"/>
    <w:rsid w:val="00D52C7F"/>
    <w:rsid w:val="00D5325D"/>
    <w:rsid w:val="00D61094"/>
    <w:rsid w:val="00D61C26"/>
    <w:rsid w:val="00D7454B"/>
    <w:rsid w:val="00D81A38"/>
    <w:rsid w:val="00D86085"/>
    <w:rsid w:val="00D90375"/>
    <w:rsid w:val="00D968E0"/>
    <w:rsid w:val="00DA0638"/>
    <w:rsid w:val="00DA7EA3"/>
    <w:rsid w:val="00DB069F"/>
    <w:rsid w:val="00DB3CFD"/>
    <w:rsid w:val="00DC6DEB"/>
    <w:rsid w:val="00DD0D8D"/>
    <w:rsid w:val="00DD5A1D"/>
    <w:rsid w:val="00DF572D"/>
    <w:rsid w:val="00DF59A3"/>
    <w:rsid w:val="00E00924"/>
    <w:rsid w:val="00E01F3E"/>
    <w:rsid w:val="00E02BCF"/>
    <w:rsid w:val="00E11268"/>
    <w:rsid w:val="00E205E3"/>
    <w:rsid w:val="00E250E1"/>
    <w:rsid w:val="00E43732"/>
    <w:rsid w:val="00E554AA"/>
    <w:rsid w:val="00E65FA3"/>
    <w:rsid w:val="00E71587"/>
    <w:rsid w:val="00E76602"/>
    <w:rsid w:val="00E81488"/>
    <w:rsid w:val="00E86961"/>
    <w:rsid w:val="00E941C4"/>
    <w:rsid w:val="00EB4570"/>
    <w:rsid w:val="00EB7E36"/>
    <w:rsid w:val="00EC0E94"/>
    <w:rsid w:val="00ED6940"/>
    <w:rsid w:val="00EE697D"/>
    <w:rsid w:val="00EE7357"/>
    <w:rsid w:val="00EF0C97"/>
    <w:rsid w:val="00EF6DCA"/>
    <w:rsid w:val="00F2768A"/>
    <w:rsid w:val="00F33CB9"/>
    <w:rsid w:val="00F35137"/>
    <w:rsid w:val="00F457FD"/>
    <w:rsid w:val="00F45B60"/>
    <w:rsid w:val="00F60D4C"/>
    <w:rsid w:val="00F70DE1"/>
    <w:rsid w:val="00F84F0E"/>
    <w:rsid w:val="00F911D4"/>
    <w:rsid w:val="00F9425B"/>
    <w:rsid w:val="00F97B1F"/>
    <w:rsid w:val="00FA4346"/>
    <w:rsid w:val="00FB2ADF"/>
    <w:rsid w:val="00FB4E98"/>
    <w:rsid w:val="00FC1DC6"/>
    <w:rsid w:val="00FD1945"/>
    <w:rsid w:val="00FE0093"/>
    <w:rsid w:val="00FE3057"/>
    <w:rsid w:val="00FE589C"/>
    <w:rsid w:val="00FE5CF9"/>
    <w:rsid w:val="00FF4382"/>
    <w:rsid w:val="00FF6736"/>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916A9-5E08-46E2-BD62-AB2FA10A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DC6"/>
  </w:style>
  <w:style w:type="paragraph" w:styleId="Heading2">
    <w:name w:val="heading 2"/>
    <w:basedOn w:val="Normal"/>
    <w:next w:val="Normal"/>
    <w:link w:val="Heading2Char1"/>
    <w:autoRedefine/>
    <w:uiPriority w:val="99"/>
    <w:qFormat/>
    <w:rsid w:val="005239FE"/>
    <w:pPr>
      <w:keepNext/>
      <w:keepLines/>
      <w:spacing w:after="0" w:line="360" w:lineRule="auto"/>
      <w:jc w:val="both"/>
      <w:outlineLvl w:val="1"/>
    </w:pPr>
    <w:rPr>
      <w:rFonts w:ascii="Times New Roman" w:eastAsia="Times New Roman" w:hAnsi="Times New Roman" w:cs="Times New Roman"/>
      <w:color w:val="002060"/>
    </w:rPr>
  </w:style>
  <w:style w:type="paragraph" w:styleId="Heading3">
    <w:name w:val="heading 3"/>
    <w:basedOn w:val="Normal"/>
    <w:next w:val="Normal"/>
    <w:link w:val="Heading3Char"/>
    <w:uiPriority w:val="9"/>
    <w:unhideWhenUsed/>
    <w:qFormat/>
    <w:rsid w:val="00DF572D"/>
    <w:pPr>
      <w:keepNext/>
      <w:keepLines/>
      <w:spacing w:before="40" w:after="0"/>
      <w:outlineLvl w:val="2"/>
    </w:pPr>
    <w:rPr>
      <w:rFonts w:asciiTheme="majorHAnsi" w:eastAsiaTheme="majorEastAsia" w:hAnsiTheme="majorHAnsi" w:cstheme="majorBidi"/>
      <w:color w:val="243F60" w:themeColor="accent1" w:themeShade="7F"/>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39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391D"/>
    <w:pPr>
      <w:ind w:left="720"/>
      <w:contextualSpacing/>
    </w:pPr>
  </w:style>
  <w:style w:type="table" w:customStyle="1" w:styleId="GridTable1Light1">
    <w:name w:val="Grid Table 1 Light1"/>
    <w:basedOn w:val="TableNormal"/>
    <w:uiPriority w:val="46"/>
    <w:rsid w:val="00A239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Accent3">
    <w:name w:val="Light Shading Accent 3"/>
    <w:basedOn w:val="TableNormal"/>
    <w:uiPriority w:val="60"/>
    <w:rsid w:val="00A745B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olorfulList-Accent4">
    <w:name w:val="Colorful List Accent 4"/>
    <w:basedOn w:val="TableNormal"/>
    <w:uiPriority w:val="72"/>
    <w:rsid w:val="0025676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Heading2Char">
    <w:name w:val="Heading 2 Char"/>
    <w:basedOn w:val="DefaultParagraphFont"/>
    <w:uiPriority w:val="9"/>
    <w:semiHidden/>
    <w:rsid w:val="00DF57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572D"/>
    <w:rPr>
      <w:rFonts w:asciiTheme="majorHAnsi" w:eastAsiaTheme="majorEastAsia" w:hAnsiTheme="majorHAnsi" w:cstheme="majorBidi"/>
      <w:color w:val="243F60" w:themeColor="accent1" w:themeShade="7F"/>
      <w:sz w:val="24"/>
      <w:szCs w:val="24"/>
      <w:lang w:val="en-ZA"/>
    </w:rPr>
  </w:style>
  <w:style w:type="character" w:customStyle="1" w:styleId="Heading2Char1">
    <w:name w:val="Heading 2 Char1"/>
    <w:basedOn w:val="DefaultParagraphFont"/>
    <w:link w:val="Heading2"/>
    <w:uiPriority w:val="99"/>
    <w:locked/>
    <w:rsid w:val="005239FE"/>
    <w:rPr>
      <w:rFonts w:ascii="Times New Roman" w:eastAsia="Times New Roman" w:hAnsi="Times New Roman" w:cs="Times New Roman"/>
      <w:color w:val="002060"/>
    </w:rPr>
  </w:style>
  <w:style w:type="paragraph" w:customStyle="1" w:styleId="Bullet2">
    <w:name w:val="Bullet 2"/>
    <w:basedOn w:val="Normal"/>
    <w:link w:val="Bullet2Char"/>
    <w:qFormat/>
    <w:rsid w:val="00DF572D"/>
    <w:pPr>
      <w:numPr>
        <w:numId w:val="8"/>
      </w:numPr>
      <w:autoSpaceDE w:val="0"/>
      <w:autoSpaceDN w:val="0"/>
      <w:adjustRightInd w:val="0"/>
      <w:spacing w:before="3" w:after="0" w:line="252" w:lineRule="exact"/>
      <w:ind w:left="540" w:right="300" w:hanging="270"/>
    </w:pPr>
    <w:rPr>
      <w:rFonts w:ascii="Calibri" w:eastAsia="SimSun" w:hAnsi="Calibri" w:cs="Arial"/>
      <w:spacing w:val="5"/>
      <w:lang w:eastAsia="zh-CN"/>
    </w:rPr>
  </w:style>
  <w:style w:type="character" w:customStyle="1" w:styleId="Bullet2Char">
    <w:name w:val="Bullet 2 Char"/>
    <w:basedOn w:val="DefaultParagraphFont"/>
    <w:link w:val="Bullet2"/>
    <w:rsid w:val="00DF572D"/>
    <w:rPr>
      <w:rFonts w:ascii="Calibri" w:eastAsia="SimSun" w:hAnsi="Calibri" w:cs="Arial"/>
      <w:spacing w:val="5"/>
      <w:lang w:eastAsia="zh-CN"/>
    </w:rPr>
  </w:style>
  <w:style w:type="paragraph" w:customStyle="1" w:styleId="Bullet1">
    <w:name w:val="Bullet 1"/>
    <w:basedOn w:val="Bullet2"/>
    <w:link w:val="Bullet1Char"/>
    <w:autoRedefine/>
    <w:qFormat/>
    <w:rsid w:val="00301E20"/>
    <w:pPr>
      <w:numPr>
        <w:numId w:val="0"/>
      </w:numPr>
    </w:pPr>
  </w:style>
  <w:style w:type="character" w:customStyle="1" w:styleId="Bullet1Char">
    <w:name w:val="Bullet 1 Char"/>
    <w:basedOn w:val="Bullet2Char"/>
    <w:link w:val="Bullet1"/>
    <w:rsid w:val="00301E20"/>
    <w:rPr>
      <w:rFonts w:ascii="Calibri" w:eastAsia="SimSun" w:hAnsi="Calibri" w:cs="Arial"/>
      <w:spacing w:val="5"/>
      <w:lang w:eastAsia="zh-CN"/>
    </w:rPr>
  </w:style>
  <w:style w:type="paragraph" w:customStyle="1" w:styleId="Default">
    <w:name w:val="Default"/>
    <w:rsid w:val="00DF572D"/>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DF572D"/>
    <w:rPr>
      <w:sz w:val="16"/>
      <w:szCs w:val="16"/>
    </w:rPr>
  </w:style>
  <w:style w:type="paragraph" w:styleId="CommentText">
    <w:name w:val="annotation text"/>
    <w:basedOn w:val="Normal"/>
    <w:link w:val="CommentTextChar"/>
    <w:uiPriority w:val="99"/>
    <w:unhideWhenUsed/>
    <w:rsid w:val="00DF572D"/>
    <w:pPr>
      <w:widowControl w:val="0"/>
      <w:spacing w:line="240" w:lineRule="auto"/>
    </w:pPr>
    <w:rPr>
      <w:sz w:val="20"/>
      <w:szCs w:val="20"/>
      <w:lang w:val="en-ZA"/>
    </w:rPr>
  </w:style>
  <w:style w:type="character" w:customStyle="1" w:styleId="CommentTextChar">
    <w:name w:val="Comment Text Char"/>
    <w:basedOn w:val="DefaultParagraphFont"/>
    <w:link w:val="CommentText"/>
    <w:uiPriority w:val="99"/>
    <w:rsid w:val="00DF572D"/>
    <w:rPr>
      <w:sz w:val="20"/>
      <w:szCs w:val="20"/>
      <w:lang w:val="en-ZA"/>
    </w:rPr>
  </w:style>
  <w:style w:type="character" w:styleId="Strong">
    <w:name w:val="Strong"/>
    <w:basedOn w:val="DefaultParagraphFont"/>
    <w:uiPriority w:val="22"/>
    <w:qFormat/>
    <w:rsid w:val="00DF572D"/>
    <w:rPr>
      <w:b/>
      <w:bCs/>
    </w:rPr>
  </w:style>
  <w:style w:type="paragraph" w:customStyle="1" w:styleId="yiv8242702639msolistparagraph">
    <w:name w:val="yiv8242702639msolistparagraph"/>
    <w:basedOn w:val="Normal"/>
    <w:rsid w:val="00DF57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1F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1FDE"/>
  </w:style>
  <w:style w:type="character" w:styleId="Hyperlink">
    <w:name w:val="Hyperlink"/>
    <w:basedOn w:val="DefaultParagraphFont"/>
    <w:uiPriority w:val="99"/>
    <w:unhideWhenUsed/>
    <w:rsid w:val="00031FDE"/>
    <w:rPr>
      <w:color w:val="0000FF" w:themeColor="hyperlink"/>
      <w:u w:val="single"/>
    </w:rPr>
  </w:style>
  <w:style w:type="character" w:styleId="Emphasis">
    <w:name w:val="Emphasis"/>
    <w:basedOn w:val="DefaultParagraphFont"/>
    <w:uiPriority w:val="20"/>
    <w:qFormat/>
    <w:rsid w:val="00B255F7"/>
    <w:rPr>
      <w:i/>
      <w:iCs/>
    </w:rPr>
  </w:style>
  <w:style w:type="paragraph" w:styleId="FootnoteText">
    <w:name w:val="footnote text"/>
    <w:basedOn w:val="Normal"/>
    <w:link w:val="FootnoteTextChar"/>
    <w:uiPriority w:val="99"/>
    <w:semiHidden/>
    <w:unhideWhenUsed/>
    <w:rsid w:val="001367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770"/>
    <w:rPr>
      <w:sz w:val="20"/>
      <w:szCs w:val="20"/>
    </w:rPr>
  </w:style>
  <w:style w:type="character" w:styleId="FootnoteReference">
    <w:name w:val="footnote reference"/>
    <w:basedOn w:val="DefaultParagraphFont"/>
    <w:uiPriority w:val="99"/>
    <w:semiHidden/>
    <w:unhideWhenUsed/>
    <w:rsid w:val="00136770"/>
    <w:rPr>
      <w:vertAlign w:val="superscript"/>
    </w:rPr>
  </w:style>
  <w:style w:type="table" w:customStyle="1" w:styleId="TableGrid0">
    <w:name w:val="TableGrid"/>
    <w:rsid w:val="00136770"/>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27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2218">
      <w:bodyDiv w:val="1"/>
      <w:marLeft w:val="0"/>
      <w:marRight w:val="0"/>
      <w:marTop w:val="0"/>
      <w:marBottom w:val="0"/>
      <w:divBdr>
        <w:top w:val="none" w:sz="0" w:space="0" w:color="auto"/>
        <w:left w:val="none" w:sz="0" w:space="0" w:color="auto"/>
        <w:bottom w:val="none" w:sz="0" w:space="0" w:color="auto"/>
        <w:right w:val="none" w:sz="0" w:space="0" w:color="auto"/>
      </w:divBdr>
    </w:div>
    <w:div w:id="726681198">
      <w:bodyDiv w:val="1"/>
      <w:marLeft w:val="0"/>
      <w:marRight w:val="0"/>
      <w:marTop w:val="0"/>
      <w:marBottom w:val="0"/>
      <w:divBdr>
        <w:top w:val="none" w:sz="0" w:space="0" w:color="auto"/>
        <w:left w:val="none" w:sz="0" w:space="0" w:color="auto"/>
        <w:bottom w:val="none" w:sz="0" w:space="0" w:color="auto"/>
        <w:right w:val="none" w:sz="0" w:space="0" w:color="auto"/>
      </w:divBdr>
    </w:div>
    <w:div w:id="795685394">
      <w:bodyDiv w:val="1"/>
      <w:marLeft w:val="0"/>
      <w:marRight w:val="0"/>
      <w:marTop w:val="0"/>
      <w:marBottom w:val="0"/>
      <w:divBdr>
        <w:top w:val="none" w:sz="0" w:space="0" w:color="auto"/>
        <w:left w:val="none" w:sz="0" w:space="0" w:color="auto"/>
        <w:bottom w:val="none" w:sz="0" w:space="0" w:color="auto"/>
        <w:right w:val="none" w:sz="0" w:space="0" w:color="auto"/>
      </w:divBdr>
    </w:div>
    <w:div w:id="836653480">
      <w:bodyDiv w:val="1"/>
      <w:marLeft w:val="0"/>
      <w:marRight w:val="0"/>
      <w:marTop w:val="0"/>
      <w:marBottom w:val="0"/>
      <w:divBdr>
        <w:top w:val="none" w:sz="0" w:space="0" w:color="auto"/>
        <w:left w:val="none" w:sz="0" w:space="0" w:color="auto"/>
        <w:bottom w:val="none" w:sz="0" w:space="0" w:color="auto"/>
        <w:right w:val="none" w:sz="0" w:space="0" w:color="auto"/>
      </w:divBdr>
    </w:div>
    <w:div w:id="1551190242">
      <w:bodyDiv w:val="1"/>
      <w:marLeft w:val="0"/>
      <w:marRight w:val="0"/>
      <w:marTop w:val="0"/>
      <w:marBottom w:val="0"/>
      <w:divBdr>
        <w:top w:val="none" w:sz="0" w:space="0" w:color="auto"/>
        <w:left w:val="none" w:sz="0" w:space="0" w:color="auto"/>
        <w:bottom w:val="none" w:sz="0" w:space="0" w:color="auto"/>
        <w:right w:val="none" w:sz="0" w:space="0" w:color="auto"/>
      </w:divBdr>
    </w:div>
    <w:div w:id="1574510901">
      <w:bodyDiv w:val="1"/>
      <w:marLeft w:val="0"/>
      <w:marRight w:val="0"/>
      <w:marTop w:val="0"/>
      <w:marBottom w:val="0"/>
      <w:divBdr>
        <w:top w:val="none" w:sz="0" w:space="0" w:color="auto"/>
        <w:left w:val="none" w:sz="0" w:space="0" w:color="auto"/>
        <w:bottom w:val="none" w:sz="0" w:space="0" w:color="auto"/>
        <w:right w:val="none" w:sz="0" w:space="0" w:color="auto"/>
      </w:divBdr>
    </w:div>
    <w:div w:id="20260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effectLst/>
              </a:rPr>
              <a:t>Anemia prevalence </a:t>
            </a:r>
            <a:r>
              <a:rPr lang="en-US" sz="1100" b="1" i="0" u="none" strike="noStrike" baseline="0">
                <a:effectLst/>
              </a:rPr>
              <a:t>in children 12 – 23 months </a:t>
            </a:r>
            <a:r>
              <a:rPr lang="en-US" sz="1100" b="1">
                <a:effectLst/>
              </a:rPr>
              <a:t>by regions </a:t>
            </a:r>
            <a:endParaRPr lang="en-US" sz="1100">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2016</c:v>
                </c:pt>
              </c:strCache>
            </c:strRef>
          </c:tx>
          <c:spPr>
            <a:solidFill>
              <a:schemeClr val="accent5">
                <a:shade val="76000"/>
              </a:schemeClr>
            </a:solidFill>
            <a:ln>
              <a:noFill/>
            </a:ln>
            <a:effectLst/>
          </c:spPr>
          <c:invertIfNegative val="0"/>
          <c:dLbls>
            <c:dLbl>
              <c:idx val="1"/>
              <c:layout>
                <c:manualLayout>
                  <c:x val="-1.3888888888888888E-2"/>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2.7777777777777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Tbilisi</c:v>
                </c:pt>
                <c:pt idx="1">
                  <c:v>Kakheti</c:v>
                </c:pt>
                <c:pt idx="2">
                  <c:v>Ajara</c:v>
                </c:pt>
                <c:pt idx="3">
                  <c:v>Samegrelo</c:v>
                </c:pt>
                <c:pt idx="4">
                  <c:v>Total</c:v>
                </c:pt>
              </c:strCache>
            </c:strRef>
          </c:cat>
          <c:val>
            <c:numRef>
              <c:f>Sheet4!$B$2:$B$6</c:f>
              <c:numCache>
                <c:formatCode>0.0%</c:formatCode>
                <c:ptCount val="5"/>
                <c:pt idx="0">
                  <c:v>0.36599999999999999</c:v>
                </c:pt>
                <c:pt idx="1">
                  <c:v>0.42</c:v>
                </c:pt>
                <c:pt idx="2">
                  <c:v>0.42199999999999999</c:v>
                </c:pt>
                <c:pt idx="3">
                  <c:v>0.154</c:v>
                </c:pt>
                <c:pt idx="4">
                  <c:v>0.34100000000000003</c:v>
                </c:pt>
              </c:numCache>
            </c:numRef>
          </c:val>
        </c:ser>
        <c:ser>
          <c:idx val="1"/>
          <c:order val="1"/>
          <c:tx>
            <c:strRef>
              <c:f>Sheet4!$C$1</c:f>
              <c:strCache>
                <c:ptCount val="1"/>
                <c:pt idx="0">
                  <c:v>2017</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Tbilisi</c:v>
                </c:pt>
                <c:pt idx="1">
                  <c:v>Kakheti</c:v>
                </c:pt>
                <c:pt idx="2">
                  <c:v>Ajara</c:v>
                </c:pt>
                <c:pt idx="3">
                  <c:v>Samegrelo</c:v>
                </c:pt>
                <c:pt idx="4">
                  <c:v>Total</c:v>
                </c:pt>
              </c:strCache>
            </c:strRef>
          </c:cat>
          <c:val>
            <c:numRef>
              <c:f>Sheet4!$C$2:$C$6</c:f>
              <c:numCache>
                <c:formatCode>0.0%</c:formatCode>
                <c:ptCount val="5"/>
                <c:pt idx="0">
                  <c:v>0.23599999999999999</c:v>
                </c:pt>
                <c:pt idx="1">
                  <c:v>0.42599999999999999</c:v>
                </c:pt>
                <c:pt idx="2">
                  <c:v>0.378</c:v>
                </c:pt>
                <c:pt idx="3">
                  <c:v>0.41299999999999998</c:v>
                </c:pt>
                <c:pt idx="4">
                  <c:v>0.34699999999999998</c:v>
                </c:pt>
              </c:numCache>
            </c:numRef>
          </c:val>
        </c:ser>
        <c:dLbls>
          <c:dLblPos val="outEnd"/>
          <c:showLegendKey val="0"/>
          <c:showVal val="1"/>
          <c:showCatName val="0"/>
          <c:showSerName val="0"/>
          <c:showPercent val="0"/>
          <c:showBubbleSize val="0"/>
        </c:dLbls>
        <c:gapWidth val="99"/>
        <c:overlap val="-9"/>
        <c:axId val="1061712320"/>
        <c:axId val="1061712864"/>
      </c:barChart>
      <c:catAx>
        <c:axId val="106171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712864"/>
        <c:crosses val="autoZero"/>
        <c:auto val="1"/>
        <c:lblAlgn val="ctr"/>
        <c:lblOffset val="100"/>
        <c:noMultiLvlLbl val="0"/>
      </c:catAx>
      <c:valAx>
        <c:axId val="1061712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712320"/>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i="0" u="none" strike="noStrike" baseline="0">
                <a:effectLst/>
              </a:rPr>
              <a:t>Anemia in 1</a:t>
            </a:r>
            <a:r>
              <a:rPr lang="en-US" sz="1100" b="1" i="0" u="none" strike="noStrike" baseline="30000">
                <a:effectLst/>
              </a:rPr>
              <a:t>st</a:t>
            </a:r>
            <a:r>
              <a:rPr lang="en-US" sz="1100" b="1" i="0" u="none" strike="noStrike" baseline="0">
                <a:effectLst/>
              </a:rPr>
              <a:t> trimester pregnant women</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Sheet5!$B$1</c:f>
              <c:strCache>
                <c:ptCount val="1"/>
                <c:pt idx="0">
                  <c:v>2016</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Tbilisi</c:v>
                </c:pt>
                <c:pt idx="1">
                  <c:v>Kakheti</c:v>
                </c:pt>
                <c:pt idx="2">
                  <c:v>Ajara</c:v>
                </c:pt>
                <c:pt idx="3">
                  <c:v>Samegrelo</c:v>
                </c:pt>
                <c:pt idx="4">
                  <c:v>Total</c:v>
                </c:pt>
              </c:strCache>
            </c:strRef>
          </c:cat>
          <c:val>
            <c:numRef>
              <c:f>Sheet5!$B$2:$B$6</c:f>
              <c:numCache>
                <c:formatCode>0.0%</c:formatCode>
                <c:ptCount val="5"/>
                <c:pt idx="0">
                  <c:v>3.5999999999999997E-2</c:v>
                </c:pt>
                <c:pt idx="1">
                  <c:v>7.0999999999999994E-2</c:v>
                </c:pt>
                <c:pt idx="2">
                  <c:v>7.8E-2</c:v>
                </c:pt>
                <c:pt idx="3">
                  <c:v>3.7999999999999999E-2</c:v>
                </c:pt>
                <c:pt idx="4">
                  <c:v>6.4000000000000001E-2</c:v>
                </c:pt>
              </c:numCache>
            </c:numRef>
          </c:val>
        </c:ser>
        <c:ser>
          <c:idx val="1"/>
          <c:order val="1"/>
          <c:tx>
            <c:strRef>
              <c:f>Sheet5!$C$1</c:f>
              <c:strCache>
                <c:ptCount val="1"/>
                <c:pt idx="0">
                  <c:v>2017</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Tbilisi</c:v>
                </c:pt>
                <c:pt idx="1">
                  <c:v>Kakheti</c:v>
                </c:pt>
                <c:pt idx="2">
                  <c:v>Ajara</c:v>
                </c:pt>
                <c:pt idx="3">
                  <c:v>Samegrelo</c:v>
                </c:pt>
                <c:pt idx="4">
                  <c:v>Total</c:v>
                </c:pt>
              </c:strCache>
            </c:strRef>
          </c:cat>
          <c:val>
            <c:numRef>
              <c:f>Sheet5!$C$2:$C$6</c:f>
              <c:numCache>
                <c:formatCode>0.0%</c:formatCode>
                <c:ptCount val="5"/>
                <c:pt idx="0">
                  <c:v>8.3000000000000004E-2</c:v>
                </c:pt>
                <c:pt idx="1">
                  <c:v>9.0999999999999998E-2</c:v>
                </c:pt>
                <c:pt idx="2">
                  <c:v>8.1000000000000003E-2</c:v>
                </c:pt>
                <c:pt idx="3">
                  <c:v>0.191</c:v>
                </c:pt>
                <c:pt idx="4">
                  <c:v>0.09</c:v>
                </c:pt>
              </c:numCache>
            </c:numRef>
          </c:val>
        </c:ser>
        <c:dLbls>
          <c:showLegendKey val="0"/>
          <c:showVal val="0"/>
          <c:showCatName val="0"/>
          <c:showSerName val="0"/>
          <c:showPercent val="0"/>
          <c:showBubbleSize val="0"/>
        </c:dLbls>
        <c:gapWidth val="219"/>
        <c:overlap val="-27"/>
        <c:axId val="1061704160"/>
        <c:axId val="1061717216"/>
      </c:barChart>
      <c:catAx>
        <c:axId val="106170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717216"/>
        <c:crosses val="autoZero"/>
        <c:auto val="1"/>
        <c:lblAlgn val="ctr"/>
        <c:lblOffset val="100"/>
        <c:noMultiLvlLbl val="0"/>
      </c:catAx>
      <c:valAx>
        <c:axId val="1061717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70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effectLst/>
              </a:rPr>
              <a:t>Prevalence of iron deficiency and folate deficiency in 1</a:t>
            </a:r>
            <a:r>
              <a:rPr lang="en-US" sz="1100" b="1" baseline="30000">
                <a:effectLst/>
              </a:rPr>
              <a:t>st</a:t>
            </a:r>
            <a:r>
              <a:rPr lang="en-US" sz="1100" b="1">
                <a:effectLst/>
              </a:rPr>
              <a:t> trimester pregnant women;</a:t>
            </a:r>
            <a:r>
              <a:rPr lang="en-US" sz="1100" b="1" baseline="0">
                <a:effectLst/>
              </a:rPr>
              <a:t> </a:t>
            </a:r>
            <a:r>
              <a:rPr lang="en-US" sz="1100" b="1">
                <a:effectLst/>
              </a:rPr>
              <a:t>all sentinels by year</a:t>
            </a:r>
            <a:endParaRPr lang="en-US" sz="1100">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Sheet6!$B$1</c:f>
              <c:strCache>
                <c:ptCount val="1"/>
                <c:pt idx="0">
                  <c:v>Prevalence of ID</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Sheet6!$A$2:$A$3</c:f>
              <c:numCache>
                <c:formatCode>General</c:formatCode>
                <c:ptCount val="2"/>
                <c:pt idx="0">
                  <c:v>2016</c:v>
                </c:pt>
                <c:pt idx="1">
                  <c:v>2017</c:v>
                </c:pt>
              </c:numCache>
            </c:numRef>
          </c:cat>
          <c:val>
            <c:numRef>
              <c:f>Sheet6!$B$2:$B$3</c:f>
              <c:numCache>
                <c:formatCode>0.0%</c:formatCode>
                <c:ptCount val="2"/>
                <c:pt idx="0">
                  <c:v>0.63500000000000001</c:v>
                </c:pt>
                <c:pt idx="1">
                  <c:v>0.53</c:v>
                </c:pt>
              </c:numCache>
            </c:numRef>
          </c:val>
        </c:ser>
        <c:ser>
          <c:idx val="1"/>
          <c:order val="1"/>
          <c:tx>
            <c:strRef>
              <c:f>Sheet6!$C$1</c:f>
              <c:strCache>
                <c:ptCount val="1"/>
                <c:pt idx="0">
                  <c:v>Prevalence of Folate Deficiency</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Sheet6!$A$2:$A$3</c:f>
              <c:numCache>
                <c:formatCode>General</c:formatCode>
                <c:ptCount val="2"/>
                <c:pt idx="0">
                  <c:v>2016</c:v>
                </c:pt>
                <c:pt idx="1">
                  <c:v>2017</c:v>
                </c:pt>
              </c:numCache>
            </c:numRef>
          </c:cat>
          <c:val>
            <c:numRef>
              <c:f>Sheet6!$C$2:$C$3</c:f>
              <c:numCache>
                <c:formatCode>0.0%</c:formatCode>
                <c:ptCount val="2"/>
                <c:pt idx="0">
                  <c:v>0.31</c:v>
                </c:pt>
                <c:pt idx="1">
                  <c:v>0.21099999999999999</c:v>
                </c:pt>
              </c:numCache>
            </c:numRef>
          </c:val>
        </c:ser>
        <c:dLbls>
          <c:dLblPos val="outEnd"/>
          <c:showLegendKey val="0"/>
          <c:showVal val="1"/>
          <c:showCatName val="0"/>
          <c:showSerName val="0"/>
          <c:showPercent val="0"/>
          <c:showBubbleSize val="0"/>
        </c:dLbls>
        <c:gapWidth val="219"/>
        <c:overlap val="-27"/>
        <c:axId val="1061715584"/>
        <c:axId val="1061717760"/>
      </c:barChart>
      <c:catAx>
        <c:axId val="106171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717760"/>
        <c:crosses val="autoZero"/>
        <c:auto val="1"/>
        <c:lblAlgn val="ctr"/>
        <c:lblOffset val="100"/>
        <c:noMultiLvlLbl val="0"/>
      </c:catAx>
      <c:valAx>
        <c:axId val="1061717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715584"/>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1" i="0" u="none" strike="noStrike" baseline="0">
                <a:effectLst/>
              </a:rPr>
              <a:t>Median urinary iodine concentrations (UIC) in 12-year-old children and 1</a:t>
            </a:r>
            <a:r>
              <a:rPr lang="en-US" sz="1050" b="1" i="0" u="none" strike="noStrike" baseline="30000">
                <a:effectLst/>
              </a:rPr>
              <a:t>st</a:t>
            </a:r>
            <a:r>
              <a:rPr lang="en-US" sz="1050" b="1" i="0" u="none" strike="noStrike" baseline="0">
                <a:effectLst/>
              </a:rPr>
              <a:t> trimester pregnant women; all sentinels by year</a:t>
            </a: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Sheet7!$B$1</c:f>
              <c:strCache>
                <c:ptCount val="1"/>
                <c:pt idx="0">
                  <c:v>12-year-old Children</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Sheet7!$A$2:$A$3</c:f>
              <c:numCache>
                <c:formatCode>General</c:formatCode>
                <c:ptCount val="2"/>
                <c:pt idx="0">
                  <c:v>2016</c:v>
                </c:pt>
                <c:pt idx="1">
                  <c:v>2017</c:v>
                </c:pt>
              </c:numCache>
            </c:numRef>
          </c:cat>
          <c:val>
            <c:numRef>
              <c:f>Sheet7!$B$2:$B$3</c:f>
              <c:numCache>
                <c:formatCode>General</c:formatCode>
                <c:ptCount val="2"/>
                <c:pt idx="0">
                  <c:v>293</c:v>
                </c:pt>
                <c:pt idx="1">
                  <c:v>247</c:v>
                </c:pt>
              </c:numCache>
            </c:numRef>
          </c:val>
        </c:ser>
        <c:ser>
          <c:idx val="1"/>
          <c:order val="1"/>
          <c:tx>
            <c:strRef>
              <c:f>Sheet7!$C$1</c:f>
              <c:strCache>
                <c:ptCount val="1"/>
                <c:pt idx="0">
                  <c:v>1st Trimester Pregnant Women</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Sheet7!$A$2:$A$3</c:f>
              <c:numCache>
                <c:formatCode>General</c:formatCode>
                <c:ptCount val="2"/>
                <c:pt idx="0">
                  <c:v>2016</c:v>
                </c:pt>
                <c:pt idx="1">
                  <c:v>2017</c:v>
                </c:pt>
              </c:numCache>
            </c:numRef>
          </c:cat>
          <c:val>
            <c:numRef>
              <c:f>Sheet7!$C$2:$C$3</c:f>
              <c:numCache>
                <c:formatCode>General</c:formatCode>
                <c:ptCount val="2"/>
                <c:pt idx="0">
                  <c:v>249</c:v>
                </c:pt>
                <c:pt idx="1">
                  <c:v>241</c:v>
                </c:pt>
              </c:numCache>
            </c:numRef>
          </c:val>
        </c:ser>
        <c:dLbls>
          <c:dLblPos val="outEnd"/>
          <c:showLegendKey val="0"/>
          <c:showVal val="1"/>
          <c:showCatName val="0"/>
          <c:showSerName val="0"/>
          <c:showPercent val="0"/>
          <c:showBubbleSize val="0"/>
        </c:dLbls>
        <c:gapWidth val="219"/>
        <c:overlap val="-27"/>
        <c:axId val="1164505008"/>
        <c:axId val="1164500112"/>
      </c:barChart>
      <c:catAx>
        <c:axId val="116450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500112"/>
        <c:crosses val="autoZero"/>
        <c:auto val="1"/>
        <c:lblAlgn val="ctr"/>
        <c:lblOffset val="100"/>
        <c:noMultiLvlLbl val="0"/>
      </c:catAx>
      <c:valAx>
        <c:axId val="116450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50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Robizon</dc:creator>
  <cp:lastModifiedBy>Nana Kavtaradze</cp:lastModifiedBy>
  <cp:revision>3</cp:revision>
  <dcterms:created xsi:type="dcterms:W3CDTF">2017-11-23T15:24:00Z</dcterms:created>
  <dcterms:modified xsi:type="dcterms:W3CDTF">2017-11-23T15:26:00Z</dcterms:modified>
</cp:coreProperties>
</file>