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51" w:rsidRPr="004028CA" w:rsidRDefault="00783851" w:rsidP="004556CF">
      <w:pPr>
        <w:spacing w:after="120"/>
        <w:jc w:val="center"/>
        <w:rPr>
          <w:b/>
          <w:lang w:val="en-GB"/>
        </w:rPr>
      </w:pPr>
      <w:r w:rsidRPr="004028CA">
        <w:rPr>
          <w:b/>
          <w:lang w:val="en-GB"/>
        </w:rPr>
        <w:t>S</w:t>
      </w:r>
      <w:r w:rsidR="00E10727" w:rsidRPr="004028CA">
        <w:rPr>
          <w:b/>
          <w:lang w:val="en-GB"/>
        </w:rPr>
        <w:t xml:space="preserve">ingle </w:t>
      </w:r>
      <w:r w:rsidRPr="004028CA">
        <w:rPr>
          <w:b/>
          <w:lang w:val="en-GB"/>
        </w:rPr>
        <w:t>Support Framework</w:t>
      </w:r>
      <w:r w:rsidR="002B4F75" w:rsidRPr="004028CA">
        <w:rPr>
          <w:b/>
          <w:lang w:val="en-GB"/>
        </w:rPr>
        <w:t xml:space="preserve"> for Georgia 2017-2020</w:t>
      </w:r>
    </w:p>
    <w:p w:rsidR="00783851" w:rsidRPr="004028CA" w:rsidRDefault="00783851" w:rsidP="004556CF">
      <w:pPr>
        <w:spacing w:after="120"/>
        <w:rPr>
          <w:b/>
          <w:lang w:val="en-GB"/>
        </w:rPr>
      </w:pPr>
      <w:r w:rsidRPr="004028CA">
        <w:rPr>
          <w:b/>
          <w:lang w:val="en-GB"/>
        </w:rPr>
        <w:t>Introduction</w:t>
      </w:r>
    </w:p>
    <w:p w:rsidR="001E1A07" w:rsidRPr="00FF6C9A" w:rsidRDefault="001E1A07" w:rsidP="004556CF">
      <w:pPr>
        <w:spacing w:after="120"/>
        <w:jc w:val="both"/>
        <w:rPr>
          <w:lang w:val="en-GB"/>
        </w:rPr>
      </w:pPr>
      <w:r w:rsidRPr="004028CA">
        <w:rPr>
          <w:lang w:val="en-GB"/>
        </w:rPr>
        <w:t>Georgia is an upper-middle income country</w:t>
      </w:r>
      <w:r w:rsidRPr="000E4EEA">
        <w:rPr>
          <w:rStyle w:val="FootnoteReference"/>
        </w:rPr>
        <w:footnoteReference w:id="2"/>
      </w:r>
      <w:r w:rsidRPr="00FF6C9A">
        <w:rPr>
          <w:lang w:val="en-GB"/>
        </w:rPr>
        <w:t xml:space="preserve"> with a population of 3.7 million, 57% live in urban areas</w:t>
      </w:r>
      <w:r w:rsidR="00BD7260">
        <w:rPr>
          <w:lang w:val="en-GB"/>
        </w:rPr>
        <w:t>,</w:t>
      </w:r>
      <w:r w:rsidRPr="00FF6C9A">
        <w:rPr>
          <w:lang w:val="en-GB"/>
        </w:rPr>
        <w:t xml:space="preserve"> 13% are national minorities. The country has a gross national income per capita of </w:t>
      </w:r>
      <w:r w:rsidR="00674A50" w:rsidRPr="00FF6C9A">
        <w:rPr>
          <w:lang w:val="en-GB"/>
        </w:rPr>
        <w:t>€ 3498</w:t>
      </w:r>
      <w:r w:rsidRPr="00236463">
        <w:rPr>
          <w:lang w:val="en-GB"/>
        </w:rPr>
        <w:t xml:space="preserve"> (2015) and ranks 76 out of 194 countries/territories in the UN Human Development Index, categorising it as highly developed</w:t>
      </w:r>
      <w:r w:rsidRPr="000E4EEA">
        <w:rPr>
          <w:rStyle w:val="FootnoteReference"/>
        </w:rPr>
        <w:footnoteReference w:id="3"/>
      </w:r>
      <w:r w:rsidRPr="00FF6C9A">
        <w:rPr>
          <w:lang w:val="en-GB"/>
        </w:rPr>
        <w:t xml:space="preserve">.  </w:t>
      </w:r>
    </w:p>
    <w:p w:rsidR="001E1A07" w:rsidRPr="004028CA" w:rsidRDefault="001E1A07" w:rsidP="004556CF">
      <w:pPr>
        <w:spacing w:after="120"/>
        <w:jc w:val="both"/>
        <w:rPr>
          <w:lang w:val="en-GB"/>
        </w:rPr>
      </w:pPr>
      <w:r w:rsidRPr="00FF6C9A">
        <w:rPr>
          <w:b/>
          <w:lang w:val="en-GB"/>
        </w:rPr>
        <w:t>Politically,</w:t>
      </w:r>
      <w:r w:rsidRPr="00236463">
        <w:rPr>
          <w:lang w:val="en-GB"/>
        </w:rPr>
        <w:t xml:space="preserve"> the country is a stable </w:t>
      </w:r>
      <w:r w:rsidR="008336BA" w:rsidRPr="00236463">
        <w:rPr>
          <w:lang w:val="en-GB"/>
        </w:rPr>
        <w:t>r</w:t>
      </w:r>
      <w:r w:rsidRPr="00434A3D">
        <w:rPr>
          <w:lang w:val="en-GB"/>
        </w:rPr>
        <w:t>epresentative democracy with free elections. General elections took place in October 2016</w:t>
      </w:r>
      <w:r w:rsidR="001C2276">
        <w:rPr>
          <w:lang w:val="en-GB"/>
        </w:rPr>
        <w:t>, with the ruling party gaining the constitutional majority</w:t>
      </w:r>
      <w:r w:rsidR="0096775D">
        <w:rPr>
          <w:lang w:val="en-GB"/>
        </w:rPr>
        <w:t>,</w:t>
      </w:r>
      <w:r w:rsidR="006A27EA">
        <w:rPr>
          <w:lang w:val="en-GB"/>
        </w:rPr>
        <w:t xml:space="preserve"> </w:t>
      </w:r>
      <w:r w:rsidR="0096775D">
        <w:rPr>
          <w:lang w:val="en-GB"/>
        </w:rPr>
        <w:t>t</w:t>
      </w:r>
      <w:r w:rsidRPr="004028CA">
        <w:rPr>
          <w:lang w:val="en-GB"/>
        </w:rPr>
        <w:t xml:space="preserve">he constitutional majority </w:t>
      </w:r>
      <w:r w:rsidR="00FA0D05" w:rsidRPr="004028CA">
        <w:rPr>
          <w:lang w:val="en-GB"/>
        </w:rPr>
        <w:t xml:space="preserve">gained </w:t>
      </w:r>
      <w:r w:rsidRPr="004028CA">
        <w:rPr>
          <w:lang w:val="en-GB"/>
        </w:rPr>
        <w:t>by the ruling part</w:t>
      </w:r>
      <w:r w:rsidR="00FA0D05" w:rsidRPr="004028CA">
        <w:rPr>
          <w:lang w:val="en-GB"/>
        </w:rPr>
        <w:t>y</w:t>
      </w:r>
      <w:r w:rsidRPr="004028CA">
        <w:rPr>
          <w:lang w:val="en-GB"/>
        </w:rPr>
        <w:t xml:space="preserve"> . </w:t>
      </w:r>
      <w:r w:rsidR="00422FB4" w:rsidRPr="004028CA">
        <w:rPr>
          <w:lang w:val="en-GB"/>
        </w:rPr>
        <w:t>C</w:t>
      </w:r>
      <w:r w:rsidRPr="004028CA">
        <w:rPr>
          <w:lang w:val="en-GB"/>
        </w:rPr>
        <w:t>ommitment to the EU approximation agenda is likely to remain strong (currently from 60 to 82 % of the population consistently supports the pro EU-NATO course of the government)</w:t>
      </w:r>
      <w:r w:rsidR="00C81643" w:rsidRPr="004028CA">
        <w:rPr>
          <w:lang w:val="en-GB"/>
        </w:rPr>
        <w:t>.</w:t>
      </w:r>
      <w:r w:rsidRPr="004028CA">
        <w:rPr>
          <w:lang w:val="en-GB"/>
        </w:rPr>
        <w:t xml:space="preserve"> </w:t>
      </w:r>
      <w:r w:rsidR="00C81643" w:rsidRPr="004028CA">
        <w:rPr>
          <w:lang w:val="en-GB"/>
        </w:rPr>
        <w:t>T</w:t>
      </w:r>
      <w:r w:rsidR="00422FB4" w:rsidRPr="004028CA">
        <w:rPr>
          <w:lang w:val="en-GB"/>
        </w:rPr>
        <w:t>he extent to which the European orientation will bring tangible benefits for the people will</w:t>
      </w:r>
      <w:r w:rsidRPr="004028CA">
        <w:rPr>
          <w:lang w:val="en-GB"/>
        </w:rPr>
        <w:t xml:space="preserve"> influence the </w:t>
      </w:r>
      <w:r w:rsidR="00422FB4" w:rsidRPr="004028CA">
        <w:rPr>
          <w:lang w:val="en-GB"/>
        </w:rPr>
        <w:t>long term breadth and depth</w:t>
      </w:r>
      <w:r w:rsidRPr="004028CA">
        <w:rPr>
          <w:lang w:val="en-GB"/>
        </w:rPr>
        <w:t xml:space="preserve"> of the domestic consensus regarding the EU.  </w:t>
      </w:r>
    </w:p>
    <w:p w:rsidR="001E1A07" w:rsidRPr="004028CA" w:rsidRDefault="0083247C" w:rsidP="004556CF">
      <w:pPr>
        <w:spacing w:after="120"/>
        <w:jc w:val="both"/>
        <w:rPr>
          <w:lang w:val="en-GB"/>
        </w:rPr>
      </w:pPr>
      <w:r w:rsidRPr="004028CA">
        <w:rPr>
          <w:lang w:val="en-GB"/>
        </w:rPr>
        <w:t>Regarding human rights and good governance, l</w:t>
      </w:r>
      <w:r w:rsidR="001E1A07" w:rsidRPr="004028CA">
        <w:rPr>
          <w:lang w:val="en-GB"/>
        </w:rPr>
        <w:t xml:space="preserve">egal provisions for press freedom are in place,  with </w:t>
      </w:r>
      <w:r w:rsidR="00422FB4" w:rsidRPr="004028CA">
        <w:rPr>
          <w:lang w:val="en-GB"/>
        </w:rPr>
        <w:t xml:space="preserve">growing consolidation of </w:t>
      </w:r>
      <w:r w:rsidR="008336BA" w:rsidRPr="004028CA">
        <w:rPr>
          <w:lang w:val="en-GB"/>
        </w:rPr>
        <w:t xml:space="preserve">media </w:t>
      </w:r>
      <w:r w:rsidR="001E1A07" w:rsidRPr="004028CA">
        <w:rPr>
          <w:lang w:val="en-GB"/>
        </w:rPr>
        <w:t>ownership in few hands</w:t>
      </w:r>
      <w:r w:rsidR="00FA0D05" w:rsidRPr="004028CA">
        <w:rPr>
          <w:lang w:val="en-GB"/>
        </w:rPr>
        <w:t xml:space="preserve">, together with </w:t>
      </w:r>
      <w:r w:rsidR="001E1A07" w:rsidRPr="004028CA">
        <w:rPr>
          <w:lang w:val="en-GB"/>
        </w:rPr>
        <w:t>low media revenues grant it a 'partly free' rating by Freedom House in 201</w:t>
      </w:r>
      <w:r w:rsidRPr="004028CA">
        <w:rPr>
          <w:lang w:val="en-GB"/>
        </w:rPr>
        <w:t>6</w:t>
      </w:r>
      <w:r w:rsidR="001E1A07" w:rsidRPr="004028CA">
        <w:rPr>
          <w:lang w:val="en-GB"/>
        </w:rPr>
        <w:t>.  A series of radical reforms from the 2000s led to the de-facto abolition of petty corruption and violent crime.</w:t>
      </w:r>
    </w:p>
    <w:p w:rsidR="001E1A07" w:rsidRPr="004028CA" w:rsidRDefault="001E1A07" w:rsidP="004556CF">
      <w:pPr>
        <w:spacing w:after="120"/>
        <w:jc w:val="both"/>
        <w:rPr>
          <w:b/>
          <w:lang w:val="en-GB"/>
        </w:rPr>
      </w:pPr>
      <w:r w:rsidRPr="004028CA">
        <w:rPr>
          <w:lang w:val="en-GB"/>
        </w:rPr>
        <w:t xml:space="preserve">The challenges stemming from the 2008 conflict in Georgia remain high. The EU supports Georgia's territorial integrity </w:t>
      </w:r>
      <w:r w:rsidR="00FA0D05" w:rsidRPr="004028CA">
        <w:rPr>
          <w:lang w:val="en-GB"/>
        </w:rPr>
        <w:t>with</w:t>
      </w:r>
      <w:r w:rsidRPr="004028CA">
        <w:rPr>
          <w:lang w:val="en-GB"/>
        </w:rPr>
        <w:t>in its internationally recognised borders and remains firmly committed to conflict resolution and</w:t>
      </w:r>
      <w:r w:rsidR="00FA0D05" w:rsidRPr="004028CA">
        <w:rPr>
          <w:lang w:val="en-GB"/>
        </w:rPr>
        <w:t xml:space="preserve"> to</w:t>
      </w:r>
      <w:r w:rsidR="0083247C" w:rsidRPr="004028CA">
        <w:rPr>
          <w:lang w:val="en-GB"/>
        </w:rPr>
        <w:t xml:space="preserve"> </w:t>
      </w:r>
      <w:r w:rsidRPr="004028CA">
        <w:rPr>
          <w:lang w:val="en-GB"/>
        </w:rPr>
        <w:t xml:space="preserve">its policy of non-recognition and engagement in </w:t>
      </w:r>
      <w:r w:rsidR="006E73E3" w:rsidRPr="004028CA">
        <w:rPr>
          <w:lang w:val="en-GB"/>
        </w:rPr>
        <w:t xml:space="preserve">the breakaway regions of </w:t>
      </w:r>
      <w:r w:rsidRPr="004028CA">
        <w:rPr>
          <w:lang w:val="en-GB"/>
        </w:rPr>
        <w:t>Georgia; the EUSR for the South Caucasus and the crisis in Georgia as well as the EU Monitoring Mission are visible and substantial signs of this commitment.</w:t>
      </w:r>
    </w:p>
    <w:p w:rsidR="001E1A07" w:rsidRPr="00FF6C9A" w:rsidRDefault="001E1A07" w:rsidP="004556CF">
      <w:pPr>
        <w:spacing w:after="120"/>
        <w:jc w:val="both"/>
        <w:rPr>
          <w:lang w:val="en-GB"/>
        </w:rPr>
      </w:pPr>
      <w:r w:rsidRPr="004028CA">
        <w:rPr>
          <w:b/>
          <w:lang w:val="en-GB"/>
        </w:rPr>
        <w:t>Economically</w:t>
      </w:r>
      <w:r w:rsidRPr="004028CA">
        <w:rPr>
          <w:lang w:val="en-GB"/>
        </w:rPr>
        <w:t xml:space="preserve">, after free market oriented reforms undertaken following the Rose Revolution, Georgia experienced very rapid growth of 8-10% (2000-2008), which </w:t>
      </w:r>
      <w:r w:rsidR="00CB45E3" w:rsidRPr="004028CA">
        <w:rPr>
          <w:lang w:val="en-GB"/>
        </w:rPr>
        <w:t xml:space="preserve">by now </w:t>
      </w:r>
      <w:r w:rsidRPr="004028CA">
        <w:rPr>
          <w:lang w:val="en-GB"/>
        </w:rPr>
        <w:t>decreased to around 3%</w:t>
      </w:r>
      <w:r w:rsidR="00CB45E3" w:rsidRPr="004028CA">
        <w:rPr>
          <w:lang w:val="en-GB"/>
        </w:rPr>
        <w:t>, clearly below potential</w:t>
      </w:r>
      <w:r w:rsidRPr="004028CA">
        <w:rPr>
          <w:lang w:val="en-GB"/>
        </w:rPr>
        <w:t xml:space="preserve">. Although fiscal policies </w:t>
      </w:r>
      <w:r w:rsidR="00CB45E3" w:rsidRPr="004028CA">
        <w:rPr>
          <w:lang w:val="en-GB"/>
        </w:rPr>
        <w:t xml:space="preserve">and the balance of payments </w:t>
      </w:r>
      <w:r w:rsidRPr="004028CA">
        <w:rPr>
          <w:lang w:val="en-GB"/>
        </w:rPr>
        <w:t>need attention, to date Georgia has stable macro-economic situation and the Government places significant attention to continually reforming public finance management.  The EU is Georgia's main trading partner, and a DCFTA entered into force on 1 July 2016</w:t>
      </w:r>
      <w:r w:rsidR="005E4C3A" w:rsidRPr="004028CA">
        <w:rPr>
          <w:lang w:val="en-GB"/>
        </w:rPr>
        <w:t xml:space="preserve">. </w:t>
      </w:r>
      <w:r w:rsidRPr="004028CA">
        <w:rPr>
          <w:lang w:val="en-GB"/>
        </w:rPr>
        <w:t xml:space="preserve">In order to fully benefit from this opportunity and mitigate transitory effects, though, the country still needs </w:t>
      </w:r>
      <w:r w:rsidR="00F91BD4" w:rsidRPr="00B440B4">
        <w:rPr>
          <w:lang w:val="en-GB"/>
        </w:rPr>
        <w:t xml:space="preserve">support, </w:t>
      </w:r>
      <w:r w:rsidRPr="00FF6C9A">
        <w:rPr>
          <w:lang w:val="en-GB"/>
        </w:rPr>
        <w:t>additional reforms and investment.</w:t>
      </w:r>
    </w:p>
    <w:p w:rsidR="001E1A07" w:rsidRPr="004028CA" w:rsidRDefault="00324E67" w:rsidP="004556CF">
      <w:pPr>
        <w:spacing w:after="120"/>
        <w:jc w:val="both"/>
        <w:rPr>
          <w:lang w:val="en-GB"/>
        </w:rPr>
      </w:pPr>
      <w:r>
        <w:rPr>
          <w:lang w:val="en-GB"/>
        </w:rPr>
        <w:t>There has been</w:t>
      </w:r>
      <w:r w:rsidRPr="00FF6C9A">
        <w:rPr>
          <w:lang w:val="en-GB"/>
        </w:rPr>
        <w:t xml:space="preserve"> </w:t>
      </w:r>
      <w:r w:rsidR="001E1A07" w:rsidRPr="00FF6C9A">
        <w:rPr>
          <w:lang w:val="en-GB"/>
        </w:rPr>
        <w:t xml:space="preserve">consistent economic growth during this decade, </w:t>
      </w:r>
      <w:r>
        <w:rPr>
          <w:lang w:val="en-GB"/>
        </w:rPr>
        <w:t xml:space="preserve">although </w:t>
      </w:r>
      <w:r w:rsidR="001E1A07" w:rsidRPr="00FF6C9A">
        <w:rPr>
          <w:lang w:val="en-GB"/>
        </w:rPr>
        <w:t>the official unemployment rate remains high (12% in 2015), with 26% of t</w:t>
      </w:r>
      <w:r w:rsidR="001E1A07" w:rsidRPr="00236463">
        <w:rPr>
          <w:lang w:val="en-GB"/>
        </w:rPr>
        <w:t xml:space="preserve">he population inactive and a large share "self-employed" in low-income activities. As such, poverty </w:t>
      </w:r>
      <w:r w:rsidR="0083247C" w:rsidRPr="00236463">
        <w:rPr>
          <w:lang w:val="en-GB"/>
        </w:rPr>
        <w:t xml:space="preserve">has declined but </w:t>
      </w:r>
      <w:r w:rsidR="001E1A07" w:rsidRPr="00434A3D">
        <w:rPr>
          <w:lang w:val="en-GB"/>
        </w:rPr>
        <w:t xml:space="preserve">remains a major concern with 20.1% of Georgians </w:t>
      </w:r>
      <w:r w:rsidR="0083247C" w:rsidRPr="00434A3D">
        <w:rPr>
          <w:lang w:val="en-GB"/>
        </w:rPr>
        <w:t xml:space="preserve">still </w:t>
      </w:r>
      <w:r w:rsidR="001E1A07" w:rsidRPr="004028CA">
        <w:rPr>
          <w:lang w:val="en-GB"/>
        </w:rPr>
        <w:t>living in relative poverty in 2015</w:t>
      </w:r>
      <w:r w:rsidR="00CB45E3" w:rsidRPr="004028CA">
        <w:rPr>
          <w:lang w:val="en-GB"/>
        </w:rPr>
        <w:t xml:space="preserve"> (</w:t>
      </w:r>
      <w:r w:rsidR="001E1A07" w:rsidRPr="004028CA">
        <w:rPr>
          <w:lang w:val="en-GB"/>
        </w:rPr>
        <w:t>25.3% in rural areas</w:t>
      </w:r>
      <w:r w:rsidR="00CB45E3" w:rsidRPr="004028CA">
        <w:rPr>
          <w:lang w:val="en-GB"/>
        </w:rPr>
        <w:t>)</w:t>
      </w:r>
      <w:r w:rsidR="001E1A07" w:rsidRPr="004028CA">
        <w:rPr>
          <w:lang w:val="en-GB"/>
        </w:rPr>
        <w:t xml:space="preserve">. Important territorial disparities persist. Subsistence farming constitutes a social safety net in the absence of a comprehensive social insurance system. </w:t>
      </w:r>
      <w:r w:rsidR="00487E83" w:rsidRPr="004028CA">
        <w:rPr>
          <w:lang w:val="en-GB" w:eastAsia="en-GB"/>
        </w:rPr>
        <w:t>Georgia's Gender Inequality Index was at 0.382 in 2014, ranking it 77 out of 155 countries.</w:t>
      </w:r>
      <w:r w:rsidR="00487E83" w:rsidRPr="00B440B4">
        <w:rPr>
          <w:rFonts w:ascii="ArialMT" w:hAnsi="ArialMT"/>
          <w:lang w:val="en-GB"/>
        </w:rPr>
        <w:t xml:space="preserve"> </w:t>
      </w:r>
      <w:r w:rsidR="001E1A07" w:rsidRPr="004028CA">
        <w:rPr>
          <w:lang w:val="en-GB"/>
        </w:rPr>
        <w:t xml:space="preserve">Regular </w:t>
      </w:r>
      <w:r w:rsidR="001E1A07" w:rsidRPr="004028CA">
        <w:rPr>
          <w:b/>
          <w:lang w:val="en-GB"/>
        </w:rPr>
        <w:t>public opinion</w:t>
      </w:r>
      <w:r w:rsidR="001E1A07" w:rsidRPr="004028CA">
        <w:rPr>
          <w:lang w:val="en-GB"/>
        </w:rPr>
        <w:t xml:space="preserve"> surveys show that the top two concerns of Georgians are economic well-being and national security.  </w:t>
      </w:r>
    </w:p>
    <w:p w:rsidR="009A4FC4" w:rsidRPr="004028CA" w:rsidRDefault="005A246B" w:rsidP="004556CF">
      <w:pPr>
        <w:spacing w:after="120"/>
        <w:jc w:val="both"/>
        <w:rPr>
          <w:lang w:val="en-GB"/>
        </w:rPr>
      </w:pPr>
      <w:r w:rsidRPr="004028CA">
        <w:rPr>
          <w:lang w:val="en-GB"/>
        </w:rPr>
        <w:t xml:space="preserve">In this context, lasting success of the EU engagement with Georgia will also require tangible results on most of </w:t>
      </w:r>
      <w:r w:rsidR="00451234" w:rsidRPr="004028CA">
        <w:rPr>
          <w:lang w:val="en-GB"/>
        </w:rPr>
        <w:t>UN 2030 S</w:t>
      </w:r>
      <w:r w:rsidR="009A4FC4" w:rsidRPr="004028CA">
        <w:rPr>
          <w:lang w:val="en-GB"/>
        </w:rPr>
        <w:t xml:space="preserve">ustainable </w:t>
      </w:r>
      <w:r w:rsidR="00451234" w:rsidRPr="004028CA">
        <w:rPr>
          <w:lang w:val="en-GB"/>
        </w:rPr>
        <w:t>D</w:t>
      </w:r>
      <w:r w:rsidR="009A4FC4" w:rsidRPr="004028CA">
        <w:rPr>
          <w:lang w:val="en-GB"/>
        </w:rPr>
        <w:t xml:space="preserve">evelopment </w:t>
      </w:r>
      <w:r w:rsidR="00451234" w:rsidRPr="004028CA">
        <w:rPr>
          <w:lang w:val="en-GB"/>
        </w:rPr>
        <w:t>G</w:t>
      </w:r>
      <w:r w:rsidR="009A4FC4" w:rsidRPr="004028CA">
        <w:rPr>
          <w:lang w:val="en-GB"/>
        </w:rPr>
        <w:t>oals</w:t>
      </w:r>
      <w:r w:rsidR="00451234" w:rsidRPr="004028CA">
        <w:rPr>
          <w:lang w:val="en-GB"/>
        </w:rPr>
        <w:t xml:space="preserve"> and on </w:t>
      </w:r>
      <w:r w:rsidR="002D1CAA" w:rsidRPr="004028CA">
        <w:rPr>
          <w:lang w:val="en-GB"/>
        </w:rPr>
        <w:t>the Paris Agreement on Climate Change</w:t>
      </w:r>
      <w:r w:rsidRPr="004028CA">
        <w:rPr>
          <w:lang w:val="en-GB"/>
        </w:rPr>
        <w:t>.</w:t>
      </w:r>
    </w:p>
    <w:p w:rsidR="00524D3D" w:rsidRPr="000E4EEA" w:rsidRDefault="005E4C3A" w:rsidP="00992185">
      <w:pPr>
        <w:pStyle w:val="ListParagraph"/>
        <w:spacing w:after="120"/>
        <w:ind w:left="0"/>
        <w:contextualSpacing w:val="0"/>
        <w:rPr>
          <w:lang w:val="en-US"/>
        </w:rPr>
      </w:pPr>
      <w:r w:rsidRPr="004028CA">
        <w:t xml:space="preserve">The Government's national development strategy </w:t>
      </w:r>
      <w:r w:rsidRPr="004028CA">
        <w:rPr>
          <w:i/>
        </w:rPr>
        <w:t>Georgia 2020</w:t>
      </w:r>
      <w:r w:rsidRPr="004028CA">
        <w:t xml:space="preserve"> (November 2013) underlines the need to introduce economic reforms to stimulate growth of small and medium sized enterprises, enhance trade and revitalise the agriculture sector as a means to address poverty and </w:t>
      </w:r>
      <w:r w:rsidRPr="004028CA">
        <w:lastRenderedPageBreak/>
        <w:t>unemployment.  Georgia 2020 is</w:t>
      </w:r>
      <w:r w:rsidR="0083247C" w:rsidRPr="004028CA">
        <w:t xml:space="preserve"> </w:t>
      </w:r>
      <w:r w:rsidR="00992185" w:rsidRPr="004028CA">
        <w:t xml:space="preserve">further developed into the </w:t>
      </w:r>
      <w:r w:rsidR="00992185" w:rsidRPr="000E4EEA">
        <w:rPr>
          <w:lang w:val="en-US"/>
        </w:rPr>
        <w:t xml:space="preserve">Georgian Government's Programme 2016-2020 "Liberty - Rapid Development – Welfare" and is </w:t>
      </w:r>
      <w:r w:rsidR="0083247C" w:rsidRPr="004028CA">
        <w:t xml:space="preserve">supplemented </w:t>
      </w:r>
      <w:r w:rsidRPr="004028CA">
        <w:t>by a variety of sector strategies including the country's SME Development Strategy (2016-2020)</w:t>
      </w:r>
      <w:r w:rsidR="00F91BD4" w:rsidRPr="00B440B4">
        <w:t>,</w:t>
      </w:r>
      <w:r w:rsidRPr="00FF6C9A">
        <w:t xml:space="preserve"> </w:t>
      </w:r>
      <w:r w:rsidR="00992185" w:rsidRPr="00FF6C9A">
        <w:t>the</w:t>
      </w:r>
      <w:r w:rsidRPr="00FF6C9A">
        <w:t xml:space="preserve"> Human Rights Strategy</w:t>
      </w:r>
      <w:r w:rsidR="00112A2D" w:rsidRPr="00236463">
        <w:t xml:space="preserve">, </w:t>
      </w:r>
      <w:r w:rsidR="00992185" w:rsidRPr="00236463">
        <w:t>as well as the</w:t>
      </w:r>
      <w:r w:rsidR="00112A2D" w:rsidRPr="00434A3D">
        <w:t xml:space="preserve"> </w:t>
      </w:r>
      <w:r w:rsidR="00112A2D" w:rsidRPr="00434A3D">
        <w:rPr>
          <w:iCs/>
        </w:rPr>
        <w:t>National Action Plans to Combat Violence against Women and for implementation of the UN Security Council Resolutions on “Women, Peace and Security”</w:t>
      </w:r>
      <w:r w:rsidRPr="00434A3D">
        <w:t>. Georgia targeted in P</w:t>
      </w:r>
      <w:r w:rsidRPr="004028CA">
        <w:t>aris a reduction in emission intensity per unit of GDP by approximately 34% to 43% from 2013 to 2030 and detailed relevant actions to achieve this in its Low Emission Development Strategy</w:t>
      </w:r>
      <w:r w:rsidR="00524D3D" w:rsidRPr="004028CA">
        <w:t>, to be adopted in the coming months.</w:t>
      </w:r>
    </w:p>
    <w:p w:rsidR="00783851" w:rsidRPr="00B440B4" w:rsidRDefault="00783851" w:rsidP="00536399">
      <w:pPr>
        <w:pStyle w:val="Heading1"/>
        <w:numPr>
          <w:ilvl w:val="0"/>
          <w:numId w:val="0"/>
        </w:numPr>
        <w:spacing w:after="120"/>
        <w:ind w:left="432" w:hanging="432"/>
        <w:rPr>
          <w:rFonts w:ascii="Times New Roman" w:hAnsi="Times New Roman"/>
          <w:sz w:val="28"/>
          <w:lang w:val="en-GB"/>
        </w:rPr>
      </w:pPr>
      <w:r w:rsidRPr="00B440B4">
        <w:rPr>
          <w:rFonts w:ascii="Times New Roman" w:hAnsi="Times New Roman"/>
          <w:sz w:val="28"/>
          <w:lang w:val="en-GB"/>
        </w:rPr>
        <w:t xml:space="preserve">1. </w:t>
      </w:r>
      <w:r w:rsidRPr="00B440B4">
        <w:rPr>
          <w:rFonts w:ascii="Times New Roman" w:hAnsi="Times New Roman"/>
          <w:sz w:val="28"/>
          <w:lang w:val="en-GB"/>
        </w:rPr>
        <w:tab/>
        <w:t xml:space="preserve">EU Response </w:t>
      </w:r>
    </w:p>
    <w:p w:rsidR="00E76537" w:rsidRPr="00FF6C9A" w:rsidRDefault="00E76537" w:rsidP="004556CF">
      <w:pPr>
        <w:spacing w:after="120"/>
        <w:jc w:val="both"/>
        <w:rPr>
          <w:b/>
          <w:lang w:val="en-GB"/>
        </w:rPr>
      </w:pPr>
    </w:p>
    <w:p w:rsidR="00783851" w:rsidRPr="00236463" w:rsidRDefault="00783851" w:rsidP="004556CF">
      <w:pPr>
        <w:pStyle w:val="Heading2"/>
        <w:jc w:val="both"/>
        <w:rPr>
          <w:b w:val="0"/>
          <w:i w:val="0"/>
          <w:sz w:val="24"/>
          <w:szCs w:val="24"/>
        </w:rPr>
      </w:pPr>
      <w:bookmarkStart w:id="0" w:name="_Toc457552995"/>
      <w:r w:rsidRPr="00FF6C9A">
        <w:rPr>
          <w:i w:val="0"/>
          <w:sz w:val="24"/>
          <w:szCs w:val="24"/>
        </w:rPr>
        <w:t>1.1.</w:t>
      </w:r>
      <w:r w:rsidRPr="00FF6C9A">
        <w:rPr>
          <w:i w:val="0"/>
          <w:sz w:val="24"/>
          <w:szCs w:val="24"/>
        </w:rPr>
        <w:tab/>
        <w:t>Strateg</w:t>
      </w:r>
      <w:r w:rsidRPr="00236463">
        <w:rPr>
          <w:i w:val="0"/>
          <w:sz w:val="24"/>
          <w:szCs w:val="24"/>
        </w:rPr>
        <w:t>ic objectives of the EU's relationship with the partner country</w:t>
      </w:r>
      <w:bookmarkEnd w:id="0"/>
    </w:p>
    <w:p w:rsidR="00524D3D" w:rsidRPr="00FF6C9A" w:rsidRDefault="00674A50" w:rsidP="004556CF">
      <w:pPr>
        <w:spacing w:after="120"/>
        <w:jc w:val="both"/>
        <w:rPr>
          <w:lang w:val="en-GB"/>
        </w:rPr>
      </w:pPr>
      <w:r w:rsidRPr="00434A3D">
        <w:rPr>
          <w:color w:val="000000"/>
          <w:lang w:val="en-GB"/>
        </w:rPr>
        <w:t xml:space="preserve">The stabilisation and resilience building of neighbouring countries, </w:t>
      </w:r>
      <w:r w:rsidRPr="004028CA">
        <w:rPr>
          <w:lang w:val="en-GB"/>
        </w:rPr>
        <w:t xml:space="preserve">particularly by boosting economic development </w:t>
      </w:r>
      <w:r w:rsidRPr="004028CA">
        <w:rPr>
          <w:color w:val="000000"/>
          <w:lang w:val="en-GB"/>
        </w:rPr>
        <w:t>are the EU's main political priorities outlined in the European Neighbourhood Policy (ENP) review of November 2015</w:t>
      </w:r>
      <w:r w:rsidRPr="000E4EEA">
        <w:rPr>
          <w:color w:val="000000"/>
          <w:sz w:val="16"/>
          <w:vertAlign w:val="superscript"/>
          <w:lang w:val="en-GB"/>
        </w:rPr>
        <w:footnoteReference w:id="4"/>
      </w:r>
      <w:r w:rsidRPr="00FF6C9A">
        <w:rPr>
          <w:color w:val="000000"/>
          <w:lang w:val="en-GB"/>
        </w:rPr>
        <w:t xml:space="preserve"> and in the EU Global Strategy of June 2016. </w:t>
      </w:r>
      <w:r w:rsidR="009A606B" w:rsidRPr="00FF6C9A">
        <w:rPr>
          <w:lang w:val="en-GB" w:eastAsia="en-GB"/>
        </w:rPr>
        <w:t>The framework for</w:t>
      </w:r>
      <w:r w:rsidR="00450336" w:rsidRPr="00236463">
        <w:rPr>
          <w:lang w:val="en-GB" w:eastAsia="en-GB"/>
        </w:rPr>
        <w:t xml:space="preserve"> the</w:t>
      </w:r>
      <w:r w:rsidR="009A606B" w:rsidRPr="00236463">
        <w:rPr>
          <w:lang w:val="en-GB" w:eastAsia="en-GB"/>
        </w:rPr>
        <w:t xml:space="preserve"> EU-Ge</w:t>
      </w:r>
      <w:r w:rsidR="009A606B" w:rsidRPr="00434A3D">
        <w:rPr>
          <w:lang w:val="en-GB" w:eastAsia="en-GB"/>
        </w:rPr>
        <w:t xml:space="preserve">orgia relations is embodied in the </w:t>
      </w:r>
      <w:r w:rsidR="00524D3D" w:rsidRPr="00434A3D">
        <w:rPr>
          <w:bCs/>
          <w:iCs/>
          <w:lang w:val="en-GB" w:eastAsia="en-GB"/>
        </w:rPr>
        <w:t xml:space="preserve">EU-Georgia </w:t>
      </w:r>
      <w:r w:rsidR="009A606B" w:rsidRPr="004028CA">
        <w:rPr>
          <w:lang w:val="en-GB" w:eastAsia="en-GB"/>
        </w:rPr>
        <w:t>Association Agreement (AA), including a Deep and Comprehensive Free Trade Area (DCFTA), which was signed in 2014, provisionally applied from September 2014 and entered into force in July 2016.</w:t>
      </w:r>
      <w:r w:rsidR="009A606B" w:rsidRPr="004028CA">
        <w:rPr>
          <w:lang w:val="en-GB"/>
        </w:rPr>
        <w:t xml:space="preserve"> </w:t>
      </w:r>
      <w:r w:rsidR="00524D3D" w:rsidRPr="004028CA">
        <w:rPr>
          <w:lang w:val="en-GB" w:eastAsia="en-GB"/>
        </w:rPr>
        <w:t xml:space="preserve">The AA/DCFTA illustrates a deep mutual commitment based on shared values and interests in the areas of democracy and the rule of law, human rights and fundamental freedoms, good governance, a market economy and sustainable development. </w:t>
      </w:r>
      <w:r w:rsidR="009A606B" w:rsidRPr="004028CA">
        <w:rPr>
          <w:lang w:val="en-GB"/>
        </w:rPr>
        <w:t xml:space="preserve">The Association Agreement and the derived Association Agendas </w:t>
      </w:r>
      <w:r w:rsidR="009A4FC4" w:rsidRPr="004028CA">
        <w:rPr>
          <w:lang w:val="en-GB"/>
        </w:rPr>
        <w:t>covering 2014-2016 and 2017-20</w:t>
      </w:r>
      <w:r w:rsidR="00CE419E" w:rsidRPr="004028CA">
        <w:rPr>
          <w:lang w:val="en-GB"/>
        </w:rPr>
        <w:t>20</w:t>
      </w:r>
      <w:r w:rsidR="009A4FC4" w:rsidRPr="004028CA">
        <w:rPr>
          <w:lang w:val="en-GB"/>
        </w:rPr>
        <w:t xml:space="preserve"> </w:t>
      </w:r>
      <w:r w:rsidR="00524D3D" w:rsidRPr="004028CA">
        <w:rPr>
          <w:lang w:val="en-GB" w:eastAsia="en-GB"/>
        </w:rPr>
        <w:t xml:space="preserve">commit Georgia to an ambitious reform agenda in key areas with the aim to reach political association and economic integration with the EU. </w:t>
      </w:r>
      <w:r w:rsidR="00524D3D" w:rsidRPr="004028CA">
        <w:rPr>
          <w:lang w:val="en-GB"/>
        </w:rPr>
        <w:t>Visa liberalisation</w:t>
      </w:r>
      <w:r w:rsidR="00524D3D" w:rsidRPr="00747451">
        <w:rPr>
          <w:lang w:val="en-GB"/>
        </w:rPr>
        <w:t xml:space="preserve"> for Georgia came into effect in March.</w:t>
      </w:r>
    </w:p>
    <w:p w:rsidR="009A606B" w:rsidRPr="00236463" w:rsidRDefault="00524D3D" w:rsidP="004556CF">
      <w:pPr>
        <w:spacing w:after="120"/>
        <w:jc w:val="both"/>
        <w:rPr>
          <w:lang w:val="en-GB"/>
        </w:rPr>
      </w:pPr>
      <w:r w:rsidRPr="00FF6C9A">
        <w:rPr>
          <w:lang w:val="en-GB"/>
        </w:rPr>
        <w:t>The priorities and indicative allocations for financial assistance to be included in the Single Support Framework are connected to the priority actions set out by the revised 2017-2019 Association Agenda.</w:t>
      </w:r>
      <w:r w:rsidR="00FE33E1" w:rsidRPr="00236463">
        <w:rPr>
          <w:lang w:val="en-GB"/>
        </w:rPr>
        <w:t xml:space="preserve"> </w:t>
      </w:r>
      <w:r w:rsidR="009A606B" w:rsidRPr="00236463">
        <w:rPr>
          <w:lang w:val="en-GB"/>
        </w:rPr>
        <w:t>Consistency and coherence should thus be ensured.</w:t>
      </w:r>
    </w:p>
    <w:p w:rsidR="00C946D6" w:rsidRPr="00FF6C9A" w:rsidRDefault="00C946D6" w:rsidP="004556CF">
      <w:pPr>
        <w:spacing w:after="120"/>
        <w:jc w:val="both"/>
        <w:rPr>
          <w:lang w:val="en-GB" w:eastAsia="ko-KR"/>
        </w:rPr>
      </w:pPr>
    </w:p>
    <w:p w:rsidR="00783851" w:rsidRPr="00434A3D" w:rsidRDefault="00783851" w:rsidP="004556CF">
      <w:pPr>
        <w:pStyle w:val="Heading2"/>
        <w:jc w:val="both"/>
        <w:rPr>
          <w:i w:val="0"/>
          <w:sz w:val="24"/>
          <w:szCs w:val="24"/>
        </w:rPr>
      </w:pPr>
      <w:bookmarkStart w:id="1" w:name="_Toc457552998"/>
      <w:r w:rsidRPr="00236463">
        <w:rPr>
          <w:i w:val="0"/>
          <w:sz w:val="24"/>
          <w:szCs w:val="24"/>
        </w:rPr>
        <w:t>1.2.</w:t>
      </w:r>
      <w:r w:rsidRPr="00236463">
        <w:rPr>
          <w:i w:val="0"/>
          <w:sz w:val="24"/>
          <w:szCs w:val="24"/>
        </w:rPr>
        <w:tab/>
        <w:t>Choice of sectors of intervention</w:t>
      </w:r>
      <w:bookmarkEnd w:id="1"/>
      <w:r w:rsidR="00362429" w:rsidRPr="00236463">
        <w:rPr>
          <w:i w:val="0"/>
          <w:sz w:val="24"/>
          <w:szCs w:val="24"/>
        </w:rPr>
        <w:t xml:space="preserve"> </w:t>
      </w:r>
    </w:p>
    <w:p w:rsidR="00887B79" w:rsidRDefault="00887B79" w:rsidP="00FB5330">
      <w:pPr>
        <w:pBdr>
          <w:top w:val="nil"/>
          <w:left w:val="nil"/>
          <w:bottom w:val="nil"/>
          <w:right w:val="nil"/>
          <w:between w:val="nil"/>
          <w:bar w:val="nil"/>
        </w:pBdr>
        <w:spacing w:after="120"/>
        <w:jc w:val="both"/>
        <w:rPr>
          <w:lang w:val="en-GB"/>
        </w:rPr>
      </w:pPr>
      <w:r w:rsidRPr="00434A3D">
        <w:rPr>
          <w:lang w:val="en-GB"/>
        </w:rPr>
        <w:t>Th</w:t>
      </w:r>
      <w:r w:rsidRPr="004028CA">
        <w:rPr>
          <w:lang w:val="en-GB"/>
        </w:rPr>
        <w:t xml:space="preserve">e </w:t>
      </w:r>
      <w:r w:rsidR="00E75C67" w:rsidRPr="004028CA">
        <w:rPr>
          <w:lang w:val="en-GB"/>
        </w:rPr>
        <w:t xml:space="preserve">following </w:t>
      </w:r>
      <w:r w:rsidRPr="004028CA">
        <w:rPr>
          <w:lang w:val="en-GB"/>
        </w:rPr>
        <w:t xml:space="preserve">priorities and indicative allocations for financial </w:t>
      </w:r>
      <w:r w:rsidR="00E75C67" w:rsidRPr="004028CA">
        <w:rPr>
          <w:lang w:val="en-GB"/>
        </w:rPr>
        <w:t>assistance</w:t>
      </w:r>
      <w:r w:rsidRPr="004028CA">
        <w:rPr>
          <w:lang w:val="en-GB"/>
        </w:rPr>
        <w:t xml:space="preserve"> are connected to the overall policy objectives set out by the revised Association Agenda 2017-2020</w:t>
      </w:r>
      <w:r w:rsidR="00324E67">
        <w:rPr>
          <w:lang w:val="en-GB"/>
        </w:rPr>
        <w:t>. In addition</w:t>
      </w:r>
      <w:r w:rsidRPr="004028CA">
        <w:rPr>
          <w:lang w:val="en-GB"/>
        </w:rPr>
        <w:t>,</w:t>
      </w:r>
      <w:r w:rsidR="00324E67">
        <w:rPr>
          <w:lang w:val="en-GB"/>
        </w:rPr>
        <w:t xml:space="preserve"> they</w:t>
      </w:r>
      <w:r w:rsidRPr="004028CA">
        <w:rPr>
          <w:lang w:val="en-GB"/>
        </w:rPr>
        <w:t xml:space="preserve"> are coherent with the </w:t>
      </w:r>
      <w:r w:rsidRPr="004028CA">
        <w:rPr>
          <w:b/>
          <w:lang w:val="en-GB"/>
        </w:rPr>
        <w:t>Eastern Partnership priorities set in Riga</w:t>
      </w:r>
      <w:r w:rsidRPr="004028CA">
        <w:rPr>
          <w:lang w:val="en-GB"/>
        </w:rPr>
        <w:t xml:space="preserve"> and the </w:t>
      </w:r>
      <w:r w:rsidRPr="000E4EEA">
        <w:rPr>
          <w:rFonts w:eastAsia="Arial Unicode MS"/>
          <w:bdr w:val="nil"/>
          <w:lang w:val="en-US"/>
        </w:rPr>
        <w:t>"20 Deliverables for 2020"</w:t>
      </w:r>
      <w:r w:rsidRPr="000E4EEA">
        <w:rPr>
          <w:rFonts w:eastAsia="Arial Unicode MS"/>
          <w:bdr w:val="nil"/>
          <w:vertAlign w:val="superscript"/>
          <w:lang w:val="en-US"/>
        </w:rPr>
        <w:footnoteReference w:id="5"/>
      </w:r>
      <w:r w:rsidR="00324E67" w:rsidRPr="000E4EEA">
        <w:rPr>
          <w:rFonts w:eastAsia="Arial Unicode MS"/>
          <w:bdr w:val="nil"/>
          <w:lang w:val="en-US"/>
        </w:rPr>
        <w:t>.</w:t>
      </w:r>
      <w:r w:rsidRPr="000E4EEA">
        <w:rPr>
          <w:rFonts w:eastAsia="Arial Unicode MS"/>
          <w:bdr w:val="nil"/>
          <w:lang w:val="en-US"/>
        </w:rPr>
        <w:t xml:space="preserve"> </w:t>
      </w:r>
      <w:r w:rsidR="00324E67" w:rsidRPr="000E4EEA">
        <w:rPr>
          <w:rFonts w:eastAsia="Arial Unicode MS"/>
          <w:bdr w:val="nil"/>
          <w:lang w:val="en-US"/>
        </w:rPr>
        <w:t xml:space="preserve">This is also true with respect to </w:t>
      </w:r>
      <w:r w:rsidRPr="00FF6C9A">
        <w:rPr>
          <w:lang w:val="en-GB"/>
        </w:rPr>
        <w:t xml:space="preserve">the Joint Programming exercise, initiated in Georgia in 2013 and recently embodied into a Joint </w:t>
      </w:r>
      <w:r w:rsidR="00E75C67" w:rsidRPr="00FF6C9A">
        <w:rPr>
          <w:lang w:val="en-GB"/>
        </w:rPr>
        <w:t>Strategy</w:t>
      </w:r>
      <w:r w:rsidRPr="00236463">
        <w:rPr>
          <w:lang w:val="en-GB"/>
        </w:rPr>
        <w:t xml:space="preserve"> on six sectors. The priorities and actions identified by the SSF are coherent with the key global policy goals set by the </w:t>
      </w:r>
      <w:r w:rsidRPr="00434A3D">
        <w:rPr>
          <w:b/>
          <w:lang w:val="en-GB"/>
        </w:rPr>
        <w:t>UN 2030</w:t>
      </w:r>
      <w:r w:rsidRPr="00434A3D">
        <w:rPr>
          <w:lang w:val="en-GB"/>
        </w:rPr>
        <w:t xml:space="preserve"> </w:t>
      </w:r>
      <w:r w:rsidRPr="004028CA">
        <w:rPr>
          <w:b/>
          <w:lang w:val="en-GB"/>
        </w:rPr>
        <w:t>Sustainable Development Goals</w:t>
      </w:r>
      <w:r w:rsidRPr="004028CA">
        <w:rPr>
          <w:lang w:val="en-GB"/>
        </w:rPr>
        <w:t xml:space="preserve"> and the </w:t>
      </w:r>
      <w:r w:rsidRPr="004028CA">
        <w:rPr>
          <w:b/>
          <w:lang w:val="en-GB"/>
        </w:rPr>
        <w:t>Paris Agreement on Climate Change</w:t>
      </w:r>
      <w:r w:rsidRPr="004028CA">
        <w:rPr>
          <w:lang w:val="en-GB"/>
        </w:rPr>
        <w:t xml:space="preserve">. They are building on a consensus that emerged from consultations with the Government of Georgia, representatives of civil society, business and agro-food sector, International Financial Institutions, as well as key bilateral donors, e.g. during several high level EEAS and Commission visits (from Spring and Summer of 2016 until December 2016). </w:t>
      </w:r>
    </w:p>
    <w:p w:rsidR="00914DE0" w:rsidRPr="00DF4CDC" w:rsidRDefault="00914DE0" w:rsidP="00914DE0">
      <w:pPr>
        <w:pStyle w:val="NoSpacing"/>
        <w:jc w:val="both"/>
        <w:rPr>
          <w:rFonts w:ascii="Times New Roman" w:hAnsi="Times New Roman"/>
        </w:rPr>
      </w:pPr>
      <w:r w:rsidRPr="00907194">
        <w:rPr>
          <w:rFonts w:ascii="Times New Roman" w:hAnsi="Times New Roman"/>
        </w:rPr>
        <w:t xml:space="preserve">A number of </w:t>
      </w:r>
      <w:r w:rsidRPr="00907194">
        <w:rPr>
          <w:rFonts w:ascii="Times New Roman" w:hAnsi="Times New Roman"/>
          <w:b/>
        </w:rPr>
        <w:t>lessons learned</w:t>
      </w:r>
      <w:r w:rsidRPr="00907194">
        <w:rPr>
          <w:rFonts w:ascii="Times New Roman" w:hAnsi="Times New Roman"/>
        </w:rPr>
        <w:t xml:space="preserve"> during the implementation of the ENPI 2007-2013 and the ENI 2014-2016 have informed the programming of this SSF. </w:t>
      </w:r>
    </w:p>
    <w:p w:rsidR="00914DE0" w:rsidRDefault="00914DE0" w:rsidP="00914DE0">
      <w:pPr>
        <w:pStyle w:val="ListParagraph"/>
        <w:widowControl w:val="0"/>
        <w:numPr>
          <w:ilvl w:val="0"/>
          <w:numId w:val="62"/>
        </w:numPr>
        <w:autoSpaceDE w:val="0"/>
        <w:autoSpaceDN w:val="0"/>
        <w:adjustRightInd w:val="0"/>
        <w:ind w:left="714" w:hanging="357"/>
        <w:contextualSpacing w:val="0"/>
        <w:rPr>
          <w:color w:val="000000"/>
          <w:sz w:val="22"/>
          <w:szCs w:val="22"/>
        </w:rPr>
      </w:pPr>
      <w:r>
        <w:rPr>
          <w:color w:val="000000"/>
          <w:sz w:val="22"/>
          <w:szCs w:val="22"/>
        </w:rPr>
        <w:t>The need for projects that produce tangible results for citizens and provide high visibility for the EU</w:t>
      </w:r>
    </w:p>
    <w:p w:rsidR="00914DE0" w:rsidRPr="00DF4CDC" w:rsidRDefault="00914DE0" w:rsidP="00914DE0">
      <w:pPr>
        <w:pStyle w:val="ListParagraph"/>
        <w:widowControl w:val="0"/>
        <w:numPr>
          <w:ilvl w:val="0"/>
          <w:numId w:val="62"/>
        </w:numPr>
        <w:autoSpaceDE w:val="0"/>
        <w:autoSpaceDN w:val="0"/>
        <w:adjustRightInd w:val="0"/>
        <w:ind w:left="714" w:hanging="357"/>
        <w:contextualSpacing w:val="0"/>
        <w:rPr>
          <w:color w:val="000000"/>
          <w:sz w:val="22"/>
          <w:szCs w:val="22"/>
        </w:rPr>
      </w:pPr>
      <w:r w:rsidRPr="00907194">
        <w:rPr>
          <w:color w:val="000000"/>
          <w:sz w:val="22"/>
          <w:szCs w:val="22"/>
        </w:rPr>
        <w:lastRenderedPageBreak/>
        <w:t>The need to programme assistance within the framework of clear national sector strategies, supported by cost</w:t>
      </w:r>
      <w:r w:rsidR="00514009">
        <w:rPr>
          <w:color w:val="000000"/>
          <w:sz w:val="22"/>
          <w:szCs w:val="22"/>
        </w:rPr>
        <w:t>ed Action Plans and evidence of</w:t>
      </w:r>
      <w:r w:rsidRPr="00907194">
        <w:rPr>
          <w:color w:val="000000"/>
          <w:sz w:val="22"/>
          <w:szCs w:val="22"/>
        </w:rPr>
        <w:t xml:space="preserve"> ownership by the Government;</w:t>
      </w:r>
    </w:p>
    <w:p w:rsidR="00914DE0" w:rsidRPr="00DF4CDC" w:rsidRDefault="00914DE0" w:rsidP="00914DE0">
      <w:pPr>
        <w:pStyle w:val="ListParagraph"/>
        <w:widowControl w:val="0"/>
        <w:numPr>
          <w:ilvl w:val="0"/>
          <w:numId w:val="62"/>
        </w:numPr>
        <w:autoSpaceDE w:val="0"/>
        <w:autoSpaceDN w:val="0"/>
        <w:adjustRightInd w:val="0"/>
        <w:ind w:left="714" w:hanging="357"/>
        <w:contextualSpacing w:val="0"/>
        <w:rPr>
          <w:color w:val="000000"/>
          <w:sz w:val="22"/>
          <w:szCs w:val="22"/>
        </w:rPr>
      </w:pPr>
      <w:r w:rsidRPr="00907194">
        <w:rPr>
          <w:color w:val="000000"/>
          <w:sz w:val="22"/>
          <w:szCs w:val="22"/>
        </w:rPr>
        <w:t>The importance of a sustained policy dialogue;</w:t>
      </w:r>
    </w:p>
    <w:p w:rsidR="00914DE0" w:rsidRPr="00DF4CDC" w:rsidRDefault="00914DE0" w:rsidP="00914DE0">
      <w:pPr>
        <w:pStyle w:val="ListParagraph"/>
        <w:widowControl w:val="0"/>
        <w:numPr>
          <w:ilvl w:val="0"/>
          <w:numId w:val="62"/>
        </w:numPr>
        <w:autoSpaceDE w:val="0"/>
        <w:autoSpaceDN w:val="0"/>
        <w:adjustRightInd w:val="0"/>
        <w:ind w:left="714" w:hanging="357"/>
        <w:contextualSpacing w:val="0"/>
        <w:rPr>
          <w:color w:val="000000"/>
          <w:sz w:val="22"/>
          <w:szCs w:val="22"/>
        </w:rPr>
      </w:pPr>
      <w:r w:rsidRPr="00907194">
        <w:rPr>
          <w:color w:val="000000"/>
          <w:sz w:val="22"/>
          <w:szCs w:val="22"/>
        </w:rPr>
        <w:t xml:space="preserve">The </w:t>
      </w:r>
      <w:r>
        <w:rPr>
          <w:color w:val="000000"/>
          <w:sz w:val="22"/>
          <w:szCs w:val="22"/>
        </w:rPr>
        <w:t>importance</w:t>
      </w:r>
      <w:r w:rsidRPr="00907194">
        <w:rPr>
          <w:color w:val="000000"/>
          <w:sz w:val="22"/>
          <w:szCs w:val="22"/>
        </w:rPr>
        <w:t xml:space="preserve"> of Government capacity to coordinate external assistance, ensure coherence between the budgetary processes and policy agenda, and to monitor the implementation of the AA/DCFTA;</w:t>
      </w:r>
    </w:p>
    <w:p w:rsidR="00914DE0" w:rsidRPr="00DF4CDC" w:rsidRDefault="00914DE0" w:rsidP="00914DE0">
      <w:pPr>
        <w:pStyle w:val="ListParagraph"/>
        <w:widowControl w:val="0"/>
        <w:numPr>
          <w:ilvl w:val="0"/>
          <w:numId w:val="62"/>
        </w:numPr>
        <w:autoSpaceDE w:val="0"/>
        <w:autoSpaceDN w:val="0"/>
        <w:adjustRightInd w:val="0"/>
        <w:ind w:left="714" w:hanging="357"/>
        <w:contextualSpacing w:val="0"/>
        <w:rPr>
          <w:color w:val="000000"/>
          <w:sz w:val="22"/>
          <w:szCs w:val="22"/>
        </w:rPr>
      </w:pPr>
      <w:r w:rsidRPr="00907194">
        <w:rPr>
          <w:color w:val="000000"/>
          <w:sz w:val="22"/>
          <w:szCs w:val="22"/>
        </w:rPr>
        <w:t>The importance of mainstreaming cross-cutting issues, notably civil society engagement, youth, gender, a rights-based approach, social inclusion, environment and climate change, and of employing confidence building measures in potential and post-conflict situations;</w:t>
      </w:r>
    </w:p>
    <w:p w:rsidR="00914DE0" w:rsidRPr="00DF4CDC" w:rsidRDefault="00914DE0" w:rsidP="00914DE0">
      <w:pPr>
        <w:pStyle w:val="ListParagraph"/>
        <w:widowControl w:val="0"/>
        <w:numPr>
          <w:ilvl w:val="0"/>
          <w:numId w:val="62"/>
        </w:numPr>
        <w:autoSpaceDE w:val="0"/>
        <w:autoSpaceDN w:val="0"/>
        <w:adjustRightInd w:val="0"/>
        <w:ind w:left="714" w:hanging="357"/>
        <w:contextualSpacing w:val="0"/>
        <w:rPr>
          <w:color w:val="000000"/>
          <w:sz w:val="22"/>
          <w:szCs w:val="22"/>
        </w:rPr>
      </w:pPr>
      <w:r w:rsidRPr="00907194">
        <w:rPr>
          <w:color w:val="000000"/>
          <w:sz w:val="22"/>
          <w:szCs w:val="22"/>
        </w:rPr>
        <w:t>The need to ensure coherence between interventions financed through the national, thematic, cross-border and regional envelopes;</w:t>
      </w:r>
    </w:p>
    <w:p w:rsidR="00914DE0" w:rsidRPr="00914DE0" w:rsidRDefault="00914DE0" w:rsidP="000E4EEA">
      <w:pPr>
        <w:pStyle w:val="ListParagraph"/>
        <w:widowControl w:val="0"/>
        <w:numPr>
          <w:ilvl w:val="0"/>
          <w:numId w:val="62"/>
        </w:numPr>
        <w:pBdr>
          <w:top w:val="nil"/>
          <w:left w:val="nil"/>
          <w:bottom w:val="nil"/>
          <w:right w:val="nil"/>
          <w:between w:val="nil"/>
          <w:bar w:val="nil"/>
        </w:pBdr>
        <w:autoSpaceDE w:val="0"/>
        <w:autoSpaceDN w:val="0"/>
        <w:adjustRightInd w:val="0"/>
        <w:contextualSpacing w:val="0"/>
      </w:pPr>
      <w:r w:rsidRPr="00914DE0">
        <w:rPr>
          <w:color w:val="000000"/>
          <w:sz w:val="22"/>
          <w:szCs w:val="22"/>
        </w:rPr>
        <w:t>The desirability and necessity of pursuing a joint programming approach with EU Member States and willing partners and ensuring synergy with bilateral and multilateral donors, IFIs and International Organisations;</w:t>
      </w:r>
    </w:p>
    <w:p w:rsidR="00914DE0" w:rsidRPr="00914DE0" w:rsidRDefault="00914DE0" w:rsidP="00914DE0">
      <w:pPr>
        <w:pStyle w:val="ListParagraph"/>
        <w:widowControl w:val="0"/>
        <w:numPr>
          <w:ilvl w:val="0"/>
          <w:numId w:val="62"/>
        </w:numPr>
        <w:pBdr>
          <w:top w:val="nil"/>
          <w:left w:val="nil"/>
          <w:bottom w:val="nil"/>
          <w:right w:val="nil"/>
          <w:between w:val="nil"/>
          <w:bar w:val="nil"/>
        </w:pBdr>
        <w:autoSpaceDE w:val="0"/>
        <w:autoSpaceDN w:val="0"/>
        <w:adjustRightInd w:val="0"/>
        <w:spacing w:after="120"/>
        <w:ind w:left="714" w:hanging="357"/>
        <w:contextualSpacing w:val="0"/>
      </w:pPr>
      <w:r w:rsidRPr="00914DE0">
        <w:rPr>
          <w:color w:val="000000"/>
          <w:sz w:val="22"/>
          <w:szCs w:val="22"/>
        </w:rPr>
        <w:t xml:space="preserve">The importance of </w:t>
      </w:r>
      <w:r w:rsidRPr="00914DE0">
        <w:rPr>
          <w:rFonts w:eastAsia="Calibri"/>
          <w:sz w:val="22"/>
          <w:szCs w:val="22"/>
          <w:lang w:eastAsia="en-GB"/>
        </w:rPr>
        <w:t>fostering strategic communication on EU policies and support.</w:t>
      </w:r>
    </w:p>
    <w:p w:rsidR="004A0AEA" w:rsidRPr="00FF6C9A" w:rsidRDefault="004A0AEA" w:rsidP="004A0AEA">
      <w:pPr>
        <w:rPr>
          <w:lang w:val="en-GB" w:eastAsia="ko-KR"/>
        </w:rPr>
      </w:pPr>
    </w:p>
    <w:p w:rsidR="00362429" w:rsidRPr="00FF6C9A" w:rsidRDefault="00362429" w:rsidP="00362429">
      <w:pPr>
        <w:pStyle w:val="NoSpacing"/>
        <w:jc w:val="both"/>
        <w:rPr>
          <w:rFonts w:ascii="Times New Roman" w:hAnsi="Times New Roman"/>
          <w:b/>
          <w:color w:val="000000"/>
          <w:sz w:val="24"/>
          <w:szCs w:val="24"/>
        </w:rPr>
      </w:pPr>
      <w:r w:rsidRPr="00FF6C9A">
        <w:rPr>
          <w:rFonts w:ascii="Times New Roman" w:hAnsi="Times New Roman"/>
          <w:b/>
          <w:color w:val="000000"/>
          <w:sz w:val="24"/>
          <w:szCs w:val="24"/>
        </w:rPr>
        <w:t>The priority Sectors of Intervention are:</w:t>
      </w:r>
    </w:p>
    <w:p w:rsidR="00362429" w:rsidRPr="00236463" w:rsidRDefault="00362429" w:rsidP="00362429">
      <w:pPr>
        <w:pStyle w:val="NoSpacing"/>
        <w:jc w:val="both"/>
        <w:rPr>
          <w:rFonts w:ascii="Times New Roman" w:hAnsi="Times New Roman"/>
          <w:color w:val="000000"/>
          <w:sz w:val="24"/>
          <w:szCs w:val="24"/>
        </w:rPr>
      </w:pPr>
    </w:p>
    <w:p w:rsidR="00362429" w:rsidRPr="004028CA" w:rsidRDefault="00362429" w:rsidP="00362429">
      <w:pPr>
        <w:pStyle w:val="NoSpacing"/>
        <w:jc w:val="both"/>
        <w:rPr>
          <w:rFonts w:ascii="Times New Roman" w:hAnsi="Times New Roman"/>
          <w:b/>
          <w:sz w:val="24"/>
          <w:szCs w:val="24"/>
        </w:rPr>
      </w:pPr>
      <w:r w:rsidRPr="00236463">
        <w:rPr>
          <w:rFonts w:ascii="Times New Roman" w:hAnsi="Times New Roman"/>
          <w:b/>
          <w:sz w:val="24"/>
          <w:szCs w:val="24"/>
        </w:rPr>
        <w:t xml:space="preserve">Sector </w:t>
      </w:r>
      <w:r w:rsidRPr="00B440B4">
        <w:rPr>
          <w:rFonts w:ascii="Times New Roman" w:hAnsi="Times New Roman"/>
          <w:b/>
          <w:sz w:val="24"/>
        </w:rPr>
        <w:t>1</w:t>
      </w:r>
      <w:r w:rsidRPr="00236463">
        <w:rPr>
          <w:rFonts w:ascii="Times New Roman" w:hAnsi="Times New Roman"/>
          <w:b/>
          <w:sz w:val="24"/>
          <w:szCs w:val="24"/>
        </w:rPr>
        <w:t>:</w:t>
      </w:r>
      <w:r w:rsidRPr="00B440B4">
        <w:rPr>
          <w:rFonts w:ascii="Times New Roman" w:hAnsi="Times New Roman"/>
          <w:b/>
          <w:sz w:val="24"/>
        </w:rPr>
        <w:t xml:space="preserve"> Economic development and market opportunities</w:t>
      </w:r>
      <w:r w:rsidRPr="00434A3D">
        <w:rPr>
          <w:rFonts w:ascii="Times New Roman" w:hAnsi="Times New Roman"/>
          <w:b/>
          <w:sz w:val="24"/>
          <w:szCs w:val="24"/>
        </w:rPr>
        <w:t xml:space="preserve">, </w:t>
      </w:r>
      <w:r w:rsidRPr="00434A3D">
        <w:rPr>
          <w:rFonts w:ascii="Times New Roman" w:hAnsi="Times New Roman"/>
          <w:i/>
          <w:sz w:val="24"/>
          <w:szCs w:val="24"/>
        </w:rPr>
        <w:t>including</w:t>
      </w:r>
      <w:r w:rsidRPr="004028CA">
        <w:rPr>
          <w:rFonts w:ascii="Times New Roman" w:hAnsi="Times New Roman"/>
          <w:sz w:val="24"/>
          <w:szCs w:val="24"/>
        </w:rPr>
        <w:t xml:space="preserve"> s</w:t>
      </w:r>
      <w:r w:rsidR="00B16EAC" w:rsidRPr="004028CA">
        <w:rPr>
          <w:rFonts w:ascii="Times New Roman" w:hAnsi="Times New Roman"/>
          <w:sz w:val="24"/>
          <w:szCs w:val="24"/>
        </w:rPr>
        <w:t>mart, s</w:t>
      </w:r>
      <w:r w:rsidRPr="004028CA">
        <w:rPr>
          <w:rFonts w:ascii="Times New Roman" w:hAnsi="Times New Roman"/>
          <w:sz w:val="24"/>
          <w:szCs w:val="24"/>
        </w:rPr>
        <w:t>ustainable and inclusive economic growth (indicative 40% of total budget)</w:t>
      </w:r>
      <w:r w:rsidRPr="004028CA">
        <w:rPr>
          <w:rFonts w:ascii="Times New Roman" w:hAnsi="Times New Roman"/>
          <w:b/>
          <w:sz w:val="24"/>
          <w:szCs w:val="24"/>
        </w:rPr>
        <w:t xml:space="preserve"> </w:t>
      </w:r>
    </w:p>
    <w:p w:rsidR="00362429" w:rsidRPr="004028CA" w:rsidRDefault="00362429" w:rsidP="00362429">
      <w:pPr>
        <w:pStyle w:val="NoSpacing"/>
        <w:jc w:val="both"/>
        <w:rPr>
          <w:rFonts w:ascii="Times New Roman" w:hAnsi="Times New Roman"/>
          <w:b/>
          <w:sz w:val="24"/>
          <w:szCs w:val="24"/>
        </w:rPr>
      </w:pPr>
    </w:p>
    <w:p w:rsidR="00694831" w:rsidRDefault="00694831" w:rsidP="00B440B4">
      <w:pPr>
        <w:spacing w:after="120"/>
        <w:jc w:val="both"/>
        <w:rPr>
          <w:lang w:val="en-GB"/>
        </w:rPr>
      </w:pPr>
      <w:r>
        <w:rPr>
          <w:lang w:val="en-GB"/>
        </w:rPr>
        <w:t>With relative political and security stability in place over the last years and given that the revised ENP identifies stabilisation and economic resilience as key for Georgia,</w:t>
      </w:r>
      <w:r w:rsidRPr="00536399">
        <w:rPr>
          <w:lang w:val="en-GB"/>
        </w:rPr>
        <w:t xml:space="preserve"> support for </w:t>
      </w:r>
      <w:r>
        <w:rPr>
          <w:lang w:val="en-GB"/>
        </w:rPr>
        <w:t>sustainable</w:t>
      </w:r>
      <w:r w:rsidRPr="00B440B4">
        <w:rPr>
          <w:lang w:val="en-GB"/>
        </w:rPr>
        <w:t xml:space="preserve">, inclusive and </w:t>
      </w:r>
      <w:r>
        <w:rPr>
          <w:lang w:val="en-GB"/>
        </w:rPr>
        <w:t>smart</w:t>
      </w:r>
      <w:r w:rsidRPr="00B440B4">
        <w:rPr>
          <w:lang w:val="en-GB"/>
        </w:rPr>
        <w:t xml:space="preserve"> economic growth</w:t>
      </w:r>
      <w:r>
        <w:rPr>
          <w:lang w:val="en-GB"/>
        </w:rPr>
        <w:t xml:space="preserve"> has emerged as the crucial issue in Georgia. The demand to unlock private sector</w:t>
      </w:r>
      <w:r w:rsidR="00120C45" w:rsidRPr="001038E5">
        <w:rPr>
          <w:lang w:val="en-GB"/>
        </w:rPr>
        <w:t xml:space="preserve"> development</w:t>
      </w:r>
      <w:r>
        <w:rPr>
          <w:lang w:val="en-GB"/>
        </w:rPr>
        <w:t>, import substitution and exports, innovation and investment potential is reinforced by the AA and DCFTA, which have been presented with an implicit promise of promoting prosperity. Public support to the EU choice will depend in large part on success in these areas.</w:t>
      </w:r>
      <w:r w:rsidR="00B92B02">
        <w:rPr>
          <w:lang w:val="en-GB"/>
        </w:rPr>
        <w:t xml:space="preserve"> </w:t>
      </w:r>
      <w:r w:rsidR="002C2525" w:rsidRPr="001038E5">
        <w:rPr>
          <w:lang w:val="en-GB"/>
        </w:rPr>
        <w:t>Against this background, the 3rd Association Council agreed “to focus future assistance for 2017-2020 on Economic Growth, Private Sector Support and developing efficient value chains and increased competitiveness in selected sectors with high export potential and/or import substitution”.</w:t>
      </w:r>
    </w:p>
    <w:p w:rsidR="0024494E" w:rsidRPr="001038E5" w:rsidRDefault="007D3B17" w:rsidP="00B92B02">
      <w:pPr>
        <w:spacing w:after="120"/>
        <w:jc w:val="both"/>
        <w:rPr>
          <w:lang w:val="en-GB" w:eastAsia="en-GB"/>
        </w:rPr>
      </w:pPr>
      <w:r w:rsidRPr="001038E5">
        <w:rPr>
          <w:lang w:val="en-GB"/>
        </w:rPr>
        <w:t>Further structural economic reform</w:t>
      </w:r>
      <w:r w:rsidR="00B92B02">
        <w:rPr>
          <w:lang w:val="en-GB"/>
        </w:rPr>
        <w:t>s</w:t>
      </w:r>
      <w:r w:rsidRPr="001038E5">
        <w:rPr>
          <w:lang w:val="en-GB"/>
        </w:rPr>
        <w:t xml:space="preserve"> </w:t>
      </w:r>
      <w:r w:rsidR="00B92B02">
        <w:rPr>
          <w:lang w:val="en-GB"/>
        </w:rPr>
        <w:t>are</w:t>
      </w:r>
      <w:r w:rsidRPr="001038E5">
        <w:rPr>
          <w:lang w:val="en-GB"/>
        </w:rPr>
        <w:t xml:space="preserve"> needed to maximise the benefits of the DCFTA. </w:t>
      </w:r>
      <w:r w:rsidR="004E35D1" w:rsidRPr="001038E5">
        <w:rPr>
          <w:lang w:val="en-GB"/>
        </w:rPr>
        <w:t>EU support needs to focus</w:t>
      </w:r>
      <w:r w:rsidR="00CE419E" w:rsidRPr="001038E5">
        <w:rPr>
          <w:lang w:val="en-GB"/>
        </w:rPr>
        <w:t xml:space="preserve"> on</w:t>
      </w:r>
      <w:r w:rsidR="004E35D1" w:rsidRPr="001038E5">
        <w:rPr>
          <w:lang w:val="en-GB"/>
        </w:rPr>
        <w:t xml:space="preserve"> improv</w:t>
      </w:r>
      <w:r w:rsidRPr="001038E5">
        <w:rPr>
          <w:lang w:val="en-GB"/>
        </w:rPr>
        <w:t>ing</w:t>
      </w:r>
      <w:r w:rsidR="004E35D1" w:rsidRPr="001038E5">
        <w:rPr>
          <w:lang w:val="en-GB"/>
        </w:rPr>
        <w:t xml:space="preserve"> technical/entrepreneurial skills, creat</w:t>
      </w:r>
      <w:r w:rsidRPr="001038E5">
        <w:rPr>
          <w:lang w:val="en-GB"/>
        </w:rPr>
        <w:t>ing</w:t>
      </w:r>
      <w:r w:rsidR="004E35D1" w:rsidRPr="001038E5">
        <w:rPr>
          <w:lang w:val="en-GB"/>
        </w:rPr>
        <w:t xml:space="preserve"> clustering/value chain opportunities, foster</w:t>
      </w:r>
      <w:r w:rsidRPr="001038E5">
        <w:rPr>
          <w:lang w:val="en-GB"/>
        </w:rPr>
        <w:t>ing</w:t>
      </w:r>
      <w:r w:rsidR="004E35D1" w:rsidRPr="001038E5">
        <w:rPr>
          <w:lang w:val="en-GB"/>
        </w:rPr>
        <w:t xml:space="preserve"> technology, research and innovation, </w:t>
      </w:r>
      <w:r w:rsidRPr="001038E5">
        <w:rPr>
          <w:lang w:val="en-GB"/>
        </w:rPr>
        <w:t>broadening</w:t>
      </w:r>
      <w:r w:rsidR="004E35D1" w:rsidRPr="001038E5">
        <w:rPr>
          <w:lang w:val="en-GB"/>
        </w:rPr>
        <w:t xml:space="preserve"> access to finance and insurance</w:t>
      </w:r>
      <w:r w:rsidR="00347D26">
        <w:rPr>
          <w:lang w:val="en-GB"/>
        </w:rPr>
        <w:t xml:space="preserve"> services</w:t>
      </w:r>
      <w:r w:rsidR="008B468C">
        <w:rPr>
          <w:lang w:val="en-GB"/>
        </w:rPr>
        <w:t>.</w:t>
      </w:r>
      <w:r w:rsidR="004E35D1" w:rsidRPr="001038E5">
        <w:rPr>
          <w:lang w:val="en-GB"/>
        </w:rPr>
        <w:t xml:space="preserve"> In addition</w:t>
      </w:r>
      <w:r w:rsidR="00B92B02" w:rsidRPr="001038E5">
        <w:rPr>
          <w:lang w:val="en-GB"/>
        </w:rPr>
        <w:t>, update</w:t>
      </w:r>
      <w:r w:rsidR="004E35D1" w:rsidRPr="001038E5">
        <w:rPr>
          <w:lang w:val="en-GB"/>
        </w:rPr>
        <w:t xml:space="preserve"> sanitary, technical and quality levels </w:t>
      </w:r>
      <w:r w:rsidR="00347D26">
        <w:rPr>
          <w:lang w:val="en-GB"/>
        </w:rPr>
        <w:t xml:space="preserve">and adapt standards and regulations </w:t>
      </w:r>
      <w:r w:rsidR="004E35D1" w:rsidRPr="001038E5">
        <w:rPr>
          <w:lang w:val="en-GB"/>
        </w:rPr>
        <w:t xml:space="preserve">to allow producers to really boost exports. </w:t>
      </w:r>
    </w:p>
    <w:p w:rsidR="00362429" w:rsidRPr="004028CA" w:rsidRDefault="00362429" w:rsidP="00362429">
      <w:pPr>
        <w:pStyle w:val="NoSpacing"/>
        <w:jc w:val="both"/>
        <w:rPr>
          <w:rFonts w:ascii="Times New Roman" w:hAnsi="Times New Roman"/>
          <w:b/>
          <w:sz w:val="24"/>
          <w:szCs w:val="24"/>
        </w:rPr>
      </w:pPr>
      <w:r w:rsidRPr="00FF6C9A">
        <w:rPr>
          <w:rFonts w:ascii="Times New Roman" w:hAnsi="Times New Roman"/>
          <w:b/>
          <w:sz w:val="24"/>
          <w:szCs w:val="24"/>
        </w:rPr>
        <w:t xml:space="preserve">Sector </w:t>
      </w:r>
      <w:r w:rsidRPr="00B440B4">
        <w:rPr>
          <w:rFonts w:ascii="Times New Roman" w:hAnsi="Times New Roman"/>
          <w:b/>
          <w:sz w:val="24"/>
        </w:rPr>
        <w:t>2</w:t>
      </w:r>
      <w:r w:rsidRPr="00FF6C9A">
        <w:rPr>
          <w:rFonts w:ascii="Times New Roman" w:hAnsi="Times New Roman"/>
          <w:b/>
          <w:sz w:val="24"/>
          <w:szCs w:val="24"/>
        </w:rPr>
        <w:t>:</w:t>
      </w:r>
      <w:r w:rsidRPr="00B440B4">
        <w:rPr>
          <w:rFonts w:ascii="Times New Roman" w:hAnsi="Times New Roman"/>
          <w:b/>
          <w:sz w:val="24"/>
        </w:rPr>
        <w:t xml:space="preserve"> Strengthening institutions and good governance, </w:t>
      </w:r>
      <w:r w:rsidRPr="00B440B4">
        <w:rPr>
          <w:rFonts w:ascii="Times New Roman" w:hAnsi="Times New Roman"/>
          <w:i/>
          <w:sz w:val="24"/>
        </w:rPr>
        <w:t>including</w:t>
      </w:r>
      <w:r w:rsidRPr="00B440B4">
        <w:rPr>
          <w:rFonts w:ascii="Times New Roman" w:hAnsi="Times New Roman"/>
          <w:sz w:val="24"/>
        </w:rPr>
        <w:t xml:space="preserve"> the Rule of Law and </w:t>
      </w:r>
      <w:r w:rsidR="00B16EAC" w:rsidRPr="00236463">
        <w:rPr>
          <w:rFonts w:ascii="Times New Roman" w:hAnsi="Times New Roman"/>
          <w:sz w:val="24"/>
          <w:szCs w:val="24"/>
        </w:rPr>
        <w:t xml:space="preserve">addressing </w:t>
      </w:r>
      <w:r w:rsidRPr="00B440B4">
        <w:rPr>
          <w:rFonts w:ascii="Times New Roman" w:hAnsi="Times New Roman"/>
          <w:sz w:val="24"/>
        </w:rPr>
        <w:t>Security</w:t>
      </w:r>
      <w:r w:rsidRPr="00434A3D">
        <w:rPr>
          <w:rFonts w:ascii="Times New Roman" w:hAnsi="Times New Roman"/>
          <w:sz w:val="24"/>
          <w:szCs w:val="24"/>
        </w:rPr>
        <w:t xml:space="preserve"> (indicative 20% of total budget) </w:t>
      </w:r>
    </w:p>
    <w:p w:rsidR="00362429" w:rsidRPr="004028CA" w:rsidRDefault="00362429" w:rsidP="00362429">
      <w:pPr>
        <w:pStyle w:val="NoSpacing"/>
        <w:jc w:val="both"/>
        <w:rPr>
          <w:rFonts w:ascii="Times New Roman" w:hAnsi="Times New Roman"/>
          <w:b/>
          <w:sz w:val="24"/>
          <w:szCs w:val="24"/>
        </w:rPr>
      </w:pPr>
    </w:p>
    <w:p w:rsidR="001B79C9" w:rsidRDefault="00694831" w:rsidP="001B79C9">
      <w:pPr>
        <w:spacing w:after="120"/>
        <w:jc w:val="both"/>
        <w:rPr>
          <w:lang w:val="en-GB"/>
        </w:rPr>
      </w:pPr>
      <w:r>
        <w:rPr>
          <w:lang w:val="en-GB"/>
        </w:rPr>
        <w:t xml:space="preserve">An </w:t>
      </w:r>
      <w:r w:rsidRPr="001B79C9">
        <w:rPr>
          <w:lang w:val="en-GB"/>
        </w:rPr>
        <w:t>effective state</w:t>
      </w:r>
      <w:r>
        <w:rPr>
          <w:lang w:val="en-GB"/>
        </w:rPr>
        <w:t xml:space="preserve"> and justice apparatus is crucial not only to fulfil Georgia's reform aspirations and to effectively implement the EU-Georgia Agreements, but also to gain citizen and investor confidence.  Reforms need to be consolidated to entrench the Rule of Law. Georgia is a pilot country as part of the EU strategy for Security Sector Reform. Finally, the EU needs to continue work to deepen and entrench democracy in Georgia. The EU will also </w:t>
      </w:r>
      <w:r w:rsidR="001B79C9">
        <w:rPr>
          <w:lang w:val="en-GB"/>
        </w:rPr>
        <w:t>finance under this sector all actions to increase security</w:t>
      </w:r>
      <w:r w:rsidR="001B79C9" w:rsidRPr="00FB5330">
        <w:rPr>
          <w:lang w:val="en-GB"/>
        </w:rPr>
        <w:t xml:space="preserve"> </w:t>
      </w:r>
      <w:r w:rsidR="001B79C9">
        <w:rPr>
          <w:lang w:val="en-GB"/>
        </w:rPr>
        <w:t>and</w:t>
      </w:r>
      <w:r w:rsidR="001B79C9" w:rsidRPr="00FB5330">
        <w:rPr>
          <w:lang w:val="en-GB"/>
        </w:rPr>
        <w:t xml:space="preserve"> </w:t>
      </w:r>
      <w:r>
        <w:rPr>
          <w:lang w:val="en-GB"/>
        </w:rPr>
        <w:t>step up its engagement and non-recognition policy towards the breakaway regions</w:t>
      </w:r>
      <w:r w:rsidR="001C2276">
        <w:rPr>
          <w:lang w:val="en-GB"/>
        </w:rPr>
        <w:t xml:space="preserve"> and improve confidence building</w:t>
      </w:r>
      <w:r w:rsidR="001B79C9" w:rsidRPr="001038E5">
        <w:rPr>
          <w:lang w:val="en-GB"/>
        </w:rPr>
        <w:t>.</w:t>
      </w:r>
    </w:p>
    <w:p w:rsidR="00362429" w:rsidRPr="00236463" w:rsidRDefault="00362429" w:rsidP="00362429">
      <w:pPr>
        <w:pStyle w:val="NoSpacing"/>
        <w:jc w:val="both"/>
        <w:rPr>
          <w:rFonts w:ascii="Times New Roman" w:hAnsi="Times New Roman"/>
          <w:b/>
          <w:sz w:val="24"/>
          <w:szCs w:val="24"/>
        </w:rPr>
      </w:pPr>
      <w:r w:rsidRPr="00FF6C9A">
        <w:rPr>
          <w:rFonts w:ascii="Times New Roman" w:hAnsi="Times New Roman"/>
          <w:b/>
          <w:sz w:val="24"/>
          <w:szCs w:val="24"/>
        </w:rPr>
        <w:t xml:space="preserve">Sector 3: Connectivity, energy efficiency, environment and climate change </w:t>
      </w:r>
      <w:r w:rsidRPr="00FF6C9A">
        <w:rPr>
          <w:rFonts w:ascii="Times New Roman" w:hAnsi="Times New Roman"/>
          <w:sz w:val="24"/>
          <w:szCs w:val="24"/>
        </w:rPr>
        <w:t>(indicative 15</w:t>
      </w:r>
      <w:r w:rsidRPr="00236463">
        <w:rPr>
          <w:rFonts w:ascii="Times New Roman" w:hAnsi="Times New Roman"/>
          <w:sz w:val="24"/>
          <w:szCs w:val="24"/>
        </w:rPr>
        <w:t>% of total budget)</w:t>
      </w:r>
    </w:p>
    <w:p w:rsidR="00362429" w:rsidRPr="00434A3D" w:rsidRDefault="00362429" w:rsidP="00362429">
      <w:pPr>
        <w:pStyle w:val="NoSpacing"/>
        <w:jc w:val="both"/>
        <w:rPr>
          <w:rFonts w:ascii="Times New Roman" w:hAnsi="Times New Roman"/>
          <w:b/>
          <w:sz w:val="24"/>
          <w:szCs w:val="24"/>
        </w:rPr>
      </w:pPr>
    </w:p>
    <w:p w:rsidR="00A3654A" w:rsidRDefault="00A3654A" w:rsidP="004556CF">
      <w:pPr>
        <w:spacing w:after="120"/>
        <w:jc w:val="both"/>
        <w:rPr>
          <w:lang w:val="en-GB"/>
        </w:rPr>
      </w:pPr>
      <w:r>
        <w:rPr>
          <w:lang w:val="en-GB"/>
        </w:rPr>
        <w:t>Increasing energy independence is a geostrategic necessity</w:t>
      </w:r>
      <w:r w:rsidR="001C2276">
        <w:rPr>
          <w:lang w:val="en-GB"/>
        </w:rPr>
        <w:t>. S</w:t>
      </w:r>
      <w:r w:rsidR="001B79C9">
        <w:rPr>
          <w:lang w:val="en-GB"/>
        </w:rPr>
        <w:t>ustainable</w:t>
      </w:r>
      <w:r w:rsidR="00694831">
        <w:rPr>
          <w:lang w:val="en-GB"/>
        </w:rPr>
        <w:t xml:space="preserve"> management of natural resources (including use of energy and energy efficiency), sustainable production and consumption, environmental resilience</w:t>
      </w:r>
      <w:r>
        <w:rPr>
          <w:lang w:val="en-GB"/>
        </w:rPr>
        <w:t xml:space="preserve">, </w:t>
      </w:r>
      <w:r w:rsidR="008B5B7D">
        <w:rPr>
          <w:lang w:val="en-GB"/>
        </w:rPr>
        <w:t>renewables (</w:t>
      </w:r>
      <w:r w:rsidRPr="001038E5">
        <w:rPr>
          <w:lang w:val="en-GB"/>
        </w:rPr>
        <w:t>hydro resources, wind, solar, geothermal and biomass</w:t>
      </w:r>
      <w:r>
        <w:rPr>
          <w:lang w:val="en-GB"/>
        </w:rPr>
        <w:t xml:space="preserve">…) </w:t>
      </w:r>
      <w:r w:rsidR="00694831">
        <w:rPr>
          <w:lang w:val="en-GB"/>
        </w:rPr>
        <w:t xml:space="preserve">and </w:t>
      </w:r>
      <w:r w:rsidR="00694831">
        <w:rPr>
          <w:lang w:val="en-GB"/>
        </w:rPr>
        <w:lastRenderedPageBreak/>
        <w:t>circular economy are underdeveloped in Georgia. Implementation of the commitments stemming from the Association Agreement, the Energy Community Treaty (including the "Energy Efficiency" and "Renewable Energy" Action Plans) and the Paris Agreement on Climate Change will also be supported.</w:t>
      </w:r>
    </w:p>
    <w:p w:rsidR="00347D26" w:rsidRPr="001038E5" w:rsidRDefault="00347D26" w:rsidP="004556CF">
      <w:pPr>
        <w:spacing w:after="120"/>
        <w:jc w:val="both"/>
        <w:rPr>
          <w:lang w:val="en-GB"/>
        </w:rPr>
      </w:pPr>
      <w:r w:rsidRPr="00347D26">
        <w:rPr>
          <w:lang w:val="en-GB"/>
        </w:rPr>
        <w:t xml:space="preserve">In parallel, transport and ICT infrastructure need to be further developed in the country. Huge and well-chosen investments are needed, proactive coordination and synergies with IFIs are essential. </w:t>
      </w:r>
    </w:p>
    <w:p w:rsidR="00362429" w:rsidRPr="00236463" w:rsidRDefault="00362429" w:rsidP="00362429">
      <w:pPr>
        <w:pStyle w:val="NoSpacing"/>
        <w:jc w:val="both"/>
        <w:rPr>
          <w:rFonts w:ascii="Times New Roman" w:hAnsi="Times New Roman"/>
          <w:sz w:val="24"/>
          <w:szCs w:val="24"/>
        </w:rPr>
      </w:pPr>
      <w:r w:rsidRPr="00FF6C9A">
        <w:rPr>
          <w:rFonts w:ascii="Times New Roman" w:hAnsi="Times New Roman"/>
          <w:b/>
          <w:sz w:val="24"/>
          <w:szCs w:val="24"/>
        </w:rPr>
        <w:t>Sector 4: Mobility and people-to-people contacts,</w:t>
      </w:r>
      <w:r w:rsidRPr="00FF6C9A">
        <w:rPr>
          <w:rFonts w:ascii="Times New Roman" w:hAnsi="Times New Roman"/>
          <w:b/>
          <w:i/>
          <w:sz w:val="24"/>
          <w:szCs w:val="24"/>
        </w:rPr>
        <w:t xml:space="preserve"> </w:t>
      </w:r>
      <w:r w:rsidRPr="00236463">
        <w:rPr>
          <w:rFonts w:ascii="Times New Roman" w:hAnsi="Times New Roman"/>
          <w:i/>
          <w:sz w:val="24"/>
          <w:szCs w:val="24"/>
        </w:rPr>
        <w:t>including</w:t>
      </w:r>
      <w:r w:rsidRPr="00236463">
        <w:rPr>
          <w:rFonts w:ascii="Times New Roman" w:hAnsi="Times New Roman"/>
          <w:sz w:val="24"/>
          <w:szCs w:val="24"/>
        </w:rPr>
        <w:t xml:space="preserve"> support to the implementation of the visa liberalisation action plan and to education, training and research (indicative 10% of total budget)</w:t>
      </w:r>
    </w:p>
    <w:p w:rsidR="00362429" w:rsidRPr="00434A3D" w:rsidRDefault="00362429" w:rsidP="00362429">
      <w:pPr>
        <w:pStyle w:val="NoSpacing"/>
        <w:jc w:val="both"/>
        <w:rPr>
          <w:rFonts w:ascii="Times New Roman" w:hAnsi="Times New Roman"/>
          <w:sz w:val="24"/>
          <w:szCs w:val="24"/>
        </w:rPr>
      </w:pPr>
    </w:p>
    <w:p w:rsidR="00694831" w:rsidRDefault="00694831" w:rsidP="00694831">
      <w:pPr>
        <w:spacing w:after="120"/>
        <w:jc w:val="both"/>
        <w:rPr>
          <w:lang w:val="en-GB"/>
        </w:rPr>
      </w:pPr>
      <w:r>
        <w:rPr>
          <w:lang w:val="en-GB"/>
        </w:rPr>
        <w:t xml:space="preserve">Georgia has made the reform of its education system one of its central government priorities for the coming years and indeed support will be needed to establish a greater link between the education system, the labour market and the economy. In addition, support will be provided to the </w:t>
      </w:r>
      <w:r w:rsidRPr="00752D4E">
        <w:rPr>
          <w:color w:val="000000"/>
          <w:lang w:val="en-GB"/>
        </w:rPr>
        <w:t xml:space="preserve">EU-Georgia Mobility Partnership and the sustained implementation of all benchmarks of the Visa Liberalisation Action Plan including on fight against </w:t>
      </w:r>
      <w:r w:rsidRPr="008B5B7D">
        <w:rPr>
          <w:color w:val="000000"/>
          <w:lang w:val="en-GB"/>
        </w:rPr>
        <w:t xml:space="preserve">organised crime (complementing the priorities under the second sector). </w:t>
      </w:r>
      <w:r w:rsidR="001B4015">
        <w:rPr>
          <w:lang w:val="en-GB"/>
        </w:rPr>
        <w:t>To the same end, w</w:t>
      </w:r>
      <w:r w:rsidR="001A40D2" w:rsidRPr="001038E5">
        <w:rPr>
          <w:lang w:val="en-GB"/>
        </w:rPr>
        <w:t xml:space="preserve">ork needs to continue on all migration and related </w:t>
      </w:r>
      <w:r w:rsidR="001B4015" w:rsidRPr="001038E5">
        <w:rPr>
          <w:lang w:val="en-GB"/>
        </w:rPr>
        <w:t xml:space="preserve">security </w:t>
      </w:r>
      <w:r w:rsidR="001A40D2" w:rsidRPr="001038E5">
        <w:rPr>
          <w:lang w:val="en-GB"/>
        </w:rPr>
        <w:t>aspects, including on regulating legal and preventing illegal migration, on reintegration of returned Georgians and on prevention of Trafficking in Human Beings</w:t>
      </w:r>
    </w:p>
    <w:p w:rsidR="00362429" w:rsidRPr="000E4EEA" w:rsidRDefault="00362429" w:rsidP="00362429">
      <w:pPr>
        <w:pStyle w:val="NormalWeb"/>
        <w:spacing w:before="0" w:beforeAutospacing="0" w:after="0" w:afterAutospacing="0"/>
        <w:jc w:val="both"/>
        <w:rPr>
          <w:color w:val="FF0000"/>
          <w:lang w:val="en-GB"/>
        </w:rPr>
      </w:pPr>
      <w:r w:rsidRPr="00FF6C9A">
        <w:rPr>
          <w:lang w:val="en-GB"/>
        </w:rPr>
        <w:t>Cross cutting issues</w:t>
      </w:r>
      <w:r w:rsidR="00536399">
        <w:rPr>
          <w:lang w:val="en-GB"/>
        </w:rPr>
        <w:t>,</w:t>
      </w:r>
      <w:r w:rsidRPr="00FF6C9A">
        <w:rPr>
          <w:lang w:val="en-GB"/>
        </w:rPr>
        <w:t xml:space="preserve"> notably </w:t>
      </w:r>
      <w:r w:rsidRPr="00FF6C9A">
        <w:rPr>
          <w:b/>
          <w:lang w:val="en-GB"/>
        </w:rPr>
        <w:t xml:space="preserve">environmental protection and climate change, gender and human rights </w:t>
      </w:r>
      <w:r w:rsidR="00536399">
        <w:rPr>
          <w:b/>
          <w:lang w:val="en-GB"/>
        </w:rPr>
        <w:t xml:space="preserve">or digital </w:t>
      </w:r>
      <w:r w:rsidRPr="00236463">
        <w:rPr>
          <w:lang w:val="en-GB"/>
        </w:rPr>
        <w:t>will be mainstreamed in the priority sectors. Complementary support may also be provided, in order to implement priority commitments that are not already covered.</w:t>
      </w:r>
    </w:p>
    <w:p w:rsidR="00B16EAC" w:rsidRPr="00FF6C9A" w:rsidRDefault="00747451" w:rsidP="00B16EAC">
      <w:pPr>
        <w:pStyle w:val="NoSpacing"/>
        <w:jc w:val="both"/>
        <w:rPr>
          <w:rFonts w:ascii="Times New Roman" w:hAnsi="Times New Roman"/>
          <w:sz w:val="24"/>
          <w:szCs w:val="24"/>
        </w:rPr>
      </w:pPr>
      <w:r>
        <w:rPr>
          <w:rFonts w:ascii="Times New Roman" w:hAnsi="Times New Roman"/>
          <w:sz w:val="24"/>
          <w:szCs w:val="24"/>
        </w:rPr>
        <w:t xml:space="preserve">         </w:t>
      </w:r>
    </w:p>
    <w:p w:rsidR="008B5B7D" w:rsidRPr="001038E5" w:rsidRDefault="00B16EAC" w:rsidP="000E4EEA">
      <w:pPr>
        <w:spacing w:after="120"/>
        <w:jc w:val="both"/>
        <w:rPr>
          <w:lang w:val="en-GB"/>
        </w:rPr>
      </w:pPr>
      <w:r w:rsidRPr="004028CA">
        <w:rPr>
          <w:color w:val="000000"/>
          <w:lang w:val="en-GB"/>
        </w:rPr>
        <w:t xml:space="preserve">The priority areas of intervention for regional cooperation which are of particular importance for </w:t>
      </w:r>
      <w:r w:rsidR="00D4182C" w:rsidRPr="004028CA">
        <w:rPr>
          <w:color w:val="000000"/>
          <w:lang w:val="en-GB"/>
        </w:rPr>
        <w:t>Georgia</w:t>
      </w:r>
      <w:r w:rsidRPr="004028CA">
        <w:rPr>
          <w:color w:val="000000"/>
          <w:lang w:val="en-GB"/>
        </w:rPr>
        <w:t xml:space="preserve"> include </w:t>
      </w:r>
      <w:r w:rsidRPr="00B440B4">
        <w:rPr>
          <w:color w:val="000000"/>
          <w:lang w:val="en-GB"/>
        </w:rPr>
        <w:t xml:space="preserve">connectivity in the areas of energy and transport, </w:t>
      </w:r>
      <w:r w:rsidR="00D4182C" w:rsidRPr="00B440B4">
        <w:rPr>
          <w:color w:val="000000"/>
          <w:lang w:val="en-GB"/>
        </w:rPr>
        <w:t xml:space="preserve">climate change and </w:t>
      </w:r>
      <w:r w:rsidRPr="00B440B4">
        <w:rPr>
          <w:color w:val="000000"/>
          <w:lang w:val="en-GB"/>
        </w:rPr>
        <w:t>environment, EU4Business initiative,</w:t>
      </w:r>
      <w:r w:rsidR="00D4182C" w:rsidRPr="00B440B4">
        <w:rPr>
          <w:color w:val="000000"/>
          <w:lang w:val="en-GB"/>
        </w:rPr>
        <w:t xml:space="preserve"> EU4 Digital initiative, </w:t>
      </w:r>
      <w:r w:rsidR="00747451" w:rsidRPr="00B440B4">
        <w:rPr>
          <w:color w:val="000000"/>
          <w:lang w:val="en-GB"/>
        </w:rPr>
        <w:t>EU4Youth and</w:t>
      </w:r>
      <w:r w:rsidR="00536399">
        <w:rPr>
          <w:color w:val="000000"/>
          <w:lang w:val="en-GB"/>
        </w:rPr>
        <w:t xml:space="preserve"> </w:t>
      </w:r>
      <w:r w:rsidRPr="00B440B4">
        <w:rPr>
          <w:color w:val="000000"/>
          <w:lang w:val="en-GB"/>
        </w:rPr>
        <w:t>Erasmus+</w:t>
      </w:r>
      <w:r w:rsidR="00747451" w:rsidRPr="004028CA">
        <w:rPr>
          <w:color w:val="000000"/>
          <w:lang w:val="en-GB"/>
        </w:rPr>
        <w:t>.</w:t>
      </w:r>
      <w:r w:rsidR="00B92B02" w:rsidRPr="000E4EEA">
        <w:rPr>
          <w:color w:val="000000"/>
          <w:lang w:val="en-GB"/>
        </w:rPr>
        <w:t xml:space="preserve"> </w:t>
      </w:r>
      <w:r w:rsidR="000E4EEA">
        <w:rPr>
          <w:color w:val="000000"/>
          <w:lang w:val="en-GB"/>
        </w:rPr>
        <w:t>T</w:t>
      </w:r>
      <w:r w:rsidR="008B5B7D" w:rsidRPr="001038E5">
        <w:rPr>
          <w:lang w:val="en-GB" w:eastAsia="en-GB"/>
        </w:rPr>
        <w:t xml:space="preserve">he EU’s </w:t>
      </w:r>
      <w:r w:rsidR="008B5B7D" w:rsidRPr="001038E5">
        <w:rPr>
          <w:b/>
          <w:lang w:val="en-GB" w:eastAsia="en-GB"/>
        </w:rPr>
        <w:t>multi-country, regional ENI programmes</w:t>
      </w:r>
      <w:r w:rsidR="008B5B7D" w:rsidRPr="001038E5">
        <w:rPr>
          <w:bCs/>
          <w:lang w:val="en-GB"/>
        </w:rPr>
        <w:t xml:space="preserve"> in line with the TEN-T network, energy and climate change and the environment and the Neighbourhood Investment Facility. </w:t>
      </w:r>
    </w:p>
    <w:p w:rsidR="00B16EAC" w:rsidRPr="000E4EEA" w:rsidRDefault="00B16EAC" w:rsidP="00B16EAC">
      <w:pPr>
        <w:widowControl w:val="0"/>
        <w:autoSpaceDE w:val="0"/>
        <w:autoSpaceDN w:val="0"/>
        <w:adjustRightInd w:val="0"/>
        <w:jc w:val="both"/>
        <w:rPr>
          <w:color w:val="000000"/>
          <w:lang w:val="en-US"/>
        </w:rPr>
      </w:pPr>
    </w:p>
    <w:p w:rsidR="00536399" w:rsidRDefault="006E2177" w:rsidP="00536399">
      <w:pPr>
        <w:pStyle w:val="ListBullet"/>
        <w:numPr>
          <w:ilvl w:val="0"/>
          <w:numId w:val="0"/>
        </w:numPr>
        <w:tabs>
          <w:tab w:val="left" w:pos="720"/>
        </w:tabs>
        <w:spacing w:after="120"/>
        <w:ind w:right="141"/>
      </w:pPr>
      <w:r w:rsidRPr="004028CA">
        <w:t xml:space="preserve">One or two </w:t>
      </w:r>
      <w:r w:rsidRPr="004028CA">
        <w:rPr>
          <w:b/>
        </w:rPr>
        <w:t>pilot regions</w:t>
      </w:r>
      <w:r w:rsidRPr="00FF6C9A">
        <w:rPr>
          <w:rStyle w:val="FootnoteReference"/>
          <w:b/>
        </w:rPr>
        <w:footnoteReference w:id="6"/>
      </w:r>
      <w:r w:rsidRPr="00FF6C9A">
        <w:t xml:space="preserve"> will be identified which will systematically feature among beneficiaries of sector programmes</w:t>
      </w:r>
      <w:r w:rsidR="00FF6C9A">
        <w:t xml:space="preserve"> (for all sectors below mentioned)</w:t>
      </w:r>
      <w:r w:rsidRPr="00FF6C9A">
        <w:t xml:space="preserve">. </w:t>
      </w:r>
      <w:r w:rsidR="00536399" w:rsidRPr="00FF6C9A">
        <w:t xml:space="preserve">This will boost aid effectiveness, develop beneficiary capacity for coordination, and enhance visibility. </w:t>
      </w:r>
    </w:p>
    <w:p w:rsidR="00F91BD4" w:rsidRPr="004028CA" w:rsidRDefault="00F91BD4" w:rsidP="00F91BD4">
      <w:pPr>
        <w:spacing w:after="120"/>
        <w:jc w:val="both"/>
        <w:rPr>
          <w:lang w:val="en-GB"/>
        </w:rPr>
      </w:pPr>
      <w:r w:rsidRPr="004028CA">
        <w:rPr>
          <w:lang w:val="en-GB"/>
        </w:rPr>
        <w:t xml:space="preserve">Both </w:t>
      </w:r>
      <w:r w:rsidRPr="004028CA">
        <w:rPr>
          <w:b/>
          <w:lang w:val="en-GB"/>
        </w:rPr>
        <w:t xml:space="preserve">Security </w:t>
      </w:r>
      <w:r w:rsidR="00434A3D" w:rsidRPr="00B440B4">
        <w:rPr>
          <w:lang w:val="en-GB"/>
        </w:rPr>
        <w:t>(</w:t>
      </w:r>
      <w:r w:rsidRPr="004028CA">
        <w:rPr>
          <w:lang w:val="en-GB"/>
        </w:rPr>
        <w:t>which is an overarching matter of attention in Georgia in a variety of areas but is specifically addressed within priority 3.2</w:t>
      </w:r>
      <w:r w:rsidR="0093590E">
        <w:rPr>
          <w:lang w:val="en-GB"/>
        </w:rPr>
        <w:t>,</w:t>
      </w:r>
      <w:r w:rsidRPr="004028CA">
        <w:rPr>
          <w:lang w:val="en-GB"/>
        </w:rPr>
        <w:t xml:space="preserve"> and </w:t>
      </w:r>
      <w:r w:rsidRPr="004028CA">
        <w:rPr>
          <w:b/>
          <w:lang w:val="en-GB"/>
        </w:rPr>
        <w:t>Strategic communication</w:t>
      </w:r>
      <w:r w:rsidR="0093590E" w:rsidRPr="002C2E4E">
        <w:rPr>
          <w:lang w:val="en-GB"/>
        </w:rPr>
        <w:t xml:space="preserve">, </w:t>
      </w:r>
      <w:r w:rsidR="00434A3D" w:rsidRPr="00B440B4">
        <w:rPr>
          <w:lang w:val="en-GB"/>
        </w:rPr>
        <w:t>w</w:t>
      </w:r>
      <w:r w:rsidRPr="004028CA">
        <w:rPr>
          <w:lang w:val="en-GB"/>
        </w:rPr>
        <w:t>hich will constitute an integral part of the EU response but is addressed</w:t>
      </w:r>
      <w:r w:rsidR="00434A3D" w:rsidRPr="004028CA">
        <w:rPr>
          <w:lang w:val="en-GB"/>
        </w:rPr>
        <w:t xml:space="preserve"> within a specific 5% envelope </w:t>
      </w:r>
      <w:r w:rsidR="007A5C30">
        <w:rPr>
          <w:lang w:val="en-GB"/>
        </w:rPr>
        <w:t>(</w:t>
      </w:r>
      <w:r w:rsidRPr="004028CA">
        <w:rPr>
          <w:lang w:val="en-GB"/>
        </w:rPr>
        <w:t xml:space="preserve">section 6. below), have dedicated funds earmarked in the present document. They remain crosscutting concerns, and related actions should be included in all EU projects, but they will be exclusively financed through their own envelopes. </w:t>
      </w:r>
    </w:p>
    <w:p w:rsidR="00783851" w:rsidRPr="000E4EEA" w:rsidRDefault="00783851" w:rsidP="004556CF">
      <w:pPr>
        <w:pStyle w:val="Heading1"/>
        <w:numPr>
          <w:ilvl w:val="0"/>
          <w:numId w:val="0"/>
        </w:numPr>
        <w:spacing w:after="120"/>
        <w:ind w:left="432" w:hanging="432"/>
        <w:rPr>
          <w:rFonts w:ascii="Times New Roman" w:hAnsi="Times New Roman"/>
          <w:sz w:val="28"/>
          <w:lang w:val="fr-BE"/>
        </w:rPr>
      </w:pPr>
      <w:bookmarkStart w:id="2" w:name="_Toc457552999"/>
      <w:r w:rsidRPr="000E4EEA">
        <w:rPr>
          <w:rFonts w:ascii="Times New Roman" w:hAnsi="Times New Roman"/>
          <w:sz w:val="28"/>
          <w:lang w:val="fr-BE"/>
        </w:rPr>
        <w:t>2.</w:t>
      </w:r>
      <w:r w:rsidRPr="000E4EEA">
        <w:rPr>
          <w:rFonts w:ascii="Times New Roman" w:hAnsi="Times New Roman"/>
          <w:sz w:val="28"/>
          <w:lang w:val="fr-BE"/>
        </w:rPr>
        <w:tab/>
        <w:t xml:space="preserve">Financial overview </w:t>
      </w:r>
      <w:bookmarkEnd w:id="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2269"/>
        <w:gridCol w:w="1384"/>
      </w:tblGrid>
      <w:tr w:rsidR="00B440B4" w:rsidRPr="00B440B4" w:rsidTr="00B440B4">
        <w:trPr>
          <w:trHeight w:val="607"/>
        </w:trPr>
        <w:tc>
          <w:tcPr>
            <w:tcW w:w="3147" w:type="pct"/>
          </w:tcPr>
          <w:p w:rsidR="00976EFA" w:rsidRPr="00536399" w:rsidRDefault="00976EFA" w:rsidP="00976EFA">
            <w:pPr>
              <w:spacing w:after="120"/>
              <w:rPr>
                <w:b/>
                <w:i/>
                <w:sz w:val="22"/>
                <w:lang w:val="en-GB"/>
              </w:rPr>
            </w:pPr>
          </w:p>
        </w:tc>
        <w:tc>
          <w:tcPr>
            <w:tcW w:w="1151" w:type="pct"/>
          </w:tcPr>
          <w:p w:rsidR="00976EFA" w:rsidRPr="00536399" w:rsidRDefault="00976EFA" w:rsidP="00B8558D">
            <w:pPr>
              <w:jc w:val="center"/>
              <w:rPr>
                <w:b/>
                <w:sz w:val="22"/>
                <w:lang w:val="en-GB"/>
              </w:rPr>
            </w:pPr>
            <w:r w:rsidRPr="00536399">
              <w:rPr>
                <w:b/>
                <w:sz w:val="22"/>
                <w:lang w:val="en-GB"/>
              </w:rPr>
              <w:t>Indicative allocation</w:t>
            </w:r>
          </w:p>
        </w:tc>
        <w:tc>
          <w:tcPr>
            <w:tcW w:w="702" w:type="pct"/>
            <w:shd w:val="clear" w:color="auto" w:fill="auto"/>
          </w:tcPr>
          <w:p w:rsidR="00976EFA" w:rsidRPr="00536399" w:rsidRDefault="00976EFA" w:rsidP="00D34046">
            <w:pPr>
              <w:spacing w:after="120"/>
              <w:rPr>
                <w:b/>
                <w:i/>
                <w:sz w:val="22"/>
                <w:lang w:val="en-GB"/>
              </w:rPr>
            </w:pPr>
            <w:r w:rsidRPr="00536399">
              <w:rPr>
                <w:b/>
                <w:i/>
                <w:sz w:val="22"/>
                <w:lang w:val="en-GB"/>
              </w:rPr>
              <w:t>% of total allocations</w:t>
            </w:r>
          </w:p>
        </w:tc>
      </w:tr>
      <w:tr w:rsidR="00B440B4" w:rsidRPr="00B440B4" w:rsidTr="00B440B4">
        <w:tc>
          <w:tcPr>
            <w:tcW w:w="3147" w:type="pct"/>
          </w:tcPr>
          <w:p w:rsidR="00976EFA" w:rsidRPr="00536399" w:rsidRDefault="00976EFA" w:rsidP="00976EFA">
            <w:pPr>
              <w:spacing w:after="120"/>
              <w:rPr>
                <w:i/>
                <w:sz w:val="22"/>
                <w:lang w:val="en-GB"/>
              </w:rPr>
            </w:pPr>
            <w:r w:rsidRPr="00536399">
              <w:rPr>
                <w:b/>
                <w:sz w:val="22"/>
                <w:lang w:val="en-GB"/>
              </w:rPr>
              <w:t>Economic development and market opportunities</w:t>
            </w:r>
            <w:r w:rsidRPr="00536399">
              <w:rPr>
                <w:sz w:val="22"/>
                <w:lang w:val="en-GB"/>
              </w:rPr>
              <w:t xml:space="preserve">, </w:t>
            </w:r>
            <w:r w:rsidRPr="00536399">
              <w:rPr>
                <w:i/>
                <w:sz w:val="22"/>
                <w:lang w:val="en-GB"/>
              </w:rPr>
              <w:t>including</w:t>
            </w:r>
            <w:r w:rsidRPr="00536399">
              <w:rPr>
                <w:sz w:val="22"/>
                <w:lang w:val="en-GB"/>
              </w:rPr>
              <w:t xml:space="preserve"> smart, sustainable and inclusive growth</w:t>
            </w:r>
            <w:r w:rsidRPr="00536399">
              <w:rPr>
                <w:b/>
                <w:sz w:val="22"/>
                <w:lang w:val="en-GB"/>
              </w:rPr>
              <w:t xml:space="preserve"> </w:t>
            </w:r>
          </w:p>
        </w:tc>
        <w:tc>
          <w:tcPr>
            <w:tcW w:w="1151" w:type="pct"/>
          </w:tcPr>
          <w:p w:rsidR="00976EFA" w:rsidRPr="00536399" w:rsidRDefault="00976EFA" w:rsidP="00FF6C9A">
            <w:pPr>
              <w:spacing w:before="120" w:after="120"/>
              <w:rPr>
                <w:sz w:val="22"/>
                <w:shd w:val="clear" w:color="auto" w:fill="FFFFFF"/>
                <w:lang w:val="en-GB"/>
              </w:rPr>
            </w:pPr>
          </w:p>
        </w:tc>
        <w:tc>
          <w:tcPr>
            <w:tcW w:w="702" w:type="pct"/>
            <w:shd w:val="clear" w:color="auto" w:fill="auto"/>
          </w:tcPr>
          <w:p w:rsidR="00976EFA" w:rsidRPr="00536399" w:rsidRDefault="00976EFA" w:rsidP="00D34046">
            <w:pPr>
              <w:spacing w:after="120"/>
              <w:rPr>
                <w:i/>
                <w:sz w:val="22"/>
                <w:lang w:val="en-GB"/>
              </w:rPr>
            </w:pPr>
            <w:r w:rsidRPr="00536399">
              <w:rPr>
                <w:i/>
                <w:sz w:val="22"/>
                <w:lang w:val="en-GB"/>
              </w:rPr>
              <w:t>40% of total</w:t>
            </w:r>
          </w:p>
        </w:tc>
      </w:tr>
      <w:tr w:rsidR="00B440B4" w:rsidRPr="00B440B4" w:rsidTr="00B440B4">
        <w:tc>
          <w:tcPr>
            <w:tcW w:w="3147" w:type="pct"/>
          </w:tcPr>
          <w:p w:rsidR="00976EFA" w:rsidRPr="00536399" w:rsidRDefault="00976EFA" w:rsidP="00976EFA">
            <w:pPr>
              <w:spacing w:after="120"/>
              <w:rPr>
                <w:sz w:val="22"/>
                <w:lang w:val="en-GB"/>
              </w:rPr>
            </w:pPr>
            <w:r w:rsidRPr="00536399">
              <w:rPr>
                <w:b/>
                <w:sz w:val="22"/>
                <w:lang w:val="en-GB"/>
              </w:rPr>
              <w:t>Strengthening institutions and good governance</w:t>
            </w:r>
            <w:r w:rsidRPr="00536399">
              <w:rPr>
                <w:sz w:val="22"/>
                <w:lang w:val="en-GB"/>
              </w:rPr>
              <w:t xml:space="preserve">, </w:t>
            </w:r>
            <w:r w:rsidRPr="00536399">
              <w:rPr>
                <w:i/>
                <w:sz w:val="22"/>
                <w:lang w:val="en-GB"/>
              </w:rPr>
              <w:t>including</w:t>
            </w:r>
            <w:r w:rsidRPr="00536399">
              <w:rPr>
                <w:sz w:val="22"/>
                <w:lang w:val="en-GB"/>
              </w:rPr>
              <w:t xml:space="preserve"> consolidating the Rule of Law and addressing security</w:t>
            </w:r>
          </w:p>
        </w:tc>
        <w:tc>
          <w:tcPr>
            <w:tcW w:w="1151" w:type="pct"/>
          </w:tcPr>
          <w:p w:rsidR="00976EFA" w:rsidRPr="00536399" w:rsidRDefault="00976EFA" w:rsidP="00976EFA">
            <w:pPr>
              <w:jc w:val="center"/>
              <w:rPr>
                <w:sz w:val="22"/>
                <w:lang w:val="en-GB"/>
              </w:rPr>
            </w:pPr>
          </w:p>
          <w:p w:rsidR="00976EFA" w:rsidRPr="00536399" w:rsidRDefault="00976EFA" w:rsidP="00FF6C9A">
            <w:pPr>
              <w:jc w:val="center"/>
              <w:rPr>
                <w:sz w:val="22"/>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20% of total</w:t>
            </w:r>
            <w:r w:rsidRPr="00536399">
              <w:rPr>
                <w:i/>
                <w:sz w:val="22"/>
                <w:lang w:val="en-GB"/>
              </w:rPr>
              <w:tab/>
            </w:r>
          </w:p>
        </w:tc>
      </w:tr>
      <w:tr w:rsidR="00B440B4" w:rsidRPr="00B440B4" w:rsidTr="00B440B4">
        <w:tc>
          <w:tcPr>
            <w:tcW w:w="3147" w:type="pct"/>
          </w:tcPr>
          <w:p w:rsidR="00976EFA" w:rsidRPr="00536399" w:rsidRDefault="00976EFA" w:rsidP="00976EFA">
            <w:pPr>
              <w:spacing w:after="120"/>
              <w:rPr>
                <w:i/>
                <w:sz w:val="22"/>
                <w:lang w:val="en-GB"/>
              </w:rPr>
            </w:pPr>
            <w:r w:rsidRPr="00536399">
              <w:rPr>
                <w:b/>
                <w:sz w:val="22"/>
                <w:lang w:val="en-GB"/>
              </w:rPr>
              <w:lastRenderedPageBreak/>
              <w:t>Connectivity, energy efficiency, environment and climate change</w:t>
            </w:r>
            <w:r w:rsidRPr="00536399">
              <w:rPr>
                <w:sz w:val="22"/>
                <w:lang w:val="en-GB"/>
              </w:rPr>
              <w:t xml:space="preserve"> and support for circular economy</w:t>
            </w:r>
          </w:p>
        </w:tc>
        <w:tc>
          <w:tcPr>
            <w:tcW w:w="1151" w:type="pct"/>
          </w:tcPr>
          <w:p w:rsidR="00976EFA" w:rsidRPr="00536399" w:rsidRDefault="00976EFA" w:rsidP="00FF6C9A">
            <w:pPr>
              <w:jc w:val="center"/>
              <w:rPr>
                <w:sz w:val="22"/>
                <w:shd w:val="clear" w:color="auto" w:fill="FFFFFF"/>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15% of total</w:t>
            </w:r>
          </w:p>
        </w:tc>
      </w:tr>
      <w:tr w:rsidR="00B440B4" w:rsidRPr="00B440B4" w:rsidTr="00B440B4">
        <w:tc>
          <w:tcPr>
            <w:tcW w:w="3147" w:type="pct"/>
          </w:tcPr>
          <w:p w:rsidR="00976EFA" w:rsidRPr="00536399" w:rsidRDefault="00976EFA" w:rsidP="00976EFA">
            <w:pPr>
              <w:spacing w:after="120"/>
              <w:rPr>
                <w:b/>
                <w:sz w:val="22"/>
                <w:lang w:val="en-GB"/>
              </w:rPr>
            </w:pPr>
            <w:r w:rsidRPr="00536399">
              <w:rPr>
                <w:b/>
                <w:sz w:val="22"/>
                <w:lang w:val="en-GB"/>
              </w:rPr>
              <w:t>Mobility and people-to-people contacts</w:t>
            </w:r>
            <w:r w:rsidRPr="00536399">
              <w:rPr>
                <w:sz w:val="22"/>
                <w:lang w:val="en-GB"/>
              </w:rPr>
              <w:t xml:space="preserve">, </w:t>
            </w:r>
            <w:r w:rsidRPr="00536399">
              <w:rPr>
                <w:i/>
                <w:sz w:val="22"/>
                <w:lang w:val="en-GB"/>
              </w:rPr>
              <w:t>including</w:t>
            </w:r>
            <w:r w:rsidRPr="00536399">
              <w:rPr>
                <w:sz w:val="22"/>
                <w:lang w:val="en-GB"/>
              </w:rPr>
              <w:t xml:space="preserve"> support to the implementation of the visa liberalisation action plan and to vocational education and training</w:t>
            </w:r>
          </w:p>
        </w:tc>
        <w:tc>
          <w:tcPr>
            <w:tcW w:w="1151" w:type="pct"/>
          </w:tcPr>
          <w:p w:rsidR="00976EFA" w:rsidRPr="00536399" w:rsidRDefault="00976EFA" w:rsidP="00FF6C9A">
            <w:pPr>
              <w:spacing w:before="120" w:after="120"/>
              <w:jc w:val="center"/>
              <w:rPr>
                <w:sz w:val="22"/>
                <w:shd w:val="clear" w:color="auto" w:fill="FFFFFF"/>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10% of total</w:t>
            </w:r>
          </w:p>
        </w:tc>
      </w:tr>
      <w:tr w:rsidR="00B440B4" w:rsidRPr="00B440B4" w:rsidTr="00B440B4">
        <w:tc>
          <w:tcPr>
            <w:tcW w:w="3147" w:type="pct"/>
          </w:tcPr>
          <w:p w:rsidR="00976EFA" w:rsidRPr="00536399" w:rsidRDefault="00976EFA" w:rsidP="00976EFA">
            <w:pPr>
              <w:spacing w:after="120"/>
              <w:rPr>
                <w:b/>
                <w:sz w:val="22"/>
                <w:lang w:val="en-GB"/>
              </w:rPr>
            </w:pPr>
            <w:r w:rsidRPr="00536399">
              <w:rPr>
                <w:b/>
                <w:sz w:val="22"/>
                <w:lang w:val="en-GB"/>
              </w:rPr>
              <w:t>Complementary support for capacity development/institution building</w:t>
            </w:r>
          </w:p>
        </w:tc>
        <w:tc>
          <w:tcPr>
            <w:tcW w:w="1151" w:type="pct"/>
          </w:tcPr>
          <w:p w:rsidR="00976EFA" w:rsidRPr="00536399" w:rsidRDefault="00976EFA" w:rsidP="00FF6C9A">
            <w:pPr>
              <w:spacing w:before="60"/>
              <w:jc w:val="center"/>
              <w:rPr>
                <w:sz w:val="22"/>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5% of total</w:t>
            </w:r>
          </w:p>
        </w:tc>
      </w:tr>
      <w:tr w:rsidR="00B440B4" w:rsidRPr="00B440B4" w:rsidTr="00B440B4">
        <w:tc>
          <w:tcPr>
            <w:tcW w:w="3147" w:type="pct"/>
          </w:tcPr>
          <w:p w:rsidR="00976EFA" w:rsidRPr="00536399" w:rsidRDefault="00976EFA" w:rsidP="00976EFA">
            <w:pPr>
              <w:spacing w:after="120"/>
              <w:rPr>
                <w:b/>
                <w:i/>
                <w:sz w:val="22"/>
                <w:lang w:val="en-GB"/>
              </w:rPr>
            </w:pPr>
            <w:r w:rsidRPr="00536399">
              <w:rPr>
                <w:b/>
                <w:sz w:val="22"/>
                <w:lang w:val="en-GB"/>
              </w:rPr>
              <w:t>Complementary support for civil society development</w:t>
            </w:r>
          </w:p>
        </w:tc>
        <w:tc>
          <w:tcPr>
            <w:tcW w:w="1151" w:type="pct"/>
          </w:tcPr>
          <w:p w:rsidR="00976EFA" w:rsidRPr="00536399" w:rsidRDefault="00976EFA" w:rsidP="00FF6C9A">
            <w:pPr>
              <w:jc w:val="center"/>
              <w:rPr>
                <w:sz w:val="22"/>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5% of total</w:t>
            </w:r>
          </w:p>
        </w:tc>
      </w:tr>
      <w:tr w:rsidR="00B440B4" w:rsidRPr="00B440B4" w:rsidTr="00B440B4">
        <w:tc>
          <w:tcPr>
            <w:tcW w:w="3147" w:type="pct"/>
          </w:tcPr>
          <w:p w:rsidR="00976EFA" w:rsidRPr="00536399" w:rsidRDefault="00976EFA" w:rsidP="00976EFA">
            <w:pPr>
              <w:spacing w:after="120"/>
              <w:rPr>
                <w:b/>
                <w:i/>
                <w:sz w:val="22"/>
                <w:lang w:val="en-GB"/>
              </w:rPr>
            </w:pPr>
            <w:r w:rsidRPr="00536399">
              <w:rPr>
                <w:b/>
                <w:sz w:val="22"/>
                <w:lang w:val="en-GB"/>
              </w:rPr>
              <w:t>Complementary support for strategic communication</w:t>
            </w:r>
          </w:p>
        </w:tc>
        <w:tc>
          <w:tcPr>
            <w:tcW w:w="1151" w:type="pct"/>
          </w:tcPr>
          <w:p w:rsidR="00976EFA" w:rsidRPr="00536399" w:rsidRDefault="00976EFA" w:rsidP="00FF6C9A">
            <w:pPr>
              <w:spacing w:before="120" w:after="120"/>
              <w:jc w:val="center"/>
              <w:rPr>
                <w:sz w:val="22"/>
                <w:shd w:val="clear" w:color="auto" w:fill="FFFFFF"/>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5% of total</w:t>
            </w:r>
          </w:p>
        </w:tc>
      </w:tr>
      <w:tr w:rsidR="00B440B4" w:rsidRPr="00B440B4" w:rsidTr="00B440B4">
        <w:tc>
          <w:tcPr>
            <w:tcW w:w="3147" w:type="pct"/>
            <w:shd w:val="clear" w:color="auto" w:fill="auto"/>
          </w:tcPr>
          <w:p w:rsidR="00976EFA" w:rsidRPr="00536399" w:rsidRDefault="00976EFA" w:rsidP="00976EFA">
            <w:pPr>
              <w:spacing w:after="120"/>
              <w:rPr>
                <w:b/>
                <w:sz w:val="22"/>
                <w:lang w:val="en-GB"/>
              </w:rPr>
            </w:pPr>
            <w:r w:rsidRPr="00536399">
              <w:rPr>
                <w:b/>
                <w:sz w:val="22"/>
                <w:lang w:val="en-GB"/>
              </w:rPr>
              <w:t>Total</w:t>
            </w:r>
          </w:p>
        </w:tc>
        <w:tc>
          <w:tcPr>
            <w:tcW w:w="1151" w:type="pct"/>
          </w:tcPr>
          <w:p w:rsidR="00976EFA" w:rsidRPr="00536399" w:rsidRDefault="00976EFA" w:rsidP="00FF6C9A">
            <w:pPr>
              <w:spacing w:before="60"/>
              <w:jc w:val="center"/>
              <w:rPr>
                <w:b/>
                <w:sz w:val="22"/>
                <w:lang w:val="en-GB"/>
              </w:rPr>
            </w:pPr>
          </w:p>
        </w:tc>
        <w:tc>
          <w:tcPr>
            <w:tcW w:w="702" w:type="pct"/>
            <w:shd w:val="clear" w:color="auto" w:fill="auto"/>
          </w:tcPr>
          <w:p w:rsidR="00976EFA" w:rsidRPr="00536399" w:rsidRDefault="00976EFA" w:rsidP="00976EFA">
            <w:pPr>
              <w:spacing w:after="120"/>
              <w:rPr>
                <w:i/>
                <w:sz w:val="22"/>
                <w:lang w:val="en-GB"/>
              </w:rPr>
            </w:pPr>
            <w:r w:rsidRPr="00536399">
              <w:rPr>
                <w:i/>
                <w:sz w:val="22"/>
                <w:lang w:val="en-GB"/>
              </w:rPr>
              <w:t>100%</w:t>
            </w:r>
          </w:p>
        </w:tc>
      </w:tr>
    </w:tbl>
    <w:p w:rsidR="00783851" w:rsidRPr="000E4EEA" w:rsidRDefault="00B969BB" w:rsidP="004556CF">
      <w:pPr>
        <w:pStyle w:val="Heading1"/>
        <w:numPr>
          <w:ilvl w:val="0"/>
          <w:numId w:val="0"/>
        </w:numPr>
        <w:spacing w:after="120"/>
        <w:ind w:left="432" w:hanging="432"/>
        <w:rPr>
          <w:rFonts w:ascii="Times New Roman" w:hAnsi="Times New Roman"/>
          <w:sz w:val="28"/>
          <w:lang w:val="fr-BE"/>
        </w:rPr>
      </w:pPr>
      <w:bookmarkStart w:id="3" w:name="_Toc457553000"/>
      <w:r w:rsidRPr="000E4EEA">
        <w:rPr>
          <w:rFonts w:ascii="Times New Roman" w:hAnsi="Times New Roman"/>
          <w:sz w:val="28"/>
          <w:lang w:val="fr-BE"/>
        </w:rPr>
        <w:t>3.</w:t>
      </w:r>
      <w:r w:rsidR="00783851" w:rsidRPr="000E4EEA">
        <w:rPr>
          <w:rFonts w:ascii="Times New Roman" w:hAnsi="Times New Roman"/>
          <w:sz w:val="28"/>
          <w:lang w:val="fr-BE"/>
        </w:rPr>
        <w:tab/>
        <w:t>EU support per sector</w:t>
      </w:r>
      <w:bookmarkEnd w:id="3"/>
    </w:p>
    <w:p w:rsidR="00783851" w:rsidRPr="00582E68" w:rsidRDefault="00783851" w:rsidP="00FF6C9A">
      <w:pPr>
        <w:spacing w:before="120" w:after="120"/>
        <w:jc w:val="both"/>
        <w:rPr>
          <w:b/>
          <w:u w:val="single"/>
          <w:lang w:val="en-GB"/>
        </w:rPr>
      </w:pPr>
      <w:r w:rsidRPr="00434A3D">
        <w:rPr>
          <w:b/>
          <w:i/>
          <w:u w:val="single"/>
          <w:lang w:val="en-GB"/>
        </w:rPr>
        <w:t xml:space="preserve">3.1 </w:t>
      </w:r>
      <w:r w:rsidR="004A29E2" w:rsidRPr="004028CA">
        <w:rPr>
          <w:b/>
          <w:u w:val="single"/>
          <w:lang w:val="en-GB"/>
        </w:rPr>
        <w:t>Economic development and market opportunities</w:t>
      </w:r>
      <w:r w:rsidR="004A29E2" w:rsidRPr="00582E68">
        <w:rPr>
          <w:b/>
          <w:u w:val="single"/>
          <w:lang w:val="en-GB"/>
        </w:rPr>
        <w:t>, including smart, sustainable and inclusive growth</w:t>
      </w:r>
      <w:r w:rsidR="00CB37AE" w:rsidRPr="00FF6C9A">
        <w:rPr>
          <w:b/>
          <w:u w:val="single"/>
          <w:lang w:val="en-GB"/>
        </w:rPr>
        <w:t xml:space="preserve"> </w:t>
      </w:r>
      <w:r w:rsidRPr="00582E68">
        <w:rPr>
          <w:b/>
          <w:u w:val="single"/>
          <w:lang w:val="en-GB"/>
        </w:rPr>
        <w:t xml:space="preserve">(indicative </w:t>
      </w:r>
      <w:r w:rsidR="004A29E2" w:rsidRPr="00582E68">
        <w:rPr>
          <w:b/>
          <w:u w:val="single"/>
          <w:lang w:val="en-GB"/>
        </w:rPr>
        <w:t>4</w:t>
      </w:r>
      <w:r w:rsidR="0039478E" w:rsidRPr="00582E68">
        <w:rPr>
          <w:b/>
          <w:u w:val="single"/>
          <w:lang w:val="en-GB"/>
        </w:rPr>
        <w:t>0</w:t>
      </w:r>
      <w:r w:rsidRPr="00B440B4">
        <w:rPr>
          <w:b/>
          <w:u w:val="single"/>
          <w:lang w:val="en-GB"/>
        </w:rPr>
        <w:t>%</w:t>
      </w:r>
      <w:r w:rsidR="00D34046" w:rsidRPr="00FF6C9A">
        <w:rPr>
          <w:b/>
          <w:u w:val="single"/>
          <w:lang w:val="en-GB"/>
        </w:rPr>
        <w:t xml:space="preserve"> of total budget</w:t>
      </w:r>
      <w:r w:rsidRPr="00B440B4">
        <w:rPr>
          <w:b/>
          <w:u w:val="single"/>
          <w:lang w:val="en-GB"/>
        </w:rPr>
        <w:t>)</w:t>
      </w:r>
    </w:p>
    <w:p w:rsidR="00306814" w:rsidRPr="00FF6C9A" w:rsidRDefault="00783851" w:rsidP="00582E68">
      <w:pPr>
        <w:spacing w:after="120"/>
        <w:jc w:val="both"/>
        <w:rPr>
          <w:lang w:val="en-GB"/>
        </w:rPr>
      </w:pPr>
      <w:r w:rsidRPr="00FF6C9A">
        <w:rPr>
          <w:lang w:val="en-GB"/>
        </w:rPr>
        <w:t>3.1.1</w:t>
      </w:r>
      <w:r w:rsidRPr="00FF6C9A">
        <w:rPr>
          <w:lang w:val="en-GB"/>
        </w:rPr>
        <w:tab/>
        <w:t xml:space="preserve">The </w:t>
      </w:r>
      <w:r w:rsidR="00D34046" w:rsidRPr="00582E68">
        <w:rPr>
          <w:b/>
          <w:lang w:val="en-GB"/>
        </w:rPr>
        <w:t>overall objective</w:t>
      </w:r>
      <w:r w:rsidR="00D34046" w:rsidRPr="00434A3D">
        <w:rPr>
          <w:lang w:val="en-GB"/>
        </w:rPr>
        <w:t xml:space="preserve"> is </w:t>
      </w:r>
      <w:r w:rsidR="00306814" w:rsidRPr="004028CA">
        <w:rPr>
          <w:lang w:val="en-GB"/>
        </w:rPr>
        <w:t xml:space="preserve">to contribute to reducing the trade deficit, promoting investment and innovation and </w:t>
      </w:r>
      <w:r w:rsidR="00306814" w:rsidRPr="004028CA">
        <w:rPr>
          <w:lang w:val="en-GB" w:eastAsia="en-GB"/>
        </w:rPr>
        <w:t>fostering</w:t>
      </w:r>
      <w:r w:rsidR="00306814" w:rsidRPr="004028CA">
        <w:rPr>
          <w:lang w:val="en-GB"/>
        </w:rPr>
        <w:t xml:space="preserve"> smart, sustainable and inclusive growth and resilience in Georgia and its regions, including market opportunities, business development, agriculture and territorial development.</w:t>
      </w:r>
    </w:p>
    <w:p w:rsidR="00E375A9" w:rsidRPr="00FF6C9A" w:rsidRDefault="004E35D1" w:rsidP="00FF6C9A">
      <w:pPr>
        <w:pStyle w:val="ListBullet"/>
        <w:numPr>
          <w:ilvl w:val="0"/>
          <w:numId w:val="0"/>
        </w:numPr>
        <w:spacing w:after="120"/>
        <w:ind w:right="141"/>
        <w:rPr>
          <w:szCs w:val="24"/>
        </w:rPr>
      </w:pPr>
      <w:r w:rsidRPr="00582E68">
        <w:rPr>
          <w:b/>
        </w:rPr>
        <w:t>Specific objective</w:t>
      </w:r>
      <w:r w:rsidR="00D34046" w:rsidRPr="00582E68">
        <w:rPr>
          <w:b/>
        </w:rPr>
        <w:t>s</w:t>
      </w:r>
      <w:r w:rsidR="00D34046" w:rsidRPr="00FF6C9A">
        <w:rPr>
          <w:szCs w:val="24"/>
        </w:rPr>
        <w:t xml:space="preserve"> include</w:t>
      </w:r>
    </w:p>
    <w:p w:rsidR="00306814" w:rsidRPr="004028CA" w:rsidRDefault="00306814" w:rsidP="00582E68">
      <w:pPr>
        <w:pStyle w:val="ListBullet"/>
        <w:numPr>
          <w:ilvl w:val="0"/>
          <w:numId w:val="47"/>
        </w:numPr>
        <w:spacing w:after="120"/>
        <w:ind w:right="141"/>
        <w:rPr>
          <w:bCs/>
          <w:szCs w:val="24"/>
        </w:rPr>
      </w:pPr>
      <w:r w:rsidRPr="00FF6C9A">
        <w:rPr>
          <w:bCs/>
          <w:szCs w:val="24"/>
        </w:rPr>
        <w:t>to reap the fu</w:t>
      </w:r>
      <w:r w:rsidRPr="00236463">
        <w:rPr>
          <w:bCs/>
          <w:szCs w:val="24"/>
        </w:rPr>
        <w:t xml:space="preserve">ll benefits of the DCFTA </w:t>
      </w:r>
      <w:r w:rsidRPr="00236463">
        <w:rPr>
          <w:szCs w:val="24"/>
        </w:rPr>
        <w:t>and regional trade</w:t>
      </w:r>
      <w:r w:rsidRPr="00434A3D">
        <w:rPr>
          <w:bCs/>
          <w:szCs w:val="24"/>
        </w:rPr>
        <w:t xml:space="preserve">, to improve the business operational and financing environment, to facilitate substitution of imports in, exports from and investments in the country, to promote business sophistication models, to enhance innovation and technology transfer towards business and strengthen business-related capacities of key institutions </w:t>
      </w:r>
      <w:r w:rsidRPr="004028CA">
        <w:rPr>
          <w:szCs w:val="24"/>
        </w:rPr>
        <w:t>notably by</w:t>
      </w:r>
      <w:r w:rsidRPr="004028CA">
        <w:rPr>
          <w:bCs/>
          <w:szCs w:val="24"/>
        </w:rPr>
        <w:t xml:space="preserve"> using the potential of the digital economy</w:t>
      </w:r>
      <w:r w:rsidR="00024422" w:rsidRPr="004028CA">
        <w:rPr>
          <w:bCs/>
          <w:szCs w:val="24"/>
        </w:rPr>
        <w:t xml:space="preserve"> (specific objective 1)</w:t>
      </w:r>
      <w:r w:rsidRPr="004028CA">
        <w:rPr>
          <w:bCs/>
          <w:szCs w:val="24"/>
        </w:rPr>
        <w:t>;</w:t>
      </w:r>
    </w:p>
    <w:p w:rsidR="00306814" w:rsidRPr="004028CA" w:rsidRDefault="00306814" w:rsidP="00582E68">
      <w:pPr>
        <w:numPr>
          <w:ilvl w:val="0"/>
          <w:numId w:val="47"/>
        </w:numPr>
        <w:spacing w:after="120"/>
        <w:jc w:val="both"/>
        <w:rPr>
          <w:lang w:val="en-GB"/>
        </w:rPr>
      </w:pPr>
      <w:r w:rsidRPr="004028CA">
        <w:rPr>
          <w:lang w:val="en-GB"/>
        </w:rPr>
        <w:t>to support structural reforms to improve economic performance and governance, in close synergy with the IMF and World Bank</w:t>
      </w:r>
      <w:r w:rsidR="00024422" w:rsidRPr="004028CA">
        <w:rPr>
          <w:lang w:val="en-GB"/>
        </w:rPr>
        <w:t xml:space="preserve"> (specific objective 2)</w:t>
      </w:r>
      <w:r w:rsidRPr="004028CA">
        <w:rPr>
          <w:lang w:val="en-GB"/>
        </w:rPr>
        <w:t>;</w:t>
      </w:r>
    </w:p>
    <w:p w:rsidR="00306814" w:rsidRPr="004028CA" w:rsidRDefault="00306814" w:rsidP="00582E68">
      <w:pPr>
        <w:pStyle w:val="ListBullet"/>
        <w:numPr>
          <w:ilvl w:val="0"/>
          <w:numId w:val="47"/>
        </w:numPr>
        <w:spacing w:after="120"/>
        <w:ind w:right="141"/>
        <w:rPr>
          <w:bCs/>
          <w:szCs w:val="24"/>
        </w:rPr>
      </w:pPr>
      <w:r w:rsidRPr="004028CA">
        <w:rPr>
          <w:bCs/>
          <w:szCs w:val="24"/>
        </w:rPr>
        <w:t>to support diversification of access to finance beyond the banking sector</w:t>
      </w:r>
      <w:r w:rsidR="00024422" w:rsidRPr="004028CA">
        <w:rPr>
          <w:bCs/>
          <w:szCs w:val="24"/>
        </w:rPr>
        <w:t xml:space="preserve"> (specific objective 3)</w:t>
      </w:r>
      <w:r w:rsidRPr="004028CA">
        <w:rPr>
          <w:bCs/>
          <w:szCs w:val="24"/>
        </w:rPr>
        <w:t>;</w:t>
      </w:r>
    </w:p>
    <w:p w:rsidR="00306814" w:rsidRPr="00B440B4" w:rsidRDefault="00306814" w:rsidP="00582E68">
      <w:pPr>
        <w:pStyle w:val="ListBullet"/>
        <w:numPr>
          <w:ilvl w:val="0"/>
          <w:numId w:val="47"/>
        </w:numPr>
        <w:spacing w:after="120"/>
        <w:ind w:right="141"/>
        <w:rPr>
          <w:szCs w:val="24"/>
          <w:lang w:eastAsia="ar-SA"/>
        </w:rPr>
      </w:pPr>
      <w:r w:rsidRPr="004028CA">
        <w:rPr>
          <w:bCs/>
          <w:szCs w:val="24"/>
        </w:rPr>
        <w:t>to</w:t>
      </w:r>
      <w:r w:rsidRPr="004028CA">
        <w:rPr>
          <w:szCs w:val="24"/>
        </w:rPr>
        <w:t xml:space="preserve"> improve the competitiveness of the agricultural and agro-business sector; to improve employment and living conditions in rural areas through diversification of the rural economy and to reduce regional disparities and develop infrastructure links</w:t>
      </w:r>
      <w:r w:rsidR="00024422" w:rsidRPr="004028CA">
        <w:rPr>
          <w:szCs w:val="24"/>
        </w:rPr>
        <w:t xml:space="preserve"> (specific objective 4)</w:t>
      </w:r>
      <w:r w:rsidRPr="004028CA">
        <w:rPr>
          <w:szCs w:val="24"/>
        </w:rPr>
        <w:t>.</w:t>
      </w:r>
    </w:p>
    <w:p w:rsidR="00783851" w:rsidRPr="00FF6C9A" w:rsidRDefault="00783851" w:rsidP="00582E68">
      <w:pPr>
        <w:spacing w:after="120"/>
        <w:jc w:val="both"/>
        <w:rPr>
          <w:lang w:val="en-GB"/>
        </w:rPr>
      </w:pPr>
      <w:r w:rsidRPr="004028CA">
        <w:rPr>
          <w:lang w:val="en-GB"/>
        </w:rPr>
        <w:t>3.1.2.</w:t>
      </w:r>
      <w:r w:rsidRPr="004028CA">
        <w:rPr>
          <w:lang w:val="en-GB"/>
        </w:rPr>
        <w:tab/>
      </w:r>
      <w:r w:rsidR="00024422" w:rsidRPr="004028CA">
        <w:rPr>
          <w:lang w:val="en-GB"/>
        </w:rPr>
        <w:t xml:space="preserve">The </w:t>
      </w:r>
      <w:r w:rsidR="00024422" w:rsidRPr="00582E68">
        <w:rPr>
          <w:b/>
          <w:lang w:val="en-GB"/>
        </w:rPr>
        <w:t xml:space="preserve">main expected </w:t>
      </w:r>
      <w:r w:rsidR="005D1284" w:rsidRPr="00B440B4">
        <w:rPr>
          <w:b/>
          <w:lang w:val="en-GB"/>
        </w:rPr>
        <w:t>results</w:t>
      </w:r>
      <w:r w:rsidR="006D70C8" w:rsidRPr="00B440B4">
        <w:rPr>
          <w:b/>
          <w:lang w:val="en-GB"/>
        </w:rPr>
        <w:t xml:space="preserve"> </w:t>
      </w:r>
      <w:r w:rsidRPr="00FF6C9A">
        <w:rPr>
          <w:lang w:val="en-GB"/>
        </w:rPr>
        <w:t xml:space="preserve">are: </w:t>
      </w:r>
    </w:p>
    <w:p w:rsidR="006D70C8" w:rsidRPr="00B440B4" w:rsidRDefault="00036490" w:rsidP="00FF6C9A">
      <w:pPr>
        <w:numPr>
          <w:ilvl w:val="0"/>
          <w:numId w:val="17"/>
        </w:numPr>
        <w:spacing w:after="120"/>
        <w:jc w:val="both"/>
        <w:rPr>
          <w:bCs/>
          <w:iCs/>
          <w:lang w:val="en-GB"/>
        </w:rPr>
      </w:pPr>
      <w:r w:rsidRPr="00B440B4">
        <w:rPr>
          <w:bCs/>
          <w:iCs/>
          <w:lang w:val="en-GB"/>
        </w:rPr>
        <w:t xml:space="preserve">For specific objective 1: </w:t>
      </w:r>
      <w:r w:rsidR="00692F7F" w:rsidRPr="00B440B4">
        <w:rPr>
          <w:bCs/>
          <w:iCs/>
          <w:lang w:val="en-GB"/>
        </w:rPr>
        <w:t xml:space="preserve"> </w:t>
      </w:r>
      <w:r w:rsidR="00F930C8">
        <w:rPr>
          <w:bCs/>
          <w:iCs/>
          <w:lang w:val="en-GB"/>
        </w:rPr>
        <w:t>Georgian exports</w:t>
      </w:r>
      <w:r w:rsidR="00F930C8" w:rsidRPr="00B440B4">
        <w:rPr>
          <w:bCs/>
          <w:iCs/>
          <w:lang w:val="en-GB"/>
        </w:rPr>
        <w:t xml:space="preserve"> </w:t>
      </w:r>
      <w:r w:rsidR="00F930C8">
        <w:rPr>
          <w:bCs/>
          <w:iCs/>
          <w:lang w:val="en-GB"/>
        </w:rPr>
        <w:t xml:space="preserve">diversify and increase (both in volume and value), </w:t>
      </w:r>
      <w:r w:rsidR="00F930C8" w:rsidRPr="001038E5">
        <w:rPr>
          <w:bCs/>
          <w:iCs/>
          <w:lang w:val="en-GB"/>
        </w:rPr>
        <w:t>participation to regional and international value chains</w:t>
      </w:r>
      <w:r w:rsidR="00F930C8">
        <w:rPr>
          <w:bCs/>
          <w:iCs/>
          <w:lang w:val="en-GB"/>
        </w:rPr>
        <w:t xml:space="preserve"> is enhanced,</w:t>
      </w:r>
      <w:r w:rsidR="00F930C8" w:rsidRPr="00B440B4">
        <w:rPr>
          <w:bCs/>
          <w:iCs/>
          <w:lang w:val="en-GB"/>
        </w:rPr>
        <w:t xml:space="preserve"> </w:t>
      </w:r>
      <w:r w:rsidR="006D70C8" w:rsidRPr="00B440B4">
        <w:rPr>
          <w:bCs/>
          <w:iCs/>
          <w:lang w:val="en-GB"/>
        </w:rPr>
        <w:t xml:space="preserve">production systems are improved and efficient business networks are established </w:t>
      </w:r>
      <w:r w:rsidR="00503C36">
        <w:rPr>
          <w:bCs/>
          <w:iCs/>
          <w:lang w:val="en-GB"/>
        </w:rPr>
        <w:t>in</w:t>
      </w:r>
      <w:r w:rsidR="006D70C8" w:rsidRPr="00B440B4">
        <w:rPr>
          <w:bCs/>
          <w:iCs/>
          <w:lang w:val="en-GB"/>
        </w:rPr>
        <w:t xml:space="preserve"> pilot sectors</w:t>
      </w:r>
      <w:r w:rsidR="006E16AC" w:rsidRPr="00B440B4">
        <w:rPr>
          <w:bCs/>
          <w:iCs/>
          <w:lang w:val="en-GB"/>
        </w:rPr>
        <w:t xml:space="preserve">. </w:t>
      </w:r>
    </w:p>
    <w:p w:rsidR="00CD7451" w:rsidRPr="00FF6C9A" w:rsidRDefault="00692F7F" w:rsidP="00FF6C9A">
      <w:pPr>
        <w:numPr>
          <w:ilvl w:val="0"/>
          <w:numId w:val="17"/>
        </w:numPr>
        <w:spacing w:after="120"/>
        <w:jc w:val="both"/>
        <w:rPr>
          <w:bCs/>
          <w:iCs/>
          <w:lang w:val="en-GB"/>
        </w:rPr>
      </w:pPr>
      <w:r w:rsidRPr="00B440B4">
        <w:rPr>
          <w:bCs/>
          <w:iCs/>
          <w:lang w:val="en-GB"/>
        </w:rPr>
        <w:t xml:space="preserve">For specific objective 2:  </w:t>
      </w:r>
      <w:r w:rsidR="009A3CD5">
        <w:rPr>
          <w:bCs/>
          <w:iCs/>
          <w:lang w:val="en-GB"/>
        </w:rPr>
        <w:t>SME strategy is developed. T</w:t>
      </w:r>
      <w:r w:rsidR="00520BA9" w:rsidRPr="00B440B4">
        <w:rPr>
          <w:bCs/>
          <w:iCs/>
          <w:lang w:val="en-GB"/>
        </w:rPr>
        <w:t xml:space="preserve">he </w:t>
      </w:r>
      <w:r w:rsidR="00CD7451" w:rsidRPr="004028CA">
        <w:rPr>
          <w:bCs/>
          <w:iCs/>
          <w:lang w:val="en-GB"/>
        </w:rPr>
        <w:t xml:space="preserve">Georgian </w:t>
      </w:r>
      <w:r w:rsidR="006D70C8" w:rsidRPr="00B440B4">
        <w:rPr>
          <w:bCs/>
          <w:iCs/>
          <w:lang w:val="en-GB"/>
        </w:rPr>
        <w:t>institutions' capacity</w:t>
      </w:r>
      <w:r w:rsidR="00CD7451" w:rsidRPr="00FF6C9A">
        <w:rPr>
          <w:bCs/>
          <w:iCs/>
          <w:lang w:val="en-GB"/>
        </w:rPr>
        <w:t xml:space="preserve"> to deliver better services for businesses </w:t>
      </w:r>
      <w:r w:rsidR="00520BA9" w:rsidRPr="00B440B4">
        <w:rPr>
          <w:bCs/>
          <w:iCs/>
          <w:lang w:val="en-GB"/>
        </w:rPr>
        <w:t xml:space="preserve">is improved </w:t>
      </w:r>
      <w:r w:rsidR="00265A73" w:rsidRPr="00B440B4">
        <w:rPr>
          <w:bCs/>
          <w:iCs/>
          <w:lang w:val="en-GB"/>
        </w:rPr>
        <w:t>(thro</w:t>
      </w:r>
      <w:r w:rsidR="00CE5BCB" w:rsidRPr="00FF6C9A">
        <w:rPr>
          <w:bCs/>
          <w:iCs/>
          <w:lang w:val="en-GB"/>
        </w:rPr>
        <w:t>ugh a "one stop shop" approach</w:t>
      </w:r>
      <w:r w:rsidR="006E16AC" w:rsidRPr="00B440B4">
        <w:rPr>
          <w:bCs/>
          <w:iCs/>
          <w:lang w:val="en-GB"/>
        </w:rPr>
        <w:t xml:space="preserve"> and </w:t>
      </w:r>
      <w:r w:rsidR="006D70C8" w:rsidRPr="00B440B4">
        <w:rPr>
          <w:bCs/>
          <w:iCs/>
          <w:lang w:val="en-GB"/>
        </w:rPr>
        <w:t>digital economy)</w:t>
      </w:r>
      <w:r w:rsidR="00CD7451" w:rsidRPr="00FF6C9A">
        <w:rPr>
          <w:bCs/>
          <w:iCs/>
          <w:lang w:val="en-GB"/>
        </w:rPr>
        <w:t>;</w:t>
      </w:r>
    </w:p>
    <w:p w:rsidR="00F930C8" w:rsidRDefault="00692F7F" w:rsidP="00B440B4">
      <w:pPr>
        <w:numPr>
          <w:ilvl w:val="0"/>
          <w:numId w:val="17"/>
        </w:numPr>
        <w:spacing w:after="120"/>
        <w:jc w:val="both"/>
        <w:rPr>
          <w:bCs/>
          <w:iCs/>
          <w:lang w:val="en-GB"/>
        </w:rPr>
      </w:pPr>
      <w:r w:rsidRPr="00B440B4">
        <w:rPr>
          <w:lang w:val="en-GB"/>
        </w:rPr>
        <w:t xml:space="preserve">For specific objective 3: </w:t>
      </w:r>
      <w:r w:rsidR="005D1284" w:rsidRPr="00B440B4">
        <w:rPr>
          <w:lang w:val="en-GB"/>
        </w:rPr>
        <w:t>a</w:t>
      </w:r>
      <w:r w:rsidR="006D70C8" w:rsidRPr="00FF6C9A">
        <w:rPr>
          <w:bCs/>
          <w:iCs/>
          <w:lang w:val="en-GB"/>
        </w:rPr>
        <w:t xml:space="preserve">ccess to finance is </w:t>
      </w:r>
      <w:r w:rsidR="006E16AC" w:rsidRPr="00FF6C9A">
        <w:rPr>
          <w:bCs/>
          <w:iCs/>
          <w:lang w:val="en-GB"/>
        </w:rPr>
        <w:t xml:space="preserve">broadened </w:t>
      </w:r>
      <w:r w:rsidR="006D70C8" w:rsidRPr="00FF6C9A">
        <w:rPr>
          <w:bCs/>
          <w:iCs/>
          <w:lang w:val="en-GB"/>
        </w:rPr>
        <w:t>through a m</w:t>
      </w:r>
      <w:r w:rsidRPr="00236463">
        <w:rPr>
          <w:bCs/>
          <w:iCs/>
          <w:lang w:val="en-GB"/>
        </w:rPr>
        <w:t>odernised financial infrastructure</w:t>
      </w:r>
      <w:r w:rsidR="00F930C8">
        <w:rPr>
          <w:bCs/>
          <w:iCs/>
          <w:lang w:val="en-GB"/>
        </w:rPr>
        <w:t xml:space="preserve">, </w:t>
      </w:r>
      <w:r w:rsidR="006E16AC" w:rsidRPr="00434A3D">
        <w:rPr>
          <w:bCs/>
          <w:iCs/>
          <w:lang w:val="en-GB"/>
        </w:rPr>
        <w:t>allow</w:t>
      </w:r>
      <w:r w:rsidR="00F930C8">
        <w:rPr>
          <w:bCs/>
          <w:iCs/>
          <w:lang w:val="en-GB"/>
        </w:rPr>
        <w:t>ing</w:t>
      </w:r>
      <w:r w:rsidR="006E16AC" w:rsidRPr="00434A3D">
        <w:rPr>
          <w:bCs/>
          <w:iCs/>
          <w:lang w:val="en-GB"/>
        </w:rPr>
        <w:t xml:space="preserve"> for </w:t>
      </w:r>
      <w:r w:rsidR="006E16AC" w:rsidRPr="00434A3D">
        <w:rPr>
          <w:iCs/>
          <w:lang w:val="en-GB"/>
        </w:rPr>
        <w:t>alternative financing and better</w:t>
      </w:r>
      <w:r w:rsidR="006E16AC" w:rsidRPr="004028CA">
        <w:rPr>
          <w:bCs/>
          <w:iCs/>
          <w:lang w:val="en-GB"/>
        </w:rPr>
        <w:t xml:space="preserve"> collateralisation conditions (notably for women, youth and disadvantaged groups), improved regulation and functioning of credit bureau/registries, enhanced consumer/depositor/investor protection and reduced dollarization</w:t>
      </w:r>
      <w:r w:rsidR="00F930C8">
        <w:rPr>
          <w:bCs/>
          <w:iCs/>
          <w:lang w:val="en-GB"/>
        </w:rPr>
        <w:t>.</w:t>
      </w:r>
    </w:p>
    <w:p w:rsidR="00F930C8" w:rsidRDefault="00F930C8" w:rsidP="00B440B4">
      <w:pPr>
        <w:numPr>
          <w:ilvl w:val="0"/>
          <w:numId w:val="17"/>
        </w:numPr>
        <w:spacing w:after="120"/>
        <w:jc w:val="both"/>
        <w:rPr>
          <w:bCs/>
          <w:iCs/>
          <w:lang w:val="en-GB"/>
        </w:rPr>
      </w:pPr>
      <w:r w:rsidRPr="00F930C8">
        <w:rPr>
          <w:bCs/>
          <w:iCs/>
          <w:lang w:val="en-GB"/>
        </w:rPr>
        <w:t>For specific objective 4:  trade balance of Georgian agriculture sector</w:t>
      </w:r>
      <w:r>
        <w:rPr>
          <w:bCs/>
          <w:iCs/>
          <w:lang w:val="en-GB"/>
        </w:rPr>
        <w:t xml:space="preserve"> </w:t>
      </w:r>
      <w:r w:rsidR="00AE1E04">
        <w:rPr>
          <w:bCs/>
          <w:iCs/>
          <w:lang w:val="en-GB"/>
        </w:rPr>
        <w:t xml:space="preserve">is </w:t>
      </w:r>
      <w:r w:rsidR="00AE1E04" w:rsidRPr="00B440B4">
        <w:rPr>
          <w:bCs/>
          <w:iCs/>
          <w:lang w:val="en-GB"/>
        </w:rPr>
        <w:t xml:space="preserve">improved. </w:t>
      </w:r>
      <w:r w:rsidR="00AE1E04">
        <w:rPr>
          <w:lang w:val="en-GB"/>
        </w:rPr>
        <w:t>Q</w:t>
      </w:r>
      <w:r w:rsidR="00AE1E04" w:rsidRPr="001038E5">
        <w:rPr>
          <w:lang w:val="en-GB"/>
        </w:rPr>
        <w:t>uality and coverage of food safety/SPS inspections</w:t>
      </w:r>
      <w:r w:rsidR="00AE1E04">
        <w:rPr>
          <w:lang w:val="en-GB"/>
        </w:rPr>
        <w:t xml:space="preserve"> and controls</w:t>
      </w:r>
      <w:r w:rsidR="00AE1E04" w:rsidRPr="001038E5">
        <w:rPr>
          <w:lang w:val="en-GB"/>
        </w:rPr>
        <w:t xml:space="preserve"> </w:t>
      </w:r>
      <w:r w:rsidR="00AE1E04">
        <w:rPr>
          <w:bCs/>
          <w:iCs/>
          <w:lang w:val="en-GB"/>
        </w:rPr>
        <w:t>are i</w:t>
      </w:r>
      <w:r w:rsidR="00AE1E04" w:rsidRPr="00B440B4">
        <w:rPr>
          <w:bCs/>
          <w:iCs/>
          <w:lang w:val="en-GB"/>
        </w:rPr>
        <w:t xml:space="preserve">ncreased </w:t>
      </w:r>
      <w:r w:rsidR="00AE1E04">
        <w:rPr>
          <w:bCs/>
          <w:iCs/>
          <w:lang w:val="en-GB"/>
        </w:rPr>
        <w:t xml:space="preserve">as well as </w:t>
      </w:r>
      <w:r w:rsidR="00AE1E04" w:rsidRPr="00B440B4">
        <w:rPr>
          <w:bCs/>
          <w:iCs/>
          <w:lang w:val="en-GB"/>
        </w:rPr>
        <w:t>competitiveness in in selected sectors</w:t>
      </w:r>
      <w:r w:rsidR="00AE1E04">
        <w:rPr>
          <w:bCs/>
          <w:iCs/>
          <w:lang w:val="en-GB"/>
        </w:rPr>
        <w:t xml:space="preserve"> </w:t>
      </w:r>
      <w:r w:rsidR="00AE1E04" w:rsidRPr="00B440B4">
        <w:rPr>
          <w:bCs/>
          <w:iCs/>
          <w:lang w:val="en-GB"/>
        </w:rPr>
        <w:t xml:space="preserve">with high export potential and/or import substitution. Better living conditions </w:t>
      </w:r>
      <w:r w:rsidR="00AE1E04" w:rsidRPr="00B440B4">
        <w:rPr>
          <w:bCs/>
          <w:iCs/>
          <w:lang w:val="en-GB"/>
        </w:rPr>
        <w:lastRenderedPageBreak/>
        <w:t>and employability of rural population will be measured by an increased access to credit, insurance and increased income of population in the pilot regions</w:t>
      </w:r>
      <w:r w:rsidR="006E16AC" w:rsidRPr="004028CA">
        <w:rPr>
          <w:bCs/>
          <w:iCs/>
          <w:lang w:val="en-GB"/>
        </w:rPr>
        <w:t>.</w:t>
      </w:r>
    </w:p>
    <w:p w:rsidR="005D1284" w:rsidRPr="00B440B4" w:rsidRDefault="00783851" w:rsidP="00B440B4">
      <w:pPr>
        <w:spacing w:after="120"/>
        <w:jc w:val="both"/>
        <w:rPr>
          <w:lang w:val="en-GB"/>
        </w:rPr>
      </w:pPr>
      <w:r w:rsidRPr="004028CA">
        <w:rPr>
          <w:lang w:val="en-GB"/>
        </w:rPr>
        <w:t>3.1.3.</w:t>
      </w:r>
      <w:r w:rsidRPr="00AE1E04">
        <w:rPr>
          <w:color w:val="FF0000"/>
          <w:lang w:val="en-GB"/>
        </w:rPr>
        <w:tab/>
      </w:r>
      <w:r w:rsidR="00520BA9" w:rsidRPr="00B440B4">
        <w:rPr>
          <w:lang w:val="en-GB"/>
        </w:rPr>
        <w:t xml:space="preserve"> The main </w:t>
      </w:r>
      <w:r w:rsidR="00520BA9" w:rsidRPr="00B440B4">
        <w:rPr>
          <w:b/>
          <w:lang w:val="en-GB"/>
        </w:rPr>
        <w:t>indicators</w:t>
      </w:r>
      <w:r w:rsidR="00520BA9" w:rsidRPr="00B440B4">
        <w:rPr>
          <w:lang w:val="en-GB"/>
        </w:rPr>
        <w:t xml:space="preserve"> are:</w:t>
      </w:r>
    </w:p>
    <w:p w:rsidR="00AE1E04" w:rsidRPr="004028CA" w:rsidRDefault="00AE1E04" w:rsidP="00AE1E04">
      <w:pPr>
        <w:numPr>
          <w:ilvl w:val="0"/>
          <w:numId w:val="43"/>
        </w:numPr>
        <w:ind w:left="714" w:hanging="357"/>
        <w:jc w:val="both"/>
        <w:rPr>
          <w:lang w:val="en-GB"/>
        </w:rPr>
      </w:pPr>
      <w:r>
        <w:rPr>
          <w:lang w:val="en-GB"/>
        </w:rPr>
        <w:t>T</w:t>
      </w:r>
      <w:r w:rsidRPr="004028CA">
        <w:rPr>
          <w:lang w:val="en-GB"/>
        </w:rPr>
        <w:t>otal trade volume; d</w:t>
      </w:r>
      <w:r w:rsidRPr="004028CA">
        <w:rPr>
          <w:bCs/>
          <w:iCs/>
          <w:lang w:val="en-GB"/>
        </w:rPr>
        <w:t>iversification and increase (both in volume and value) of Georgian exports</w:t>
      </w:r>
      <w:r>
        <w:rPr>
          <w:bCs/>
          <w:iCs/>
          <w:lang w:val="en-GB"/>
        </w:rPr>
        <w:t>; total volume and value of trade with EU</w:t>
      </w:r>
      <w:r w:rsidRPr="004028CA">
        <w:rPr>
          <w:bCs/>
          <w:iCs/>
          <w:lang w:val="en-GB"/>
        </w:rPr>
        <w:t>.</w:t>
      </w:r>
    </w:p>
    <w:p w:rsidR="00AE1E04" w:rsidRPr="004028CA" w:rsidRDefault="00AE1E04" w:rsidP="00AE1E04">
      <w:pPr>
        <w:numPr>
          <w:ilvl w:val="0"/>
          <w:numId w:val="43"/>
        </w:numPr>
        <w:ind w:left="714" w:hanging="357"/>
        <w:jc w:val="both"/>
        <w:rPr>
          <w:lang w:val="en-GB"/>
        </w:rPr>
      </w:pPr>
      <w:r>
        <w:rPr>
          <w:lang w:val="en-GB"/>
        </w:rPr>
        <w:t>A</w:t>
      </w:r>
      <w:r w:rsidRPr="004028CA">
        <w:rPr>
          <w:lang w:val="en-GB"/>
        </w:rPr>
        <w:t xml:space="preserve">gricultural export volumes of selected commodities </w:t>
      </w:r>
    </w:p>
    <w:p w:rsidR="007C2E15" w:rsidRDefault="007C2E15" w:rsidP="00B440B4">
      <w:pPr>
        <w:numPr>
          <w:ilvl w:val="0"/>
          <w:numId w:val="43"/>
        </w:numPr>
        <w:ind w:left="714" w:hanging="357"/>
        <w:jc w:val="both"/>
        <w:rPr>
          <w:lang w:val="en-GB"/>
        </w:rPr>
      </w:pPr>
      <w:r>
        <w:rPr>
          <w:lang w:val="en-GB"/>
        </w:rPr>
        <w:t>New EU markets open for</w:t>
      </w:r>
      <w:r w:rsidR="00355C2A">
        <w:rPr>
          <w:lang w:val="en-GB"/>
        </w:rPr>
        <w:t xml:space="preserve"> Georgian exports</w:t>
      </w:r>
    </w:p>
    <w:p w:rsidR="00701E55" w:rsidRPr="00B440B4" w:rsidRDefault="009A3CD5" w:rsidP="00B440B4">
      <w:pPr>
        <w:numPr>
          <w:ilvl w:val="0"/>
          <w:numId w:val="43"/>
        </w:numPr>
        <w:ind w:left="714" w:hanging="357"/>
        <w:jc w:val="both"/>
        <w:rPr>
          <w:lang w:val="en-GB"/>
        </w:rPr>
      </w:pPr>
      <w:r>
        <w:rPr>
          <w:lang w:val="en-GB"/>
        </w:rPr>
        <w:t>B</w:t>
      </w:r>
      <w:r w:rsidR="00701E55" w:rsidRPr="00B440B4">
        <w:rPr>
          <w:lang w:val="en-GB"/>
        </w:rPr>
        <w:t>usiness sophistication index and proportion of high-tech industry value added</w:t>
      </w:r>
      <w:r w:rsidR="00ED1E76" w:rsidRPr="00B440B4">
        <w:rPr>
          <w:lang w:val="en-GB"/>
        </w:rPr>
        <w:t xml:space="preserve"> </w:t>
      </w:r>
      <w:r w:rsidR="00701E55" w:rsidRPr="00B440B4">
        <w:rPr>
          <w:lang w:val="en-GB"/>
        </w:rPr>
        <w:t>in total.</w:t>
      </w:r>
    </w:p>
    <w:p w:rsidR="00701E55" w:rsidRPr="00B440B4" w:rsidRDefault="00701E55" w:rsidP="00B440B4">
      <w:pPr>
        <w:numPr>
          <w:ilvl w:val="0"/>
          <w:numId w:val="43"/>
        </w:numPr>
        <w:ind w:left="714" w:hanging="357"/>
        <w:jc w:val="both"/>
        <w:rPr>
          <w:lang w:val="en-GB"/>
        </w:rPr>
      </w:pPr>
      <w:r w:rsidRPr="00B440B4">
        <w:rPr>
          <w:lang w:val="en-GB"/>
        </w:rPr>
        <w:t>Average time-cost reduction for businesses attributed to provision of services through one-stop shops</w:t>
      </w:r>
    </w:p>
    <w:p w:rsidR="00701E55" w:rsidRPr="004028CA" w:rsidRDefault="009A3CD5" w:rsidP="00B440B4">
      <w:pPr>
        <w:numPr>
          <w:ilvl w:val="0"/>
          <w:numId w:val="43"/>
        </w:numPr>
        <w:ind w:left="714" w:hanging="357"/>
        <w:jc w:val="both"/>
        <w:rPr>
          <w:lang w:val="en-GB"/>
        </w:rPr>
      </w:pPr>
      <w:r>
        <w:rPr>
          <w:lang w:val="en-GB"/>
        </w:rPr>
        <w:t>N</w:t>
      </w:r>
      <w:r w:rsidR="00701E55" w:rsidRPr="004028CA">
        <w:rPr>
          <w:lang w:val="en-GB"/>
        </w:rPr>
        <w:t>umber of small farmers (women in particular), and cooperatives with access to capital and financing facilities</w:t>
      </w:r>
    </w:p>
    <w:p w:rsidR="00701E55" w:rsidRPr="004028CA" w:rsidRDefault="009A3CD5" w:rsidP="00B440B4">
      <w:pPr>
        <w:numPr>
          <w:ilvl w:val="0"/>
          <w:numId w:val="43"/>
        </w:numPr>
        <w:ind w:left="714" w:hanging="357"/>
        <w:jc w:val="both"/>
        <w:rPr>
          <w:lang w:val="en-GB"/>
        </w:rPr>
      </w:pPr>
      <w:r>
        <w:rPr>
          <w:lang w:val="en-GB"/>
        </w:rPr>
        <w:t>N</w:t>
      </w:r>
      <w:r w:rsidR="00701E55" w:rsidRPr="004028CA">
        <w:rPr>
          <w:lang w:val="en-GB"/>
        </w:rPr>
        <w:t>umber of farmers that received advice from extension services.</w:t>
      </w:r>
    </w:p>
    <w:p w:rsidR="00C823E6" w:rsidRDefault="009A3CD5" w:rsidP="00B440B4">
      <w:pPr>
        <w:numPr>
          <w:ilvl w:val="0"/>
          <w:numId w:val="43"/>
        </w:numPr>
        <w:ind w:left="714" w:hanging="357"/>
        <w:jc w:val="both"/>
        <w:rPr>
          <w:lang w:val="en-GB"/>
        </w:rPr>
      </w:pPr>
      <w:r>
        <w:rPr>
          <w:lang w:val="en-GB"/>
        </w:rPr>
        <w:t>A</w:t>
      </w:r>
      <w:r w:rsidR="00C823E6" w:rsidRPr="004028CA">
        <w:rPr>
          <w:lang w:val="en-GB"/>
        </w:rPr>
        <w:t>verage monthly incomes of rural households</w:t>
      </w:r>
    </w:p>
    <w:p w:rsidR="009A3CD5" w:rsidRDefault="009A3CD5" w:rsidP="00BD7260">
      <w:pPr>
        <w:jc w:val="both"/>
        <w:rPr>
          <w:lang w:val="en-GB"/>
        </w:rPr>
      </w:pPr>
    </w:p>
    <w:p w:rsidR="009F3BB9" w:rsidRDefault="009A3CD5" w:rsidP="0076798E">
      <w:pPr>
        <w:spacing w:after="120"/>
        <w:rPr>
          <w:lang w:val="en-GB"/>
        </w:rPr>
      </w:pPr>
      <w:r>
        <w:rPr>
          <w:lang w:val="en-GB"/>
        </w:rPr>
        <w:t xml:space="preserve">The </w:t>
      </w:r>
      <w:r w:rsidR="00AE1E04">
        <w:rPr>
          <w:lang w:val="en-GB"/>
        </w:rPr>
        <w:t xml:space="preserve">three </w:t>
      </w:r>
      <w:r>
        <w:rPr>
          <w:lang w:val="en-GB"/>
        </w:rPr>
        <w:t xml:space="preserve">last indicators will be disaggregated by </w:t>
      </w:r>
      <w:r w:rsidR="00B92B02">
        <w:rPr>
          <w:lang w:val="en-GB"/>
        </w:rPr>
        <w:t>gender</w:t>
      </w:r>
      <w:r>
        <w:rPr>
          <w:lang w:val="en-GB"/>
        </w:rPr>
        <w:t>.</w:t>
      </w:r>
    </w:p>
    <w:p w:rsidR="00783851" w:rsidRPr="00FF6C9A" w:rsidRDefault="00783851" w:rsidP="00B440B4">
      <w:pPr>
        <w:snapToGrid w:val="0"/>
        <w:spacing w:after="120"/>
        <w:jc w:val="both"/>
        <w:rPr>
          <w:lang w:val="en-GB"/>
        </w:rPr>
      </w:pPr>
      <w:r w:rsidRPr="00236463">
        <w:rPr>
          <w:lang w:val="en-GB"/>
        </w:rPr>
        <w:t>3.1.4.</w:t>
      </w:r>
      <w:r w:rsidRPr="00236463">
        <w:rPr>
          <w:lang w:val="en-GB"/>
        </w:rPr>
        <w:tab/>
      </w:r>
      <w:r w:rsidR="003826D1" w:rsidRPr="00B440B4">
        <w:rPr>
          <w:b/>
          <w:lang w:val="en-GB"/>
        </w:rPr>
        <w:t>D</w:t>
      </w:r>
      <w:r w:rsidR="009D1AC3" w:rsidRPr="00B440B4">
        <w:rPr>
          <w:b/>
          <w:lang w:val="en-GB"/>
        </w:rPr>
        <w:t>onor coordination and policy dialogue</w:t>
      </w:r>
      <w:r w:rsidR="009D1AC3" w:rsidRPr="00B440B4">
        <w:rPr>
          <w:lang w:val="en-GB"/>
        </w:rPr>
        <w:t xml:space="preserve"> are taking place in various formats, mainly government led, varying according to the thematic area. </w:t>
      </w:r>
      <w:r w:rsidR="00434A3D">
        <w:rPr>
          <w:lang w:val="en-GB"/>
        </w:rPr>
        <w:t>Directly related with the Association Agreement, important fora of discussion include the Association Committee and the specific sub-committees, which provide an opportunity to strengthen policy dialogue. In addition, f</w:t>
      </w:r>
      <w:r w:rsidR="009D1AC3" w:rsidRPr="00B440B4">
        <w:rPr>
          <w:lang w:val="en-GB"/>
        </w:rPr>
        <w:t xml:space="preserve">or what pertains to economic growth, it is done within the </w:t>
      </w:r>
      <w:r w:rsidR="009D1AC3" w:rsidRPr="00B440B4">
        <w:rPr>
          <w:iCs/>
          <w:lang w:val="en-GB"/>
        </w:rPr>
        <w:t xml:space="preserve">Economic Growth Thematic Group (Administration of Government). With respect to Agriculture, it is the Donor Coordination Council and the ENPARD Stakeholder Committee. For Business development there are the </w:t>
      </w:r>
      <w:r w:rsidR="009D1AC3" w:rsidRPr="00B440B4">
        <w:rPr>
          <w:iCs/>
          <w:lang w:val="en-GB" w:eastAsia="en-US"/>
        </w:rPr>
        <w:t xml:space="preserve">DCFTA/SME budget programme steering committee, the Trade and DCFTA Advisory Body, the Private Sector Development Council and the Investors Council. On Regional Development discussions take place in the framework of the Government Commission on Regional </w:t>
      </w:r>
      <w:r w:rsidR="00FE233F" w:rsidRPr="00FF6C9A">
        <w:rPr>
          <w:iCs/>
          <w:lang w:val="en-GB" w:eastAsia="en-US"/>
        </w:rPr>
        <w:t>Development;</w:t>
      </w:r>
      <w:r w:rsidR="009D1AC3" w:rsidRPr="00B440B4">
        <w:rPr>
          <w:iCs/>
          <w:lang w:val="en-GB" w:eastAsia="en-US"/>
        </w:rPr>
        <w:t xml:space="preserve"> there is also a donor led </w:t>
      </w:r>
      <w:r w:rsidR="009D1AC3" w:rsidRPr="00B440B4">
        <w:rPr>
          <w:lang w:val="en-GB"/>
        </w:rPr>
        <w:t>group on Regional and Local Development Strategic Dialogue.</w:t>
      </w:r>
      <w:r w:rsidRPr="00FF6C9A">
        <w:rPr>
          <w:lang w:val="en-GB"/>
        </w:rPr>
        <w:t xml:space="preserve">: </w:t>
      </w:r>
    </w:p>
    <w:p w:rsidR="00D34046" w:rsidRPr="004028CA" w:rsidRDefault="00783851" w:rsidP="0076798E">
      <w:pPr>
        <w:spacing w:after="120"/>
        <w:jc w:val="both"/>
        <w:rPr>
          <w:i/>
          <w:lang w:val="en-GB"/>
        </w:rPr>
      </w:pPr>
      <w:r w:rsidRPr="004028CA">
        <w:rPr>
          <w:lang w:val="en-GB"/>
        </w:rPr>
        <w:t>3.1.5.</w:t>
      </w:r>
      <w:r w:rsidRPr="004028CA">
        <w:rPr>
          <w:lang w:val="en-GB"/>
        </w:rPr>
        <w:tab/>
      </w:r>
      <w:r w:rsidR="00D34046" w:rsidRPr="004028CA">
        <w:rPr>
          <w:lang w:val="en-GB"/>
        </w:rPr>
        <w:t xml:space="preserve">The </w:t>
      </w:r>
      <w:r w:rsidR="00D34046" w:rsidRPr="004028CA">
        <w:rPr>
          <w:i/>
          <w:lang w:val="en-GB"/>
        </w:rPr>
        <w:t>partner country's authorities</w:t>
      </w:r>
      <w:r w:rsidR="00D34046" w:rsidRPr="0076798E">
        <w:rPr>
          <w:lang w:val="en-GB"/>
        </w:rPr>
        <w:t xml:space="preserve"> </w:t>
      </w:r>
      <w:r w:rsidR="00D34046" w:rsidRPr="004028CA">
        <w:rPr>
          <w:b/>
          <w:lang w:val="en-GB"/>
        </w:rPr>
        <w:t>financial and policy commitments</w:t>
      </w:r>
      <w:r w:rsidR="00D34046" w:rsidRPr="004028CA">
        <w:rPr>
          <w:lang w:val="en-GB"/>
        </w:rPr>
        <w:t xml:space="preserve"> are described in the revised Association Agenda 2017-2019</w:t>
      </w:r>
      <w:r w:rsidR="00D34046" w:rsidRPr="0076798E">
        <w:rPr>
          <w:i/>
          <w:lang w:val="en-GB"/>
        </w:rPr>
        <w:t xml:space="preserve"> </w:t>
      </w:r>
    </w:p>
    <w:p w:rsidR="0065699A" w:rsidRPr="0076798E" w:rsidRDefault="00783851" w:rsidP="00B440B4">
      <w:pPr>
        <w:spacing w:after="120"/>
        <w:jc w:val="both"/>
        <w:rPr>
          <w:i/>
          <w:lang w:val="en-GB"/>
        </w:rPr>
      </w:pPr>
      <w:r w:rsidRPr="004028CA">
        <w:rPr>
          <w:lang w:val="en-GB"/>
        </w:rPr>
        <w:t>3.1.6.</w:t>
      </w:r>
      <w:r w:rsidRPr="004028CA">
        <w:rPr>
          <w:lang w:val="en-GB"/>
        </w:rPr>
        <w:tab/>
      </w:r>
      <w:r w:rsidR="009D1AC3" w:rsidRPr="00B440B4">
        <w:rPr>
          <w:lang w:val="en-GB"/>
        </w:rPr>
        <w:t xml:space="preserve">An </w:t>
      </w:r>
      <w:r w:rsidR="001E145E" w:rsidRPr="00FF6C9A">
        <w:rPr>
          <w:b/>
          <w:lang w:val="en-GB"/>
        </w:rPr>
        <w:t>E</w:t>
      </w:r>
      <w:r w:rsidRPr="00FF6C9A">
        <w:rPr>
          <w:b/>
          <w:lang w:val="en-GB"/>
        </w:rPr>
        <w:t>nvironmental assessment</w:t>
      </w:r>
      <w:r w:rsidRPr="00236463">
        <w:rPr>
          <w:lang w:val="en-GB"/>
        </w:rPr>
        <w:t xml:space="preserve"> (SEA or EIA)</w:t>
      </w:r>
      <w:r w:rsidR="001E145E" w:rsidRPr="00434A3D">
        <w:rPr>
          <w:lang w:val="en-GB"/>
        </w:rPr>
        <w:t xml:space="preserve"> will be </w:t>
      </w:r>
      <w:r w:rsidR="001E145E" w:rsidRPr="004028CA">
        <w:rPr>
          <w:lang w:val="en-GB"/>
        </w:rPr>
        <w:t>relevan</w:t>
      </w:r>
      <w:r w:rsidR="004F686D" w:rsidRPr="00B440B4">
        <w:rPr>
          <w:lang w:val="en-GB"/>
        </w:rPr>
        <w:t>t</w:t>
      </w:r>
      <w:r w:rsidR="001E145E" w:rsidRPr="00FF6C9A">
        <w:rPr>
          <w:lang w:val="en-GB"/>
        </w:rPr>
        <w:t xml:space="preserve"> </w:t>
      </w:r>
      <w:r w:rsidR="00F05A80" w:rsidRPr="00FF6C9A">
        <w:rPr>
          <w:lang w:val="en-GB"/>
        </w:rPr>
        <w:t xml:space="preserve">in </w:t>
      </w:r>
      <w:r w:rsidR="004F686D" w:rsidRPr="00B440B4">
        <w:rPr>
          <w:lang w:val="en-GB"/>
        </w:rPr>
        <w:t xml:space="preserve">economic </w:t>
      </w:r>
      <w:r w:rsidR="00F05A80" w:rsidRPr="00FF6C9A">
        <w:rPr>
          <w:lang w:val="en-GB"/>
        </w:rPr>
        <w:t>development</w:t>
      </w:r>
      <w:r w:rsidR="004F686D" w:rsidRPr="00B440B4">
        <w:rPr>
          <w:lang w:val="en-GB"/>
        </w:rPr>
        <w:t xml:space="preserve"> project</w:t>
      </w:r>
      <w:r w:rsidR="004E5454">
        <w:rPr>
          <w:lang w:val="en-GB"/>
        </w:rPr>
        <w:t>s</w:t>
      </w:r>
      <w:r w:rsidR="00F05A80" w:rsidRPr="00FF6C9A">
        <w:rPr>
          <w:lang w:val="en-GB"/>
        </w:rPr>
        <w:t>.</w:t>
      </w:r>
      <w:r w:rsidR="0065699A" w:rsidRPr="00FF6C9A">
        <w:rPr>
          <w:lang w:val="en-GB"/>
        </w:rPr>
        <w:t xml:space="preserve"> Based on </w:t>
      </w:r>
      <w:r w:rsidR="00236C9A" w:rsidRPr="00FF6C9A">
        <w:rPr>
          <w:lang w:val="en-GB"/>
        </w:rPr>
        <w:t xml:space="preserve">framework </w:t>
      </w:r>
      <w:r w:rsidR="0065699A" w:rsidRPr="00236463">
        <w:rPr>
          <w:lang w:val="en-GB"/>
        </w:rPr>
        <w:t>legislation to be adopted in early 2017 (update) the EU could support a pilot SEA in this sector.</w:t>
      </w:r>
    </w:p>
    <w:p w:rsidR="00783851" w:rsidRPr="00FF6C9A" w:rsidRDefault="00783851" w:rsidP="00FF6C9A">
      <w:pPr>
        <w:spacing w:after="120"/>
        <w:jc w:val="both"/>
        <w:rPr>
          <w:lang w:val="en-GB"/>
        </w:rPr>
      </w:pPr>
      <w:r w:rsidRPr="00434A3D">
        <w:rPr>
          <w:lang w:val="en-GB"/>
        </w:rPr>
        <w:t>3.1.7.</w:t>
      </w:r>
      <w:r w:rsidRPr="00434A3D">
        <w:rPr>
          <w:lang w:val="en-GB"/>
        </w:rPr>
        <w:tab/>
      </w:r>
      <w:r w:rsidR="00ED1E76" w:rsidRPr="00B440B4">
        <w:rPr>
          <w:lang w:val="en-GB"/>
        </w:rPr>
        <w:t>Concerning the</w:t>
      </w:r>
      <w:r w:rsidRPr="00FF6C9A">
        <w:rPr>
          <w:lang w:val="en-GB"/>
        </w:rPr>
        <w:t xml:space="preserve"> overall </w:t>
      </w:r>
      <w:r w:rsidRPr="00FF6C9A">
        <w:rPr>
          <w:b/>
          <w:lang w:val="en-GB"/>
        </w:rPr>
        <w:t>risk assessment</w:t>
      </w:r>
      <w:r w:rsidRPr="00236463">
        <w:rPr>
          <w:lang w:val="en-GB"/>
        </w:rPr>
        <w:t xml:space="preserve"> of the sector intervention</w:t>
      </w:r>
      <w:r w:rsidR="00ED1E76" w:rsidRPr="00B440B4">
        <w:rPr>
          <w:lang w:val="en-GB"/>
        </w:rPr>
        <w:t>, m</w:t>
      </w:r>
      <w:r w:rsidR="00F05A80" w:rsidRPr="00FF6C9A">
        <w:rPr>
          <w:lang w:val="en-GB"/>
        </w:rPr>
        <w:t>ajor risks include further deterioration of economic and/or political circumstances in the main trading partners</w:t>
      </w:r>
      <w:r w:rsidR="00DA6D20" w:rsidRPr="00FF6C9A">
        <w:rPr>
          <w:lang w:val="en-GB"/>
        </w:rPr>
        <w:t xml:space="preserve"> as well as with the breakaway regions</w:t>
      </w:r>
      <w:r w:rsidR="00F05A80" w:rsidRPr="00236463">
        <w:rPr>
          <w:lang w:val="en-GB"/>
        </w:rPr>
        <w:t>; a deterioration in the country’s fiscal space hindering its capacity to carry out the critical mass of investments</w:t>
      </w:r>
      <w:r w:rsidR="00D3033A" w:rsidRPr="00236463">
        <w:rPr>
          <w:lang w:val="en-GB"/>
        </w:rPr>
        <w:t>; c</w:t>
      </w:r>
      <w:r w:rsidR="00D3033A" w:rsidRPr="00434A3D">
        <w:rPr>
          <w:lang w:val="en-GB"/>
        </w:rPr>
        <w:t>limate-related risks</w:t>
      </w:r>
      <w:r w:rsidR="00F05A80" w:rsidRPr="004028CA">
        <w:rPr>
          <w:lang w:val="en-GB"/>
        </w:rPr>
        <w:t xml:space="preserve">. This can partly be mitigated by </w:t>
      </w:r>
      <w:r w:rsidR="009D6848" w:rsidRPr="004028CA">
        <w:rPr>
          <w:lang w:val="en-GB"/>
        </w:rPr>
        <w:t xml:space="preserve">enhanced policy dialogue, </w:t>
      </w:r>
      <w:r w:rsidR="00F05A80" w:rsidRPr="004028CA">
        <w:rPr>
          <w:lang w:val="en-GB"/>
        </w:rPr>
        <w:t xml:space="preserve">further prioritisation of successive components in the investments and by </w:t>
      </w:r>
      <w:r w:rsidR="00ED1E76" w:rsidRPr="00B440B4">
        <w:rPr>
          <w:lang w:val="en-GB"/>
        </w:rPr>
        <w:t>factoring the</w:t>
      </w:r>
      <w:r w:rsidR="00F05A80" w:rsidRPr="00FF6C9A">
        <w:rPr>
          <w:lang w:val="en-GB"/>
        </w:rPr>
        <w:t xml:space="preserve"> risk factor in the lending support.</w:t>
      </w:r>
    </w:p>
    <w:p w:rsidR="00F20985" w:rsidRPr="00236463" w:rsidRDefault="00F20985" w:rsidP="00FF6C9A">
      <w:pPr>
        <w:spacing w:after="120"/>
        <w:jc w:val="both"/>
        <w:rPr>
          <w:lang w:val="en-GB"/>
        </w:rPr>
      </w:pPr>
    </w:p>
    <w:p w:rsidR="00107B5B" w:rsidRPr="008471B3" w:rsidRDefault="00783851" w:rsidP="008471B3">
      <w:pPr>
        <w:spacing w:after="120"/>
        <w:jc w:val="both"/>
        <w:rPr>
          <w:b/>
          <w:i/>
          <w:u w:val="single"/>
          <w:lang w:val="en-GB"/>
        </w:rPr>
      </w:pPr>
      <w:r w:rsidRPr="00434A3D">
        <w:rPr>
          <w:b/>
          <w:i/>
          <w:u w:val="single"/>
          <w:lang w:val="en-GB"/>
        </w:rPr>
        <w:t xml:space="preserve">3.2 </w:t>
      </w:r>
      <w:r w:rsidR="004A29E2" w:rsidRPr="00434A3D">
        <w:rPr>
          <w:b/>
          <w:u w:val="single"/>
          <w:lang w:val="en-GB"/>
        </w:rPr>
        <w:t>Strengthening institutions and goo</w:t>
      </w:r>
      <w:r w:rsidR="004A29E2" w:rsidRPr="004028CA">
        <w:rPr>
          <w:b/>
          <w:u w:val="single"/>
          <w:lang w:val="en-GB"/>
        </w:rPr>
        <w:t>d governance</w:t>
      </w:r>
      <w:r w:rsidR="004A29E2" w:rsidRPr="008471B3">
        <w:rPr>
          <w:b/>
          <w:u w:val="single"/>
          <w:lang w:val="en-GB"/>
        </w:rPr>
        <w:t xml:space="preserve">, </w:t>
      </w:r>
      <w:r w:rsidR="004A29E2" w:rsidRPr="008471B3">
        <w:rPr>
          <w:b/>
          <w:i/>
          <w:u w:val="single"/>
          <w:lang w:val="en-GB"/>
        </w:rPr>
        <w:t>including</w:t>
      </w:r>
      <w:r w:rsidR="004A29E2" w:rsidRPr="008471B3">
        <w:rPr>
          <w:b/>
          <w:u w:val="single"/>
          <w:lang w:val="en-GB"/>
        </w:rPr>
        <w:t xml:space="preserve"> consolidating the Rule of Law and addressing security</w:t>
      </w:r>
      <w:r w:rsidR="004A29E2" w:rsidRPr="00434A3D">
        <w:rPr>
          <w:b/>
          <w:i/>
          <w:u w:val="single"/>
          <w:lang w:val="en-GB"/>
        </w:rPr>
        <w:t xml:space="preserve"> </w:t>
      </w:r>
      <w:r w:rsidR="004E35D1" w:rsidRPr="00434A3D">
        <w:rPr>
          <w:b/>
          <w:i/>
          <w:u w:val="single"/>
          <w:lang w:val="en-GB"/>
        </w:rPr>
        <w:t xml:space="preserve">(indicative </w:t>
      </w:r>
      <w:r w:rsidR="004A29E2" w:rsidRPr="004028CA">
        <w:rPr>
          <w:b/>
          <w:i/>
          <w:u w:val="single"/>
          <w:lang w:val="en-GB"/>
        </w:rPr>
        <w:t>20</w:t>
      </w:r>
      <w:r w:rsidR="004E35D1" w:rsidRPr="004028CA">
        <w:rPr>
          <w:b/>
          <w:i/>
          <w:u w:val="single"/>
          <w:lang w:val="en-GB"/>
        </w:rPr>
        <w:t>%)</w:t>
      </w:r>
    </w:p>
    <w:p w:rsidR="004E35D1" w:rsidRPr="004028CA" w:rsidRDefault="000C493B" w:rsidP="008471B3">
      <w:pPr>
        <w:spacing w:after="120"/>
        <w:jc w:val="both"/>
        <w:rPr>
          <w:lang w:val="en-GB"/>
        </w:rPr>
      </w:pPr>
      <w:r w:rsidRPr="00532784">
        <w:rPr>
          <w:lang w:val="en-GB"/>
        </w:rPr>
        <w:t>3</w:t>
      </w:r>
      <w:r w:rsidR="004E35D1" w:rsidRPr="00434A3D">
        <w:rPr>
          <w:lang w:val="en-GB"/>
        </w:rPr>
        <w:t>.2</w:t>
      </w:r>
      <w:r w:rsidR="00C303BB" w:rsidRPr="004028CA">
        <w:rPr>
          <w:lang w:val="en-GB"/>
        </w:rPr>
        <w:t>.1</w:t>
      </w:r>
      <w:r w:rsidR="00C303BB" w:rsidRPr="004028CA">
        <w:rPr>
          <w:lang w:val="en-GB"/>
        </w:rPr>
        <w:tab/>
        <w:t xml:space="preserve">The following overall and specific </w:t>
      </w:r>
      <w:r w:rsidR="00C303BB" w:rsidRPr="004028CA">
        <w:rPr>
          <w:b/>
          <w:lang w:val="en-GB"/>
        </w:rPr>
        <w:t>objectives</w:t>
      </w:r>
      <w:r w:rsidR="00C303BB" w:rsidRPr="004028CA">
        <w:rPr>
          <w:lang w:val="en-GB"/>
        </w:rPr>
        <w:t xml:space="preserve"> will be pursued:</w:t>
      </w:r>
    </w:p>
    <w:p w:rsidR="004E35D1" w:rsidRPr="00FF6C9A" w:rsidRDefault="004E35D1" w:rsidP="008471B3">
      <w:pPr>
        <w:spacing w:after="120"/>
        <w:jc w:val="both"/>
        <w:rPr>
          <w:lang w:val="en-GB"/>
        </w:rPr>
      </w:pPr>
      <w:r w:rsidRPr="004028CA">
        <w:rPr>
          <w:u w:val="single"/>
          <w:lang w:val="en-GB"/>
        </w:rPr>
        <w:t>Overall objective</w:t>
      </w:r>
      <w:r w:rsidRPr="004028CA">
        <w:rPr>
          <w:lang w:val="en-GB"/>
        </w:rPr>
        <w:t>: enhancing Governance, consolidating Rule of Law and addressing security</w:t>
      </w:r>
      <w:r w:rsidR="00FB5F38" w:rsidRPr="00B440B4">
        <w:rPr>
          <w:lang w:val="en-GB"/>
        </w:rPr>
        <w:t>.</w:t>
      </w:r>
      <w:r w:rsidRPr="00FF6C9A">
        <w:rPr>
          <w:lang w:val="en-GB"/>
        </w:rPr>
        <w:t xml:space="preserve"> </w:t>
      </w:r>
    </w:p>
    <w:p w:rsidR="00E375A9" w:rsidRPr="00B440B4" w:rsidRDefault="004E35D1" w:rsidP="00FF6C9A">
      <w:pPr>
        <w:pStyle w:val="ListBullet"/>
        <w:numPr>
          <w:ilvl w:val="0"/>
          <w:numId w:val="0"/>
        </w:numPr>
        <w:spacing w:after="120"/>
        <w:ind w:right="141"/>
        <w:rPr>
          <w:szCs w:val="24"/>
          <w:u w:val="single"/>
          <w:lang w:eastAsia="fr-BE"/>
        </w:rPr>
      </w:pPr>
      <w:r w:rsidRPr="00FF6C9A">
        <w:rPr>
          <w:szCs w:val="24"/>
          <w:u w:val="single"/>
          <w:lang w:eastAsia="fr-BE"/>
        </w:rPr>
        <w:t>Specific objectives:</w:t>
      </w:r>
    </w:p>
    <w:p w:rsidR="00FB5F38" w:rsidRPr="00FF6C9A" w:rsidRDefault="00FB5F38" w:rsidP="00FF6C9A">
      <w:pPr>
        <w:pStyle w:val="ListBullet"/>
        <w:numPr>
          <w:ilvl w:val="0"/>
          <w:numId w:val="45"/>
        </w:numPr>
        <w:tabs>
          <w:tab w:val="left" w:pos="720"/>
        </w:tabs>
        <w:spacing w:after="120"/>
        <w:ind w:right="141"/>
        <w:rPr>
          <w:szCs w:val="24"/>
        </w:rPr>
      </w:pPr>
      <w:r w:rsidRPr="00FF6C9A">
        <w:rPr>
          <w:szCs w:val="24"/>
          <w:lang w:eastAsia="ar-SA"/>
        </w:rPr>
        <w:t xml:space="preserve">to consolidate </w:t>
      </w:r>
      <w:r w:rsidR="001C2276">
        <w:rPr>
          <w:szCs w:val="24"/>
          <w:lang w:eastAsia="ar-SA"/>
        </w:rPr>
        <w:t xml:space="preserve">in particular on </w:t>
      </w:r>
      <w:r w:rsidR="00324E67">
        <w:rPr>
          <w:szCs w:val="24"/>
          <w:lang w:eastAsia="ar-SA"/>
        </w:rPr>
        <w:t>Public Administration reform</w:t>
      </w:r>
      <w:r w:rsidRPr="00FF6C9A">
        <w:rPr>
          <w:szCs w:val="24"/>
          <w:lang w:eastAsia="ar-SA"/>
        </w:rPr>
        <w:t xml:space="preserve">: to enhance the Government and the Parliament evidence based decision making </w:t>
      </w:r>
      <w:r w:rsidRPr="00FF6C9A">
        <w:rPr>
          <w:szCs w:val="24"/>
        </w:rPr>
        <w:t>policy development capacities</w:t>
      </w:r>
      <w:r w:rsidRPr="00236463">
        <w:rPr>
          <w:szCs w:val="24"/>
        </w:rPr>
        <w:t xml:space="preserve"> and gender sensitive human resource management,</w:t>
      </w:r>
      <w:r w:rsidRPr="00236463">
        <w:rPr>
          <w:szCs w:val="24"/>
          <w:lang w:eastAsia="ar-SA"/>
        </w:rPr>
        <w:t xml:space="preserve"> to strengthen the structu</w:t>
      </w:r>
      <w:r w:rsidRPr="00434A3D">
        <w:rPr>
          <w:szCs w:val="24"/>
          <w:lang w:eastAsia="ar-SA"/>
        </w:rPr>
        <w:t xml:space="preserve">res and processes </w:t>
      </w:r>
      <w:r w:rsidRPr="00434A3D">
        <w:rPr>
          <w:szCs w:val="24"/>
          <w:lang w:eastAsia="ar-SA"/>
        </w:rPr>
        <w:lastRenderedPageBreak/>
        <w:t xml:space="preserve">of local governance; to further improve public finance policy processes as well as transparency, accessibility and quality of government services with the aim </w:t>
      </w:r>
      <w:r w:rsidRPr="004028CA">
        <w:rPr>
          <w:szCs w:val="24"/>
        </w:rPr>
        <w:t>to assist the Government in further aligning its legal system with European rules and best practices in particular on disputes, registries and legislation related to the business sphere; to promote a rights based approach encompassing all human rights, and strengthen the institutional and human resource capacities in the judiciary / justice sector</w:t>
      </w:r>
      <w:r w:rsidR="00007CA7">
        <w:rPr>
          <w:szCs w:val="24"/>
        </w:rPr>
        <w:t xml:space="preserve"> </w:t>
      </w:r>
      <w:r w:rsidR="001C2276">
        <w:rPr>
          <w:szCs w:val="24"/>
        </w:rPr>
        <w:t>;</w:t>
      </w:r>
      <w:r w:rsidR="001C2276" w:rsidRPr="00434A3D">
        <w:rPr>
          <w:szCs w:val="24"/>
          <w:lang w:eastAsia="ar-SA"/>
        </w:rPr>
        <w:t xml:space="preserve">to strengthen the fight against corruption and money laundering </w:t>
      </w:r>
      <w:r w:rsidR="005C6188">
        <w:rPr>
          <w:szCs w:val="24"/>
        </w:rPr>
        <w:t>(Specific Objective 1)</w:t>
      </w:r>
      <w:r w:rsidRPr="00FF6C9A">
        <w:rPr>
          <w:szCs w:val="24"/>
        </w:rPr>
        <w:t>;</w:t>
      </w:r>
    </w:p>
    <w:p w:rsidR="00FB5F38" w:rsidRPr="00FF6C9A" w:rsidRDefault="00FB5F38" w:rsidP="008471B3">
      <w:pPr>
        <w:pStyle w:val="ListBullet"/>
        <w:numPr>
          <w:ilvl w:val="0"/>
          <w:numId w:val="45"/>
        </w:numPr>
        <w:tabs>
          <w:tab w:val="left" w:pos="720"/>
        </w:tabs>
        <w:spacing w:after="120"/>
        <w:ind w:right="141"/>
        <w:rPr>
          <w:szCs w:val="24"/>
        </w:rPr>
      </w:pPr>
      <w:r w:rsidRPr="00FF6C9A">
        <w:rPr>
          <w:szCs w:val="24"/>
          <w:lang w:eastAsia="ar-SA"/>
        </w:rPr>
        <w:t>to s</w:t>
      </w:r>
      <w:r w:rsidR="00324E67">
        <w:rPr>
          <w:szCs w:val="24"/>
          <w:lang w:eastAsia="ar-SA"/>
        </w:rPr>
        <w:t xml:space="preserve">trengthen </w:t>
      </w:r>
      <w:r w:rsidR="001C2276">
        <w:rPr>
          <w:szCs w:val="24"/>
          <w:lang w:eastAsia="ar-SA"/>
        </w:rPr>
        <w:t xml:space="preserve">Rule of Law and </w:t>
      </w:r>
      <w:r w:rsidRPr="00FF6C9A">
        <w:rPr>
          <w:szCs w:val="24"/>
          <w:lang w:eastAsia="ar-SA"/>
        </w:rPr>
        <w:t xml:space="preserve">the </w:t>
      </w:r>
      <w:r w:rsidR="00324E67">
        <w:rPr>
          <w:szCs w:val="24"/>
          <w:lang w:eastAsia="ar-SA"/>
        </w:rPr>
        <w:t xml:space="preserve">Justice system </w:t>
      </w:r>
      <w:r w:rsidRPr="00FF6C9A">
        <w:rPr>
          <w:szCs w:val="24"/>
          <w:lang w:eastAsia="ar-SA"/>
        </w:rPr>
        <w:t xml:space="preserve">: </w:t>
      </w:r>
      <w:r w:rsidR="008471B3">
        <w:rPr>
          <w:szCs w:val="24"/>
          <w:lang w:eastAsia="ar-SA"/>
        </w:rPr>
        <w:t xml:space="preserve">a) </w:t>
      </w:r>
      <w:r w:rsidRPr="00236463">
        <w:rPr>
          <w:szCs w:val="24"/>
        </w:rPr>
        <w:t xml:space="preserve">access to justice and legal aid for vulnerable people; zero-tolerance policy against ill-treatment; improving further </w:t>
      </w:r>
      <w:r w:rsidRPr="00434A3D">
        <w:rPr>
          <w:szCs w:val="24"/>
          <w:lang w:eastAsia="ar-SA"/>
        </w:rPr>
        <w:t>the election process in line with international standards</w:t>
      </w:r>
      <w:r w:rsidR="008471B3">
        <w:rPr>
          <w:sz w:val="20"/>
          <w:lang w:eastAsia="ar-SA"/>
        </w:rPr>
        <w:t xml:space="preserve"> </w:t>
      </w:r>
      <w:r w:rsidR="00355C2A">
        <w:t>b) s</w:t>
      </w:r>
      <w:r w:rsidR="008A19B2" w:rsidRPr="00B8558D">
        <w:t>upport the implementation of the Human Rights Strategy and Action Plan</w:t>
      </w:r>
      <w:r w:rsidR="008471B3" w:rsidRPr="008471B3">
        <w:rPr>
          <w:szCs w:val="24"/>
          <w:lang w:eastAsia="ar-SA"/>
        </w:rPr>
        <w:t xml:space="preserve"> </w:t>
      </w:r>
      <w:r w:rsidR="005C6188">
        <w:rPr>
          <w:szCs w:val="24"/>
          <w:lang w:eastAsia="ar-SA"/>
        </w:rPr>
        <w:t xml:space="preserve">(Specific </w:t>
      </w:r>
      <w:r w:rsidR="005C6188" w:rsidRPr="00FF6C9A">
        <w:rPr>
          <w:szCs w:val="24"/>
          <w:lang w:eastAsia="ar-SA"/>
        </w:rPr>
        <w:t>Objective 2)</w:t>
      </w:r>
      <w:r w:rsidRPr="00FF6C9A">
        <w:rPr>
          <w:szCs w:val="24"/>
          <w:lang w:eastAsia="ar-SA"/>
        </w:rPr>
        <w:t>;</w:t>
      </w:r>
    </w:p>
    <w:p w:rsidR="00FB5F38" w:rsidRDefault="00FB5F38" w:rsidP="008471B3">
      <w:pPr>
        <w:pStyle w:val="ListBullet"/>
        <w:numPr>
          <w:ilvl w:val="0"/>
          <w:numId w:val="45"/>
        </w:numPr>
        <w:tabs>
          <w:tab w:val="left" w:pos="720"/>
        </w:tabs>
        <w:spacing w:after="120"/>
        <w:ind w:right="141"/>
        <w:rPr>
          <w:szCs w:val="24"/>
        </w:rPr>
      </w:pPr>
      <w:r w:rsidRPr="00236463">
        <w:rPr>
          <w:szCs w:val="24"/>
        </w:rPr>
        <w:t>to enhance resilience</w:t>
      </w:r>
      <w:r w:rsidR="001C2276">
        <w:rPr>
          <w:szCs w:val="24"/>
        </w:rPr>
        <w:t xml:space="preserve"> and address security</w:t>
      </w:r>
      <w:r w:rsidRPr="00236463">
        <w:rPr>
          <w:szCs w:val="24"/>
        </w:rPr>
        <w:t>: vis-à-vis hybrid threats, natural or industrial disasters and through strengthening security sector reform (incl. in the field of cyber security and organised crime)</w:t>
      </w:r>
      <w:r w:rsidR="001C2276">
        <w:rPr>
          <w:szCs w:val="24"/>
        </w:rPr>
        <w:t xml:space="preserve">, including </w:t>
      </w:r>
      <w:r w:rsidR="001C2276">
        <w:t>actions to increase security</w:t>
      </w:r>
      <w:r w:rsidR="001C2276" w:rsidRPr="00FB5330">
        <w:t xml:space="preserve"> </w:t>
      </w:r>
      <w:r w:rsidR="001C2276">
        <w:t>and</w:t>
      </w:r>
      <w:r w:rsidR="001C2276" w:rsidRPr="00FB5330">
        <w:t xml:space="preserve"> </w:t>
      </w:r>
      <w:r w:rsidR="001C2276">
        <w:t>step up its engagement and non-recognition policy towards the breakaway regions and improve confidence building</w:t>
      </w:r>
      <w:r w:rsidR="001C2276" w:rsidRPr="001038E5">
        <w:t>.</w:t>
      </w:r>
      <w:r w:rsidR="005C6188" w:rsidRPr="00434A3D">
        <w:rPr>
          <w:szCs w:val="24"/>
        </w:rPr>
        <w:t>(Specific Objective 3)</w:t>
      </w:r>
      <w:r w:rsidRPr="004028CA">
        <w:rPr>
          <w:szCs w:val="24"/>
        </w:rPr>
        <w:t xml:space="preserve">. </w:t>
      </w:r>
    </w:p>
    <w:p w:rsidR="008471B3" w:rsidRPr="004028CA" w:rsidRDefault="008471B3" w:rsidP="008471B3">
      <w:pPr>
        <w:pStyle w:val="ListBullet"/>
        <w:numPr>
          <w:ilvl w:val="0"/>
          <w:numId w:val="0"/>
        </w:numPr>
        <w:tabs>
          <w:tab w:val="left" w:pos="720"/>
        </w:tabs>
        <w:spacing w:after="120"/>
        <w:ind w:left="360" w:right="141"/>
        <w:rPr>
          <w:szCs w:val="24"/>
        </w:rPr>
      </w:pPr>
    </w:p>
    <w:p w:rsidR="00C303BB" w:rsidRPr="004028CA" w:rsidRDefault="00F77C8E" w:rsidP="008471B3">
      <w:pPr>
        <w:spacing w:after="120"/>
        <w:jc w:val="both"/>
        <w:rPr>
          <w:lang w:val="en-GB"/>
        </w:rPr>
      </w:pPr>
      <w:r w:rsidRPr="004028CA">
        <w:rPr>
          <w:lang w:val="en-GB"/>
        </w:rPr>
        <w:t>3.2</w:t>
      </w:r>
      <w:r w:rsidR="00C303BB" w:rsidRPr="004028CA">
        <w:rPr>
          <w:lang w:val="en-GB"/>
        </w:rPr>
        <w:t>.2.</w:t>
      </w:r>
      <w:r w:rsidR="00C303BB" w:rsidRPr="004028CA">
        <w:rPr>
          <w:lang w:val="en-GB"/>
        </w:rPr>
        <w:tab/>
        <w:t xml:space="preserve">For each of the specific objectives the main expected </w:t>
      </w:r>
      <w:r w:rsidR="00C303BB" w:rsidRPr="004028CA">
        <w:rPr>
          <w:b/>
          <w:lang w:val="en-GB"/>
        </w:rPr>
        <w:t xml:space="preserve">results </w:t>
      </w:r>
      <w:r w:rsidR="00C303BB" w:rsidRPr="004028CA">
        <w:rPr>
          <w:lang w:val="en-GB"/>
        </w:rPr>
        <w:t xml:space="preserve">are: </w:t>
      </w:r>
    </w:p>
    <w:p w:rsidR="00CE36AE" w:rsidRPr="00FF6C9A" w:rsidRDefault="00A765A8" w:rsidP="00424D90">
      <w:pPr>
        <w:numPr>
          <w:ilvl w:val="0"/>
          <w:numId w:val="48"/>
        </w:numPr>
        <w:tabs>
          <w:tab w:val="left" w:pos="720"/>
        </w:tabs>
        <w:spacing w:after="120"/>
        <w:ind w:right="141"/>
        <w:jc w:val="both"/>
        <w:rPr>
          <w:lang w:val="en-GB"/>
        </w:rPr>
      </w:pPr>
      <w:r w:rsidRPr="004028CA">
        <w:rPr>
          <w:bCs/>
          <w:iCs/>
          <w:lang w:val="en-GB"/>
        </w:rPr>
        <w:t xml:space="preserve">For specific objective 1 :  </w:t>
      </w:r>
      <w:r w:rsidR="00B528CB" w:rsidRPr="00B440B4">
        <w:rPr>
          <w:lang w:val="en-GB" w:eastAsia="en-GB"/>
        </w:rPr>
        <w:t>r</w:t>
      </w:r>
      <w:r w:rsidR="00CE36AE" w:rsidRPr="00B440B4">
        <w:rPr>
          <w:lang w:val="en-GB" w:eastAsia="en-GB"/>
        </w:rPr>
        <w:t xml:space="preserve">obust election legislative framework and administration, taking into account gender equality perspective; </w:t>
      </w:r>
      <w:r w:rsidR="00236463">
        <w:rPr>
          <w:lang w:val="en-GB" w:eastAsia="en-GB"/>
        </w:rPr>
        <w:t xml:space="preserve">greater </w:t>
      </w:r>
      <w:r w:rsidR="00CE36AE" w:rsidRPr="00B440B4">
        <w:rPr>
          <w:lang w:val="en-GB" w:eastAsia="en-GB"/>
        </w:rPr>
        <w:t>oversight</w:t>
      </w:r>
      <w:r w:rsidR="00236463">
        <w:rPr>
          <w:lang w:val="en-GB" w:eastAsia="en-GB"/>
        </w:rPr>
        <w:t xml:space="preserve"> of government from relevant institutions, including </w:t>
      </w:r>
      <w:r w:rsidR="00CE36AE" w:rsidRPr="00B440B4">
        <w:rPr>
          <w:lang w:val="en-GB" w:eastAsia="en-GB"/>
        </w:rPr>
        <w:t xml:space="preserve">Parliament </w:t>
      </w:r>
      <w:r w:rsidR="00B528CB" w:rsidRPr="00B440B4">
        <w:rPr>
          <w:lang w:val="en-GB" w:eastAsia="en-GB"/>
        </w:rPr>
        <w:t xml:space="preserve">; </w:t>
      </w:r>
      <w:r w:rsidR="00236463">
        <w:rPr>
          <w:lang w:val="en-GB" w:eastAsia="en-GB"/>
        </w:rPr>
        <w:t xml:space="preserve">adoption of better policies thanks to </w:t>
      </w:r>
      <w:r w:rsidR="00B528CB" w:rsidRPr="00B440B4">
        <w:rPr>
          <w:lang w:val="en-GB" w:eastAsia="en-GB"/>
        </w:rPr>
        <w:t>s</w:t>
      </w:r>
      <w:r w:rsidR="00CE36AE" w:rsidRPr="00B440B4">
        <w:rPr>
          <w:lang w:val="en-GB" w:eastAsia="en-GB"/>
        </w:rPr>
        <w:t xml:space="preserve">trengthened </w:t>
      </w:r>
      <w:r w:rsidR="00236463">
        <w:rPr>
          <w:lang w:val="en-GB" w:eastAsia="en-GB"/>
        </w:rPr>
        <w:t>policy development processes and better quality of policy making (including law making)</w:t>
      </w:r>
      <w:r w:rsidR="00B528CB" w:rsidRPr="00B440B4">
        <w:rPr>
          <w:lang w:val="en-GB" w:eastAsia="en-GB"/>
        </w:rPr>
        <w:t xml:space="preserve">, enhanced civic engagement, and participation of vulnerable groups in policy-making, with due regard to gender equality ; </w:t>
      </w:r>
      <w:r w:rsidR="00236463">
        <w:rPr>
          <w:lang w:val="en-GB" w:eastAsia="en-GB"/>
        </w:rPr>
        <w:t>broader access to us</w:t>
      </w:r>
      <w:r w:rsidR="00B528CB" w:rsidRPr="00B440B4">
        <w:rPr>
          <w:lang w:val="en-GB" w:eastAsia="en-GB"/>
        </w:rPr>
        <w:t xml:space="preserve">er-centric, </w:t>
      </w:r>
      <w:r w:rsidR="00236463">
        <w:rPr>
          <w:lang w:val="en-GB" w:eastAsia="en-GB"/>
        </w:rPr>
        <w:t xml:space="preserve">qualitative and </w:t>
      </w:r>
      <w:r w:rsidR="00B528CB" w:rsidRPr="00B440B4">
        <w:rPr>
          <w:lang w:val="en-GB" w:eastAsia="en-GB"/>
        </w:rPr>
        <w:t>accountable public services</w:t>
      </w:r>
      <w:r w:rsidR="00236463">
        <w:rPr>
          <w:lang w:val="en-GB" w:eastAsia="en-GB"/>
        </w:rPr>
        <w:t xml:space="preserve"> thanks to efficient quality delivery control systems and merit-basis, professionalism and de-politicisation of the civil service</w:t>
      </w:r>
      <w:r w:rsidR="00B528CB" w:rsidRPr="00B440B4">
        <w:rPr>
          <w:lang w:val="en-GB" w:eastAsia="en-GB"/>
        </w:rPr>
        <w:t xml:space="preserve"> ; </w:t>
      </w:r>
      <w:r w:rsidR="00EB333A">
        <w:rPr>
          <w:lang w:val="en-GB" w:eastAsia="en-GB"/>
        </w:rPr>
        <w:t xml:space="preserve">progress in public finance policy reforms;  </w:t>
      </w:r>
      <w:r w:rsidR="00236463">
        <w:rPr>
          <w:lang w:val="en-GB" w:eastAsia="en-GB"/>
        </w:rPr>
        <w:t xml:space="preserve">reduction of petty corruption thanks to effective implementation of </w:t>
      </w:r>
      <w:r w:rsidR="00CE36AE" w:rsidRPr="00B440B4">
        <w:rPr>
          <w:lang w:val="en-GB" w:eastAsia="en-GB"/>
        </w:rPr>
        <w:t>anti-corruption reforms at the sectoral and local levels and effective prevention and fight</w:t>
      </w:r>
      <w:r w:rsidR="00401966">
        <w:rPr>
          <w:lang w:val="en-GB" w:eastAsia="en-GB"/>
        </w:rPr>
        <w:t xml:space="preserve"> against complex forms of corruption</w:t>
      </w:r>
      <w:r w:rsidR="00CE36AE" w:rsidRPr="00424D90">
        <w:rPr>
          <w:lang w:val="en-GB"/>
        </w:rPr>
        <w:t xml:space="preserve"> ; National and international coordination and cooperation in the development and implementation of policies and activities to combat money laundering and financing of terrorism</w:t>
      </w:r>
      <w:r w:rsidR="00B528CB" w:rsidRPr="00B440B4">
        <w:rPr>
          <w:lang w:val="en-GB"/>
        </w:rPr>
        <w:t xml:space="preserve"> ; p</w:t>
      </w:r>
      <w:r w:rsidR="00CE36AE" w:rsidRPr="00FF6C9A">
        <w:rPr>
          <w:lang w:val="en-GB"/>
        </w:rPr>
        <w:t xml:space="preserve">rotection of </w:t>
      </w:r>
      <w:r w:rsidR="00CE36AE" w:rsidRPr="00B440B4">
        <w:rPr>
          <w:lang w:val="en-GB"/>
        </w:rPr>
        <w:t xml:space="preserve">all </w:t>
      </w:r>
      <w:r w:rsidR="00CE36AE" w:rsidRPr="00FF6C9A">
        <w:rPr>
          <w:lang w:val="en-GB"/>
        </w:rPr>
        <w:t>Human Rights</w:t>
      </w:r>
      <w:r w:rsidR="00CE36AE" w:rsidRPr="00B440B4">
        <w:rPr>
          <w:lang w:val="en-GB"/>
        </w:rPr>
        <w:t xml:space="preserve"> is </w:t>
      </w:r>
      <w:r w:rsidR="00CE36AE" w:rsidRPr="00FF6C9A">
        <w:rPr>
          <w:lang w:val="en-GB"/>
        </w:rPr>
        <w:t>mainstreamed and incorporated into Georgian legislation and its enforcement and promoted in business</w:t>
      </w:r>
      <w:r w:rsidR="00CE36AE" w:rsidRPr="00B440B4">
        <w:rPr>
          <w:lang w:val="en-GB"/>
        </w:rPr>
        <w:t xml:space="preserve">. </w:t>
      </w:r>
    </w:p>
    <w:p w:rsidR="006A565C" w:rsidRPr="00434A3D" w:rsidRDefault="00A765A8" w:rsidP="006409E3">
      <w:pPr>
        <w:numPr>
          <w:ilvl w:val="0"/>
          <w:numId w:val="48"/>
        </w:numPr>
        <w:spacing w:after="120"/>
        <w:jc w:val="both"/>
        <w:rPr>
          <w:lang w:val="en-GB" w:eastAsia="en-GB"/>
        </w:rPr>
      </w:pPr>
      <w:r w:rsidRPr="004028CA">
        <w:rPr>
          <w:bCs/>
          <w:iCs/>
          <w:lang w:val="en-GB"/>
        </w:rPr>
        <w:t xml:space="preserve">For specific objective 2 </w:t>
      </w:r>
      <w:r w:rsidR="00401966">
        <w:rPr>
          <w:bCs/>
          <w:iCs/>
          <w:lang w:val="en-GB"/>
        </w:rPr>
        <w:t>: broader access to justice for vulnerable categories of population (wider use of legal aid)</w:t>
      </w:r>
      <w:r w:rsidR="004B5D66">
        <w:rPr>
          <w:bCs/>
          <w:iCs/>
          <w:lang w:val="en-GB"/>
        </w:rPr>
        <w:t>, higher participation of women, youth and ethnic minorities in elections, politics, policy development and decision making</w:t>
      </w:r>
      <w:r w:rsidR="00C52FD1" w:rsidRPr="001038E5">
        <w:rPr>
          <w:lang w:val="en-GB" w:eastAsia="en-GB"/>
        </w:rPr>
        <w:t>, g</w:t>
      </w:r>
      <w:r w:rsidR="00C52FD1" w:rsidRPr="001038E5">
        <w:rPr>
          <w:lang w:val="en-GB"/>
        </w:rPr>
        <w:t xml:space="preserve">ender </w:t>
      </w:r>
      <w:r w:rsidR="0053719F" w:rsidRPr="001038E5">
        <w:rPr>
          <w:lang w:val="en-GB"/>
        </w:rPr>
        <w:t>equality advanced</w:t>
      </w:r>
      <w:r w:rsidR="00C52FD1" w:rsidRPr="001038E5">
        <w:rPr>
          <w:lang w:val="en-GB"/>
        </w:rPr>
        <w:t xml:space="preserve"> and mainstreamed into Georgian legislation and its implementation</w:t>
      </w:r>
      <w:r w:rsidR="001C2276">
        <w:rPr>
          <w:lang w:val="en-GB"/>
        </w:rPr>
        <w:t>.</w:t>
      </w:r>
    </w:p>
    <w:p w:rsidR="00596039" w:rsidRPr="00B440B4" w:rsidRDefault="005C6188" w:rsidP="006409E3">
      <w:pPr>
        <w:numPr>
          <w:ilvl w:val="0"/>
          <w:numId w:val="48"/>
        </w:numPr>
        <w:spacing w:after="120"/>
        <w:jc w:val="both"/>
        <w:rPr>
          <w:i/>
          <w:lang w:val="en-GB" w:eastAsia="en-GB"/>
        </w:rPr>
      </w:pPr>
      <w:r w:rsidRPr="00B440B4">
        <w:rPr>
          <w:lang w:val="en-GB"/>
        </w:rPr>
        <w:t xml:space="preserve">For Specific Objective 3: </w:t>
      </w:r>
      <w:r w:rsidR="00A765A8" w:rsidRPr="00B440B4">
        <w:rPr>
          <w:lang w:val="en-GB"/>
        </w:rPr>
        <w:t>improved safety and security at the borders through integrated border management</w:t>
      </w:r>
      <w:r w:rsidR="004B5D66">
        <w:rPr>
          <w:lang w:val="en-GB"/>
        </w:rPr>
        <w:t xml:space="preserve">, better countering of hybrid </w:t>
      </w:r>
      <w:r w:rsidRPr="00434A3D">
        <w:rPr>
          <w:lang w:val="en-GB"/>
        </w:rPr>
        <w:t xml:space="preserve">threats and cybercrime </w:t>
      </w:r>
      <w:r w:rsidR="004B5D66">
        <w:rPr>
          <w:lang w:val="en-GB"/>
        </w:rPr>
        <w:t>by Georgian Authorities</w:t>
      </w:r>
      <w:r w:rsidRPr="00434A3D">
        <w:rPr>
          <w:lang w:val="en-GB"/>
        </w:rPr>
        <w:t xml:space="preserve">; </w:t>
      </w:r>
      <w:r w:rsidR="004B5D66">
        <w:rPr>
          <w:lang w:val="en-GB"/>
        </w:rPr>
        <w:t>Better</w:t>
      </w:r>
      <w:r w:rsidR="00A765A8" w:rsidRPr="00434A3D">
        <w:rPr>
          <w:lang w:val="en-GB"/>
        </w:rPr>
        <w:t xml:space="preserve"> </w:t>
      </w:r>
      <w:r w:rsidRPr="00434A3D">
        <w:rPr>
          <w:lang w:val="en-GB"/>
        </w:rPr>
        <w:t>disaster preparedness</w:t>
      </w:r>
      <w:r w:rsidR="004B5D66">
        <w:rPr>
          <w:lang w:val="en-GB"/>
        </w:rPr>
        <w:t xml:space="preserve"> and natural and industrial risk reduction</w:t>
      </w:r>
      <w:r w:rsidRPr="00434A3D">
        <w:rPr>
          <w:lang w:val="en-GB"/>
        </w:rPr>
        <w:t xml:space="preserve">; </w:t>
      </w:r>
      <w:r w:rsidR="004B5D66">
        <w:rPr>
          <w:lang w:val="en-GB"/>
        </w:rPr>
        <w:t xml:space="preserve">Better prevention of </w:t>
      </w:r>
      <w:r w:rsidR="00B8687C" w:rsidRPr="00B440B4">
        <w:rPr>
          <w:lang w:val="en-GB"/>
        </w:rPr>
        <w:t xml:space="preserve">illegal migration </w:t>
      </w:r>
      <w:r w:rsidR="004B5D66">
        <w:rPr>
          <w:lang w:val="en-GB"/>
        </w:rPr>
        <w:t xml:space="preserve">(including human trafficking) and enhanced reintegration of </w:t>
      </w:r>
      <w:r w:rsidR="00B8687C" w:rsidRPr="00B440B4">
        <w:rPr>
          <w:lang w:val="en-GB"/>
        </w:rPr>
        <w:t>returned Georgians</w:t>
      </w:r>
      <w:r w:rsidR="000E4EEA">
        <w:rPr>
          <w:lang w:val="en-GB"/>
        </w:rPr>
        <w:t xml:space="preserve"> </w:t>
      </w:r>
      <w:r w:rsidR="005641CB" w:rsidRPr="00532784">
        <w:rPr>
          <w:lang w:val="en-GB"/>
        </w:rPr>
        <w:t>towards the breakaway regions</w:t>
      </w:r>
      <w:r w:rsidR="001038E5" w:rsidRPr="00B440B4">
        <w:rPr>
          <w:lang w:val="en-GB"/>
        </w:rPr>
        <w:t>.</w:t>
      </w:r>
    </w:p>
    <w:p w:rsidR="00222DB4" w:rsidRPr="006409E3" w:rsidRDefault="00F77C8E" w:rsidP="006409E3">
      <w:pPr>
        <w:spacing w:after="120"/>
        <w:jc w:val="both"/>
        <w:rPr>
          <w:lang w:val="en-GB"/>
        </w:rPr>
      </w:pPr>
      <w:r w:rsidRPr="00B440B4">
        <w:rPr>
          <w:lang w:val="en-GB"/>
        </w:rPr>
        <w:t>3.</w:t>
      </w:r>
      <w:r w:rsidR="00222DB4">
        <w:rPr>
          <w:lang w:val="en-GB"/>
        </w:rPr>
        <w:t>2</w:t>
      </w:r>
      <w:r w:rsidR="00C303BB" w:rsidRPr="00FF6C9A">
        <w:rPr>
          <w:lang w:val="en-GB"/>
        </w:rPr>
        <w:t>.3.</w:t>
      </w:r>
      <w:r w:rsidR="00C303BB" w:rsidRPr="00FF6C9A">
        <w:rPr>
          <w:lang w:val="en-GB"/>
        </w:rPr>
        <w:tab/>
      </w:r>
      <w:r w:rsidR="00222DB4" w:rsidRPr="006531FF">
        <w:rPr>
          <w:lang w:val="en-GB"/>
        </w:rPr>
        <w:t xml:space="preserve">The main </w:t>
      </w:r>
      <w:r w:rsidR="00222DB4" w:rsidRPr="006531FF">
        <w:rPr>
          <w:b/>
          <w:lang w:val="en-GB"/>
        </w:rPr>
        <w:t>indicators</w:t>
      </w:r>
      <w:r w:rsidR="00222DB4" w:rsidRPr="006531FF">
        <w:rPr>
          <w:lang w:val="en-GB"/>
        </w:rPr>
        <w:t xml:space="preserve"> are:</w:t>
      </w:r>
    </w:p>
    <w:p w:rsidR="00222DB4" w:rsidRDefault="00222DB4" w:rsidP="006409E3">
      <w:pPr>
        <w:numPr>
          <w:ilvl w:val="0"/>
          <w:numId w:val="43"/>
        </w:numPr>
        <w:ind w:left="714" w:hanging="357"/>
        <w:jc w:val="both"/>
        <w:rPr>
          <w:lang w:val="en-GB"/>
        </w:rPr>
      </w:pPr>
      <w:r w:rsidRPr="00EF55B1">
        <w:rPr>
          <w:lang w:val="en-GB"/>
        </w:rPr>
        <w:t>Improvement of election legal framework integrating OSCE/Venice Commission recommendations</w:t>
      </w:r>
      <w:r w:rsidRPr="00FF6C9A">
        <w:rPr>
          <w:lang w:val="en-GB"/>
        </w:rPr>
        <w:t xml:space="preserve"> </w:t>
      </w:r>
    </w:p>
    <w:p w:rsidR="00222DB4" w:rsidRDefault="006409E3" w:rsidP="00222DB4">
      <w:pPr>
        <w:numPr>
          <w:ilvl w:val="0"/>
          <w:numId w:val="43"/>
        </w:numPr>
        <w:ind w:left="714" w:hanging="357"/>
        <w:jc w:val="both"/>
        <w:rPr>
          <w:lang w:val="en-GB"/>
        </w:rPr>
      </w:pPr>
      <w:r>
        <w:rPr>
          <w:lang w:val="en-GB"/>
        </w:rPr>
        <w:t>I</w:t>
      </w:r>
      <w:r w:rsidR="00222DB4" w:rsidRPr="00EF55B1">
        <w:rPr>
          <w:lang w:val="en-GB"/>
        </w:rPr>
        <w:t>mprovement in World Governance indicator on voice and accountability</w:t>
      </w:r>
      <w:r w:rsidR="007A1090">
        <w:rPr>
          <w:lang w:val="en-GB"/>
        </w:rPr>
        <w:t xml:space="preserve">, </w:t>
      </w:r>
      <w:r w:rsidR="00222DB4">
        <w:rPr>
          <w:lang w:val="en-GB"/>
        </w:rPr>
        <w:t>regulatory quality</w:t>
      </w:r>
      <w:r w:rsidR="007A1090">
        <w:rPr>
          <w:lang w:val="en-GB"/>
        </w:rPr>
        <w:t xml:space="preserve"> </w:t>
      </w:r>
      <w:r w:rsidR="007A1090" w:rsidRPr="001038E5">
        <w:rPr>
          <w:rFonts w:eastAsia="Calibri"/>
          <w:lang w:val="en-GB" w:eastAsia="en-US"/>
        </w:rPr>
        <w:t>cont</w:t>
      </w:r>
      <w:r w:rsidR="00197EF6">
        <w:rPr>
          <w:rFonts w:eastAsia="Calibri"/>
          <w:lang w:val="en-GB" w:eastAsia="en-US"/>
        </w:rPr>
        <w:t>rol of corruption, government effectiveness</w:t>
      </w:r>
    </w:p>
    <w:p w:rsidR="00222DB4" w:rsidRPr="00B440B4" w:rsidRDefault="00197EF6" w:rsidP="00222DB4">
      <w:pPr>
        <w:numPr>
          <w:ilvl w:val="0"/>
          <w:numId w:val="43"/>
        </w:numPr>
        <w:ind w:left="714" w:hanging="357"/>
        <w:jc w:val="both"/>
        <w:rPr>
          <w:lang w:val="en-GB"/>
        </w:rPr>
      </w:pPr>
      <w:r>
        <w:rPr>
          <w:rFonts w:eastAsia="Calibri"/>
          <w:lang w:val="en-GB" w:eastAsia="en-US"/>
        </w:rPr>
        <w:lastRenderedPageBreak/>
        <w:t>I</w:t>
      </w:r>
      <w:r w:rsidR="00222DB4" w:rsidRPr="000E4EEA">
        <w:rPr>
          <w:rFonts w:eastAsia="Calibri"/>
          <w:lang w:val="en-US"/>
        </w:rPr>
        <w:t xml:space="preserve">ncrease of accessibility to public services by citizens and businesses (development of community </w:t>
      </w:r>
      <w:r w:rsidR="006409E3" w:rsidRPr="000E4EEA">
        <w:rPr>
          <w:rFonts w:eastAsia="Calibri"/>
          <w:lang w:val="en-US"/>
        </w:rPr>
        <w:t>centers</w:t>
      </w:r>
      <w:r w:rsidR="00222DB4" w:rsidRPr="000E4EEA">
        <w:rPr>
          <w:rFonts w:eastAsia="Calibri"/>
          <w:lang w:val="en-US"/>
        </w:rPr>
        <w:t xml:space="preserve">, increase of services provided by community </w:t>
      </w:r>
      <w:r w:rsidR="006409E3" w:rsidRPr="000E4EEA">
        <w:rPr>
          <w:rFonts w:eastAsia="Calibri"/>
          <w:lang w:val="en-US"/>
        </w:rPr>
        <w:t>centers</w:t>
      </w:r>
      <w:r w:rsidR="00222DB4" w:rsidRPr="000E4EEA">
        <w:rPr>
          <w:rFonts w:eastAsia="Calibri"/>
          <w:lang w:val="en-US"/>
        </w:rPr>
        <w:t>, increase of services through national and local e-portals eg.mygov.ge, mytbilisi.ge…)</w:t>
      </w:r>
    </w:p>
    <w:p w:rsidR="00222DB4" w:rsidRPr="000E4EEA" w:rsidRDefault="00F47446" w:rsidP="00FF6C9A">
      <w:pPr>
        <w:numPr>
          <w:ilvl w:val="0"/>
          <w:numId w:val="43"/>
        </w:numPr>
        <w:spacing w:before="120" w:after="120"/>
        <w:jc w:val="both"/>
        <w:rPr>
          <w:lang w:val="en-US"/>
        </w:rPr>
      </w:pPr>
      <w:r w:rsidRPr="000E4EEA">
        <w:rPr>
          <w:lang w:val="en-US"/>
        </w:rPr>
        <w:t>F</w:t>
      </w:r>
      <w:r w:rsidR="00222DB4" w:rsidRPr="000E4EEA">
        <w:rPr>
          <w:lang w:val="en-US"/>
        </w:rPr>
        <w:t>air and transparent implementation of H</w:t>
      </w:r>
      <w:r w:rsidR="007A1090" w:rsidRPr="000E4EEA">
        <w:rPr>
          <w:lang w:val="en-US"/>
        </w:rPr>
        <w:t xml:space="preserve">uman </w:t>
      </w:r>
      <w:r w:rsidR="00222DB4" w:rsidRPr="000E4EEA">
        <w:rPr>
          <w:lang w:val="en-US"/>
        </w:rPr>
        <w:t>R</w:t>
      </w:r>
      <w:r w:rsidR="007A1090" w:rsidRPr="000E4EEA">
        <w:rPr>
          <w:lang w:val="en-US"/>
        </w:rPr>
        <w:t xml:space="preserve">esources </w:t>
      </w:r>
      <w:r w:rsidR="00222DB4" w:rsidRPr="000E4EEA">
        <w:rPr>
          <w:lang w:val="en-US"/>
        </w:rPr>
        <w:t>M</w:t>
      </w:r>
      <w:r w:rsidR="007A1090" w:rsidRPr="000E4EEA">
        <w:rPr>
          <w:lang w:val="en-US"/>
        </w:rPr>
        <w:t>anagement new rules in public institution</w:t>
      </w:r>
      <w:r w:rsidR="00222DB4" w:rsidRPr="000E4EEA">
        <w:rPr>
          <w:lang w:val="en-US"/>
        </w:rPr>
        <w:t>.</w:t>
      </w:r>
    </w:p>
    <w:p w:rsidR="007A1090" w:rsidRPr="00EF55B1" w:rsidRDefault="007A1090" w:rsidP="007A1090">
      <w:pPr>
        <w:numPr>
          <w:ilvl w:val="0"/>
          <w:numId w:val="43"/>
        </w:numPr>
        <w:spacing w:line="276" w:lineRule="auto"/>
        <w:rPr>
          <w:lang w:val="en-GB"/>
        </w:rPr>
      </w:pPr>
      <w:r w:rsidRPr="001038E5">
        <w:rPr>
          <w:lang w:val="en-GB" w:eastAsia="en-US"/>
        </w:rPr>
        <w:t>National PEFA scores, Open Budget Index</w:t>
      </w:r>
      <w:r w:rsidRPr="00EF55B1">
        <w:rPr>
          <w:lang w:val="en-GB"/>
        </w:rPr>
        <w:t xml:space="preserve"> scores</w:t>
      </w:r>
    </w:p>
    <w:p w:rsidR="007A1090" w:rsidRPr="00B440B4" w:rsidRDefault="007A1090" w:rsidP="00222DB4">
      <w:pPr>
        <w:numPr>
          <w:ilvl w:val="0"/>
          <w:numId w:val="43"/>
        </w:numPr>
        <w:ind w:left="714" w:hanging="357"/>
        <w:jc w:val="both"/>
        <w:rPr>
          <w:lang w:val="en-GB"/>
        </w:rPr>
      </w:pPr>
      <w:r w:rsidRPr="001038E5">
        <w:rPr>
          <w:rFonts w:eastAsia="Calibri"/>
          <w:lang w:val="en-GB" w:eastAsia="en-US"/>
        </w:rPr>
        <w:t>Wider use of state-funded legal aid (cases and consultations);</w:t>
      </w:r>
    </w:p>
    <w:p w:rsidR="00197EF6" w:rsidRPr="00B440B4" w:rsidRDefault="00F47446" w:rsidP="00222DB4">
      <w:pPr>
        <w:numPr>
          <w:ilvl w:val="0"/>
          <w:numId w:val="43"/>
        </w:numPr>
        <w:ind w:left="714" w:hanging="357"/>
        <w:jc w:val="both"/>
        <w:rPr>
          <w:lang w:val="en-GB"/>
        </w:rPr>
      </w:pPr>
      <w:r>
        <w:rPr>
          <w:rFonts w:eastAsia="Calibri"/>
          <w:lang w:val="en-GB" w:eastAsia="en-US"/>
        </w:rPr>
        <w:t>P</w:t>
      </w:r>
      <w:r w:rsidR="00197EF6">
        <w:rPr>
          <w:rFonts w:eastAsia="Calibri"/>
          <w:lang w:val="en-GB" w:eastAsia="en-US"/>
        </w:rPr>
        <w:t>ercentage of women/youth/ethnic minorities in elections, politics, policy development and decision making processes</w:t>
      </w:r>
    </w:p>
    <w:p w:rsidR="007A1090" w:rsidRDefault="007A1090" w:rsidP="00222DB4">
      <w:pPr>
        <w:numPr>
          <w:ilvl w:val="0"/>
          <w:numId w:val="43"/>
        </w:numPr>
        <w:ind w:left="714" w:hanging="357"/>
        <w:jc w:val="both"/>
        <w:rPr>
          <w:lang w:val="en-GB"/>
        </w:rPr>
      </w:pPr>
      <w:r w:rsidRPr="00EF55B1">
        <w:rPr>
          <w:lang w:val="en-GB"/>
        </w:rPr>
        <w:t>Integrated border management is implemented in all Border Crossing Points and Green Border sectors</w:t>
      </w:r>
    </w:p>
    <w:p w:rsidR="007A1090" w:rsidRDefault="00915B1D" w:rsidP="00B440B4">
      <w:pPr>
        <w:pStyle w:val="Default"/>
        <w:numPr>
          <w:ilvl w:val="0"/>
          <w:numId w:val="43"/>
        </w:numPr>
        <w:jc w:val="both"/>
        <w:rPr>
          <w:rFonts w:ascii="Times New Roman" w:hAnsi="Times New Roman"/>
          <w:color w:val="auto"/>
        </w:rPr>
      </w:pPr>
      <w:r>
        <w:rPr>
          <w:rFonts w:ascii="Times New Roman" w:hAnsi="Times New Roman"/>
          <w:color w:val="auto"/>
        </w:rPr>
        <w:t>D</w:t>
      </w:r>
      <w:r w:rsidR="007A1090" w:rsidRPr="00EF55B1">
        <w:rPr>
          <w:rFonts w:ascii="Times New Roman" w:hAnsi="Times New Roman"/>
          <w:color w:val="auto"/>
        </w:rPr>
        <w:t xml:space="preserve">evelopment of </w:t>
      </w:r>
      <w:r>
        <w:rPr>
          <w:rFonts w:ascii="Times New Roman" w:hAnsi="Times New Roman"/>
          <w:color w:val="auto"/>
        </w:rPr>
        <w:t xml:space="preserve">a </w:t>
      </w:r>
      <w:r w:rsidR="007A1090" w:rsidRPr="00EF55B1">
        <w:rPr>
          <w:rFonts w:ascii="Times New Roman" w:hAnsi="Times New Roman"/>
          <w:color w:val="auto"/>
        </w:rPr>
        <w:t xml:space="preserve">network of national Computer </w:t>
      </w:r>
      <w:r w:rsidR="00197EF6">
        <w:rPr>
          <w:rFonts w:ascii="Times New Roman" w:hAnsi="Times New Roman"/>
          <w:color w:val="auto"/>
        </w:rPr>
        <w:t xml:space="preserve">Emergency Response Team (CERT) </w:t>
      </w:r>
      <w:r w:rsidR="007A1090" w:rsidRPr="00EF55B1">
        <w:rPr>
          <w:rFonts w:ascii="Times New Roman" w:hAnsi="Times New Roman"/>
          <w:color w:val="auto"/>
        </w:rPr>
        <w:t xml:space="preserve">to be linked to EU CERTs. </w:t>
      </w:r>
    </w:p>
    <w:p w:rsidR="00197EF6" w:rsidRPr="00EF55B1" w:rsidRDefault="00915B1D" w:rsidP="00B440B4">
      <w:pPr>
        <w:pStyle w:val="Default"/>
        <w:numPr>
          <w:ilvl w:val="0"/>
          <w:numId w:val="43"/>
        </w:numPr>
        <w:jc w:val="both"/>
        <w:rPr>
          <w:rFonts w:ascii="Times New Roman" w:hAnsi="Times New Roman"/>
          <w:color w:val="auto"/>
        </w:rPr>
      </w:pPr>
      <w:r>
        <w:rPr>
          <w:rFonts w:ascii="Times New Roman" w:hAnsi="Times New Roman"/>
          <w:color w:val="auto"/>
        </w:rPr>
        <w:t>Percentage of Municipalities having adopted a Disaster Prevention Plan</w:t>
      </w:r>
    </w:p>
    <w:p w:rsidR="00197EF6" w:rsidRDefault="00197EF6" w:rsidP="00222DB4">
      <w:pPr>
        <w:numPr>
          <w:ilvl w:val="0"/>
          <w:numId w:val="43"/>
        </w:numPr>
        <w:ind w:left="714" w:hanging="357"/>
        <w:jc w:val="both"/>
        <w:rPr>
          <w:lang w:val="en-GB"/>
        </w:rPr>
      </w:pPr>
      <w:r>
        <w:rPr>
          <w:lang w:val="en-GB"/>
        </w:rPr>
        <w:t>Number of convictions for trafficking, organized crime, smuggling and counterfeiting offences</w:t>
      </w:r>
    </w:p>
    <w:p w:rsidR="006409E3" w:rsidRDefault="006409E3" w:rsidP="006409E3">
      <w:pPr>
        <w:ind w:left="714"/>
        <w:jc w:val="both"/>
        <w:rPr>
          <w:lang w:val="en-GB"/>
        </w:rPr>
      </w:pPr>
    </w:p>
    <w:p w:rsidR="003826D1" w:rsidRPr="00B440B4" w:rsidRDefault="00F77C8E" w:rsidP="006409E3">
      <w:pPr>
        <w:snapToGrid w:val="0"/>
        <w:spacing w:after="120"/>
        <w:jc w:val="both"/>
        <w:rPr>
          <w:lang w:val="en-GB" w:eastAsia="en-US"/>
        </w:rPr>
      </w:pPr>
      <w:r w:rsidRPr="00FF6C9A">
        <w:rPr>
          <w:lang w:val="en-GB"/>
        </w:rPr>
        <w:t>3.2</w:t>
      </w:r>
      <w:r w:rsidR="00C303BB" w:rsidRPr="00FF6C9A">
        <w:rPr>
          <w:lang w:val="en-GB"/>
        </w:rPr>
        <w:t>.4.</w:t>
      </w:r>
      <w:r w:rsidR="00C303BB" w:rsidRPr="00FF6C9A">
        <w:rPr>
          <w:lang w:val="en-GB"/>
        </w:rPr>
        <w:tab/>
      </w:r>
      <w:r w:rsidR="003826D1" w:rsidRPr="00B440B4">
        <w:rPr>
          <w:b/>
          <w:lang w:val="en-GB"/>
        </w:rPr>
        <w:t>Donor coordination and policy dialogue</w:t>
      </w:r>
      <w:r w:rsidR="003826D1" w:rsidRPr="00B440B4">
        <w:rPr>
          <w:lang w:val="en-GB"/>
        </w:rPr>
        <w:t xml:space="preserve"> are taking place in various formats, both government and donor led, varying according to the thematic area. </w:t>
      </w:r>
      <w:r w:rsidR="00434A3D">
        <w:rPr>
          <w:lang w:val="en-GB"/>
        </w:rPr>
        <w:t>Directly related with the Association Agreement, important fora of discussion include the Association Committee and the specific sub-committees, which provide an opportunity to strengthen policy dialogue. In addition, g</w:t>
      </w:r>
      <w:r w:rsidR="003826D1" w:rsidRPr="00B440B4">
        <w:rPr>
          <w:lang w:val="en-GB"/>
        </w:rPr>
        <w:t xml:space="preserve">overnance as a general theme is discussed in joint government-donor governance thematic group. Public </w:t>
      </w:r>
      <w:r w:rsidR="003826D1" w:rsidRPr="00B440B4">
        <w:rPr>
          <w:lang w:val="en-GB" w:eastAsia="en-US"/>
        </w:rPr>
        <w:t>Administration Reform is discussed within the Public Administration Reform Council, government led group where the EU is an observer; there is in parallel an informal donor led group of discussion. Local governance is discussed at Government level in the Commission for Regional Development and there is in parallel a UNDP-led donor coordination group on local government. Justice is discussed in the governmental Judicial Strategic Committee; there is in parallel donor groups including Government, US, EU, GIZ, UNDP, Open Society, CoE. Criminal justice is discussed in the framework of the Criminal Justice Reform Inter-Agency Council (Working Group); there is a parallel discussion group including the EU and the US. For what pertains to Civil, Administrative and Constitutional laws, discussions take place in the Consultative Council on Private Law Reform (Working Group) and ); there is a parallel discussion group including the EU, Germany and the US. Human rights are discussed within the Rule of Law and Justice Thematic Coordination Group and the EU leads a coordination group. On Civil Society, there is a government led thematic governance group (democratic participation and civil society); in parallel there is a reference group for the EU Road Map for engagement with CS (donors, CSOs and SMfE-AR), EU Development Counsellors meetings and EU-USAID meetings. On Elections (incl. Media Election Monitoring) there are meetings at Working Group level with Central Election Commission (including donors); EU - EU Member States meeting also took place on elections. On Gender there is Government Gender Donor coordination group. On Women's political participation there is a Gender Task Force on Women’s political participation</w:t>
      </w:r>
      <w:r w:rsidR="00253A3B" w:rsidRPr="00B440B4">
        <w:rPr>
          <w:lang w:val="en-GB" w:eastAsia="en-US"/>
        </w:rPr>
        <w:t xml:space="preserve"> and a parallel working group including NGOs, political parties and international organisations (coordinated by NDI).</w:t>
      </w:r>
    </w:p>
    <w:p w:rsidR="0003328E" w:rsidRPr="00B440B4" w:rsidRDefault="00F77C8E" w:rsidP="00B440B4">
      <w:pPr>
        <w:spacing w:after="120"/>
        <w:jc w:val="both"/>
        <w:rPr>
          <w:lang w:val="en-GB"/>
        </w:rPr>
      </w:pPr>
      <w:r w:rsidRPr="00B440B4">
        <w:rPr>
          <w:lang w:val="en-GB"/>
        </w:rPr>
        <w:t>3.2</w:t>
      </w:r>
      <w:r w:rsidR="00C303BB" w:rsidRPr="00B440B4">
        <w:rPr>
          <w:lang w:val="en-GB"/>
        </w:rPr>
        <w:t>.5.</w:t>
      </w:r>
      <w:r w:rsidR="00C303BB" w:rsidRPr="00B440B4">
        <w:rPr>
          <w:lang w:val="en-GB"/>
        </w:rPr>
        <w:tab/>
        <w:t xml:space="preserve">The </w:t>
      </w:r>
      <w:r w:rsidR="00C303BB" w:rsidRPr="00B440B4">
        <w:rPr>
          <w:i/>
          <w:lang w:val="en-GB"/>
        </w:rPr>
        <w:t>partner country's authorities</w:t>
      </w:r>
      <w:r w:rsidR="00C303BB" w:rsidRPr="00B440B4">
        <w:rPr>
          <w:lang w:val="en-GB"/>
        </w:rPr>
        <w:t xml:space="preserve"> </w:t>
      </w:r>
      <w:r w:rsidR="00C303BB" w:rsidRPr="00B440B4">
        <w:rPr>
          <w:b/>
          <w:lang w:val="en-GB"/>
        </w:rPr>
        <w:t>financial and policy commitments</w:t>
      </w:r>
      <w:r w:rsidR="00C303BB" w:rsidRPr="00B440B4">
        <w:rPr>
          <w:lang w:val="en-GB"/>
        </w:rPr>
        <w:t xml:space="preserve"> are</w:t>
      </w:r>
      <w:r w:rsidR="00D34046" w:rsidRPr="00B440B4">
        <w:rPr>
          <w:lang w:val="en-GB"/>
        </w:rPr>
        <w:t xml:space="preserve"> described in the revised Association Agenda 2017-2019</w:t>
      </w:r>
      <w:r w:rsidR="00C303BB" w:rsidRPr="00B440B4">
        <w:rPr>
          <w:i/>
          <w:lang w:val="en-GB"/>
        </w:rPr>
        <w:t xml:space="preserve"> </w:t>
      </w:r>
    </w:p>
    <w:p w:rsidR="00727CF1" w:rsidRPr="006409E3" w:rsidRDefault="00F77C8E" w:rsidP="00B440B4">
      <w:pPr>
        <w:spacing w:after="120"/>
        <w:ind w:left="705" w:hanging="705"/>
        <w:jc w:val="both"/>
        <w:rPr>
          <w:i/>
          <w:lang w:val="en-GB"/>
        </w:rPr>
      </w:pPr>
      <w:r w:rsidRPr="00B440B4">
        <w:rPr>
          <w:lang w:val="en-GB"/>
        </w:rPr>
        <w:t>3.2</w:t>
      </w:r>
      <w:r w:rsidR="00C303BB" w:rsidRPr="00B440B4">
        <w:rPr>
          <w:lang w:val="en-GB"/>
        </w:rPr>
        <w:t>.6.</w:t>
      </w:r>
      <w:r w:rsidR="00C303BB" w:rsidRPr="00B440B4">
        <w:rPr>
          <w:lang w:val="en-GB"/>
        </w:rPr>
        <w:tab/>
      </w:r>
      <w:r w:rsidR="007A1090">
        <w:rPr>
          <w:lang w:val="en-GB"/>
        </w:rPr>
        <w:t xml:space="preserve">No </w:t>
      </w:r>
      <w:r w:rsidR="00C303BB" w:rsidRPr="00FF6C9A">
        <w:rPr>
          <w:b/>
          <w:lang w:val="en-GB"/>
        </w:rPr>
        <w:t>environmental assessment</w:t>
      </w:r>
      <w:r w:rsidR="00C303BB" w:rsidRPr="00FF6C9A">
        <w:rPr>
          <w:lang w:val="en-GB"/>
        </w:rPr>
        <w:t xml:space="preserve"> (SEA or EIA)</w:t>
      </w:r>
      <w:r w:rsidR="007A1090">
        <w:rPr>
          <w:lang w:val="en-GB"/>
        </w:rPr>
        <w:t xml:space="preserve"> is needed. </w:t>
      </w:r>
    </w:p>
    <w:p w:rsidR="003B3B78" w:rsidRPr="00B440B4" w:rsidRDefault="00F77C8E" w:rsidP="00FF6C9A">
      <w:pPr>
        <w:spacing w:after="120"/>
        <w:jc w:val="both"/>
        <w:rPr>
          <w:lang w:val="en-GB"/>
        </w:rPr>
      </w:pPr>
      <w:r w:rsidRPr="00FF6C9A">
        <w:rPr>
          <w:lang w:val="en-GB"/>
        </w:rPr>
        <w:t>3.2</w:t>
      </w:r>
      <w:r w:rsidR="00C303BB" w:rsidRPr="00FF6C9A">
        <w:rPr>
          <w:lang w:val="en-GB"/>
        </w:rPr>
        <w:t>.7.</w:t>
      </w:r>
      <w:r w:rsidR="00C303BB" w:rsidRPr="00FF6C9A">
        <w:rPr>
          <w:lang w:val="en-GB"/>
        </w:rPr>
        <w:tab/>
      </w:r>
      <w:r w:rsidR="00DD6B4F">
        <w:rPr>
          <w:lang w:val="en-GB"/>
        </w:rPr>
        <w:t>Concerning the</w:t>
      </w:r>
      <w:r w:rsidR="00C303BB" w:rsidRPr="00FF6C9A">
        <w:rPr>
          <w:lang w:val="en-GB"/>
        </w:rPr>
        <w:t xml:space="preserve"> overall </w:t>
      </w:r>
      <w:r w:rsidR="00C303BB" w:rsidRPr="00FF6C9A">
        <w:rPr>
          <w:b/>
          <w:lang w:val="en-GB"/>
        </w:rPr>
        <w:t>risk assessment</w:t>
      </w:r>
      <w:r w:rsidR="00DD6B4F">
        <w:rPr>
          <w:b/>
          <w:lang w:val="en-GB"/>
        </w:rPr>
        <w:t>,</w:t>
      </w:r>
      <w:r w:rsidR="00DD6B4F" w:rsidRPr="006409E3">
        <w:rPr>
          <w:b/>
          <w:lang w:val="en-GB"/>
        </w:rPr>
        <w:t xml:space="preserve"> </w:t>
      </w:r>
      <w:r w:rsidR="00DD6B4F">
        <w:rPr>
          <w:lang w:val="en-GB"/>
        </w:rPr>
        <w:t xml:space="preserve">risks include </w:t>
      </w:r>
      <w:r w:rsidR="003B3B78" w:rsidRPr="00FF6C9A">
        <w:rPr>
          <w:lang w:val="en-GB"/>
        </w:rPr>
        <w:t>further deterioration of political circumstances in t</w:t>
      </w:r>
      <w:r w:rsidR="003B3B78" w:rsidRPr="00236463">
        <w:rPr>
          <w:lang w:val="en-GB"/>
        </w:rPr>
        <w:t xml:space="preserve">he </w:t>
      </w:r>
      <w:r w:rsidR="000547A5" w:rsidRPr="00236463">
        <w:rPr>
          <w:lang w:val="en-GB"/>
        </w:rPr>
        <w:t>region</w:t>
      </w:r>
      <w:r w:rsidR="003B3B78" w:rsidRPr="00434A3D">
        <w:rPr>
          <w:lang w:val="en-GB"/>
        </w:rPr>
        <w:t xml:space="preserve"> as well as with the breakaway regions</w:t>
      </w:r>
      <w:r w:rsidR="000547A5" w:rsidRPr="00B440B4">
        <w:rPr>
          <w:lang w:val="en-GB"/>
        </w:rPr>
        <w:t xml:space="preserve">, continued political polarisation, </w:t>
      </w:r>
      <w:r w:rsidR="00D3033A" w:rsidRPr="00B440B4">
        <w:rPr>
          <w:lang w:val="en-GB"/>
        </w:rPr>
        <w:t>potential</w:t>
      </w:r>
      <w:r w:rsidR="000547A5" w:rsidRPr="00B440B4">
        <w:rPr>
          <w:lang w:val="en-GB"/>
        </w:rPr>
        <w:t xml:space="preserve"> constitutional changes facilitated by general election results</w:t>
      </w:r>
      <w:r w:rsidR="00C52FD1" w:rsidRPr="00B440B4">
        <w:rPr>
          <w:lang w:val="en-GB"/>
        </w:rPr>
        <w:t xml:space="preserve">, strong opposition of the </w:t>
      </w:r>
      <w:r w:rsidR="00C52FD1" w:rsidRPr="00B440B4">
        <w:rPr>
          <w:lang w:val="en-GB"/>
        </w:rPr>
        <w:lastRenderedPageBreak/>
        <w:t>judiciary to the reform process</w:t>
      </w:r>
      <w:r w:rsidR="003B3B78" w:rsidRPr="00B440B4">
        <w:rPr>
          <w:lang w:val="en-GB"/>
        </w:rPr>
        <w:t>. This can partly be mitigated by enhanced policy dialogue</w:t>
      </w:r>
      <w:r w:rsidR="000547A5" w:rsidRPr="00B440B4">
        <w:rPr>
          <w:lang w:val="en-GB"/>
        </w:rPr>
        <w:t xml:space="preserve"> and by greater use of incentive based mechanisms</w:t>
      </w:r>
      <w:r w:rsidR="003B3B78" w:rsidRPr="00B440B4">
        <w:rPr>
          <w:lang w:val="en-GB"/>
        </w:rPr>
        <w:t>.</w:t>
      </w:r>
    </w:p>
    <w:p w:rsidR="00983DAD" w:rsidRPr="006409E3" w:rsidRDefault="00983DAD" w:rsidP="006409E3">
      <w:pPr>
        <w:spacing w:after="120"/>
        <w:jc w:val="both"/>
        <w:rPr>
          <w:b/>
          <w:u w:val="single"/>
          <w:lang w:val="en-GB"/>
        </w:rPr>
      </w:pPr>
    </w:p>
    <w:p w:rsidR="00C303BB" w:rsidRPr="00434A3D" w:rsidRDefault="00783851" w:rsidP="006409E3">
      <w:pPr>
        <w:spacing w:after="120"/>
        <w:jc w:val="both"/>
        <w:rPr>
          <w:u w:val="single"/>
          <w:lang w:val="en-GB"/>
        </w:rPr>
      </w:pPr>
      <w:r w:rsidRPr="00434A3D">
        <w:rPr>
          <w:b/>
          <w:u w:val="single"/>
          <w:lang w:val="en-GB"/>
        </w:rPr>
        <w:t xml:space="preserve">3.3 </w:t>
      </w:r>
      <w:r w:rsidR="001F7A90" w:rsidRPr="006409E3">
        <w:rPr>
          <w:b/>
          <w:u w:val="single"/>
          <w:lang w:val="en-GB"/>
        </w:rPr>
        <w:t>Connectivity, energy efficiency, environment and climate change</w:t>
      </w:r>
      <w:r w:rsidR="004F686D" w:rsidRPr="006409E3">
        <w:rPr>
          <w:b/>
          <w:u w:val="single"/>
          <w:lang w:val="en-GB"/>
        </w:rPr>
        <w:t xml:space="preserve"> and support for circular economy</w:t>
      </w:r>
      <w:r w:rsidR="00223F7B" w:rsidRPr="00B440B4">
        <w:rPr>
          <w:b/>
          <w:u w:val="single"/>
          <w:lang w:val="en-GB"/>
        </w:rPr>
        <w:t xml:space="preserve"> </w:t>
      </w:r>
      <w:r w:rsidRPr="006409E3">
        <w:rPr>
          <w:b/>
          <w:u w:val="single"/>
          <w:lang w:val="en-GB"/>
        </w:rPr>
        <w:t>(</w:t>
      </w:r>
      <w:r w:rsidR="004A4A66" w:rsidRPr="006409E3">
        <w:rPr>
          <w:b/>
          <w:u w:val="single"/>
          <w:lang w:val="en-GB"/>
        </w:rPr>
        <w:t>indicative</w:t>
      </w:r>
      <w:r w:rsidR="00223F7B" w:rsidRPr="006409E3">
        <w:rPr>
          <w:b/>
          <w:u w:val="single"/>
          <w:lang w:val="en-GB"/>
        </w:rPr>
        <w:t xml:space="preserve"> </w:t>
      </w:r>
      <w:r w:rsidR="004A29E2" w:rsidRPr="00434A3D">
        <w:rPr>
          <w:b/>
          <w:u w:val="single"/>
          <w:lang w:val="en-GB"/>
        </w:rPr>
        <w:t>15</w:t>
      </w:r>
      <w:r w:rsidR="00223F7B" w:rsidRPr="00434A3D">
        <w:rPr>
          <w:b/>
          <w:u w:val="single"/>
          <w:lang w:val="en-GB"/>
        </w:rPr>
        <w:t>%</w:t>
      </w:r>
      <w:r w:rsidRPr="006409E3">
        <w:rPr>
          <w:b/>
          <w:u w:val="single"/>
          <w:lang w:val="en-GB"/>
        </w:rPr>
        <w:t>)</w:t>
      </w:r>
    </w:p>
    <w:p w:rsidR="00C303BB" w:rsidRPr="00B440B4" w:rsidRDefault="001046C8" w:rsidP="006409E3">
      <w:pPr>
        <w:spacing w:after="120"/>
        <w:jc w:val="both"/>
        <w:rPr>
          <w:lang w:val="en-GB"/>
        </w:rPr>
      </w:pPr>
      <w:r w:rsidRPr="00434A3D">
        <w:rPr>
          <w:lang w:val="en-GB"/>
        </w:rPr>
        <w:t>3.3</w:t>
      </w:r>
      <w:r w:rsidR="00C303BB" w:rsidRPr="00B440B4">
        <w:rPr>
          <w:lang w:val="en-GB"/>
        </w:rPr>
        <w:t>.1</w:t>
      </w:r>
      <w:r w:rsidR="00C303BB" w:rsidRPr="00B440B4">
        <w:rPr>
          <w:lang w:val="en-GB"/>
        </w:rPr>
        <w:tab/>
        <w:t xml:space="preserve">The following overall and specific </w:t>
      </w:r>
      <w:r w:rsidR="00C303BB" w:rsidRPr="00B440B4">
        <w:rPr>
          <w:b/>
          <w:lang w:val="en-GB"/>
        </w:rPr>
        <w:t>objectives</w:t>
      </w:r>
      <w:r w:rsidR="00C303BB" w:rsidRPr="00B440B4">
        <w:rPr>
          <w:lang w:val="en-GB"/>
        </w:rPr>
        <w:t xml:space="preserve"> will be pursued:</w:t>
      </w:r>
    </w:p>
    <w:p w:rsidR="001F7A90" w:rsidRPr="00236463" w:rsidRDefault="00223F7B" w:rsidP="006409E3">
      <w:pPr>
        <w:spacing w:after="120"/>
        <w:jc w:val="both"/>
        <w:rPr>
          <w:lang w:val="en-GB"/>
        </w:rPr>
      </w:pPr>
      <w:r w:rsidRPr="00B440B4">
        <w:rPr>
          <w:u w:val="single"/>
          <w:lang w:val="en-GB"/>
        </w:rPr>
        <w:t>Overall objective</w:t>
      </w:r>
      <w:r w:rsidRPr="00B440B4">
        <w:rPr>
          <w:lang w:val="en-GB"/>
        </w:rPr>
        <w:t xml:space="preserve"> </w:t>
      </w:r>
      <w:r w:rsidR="001F7A90" w:rsidRPr="00B440B4">
        <w:rPr>
          <w:lang w:val="en-GB"/>
        </w:rPr>
        <w:t>:</w:t>
      </w:r>
      <w:r w:rsidR="001F7A90" w:rsidRPr="006409E3">
        <w:rPr>
          <w:color w:val="000000"/>
          <w:lang w:val="en-GB"/>
        </w:rPr>
        <w:t xml:space="preserve"> to e</w:t>
      </w:r>
      <w:r w:rsidR="001F7A90" w:rsidRPr="00FF6C9A">
        <w:rPr>
          <w:lang w:val="en-GB"/>
        </w:rPr>
        <w:t xml:space="preserve">nhance the connectivity in terms of energy and transport, sustainable </w:t>
      </w:r>
      <w:r w:rsidR="007A5C30">
        <w:rPr>
          <w:lang w:val="en-GB"/>
        </w:rPr>
        <w:t xml:space="preserve">development of infrastructures as well as </w:t>
      </w:r>
      <w:r w:rsidR="001F7A90" w:rsidRPr="00FF6C9A">
        <w:rPr>
          <w:lang w:val="en-GB"/>
        </w:rPr>
        <w:t>management of resources (including energy) and support for cir</w:t>
      </w:r>
      <w:r w:rsidR="001F7A90" w:rsidRPr="00236463">
        <w:rPr>
          <w:lang w:val="en-GB"/>
        </w:rPr>
        <w:t>cular economy.</w:t>
      </w:r>
    </w:p>
    <w:p w:rsidR="004B501D" w:rsidRPr="000E4EEA" w:rsidRDefault="00223F7B" w:rsidP="006409E3">
      <w:pPr>
        <w:spacing w:after="120"/>
        <w:jc w:val="both"/>
      </w:pPr>
      <w:r w:rsidRPr="000E4EEA">
        <w:rPr>
          <w:u w:val="single"/>
        </w:rPr>
        <w:t>Specific objectives:</w:t>
      </w:r>
      <w:r w:rsidR="001F7A90" w:rsidRPr="000E4EEA">
        <w:rPr>
          <w:u w:val="single"/>
        </w:rPr>
        <w:t xml:space="preserve"> </w:t>
      </w:r>
    </w:p>
    <w:p w:rsidR="004B501D" w:rsidRPr="006409E3" w:rsidRDefault="00223F7B" w:rsidP="006409E3">
      <w:pPr>
        <w:numPr>
          <w:ilvl w:val="0"/>
          <w:numId w:val="20"/>
        </w:numPr>
        <w:spacing w:after="120"/>
        <w:ind w:right="141"/>
        <w:jc w:val="both"/>
        <w:rPr>
          <w:lang w:val="en-GB"/>
        </w:rPr>
      </w:pPr>
      <w:r w:rsidRPr="006409E3">
        <w:rPr>
          <w:lang w:val="en-GB"/>
        </w:rPr>
        <w:t xml:space="preserve">to enhance energy efficiency, to increase energy independence including through </w:t>
      </w:r>
      <w:r w:rsidR="00C52FD1" w:rsidRPr="006409E3">
        <w:rPr>
          <w:lang w:val="en-GB"/>
        </w:rPr>
        <w:t xml:space="preserve">the </w:t>
      </w:r>
      <w:r w:rsidRPr="006409E3">
        <w:rPr>
          <w:lang w:val="en-GB"/>
        </w:rPr>
        <w:t>promotion of energy efficiency improvements, use of untapped renewable energy sources</w:t>
      </w:r>
      <w:r w:rsidR="004B501D" w:rsidRPr="006409E3">
        <w:rPr>
          <w:lang w:val="en-GB"/>
        </w:rPr>
        <w:t xml:space="preserve"> </w:t>
      </w:r>
      <w:r w:rsidRPr="006409E3">
        <w:rPr>
          <w:lang w:val="en-GB"/>
        </w:rPr>
        <w:t>and boosting investments in low emission technologies</w:t>
      </w:r>
      <w:r w:rsidR="008F0454" w:rsidRPr="00B440B4">
        <w:rPr>
          <w:lang w:val="en-GB"/>
        </w:rPr>
        <w:t xml:space="preserve"> (Specific Objective 1)</w:t>
      </w:r>
      <w:r w:rsidR="00E046B3" w:rsidRPr="00B440B4">
        <w:rPr>
          <w:lang w:val="en-GB"/>
        </w:rPr>
        <w:t>;</w:t>
      </w:r>
    </w:p>
    <w:p w:rsidR="004B501D" w:rsidRPr="006409E3" w:rsidRDefault="00E046B3" w:rsidP="006409E3">
      <w:pPr>
        <w:numPr>
          <w:ilvl w:val="0"/>
          <w:numId w:val="20"/>
        </w:numPr>
        <w:spacing w:after="120"/>
        <w:ind w:right="141"/>
        <w:jc w:val="both"/>
        <w:rPr>
          <w:lang w:val="en-GB"/>
        </w:rPr>
      </w:pPr>
      <w:r w:rsidRPr="006409E3">
        <w:rPr>
          <w:lang w:val="en-GB"/>
        </w:rPr>
        <w:t xml:space="preserve">to build, rehabilitate and upgrade infrastructures and </w:t>
      </w:r>
      <w:r w:rsidR="004B501D" w:rsidRPr="006409E3">
        <w:rPr>
          <w:lang w:val="en-GB"/>
        </w:rPr>
        <w:t>to promote energy interconnections for market de</w:t>
      </w:r>
      <w:r w:rsidRPr="006409E3">
        <w:rPr>
          <w:lang w:val="en-GB"/>
        </w:rPr>
        <w:t>velopment and security purposes</w:t>
      </w:r>
      <w:r w:rsidR="008F0454" w:rsidRPr="00B440B4">
        <w:rPr>
          <w:lang w:val="en-GB"/>
        </w:rPr>
        <w:t xml:space="preserve"> (Specific Objective 2)</w:t>
      </w:r>
      <w:r w:rsidRPr="00B440B4">
        <w:rPr>
          <w:lang w:val="en-GB"/>
        </w:rPr>
        <w:t>;</w:t>
      </w:r>
    </w:p>
    <w:p w:rsidR="0077664C" w:rsidRDefault="00223F7B" w:rsidP="006409E3">
      <w:pPr>
        <w:numPr>
          <w:ilvl w:val="0"/>
          <w:numId w:val="20"/>
        </w:numPr>
        <w:spacing w:after="120"/>
        <w:ind w:right="141"/>
        <w:jc w:val="both"/>
        <w:rPr>
          <w:lang w:val="en-GB"/>
        </w:rPr>
      </w:pPr>
      <w:r w:rsidRPr="00FF6C9A">
        <w:rPr>
          <w:lang w:val="en-GB"/>
        </w:rPr>
        <w:t xml:space="preserve">to </w:t>
      </w:r>
      <w:r w:rsidR="0065699A" w:rsidRPr="00FF6C9A">
        <w:rPr>
          <w:lang w:val="en-GB"/>
        </w:rPr>
        <w:t xml:space="preserve">develop the circular economy, </w:t>
      </w:r>
      <w:r w:rsidR="00236C9A" w:rsidRPr="00FF6C9A">
        <w:rPr>
          <w:lang w:val="en-GB"/>
        </w:rPr>
        <w:t xml:space="preserve">meet Paris targets on emission reduction, to </w:t>
      </w:r>
      <w:r w:rsidRPr="00FF6C9A">
        <w:rPr>
          <w:lang w:val="en-GB"/>
        </w:rPr>
        <w:t>enhance environmentally-friendly policy making, promote sustainable production and consumption, to strengthen the capacity for environmental p</w:t>
      </w:r>
      <w:r w:rsidRPr="00236463">
        <w:rPr>
          <w:lang w:val="en-GB"/>
        </w:rPr>
        <w:t>rotection, to support the extension of sustainable waste and water management systems</w:t>
      </w:r>
      <w:r w:rsidR="008F0454" w:rsidRPr="00434A3D">
        <w:rPr>
          <w:lang w:val="en-GB"/>
        </w:rPr>
        <w:t xml:space="preserve"> (Specific Objective 3)</w:t>
      </w:r>
      <w:r w:rsidR="00E046B3" w:rsidRPr="00434A3D">
        <w:rPr>
          <w:lang w:val="en-GB"/>
        </w:rPr>
        <w:t>;</w:t>
      </w:r>
    </w:p>
    <w:p w:rsidR="00597901" w:rsidRDefault="0077664C" w:rsidP="00597901">
      <w:pPr>
        <w:numPr>
          <w:ilvl w:val="0"/>
          <w:numId w:val="20"/>
        </w:numPr>
        <w:spacing w:after="120"/>
        <w:jc w:val="both"/>
        <w:rPr>
          <w:lang w:val="en-GB"/>
        </w:rPr>
      </w:pPr>
      <w:r w:rsidRPr="00597901">
        <w:rPr>
          <w:lang w:val="en-GB"/>
        </w:rPr>
        <w:t>to enhance the governance of the connectivity sector to assist prioritisation of key actions and to deliver on commitments such as TEN-T.</w:t>
      </w:r>
      <w:r w:rsidR="006409E3" w:rsidRPr="00597901">
        <w:rPr>
          <w:lang w:val="en-GB"/>
        </w:rPr>
        <w:t xml:space="preserve"> </w:t>
      </w:r>
      <w:r w:rsidRPr="00532784">
        <w:rPr>
          <w:lang w:val="en-GB"/>
        </w:rPr>
        <w:t>This includes investments in transport, water and sanitation, waste management, energy (including energy efficiency) and social infrastructures</w:t>
      </w:r>
      <w:r w:rsidR="00597901" w:rsidRPr="00532784">
        <w:rPr>
          <w:lang w:val="en-GB"/>
        </w:rPr>
        <w:t xml:space="preserve"> </w:t>
      </w:r>
      <w:r w:rsidR="006409E3" w:rsidRPr="00532784">
        <w:rPr>
          <w:lang w:val="en-GB"/>
        </w:rPr>
        <w:t>(</w:t>
      </w:r>
      <w:r w:rsidR="006409E3" w:rsidRPr="00597901">
        <w:rPr>
          <w:lang w:val="en-GB"/>
        </w:rPr>
        <w:t>Specific Objective 4).</w:t>
      </w:r>
    </w:p>
    <w:p w:rsidR="00C303BB" w:rsidRPr="00B440B4" w:rsidRDefault="001046C8" w:rsidP="00597901">
      <w:pPr>
        <w:spacing w:after="120"/>
        <w:jc w:val="both"/>
        <w:rPr>
          <w:lang w:val="en-GB"/>
        </w:rPr>
      </w:pPr>
      <w:r w:rsidRPr="00597901">
        <w:rPr>
          <w:lang w:val="en-GB"/>
        </w:rPr>
        <w:t>3.3</w:t>
      </w:r>
      <w:r w:rsidR="00C303BB" w:rsidRPr="00597901">
        <w:rPr>
          <w:lang w:val="en-GB"/>
        </w:rPr>
        <w:t>.2.</w:t>
      </w:r>
      <w:r w:rsidR="00C303BB" w:rsidRPr="00597901">
        <w:rPr>
          <w:lang w:val="en-GB"/>
        </w:rPr>
        <w:tab/>
      </w:r>
      <w:r w:rsidR="00C303BB" w:rsidRPr="00B440B4">
        <w:rPr>
          <w:lang w:val="en-GB"/>
        </w:rPr>
        <w:t xml:space="preserve">For each of the specific objectives the main expected </w:t>
      </w:r>
      <w:r w:rsidR="00C303BB" w:rsidRPr="00B440B4">
        <w:rPr>
          <w:b/>
          <w:lang w:val="en-GB"/>
        </w:rPr>
        <w:t xml:space="preserve">results </w:t>
      </w:r>
      <w:r w:rsidR="00C303BB" w:rsidRPr="00B440B4">
        <w:rPr>
          <w:lang w:val="en-GB"/>
        </w:rPr>
        <w:t xml:space="preserve">are: </w:t>
      </w:r>
    </w:p>
    <w:p w:rsidR="00382C0A" w:rsidRPr="00434A3D" w:rsidRDefault="002917F3" w:rsidP="006409E3">
      <w:pPr>
        <w:numPr>
          <w:ilvl w:val="0"/>
          <w:numId w:val="20"/>
        </w:numPr>
        <w:spacing w:after="120"/>
        <w:ind w:right="141"/>
        <w:jc w:val="both"/>
        <w:rPr>
          <w:lang w:val="en-GB"/>
        </w:rPr>
      </w:pPr>
      <w:r w:rsidRPr="00B440B4">
        <w:rPr>
          <w:lang w:val="en-GB"/>
        </w:rPr>
        <w:t>For specific objective 1 : reduced seasonal dependence on energy imports, increased supply of household energy from renewable sources and enhanced energy efficiency in the whole country</w:t>
      </w:r>
      <w:r w:rsidR="00382C0A" w:rsidRPr="00434A3D">
        <w:rPr>
          <w:lang w:val="en-GB"/>
        </w:rPr>
        <w:t>;</w:t>
      </w:r>
    </w:p>
    <w:p w:rsidR="00382C0A" w:rsidRPr="00434A3D" w:rsidRDefault="002917F3" w:rsidP="00382C0A">
      <w:pPr>
        <w:numPr>
          <w:ilvl w:val="0"/>
          <w:numId w:val="20"/>
        </w:numPr>
        <w:spacing w:after="120"/>
        <w:ind w:right="141"/>
        <w:jc w:val="both"/>
        <w:rPr>
          <w:lang w:val="en-GB"/>
        </w:rPr>
      </w:pPr>
      <w:r w:rsidRPr="00B440B4">
        <w:rPr>
          <w:lang w:val="en-GB"/>
        </w:rPr>
        <w:t xml:space="preserve">For specific objective 2 : stable, </w:t>
      </w:r>
      <w:r w:rsidRPr="00B440B4">
        <w:rPr>
          <w:lang w:val="en-GB"/>
        </w:rPr>
        <w:tab/>
        <w:t>affordable and reliable energy supply (energy security) and strengthened domestic production and infrastructure</w:t>
      </w:r>
      <w:r w:rsidR="00382C0A" w:rsidRPr="00434A3D">
        <w:rPr>
          <w:lang w:val="en-GB"/>
        </w:rPr>
        <w:t>;</w:t>
      </w:r>
    </w:p>
    <w:p w:rsidR="00382C0A" w:rsidRPr="00434A3D" w:rsidRDefault="002917F3" w:rsidP="006409E3">
      <w:pPr>
        <w:numPr>
          <w:ilvl w:val="0"/>
          <w:numId w:val="20"/>
        </w:numPr>
        <w:spacing w:after="120"/>
        <w:ind w:right="141"/>
        <w:jc w:val="both"/>
        <w:rPr>
          <w:lang w:val="en-GB"/>
        </w:rPr>
      </w:pPr>
      <w:r w:rsidRPr="00B440B4">
        <w:rPr>
          <w:lang w:val="en-GB"/>
        </w:rPr>
        <w:t xml:space="preserve">For specific objective 3 : </w:t>
      </w:r>
      <w:r w:rsidR="009E777F" w:rsidRPr="00434A3D">
        <w:rPr>
          <w:lang w:val="en-GB"/>
        </w:rPr>
        <w:t>reduced levels of air pollution, better inclusion of climate change impact in policy making</w:t>
      </w:r>
      <w:r w:rsidR="00382C0A" w:rsidRPr="00434A3D">
        <w:rPr>
          <w:lang w:val="en-GB"/>
        </w:rPr>
        <w:t xml:space="preserve">, </w:t>
      </w:r>
      <w:r w:rsidR="009E777F" w:rsidRPr="00B440B4">
        <w:rPr>
          <w:lang w:val="en-GB"/>
        </w:rPr>
        <w:t>improved environment for data monitoring and collection</w:t>
      </w:r>
      <w:r w:rsidR="00382C0A" w:rsidRPr="00434A3D">
        <w:rPr>
          <w:lang w:val="en-GB"/>
        </w:rPr>
        <w:t>,</w:t>
      </w:r>
      <w:r w:rsidR="009E777F" w:rsidRPr="00B440B4">
        <w:rPr>
          <w:lang w:val="en-GB"/>
        </w:rPr>
        <w:t xml:space="preserve"> improved water municipal infrastructure, introduction or upgrade of waste collection systems (including hazardous and medical waste)</w:t>
      </w:r>
      <w:r w:rsidR="006409E3">
        <w:rPr>
          <w:lang w:val="en-GB"/>
        </w:rPr>
        <w:t xml:space="preserve"> and better valorisation of wastes</w:t>
      </w:r>
      <w:r w:rsidR="00382C0A" w:rsidRPr="00434A3D">
        <w:rPr>
          <w:lang w:val="en-GB"/>
        </w:rPr>
        <w:t>;</w:t>
      </w:r>
    </w:p>
    <w:p w:rsidR="00382C0A" w:rsidRPr="00434A3D" w:rsidRDefault="002917F3" w:rsidP="006409E3">
      <w:pPr>
        <w:numPr>
          <w:ilvl w:val="0"/>
          <w:numId w:val="20"/>
        </w:numPr>
        <w:spacing w:after="120"/>
        <w:ind w:right="141"/>
        <w:jc w:val="both"/>
        <w:rPr>
          <w:lang w:val="en-GB"/>
        </w:rPr>
      </w:pPr>
      <w:r w:rsidRPr="00B440B4">
        <w:rPr>
          <w:lang w:val="en-GB"/>
        </w:rPr>
        <w:t>For specific objective 4 : implementation of transport interconnection internally and with neighbours, increased capacity to plan, budget and prioritise infrastructure projects</w:t>
      </w:r>
      <w:r w:rsidR="009E777F" w:rsidRPr="00B440B4">
        <w:rPr>
          <w:lang w:val="en-GB"/>
        </w:rPr>
        <w:t xml:space="preserve"> according to TEN-T and AA-DCFTA provisions</w:t>
      </w:r>
      <w:r w:rsidR="00382C0A" w:rsidRPr="00434A3D">
        <w:rPr>
          <w:lang w:val="en-GB"/>
        </w:rPr>
        <w:t>.</w:t>
      </w:r>
    </w:p>
    <w:p w:rsidR="009E777F" w:rsidRPr="006409E3" w:rsidRDefault="001046C8" w:rsidP="006409E3">
      <w:pPr>
        <w:spacing w:after="120"/>
        <w:jc w:val="both"/>
        <w:rPr>
          <w:lang w:val="en-GB"/>
        </w:rPr>
      </w:pPr>
      <w:r w:rsidRPr="00B440B4">
        <w:rPr>
          <w:lang w:val="en-GB"/>
        </w:rPr>
        <w:t>3.3</w:t>
      </w:r>
      <w:r w:rsidR="00C303BB" w:rsidRPr="00B440B4">
        <w:rPr>
          <w:lang w:val="en-GB"/>
        </w:rPr>
        <w:t>.3.</w:t>
      </w:r>
      <w:r w:rsidR="00C303BB" w:rsidRPr="00B440B4">
        <w:rPr>
          <w:lang w:val="en-GB"/>
        </w:rPr>
        <w:tab/>
      </w:r>
      <w:r w:rsidR="00D3033A" w:rsidRPr="00B440B4">
        <w:rPr>
          <w:lang w:val="en-GB"/>
        </w:rPr>
        <w:t xml:space="preserve">For each result, the main </w:t>
      </w:r>
      <w:r w:rsidR="00D3033A" w:rsidRPr="00B440B4">
        <w:rPr>
          <w:b/>
          <w:lang w:val="en-GB"/>
        </w:rPr>
        <w:t>indicators</w:t>
      </w:r>
      <w:r w:rsidR="00D3033A" w:rsidRPr="00B440B4">
        <w:rPr>
          <w:lang w:val="en-GB"/>
        </w:rPr>
        <w:t xml:space="preserve"> are</w:t>
      </w:r>
      <w:r w:rsidR="009E777F">
        <w:rPr>
          <w:lang w:val="en-GB"/>
        </w:rPr>
        <w:t>:</w:t>
      </w:r>
    </w:p>
    <w:p w:rsidR="009E777F" w:rsidRPr="00B440B4" w:rsidRDefault="009E777F" w:rsidP="00B440B4">
      <w:pPr>
        <w:numPr>
          <w:ilvl w:val="0"/>
          <w:numId w:val="53"/>
        </w:numPr>
        <w:spacing w:after="120"/>
        <w:ind w:left="426" w:hanging="426"/>
        <w:jc w:val="both"/>
        <w:rPr>
          <w:i/>
          <w:lang w:val="en-GB"/>
        </w:rPr>
      </w:pPr>
      <w:r>
        <w:rPr>
          <w:lang w:val="en-GB"/>
        </w:rPr>
        <w:t>Total net energy imports as part of energy consumption</w:t>
      </w:r>
    </w:p>
    <w:p w:rsidR="009E777F" w:rsidRPr="00B440B4" w:rsidRDefault="0021015B" w:rsidP="00B440B4">
      <w:pPr>
        <w:numPr>
          <w:ilvl w:val="0"/>
          <w:numId w:val="53"/>
        </w:numPr>
        <w:spacing w:after="120"/>
        <w:ind w:left="426" w:hanging="426"/>
        <w:jc w:val="both"/>
        <w:rPr>
          <w:i/>
          <w:lang w:val="en-GB"/>
        </w:rPr>
      </w:pPr>
      <w:r>
        <w:rPr>
          <w:lang w:val="en-GB"/>
        </w:rPr>
        <w:t>S</w:t>
      </w:r>
      <w:r w:rsidR="009E777F">
        <w:rPr>
          <w:lang w:val="en-GB"/>
        </w:rPr>
        <w:t>hare of renewable energy supply in total energy supply</w:t>
      </w:r>
    </w:p>
    <w:p w:rsidR="009E777F" w:rsidRPr="00B440B4" w:rsidRDefault="0021015B" w:rsidP="00B440B4">
      <w:pPr>
        <w:numPr>
          <w:ilvl w:val="0"/>
          <w:numId w:val="53"/>
        </w:numPr>
        <w:spacing w:after="120"/>
        <w:ind w:left="426" w:hanging="426"/>
        <w:jc w:val="both"/>
        <w:rPr>
          <w:i/>
          <w:lang w:val="en-GB"/>
        </w:rPr>
      </w:pPr>
      <w:r>
        <w:rPr>
          <w:lang w:val="en-GB"/>
        </w:rPr>
        <w:t>Energy efficiency ratio</w:t>
      </w:r>
    </w:p>
    <w:p w:rsidR="009E777F" w:rsidRPr="00B440B4" w:rsidRDefault="009E777F" w:rsidP="00B440B4">
      <w:pPr>
        <w:numPr>
          <w:ilvl w:val="0"/>
          <w:numId w:val="53"/>
        </w:numPr>
        <w:spacing w:after="120"/>
        <w:ind w:left="426" w:hanging="426"/>
        <w:jc w:val="both"/>
        <w:rPr>
          <w:i/>
          <w:lang w:val="en-GB"/>
        </w:rPr>
      </w:pPr>
      <w:r>
        <w:rPr>
          <w:lang w:val="en-GB"/>
        </w:rPr>
        <w:t xml:space="preserve">Energy security index </w:t>
      </w:r>
      <w:r w:rsidR="0021015B">
        <w:rPr>
          <w:lang w:val="en-GB"/>
        </w:rPr>
        <w:t>(</w:t>
      </w:r>
      <w:r>
        <w:rPr>
          <w:lang w:val="en-GB"/>
        </w:rPr>
        <w:t>W</w:t>
      </w:r>
      <w:r w:rsidR="0021015B">
        <w:rPr>
          <w:lang w:val="en-GB"/>
        </w:rPr>
        <w:t xml:space="preserve">orld </w:t>
      </w:r>
      <w:r>
        <w:rPr>
          <w:lang w:val="en-GB"/>
        </w:rPr>
        <w:t>E</w:t>
      </w:r>
      <w:r w:rsidR="0021015B">
        <w:rPr>
          <w:lang w:val="en-GB"/>
        </w:rPr>
        <w:t xml:space="preserve">nergy </w:t>
      </w:r>
      <w:r>
        <w:rPr>
          <w:lang w:val="en-GB"/>
        </w:rPr>
        <w:t>C</w:t>
      </w:r>
      <w:r w:rsidR="0021015B">
        <w:rPr>
          <w:lang w:val="en-GB"/>
        </w:rPr>
        <w:t>ouncil)</w:t>
      </w:r>
    </w:p>
    <w:p w:rsidR="009E777F" w:rsidRPr="00B440B4" w:rsidRDefault="0021015B" w:rsidP="00B440B4">
      <w:pPr>
        <w:numPr>
          <w:ilvl w:val="0"/>
          <w:numId w:val="53"/>
        </w:numPr>
        <w:spacing w:after="120"/>
        <w:ind w:left="426" w:hanging="426"/>
        <w:jc w:val="both"/>
        <w:rPr>
          <w:i/>
          <w:lang w:val="en-GB"/>
        </w:rPr>
      </w:pPr>
      <w:r>
        <w:rPr>
          <w:lang w:val="en-GB"/>
        </w:rPr>
        <w:t>P</w:t>
      </w:r>
      <w:r w:rsidR="009E777F">
        <w:rPr>
          <w:lang w:val="en-GB"/>
        </w:rPr>
        <w:t>ercentage reduction of the values from core air pollutants in selected urban agglomerations (including primary particulate matter, SO2, NOx)</w:t>
      </w:r>
    </w:p>
    <w:p w:rsidR="009E777F" w:rsidRPr="00B0542F" w:rsidRDefault="0021015B" w:rsidP="00B0542F">
      <w:pPr>
        <w:numPr>
          <w:ilvl w:val="0"/>
          <w:numId w:val="53"/>
        </w:numPr>
        <w:spacing w:after="120"/>
        <w:ind w:left="426" w:hanging="426"/>
        <w:jc w:val="both"/>
        <w:rPr>
          <w:i/>
          <w:lang w:val="en-GB"/>
        </w:rPr>
      </w:pPr>
      <w:r>
        <w:rPr>
          <w:lang w:val="en-GB"/>
        </w:rPr>
        <w:lastRenderedPageBreak/>
        <w:t>Number</w:t>
      </w:r>
      <w:r w:rsidR="009E777F">
        <w:rPr>
          <w:lang w:val="en-GB"/>
        </w:rPr>
        <w:t xml:space="preserve"> of projects implemented under the Low Emission Development Strategy, the National Energy Efficiency Action Plan and the Nationally Appropriate Mitigation Actions</w:t>
      </w:r>
    </w:p>
    <w:p w:rsidR="00F43907" w:rsidRPr="00B440B4" w:rsidRDefault="0021015B" w:rsidP="00B440B4">
      <w:pPr>
        <w:numPr>
          <w:ilvl w:val="0"/>
          <w:numId w:val="53"/>
        </w:numPr>
        <w:spacing w:after="120"/>
        <w:ind w:left="426" w:hanging="426"/>
        <w:jc w:val="both"/>
        <w:rPr>
          <w:i/>
          <w:lang w:val="en-GB"/>
        </w:rPr>
      </w:pPr>
      <w:r>
        <w:rPr>
          <w:lang w:val="en-GB"/>
        </w:rPr>
        <w:t>N</w:t>
      </w:r>
      <w:r w:rsidR="00F43907">
        <w:rPr>
          <w:lang w:val="en-GB"/>
        </w:rPr>
        <w:t>umber of population with improved access to reliable water supply</w:t>
      </w:r>
      <w:r>
        <w:rPr>
          <w:lang w:val="en-GB"/>
        </w:rPr>
        <w:t>,</w:t>
      </w:r>
      <w:r w:rsidR="00F43907">
        <w:rPr>
          <w:lang w:val="en-GB"/>
        </w:rPr>
        <w:t xml:space="preserve"> sanitation</w:t>
      </w:r>
      <w:r>
        <w:rPr>
          <w:lang w:val="en-GB"/>
        </w:rPr>
        <w:t xml:space="preserve"> and waste management services</w:t>
      </w:r>
    </w:p>
    <w:p w:rsidR="00F43907" w:rsidRPr="00B440B4" w:rsidRDefault="00F43907" w:rsidP="00B440B4">
      <w:pPr>
        <w:numPr>
          <w:ilvl w:val="0"/>
          <w:numId w:val="53"/>
        </w:numPr>
        <w:spacing w:after="120"/>
        <w:ind w:left="426" w:hanging="426"/>
        <w:jc w:val="both"/>
        <w:rPr>
          <w:i/>
          <w:lang w:val="en-GB"/>
        </w:rPr>
      </w:pPr>
      <w:r>
        <w:rPr>
          <w:lang w:val="en-GB"/>
        </w:rPr>
        <w:t>Number of infrastructure projects supported by the government for connection to TEN-T transport system</w:t>
      </w:r>
    </w:p>
    <w:p w:rsidR="00D3033A" w:rsidRPr="00434A3D" w:rsidRDefault="00F43907" w:rsidP="00B440B4">
      <w:pPr>
        <w:numPr>
          <w:ilvl w:val="0"/>
          <w:numId w:val="53"/>
        </w:numPr>
        <w:spacing w:after="120"/>
        <w:ind w:left="426" w:hanging="426"/>
        <w:jc w:val="both"/>
        <w:rPr>
          <w:i/>
          <w:lang w:val="en-GB"/>
        </w:rPr>
      </w:pPr>
      <w:r>
        <w:rPr>
          <w:lang w:val="en-GB"/>
        </w:rPr>
        <w:t>Increased transit of goods (Tons)</w:t>
      </w:r>
    </w:p>
    <w:p w:rsidR="00C303BB" w:rsidRPr="00FF6C9A" w:rsidRDefault="001046C8" w:rsidP="00B0542F">
      <w:pPr>
        <w:spacing w:after="120"/>
        <w:jc w:val="both"/>
        <w:rPr>
          <w:lang w:val="en-GB"/>
        </w:rPr>
      </w:pPr>
      <w:r w:rsidRPr="00B440B4">
        <w:rPr>
          <w:lang w:val="en-GB"/>
        </w:rPr>
        <w:t>3.3</w:t>
      </w:r>
      <w:r w:rsidR="00C303BB" w:rsidRPr="00B440B4">
        <w:rPr>
          <w:lang w:val="en-GB"/>
        </w:rPr>
        <w:t>.4.</w:t>
      </w:r>
      <w:r w:rsidR="00C303BB" w:rsidRPr="00B440B4">
        <w:rPr>
          <w:lang w:val="en-GB"/>
        </w:rPr>
        <w:tab/>
      </w:r>
      <w:r w:rsidR="00253A3B" w:rsidRPr="00B440B4">
        <w:rPr>
          <w:b/>
          <w:lang w:val="en-GB"/>
        </w:rPr>
        <w:t>Donor coordination and policy dialogue</w:t>
      </w:r>
      <w:r w:rsidR="00253A3B" w:rsidRPr="00B440B4">
        <w:rPr>
          <w:lang w:val="en-GB"/>
        </w:rPr>
        <w:t xml:space="preserve"> are taking place in various formats, both government and donor led, varying according to the thematic area.</w:t>
      </w:r>
      <w:r w:rsidR="00434A3D">
        <w:rPr>
          <w:lang w:val="en-GB"/>
        </w:rPr>
        <w:t xml:space="preserve"> Directly related with the Association Agreement, important fora of discussion include the Association Committee and the specific sub-committees, which provide an opportunity to strengthen policy dialogue. In addition, f</w:t>
      </w:r>
      <w:r w:rsidR="00253A3B" w:rsidRPr="00B440B4">
        <w:rPr>
          <w:lang w:val="en-GB"/>
        </w:rPr>
        <w:t>or Green Economy and Sustainable Management of Resources there are two AoG donor coordination group. There is also the Caucasus Biodiversity Council, which is discussed through a Regional/transboundary coordination platform supported by the WWF.</w:t>
      </w:r>
    </w:p>
    <w:p w:rsidR="00224643" w:rsidRPr="00B440B4" w:rsidRDefault="001046C8" w:rsidP="00FF6C9A">
      <w:pPr>
        <w:spacing w:after="120"/>
        <w:jc w:val="both"/>
        <w:rPr>
          <w:i/>
          <w:lang w:val="en-GB"/>
        </w:rPr>
      </w:pPr>
      <w:r w:rsidRPr="00B440B4">
        <w:rPr>
          <w:lang w:val="en-GB"/>
        </w:rPr>
        <w:t>3.3</w:t>
      </w:r>
      <w:r w:rsidR="00C303BB" w:rsidRPr="00B440B4">
        <w:rPr>
          <w:lang w:val="en-GB"/>
        </w:rPr>
        <w:t>.5.</w:t>
      </w:r>
      <w:r w:rsidR="00D34046" w:rsidRPr="00B440B4">
        <w:rPr>
          <w:lang w:val="en-GB"/>
        </w:rPr>
        <w:t xml:space="preserve"> The </w:t>
      </w:r>
      <w:r w:rsidR="00D34046" w:rsidRPr="00B440B4">
        <w:rPr>
          <w:i/>
          <w:lang w:val="en-GB"/>
        </w:rPr>
        <w:t>partner country's authorities</w:t>
      </w:r>
      <w:r w:rsidR="00D34046" w:rsidRPr="00B440B4">
        <w:rPr>
          <w:lang w:val="en-GB"/>
        </w:rPr>
        <w:t xml:space="preserve"> </w:t>
      </w:r>
      <w:r w:rsidR="00D34046" w:rsidRPr="00B440B4">
        <w:rPr>
          <w:b/>
          <w:lang w:val="en-GB"/>
        </w:rPr>
        <w:t>financial and policy commitments</w:t>
      </w:r>
      <w:r w:rsidR="00D34046" w:rsidRPr="00B440B4">
        <w:rPr>
          <w:lang w:val="en-GB"/>
        </w:rPr>
        <w:t xml:space="preserve"> are described in the revised Association Agenda 2017-2019</w:t>
      </w:r>
      <w:r w:rsidR="000D7146">
        <w:rPr>
          <w:lang w:val="en-GB"/>
        </w:rPr>
        <w:t>.</w:t>
      </w:r>
    </w:p>
    <w:p w:rsidR="00236782" w:rsidRPr="00B440B4" w:rsidRDefault="001046C8" w:rsidP="00434A3D">
      <w:pPr>
        <w:spacing w:after="120"/>
        <w:jc w:val="both"/>
        <w:rPr>
          <w:lang w:val="en-GB"/>
        </w:rPr>
      </w:pPr>
      <w:r w:rsidRPr="00B440B4">
        <w:rPr>
          <w:lang w:val="en-GB"/>
        </w:rPr>
        <w:t>3.3</w:t>
      </w:r>
      <w:r w:rsidR="00C303BB" w:rsidRPr="00B440B4">
        <w:rPr>
          <w:lang w:val="en-GB"/>
        </w:rPr>
        <w:t>.6.</w:t>
      </w:r>
      <w:r w:rsidR="00C303BB" w:rsidRPr="00B440B4">
        <w:rPr>
          <w:lang w:val="en-GB"/>
        </w:rPr>
        <w:tab/>
      </w:r>
      <w:r w:rsidR="000D7146">
        <w:rPr>
          <w:b/>
          <w:lang w:val="en-GB"/>
        </w:rPr>
        <w:t>Sector</w:t>
      </w:r>
      <w:r w:rsidR="000D7146" w:rsidRPr="00B0542F">
        <w:rPr>
          <w:b/>
          <w:lang w:val="en-GB"/>
        </w:rPr>
        <w:t xml:space="preserve"> </w:t>
      </w:r>
      <w:r w:rsidR="00C303BB" w:rsidRPr="00434A3D">
        <w:rPr>
          <w:b/>
          <w:lang w:val="en-GB"/>
        </w:rPr>
        <w:t>environmental assessment</w:t>
      </w:r>
      <w:r w:rsidR="000D7146">
        <w:rPr>
          <w:b/>
          <w:lang w:val="en-GB"/>
        </w:rPr>
        <w:t>s</w:t>
      </w:r>
      <w:r w:rsidR="000D7146">
        <w:rPr>
          <w:lang w:val="en-GB"/>
        </w:rPr>
        <w:t xml:space="preserve"> are</w:t>
      </w:r>
      <w:r w:rsidR="00236782" w:rsidRPr="00434A3D">
        <w:rPr>
          <w:lang w:val="en-GB"/>
        </w:rPr>
        <w:t xml:space="preserve"> being developed for energy infrastructure development, notably hydropower. Assessment will also be of relevance for developing environmental infrastructure, such as for solid waste treatment and waste water treatment.</w:t>
      </w:r>
      <w:r w:rsidR="00236C9A" w:rsidRPr="00434A3D">
        <w:rPr>
          <w:lang w:val="en-GB"/>
        </w:rPr>
        <w:t xml:space="preserve"> Based on framework l</w:t>
      </w:r>
      <w:r w:rsidR="00236C9A" w:rsidRPr="00B440B4">
        <w:rPr>
          <w:lang w:val="en-GB"/>
        </w:rPr>
        <w:t>egislation to be adopted in early 2017 (update) the EU could support a pilot SEA in this sector.</w:t>
      </w:r>
    </w:p>
    <w:p w:rsidR="007149EF" w:rsidRPr="006531FF" w:rsidRDefault="007149EF" w:rsidP="007149EF">
      <w:pPr>
        <w:spacing w:after="120"/>
        <w:jc w:val="both"/>
        <w:rPr>
          <w:lang w:val="en-GB"/>
        </w:rPr>
      </w:pPr>
      <w:r w:rsidRPr="006531FF">
        <w:rPr>
          <w:lang w:val="en-GB"/>
        </w:rPr>
        <w:t>3.</w:t>
      </w:r>
      <w:r>
        <w:rPr>
          <w:lang w:val="en-GB"/>
        </w:rPr>
        <w:t>3</w:t>
      </w:r>
      <w:r w:rsidRPr="006531FF">
        <w:rPr>
          <w:lang w:val="en-GB"/>
        </w:rPr>
        <w:t>.7.</w:t>
      </w:r>
      <w:r w:rsidRPr="006531FF">
        <w:rPr>
          <w:lang w:val="en-GB"/>
        </w:rPr>
        <w:tab/>
      </w:r>
      <w:r>
        <w:rPr>
          <w:lang w:val="en-GB"/>
        </w:rPr>
        <w:t>Concerning the</w:t>
      </w:r>
      <w:r w:rsidRPr="006531FF">
        <w:rPr>
          <w:lang w:val="en-GB"/>
        </w:rPr>
        <w:t xml:space="preserve"> overall </w:t>
      </w:r>
      <w:r w:rsidRPr="006531FF">
        <w:rPr>
          <w:b/>
          <w:lang w:val="en-GB"/>
        </w:rPr>
        <w:t>risk assessment</w:t>
      </w:r>
      <w:r>
        <w:rPr>
          <w:b/>
          <w:lang w:val="en-GB"/>
        </w:rPr>
        <w:t>,</w:t>
      </w:r>
      <w:r w:rsidRPr="00B0542F">
        <w:rPr>
          <w:b/>
          <w:lang w:val="en-GB"/>
        </w:rPr>
        <w:t xml:space="preserve"> </w:t>
      </w:r>
      <w:r>
        <w:rPr>
          <w:lang w:val="en-GB"/>
        </w:rPr>
        <w:t xml:space="preserve">risks include </w:t>
      </w:r>
      <w:r w:rsidRPr="006531FF">
        <w:rPr>
          <w:lang w:val="en-GB"/>
        </w:rPr>
        <w:t>further deterioration of political circumstances in the region as well as with the breakaway regions, continued political polarisation, potential constitutional changes facilitated by general election results, strong opposition of the judiciary to the reform process. This can partly be mitigated by enhanced policy dialogue and by greater use of incentive based mechanisms.</w:t>
      </w:r>
    </w:p>
    <w:p w:rsidR="00983DAD" w:rsidRPr="00B0542F" w:rsidRDefault="00983DAD" w:rsidP="00B0542F">
      <w:pPr>
        <w:spacing w:after="120"/>
        <w:jc w:val="both"/>
        <w:rPr>
          <w:b/>
          <w:lang w:val="en-GB"/>
        </w:rPr>
      </w:pPr>
    </w:p>
    <w:p w:rsidR="00EC5C1F" w:rsidRPr="00B0542F" w:rsidRDefault="00B62F09" w:rsidP="00B0542F">
      <w:pPr>
        <w:spacing w:after="120"/>
        <w:jc w:val="both"/>
        <w:rPr>
          <w:b/>
          <w:u w:val="single"/>
          <w:lang w:val="en-GB"/>
        </w:rPr>
      </w:pPr>
      <w:r w:rsidRPr="00B0542F">
        <w:rPr>
          <w:b/>
          <w:u w:val="single"/>
          <w:lang w:val="en-GB"/>
        </w:rPr>
        <w:t>3.4.</w:t>
      </w:r>
      <w:r w:rsidR="004A29E2" w:rsidRPr="00B0542F">
        <w:rPr>
          <w:b/>
          <w:u w:val="single"/>
          <w:lang w:val="en-GB"/>
        </w:rPr>
        <w:t xml:space="preserve"> </w:t>
      </w:r>
      <w:r w:rsidR="004A29E2" w:rsidRPr="00434A3D">
        <w:rPr>
          <w:b/>
          <w:u w:val="single"/>
          <w:lang w:val="en-GB"/>
        </w:rPr>
        <w:t>Mobility and people-to-people contacts,</w:t>
      </w:r>
      <w:r w:rsidR="004A29E2" w:rsidRPr="00B0542F">
        <w:rPr>
          <w:b/>
          <w:i/>
          <w:u w:val="single"/>
          <w:lang w:val="en-GB"/>
        </w:rPr>
        <w:t xml:space="preserve"> including</w:t>
      </w:r>
      <w:r w:rsidR="004A29E2" w:rsidRPr="00B0542F">
        <w:rPr>
          <w:b/>
          <w:u w:val="single"/>
          <w:lang w:val="en-GB"/>
        </w:rPr>
        <w:t xml:space="preserve"> support to the implementation of the visa liberalisation action plan and to vocational education and training (indicative </w:t>
      </w:r>
      <w:r w:rsidR="004A29E2" w:rsidRPr="00434A3D">
        <w:rPr>
          <w:b/>
          <w:u w:val="single"/>
          <w:lang w:val="en-GB"/>
        </w:rPr>
        <w:t>10%</w:t>
      </w:r>
      <w:r w:rsidR="004A29E2" w:rsidRPr="00B0542F">
        <w:rPr>
          <w:b/>
          <w:u w:val="single"/>
          <w:lang w:val="en-GB"/>
        </w:rPr>
        <w:t>)</w:t>
      </w:r>
    </w:p>
    <w:p w:rsidR="003429A1" w:rsidRPr="00B440B4" w:rsidRDefault="00EA59F7" w:rsidP="00B0542F">
      <w:pPr>
        <w:spacing w:after="120"/>
        <w:jc w:val="both"/>
        <w:rPr>
          <w:lang w:val="en-GB"/>
        </w:rPr>
      </w:pPr>
      <w:r w:rsidRPr="00434A3D">
        <w:rPr>
          <w:lang w:val="en-GB"/>
        </w:rPr>
        <w:t>3.4.1.</w:t>
      </w:r>
      <w:r w:rsidR="003429A1" w:rsidRPr="00434A3D">
        <w:rPr>
          <w:lang w:val="en-GB"/>
        </w:rPr>
        <w:tab/>
        <w:t xml:space="preserve">The following overall and specific </w:t>
      </w:r>
      <w:r w:rsidR="003429A1" w:rsidRPr="00B440B4">
        <w:rPr>
          <w:b/>
          <w:lang w:val="en-GB"/>
        </w:rPr>
        <w:t>objectives</w:t>
      </w:r>
      <w:r w:rsidR="003429A1" w:rsidRPr="00B440B4">
        <w:rPr>
          <w:lang w:val="en-GB"/>
        </w:rPr>
        <w:t xml:space="preserve"> will be pursued:</w:t>
      </w:r>
    </w:p>
    <w:p w:rsidR="00EC5C1F" w:rsidRPr="00B440B4" w:rsidRDefault="003429A1" w:rsidP="00B0542F">
      <w:pPr>
        <w:spacing w:after="120"/>
        <w:jc w:val="both"/>
        <w:rPr>
          <w:lang w:val="en-GB"/>
        </w:rPr>
      </w:pPr>
      <w:r w:rsidRPr="00B440B4">
        <w:rPr>
          <w:b/>
          <w:u w:val="single"/>
          <w:lang w:val="en-GB"/>
        </w:rPr>
        <w:t>O</w:t>
      </w:r>
      <w:r w:rsidR="00EC5C1F" w:rsidRPr="00B440B4">
        <w:rPr>
          <w:b/>
          <w:u w:val="single"/>
          <w:lang w:val="en-GB"/>
        </w:rPr>
        <w:t>verall objective</w:t>
      </w:r>
      <w:r w:rsidRPr="00B440B4">
        <w:rPr>
          <w:b/>
          <w:lang w:val="en-GB"/>
        </w:rPr>
        <w:t xml:space="preserve">: </w:t>
      </w:r>
      <w:r w:rsidR="00EC5C1F" w:rsidRPr="00B440B4">
        <w:rPr>
          <w:lang w:val="en-GB"/>
        </w:rPr>
        <w:t xml:space="preserve">to enhance mobility of citizens, develop human capital and skill sets and strengthen the coordination between the education system and the labour market. </w:t>
      </w:r>
    </w:p>
    <w:p w:rsidR="00EC5C1F" w:rsidRPr="00B440B4" w:rsidRDefault="00EC5C1F" w:rsidP="00FF6C9A">
      <w:pPr>
        <w:pStyle w:val="ListBullet"/>
        <w:numPr>
          <w:ilvl w:val="0"/>
          <w:numId w:val="0"/>
        </w:numPr>
        <w:spacing w:after="120"/>
        <w:ind w:right="141"/>
        <w:rPr>
          <w:szCs w:val="24"/>
        </w:rPr>
      </w:pPr>
      <w:r w:rsidRPr="00B440B4">
        <w:rPr>
          <w:b/>
          <w:szCs w:val="24"/>
          <w:u w:val="single"/>
        </w:rPr>
        <w:t>Specific objectives</w:t>
      </w:r>
      <w:r w:rsidRPr="00B440B4">
        <w:rPr>
          <w:szCs w:val="24"/>
        </w:rPr>
        <w:t xml:space="preserve"> include:</w:t>
      </w:r>
    </w:p>
    <w:p w:rsidR="00EC5C1F" w:rsidRPr="00FF6C9A" w:rsidRDefault="00EC5C1F" w:rsidP="00B0542F">
      <w:pPr>
        <w:pStyle w:val="ListBullet"/>
        <w:numPr>
          <w:ilvl w:val="0"/>
          <w:numId w:val="55"/>
        </w:numPr>
        <w:spacing w:after="120"/>
        <w:ind w:right="141"/>
        <w:rPr>
          <w:szCs w:val="24"/>
        </w:rPr>
      </w:pPr>
      <w:r w:rsidRPr="00B440B4">
        <w:rPr>
          <w:szCs w:val="24"/>
        </w:rPr>
        <w:t>to enhance the matching between skills and jobs, e.g. through raising the quality of vocational education and training, through active labour market policies and develop Europeanisation of education in Georgia</w:t>
      </w:r>
      <w:r w:rsidRPr="00FF6C9A">
        <w:rPr>
          <w:szCs w:val="24"/>
        </w:rPr>
        <w:t xml:space="preserve"> </w:t>
      </w:r>
      <w:r w:rsidR="00983DAD">
        <w:rPr>
          <w:szCs w:val="24"/>
        </w:rPr>
        <w:t>(specific objective 1)</w:t>
      </w:r>
      <w:r w:rsidRPr="00FF6C9A">
        <w:rPr>
          <w:szCs w:val="24"/>
        </w:rPr>
        <w:t>;</w:t>
      </w:r>
    </w:p>
    <w:p w:rsidR="00EC5C1F" w:rsidRPr="00236463" w:rsidRDefault="00EC5C1F" w:rsidP="00B0542F">
      <w:pPr>
        <w:pStyle w:val="ListBullet"/>
        <w:numPr>
          <w:ilvl w:val="0"/>
          <w:numId w:val="55"/>
        </w:numPr>
        <w:spacing w:after="120"/>
        <w:ind w:right="141"/>
        <w:rPr>
          <w:szCs w:val="24"/>
        </w:rPr>
      </w:pPr>
      <w:r w:rsidRPr="00236463">
        <w:rPr>
          <w:szCs w:val="24"/>
        </w:rPr>
        <w:t>to sustain the implementation of all benchmarks of the Visa Liberalisation Action Plan</w:t>
      </w:r>
      <w:r w:rsidR="00983DAD">
        <w:rPr>
          <w:szCs w:val="24"/>
        </w:rPr>
        <w:t xml:space="preserve"> (specific objective 2)</w:t>
      </w:r>
      <w:r w:rsidRPr="00236463">
        <w:rPr>
          <w:szCs w:val="24"/>
        </w:rPr>
        <w:t>;</w:t>
      </w:r>
    </w:p>
    <w:p w:rsidR="00EC5C1F" w:rsidRPr="00434A3D" w:rsidRDefault="00EC5C1F" w:rsidP="00B0542F">
      <w:pPr>
        <w:pStyle w:val="ListBullet"/>
        <w:numPr>
          <w:ilvl w:val="0"/>
          <w:numId w:val="55"/>
        </w:numPr>
        <w:spacing w:after="120"/>
        <w:ind w:right="141"/>
        <w:rPr>
          <w:szCs w:val="24"/>
        </w:rPr>
      </w:pPr>
      <w:r w:rsidRPr="00236463">
        <w:rPr>
          <w:szCs w:val="24"/>
        </w:rPr>
        <w:t>to strengthen the inclusion of disadvantaged groups (including</w:t>
      </w:r>
      <w:r w:rsidRPr="00434A3D">
        <w:rPr>
          <w:szCs w:val="24"/>
        </w:rPr>
        <w:t xml:space="preserve"> minorities) in mainstream education</w:t>
      </w:r>
      <w:r w:rsidR="00983DAD">
        <w:rPr>
          <w:szCs w:val="24"/>
        </w:rPr>
        <w:t xml:space="preserve"> (specific objective 3)</w:t>
      </w:r>
      <w:r w:rsidRPr="00434A3D">
        <w:rPr>
          <w:szCs w:val="24"/>
        </w:rPr>
        <w:t>;</w:t>
      </w:r>
    </w:p>
    <w:p w:rsidR="00B62F09" w:rsidRPr="00434A3D" w:rsidRDefault="00EC5C1F" w:rsidP="00B0542F">
      <w:pPr>
        <w:pStyle w:val="ListBullet"/>
        <w:numPr>
          <w:ilvl w:val="0"/>
          <w:numId w:val="55"/>
        </w:numPr>
        <w:spacing w:after="120"/>
        <w:ind w:right="141"/>
        <w:rPr>
          <w:szCs w:val="24"/>
        </w:rPr>
      </w:pPr>
      <w:r w:rsidRPr="00434A3D">
        <w:rPr>
          <w:szCs w:val="24"/>
        </w:rPr>
        <w:t>to support innovation and research including fostering research/industry partnerships</w:t>
      </w:r>
      <w:r w:rsidR="00983DAD">
        <w:rPr>
          <w:szCs w:val="24"/>
        </w:rPr>
        <w:t xml:space="preserve"> (specific objective 4)</w:t>
      </w:r>
      <w:r w:rsidRPr="00434A3D">
        <w:rPr>
          <w:szCs w:val="24"/>
        </w:rPr>
        <w:t>.</w:t>
      </w:r>
    </w:p>
    <w:p w:rsidR="00EA59F7" w:rsidRPr="00B440B4" w:rsidRDefault="00EA59F7" w:rsidP="00B0542F">
      <w:pPr>
        <w:spacing w:after="120"/>
        <w:jc w:val="both"/>
        <w:rPr>
          <w:lang w:val="en-GB"/>
        </w:rPr>
      </w:pPr>
      <w:r w:rsidRPr="00B440B4">
        <w:rPr>
          <w:lang w:val="en-GB"/>
        </w:rPr>
        <w:t>3.4.2.</w:t>
      </w:r>
      <w:r w:rsidRPr="00B440B4">
        <w:rPr>
          <w:lang w:val="en-GB"/>
        </w:rPr>
        <w:tab/>
        <w:t xml:space="preserve">For each of the specific objectives the main expected </w:t>
      </w:r>
      <w:r w:rsidRPr="00B440B4">
        <w:rPr>
          <w:b/>
          <w:lang w:val="en-GB"/>
        </w:rPr>
        <w:t xml:space="preserve">results </w:t>
      </w:r>
      <w:r w:rsidRPr="00B440B4">
        <w:rPr>
          <w:lang w:val="en-GB"/>
        </w:rPr>
        <w:t xml:space="preserve">are: </w:t>
      </w:r>
    </w:p>
    <w:p w:rsidR="003A5768" w:rsidRDefault="003A5768" w:rsidP="00B0542F">
      <w:pPr>
        <w:pStyle w:val="ListParagraph"/>
        <w:numPr>
          <w:ilvl w:val="0"/>
          <w:numId w:val="54"/>
        </w:numPr>
        <w:spacing w:after="120"/>
        <w:ind w:left="426" w:hanging="426"/>
        <w:contextualSpacing w:val="0"/>
      </w:pPr>
      <w:r>
        <w:lastRenderedPageBreak/>
        <w:t>For specific objective 1 : more and better employability (in particular for youth, women and disadvantaged groups) through an a</w:t>
      </w:r>
      <w:r w:rsidR="00EA17B1" w:rsidRPr="00434A3D">
        <w:t>ctive labour market policy (ALMP) developed and implemented</w:t>
      </w:r>
      <w:r>
        <w:t>, VET reform implemented, Labour Market Information System (LMIS) operational, regional expansion of available European education offer</w:t>
      </w:r>
    </w:p>
    <w:p w:rsidR="003A5768" w:rsidRDefault="003A5768" w:rsidP="00B440B4">
      <w:pPr>
        <w:pStyle w:val="ListParagraph"/>
        <w:numPr>
          <w:ilvl w:val="0"/>
          <w:numId w:val="54"/>
        </w:numPr>
        <w:spacing w:after="120"/>
        <w:ind w:left="426" w:hanging="426"/>
        <w:contextualSpacing w:val="0"/>
      </w:pPr>
      <w:r>
        <w:t>For specific objective 2 :  improved free and secure mobility between Georgia and Europe, enhanced implementation of EU-Georgia Agreements on migration and integrated border management</w:t>
      </w:r>
    </w:p>
    <w:p w:rsidR="003A5768" w:rsidRDefault="003A5768" w:rsidP="00B0542F">
      <w:pPr>
        <w:pStyle w:val="ListParagraph"/>
        <w:numPr>
          <w:ilvl w:val="0"/>
          <w:numId w:val="54"/>
        </w:numPr>
        <w:spacing w:after="120"/>
        <w:ind w:left="426" w:hanging="426"/>
        <w:contextualSpacing w:val="0"/>
      </w:pPr>
      <w:r>
        <w:t>For specific objective 3 : Young people, women and other vulnerable groups gain access to education and training</w:t>
      </w:r>
    </w:p>
    <w:p w:rsidR="00EA17B1" w:rsidRPr="00434A3D" w:rsidRDefault="003A5768" w:rsidP="00B0542F">
      <w:pPr>
        <w:pStyle w:val="ListParagraph"/>
        <w:numPr>
          <w:ilvl w:val="0"/>
          <w:numId w:val="54"/>
        </w:numPr>
        <w:spacing w:after="120"/>
        <w:ind w:left="426" w:hanging="426"/>
        <w:contextualSpacing w:val="0"/>
      </w:pPr>
      <w:r>
        <w:t>For specific objective 4 : Increase opportunities and enhanced partnerships in the area of research and innovation</w:t>
      </w:r>
    </w:p>
    <w:p w:rsidR="00281517" w:rsidRPr="00B0542F" w:rsidRDefault="003A5768" w:rsidP="00B0542F">
      <w:pPr>
        <w:spacing w:after="120"/>
        <w:jc w:val="both"/>
        <w:rPr>
          <w:lang w:val="en-GB"/>
        </w:rPr>
      </w:pPr>
      <w:r>
        <w:rPr>
          <w:lang w:val="en-GB"/>
        </w:rPr>
        <w:t>3.4</w:t>
      </w:r>
      <w:r w:rsidRPr="00B40B4B">
        <w:rPr>
          <w:lang w:val="en-GB"/>
        </w:rPr>
        <w:t>.3.</w:t>
      </w:r>
      <w:r w:rsidRPr="00B40B4B">
        <w:rPr>
          <w:lang w:val="en-GB"/>
        </w:rPr>
        <w:tab/>
        <w:t xml:space="preserve">For each result, the main </w:t>
      </w:r>
      <w:r w:rsidRPr="00B40B4B">
        <w:rPr>
          <w:b/>
          <w:lang w:val="en-GB"/>
        </w:rPr>
        <w:t>indicators</w:t>
      </w:r>
      <w:r w:rsidRPr="00B40B4B">
        <w:rPr>
          <w:lang w:val="en-GB"/>
        </w:rPr>
        <w:t xml:space="preserve"> are</w:t>
      </w:r>
      <w:r>
        <w:rPr>
          <w:lang w:val="en-GB"/>
        </w:rPr>
        <w:t>:</w:t>
      </w:r>
    </w:p>
    <w:p w:rsidR="00257C3A" w:rsidRDefault="00281517" w:rsidP="00B440B4">
      <w:pPr>
        <w:numPr>
          <w:ilvl w:val="0"/>
          <w:numId w:val="56"/>
        </w:numPr>
        <w:spacing w:after="120"/>
        <w:ind w:left="426" w:hanging="426"/>
        <w:jc w:val="both"/>
        <w:rPr>
          <w:lang w:val="en-GB"/>
        </w:rPr>
      </w:pPr>
      <w:r>
        <w:rPr>
          <w:lang w:val="en-GB"/>
        </w:rPr>
        <w:t xml:space="preserve">Labour market information system and career guidance web portals operational </w:t>
      </w:r>
    </w:p>
    <w:p w:rsidR="008471B3" w:rsidRDefault="00281517" w:rsidP="00B0542F">
      <w:pPr>
        <w:numPr>
          <w:ilvl w:val="0"/>
          <w:numId w:val="56"/>
        </w:numPr>
        <w:spacing w:after="120"/>
        <w:ind w:left="426" w:hanging="426"/>
        <w:jc w:val="both"/>
        <w:rPr>
          <w:lang w:val="en-GB"/>
        </w:rPr>
      </w:pPr>
      <w:r>
        <w:rPr>
          <w:lang w:val="en-GB"/>
        </w:rPr>
        <w:t>New VET law and by-laws adopted and implemented</w:t>
      </w:r>
    </w:p>
    <w:p w:rsidR="008471B3" w:rsidRPr="008471B3" w:rsidRDefault="008471B3" w:rsidP="00B0542F">
      <w:pPr>
        <w:numPr>
          <w:ilvl w:val="0"/>
          <w:numId w:val="56"/>
        </w:numPr>
        <w:spacing w:after="120"/>
        <w:ind w:left="426" w:hanging="426"/>
        <w:jc w:val="both"/>
        <w:rPr>
          <w:lang w:val="en-GB"/>
        </w:rPr>
      </w:pPr>
      <w:r w:rsidRPr="008471B3">
        <w:rPr>
          <w:lang w:val="en-GB"/>
        </w:rPr>
        <w:t>Number of VET students in the agriculture sector</w:t>
      </w:r>
      <w:r>
        <w:rPr>
          <w:lang w:val="en-GB"/>
        </w:rPr>
        <w:t xml:space="preserve"> (</w:t>
      </w:r>
      <w:r w:rsidRPr="008471B3">
        <w:rPr>
          <w:lang w:val="en-GB"/>
        </w:rPr>
        <w:t xml:space="preserve">disaggregated by </w:t>
      </w:r>
      <w:r w:rsidR="00BD7260">
        <w:rPr>
          <w:lang w:val="en-GB"/>
        </w:rPr>
        <w:t>gender</w:t>
      </w:r>
      <w:r>
        <w:rPr>
          <w:lang w:val="en-GB"/>
        </w:rPr>
        <w:t>)</w:t>
      </w:r>
    </w:p>
    <w:p w:rsidR="00257C3A" w:rsidRDefault="00257C3A" w:rsidP="00B440B4">
      <w:pPr>
        <w:numPr>
          <w:ilvl w:val="0"/>
          <w:numId w:val="56"/>
        </w:numPr>
        <w:spacing w:after="120"/>
        <w:ind w:left="426" w:hanging="426"/>
        <w:jc w:val="both"/>
        <w:rPr>
          <w:lang w:val="en-GB"/>
        </w:rPr>
      </w:pPr>
      <w:r>
        <w:rPr>
          <w:lang w:val="en-GB"/>
        </w:rPr>
        <w:t>EU-Georgia Agreement on the European Sch</w:t>
      </w:r>
      <w:r w:rsidR="00281517">
        <w:rPr>
          <w:lang w:val="en-GB"/>
        </w:rPr>
        <w:t xml:space="preserve">ool </w:t>
      </w:r>
    </w:p>
    <w:p w:rsidR="00AA3254" w:rsidRPr="00D4182C" w:rsidRDefault="00AA3254" w:rsidP="00B440B4">
      <w:pPr>
        <w:numPr>
          <w:ilvl w:val="0"/>
          <w:numId w:val="56"/>
        </w:numPr>
        <w:ind w:left="426" w:hanging="426"/>
        <w:jc w:val="both"/>
        <w:rPr>
          <w:lang w:val="en-GB"/>
        </w:rPr>
      </w:pPr>
      <w:r w:rsidRPr="00D4182C">
        <w:rPr>
          <w:lang w:val="en-GB"/>
        </w:rPr>
        <w:t>Status of implementation of EU-Georgia Readmission Agreement</w:t>
      </w:r>
      <w:r>
        <w:rPr>
          <w:lang w:val="en-GB"/>
        </w:rPr>
        <w:t xml:space="preserve"> including </w:t>
      </w:r>
      <w:r w:rsidRPr="00D4182C">
        <w:rPr>
          <w:lang w:val="en-GB"/>
        </w:rPr>
        <w:t xml:space="preserve">number of reintegrated  migrants </w:t>
      </w:r>
      <w:r>
        <w:rPr>
          <w:lang w:val="en-GB"/>
        </w:rPr>
        <w:t>(</w:t>
      </w:r>
      <w:r w:rsidRPr="00D4182C">
        <w:rPr>
          <w:lang w:val="en-GB"/>
        </w:rPr>
        <w:t xml:space="preserve">disaggregated by </w:t>
      </w:r>
      <w:r w:rsidR="00324E67">
        <w:rPr>
          <w:lang w:val="en-GB"/>
        </w:rPr>
        <w:t>gender</w:t>
      </w:r>
      <w:r>
        <w:rPr>
          <w:lang w:val="en-GB"/>
        </w:rPr>
        <w:t>)</w:t>
      </w:r>
      <w:r w:rsidRPr="00D4182C">
        <w:rPr>
          <w:lang w:val="en-GB"/>
        </w:rPr>
        <w:t>;</w:t>
      </w:r>
    </w:p>
    <w:p w:rsidR="00AA3254" w:rsidRDefault="00AA3254" w:rsidP="00B440B4">
      <w:pPr>
        <w:numPr>
          <w:ilvl w:val="0"/>
          <w:numId w:val="56"/>
        </w:numPr>
        <w:ind w:left="426" w:hanging="426"/>
        <w:rPr>
          <w:lang w:val="en-GB"/>
        </w:rPr>
      </w:pPr>
      <w:r w:rsidRPr="00D4182C">
        <w:rPr>
          <w:lang w:val="en-GB"/>
        </w:rPr>
        <w:t>Progress in development of efficient system for migration data management</w:t>
      </w:r>
      <w:r>
        <w:rPr>
          <w:lang w:val="en-GB"/>
        </w:rPr>
        <w:t xml:space="preserve"> and risk analysis</w:t>
      </w:r>
      <w:r w:rsidRPr="00D4182C">
        <w:rPr>
          <w:lang w:val="en-GB"/>
        </w:rPr>
        <w:t>.</w:t>
      </w:r>
    </w:p>
    <w:p w:rsidR="003A5768" w:rsidRDefault="00281517" w:rsidP="00B440B4">
      <w:pPr>
        <w:numPr>
          <w:ilvl w:val="0"/>
          <w:numId w:val="56"/>
        </w:numPr>
        <w:spacing w:after="120"/>
        <w:ind w:left="426" w:hanging="426"/>
        <w:jc w:val="both"/>
        <w:rPr>
          <w:lang w:val="en-GB"/>
        </w:rPr>
      </w:pPr>
      <w:r>
        <w:rPr>
          <w:lang w:val="en-GB"/>
        </w:rPr>
        <w:t>Education e</w:t>
      </w:r>
      <w:r w:rsidR="003A5768">
        <w:rPr>
          <w:lang w:val="en-GB"/>
        </w:rPr>
        <w:t>nrolment and completion rate increased and drop-out rate decreased in less developed regions</w:t>
      </w:r>
    </w:p>
    <w:p w:rsidR="00281517" w:rsidRDefault="003248C8" w:rsidP="00B440B4">
      <w:pPr>
        <w:numPr>
          <w:ilvl w:val="0"/>
          <w:numId w:val="56"/>
        </w:numPr>
        <w:spacing w:after="120"/>
        <w:ind w:left="426" w:hanging="426"/>
        <w:jc w:val="both"/>
        <w:rPr>
          <w:lang w:val="en-GB"/>
        </w:rPr>
      </w:pPr>
      <w:r>
        <w:rPr>
          <w:lang w:val="en-GB"/>
        </w:rPr>
        <w:t>Rates of people not in education, employment or training (</w:t>
      </w:r>
      <w:r w:rsidR="00281517">
        <w:rPr>
          <w:lang w:val="en-GB"/>
        </w:rPr>
        <w:t>NEET</w:t>
      </w:r>
      <w:r>
        <w:rPr>
          <w:lang w:val="en-GB"/>
        </w:rPr>
        <w:t>)</w:t>
      </w:r>
      <w:r w:rsidR="00281517">
        <w:rPr>
          <w:lang w:val="en-GB"/>
        </w:rPr>
        <w:t xml:space="preserve"> reduced </w:t>
      </w:r>
    </w:p>
    <w:p w:rsidR="003A5768" w:rsidRPr="00434A3D" w:rsidRDefault="003A5768" w:rsidP="00B440B4">
      <w:pPr>
        <w:numPr>
          <w:ilvl w:val="0"/>
          <w:numId w:val="56"/>
        </w:numPr>
        <w:spacing w:after="120"/>
        <w:ind w:left="426" w:hanging="426"/>
        <w:jc w:val="both"/>
        <w:rPr>
          <w:lang w:val="en-GB"/>
        </w:rPr>
      </w:pPr>
      <w:r>
        <w:rPr>
          <w:lang w:val="en-GB"/>
        </w:rPr>
        <w:t>Number of research</w:t>
      </w:r>
      <w:r w:rsidR="00F27538">
        <w:rPr>
          <w:lang w:val="en-GB"/>
        </w:rPr>
        <w:t>/industry partnerships</w:t>
      </w:r>
    </w:p>
    <w:p w:rsidR="004A29E2" w:rsidRPr="00FF6C9A" w:rsidRDefault="00422FB4" w:rsidP="00B440B4">
      <w:pPr>
        <w:spacing w:after="120"/>
        <w:jc w:val="both"/>
        <w:rPr>
          <w:lang w:val="en-GB"/>
        </w:rPr>
      </w:pPr>
      <w:r w:rsidRPr="00B440B4">
        <w:rPr>
          <w:lang w:val="en-GB"/>
        </w:rPr>
        <w:t>3.4</w:t>
      </w:r>
      <w:r w:rsidR="004A29E2" w:rsidRPr="00B440B4">
        <w:rPr>
          <w:lang w:val="en-GB"/>
        </w:rPr>
        <w:t>.4.</w:t>
      </w:r>
      <w:r w:rsidR="004A29E2" w:rsidRPr="00B440B4">
        <w:rPr>
          <w:lang w:val="en-GB"/>
        </w:rPr>
        <w:tab/>
      </w:r>
      <w:r w:rsidR="00F01E8B" w:rsidRPr="00B440B4">
        <w:rPr>
          <w:b/>
          <w:lang w:val="en-GB"/>
        </w:rPr>
        <w:t>Donor coordination and policy dialogue</w:t>
      </w:r>
      <w:r w:rsidR="00F01E8B" w:rsidRPr="00B440B4">
        <w:rPr>
          <w:lang w:val="en-GB"/>
        </w:rPr>
        <w:t xml:space="preserve"> are taking place in various formats, both government and donor led, varying according to the thematic area. </w:t>
      </w:r>
      <w:r w:rsidR="00434A3D">
        <w:rPr>
          <w:lang w:val="en-GB"/>
        </w:rPr>
        <w:t>Directly related with the Association Agreement, important fora of discussion include the Association Committee and the specific sub-committees, which provide an opportunity to strengthen policy dialogue. In addition, f</w:t>
      </w:r>
      <w:r w:rsidR="00F01E8B" w:rsidRPr="00B440B4">
        <w:rPr>
          <w:lang w:val="en-GB"/>
        </w:rPr>
        <w:t xml:space="preserve">or Human capital there is the </w:t>
      </w:r>
      <w:r w:rsidR="00F01E8B" w:rsidRPr="00B440B4">
        <w:rPr>
          <w:iCs/>
          <w:lang w:val="en-GB" w:eastAsia="en-US"/>
        </w:rPr>
        <w:t xml:space="preserve">Human Capital Development   </w:t>
      </w:r>
      <w:r w:rsidR="00F01E8B" w:rsidRPr="00B440B4">
        <w:rPr>
          <w:iCs/>
          <w:lang w:val="en-GB"/>
        </w:rPr>
        <w:t xml:space="preserve">Thematic Coordination Group led by the government. For Labour Market there is the Tripartite Social Partnership Committee (EU+ILO). For Education and Science, discussions take place in the </w:t>
      </w:r>
      <w:r w:rsidR="00F01E8B" w:rsidRPr="00B440B4">
        <w:rPr>
          <w:iCs/>
          <w:lang w:val="en-GB" w:eastAsia="en-US"/>
        </w:rPr>
        <w:t>National VET Council</w:t>
      </w:r>
      <w:r w:rsidR="00F01E8B" w:rsidRPr="00B440B4" w:rsidDel="00F01E8B">
        <w:rPr>
          <w:lang w:val="en-GB"/>
        </w:rPr>
        <w:t xml:space="preserve"> </w:t>
      </w:r>
      <w:r w:rsidR="00F01E8B" w:rsidRPr="00B440B4">
        <w:rPr>
          <w:lang w:val="en-GB"/>
        </w:rPr>
        <w:t xml:space="preserve">(led by the Ministry of Economy and Sustainable Development. For Migration, discussions are led by the </w:t>
      </w:r>
      <w:r w:rsidR="00F01E8B" w:rsidRPr="00B440B4">
        <w:rPr>
          <w:iCs/>
          <w:lang w:val="en-GB" w:eastAsia="en-US"/>
        </w:rPr>
        <w:t>State Commission on Migration Issues and its working groups (focusing on Reintegration; Integration; Strategy; Analytical System; Risk Analysis; Migration and Development; Statelessness). Integrated border management is discussed under the Integrated Border Management Council under the Crisis Management Council of Georgia.</w:t>
      </w:r>
    </w:p>
    <w:p w:rsidR="00D34046" w:rsidRPr="00B0542F" w:rsidRDefault="00422FB4" w:rsidP="00B0542F">
      <w:pPr>
        <w:spacing w:after="120"/>
        <w:jc w:val="both"/>
        <w:rPr>
          <w:i/>
          <w:lang w:val="en-GB"/>
        </w:rPr>
      </w:pPr>
      <w:r w:rsidRPr="00236463">
        <w:rPr>
          <w:lang w:val="en-GB"/>
        </w:rPr>
        <w:t>3.4</w:t>
      </w:r>
      <w:r w:rsidR="004A29E2" w:rsidRPr="00236463">
        <w:rPr>
          <w:lang w:val="en-GB"/>
        </w:rPr>
        <w:t>.5.</w:t>
      </w:r>
      <w:r w:rsidR="004A29E2" w:rsidRPr="00236463">
        <w:rPr>
          <w:lang w:val="en-GB"/>
        </w:rPr>
        <w:tab/>
      </w:r>
      <w:r w:rsidR="00D34046" w:rsidRPr="00434A3D">
        <w:rPr>
          <w:lang w:val="en-GB"/>
        </w:rPr>
        <w:t xml:space="preserve">The </w:t>
      </w:r>
      <w:r w:rsidR="00D34046" w:rsidRPr="00434A3D">
        <w:rPr>
          <w:i/>
          <w:lang w:val="en-GB"/>
        </w:rPr>
        <w:t>partner country's authorities</w:t>
      </w:r>
      <w:r w:rsidR="00D34046" w:rsidRPr="00B440B4">
        <w:rPr>
          <w:lang w:val="en-GB"/>
        </w:rPr>
        <w:t xml:space="preserve"> </w:t>
      </w:r>
      <w:r w:rsidR="00D34046" w:rsidRPr="00B440B4">
        <w:rPr>
          <w:b/>
          <w:lang w:val="en-GB"/>
        </w:rPr>
        <w:t>financial and policy commitments</w:t>
      </w:r>
      <w:r w:rsidR="00D34046" w:rsidRPr="00B440B4">
        <w:rPr>
          <w:lang w:val="en-GB"/>
        </w:rPr>
        <w:t xml:space="preserve"> are described in </w:t>
      </w:r>
      <w:r w:rsidR="00D34046" w:rsidRPr="00B0542F">
        <w:rPr>
          <w:lang w:val="en-GB"/>
        </w:rPr>
        <w:t xml:space="preserve">the </w:t>
      </w:r>
      <w:r w:rsidR="00D34046" w:rsidRPr="00B440B4">
        <w:rPr>
          <w:lang w:val="en-GB"/>
        </w:rPr>
        <w:t>revised Association Agenda 2017-2019</w:t>
      </w:r>
      <w:r w:rsidR="00D34046" w:rsidRPr="00B440B4">
        <w:rPr>
          <w:i/>
          <w:lang w:val="en-GB"/>
        </w:rPr>
        <w:t xml:space="preserve"> </w:t>
      </w:r>
    </w:p>
    <w:p w:rsidR="004A29E2" w:rsidRPr="00B440B4" w:rsidRDefault="00422FB4" w:rsidP="00FF6C9A">
      <w:pPr>
        <w:spacing w:after="120"/>
        <w:ind w:left="705" w:hanging="705"/>
        <w:jc w:val="both"/>
        <w:rPr>
          <w:lang w:val="en-GB"/>
        </w:rPr>
      </w:pPr>
      <w:r w:rsidRPr="00FF6C9A">
        <w:rPr>
          <w:lang w:val="en-GB"/>
        </w:rPr>
        <w:t>3.4</w:t>
      </w:r>
      <w:r w:rsidR="004A29E2" w:rsidRPr="00FF6C9A">
        <w:rPr>
          <w:lang w:val="en-GB"/>
        </w:rPr>
        <w:t>.6.</w:t>
      </w:r>
      <w:r w:rsidR="004A29E2" w:rsidRPr="00FF6C9A">
        <w:rPr>
          <w:lang w:val="en-GB"/>
        </w:rPr>
        <w:tab/>
      </w:r>
      <w:r w:rsidR="00FC4C01">
        <w:rPr>
          <w:lang w:val="en-GB"/>
        </w:rPr>
        <w:t>No</w:t>
      </w:r>
      <w:r w:rsidR="00D34046" w:rsidRPr="00B440B4">
        <w:rPr>
          <w:color w:val="000000"/>
          <w:lang w:val="en-GB"/>
        </w:rPr>
        <w:t xml:space="preserve"> </w:t>
      </w:r>
      <w:r w:rsidR="00D34046" w:rsidRPr="00B440B4">
        <w:rPr>
          <w:b/>
          <w:color w:val="000000"/>
          <w:lang w:val="en-GB"/>
        </w:rPr>
        <w:t>environmental</w:t>
      </w:r>
      <w:r w:rsidR="00D34046" w:rsidRPr="00B0542F">
        <w:rPr>
          <w:b/>
          <w:color w:val="000000"/>
          <w:lang w:val="en-GB"/>
        </w:rPr>
        <w:t xml:space="preserve"> assessment</w:t>
      </w:r>
      <w:r w:rsidR="00D34046" w:rsidRPr="00B0542F">
        <w:rPr>
          <w:color w:val="000000"/>
          <w:lang w:val="en-GB"/>
        </w:rPr>
        <w:t xml:space="preserve"> (SEA or EIA)</w:t>
      </w:r>
      <w:r w:rsidR="00D34046" w:rsidRPr="00B440B4">
        <w:rPr>
          <w:color w:val="000000"/>
          <w:lang w:val="en-GB"/>
        </w:rPr>
        <w:t xml:space="preserve"> </w:t>
      </w:r>
      <w:r w:rsidR="00FC4C01">
        <w:rPr>
          <w:lang w:val="en-GB"/>
        </w:rPr>
        <w:t>is necessary.</w:t>
      </w:r>
    </w:p>
    <w:p w:rsidR="004A29E2" w:rsidRPr="00B440B4" w:rsidRDefault="00422FB4" w:rsidP="00B0542F">
      <w:pPr>
        <w:spacing w:after="120"/>
        <w:ind w:left="705" w:hanging="705"/>
        <w:jc w:val="both"/>
        <w:rPr>
          <w:lang w:val="en-GB"/>
        </w:rPr>
      </w:pPr>
      <w:r w:rsidRPr="00434A3D">
        <w:rPr>
          <w:lang w:val="en-GB"/>
        </w:rPr>
        <w:t>3.4</w:t>
      </w:r>
      <w:r w:rsidR="004A29E2" w:rsidRPr="00434A3D">
        <w:rPr>
          <w:lang w:val="en-GB"/>
        </w:rPr>
        <w:t>.7.</w:t>
      </w:r>
      <w:r w:rsidR="004A29E2" w:rsidRPr="00434A3D">
        <w:rPr>
          <w:lang w:val="en-GB"/>
        </w:rPr>
        <w:tab/>
        <w:t>The overal</w:t>
      </w:r>
      <w:r w:rsidR="004A29E2" w:rsidRPr="00B440B4">
        <w:rPr>
          <w:lang w:val="en-GB"/>
        </w:rPr>
        <w:t xml:space="preserve">l </w:t>
      </w:r>
      <w:r w:rsidR="004A29E2" w:rsidRPr="00B440B4">
        <w:rPr>
          <w:b/>
          <w:lang w:val="en-GB"/>
        </w:rPr>
        <w:t>risk assessment</w:t>
      </w:r>
      <w:r w:rsidR="004A29E2" w:rsidRPr="00B440B4">
        <w:rPr>
          <w:lang w:val="en-GB"/>
        </w:rPr>
        <w:t xml:space="preserve"> of the sector intervention is: </w:t>
      </w:r>
    </w:p>
    <w:p w:rsidR="00B62F09" w:rsidRPr="00B440B4" w:rsidRDefault="004A29E2" w:rsidP="00FF6C9A">
      <w:pPr>
        <w:spacing w:after="120"/>
        <w:jc w:val="both"/>
        <w:rPr>
          <w:lang w:val="en-GB"/>
        </w:rPr>
      </w:pPr>
      <w:r w:rsidRPr="00B440B4">
        <w:rPr>
          <w:lang w:val="en-GB"/>
        </w:rPr>
        <w:t>Major risks include further deterioration of economic and/or political circumstances in the main trading partners as well as with the breakaway regions; a deterioration in the country’s fiscal space hindering its capacity to carry out the critical mass of investments</w:t>
      </w:r>
      <w:r w:rsidR="00E124CC" w:rsidRPr="00B440B4">
        <w:rPr>
          <w:lang w:val="en-GB"/>
        </w:rPr>
        <w:t xml:space="preserve"> in </w:t>
      </w:r>
      <w:r w:rsidRPr="00B440B4">
        <w:rPr>
          <w:lang w:val="en-GB"/>
        </w:rPr>
        <w:t>education. This can partly be mitigated by enhanced policy dialogue, further prioritisation of successive components in th</w:t>
      </w:r>
      <w:r w:rsidR="000B6D16" w:rsidRPr="00B440B4">
        <w:rPr>
          <w:lang w:val="en-GB"/>
        </w:rPr>
        <w:t xml:space="preserve">e investments and by factoring </w:t>
      </w:r>
      <w:r w:rsidRPr="00B440B4">
        <w:rPr>
          <w:lang w:val="en-GB"/>
        </w:rPr>
        <w:t>the risk factor in the lending support.</w:t>
      </w:r>
    </w:p>
    <w:p w:rsidR="009D5DA2" w:rsidRPr="00B0542F" w:rsidRDefault="009D5DA2" w:rsidP="00B0542F">
      <w:pPr>
        <w:pStyle w:val="Heading1"/>
        <w:numPr>
          <w:ilvl w:val="0"/>
          <w:numId w:val="0"/>
        </w:numPr>
        <w:spacing w:after="120"/>
        <w:ind w:left="432" w:hanging="432"/>
        <w:rPr>
          <w:rFonts w:ascii="Times New Roman" w:hAnsi="Times New Roman"/>
          <w:sz w:val="28"/>
          <w:lang w:val="en-GB"/>
        </w:rPr>
      </w:pPr>
      <w:bookmarkStart w:id="4" w:name="_Toc457553001"/>
      <w:r w:rsidRPr="00B0542F">
        <w:rPr>
          <w:rFonts w:ascii="Times New Roman" w:hAnsi="Times New Roman"/>
          <w:sz w:val="28"/>
          <w:lang w:val="en-GB"/>
        </w:rPr>
        <w:lastRenderedPageBreak/>
        <w:t>4.</w:t>
      </w:r>
      <w:r w:rsidRPr="00B0542F">
        <w:rPr>
          <w:rFonts w:ascii="Times New Roman" w:hAnsi="Times New Roman"/>
          <w:sz w:val="28"/>
          <w:lang w:val="en-GB"/>
        </w:rPr>
        <w:tab/>
        <w:t>Complementary support for capacity developm</w:t>
      </w:r>
      <w:r w:rsidR="00D53582" w:rsidRPr="00B0542F">
        <w:rPr>
          <w:rFonts w:ascii="Times New Roman" w:hAnsi="Times New Roman"/>
          <w:sz w:val="28"/>
          <w:lang w:val="en-GB"/>
        </w:rPr>
        <w:t>ent/</w:t>
      </w:r>
      <w:r w:rsidRPr="00B0542F">
        <w:rPr>
          <w:rFonts w:ascii="Times New Roman" w:hAnsi="Times New Roman"/>
          <w:sz w:val="28"/>
          <w:lang w:val="en-GB"/>
        </w:rPr>
        <w:t>institution building</w:t>
      </w:r>
      <w:r w:rsidR="004A29E2" w:rsidRPr="00B0542F">
        <w:rPr>
          <w:rFonts w:ascii="Times New Roman" w:hAnsi="Times New Roman"/>
          <w:sz w:val="28"/>
          <w:lang w:val="en-GB"/>
        </w:rPr>
        <w:t xml:space="preserve"> (indicative 5%)</w:t>
      </w:r>
    </w:p>
    <w:p w:rsidR="001046C8" w:rsidRPr="00007CA7" w:rsidRDefault="001046C8" w:rsidP="00007CA7">
      <w:pPr>
        <w:spacing w:after="120"/>
        <w:jc w:val="both"/>
        <w:rPr>
          <w:lang w:val="en-GB"/>
        </w:rPr>
      </w:pPr>
      <w:r w:rsidRPr="00007CA7">
        <w:rPr>
          <w:lang w:val="en-GB"/>
        </w:rPr>
        <w:t xml:space="preserve">This support will address the implementation of priority commitments deriving from EU agreements, </w:t>
      </w:r>
      <w:r w:rsidR="00F433ED" w:rsidRPr="00007CA7">
        <w:rPr>
          <w:lang w:val="en-GB"/>
        </w:rPr>
        <w:t xml:space="preserve">the EU-Georgia Mobility </w:t>
      </w:r>
      <w:r w:rsidRPr="00007CA7">
        <w:rPr>
          <w:lang w:val="en-GB"/>
        </w:rPr>
        <w:t>Partnership and the sustained implementation of all benchmarks of the Visa Liberalisation Action Pla</w:t>
      </w:r>
      <w:r w:rsidR="003C506D" w:rsidRPr="00007CA7">
        <w:rPr>
          <w:lang w:val="en-GB"/>
        </w:rPr>
        <w:t xml:space="preserve">n, where not already covered under the </w:t>
      </w:r>
      <w:r w:rsidR="00D53582" w:rsidRPr="00007CA7">
        <w:rPr>
          <w:lang w:val="en-GB"/>
        </w:rPr>
        <w:t>four</w:t>
      </w:r>
      <w:r w:rsidR="003C506D" w:rsidRPr="00007CA7">
        <w:rPr>
          <w:lang w:val="en-GB"/>
        </w:rPr>
        <w:t xml:space="preserve"> principal priority sectors</w:t>
      </w:r>
      <w:r w:rsidRPr="00007CA7">
        <w:rPr>
          <w:lang w:val="en-GB"/>
        </w:rPr>
        <w:t>. It will focus on approximation to EU rules and policies as well as EU best practices.</w:t>
      </w:r>
      <w:r w:rsidR="003C506D" w:rsidRPr="00007CA7">
        <w:rPr>
          <w:lang w:val="en-GB"/>
        </w:rPr>
        <w:t xml:space="preserve"> </w:t>
      </w:r>
    </w:p>
    <w:p w:rsidR="00F20985" w:rsidRPr="00007CA7" w:rsidRDefault="003C506D" w:rsidP="00007CA7">
      <w:pPr>
        <w:spacing w:after="120"/>
        <w:jc w:val="both"/>
        <w:rPr>
          <w:lang w:val="en-GB"/>
        </w:rPr>
      </w:pPr>
      <w:r w:rsidRPr="00007CA7">
        <w:rPr>
          <w:lang w:val="en-GB"/>
        </w:rPr>
        <w:t>Capacity development and institution building activities – either through sector-related assistance or through this complementary provision – will also address participation in EU programmes and in the work of EU agencies.</w:t>
      </w:r>
    </w:p>
    <w:p w:rsidR="00783851" w:rsidRPr="00B0542F" w:rsidRDefault="009D5DA2" w:rsidP="004556CF">
      <w:pPr>
        <w:pStyle w:val="Heading1"/>
        <w:numPr>
          <w:ilvl w:val="0"/>
          <w:numId w:val="0"/>
        </w:numPr>
        <w:spacing w:after="120"/>
        <w:ind w:left="432" w:hanging="432"/>
        <w:rPr>
          <w:rFonts w:ascii="Times New Roman" w:hAnsi="Times New Roman"/>
          <w:sz w:val="28"/>
          <w:lang w:val="en-GB"/>
        </w:rPr>
      </w:pPr>
      <w:r w:rsidRPr="00B0542F">
        <w:rPr>
          <w:rFonts w:ascii="Times New Roman" w:hAnsi="Times New Roman"/>
          <w:sz w:val="28"/>
          <w:lang w:val="en-GB"/>
        </w:rPr>
        <w:t>5</w:t>
      </w:r>
      <w:r w:rsidR="00783851" w:rsidRPr="00B0542F">
        <w:rPr>
          <w:rFonts w:ascii="Times New Roman" w:hAnsi="Times New Roman"/>
          <w:sz w:val="28"/>
          <w:lang w:val="en-GB"/>
        </w:rPr>
        <w:t xml:space="preserve">. </w:t>
      </w:r>
      <w:r w:rsidR="00783851" w:rsidRPr="00B0542F">
        <w:rPr>
          <w:rFonts w:ascii="Times New Roman" w:hAnsi="Times New Roman"/>
          <w:sz w:val="28"/>
          <w:lang w:val="en-GB"/>
        </w:rPr>
        <w:tab/>
      </w:r>
      <w:r w:rsidR="00180C5E" w:rsidRPr="00B0542F">
        <w:rPr>
          <w:rFonts w:ascii="Times New Roman" w:hAnsi="Times New Roman"/>
          <w:sz w:val="28"/>
          <w:lang w:val="en-GB"/>
        </w:rPr>
        <w:tab/>
      </w:r>
      <w:r w:rsidR="00D53582" w:rsidRPr="00B0542F">
        <w:rPr>
          <w:rFonts w:ascii="Times New Roman" w:hAnsi="Times New Roman"/>
          <w:sz w:val="28"/>
          <w:lang w:val="en-GB"/>
        </w:rPr>
        <w:t>Complementary support for</w:t>
      </w:r>
      <w:r w:rsidR="00783851" w:rsidRPr="00B0542F">
        <w:rPr>
          <w:rFonts w:ascii="Times New Roman" w:hAnsi="Times New Roman"/>
          <w:sz w:val="28"/>
          <w:lang w:val="en-GB"/>
        </w:rPr>
        <w:t xml:space="preserve"> civil </w:t>
      </w:r>
      <w:r w:rsidR="0036260F" w:rsidRPr="00B0542F">
        <w:rPr>
          <w:rFonts w:ascii="Times New Roman" w:hAnsi="Times New Roman"/>
          <w:sz w:val="28"/>
          <w:lang w:val="en-GB"/>
        </w:rPr>
        <w:t>society</w:t>
      </w:r>
      <w:bookmarkEnd w:id="4"/>
      <w:r w:rsidR="00D53582" w:rsidRPr="00B0542F">
        <w:rPr>
          <w:rFonts w:ascii="Times New Roman" w:hAnsi="Times New Roman"/>
          <w:sz w:val="28"/>
          <w:lang w:val="en-GB"/>
        </w:rPr>
        <w:t xml:space="preserve"> development</w:t>
      </w:r>
      <w:r w:rsidR="004A29E2" w:rsidRPr="00B0542F">
        <w:rPr>
          <w:rFonts w:ascii="Times New Roman" w:hAnsi="Times New Roman"/>
          <w:sz w:val="28"/>
          <w:lang w:val="en-GB"/>
        </w:rPr>
        <w:t xml:space="preserve"> (indicative 5%)</w:t>
      </w:r>
    </w:p>
    <w:p w:rsidR="00E56B4D" w:rsidRPr="00007CA7" w:rsidRDefault="00D53582" w:rsidP="00007CA7">
      <w:pPr>
        <w:spacing w:after="120"/>
        <w:jc w:val="both"/>
        <w:rPr>
          <w:lang w:val="en-GB"/>
        </w:rPr>
      </w:pPr>
      <w:r w:rsidRPr="00007CA7">
        <w:rPr>
          <w:lang w:val="en-GB"/>
        </w:rPr>
        <w:t xml:space="preserve">In order to build stronger democratic processes and accountability systems outside the four sectors of concentration, civil society will be supported beyond sector specific assistance where the EU will promote participation of civil society (including business and/or producers associations) in policy dialogue as well as support civil society initiatives. </w:t>
      </w:r>
      <w:r w:rsidR="001046C8" w:rsidRPr="00007CA7">
        <w:rPr>
          <w:lang w:val="en-GB"/>
        </w:rPr>
        <w:t xml:space="preserve">The development of civil society's professionalism and capacities, including their ability to </w:t>
      </w:r>
      <w:r w:rsidR="00E63337" w:rsidRPr="00007CA7">
        <w:rPr>
          <w:lang w:val="en-GB"/>
        </w:rPr>
        <w:t>work on regional and local level</w:t>
      </w:r>
      <w:r w:rsidR="001046C8" w:rsidRPr="00007CA7">
        <w:rPr>
          <w:lang w:val="en-GB"/>
        </w:rPr>
        <w:t xml:space="preserve">, and improving the delivery of services will also be targeted. </w:t>
      </w:r>
      <w:r w:rsidR="00E56B4D" w:rsidRPr="00007CA7">
        <w:rPr>
          <w:lang w:val="en-GB"/>
        </w:rPr>
        <w:t xml:space="preserve">This support will </w:t>
      </w:r>
      <w:r w:rsidR="000B5C01" w:rsidRPr="00007CA7">
        <w:rPr>
          <w:lang w:val="en-GB"/>
        </w:rPr>
        <w:t xml:space="preserve">notably </w:t>
      </w:r>
      <w:r w:rsidR="00E56B4D" w:rsidRPr="00007CA7">
        <w:rPr>
          <w:lang w:val="en-GB"/>
        </w:rPr>
        <w:t xml:space="preserve">aim at: </w:t>
      </w:r>
    </w:p>
    <w:p w:rsidR="001046C8" w:rsidRPr="00007CA7" w:rsidRDefault="00E56B4D" w:rsidP="00007CA7">
      <w:pPr>
        <w:spacing w:after="120"/>
        <w:jc w:val="both"/>
        <w:rPr>
          <w:lang w:val="en-GB"/>
        </w:rPr>
      </w:pPr>
      <w:r w:rsidRPr="00007CA7">
        <w:rPr>
          <w:lang w:val="en-GB"/>
        </w:rPr>
        <w:t>- ensuring sustainability of civil society actors at national level, developing their capacity for dialogue on all sectors of the Association Agenda,</w:t>
      </w:r>
    </w:p>
    <w:p w:rsidR="001046C8" w:rsidRPr="00007CA7" w:rsidRDefault="00E56B4D" w:rsidP="00007CA7">
      <w:pPr>
        <w:spacing w:after="120"/>
        <w:jc w:val="both"/>
        <w:rPr>
          <w:lang w:val="en-GB"/>
        </w:rPr>
      </w:pPr>
      <w:r w:rsidRPr="00007CA7">
        <w:rPr>
          <w:lang w:val="en-GB"/>
        </w:rPr>
        <w:t>- developing civic engagement, advocacy networking and management at regional level,</w:t>
      </w:r>
      <w:r w:rsidR="0065341E" w:rsidRPr="00007CA7">
        <w:rPr>
          <w:lang w:val="en-GB"/>
        </w:rPr>
        <w:t xml:space="preserve"> including fostering gender equality and the empowerment of girls and women, following the provisions of the EU Gender Action Plan</w:t>
      </w:r>
      <w:r w:rsidR="00D53582" w:rsidRPr="00007CA7">
        <w:rPr>
          <w:lang w:val="en-GB"/>
        </w:rPr>
        <w:t>.</w:t>
      </w:r>
    </w:p>
    <w:p w:rsidR="00D53582" w:rsidRPr="00B0542F" w:rsidRDefault="00D53582" w:rsidP="00D53582">
      <w:pPr>
        <w:pStyle w:val="Heading1"/>
        <w:numPr>
          <w:ilvl w:val="0"/>
          <w:numId w:val="0"/>
        </w:numPr>
        <w:spacing w:after="120"/>
        <w:ind w:left="432" w:hanging="432"/>
        <w:rPr>
          <w:rFonts w:ascii="Times New Roman" w:hAnsi="Times New Roman"/>
          <w:sz w:val="28"/>
          <w:lang w:val="en-GB"/>
        </w:rPr>
      </w:pPr>
      <w:r w:rsidRPr="00B0542F">
        <w:rPr>
          <w:rFonts w:ascii="Times New Roman" w:hAnsi="Times New Roman"/>
          <w:sz w:val="28"/>
          <w:lang w:val="en-GB"/>
        </w:rPr>
        <w:t xml:space="preserve">6. </w:t>
      </w:r>
      <w:r w:rsidRPr="00B0542F">
        <w:rPr>
          <w:rFonts w:ascii="Times New Roman" w:hAnsi="Times New Roman"/>
          <w:sz w:val="28"/>
          <w:lang w:val="en-GB"/>
        </w:rPr>
        <w:tab/>
      </w:r>
      <w:r w:rsidRPr="00B0542F">
        <w:rPr>
          <w:rFonts w:ascii="Times New Roman" w:hAnsi="Times New Roman"/>
          <w:sz w:val="28"/>
          <w:lang w:val="en-GB"/>
        </w:rPr>
        <w:tab/>
        <w:t>Strategic communication</w:t>
      </w:r>
      <w:r w:rsidR="004A29E2" w:rsidRPr="00B0542F">
        <w:rPr>
          <w:rFonts w:ascii="Times New Roman" w:hAnsi="Times New Roman"/>
          <w:sz w:val="28"/>
          <w:lang w:val="en-GB"/>
        </w:rPr>
        <w:t xml:space="preserve"> (indicative 5%)</w:t>
      </w:r>
    </w:p>
    <w:p w:rsidR="00D53582" w:rsidRPr="00007CA7" w:rsidRDefault="00D53582" w:rsidP="00D53582">
      <w:pPr>
        <w:spacing w:after="120"/>
        <w:jc w:val="both"/>
        <w:rPr>
          <w:lang w:val="en-GB"/>
        </w:rPr>
      </w:pPr>
      <w:r w:rsidRPr="00007CA7">
        <w:rPr>
          <w:lang w:val="en-GB"/>
        </w:rPr>
        <w:t xml:space="preserve">Specific efforts will be made to foster communication on EU policies and support. This means a focus on effectively communicating the EU's messages to various audiences, reducing the risk of fragmentation of communication under an individual project approach. </w:t>
      </w:r>
      <w:r w:rsidR="004F686D">
        <w:rPr>
          <w:lang w:val="en-GB"/>
        </w:rPr>
        <w:t xml:space="preserve">Promoting evidence-based information (including through better statistics) will be part of this exercise. This also </w:t>
      </w:r>
      <w:r w:rsidRPr="00007CA7">
        <w:rPr>
          <w:lang w:val="en-GB"/>
        </w:rPr>
        <w:t>includes engaging partners and Georgian authorities, ensuring sound understanding of target audiences through robust opinion analysis and making use of most appropriate communication tools and channels. Support will also be provided to sustainable independent media.</w:t>
      </w:r>
    </w:p>
    <w:p w:rsidR="00783851" w:rsidRPr="00007CA7" w:rsidRDefault="00783851" w:rsidP="00007CA7">
      <w:pPr>
        <w:spacing w:after="120"/>
        <w:jc w:val="both"/>
        <w:rPr>
          <w:b/>
          <w:lang w:val="en-GB"/>
        </w:rPr>
      </w:pPr>
      <w:r w:rsidRPr="00007CA7">
        <w:rPr>
          <w:b/>
          <w:lang w:val="en-GB"/>
        </w:rPr>
        <w:t xml:space="preserve">Attachments </w:t>
      </w:r>
    </w:p>
    <w:p w:rsidR="00783851" w:rsidRPr="00007CA7" w:rsidRDefault="00783851" w:rsidP="00007CA7">
      <w:pPr>
        <w:spacing w:after="120"/>
        <w:jc w:val="both"/>
        <w:rPr>
          <w:lang w:val="en-GB"/>
        </w:rPr>
      </w:pPr>
      <w:r w:rsidRPr="00007CA7">
        <w:rPr>
          <w:lang w:val="en-GB"/>
        </w:rPr>
        <w:t>Sector of intervention framework and performance indicators</w:t>
      </w:r>
    </w:p>
    <w:p w:rsidR="00783851" w:rsidRPr="00007CA7" w:rsidRDefault="00783851" w:rsidP="00007CA7">
      <w:pPr>
        <w:spacing w:after="120"/>
        <w:jc w:val="both"/>
        <w:rPr>
          <w:lang w:val="en-GB"/>
        </w:rPr>
      </w:pPr>
      <w:r w:rsidRPr="00007CA7">
        <w:rPr>
          <w:lang w:val="en-GB"/>
        </w:rPr>
        <w:t>Indicative timetable for c</w:t>
      </w:r>
      <w:r w:rsidR="00F411D8" w:rsidRPr="00007CA7">
        <w:rPr>
          <w:lang w:val="en-GB"/>
        </w:rPr>
        <w:t>ommitment of funds</w:t>
      </w:r>
    </w:p>
    <w:p w:rsidR="00783851" w:rsidRPr="00D4182C" w:rsidRDefault="00783851" w:rsidP="00007CA7">
      <w:pPr>
        <w:spacing w:after="120"/>
        <w:jc w:val="both"/>
        <w:rPr>
          <w:b/>
          <w:u w:val="single"/>
          <w:lang w:val="en-GB"/>
        </w:rPr>
      </w:pPr>
      <w:r w:rsidRPr="00D4182C">
        <w:rPr>
          <w:lang w:val="en-GB"/>
        </w:rPr>
        <w:br w:type="page"/>
      </w:r>
      <w:r w:rsidRPr="00D4182C">
        <w:rPr>
          <w:b/>
          <w:u w:val="single"/>
          <w:lang w:val="en-GB"/>
        </w:rPr>
        <w:lastRenderedPageBreak/>
        <w:t>Attachment 1.</w:t>
      </w:r>
      <w:r w:rsidRPr="00D4182C">
        <w:rPr>
          <w:b/>
          <w:u w:val="single"/>
          <w:lang w:val="en-GB"/>
        </w:rPr>
        <w:tab/>
        <w:t xml:space="preserve">Sector of intervention framework </w:t>
      </w:r>
    </w:p>
    <w:p w:rsidR="00783851" w:rsidRPr="00D4182C" w:rsidRDefault="009B1D3A" w:rsidP="009B1D3A">
      <w:pPr>
        <w:spacing w:after="120"/>
        <w:ind w:left="708"/>
        <w:jc w:val="both"/>
        <w:rPr>
          <w:i/>
          <w:lang w:val="en-GB"/>
        </w:rPr>
      </w:pPr>
      <w:r w:rsidRPr="00D4182C">
        <w:rPr>
          <w:i/>
          <w:lang w:val="en-GB"/>
        </w:rPr>
        <w:t>(to be proposed by the Delegation).</w:t>
      </w:r>
    </w:p>
    <w:p w:rsidR="00783851" w:rsidRPr="00D4182C" w:rsidRDefault="00783851" w:rsidP="00783851">
      <w:pPr>
        <w:pBdr>
          <w:top w:val="single" w:sz="4" w:space="1" w:color="auto"/>
          <w:left w:val="single" w:sz="4" w:space="4" w:color="auto"/>
          <w:bottom w:val="single" w:sz="4" w:space="1" w:color="auto"/>
          <w:right w:val="single" w:sz="4" w:space="4" w:color="auto"/>
        </w:pBdr>
        <w:outlineLvl w:val="0"/>
        <w:rPr>
          <w:lang w:val="en-GB"/>
        </w:rPr>
      </w:pPr>
    </w:p>
    <w:p w:rsidR="00783851" w:rsidRPr="00D4182C" w:rsidRDefault="00783851" w:rsidP="00AF0C23">
      <w:pPr>
        <w:pBdr>
          <w:top w:val="single" w:sz="4" w:space="1" w:color="auto"/>
          <w:left w:val="single" w:sz="4" w:space="4" w:color="auto"/>
          <w:bottom w:val="single" w:sz="4" w:space="1" w:color="auto"/>
          <w:right w:val="single" w:sz="4" w:space="4" w:color="auto"/>
        </w:pBdr>
        <w:outlineLvl w:val="0"/>
        <w:rPr>
          <w:b/>
          <w:lang w:val="en-GB"/>
        </w:rPr>
      </w:pPr>
      <w:bookmarkStart w:id="5" w:name="_Toc457553002"/>
      <w:r w:rsidRPr="00D4182C">
        <w:rPr>
          <w:b/>
          <w:lang w:val="en-GB"/>
        </w:rPr>
        <w:t>Sector 1:</w:t>
      </w:r>
      <w:r w:rsidR="00AF0C23" w:rsidRPr="00D4182C">
        <w:rPr>
          <w:b/>
          <w:u w:val="single"/>
          <w:lang w:val="en-GB"/>
        </w:rPr>
        <w:t>Economic development and market opportunities, including smart, sustainable and inclusive growth</w:t>
      </w:r>
      <w:r w:rsidR="00AF0C23" w:rsidRPr="00D4182C" w:rsidDel="00AF0C23">
        <w:rPr>
          <w:b/>
          <w:lang w:val="en-GB"/>
        </w:rPr>
        <w:t xml:space="preserve"> </w:t>
      </w:r>
      <w:bookmarkEnd w:id="5"/>
    </w:p>
    <w:p w:rsidR="00783851" w:rsidRPr="00D4182C" w:rsidRDefault="00783851" w:rsidP="00783851">
      <w:pPr>
        <w:pBdr>
          <w:top w:val="single" w:sz="4" w:space="1" w:color="auto"/>
          <w:left w:val="single" w:sz="4" w:space="4" w:color="auto"/>
          <w:bottom w:val="single" w:sz="4" w:space="1" w:color="auto"/>
          <w:right w:val="single" w:sz="4" w:space="4" w:color="auto"/>
        </w:pBdr>
        <w:rPr>
          <w:b/>
          <w:lang w:val="en-GB"/>
        </w:rPr>
      </w:pPr>
    </w:p>
    <w:p w:rsidR="00783851" w:rsidRPr="00D4182C" w:rsidRDefault="00783851" w:rsidP="00783851">
      <w:pPr>
        <w:pBdr>
          <w:top w:val="single" w:sz="4" w:space="1" w:color="auto"/>
          <w:left w:val="single" w:sz="4" w:space="4" w:color="auto"/>
          <w:bottom w:val="single" w:sz="4" w:space="1" w:color="auto"/>
          <w:right w:val="single" w:sz="4" w:space="4" w:color="auto"/>
        </w:pBdr>
        <w:outlineLvl w:val="0"/>
        <w:rPr>
          <w:b/>
          <w:lang w:val="en-GB"/>
        </w:rPr>
      </w:pPr>
      <w:bookmarkStart w:id="6" w:name="_Toc457553003"/>
      <w:r w:rsidRPr="00D4182C">
        <w:rPr>
          <w:b/>
          <w:lang w:val="en-GB"/>
        </w:rPr>
        <w:t>Specific objective 1:</w:t>
      </w:r>
      <w:r w:rsidRPr="00D4182C">
        <w:rPr>
          <w:b/>
          <w:lang w:val="en-GB"/>
        </w:rPr>
        <w:tab/>
      </w:r>
      <w:r w:rsidR="00AF0C23" w:rsidRPr="00D4182C">
        <w:rPr>
          <w:lang w:val="en-GB"/>
        </w:rPr>
        <w:t>reap the full benefits of the DCFTA and regional trade, to improve the business operational and financing environment, to facilitate substitution of imports in, exports from and investments in the country, to promote business sophistication models, to enhance innovation and technology transfer towards business and strengthen business-related capacities of key institutions notably by using the potential of the digital economy</w:t>
      </w:r>
      <w:bookmarkEnd w:id="6"/>
    </w:p>
    <w:p w:rsidR="00783851" w:rsidRPr="00D4182C" w:rsidRDefault="00783851" w:rsidP="00783851">
      <w:pPr>
        <w:pBdr>
          <w:top w:val="single" w:sz="4" w:space="1" w:color="auto"/>
          <w:left w:val="single" w:sz="4" w:space="4" w:color="auto"/>
          <w:bottom w:val="single" w:sz="4" w:space="1" w:color="auto"/>
          <w:right w:val="single" w:sz="4" w:space="4" w:color="auto"/>
        </w:pBdr>
        <w:outlineLvl w:val="0"/>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3480"/>
        <w:gridCol w:w="2160"/>
      </w:tblGrid>
      <w:tr w:rsidR="00783851" w:rsidRPr="00D4182C" w:rsidTr="006E6FE0">
        <w:trPr>
          <w:trHeight w:val="451"/>
        </w:trPr>
        <w:tc>
          <w:tcPr>
            <w:tcW w:w="4188" w:type="dxa"/>
          </w:tcPr>
          <w:p w:rsidR="00783851" w:rsidRPr="00D4182C" w:rsidRDefault="00783851" w:rsidP="006E6FE0">
            <w:pPr>
              <w:widowControl w:val="0"/>
              <w:jc w:val="center"/>
              <w:rPr>
                <w:b/>
                <w:u w:val="single"/>
                <w:lang w:val="en-GB"/>
              </w:rPr>
            </w:pPr>
            <w:r w:rsidRPr="00D4182C">
              <w:rPr>
                <w:b/>
                <w:u w:val="single"/>
                <w:lang w:val="en-GB"/>
              </w:rPr>
              <w:t>Expected Results</w:t>
            </w:r>
          </w:p>
        </w:tc>
        <w:tc>
          <w:tcPr>
            <w:tcW w:w="3480" w:type="dxa"/>
          </w:tcPr>
          <w:p w:rsidR="00783851" w:rsidRPr="00D4182C" w:rsidRDefault="00783851" w:rsidP="006E6FE0">
            <w:pPr>
              <w:jc w:val="center"/>
              <w:rPr>
                <w:b/>
                <w:u w:val="single"/>
                <w:lang w:val="en-GB"/>
              </w:rPr>
            </w:pPr>
            <w:r w:rsidRPr="00D4182C">
              <w:rPr>
                <w:b/>
                <w:u w:val="single"/>
                <w:lang w:val="en-GB"/>
              </w:rPr>
              <w:t>Indicators</w:t>
            </w:r>
          </w:p>
        </w:tc>
        <w:tc>
          <w:tcPr>
            <w:tcW w:w="2160" w:type="dxa"/>
          </w:tcPr>
          <w:p w:rsidR="00783851" w:rsidRPr="00D4182C" w:rsidRDefault="00783851" w:rsidP="006E6FE0">
            <w:pPr>
              <w:jc w:val="center"/>
              <w:rPr>
                <w:b/>
                <w:u w:val="single"/>
                <w:lang w:val="en-GB"/>
              </w:rPr>
            </w:pPr>
            <w:r w:rsidRPr="00D4182C">
              <w:rPr>
                <w:b/>
                <w:u w:val="single"/>
                <w:lang w:val="en-GB"/>
              </w:rPr>
              <w:t xml:space="preserve">Means of </w:t>
            </w:r>
            <w:r w:rsidR="009D5DA2" w:rsidRPr="00D4182C">
              <w:rPr>
                <w:b/>
                <w:u w:val="single"/>
                <w:lang w:val="en-GB"/>
              </w:rPr>
              <w:br/>
            </w:r>
            <w:r w:rsidRPr="00D4182C">
              <w:rPr>
                <w:b/>
                <w:u w:val="single"/>
                <w:lang w:val="en-GB"/>
              </w:rPr>
              <w:t>verification</w:t>
            </w:r>
          </w:p>
        </w:tc>
      </w:tr>
      <w:tr w:rsidR="00AF0C23" w:rsidRPr="00D4182C" w:rsidTr="006E6FE0">
        <w:tc>
          <w:tcPr>
            <w:tcW w:w="4188" w:type="dxa"/>
          </w:tcPr>
          <w:p w:rsidR="00FE233F" w:rsidRDefault="00AF0C23" w:rsidP="006E6FE0">
            <w:pPr>
              <w:rPr>
                <w:lang w:val="en-GB"/>
              </w:rPr>
            </w:pPr>
            <w:r w:rsidRPr="00EF55B1">
              <w:rPr>
                <w:lang w:val="en-GB"/>
              </w:rPr>
              <w:t xml:space="preserve">a) </w:t>
            </w:r>
            <w:r w:rsidR="000464D3" w:rsidRPr="000464D3">
              <w:rPr>
                <w:lang w:val="en-GB"/>
              </w:rPr>
              <w:t>Georgian exports diversify and increase (both in volume and value)</w:t>
            </w:r>
            <w:r w:rsidR="00197582" w:rsidRPr="000464D3">
              <w:rPr>
                <w:lang w:val="en-GB"/>
              </w:rPr>
              <w:t>, participation</w:t>
            </w:r>
            <w:r w:rsidR="000464D3" w:rsidRPr="000464D3">
              <w:rPr>
                <w:lang w:val="en-GB"/>
              </w:rPr>
              <w:t xml:space="preserve"> to regional and international value chains is </w:t>
            </w:r>
            <w:r w:rsidR="00197582" w:rsidRPr="000464D3">
              <w:rPr>
                <w:lang w:val="en-GB"/>
              </w:rPr>
              <w:t>enhanced,</w:t>
            </w:r>
            <w:r w:rsidR="000464D3" w:rsidRPr="000464D3">
              <w:rPr>
                <w:lang w:val="en-GB"/>
              </w:rPr>
              <w:t xml:space="preserve"> production systems are improved and efficient business networks are established in pilot sectors</w:t>
            </w:r>
            <w:r w:rsidR="00FE233F">
              <w:rPr>
                <w:lang w:val="en-GB"/>
              </w:rPr>
              <w:t>.</w:t>
            </w:r>
          </w:p>
          <w:p w:rsidR="00AF0C23" w:rsidRPr="00D4182C" w:rsidRDefault="00AF0C23" w:rsidP="006E6FE0">
            <w:pPr>
              <w:rPr>
                <w:b/>
                <w:lang w:val="en-GB"/>
              </w:rPr>
            </w:pPr>
          </w:p>
        </w:tc>
        <w:tc>
          <w:tcPr>
            <w:tcW w:w="3480" w:type="dxa"/>
          </w:tcPr>
          <w:p w:rsidR="00AF0C23" w:rsidRPr="00D4182C" w:rsidRDefault="00AF0C23" w:rsidP="00B77114">
            <w:pPr>
              <w:rPr>
                <w:lang w:val="en-GB"/>
              </w:rPr>
            </w:pPr>
            <w:r w:rsidRPr="00D4182C">
              <w:rPr>
                <w:lang w:val="en-GB"/>
              </w:rPr>
              <w:t xml:space="preserve">a1) </w:t>
            </w:r>
            <w:r w:rsidRPr="00D4182C">
              <w:rPr>
                <w:bCs/>
                <w:lang w:val="en-GB"/>
              </w:rPr>
              <w:t>GCI 11 pillar: Business Sophistication  Index (</w:t>
            </w:r>
            <w:r w:rsidRPr="00D4182C">
              <w:rPr>
                <w:lang w:val="en-GB"/>
              </w:rPr>
              <w:t>3.5  in 2015)</w:t>
            </w:r>
          </w:p>
          <w:p w:rsidR="00AF0C23" w:rsidRPr="00D4182C" w:rsidRDefault="00AF0C23" w:rsidP="00B77114">
            <w:pPr>
              <w:jc w:val="both"/>
              <w:rPr>
                <w:lang w:val="en-GB"/>
              </w:rPr>
            </w:pPr>
            <w:r w:rsidRPr="00D4182C">
              <w:rPr>
                <w:lang w:val="en-GB"/>
              </w:rPr>
              <w:t xml:space="preserve">a2) </w:t>
            </w:r>
            <w:r w:rsidRPr="00D4182C">
              <w:rPr>
                <w:bCs/>
                <w:lang w:val="en-GB"/>
              </w:rPr>
              <w:t>Proportion of medium and high-tech industry value added in total (</w:t>
            </w:r>
            <w:r w:rsidRPr="00D4182C">
              <w:rPr>
                <w:lang w:val="en-GB"/>
              </w:rPr>
              <w:t>MHT in Manufacturing 2014 - 29%)</w:t>
            </w:r>
          </w:p>
          <w:p w:rsidR="00AF0C23" w:rsidRPr="00AD7573" w:rsidRDefault="00AF0C23" w:rsidP="006E6FE0">
            <w:pPr>
              <w:rPr>
                <w:lang w:val="en-GB"/>
              </w:rPr>
            </w:pPr>
            <w:r w:rsidRPr="00AD7573">
              <w:rPr>
                <w:lang w:val="en-GB"/>
              </w:rPr>
              <w:t>a3) GCI 12 pillar- Innovation Index (2.7 in 2015)</w:t>
            </w:r>
          </w:p>
          <w:p w:rsidR="004F686D" w:rsidRPr="000E4EEA" w:rsidRDefault="004F686D" w:rsidP="006E6FE0">
            <w:pPr>
              <w:rPr>
                <w:b/>
                <w:lang w:val="en-GB"/>
              </w:rPr>
            </w:pPr>
            <w:r>
              <w:rPr>
                <w:lang w:val="en-GB"/>
              </w:rPr>
              <w:t>a4) Increase in volume and value &amp; diversification of Georgian exports</w:t>
            </w:r>
          </w:p>
        </w:tc>
        <w:tc>
          <w:tcPr>
            <w:tcW w:w="2160" w:type="dxa"/>
          </w:tcPr>
          <w:p w:rsidR="00AF0C23" w:rsidRPr="00D4182C" w:rsidRDefault="00AF0C23" w:rsidP="00B77114">
            <w:pPr>
              <w:autoSpaceDE w:val="0"/>
              <w:rPr>
                <w:lang w:val="en-GB"/>
              </w:rPr>
            </w:pPr>
            <w:r w:rsidRPr="00D4182C">
              <w:rPr>
                <w:lang w:val="en-GB"/>
              </w:rPr>
              <w:t>WEF Indicator - Ministry of Economy;</w:t>
            </w:r>
          </w:p>
          <w:p w:rsidR="00AF0C23" w:rsidRPr="00D4182C" w:rsidRDefault="00AF0C23" w:rsidP="00B77114">
            <w:pPr>
              <w:rPr>
                <w:lang w:val="en-GB"/>
              </w:rPr>
            </w:pPr>
            <w:r w:rsidRPr="00D4182C">
              <w:rPr>
                <w:lang w:val="en-GB"/>
              </w:rPr>
              <w:t>WEF Publications</w:t>
            </w:r>
          </w:p>
          <w:p w:rsidR="00AF0C23" w:rsidRPr="00D4182C" w:rsidRDefault="00AF0C23" w:rsidP="00B77114">
            <w:pPr>
              <w:rPr>
                <w:lang w:val="en-GB"/>
              </w:rPr>
            </w:pPr>
          </w:p>
          <w:p w:rsidR="00AF0C23" w:rsidRPr="00D4182C" w:rsidRDefault="00AF0C23" w:rsidP="00B77114">
            <w:pPr>
              <w:rPr>
                <w:lang w:val="en-GB"/>
              </w:rPr>
            </w:pPr>
            <w:r w:rsidRPr="00D4182C">
              <w:rPr>
                <w:lang w:val="en-GB"/>
              </w:rPr>
              <w:t>SDG  Indicator (GeoStat)</w:t>
            </w:r>
          </w:p>
          <w:p w:rsidR="00AF0C23" w:rsidRPr="00D4182C" w:rsidRDefault="00AF0C23" w:rsidP="00B77114">
            <w:pPr>
              <w:rPr>
                <w:lang w:val="en-GB"/>
              </w:rPr>
            </w:pPr>
          </w:p>
          <w:p w:rsidR="00AF0C23" w:rsidRPr="00D4182C" w:rsidRDefault="00AF0C23" w:rsidP="00B77114">
            <w:pPr>
              <w:autoSpaceDE w:val="0"/>
              <w:rPr>
                <w:lang w:val="en-GB"/>
              </w:rPr>
            </w:pPr>
            <w:r w:rsidRPr="00D4182C">
              <w:rPr>
                <w:lang w:val="en-GB"/>
              </w:rPr>
              <w:t>Ministry of Economy;</w:t>
            </w:r>
          </w:p>
          <w:p w:rsidR="00AF0C23" w:rsidRPr="000E4EEA" w:rsidRDefault="00AF0C23" w:rsidP="006E6FE0">
            <w:r w:rsidRPr="000E4EEA">
              <w:t>WEF Publications</w:t>
            </w:r>
          </w:p>
          <w:p w:rsidR="004F686D" w:rsidRPr="00D4182C" w:rsidRDefault="004F686D" w:rsidP="006E6FE0">
            <w:pPr>
              <w:rPr>
                <w:b/>
                <w:lang w:val="en-GB"/>
              </w:rPr>
            </w:pPr>
            <w:r w:rsidRPr="000E4EEA">
              <w:t>GeoStat/EuroStat</w:t>
            </w:r>
          </w:p>
        </w:tc>
      </w:tr>
      <w:tr w:rsidR="007C2E15" w:rsidRPr="007C2E15" w:rsidTr="006E6FE0">
        <w:tc>
          <w:tcPr>
            <w:tcW w:w="4188" w:type="dxa"/>
          </w:tcPr>
          <w:p w:rsidR="007C2E15" w:rsidRPr="00EF55B1" w:rsidRDefault="007C2E15" w:rsidP="007C2E15">
            <w:pPr>
              <w:rPr>
                <w:lang w:val="en-GB"/>
              </w:rPr>
            </w:pPr>
            <w:r>
              <w:rPr>
                <w:lang w:val="en-GB"/>
              </w:rPr>
              <w:t>b) Expansion of the number of EU markets opened to Georgian Exporters</w:t>
            </w:r>
          </w:p>
        </w:tc>
        <w:tc>
          <w:tcPr>
            <w:tcW w:w="3480" w:type="dxa"/>
          </w:tcPr>
          <w:p w:rsidR="007C2E15" w:rsidRPr="00D4182C" w:rsidRDefault="007C2E15" w:rsidP="00B77114">
            <w:pPr>
              <w:rPr>
                <w:lang w:val="en-GB"/>
              </w:rPr>
            </w:pPr>
            <w:r>
              <w:rPr>
                <w:lang w:val="en-GB"/>
              </w:rPr>
              <w:t>Number of EU markets for Georgian markets</w:t>
            </w:r>
          </w:p>
        </w:tc>
        <w:tc>
          <w:tcPr>
            <w:tcW w:w="2160" w:type="dxa"/>
          </w:tcPr>
          <w:p w:rsidR="007C2E15" w:rsidRPr="00D4182C" w:rsidRDefault="007C2E15" w:rsidP="00B77114">
            <w:pPr>
              <w:autoSpaceDE w:val="0"/>
              <w:rPr>
                <w:lang w:val="en-GB"/>
              </w:rPr>
            </w:pPr>
            <w:r>
              <w:rPr>
                <w:lang w:val="en-GB"/>
              </w:rPr>
              <w:t>GeoSTAT</w:t>
            </w:r>
          </w:p>
        </w:tc>
      </w:tr>
      <w:tr w:rsidR="00AF0C23" w:rsidRPr="00932D62" w:rsidTr="006E6FE0">
        <w:tc>
          <w:tcPr>
            <w:tcW w:w="9828" w:type="dxa"/>
            <w:gridSpan w:val="3"/>
          </w:tcPr>
          <w:p w:rsidR="00AF0C23" w:rsidRPr="00D4182C" w:rsidRDefault="00AF0C23" w:rsidP="006E6FE0">
            <w:pPr>
              <w:rPr>
                <w:lang w:val="en-GB"/>
              </w:rPr>
            </w:pPr>
            <w:r w:rsidRPr="00D4182C">
              <w:rPr>
                <w:b/>
                <w:lang w:val="en-GB"/>
              </w:rPr>
              <w:t xml:space="preserve">Specific objective 2 </w:t>
            </w:r>
            <w:r w:rsidRPr="00D4182C">
              <w:rPr>
                <w:lang w:val="en-GB"/>
              </w:rPr>
              <w:t xml:space="preserve">to support structural reforms to improve economic performance </w:t>
            </w:r>
            <w:r w:rsidR="00D32741" w:rsidRPr="00D4182C">
              <w:rPr>
                <w:lang w:val="en-GB"/>
              </w:rPr>
              <w:t>and governance, in close synergy with the IMF and World Bank</w:t>
            </w:r>
          </w:p>
          <w:p w:rsidR="00AF0C23" w:rsidRPr="00D4182C" w:rsidRDefault="00AF0C23" w:rsidP="006E6FE0">
            <w:pPr>
              <w:rPr>
                <w:b/>
                <w:lang w:val="en-GB"/>
              </w:rPr>
            </w:pPr>
          </w:p>
        </w:tc>
      </w:tr>
      <w:tr w:rsidR="00AF0C23" w:rsidRPr="00D4182C" w:rsidTr="006E6FE0">
        <w:trPr>
          <w:trHeight w:val="451"/>
        </w:trPr>
        <w:tc>
          <w:tcPr>
            <w:tcW w:w="4188" w:type="dxa"/>
          </w:tcPr>
          <w:p w:rsidR="00AF0C23" w:rsidRPr="00D4182C" w:rsidRDefault="00AF0C23" w:rsidP="006E6FE0">
            <w:pPr>
              <w:widowControl w:val="0"/>
              <w:jc w:val="center"/>
              <w:rPr>
                <w:b/>
                <w:u w:val="single"/>
                <w:lang w:val="en-GB"/>
              </w:rPr>
            </w:pPr>
            <w:r w:rsidRPr="00D4182C">
              <w:rPr>
                <w:b/>
                <w:u w:val="single"/>
                <w:lang w:val="en-GB"/>
              </w:rPr>
              <w:t>Expected Results</w:t>
            </w:r>
          </w:p>
        </w:tc>
        <w:tc>
          <w:tcPr>
            <w:tcW w:w="3480" w:type="dxa"/>
          </w:tcPr>
          <w:p w:rsidR="00AF0C23" w:rsidRPr="00D4182C" w:rsidRDefault="00AF0C23" w:rsidP="006E6FE0">
            <w:pPr>
              <w:jc w:val="center"/>
              <w:rPr>
                <w:b/>
                <w:u w:val="single"/>
                <w:lang w:val="en-GB"/>
              </w:rPr>
            </w:pPr>
            <w:r w:rsidRPr="00D4182C">
              <w:rPr>
                <w:b/>
                <w:u w:val="single"/>
                <w:lang w:val="en-GB"/>
              </w:rPr>
              <w:t>Indicators</w:t>
            </w:r>
          </w:p>
        </w:tc>
        <w:tc>
          <w:tcPr>
            <w:tcW w:w="2160" w:type="dxa"/>
          </w:tcPr>
          <w:p w:rsidR="00AF0C23" w:rsidRPr="00D4182C" w:rsidRDefault="00AF0C23" w:rsidP="006E6FE0">
            <w:pPr>
              <w:jc w:val="center"/>
              <w:rPr>
                <w:b/>
                <w:u w:val="single"/>
                <w:lang w:val="en-GB"/>
              </w:rPr>
            </w:pPr>
            <w:r w:rsidRPr="00D4182C">
              <w:rPr>
                <w:b/>
                <w:u w:val="single"/>
                <w:lang w:val="en-GB"/>
              </w:rPr>
              <w:t xml:space="preserve">Means of </w:t>
            </w:r>
            <w:r w:rsidRPr="00D4182C">
              <w:rPr>
                <w:b/>
                <w:u w:val="single"/>
                <w:lang w:val="en-GB"/>
              </w:rPr>
              <w:br/>
              <w:t>verification</w:t>
            </w:r>
          </w:p>
        </w:tc>
      </w:tr>
      <w:tr w:rsidR="00AF0C23" w:rsidRPr="00D4182C" w:rsidTr="006E6FE0">
        <w:tc>
          <w:tcPr>
            <w:tcW w:w="4188" w:type="dxa"/>
          </w:tcPr>
          <w:p w:rsidR="00AF0C23" w:rsidRPr="00B440B4" w:rsidRDefault="00AF0C23" w:rsidP="00CC15DC">
            <w:pPr>
              <w:numPr>
                <w:ilvl w:val="0"/>
                <w:numId w:val="29"/>
              </w:numPr>
              <w:ind w:left="284" w:hanging="284"/>
              <w:rPr>
                <w:lang w:val="en-GB"/>
              </w:rPr>
            </w:pPr>
            <w:r w:rsidRPr="00B440B4">
              <w:rPr>
                <w:bCs/>
                <w:iCs/>
                <w:lang w:val="en-GB"/>
              </w:rPr>
              <w:t>Enhanced government</w:t>
            </w:r>
            <w:r w:rsidRPr="00B440B4">
              <w:rPr>
                <w:iCs/>
                <w:lang w:val="en-GB"/>
              </w:rPr>
              <w:t xml:space="preserve"> </w:t>
            </w:r>
            <w:r w:rsidRPr="00B440B4">
              <w:rPr>
                <w:bCs/>
                <w:iCs/>
                <w:lang w:val="en-GB"/>
              </w:rPr>
              <w:t xml:space="preserve">capacity to </w:t>
            </w:r>
            <w:r w:rsidRPr="00B440B4">
              <w:rPr>
                <w:iCs/>
                <w:lang w:val="en-GB"/>
              </w:rPr>
              <w:t>implement its SME Development Strategy</w:t>
            </w:r>
            <w:r w:rsidRPr="00B440B4">
              <w:rPr>
                <w:bCs/>
                <w:iCs/>
                <w:lang w:val="en-GB"/>
              </w:rPr>
              <w:t xml:space="preserve"> for 2016-2020</w:t>
            </w:r>
          </w:p>
        </w:tc>
        <w:tc>
          <w:tcPr>
            <w:tcW w:w="3480" w:type="dxa"/>
          </w:tcPr>
          <w:p w:rsidR="00AF0C23" w:rsidRPr="00B440B4" w:rsidRDefault="00AF0C23" w:rsidP="00DF2264">
            <w:pPr>
              <w:jc w:val="both"/>
              <w:rPr>
                <w:lang w:val="en-GB"/>
              </w:rPr>
            </w:pPr>
            <w:r w:rsidRPr="00B440B4">
              <w:rPr>
                <w:lang w:val="en-GB"/>
              </w:rPr>
              <w:t>a1) progress in IMF and WB assessments for Georgia in structural reforms and economic governance as envisaged in the SME strategy</w:t>
            </w:r>
          </w:p>
        </w:tc>
        <w:tc>
          <w:tcPr>
            <w:tcW w:w="2160" w:type="dxa"/>
          </w:tcPr>
          <w:p w:rsidR="00AF0C23" w:rsidRPr="00D4182C" w:rsidRDefault="00AF0C23" w:rsidP="006E6FE0">
            <w:pPr>
              <w:rPr>
                <w:b/>
                <w:lang w:val="en-GB"/>
              </w:rPr>
            </w:pPr>
            <w:r w:rsidRPr="00B440B4">
              <w:rPr>
                <w:lang w:val="en-GB"/>
              </w:rPr>
              <w:t xml:space="preserve">Annual reports of the Government, the WB and IMF. </w:t>
            </w:r>
            <w:r w:rsidRPr="000E4EEA">
              <w:t>EDA reports</w:t>
            </w:r>
          </w:p>
        </w:tc>
      </w:tr>
      <w:tr w:rsidR="00AF0C23" w:rsidRPr="00932D62" w:rsidTr="006E6FE0">
        <w:tc>
          <w:tcPr>
            <w:tcW w:w="4188" w:type="dxa"/>
          </w:tcPr>
          <w:p w:rsidR="00AF0C23" w:rsidRPr="00D4182C" w:rsidRDefault="00FE233F" w:rsidP="00FF6C9A">
            <w:pPr>
              <w:numPr>
                <w:ilvl w:val="0"/>
                <w:numId w:val="29"/>
              </w:numPr>
              <w:ind w:left="284" w:hanging="284"/>
              <w:rPr>
                <w:lang w:val="en-GB"/>
              </w:rPr>
            </w:pPr>
            <w:r>
              <w:rPr>
                <w:bCs/>
                <w:iCs/>
                <w:lang w:val="en-GB"/>
              </w:rPr>
              <w:t xml:space="preserve">One-stop shop approach (also using the potential of the digital economy) is in place in Government Institutions to deliver better services to businesses </w:t>
            </w:r>
          </w:p>
        </w:tc>
        <w:tc>
          <w:tcPr>
            <w:tcW w:w="3480" w:type="dxa"/>
          </w:tcPr>
          <w:p w:rsidR="00AF0C23" w:rsidRPr="00D4182C" w:rsidRDefault="00AF0C23" w:rsidP="006E6FE0">
            <w:pPr>
              <w:rPr>
                <w:b/>
                <w:lang w:val="en-GB"/>
              </w:rPr>
            </w:pPr>
            <w:r w:rsidRPr="00D4182C">
              <w:rPr>
                <w:lang w:val="en-GB"/>
              </w:rPr>
              <w:t>b1) Average time-cost reduction for businesses attributed to provision of services through one-stop shops (5 services e.g. field of permits, start-up advice, legal advice, setting up a business, one for submitting annual reports, )</w:t>
            </w:r>
          </w:p>
        </w:tc>
        <w:tc>
          <w:tcPr>
            <w:tcW w:w="2160" w:type="dxa"/>
          </w:tcPr>
          <w:p w:rsidR="00AF0C23" w:rsidRPr="00D4182C" w:rsidRDefault="00AF0C23" w:rsidP="006E6FE0">
            <w:pPr>
              <w:rPr>
                <w:b/>
                <w:lang w:val="en-GB"/>
              </w:rPr>
            </w:pPr>
            <w:r w:rsidRPr="00D4182C">
              <w:rPr>
                <w:lang w:val="en-GB"/>
              </w:rPr>
              <w:t>Business surveys, Business Association of Georgia, Chamber of Commerce of Georgia</w:t>
            </w:r>
          </w:p>
        </w:tc>
      </w:tr>
      <w:tr w:rsidR="00AF0C23" w:rsidRPr="00932D62" w:rsidTr="00B77114">
        <w:tc>
          <w:tcPr>
            <w:tcW w:w="9828" w:type="dxa"/>
            <w:gridSpan w:val="3"/>
          </w:tcPr>
          <w:p w:rsidR="00AF0C23" w:rsidRPr="00D4182C" w:rsidRDefault="00AF0C23" w:rsidP="00B77114">
            <w:pPr>
              <w:rPr>
                <w:b/>
                <w:lang w:val="en-GB"/>
              </w:rPr>
            </w:pPr>
          </w:p>
          <w:p w:rsidR="00AF0C23" w:rsidRPr="00D4182C" w:rsidRDefault="00AF0C23" w:rsidP="00B77114">
            <w:pPr>
              <w:rPr>
                <w:lang w:val="en-GB"/>
              </w:rPr>
            </w:pPr>
            <w:r w:rsidRPr="00D4182C">
              <w:rPr>
                <w:b/>
                <w:lang w:val="en-GB"/>
              </w:rPr>
              <w:t xml:space="preserve">Specific objective 3 </w:t>
            </w:r>
            <w:r w:rsidRPr="00D4182C">
              <w:rPr>
                <w:lang w:val="en-GB"/>
              </w:rPr>
              <w:t>to support diversification of access to finance beyond the banking sector</w:t>
            </w:r>
          </w:p>
          <w:p w:rsidR="00AF0C23" w:rsidRPr="00D4182C" w:rsidRDefault="00AF0C23" w:rsidP="00B77114">
            <w:pPr>
              <w:rPr>
                <w:b/>
                <w:lang w:val="en-GB"/>
              </w:rPr>
            </w:pPr>
          </w:p>
        </w:tc>
      </w:tr>
      <w:tr w:rsidR="00AF0C23" w:rsidRPr="00D4182C" w:rsidTr="00B77114">
        <w:trPr>
          <w:trHeight w:val="451"/>
        </w:trPr>
        <w:tc>
          <w:tcPr>
            <w:tcW w:w="4188" w:type="dxa"/>
          </w:tcPr>
          <w:p w:rsidR="00AF0C23" w:rsidRPr="00D4182C" w:rsidRDefault="00AF0C23" w:rsidP="00B77114">
            <w:pPr>
              <w:widowControl w:val="0"/>
              <w:jc w:val="center"/>
              <w:rPr>
                <w:b/>
                <w:u w:val="single"/>
                <w:lang w:val="en-GB"/>
              </w:rPr>
            </w:pPr>
            <w:r w:rsidRPr="00D4182C">
              <w:rPr>
                <w:b/>
                <w:u w:val="single"/>
                <w:lang w:val="en-GB"/>
              </w:rPr>
              <w:t>Expected Results</w:t>
            </w:r>
          </w:p>
        </w:tc>
        <w:tc>
          <w:tcPr>
            <w:tcW w:w="3480" w:type="dxa"/>
          </w:tcPr>
          <w:p w:rsidR="00AF0C23" w:rsidRPr="00D4182C" w:rsidRDefault="00AF0C23" w:rsidP="00B77114">
            <w:pPr>
              <w:jc w:val="center"/>
              <w:rPr>
                <w:b/>
                <w:u w:val="single"/>
                <w:lang w:val="en-GB"/>
              </w:rPr>
            </w:pPr>
            <w:r w:rsidRPr="00D4182C">
              <w:rPr>
                <w:b/>
                <w:u w:val="single"/>
                <w:lang w:val="en-GB"/>
              </w:rPr>
              <w:t>Indicators</w:t>
            </w:r>
          </w:p>
        </w:tc>
        <w:tc>
          <w:tcPr>
            <w:tcW w:w="2160" w:type="dxa"/>
          </w:tcPr>
          <w:p w:rsidR="00AF0C23" w:rsidRPr="00D4182C" w:rsidRDefault="00AF0C23" w:rsidP="00B77114">
            <w:pPr>
              <w:jc w:val="center"/>
              <w:rPr>
                <w:b/>
                <w:u w:val="single"/>
                <w:lang w:val="en-GB"/>
              </w:rPr>
            </w:pPr>
            <w:r w:rsidRPr="00D4182C">
              <w:rPr>
                <w:b/>
                <w:u w:val="single"/>
                <w:lang w:val="en-GB"/>
              </w:rPr>
              <w:t xml:space="preserve">Means of </w:t>
            </w:r>
            <w:r w:rsidRPr="00D4182C">
              <w:rPr>
                <w:b/>
                <w:u w:val="single"/>
                <w:lang w:val="en-GB"/>
              </w:rPr>
              <w:br/>
              <w:t>verification</w:t>
            </w:r>
          </w:p>
        </w:tc>
      </w:tr>
      <w:tr w:rsidR="00AF0C23" w:rsidRPr="00932D62" w:rsidTr="00B77114">
        <w:tc>
          <w:tcPr>
            <w:tcW w:w="4188" w:type="dxa"/>
          </w:tcPr>
          <w:p w:rsidR="00AF0C23" w:rsidRPr="00D4182C" w:rsidRDefault="005C004E" w:rsidP="00FF6C9A">
            <w:pPr>
              <w:numPr>
                <w:ilvl w:val="0"/>
                <w:numId w:val="30"/>
              </w:numPr>
              <w:ind w:left="284" w:hanging="284"/>
              <w:rPr>
                <w:lang w:val="en-GB"/>
              </w:rPr>
            </w:pPr>
            <w:r>
              <w:rPr>
                <w:lang w:val="en-GB"/>
              </w:rPr>
              <w:lastRenderedPageBreak/>
              <w:t xml:space="preserve">Access to finance is broader and easier through a modernised financial infrastructure, in particular for </w:t>
            </w:r>
            <w:r w:rsidR="00AF0C23" w:rsidRPr="00D4182C">
              <w:rPr>
                <w:bCs/>
                <w:iCs/>
                <w:lang w:val="en-GB"/>
              </w:rPr>
              <w:t>women, youth and disadvantaged groups</w:t>
            </w:r>
            <w:r>
              <w:rPr>
                <w:bCs/>
                <w:iCs/>
                <w:lang w:val="en-GB"/>
              </w:rPr>
              <w:t>.</w:t>
            </w:r>
          </w:p>
        </w:tc>
        <w:tc>
          <w:tcPr>
            <w:tcW w:w="3480" w:type="dxa"/>
          </w:tcPr>
          <w:p w:rsidR="00AF0C23" w:rsidRPr="00D4182C" w:rsidRDefault="00AF0C23" w:rsidP="00B77114">
            <w:pPr>
              <w:jc w:val="both"/>
              <w:rPr>
                <w:lang w:val="en-GB"/>
              </w:rPr>
            </w:pPr>
            <w:r w:rsidRPr="00D4182C">
              <w:rPr>
                <w:lang w:val="en-GB"/>
              </w:rPr>
              <w:t>a1) % of gaps in SME finance plugged (baseline 2016 = 0%).</w:t>
            </w:r>
          </w:p>
          <w:p w:rsidR="00AF0C23" w:rsidRPr="00D4182C" w:rsidRDefault="00AF0C23" w:rsidP="00B77114">
            <w:pPr>
              <w:jc w:val="both"/>
              <w:rPr>
                <w:lang w:val="en-GB"/>
              </w:rPr>
            </w:pPr>
            <w:r w:rsidRPr="00D4182C">
              <w:rPr>
                <w:lang w:val="en-GB"/>
              </w:rPr>
              <w:t>a2) Account at a financial institution (female over 15 year) – baseline 2014 = 39.8%</w:t>
            </w:r>
          </w:p>
          <w:p w:rsidR="00AF0C23" w:rsidRPr="00D4182C" w:rsidRDefault="00AF0C23" w:rsidP="00B77114">
            <w:pPr>
              <w:jc w:val="both"/>
              <w:rPr>
                <w:lang w:val="en-GB"/>
              </w:rPr>
            </w:pPr>
          </w:p>
          <w:p w:rsidR="00AF0C23" w:rsidRPr="00D4182C" w:rsidRDefault="00AF0C23" w:rsidP="00B77114">
            <w:pPr>
              <w:rPr>
                <w:b/>
                <w:lang w:val="en-GB"/>
              </w:rPr>
            </w:pPr>
            <w:r w:rsidRPr="00D4182C">
              <w:rPr>
                <w:lang w:val="en-GB"/>
              </w:rPr>
              <w:t>a3) Domestic credit to private sector (% of GDP) – baseline 2015 = 49.8%</w:t>
            </w:r>
          </w:p>
        </w:tc>
        <w:tc>
          <w:tcPr>
            <w:tcW w:w="2160" w:type="dxa"/>
          </w:tcPr>
          <w:p w:rsidR="00AF0C23" w:rsidRPr="00D4182C" w:rsidRDefault="00AF0C23" w:rsidP="00B77114">
            <w:pPr>
              <w:rPr>
                <w:lang w:val="en-GB"/>
              </w:rPr>
            </w:pPr>
            <w:r w:rsidRPr="00D4182C">
              <w:rPr>
                <w:lang w:val="en-GB"/>
              </w:rPr>
              <w:t>European Investment Bank “Neighbourhood SME Financing, Georgia” report</w:t>
            </w:r>
          </w:p>
          <w:p w:rsidR="00AF0C23" w:rsidRPr="00D4182C" w:rsidRDefault="00AF0C23" w:rsidP="00B77114">
            <w:pPr>
              <w:rPr>
                <w:lang w:val="en-GB"/>
              </w:rPr>
            </w:pPr>
          </w:p>
          <w:p w:rsidR="00AF0C23" w:rsidRPr="00D4182C" w:rsidRDefault="00AF0C23" w:rsidP="00B77114">
            <w:pPr>
              <w:rPr>
                <w:lang w:val="en-GB"/>
              </w:rPr>
            </w:pPr>
            <w:r w:rsidRPr="00D4182C">
              <w:rPr>
                <w:lang w:val="en-GB"/>
              </w:rPr>
              <w:t>World bank data site</w:t>
            </w:r>
          </w:p>
          <w:p w:rsidR="00AF0C23" w:rsidRPr="00D4182C" w:rsidRDefault="00AF0C23" w:rsidP="00B77114">
            <w:pPr>
              <w:rPr>
                <w:b/>
                <w:lang w:val="en-GB"/>
              </w:rPr>
            </w:pPr>
            <w:r w:rsidRPr="00D4182C">
              <w:rPr>
                <w:lang w:val="en-GB"/>
              </w:rPr>
              <w:t>World bank data site</w:t>
            </w:r>
          </w:p>
        </w:tc>
      </w:tr>
      <w:tr w:rsidR="00AF0C23" w:rsidRPr="00932D62" w:rsidTr="00B77114">
        <w:tc>
          <w:tcPr>
            <w:tcW w:w="9828" w:type="dxa"/>
            <w:gridSpan w:val="3"/>
          </w:tcPr>
          <w:p w:rsidR="00AF0C23" w:rsidRPr="00D4182C" w:rsidRDefault="00AF0C23" w:rsidP="00B77114">
            <w:pPr>
              <w:rPr>
                <w:b/>
                <w:lang w:val="en-GB"/>
              </w:rPr>
            </w:pPr>
          </w:p>
          <w:p w:rsidR="00AF0C23" w:rsidRPr="00D4182C" w:rsidRDefault="00AF0C23" w:rsidP="00B77114">
            <w:pPr>
              <w:rPr>
                <w:lang w:val="en-GB"/>
              </w:rPr>
            </w:pPr>
            <w:r w:rsidRPr="00D4182C">
              <w:rPr>
                <w:b/>
                <w:lang w:val="en-GB"/>
              </w:rPr>
              <w:t>Specific objective 4</w:t>
            </w:r>
            <w:r w:rsidR="000464D3">
              <w:rPr>
                <w:b/>
                <w:lang w:val="en-GB"/>
              </w:rPr>
              <w:t xml:space="preserve">: </w:t>
            </w:r>
            <w:r w:rsidR="000464D3" w:rsidRPr="000464D3">
              <w:rPr>
                <w:lang w:val="en-GB"/>
              </w:rPr>
              <w:t xml:space="preserve">to </w:t>
            </w:r>
            <w:r w:rsidRPr="000464D3">
              <w:rPr>
                <w:lang w:val="en-GB"/>
              </w:rPr>
              <w:t xml:space="preserve"> </w:t>
            </w:r>
            <w:r w:rsidR="000464D3" w:rsidRPr="000464D3">
              <w:rPr>
                <w:lang w:val="en-GB"/>
              </w:rPr>
              <w:t>improve the trade balance of Georgian agriculture sector, to increase the quality and coverage of food safety/SPS inspections and controls as well as  competitiveness in in selected sectors with high export potential and/or import substitution;</w:t>
            </w:r>
            <w:r w:rsidR="000464D3">
              <w:rPr>
                <w:b/>
                <w:lang w:val="en-GB"/>
              </w:rPr>
              <w:t xml:space="preserve"> </w:t>
            </w:r>
            <w:r w:rsidRPr="00D4182C">
              <w:rPr>
                <w:lang w:val="en-GB"/>
              </w:rPr>
              <w:t>to improve employment and living conditions in rural areas through diversification of the rural economy and to reduce regional disparities and develop infrastructure links</w:t>
            </w:r>
          </w:p>
          <w:p w:rsidR="00AF0C23" w:rsidRPr="00D4182C" w:rsidRDefault="00AF0C23" w:rsidP="00B77114">
            <w:pPr>
              <w:rPr>
                <w:b/>
                <w:lang w:val="en-GB"/>
              </w:rPr>
            </w:pPr>
          </w:p>
        </w:tc>
      </w:tr>
      <w:tr w:rsidR="00AF0C23" w:rsidRPr="00D4182C" w:rsidTr="00B77114">
        <w:trPr>
          <w:trHeight w:val="451"/>
        </w:trPr>
        <w:tc>
          <w:tcPr>
            <w:tcW w:w="4188" w:type="dxa"/>
          </w:tcPr>
          <w:p w:rsidR="00AF0C23" w:rsidRPr="00D4182C" w:rsidRDefault="00AF0C23" w:rsidP="00B77114">
            <w:pPr>
              <w:widowControl w:val="0"/>
              <w:jc w:val="center"/>
              <w:rPr>
                <w:b/>
                <w:u w:val="single"/>
                <w:lang w:val="en-GB"/>
              </w:rPr>
            </w:pPr>
            <w:r w:rsidRPr="00D4182C">
              <w:rPr>
                <w:b/>
                <w:u w:val="single"/>
                <w:lang w:val="en-GB"/>
              </w:rPr>
              <w:t>Expected Results</w:t>
            </w:r>
          </w:p>
        </w:tc>
        <w:tc>
          <w:tcPr>
            <w:tcW w:w="3480" w:type="dxa"/>
          </w:tcPr>
          <w:p w:rsidR="00AF0C23" w:rsidRPr="00D4182C" w:rsidRDefault="00AF0C23" w:rsidP="00B77114">
            <w:pPr>
              <w:jc w:val="center"/>
              <w:rPr>
                <w:b/>
                <w:u w:val="single"/>
                <w:lang w:val="en-GB"/>
              </w:rPr>
            </w:pPr>
            <w:r w:rsidRPr="00D4182C">
              <w:rPr>
                <w:b/>
                <w:u w:val="single"/>
                <w:lang w:val="en-GB"/>
              </w:rPr>
              <w:t>Indicators</w:t>
            </w:r>
          </w:p>
        </w:tc>
        <w:tc>
          <w:tcPr>
            <w:tcW w:w="2160" w:type="dxa"/>
          </w:tcPr>
          <w:p w:rsidR="00AF0C23" w:rsidRPr="00D4182C" w:rsidRDefault="00AF0C23" w:rsidP="00B77114">
            <w:pPr>
              <w:jc w:val="center"/>
              <w:rPr>
                <w:b/>
                <w:u w:val="single"/>
                <w:lang w:val="en-GB"/>
              </w:rPr>
            </w:pPr>
            <w:r w:rsidRPr="00D4182C">
              <w:rPr>
                <w:b/>
                <w:u w:val="single"/>
                <w:lang w:val="en-GB"/>
              </w:rPr>
              <w:t xml:space="preserve">Means of </w:t>
            </w:r>
            <w:r w:rsidRPr="00D4182C">
              <w:rPr>
                <w:b/>
                <w:u w:val="single"/>
                <w:lang w:val="en-GB"/>
              </w:rPr>
              <w:br/>
              <w:t>verification</w:t>
            </w:r>
          </w:p>
        </w:tc>
      </w:tr>
      <w:tr w:rsidR="00AF0C23" w:rsidRPr="00D4182C" w:rsidTr="00B77114">
        <w:tc>
          <w:tcPr>
            <w:tcW w:w="4188" w:type="dxa"/>
          </w:tcPr>
          <w:p w:rsidR="00AF0C23" w:rsidRPr="00D4182C" w:rsidRDefault="00AF0C23" w:rsidP="00CC15DC">
            <w:pPr>
              <w:numPr>
                <w:ilvl w:val="0"/>
                <w:numId w:val="31"/>
              </w:numPr>
              <w:ind w:left="284" w:hanging="284"/>
              <w:rPr>
                <w:lang w:val="en-GB"/>
              </w:rPr>
            </w:pPr>
            <w:r w:rsidRPr="00D4182C">
              <w:rPr>
                <w:lang w:val="en-GB"/>
              </w:rPr>
              <w:t>Improved trade balance of Georgian agriculture sector</w:t>
            </w:r>
          </w:p>
        </w:tc>
        <w:tc>
          <w:tcPr>
            <w:tcW w:w="3480" w:type="dxa"/>
          </w:tcPr>
          <w:p w:rsidR="00AF0C23" w:rsidRPr="00D4182C" w:rsidRDefault="00AF0C23" w:rsidP="00B77114">
            <w:pPr>
              <w:jc w:val="both"/>
              <w:rPr>
                <w:lang w:val="en-GB"/>
              </w:rPr>
            </w:pPr>
            <w:r w:rsidRPr="00D4182C">
              <w:rPr>
                <w:lang w:val="en-GB"/>
              </w:rPr>
              <w:t>a1) total trade volume</w:t>
            </w:r>
            <w:r w:rsidR="00FC4F5D">
              <w:rPr>
                <w:lang w:val="en-GB"/>
              </w:rPr>
              <w:t xml:space="preserve"> (increase)</w:t>
            </w:r>
          </w:p>
          <w:p w:rsidR="00AF0C23" w:rsidRPr="00D4182C" w:rsidRDefault="00AF0C23" w:rsidP="00B77114">
            <w:pPr>
              <w:rPr>
                <w:b/>
                <w:lang w:val="en-GB"/>
              </w:rPr>
            </w:pPr>
          </w:p>
        </w:tc>
        <w:tc>
          <w:tcPr>
            <w:tcW w:w="2160" w:type="dxa"/>
          </w:tcPr>
          <w:p w:rsidR="00AF0C23" w:rsidRPr="00D4182C" w:rsidRDefault="00AF0C23" w:rsidP="00B77114">
            <w:pPr>
              <w:rPr>
                <w:b/>
                <w:lang w:val="en-GB"/>
              </w:rPr>
            </w:pPr>
            <w:r w:rsidRPr="000E4EEA">
              <w:t>National Accounts of Georgia</w:t>
            </w:r>
          </w:p>
        </w:tc>
      </w:tr>
      <w:tr w:rsidR="00AF0C23" w:rsidRPr="00932D62" w:rsidTr="00B77114">
        <w:tc>
          <w:tcPr>
            <w:tcW w:w="4188" w:type="dxa"/>
          </w:tcPr>
          <w:p w:rsidR="00AF0C23" w:rsidRPr="00D4182C" w:rsidRDefault="00AF0C23" w:rsidP="00CC15DC">
            <w:pPr>
              <w:numPr>
                <w:ilvl w:val="0"/>
                <w:numId w:val="31"/>
              </w:numPr>
              <w:ind w:left="284" w:hanging="284"/>
              <w:rPr>
                <w:lang w:val="en-GB"/>
              </w:rPr>
            </w:pPr>
            <w:r w:rsidRPr="00D4182C">
              <w:rPr>
                <w:lang w:val="en-GB"/>
              </w:rPr>
              <w:t>Improved conditions for production, processing and marketing of selected agricultural commodities</w:t>
            </w:r>
          </w:p>
        </w:tc>
        <w:tc>
          <w:tcPr>
            <w:tcW w:w="3480" w:type="dxa"/>
          </w:tcPr>
          <w:p w:rsidR="00AF0C23" w:rsidRPr="00D4182C" w:rsidRDefault="00AF0C23" w:rsidP="00B77114">
            <w:pPr>
              <w:rPr>
                <w:lang w:val="en-GB"/>
              </w:rPr>
            </w:pPr>
            <w:r w:rsidRPr="00D4182C">
              <w:rPr>
                <w:lang w:val="en-GB"/>
              </w:rPr>
              <w:t>b1) productivity of selected commodities</w:t>
            </w:r>
            <w:r w:rsidR="00FC4F5D">
              <w:rPr>
                <w:lang w:val="en-GB"/>
              </w:rPr>
              <w:t xml:space="preserve"> (increase)</w:t>
            </w:r>
          </w:p>
          <w:p w:rsidR="00AF0C23" w:rsidRPr="00D4182C" w:rsidRDefault="00AF0C23" w:rsidP="00B77114">
            <w:pPr>
              <w:rPr>
                <w:lang w:val="en-GB"/>
              </w:rPr>
            </w:pPr>
          </w:p>
          <w:p w:rsidR="00AF0C23" w:rsidRPr="00D4182C" w:rsidRDefault="00AF0C23" w:rsidP="00B440B4">
            <w:pPr>
              <w:rPr>
                <w:b/>
                <w:lang w:val="en-GB"/>
              </w:rPr>
            </w:pPr>
            <w:r w:rsidRPr="00D4182C">
              <w:rPr>
                <w:lang w:val="en-GB"/>
              </w:rPr>
              <w:t>b2) agricultural added value of selected commodities</w:t>
            </w:r>
            <w:r w:rsidR="00FC4F5D">
              <w:rPr>
                <w:lang w:val="en-GB"/>
              </w:rPr>
              <w:t xml:space="preserve"> (increase)</w:t>
            </w:r>
          </w:p>
        </w:tc>
        <w:tc>
          <w:tcPr>
            <w:tcW w:w="2160" w:type="dxa"/>
          </w:tcPr>
          <w:p w:rsidR="00AF0C23" w:rsidRPr="00D4182C" w:rsidRDefault="00AF0C23" w:rsidP="00B77114">
            <w:pPr>
              <w:rPr>
                <w:lang w:val="en-GB"/>
              </w:rPr>
            </w:pPr>
            <w:r w:rsidRPr="00D4182C">
              <w:rPr>
                <w:lang w:val="en-GB"/>
              </w:rPr>
              <w:t>Ministry of Agriculture</w:t>
            </w:r>
          </w:p>
          <w:p w:rsidR="00AF0C23" w:rsidRPr="00D4182C" w:rsidRDefault="00AF0C23" w:rsidP="00B77114">
            <w:pPr>
              <w:rPr>
                <w:lang w:val="en-GB"/>
              </w:rPr>
            </w:pPr>
          </w:p>
          <w:p w:rsidR="00AF0C23" w:rsidRPr="00D4182C" w:rsidRDefault="00AF0C23" w:rsidP="00B77114">
            <w:pPr>
              <w:rPr>
                <w:b/>
                <w:lang w:val="en-GB"/>
              </w:rPr>
            </w:pPr>
            <w:r w:rsidRPr="00D4182C">
              <w:rPr>
                <w:lang w:val="en-GB"/>
              </w:rPr>
              <w:t>National Accounts of Georgia</w:t>
            </w:r>
          </w:p>
        </w:tc>
      </w:tr>
      <w:tr w:rsidR="00184372" w:rsidRPr="00932D62" w:rsidTr="000464D3">
        <w:tc>
          <w:tcPr>
            <w:tcW w:w="4188" w:type="dxa"/>
          </w:tcPr>
          <w:p w:rsidR="00184372" w:rsidRPr="00B440B4" w:rsidRDefault="00184372" w:rsidP="00CC15DC">
            <w:pPr>
              <w:numPr>
                <w:ilvl w:val="0"/>
                <w:numId w:val="31"/>
              </w:numPr>
              <w:ind w:left="284" w:hanging="284"/>
              <w:rPr>
                <w:b/>
                <w:lang w:val="en-GB"/>
              </w:rPr>
            </w:pPr>
            <w:r w:rsidRPr="00B440B4">
              <w:rPr>
                <w:lang w:val="en-GB"/>
              </w:rPr>
              <w:t>Improved food safety</w:t>
            </w:r>
            <w:r w:rsidR="000464D3">
              <w:rPr>
                <w:lang w:val="en-GB"/>
              </w:rPr>
              <w:t xml:space="preserve"> </w:t>
            </w:r>
            <w:r w:rsidRPr="00B440B4">
              <w:rPr>
                <w:lang w:val="en-GB"/>
              </w:rPr>
              <w:t xml:space="preserve">conditions for food production in Georgia, through </w:t>
            </w:r>
            <w:r w:rsidR="00DB4F06" w:rsidRPr="001038E5">
              <w:rPr>
                <w:lang w:val="en-GB"/>
              </w:rPr>
              <w:t>approximation</w:t>
            </w:r>
            <w:r w:rsidR="00DB4F06">
              <w:rPr>
                <w:lang w:val="en-GB"/>
              </w:rPr>
              <w:t>,</w:t>
            </w:r>
            <w:r w:rsidR="00DB4F06" w:rsidRPr="001038E5">
              <w:rPr>
                <w:lang w:val="en-GB"/>
              </w:rPr>
              <w:t xml:space="preserve"> </w:t>
            </w:r>
            <w:r w:rsidRPr="00B440B4">
              <w:rPr>
                <w:lang w:val="en-GB"/>
              </w:rPr>
              <w:t xml:space="preserve">improved food safety systems, </w:t>
            </w:r>
            <w:r>
              <w:rPr>
                <w:lang w:val="en-GB"/>
              </w:rPr>
              <w:t xml:space="preserve">increased </w:t>
            </w:r>
            <w:r w:rsidRPr="00B440B4">
              <w:rPr>
                <w:lang w:val="en-GB"/>
              </w:rPr>
              <w:t xml:space="preserve">inspections and </w:t>
            </w:r>
            <w:r w:rsidR="00AF0C23" w:rsidRPr="001038E5">
              <w:rPr>
                <w:lang w:val="en-GB"/>
              </w:rPr>
              <w:t>control mechanisms</w:t>
            </w:r>
            <w:r w:rsidR="00DB4F06">
              <w:rPr>
                <w:lang w:val="en-GB"/>
              </w:rPr>
              <w:t xml:space="preserve"> and </w:t>
            </w:r>
            <w:r>
              <w:rPr>
                <w:lang w:val="en-GB"/>
              </w:rPr>
              <w:t xml:space="preserve">better </w:t>
            </w:r>
            <w:r w:rsidRPr="00B440B4">
              <w:rPr>
                <w:lang w:val="en-GB"/>
              </w:rPr>
              <w:t xml:space="preserve">compliance with SPS measures. </w:t>
            </w:r>
          </w:p>
          <w:p w:rsidR="00184372" w:rsidRPr="00B440B4" w:rsidRDefault="00184372" w:rsidP="00B440B4">
            <w:pPr>
              <w:ind w:left="284"/>
              <w:rPr>
                <w:b/>
                <w:lang w:val="en-GB"/>
              </w:rPr>
            </w:pPr>
          </w:p>
          <w:p w:rsidR="00184372" w:rsidRPr="00B440B4" w:rsidRDefault="00184372" w:rsidP="00184372">
            <w:pPr>
              <w:ind w:left="284"/>
              <w:rPr>
                <w:b/>
                <w:lang w:val="en-GB"/>
              </w:rPr>
            </w:pPr>
          </w:p>
          <w:p w:rsidR="00184372" w:rsidRPr="00236463" w:rsidRDefault="00184372" w:rsidP="00DB4F06">
            <w:pPr>
              <w:ind w:left="284"/>
              <w:rPr>
                <w:b/>
                <w:lang w:val="en-GB"/>
              </w:rPr>
            </w:pPr>
          </w:p>
        </w:tc>
        <w:tc>
          <w:tcPr>
            <w:tcW w:w="3480" w:type="dxa"/>
          </w:tcPr>
          <w:p w:rsidR="00184372" w:rsidRPr="00434A3D" w:rsidRDefault="00184372" w:rsidP="00B77114">
            <w:pPr>
              <w:rPr>
                <w:lang w:val="en-GB"/>
              </w:rPr>
            </w:pPr>
            <w:r w:rsidRPr="00434A3D">
              <w:rPr>
                <w:lang w:val="en-GB"/>
              </w:rPr>
              <w:t>c1) % increase in number of inspections carried out –</w:t>
            </w:r>
          </w:p>
          <w:p w:rsidR="00184372" w:rsidRPr="00434A3D" w:rsidRDefault="00184372" w:rsidP="00B77114">
            <w:pPr>
              <w:rPr>
                <w:lang w:val="en-GB"/>
              </w:rPr>
            </w:pPr>
            <w:r w:rsidRPr="00434A3D">
              <w:rPr>
                <w:lang w:val="en-GB"/>
              </w:rPr>
              <w:t xml:space="preserve">c2) number of non-compliances </w:t>
            </w:r>
            <w:r w:rsidR="00FC4F5D">
              <w:rPr>
                <w:lang w:val="en-GB"/>
              </w:rPr>
              <w:t>(reduced)</w:t>
            </w:r>
          </w:p>
          <w:p w:rsidR="00184372" w:rsidRPr="00B440B4" w:rsidRDefault="00184372" w:rsidP="00B77114">
            <w:pPr>
              <w:rPr>
                <w:lang w:val="en-GB"/>
              </w:rPr>
            </w:pPr>
            <w:r w:rsidRPr="00B440B4">
              <w:rPr>
                <w:lang w:val="en-GB"/>
              </w:rPr>
              <w:t xml:space="preserve">c3) positive qualitative assessment of inspections and control mechanisms </w:t>
            </w:r>
          </w:p>
          <w:p w:rsidR="00184372" w:rsidRPr="00B440B4" w:rsidRDefault="00184372" w:rsidP="00B77114">
            <w:pPr>
              <w:rPr>
                <w:b/>
                <w:lang w:val="en-GB"/>
              </w:rPr>
            </w:pPr>
            <w:r w:rsidRPr="00B440B4">
              <w:rPr>
                <w:lang w:val="en-GB"/>
              </w:rPr>
              <w:t>c4) number of relevant regulation in regards to inspections and control mechanisms approximated to EU standards</w:t>
            </w:r>
            <w:r w:rsidR="00FC4F5D">
              <w:rPr>
                <w:lang w:val="en-GB"/>
              </w:rPr>
              <w:t xml:space="preserve"> (increase)</w:t>
            </w:r>
          </w:p>
          <w:p w:rsidR="00184372" w:rsidRPr="00FF6C9A" w:rsidRDefault="00184372" w:rsidP="009E03B4">
            <w:pPr>
              <w:rPr>
                <w:lang w:val="en-GB"/>
              </w:rPr>
            </w:pPr>
            <w:r>
              <w:rPr>
                <w:lang w:val="en-GB"/>
              </w:rPr>
              <w:t>c5</w:t>
            </w:r>
            <w:r w:rsidRPr="00FF6C9A">
              <w:rPr>
                <w:lang w:val="en-GB"/>
              </w:rPr>
              <w:t>) increased No. / % of agri-food establishments (farm businesses/producer groups)</w:t>
            </w:r>
          </w:p>
          <w:p w:rsidR="00184372" w:rsidRPr="00B440B4" w:rsidRDefault="00184372" w:rsidP="00B77114">
            <w:pPr>
              <w:rPr>
                <w:b/>
                <w:lang w:val="en-GB"/>
              </w:rPr>
            </w:pPr>
            <w:r w:rsidRPr="00FF6C9A">
              <w:rPr>
                <w:lang w:val="en-GB"/>
              </w:rPr>
              <w:t>meeting EU food safety and quality requirements</w:t>
            </w:r>
          </w:p>
        </w:tc>
        <w:tc>
          <w:tcPr>
            <w:tcW w:w="2160" w:type="dxa"/>
          </w:tcPr>
          <w:p w:rsidR="00184372" w:rsidRPr="00B440B4" w:rsidRDefault="00184372" w:rsidP="00B77114">
            <w:pPr>
              <w:rPr>
                <w:lang w:val="en-GB"/>
              </w:rPr>
            </w:pPr>
            <w:r w:rsidRPr="00B440B4">
              <w:rPr>
                <w:lang w:val="en-GB"/>
              </w:rPr>
              <w:t>Annual Reports of National Service for Food Safety, Veterinary and Plant Protection</w:t>
            </w:r>
          </w:p>
          <w:p w:rsidR="00184372" w:rsidRPr="00B440B4" w:rsidRDefault="00184372" w:rsidP="00B77114">
            <w:pPr>
              <w:rPr>
                <w:lang w:val="en-GB"/>
              </w:rPr>
            </w:pPr>
          </w:p>
          <w:p w:rsidR="00184372" w:rsidRPr="00B440B4" w:rsidRDefault="00184372" w:rsidP="00B77114">
            <w:pPr>
              <w:rPr>
                <w:b/>
                <w:lang w:val="en-GB"/>
              </w:rPr>
            </w:pPr>
            <w:r w:rsidRPr="00DB4F06">
              <w:rPr>
                <w:lang w:val="en-GB"/>
              </w:rPr>
              <w:t>EU FVO assessment</w:t>
            </w:r>
          </w:p>
          <w:p w:rsidR="00184372" w:rsidRPr="00B440B4" w:rsidRDefault="00184372" w:rsidP="00B77114">
            <w:pPr>
              <w:rPr>
                <w:b/>
                <w:lang w:val="en-GB"/>
              </w:rPr>
            </w:pPr>
            <w:r w:rsidRPr="00DB4F06">
              <w:rPr>
                <w:lang w:val="en-GB"/>
              </w:rPr>
              <w:t>GeoStat, Ministry of Agriculture</w:t>
            </w:r>
          </w:p>
        </w:tc>
      </w:tr>
      <w:tr w:rsidR="00C153BA" w:rsidRPr="00932D62" w:rsidTr="00B77114">
        <w:tc>
          <w:tcPr>
            <w:tcW w:w="4188" w:type="dxa"/>
          </w:tcPr>
          <w:p w:rsidR="00DB4F06" w:rsidRPr="00D4182C" w:rsidRDefault="00DB4F06" w:rsidP="00DB4F06">
            <w:pPr>
              <w:rPr>
                <w:lang w:val="en-GB"/>
              </w:rPr>
            </w:pPr>
            <w:r>
              <w:rPr>
                <w:lang w:val="en-GB"/>
              </w:rPr>
              <w:t xml:space="preserve">d) </w:t>
            </w:r>
            <w:r w:rsidR="00C153BA" w:rsidRPr="00D4182C">
              <w:rPr>
                <w:lang w:val="en-GB"/>
              </w:rPr>
              <w:t>Development of efficient value chains and increased competitiveness in selected sectors with high export potential and/or import substitution</w:t>
            </w:r>
          </w:p>
        </w:tc>
        <w:tc>
          <w:tcPr>
            <w:tcW w:w="3480" w:type="dxa"/>
          </w:tcPr>
          <w:p w:rsidR="00C153BA" w:rsidRPr="00D4182C" w:rsidRDefault="00C153BA" w:rsidP="00B77114">
            <w:pPr>
              <w:rPr>
                <w:lang w:val="en-GB"/>
              </w:rPr>
            </w:pPr>
            <w:r w:rsidRPr="00D4182C">
              <w:rPr>
                <w:lang w:val="en-GB"/>
              </w:rPr>
              <w:t>a1) export volumes of selected commodities</w:t>
            </w:r>
            <w:r w:rsidR="00FC4F5D">
              <w:rPr>
                <w:lang w:val="en-GB"/>
              </w:rPr>
              <w:t xml:space="preserve"> (increase)</w:t>
            </w:r>
          </w:p>
          <w:p w:rsidR="00C153BA" w:rsidRPr="00D4182C" w:rsidRDefault="00C153BA" w:rsidP="00B440B4">
            <w:pPr>
              <w:rPr>
                <w:lang w:val="en-GB"/>
              </w:rPr>
            </w:pPr>
            <w:r w:rsidRPr="00D4182C">
              <w:rPr>
                <w:lang w:val="en-GB"/>
              </w:rPr>
              <w:t>a2) number of infrastructure for storage and processing of selected crops</w:t>
            </w:r>
          </w:p>
        </w:tc>
        <w:tc>
          <w:tcPr>
            <w:tcW w:w="2160" w:type="dxa"/>
          </w:tcPr>
          <w:p w:rsidR="00C153BA" w:rsidRPr="00D4182C" w:rsidRDefault="00C153BA" w:rsidP="00B77114">
            <w:pPr>
              <w:rPr>
                <w:lang w:val="en-GB"/>
              </w:rPr>
            </w:pPr>
            <w:r w:rsidRPr="00D4182C">
              <w:rPr>
                <w:lang w:val="en-GB"/>
              </w:rPr>
              <w:t>Ministry of Agriculture</w:t>
            </w:r>
          </w:p>
          <w:p w:rsidR="00C153BA" w:rsidRPr="00D4182C" w:rsidRDefault="00C153BA" w:rsidP="00B77114">
            <w:pPr>
              <w:rPr>
                <w:lang w:val="en-GB"/>
              </w:rPr>
            </w:pPr>
          </w:p>
          <w:p w:rsidR="00C153BA" w:rsidRPr="00D4182C" w:rsidRDefault="00C153BA" w:rsidP="00B77114">
            <w:pPr>
              <w:rPr>
                <w:lang w:val="en-GB"/>
              </w:rPr>
            </w:pPr>
            <w:r w:rsidRPr="00D4182C">
              <w:rPr>
                <w:lang w:val="en-GB"/>
              </w:rPr>
              <w:t>National Accounts</w:t>
            </w:r>
          </w:p>
        </w:tc>
      </w:tr>
      <w:tr w:rsidR="00C153BA" w:rsidRPr="00932D62" w:rsidTr="00B77114">
        <w:tc>
          <w:tcPr>
            <w:tcW w:w="4188" w:type="dxa"/>
          </w:tcPr>
          <w:p w:rsidR="00C153BA" w:rsidRPr="00D4182C" w:rsidRDefault="00DB4F06" w:rsidP="00DB4F06">
            <w:pPr>
              <w:rPr>
                <w:lang w:val="en-GB"/>
              </w:rPr>
            </w:pPr>
            <w:r>
              <w:rPr>
                <w:lang w:val="en-GB"/>
              </w:rPr>
              <w:t xml:space="preserve">e) </w:t>
            </w:r>
            <w:r w:rsidR="00B00EB9">
              <w:rPr>
                <w:lang w:val="en-GB"/>
              </w:rPr>
              <w:t>Increased income for men and women in regions, through improved competitiveness and r</w:t>
            </w:r>
            <w:r w:rsidR="00C153BA" w:rsidRPr="00D4182C">
              <w:rPr>
                <w:lang w:val="en-GB"/>
              </w:rPr>
              <w:t>ural economic diversification (development of eco-</w:t>
            </w:r>
            <w:r w:rsidR="00C153BA" w:rsidRPr="00D4182C">
              <w:rPr>
                <w:lang w:val="en-GB"/>
              </w:rPr>
              <w:lastRenderedPageBreak/>
              <w:t>tourism and other non-agricultural activities)</w:t>
            </w:r>
          </w:p>
        </w:tc>
        <w:tc>
          <w:tcPr>
            <w:tcW w:w="3480" w:type="dxa"/>
          </w:tcPr>
          <w:p w:rsidR="00C153BA" w:rsidRPr="00D4182C" w:rsidRDefault="002C53B9" w:rsidP="00B77114">
            <w:pPr>
              <w:rPr>
                <w:lang w:val="en-GB"/>
              </w:rPr>
            </w:pPr>
            <w:r>
              <w:rPr>
                <w:lang w:val="en-GB"/>
              </w:rPr>
              <w:lastRenderedPageBreak/>
              <w:t>g</w:t>
            </w:r>
            <w:r w:rsidRPr="00D4182C">
              <w:rPr>
                <w:lang w:val="en-GB"/>
              </w:rPr>
              <w:t>1) Increase in the average monthly incomes of rural households, disaggregated by</w:t>
            </w:r>
            <w:r w:rsidR="00324E67">
              <w:rPr>
                <w:lang w:val="en-GB"/>
              </w:rPr>
              <w:t xml:space="preserve"> gender</w:t>
            </w:r>
            <w:r w:rsidRPr="00D4182C">
              <w:rPr>
                <w:lang w:val="en-GB"/>
              </w:rPr>
              <w:t xml:space="preserve"> </w:t>
            </w:r>
            <w:r w:rsidR="00C153BA" w:rsidRPr="00D4182C">
              <w:rPr>
                <w:lang w:val="en-GB"/>
              </w:rPr>
              <w:t>g</w:t>
            </w:r>
            <w:r>
              <w:rPr>
                <w:lang w:val="en-GB"/>
              </w:rPr>
              <w:t>2</w:t>
            </w:r>
            <w:r w:rsidR="00C153BA" w:rsidRPr="00D4182C">
              <w:rPr>
                <w:lang w:val="en-GB"/>
              </w:rPr>
              <w:t xml:space="preserve">) </w:t>
            </w:r>
            <w:r w:rsidR="00C153BA" w:rsidRPr="00D4182C">
              <w:rPr>
                <w:bCs/>
                <w:lang w:val="en-GB"/>
              </w:rPr>
              <w:t xml:space="preserve">Increased  volume of </w:t>
            </w:r>
            <w:r w:rsidR="00C153BA" w:rsidRPr="00D4182C">
              <w:rPr>
                <w:bCs/>
                <w:lang w:val="en-GB"/>
              </w:rPr>
              <w:lastRenderedPageBreak/>
              <w:t>non- agriculture rural employment, disaggregated by gender (</w:t>
            </w:r>
            <w:r w:rsidR="00C153BA" w:rsidRPr="00D4182C">
              <w:rPr>
                <w:lang w:val="en-GB"/>
              </w:rPr>
              <w:t>27.2 % of non-agricultural rural employment  in 2015)</w:t>
            </w:r>
          </w:p>
          <w:p w:rsidR="00C153BA" w:rsidRPr="00D4182C" w:rsidRDefault="00C153BA" w:rsidP="00FF6C9A">
            <w:pPr>
              <w:rPr>
                <w:lang w:val="en-GB"/>
              </w:rPr>
            </w:pPr>
            <w:r w:rsidRPr="00D4182C">
              <w:rPr>
                <w:lang w:val="en-GB"/>
              </w:rPr>
              <w:t>g</w:t>
            </w:r>
            <w:r w:rsidR="002C53B9">
              <w:rPr>
                <w:lang w:val="en-GB"/>
              </w:rPr>
              <w:t>3</w:t>
            </w:r>
            <w:r w:rsidRPr="00D4182C">
              <w:rPr>
                <w:lang w:val="en-GB"/>
              </w:rPr>
              <w:t>) Increase in the added value of the tourism sector</w:t>
            </w:r>
            <w:r w:rsidR="002C53B9" w:rsidRPr="00D4182C">
              <w:rPr>
                <w:lang w:val="en-GB"/>
              </w:rPr>
              <w:t xml:space="preserve"> </w:t>
            </w:r>
          </w:p>
        </w:tc>
        <w:tc>
          <w:tcPr>
            <w:tcW w:w="2160" w:type="dxa"/>
          </w:tcPr>
          <w:p w:rsidR="00C153BA" w:rsidRPr="00D4182C" w:rsidRDefault="00C153BA" w:rsidP="00B77114">
            <w:pPr>
              <w:rPr>
                <w:lang w:val="en-GB"/>
              </w:rPr>
            </w:pPr>
            <w:r w:rsidRPr="00D4182C">
              <w:rPr>
                <w:lang w:val="en-GB"/>
              </w:rPr>
              <w:lastRenderedPageBreak/>
              <w:t>Ministry of Agriculture, GEOSTAT</w:t>
            </w:r>
          </w:p>
          <w:p w:rsidR="00C153BA" w:rsidRPr="00D4182C" w:rsidRDefault="00C153BA" w:rsidP="00B77114">
            <w:pPr>
              <w:rPr>
                <w:lang w:val="en-GB"/>
              </w:rPr>
            </w:pPr>
          </w:p>
          <w:p w:rsidR="00C153BA" w:rsidRPr="00D4182C" w:rsidRDefault="00C153BA" w:rsidP="00B77114">
            <w:pPr>
              <w:rPr>
                <w:lang w:val="en-GB"/>
              </w:rPr>
            </w:pPr>
          </w:p>
          <w:p w:rsidR="00C153BA" w:rsidRPr="00D4182C" w:rsidRDefault="00C153BA" w:rsidP="00B77114">
            <w:pPr>
              <w:rPr>
                <w:lang w:val="en-GB"/>
              </w:rPr>
            </w:pPr>
            <w:r w:rsidRPr="00D4182C">
              <w:rPr>
                <w:lang w:val="en-GB"/>
              </w:rPr>
              <w:t xml:space="preserve">Being negotiated with GoG/MoA </w:t>
            </w:r>
            <w:r w:rsidR="002C53B9" w:rsidRPr="00B440B4">
              <w:rPr>
                <w:lang w:val="en-GB"/>
              </w:rPr>
              <w:t>GeoStat, Household survey</w:t>
            </w:r>
          </w:p>
        </w:tc>
      </w:tr>
      <w:tr w:rsidR="00C153BA" w:rsidRPr="00D4182C" w:rsidTr="00B77114">
        <w:tc>
          <w:tcPr>
            <w:tcW w:w="4188" w:type="dxa"/>
          </w:tcPr>
          <w:p w:rsidR="00C153BA" w:rsidRPr="00D4182C" w:rsidRDefault="00DB4F06" w:rsidP="00DB4F06">
            <w:pPr>
              <w:rPr>
                <w:lang w:val="en-GB"/>
              </w:rPr>
            </w:pPr>
            <w:r>
              <w:rPr>
                <w:lang w:val="en-GB"/>
              </w:rPr>
              <w:lastRenderedPageBreak/>
              <w:t xml:space="preserve">f) </w:t>
            </w:r>
            <w:r w:rsidR="00C153BA" w:rsidRPr="00D4182C">
              <w:rPr>
                <w:lang w:val="en-GB"/>
              </w:rPr>
              <w:t>Improvement of services and infrastructure in rural areas (including waste collection)</w:t>
            </w:r>
          </w:p>
        </w:tc>
        <w:tc>
          <w:tcPr>
            <w:tcW w:w="3480" w:type="dxa"/>
          </w:tcPr>
          <w:p w:rsidR="00C153BA" w:rsidRPr="00D4182C" w:rsidRDefault="00C153BA" w:rsidP="00B77114">
            <w:pPr>
              <w:rPr>
                <w:lang w:val="en-GB"/>
              </w:rPr>
            </w:pPr>
            <w:r w:rsidRPr="00D4182C">
              <w:rPr>
                <w:lang w:val="en-GB"/>
              </w:rPr>
              <w:t>i1) Increased number of population with improved access to rural services and infrastructure including water supply, sanitation and waste services</w:t>
            </w:r>
          </w:p>
        </w:tc>
        <w:tc>
          <w:tcPr>
            <w:tcW w:w="2160" w:type="dxa"/>
          </w:tcPr>
          <w:p w:rsidR="00C153BA" w:rsidRPr="000E4EEA" w:rsidRDefault="00C153BA" w:rsidP="00B77114">
            <w:r w:rsidRPr="000E4EEA">
              <w:t>MENRP, MRDI/SWMCG data</w:t>
            </w:r>
          </w:p>
        </w:tc>
      </w:tr>
      <w:tr w:rsidR="00C153BA" w:rsidRPr="00D4182C" w:rsidTr="00B77114">
        <w:tc>
          <w:tcPr>
            <w:tcW w:w="4188" w:type="dxa"/>
          </w:tcPr>
          <w:p w:rsidR="0076582C" w:rsidRDefault="00DB4F06" w:rsidP="00DB4F06">
            <w:pPr>
              <w:rPr>
                <w:lang w:val="en-GB"/>
              </w:rPr>
            </w:pPr>
            <w:r>
              <w:rPr>
                <w:lang w:val="en-GB"/>
              </w:rPr>
              <w:t xml:space="preserve">g) </w:t>
            </w:r>
            <w:r w:rsidR="0076582C">
              <w:rPr>
                <w:lang w:val="en-GB"/>
              </w:rPr>
              <w:t xml:space="preserve">Enhanced regional cohesion and reduced disparities (economic and  social) among regions. </w:t>
            </w:r>
          </w:p>
          <w:p w:rsidR="00C153BA" w:rsidRPr="00D4182C" w:rsidRDefault="00C153BA" w:rsidP="00DB4F06">
            <w:pPr>
              <w:ind w:left="284"/>
              <w:rPr>
                <w:lang w:val="en-GB"/>
              </w:rPr>
            </w:pPr>
          </w:p>
        </w:tc>
        <w:tc>
          <w:tcPr>
            <w:tcW w:w="3480" w:type="dxa"/>
          </w:tcPr>
          <w:p w:rsidR="00C153BA" w:rsidRPr="00D4182C" w:rsidRDefault="00C153BA" w:rsidP="00B77114">
            <w:pPr>
              <w:rPr>
                <w:lang w:val="en-GB"/>
              </w:rPr>
            </w:pPr>
            <w:r w:rsidRPr="00D4182C">
              <w:rPr>
                <w:lang w:val="en-GB"/>
              </w:rPr>
              <w:t>j1) New Regional Development Plan (RDP) supported by main stakeholders</w:t>
            </w:r>
          </w:p>
          <w:p w:rsidR="00C153BA" w:rsidRPr="00D4182C" w:rsidRDefault="00C153BA" w:rsidP="00B77114">
            <w:pPr>
              <w:rPr>
                <w:lang w:val="en-GB"/>
              </w:rPr>
            </w:pPr>
          </w:p>
          <w:p w:rsidR="00C153BA" w:rsidRPr="00D4182C" w:rsidRDefault="00C153BA" w:rsidP="00B77114">
            <w:pPr>
              <w:rPr>
                <w:lang w:val="en-GB"/>
              </w:rPr>
            </w:pPr>
            <w:r w:rsidRPr="00D4182C">
              <w:rPr>
                <w:lang w:val="en-GB"/>
              </w:rPr>
              <w:t>j2) Positive assessment of RDP relevance, effectiveness and impact</w:t>
            </w:r>
          </w:p>
          <w:p w:rsidR="00C153BA" w:rsidRPr="00D4182C" w:rsidRDefault="00C153BA" w:rsidP="00B77114">
            <w:pPr>
              <w:rPr>
                <w:lang w:val="en-GB"/>
              </w:rPr>
            </w:pPr>
          </w:p>
          <w:p w:rsidR="00C153BA" w:rsidRPr="00D4182C" w:rsidRDefault="00C153BA" w:rsidP="00B77114">
            <w:pPr>
              <w:rPr>
                <w:lang w:val="en-GB"/>
              </w:rPr>
            </w:pPr>
            <w:r w:rsidRPr="00D4182C">
              <w:rPr>
                <w:lang w:val="en-GB"/>
              </w:rPr>
              <w:t>j3) number of new/improved services available in regions</w:t>
            </w:r>
          </w:p>
        </w:tc>
        <w:tc>
          <w:tcPr>
            <w:tcW w:w="2160" w:type="dxa"/>
          </w:tcPr>
          <w:p w:rsidR="00C153BA" w:rsidRPr="00D4182C" w:rsidRDefault="00C153BA" w:rsidP="00B77114">
            <w:pPr>
              <w:rPr>
                <w:lang w:val="en-GB"/>
              </w:rPr>
            </w:pPr>
            <w:r w:rsidRPr="00D4182C">
              <w:rPr>
                <w:lang w:val="en-GB"/>
              </w:rPr>
              <w:t>Ministry of Regional Development and Infrastructure</w:t>
            </w:r>
          </w:p>
          <w:p w:rsidR="00C153BA" w:rsidRPr="00D4182C" w:rsidRDefault="00C153BA" w:rsidP="00B77114">
            <w:pPr>
              <w:rPr>
                <w:lang w:val="en-GB"/>
              </w:rPr>
            </w:pPr>
          </w:p>
          <w:p w:rsidR="00C153BA" w:rsidRPr="000E4EEA" w:rsidRDefault="00C153BA" w:rsidP="00B77114">
            <w:r w:rsidRPr="000E4EEA">
              <w:t>State Audit Office</w:t>
            </w:r>
          </w:p>
          <w:p w:rsidR="00C153BA" w:rsidRPr="000E4EEA" w:rsidRDefault="00C153BA" w:rsidP="00B77114"/>
          <w:p w:rsidR="00C153BA" w:rsidRPr="000E4EEA" w:rsidRDefault="00C153BA" w:rsidP="00B77114"/>
          <w:p w:rsidR="00C153BA" w:rsidRPr="000E4EEA" w:rsidRDefault="00C153BA" w:rsidP="00B77114">
            <w:r w:rsidRPr="000E4EEA">
              <w:t>MRDI reports</w:t>
            </w:r>
          </w:p>
          <w:p w:rsidR="00C153BA" w:rsidRPr="000E4EEA" w:rsidRDefault="00C153BA" w:rsidP="00B77114"/>
        </w:tc>
      </w:tr>
      <w:tr w:rsidR="00C153BA" w:rsidRPr="00D4182C" w:rsidTr="00B77114">
        <w:tc>
          <w:tcPr>
            <w:tcW w:w="4188" w:type="dxa"/>
          </w:tcPr>
          <w:p w:rsidR="00C153BA" w:rsidRPr="00B440B4" w:rsidRDefault="00DB4F06" w:rsidP="00DB4F06">
            <w:pPr>
              <w:rPr>
                <w:lang w:val="en-GB"/>
              </w:rPr>
            </w:pPr>
            <w:r>
              <w:rPr>
                <w:lang w:val="en-GB"/>
              </w:rPr>
              <w:t xml:space="preserve">h) </w:t>
            </w:r>
            <w:r w:rsidR="00C153BA" w:rsidRPr="00B440B4">
              <w:rPr>
                <w:lang w:val="en-GB"/>
              </w:rPr>
              <w:t>Development of ICT infrastructure as well as approximation of the legal framework to the EU digital agenda and promotion of cybersecurity</w:t>
            </w:r>
          </w:p>
        </w:tc>
        <w:tc>
          <w:tcPr>
            <w:tcW w:w="3480" w:type="dxa"/>
          </w:tcPr>
          <w:p w:rsidR="00C153BA" w:rsidRPr="00B440B4" w:rsidRDefault="00C153BA" w:rsidP="00B77114">
            <w:pPr>
              <w:rPr>
                <w:lang w:val="en-GB"/>
              </w:rPr>
            </w:pPr>
            <w:r w:rsidRPr="00B440B4">
              <w:rPr>
                <w:lang w:val="en-GB"/>
              </w:rPr>
              <w:t xml:space="preserve">k1) increased Number of municipalities with renewed ICT infrastructure (community centre buildings, technical equipment, furniture) </w:t>
            </w:r>
          </w:p>
          <w:p w:rsidR="00C153BA" w:rsidRPr="00B440B4" w:rsidRDefault="00C153BA" w:rsidP="00B77114">
            <w:pPr>
              <w:rPr>
                <w:lang w:val="en-GB"/>
              </w:rPr>
            </w:pPr>
            <w:r w:rsidRPr="00B440B4">
              <w:rPr>
                <w:lang w:val="en-GB"/>
              </w:rPr>
              <w:t>k2) % of legislation on ICT / Digital Agenda approximated)</w:t>
            </w:r>
          </w:p>
        </w:tc>
        <w:tc>
          <w:tcPr>
            <w:tcW w:w="2160" w:type="dxa"/>
          </w:tcPr>
          <w:p w:rsidR="00C153BA" w:rsidRPr="00B440B4" w:rsidRDefault="00C153BA" w:rsidP="00B77114">
            <w:pPr>
              <w:rPr>
                <w:lang w:val="en-GB"/>
              </w:rPr>
            </w:pPr>
            <w:r w:rsidRPr="00B440B4">
              <w:rPr>
                <w:lang w:val="en-GB"/>
              </w:rPr>
              <w:t>Ministry of Regional Development and Infrastructure, GITA</w:t>
            </w:r>
          </w:p>
          <w:p w:rsidR="00C153BA" w:rsidRPr="00B440B4" w:rsidRDefault="00C153BA" w:rsidP="00B77114">
            <w:pPr>
              <w:rPr>
                <w:lang w:val="en-GB"/>
              </w:rPr>
            </w:pPr>
          </w:p>
          <w:p w:rsidR="00C153BA" w:rsidRPr="000E4EEA" w:rsidRDefault="00C153BA" w:rsidP="00B77114">
            <w:r w:rsidRPr="000E4EEA">
              <w:t>Georgia Country Report</w:t>
            </w:r>
          </w:p>
        </w:tc>
      </w:tr>
    </w:tbl>
    <w:p w:rsidR="003E2663" w:rsidRPr="00D4182C" w:rsidRDefault="003E2663" w:rsidP="003E2663">
      <w:pPr>
        <w:pBdr>
          <w:top w:val="single" w:sz="4" w:space="1" w:color="auto"/>
          <w:left w:val="single" w:sz="4" w:space="4" w:color="auto"/>
          <w:bottom w:val="single" w:sz="4" w:space="1" w:color="auto"/>
          <w:right w:val="single" w:sz="4" w:space="4" w:color="auto"/>
        </w:pBdr>
        <w:outlineLvl w:val="0"/>
        <w:rPr>
          <w:lang w:val="en-GB"/>
        </w:rPr>
      </w:pPr>
    </w:p>
    <w:p w:rsidR="003E2663" w:rsidRPr="00D4182C" w:rsidRDefault="003E2663" w:rsidP="003E2663">
      <w:pPr>
        <w:pBdr>
          <w:top w:val="single" w:sz="4" w:space="1" w:color="auto"/>
          <w:left w:val="single" w:sz="4" w:space="4" w:color="auto"/>
          <w:bottom w:val="single" w:sz="4" w:space="1" w:color="auto"/>
          <w:right w:val="single" w:sz="4" w:space="4" w:color="auto"/>
        </w:pBdr>
        <w:outlineLvl w:val="0"/>
        <w:rPr>
          <w:b/>
          <w:lang w:val="en-GB"/>
        </w:rPr>
      </w:pPr>
      <w:r w:rsidRPr="00D4182C">
        <w:rPr>
          <w:b/>
          <w:lang w:val="en-GB"/>
        </w:rPr>
        <w:t xml:space="preserve">Sector 2: </w:t>
      </w:r>
      <w:r w:rsidRPr="00D4182C">
        <w:rPr>
          <w:b/>
          <w:u w:val="single"/>
          <w:lang w:val="en-GB"/>
        </w:rPr>
        <w:t>Strengthening institutions and good governance, including consolidating the Rule of Law and addressing security</w:t>
      </w:r>
      <w:r w:rsidRPr="00D4182C" w:rsidDel="00AF0C23">
        <w:rPr>
          <w:b/>
          <w:lang w:val="en-GB"/>
        </w:rPr>
        <w:t xml:space="preserve"> </w:t>
      </w:r>
    </w:p>
    <w:p w:rsidR="003E2663" w:rsidRPr="00D4182C" w:rsidRDefault="003E2663" w:rsidP="003E2663">
      <w:pPr>
        <w:pBdr>
          <w:top w:val="single" w:sz="4" w:space="1" w:color="auto"/>
          <w:left w:val="single" w:sz="4" w:space="4" w:color="auto"/>
          <w:bottom w:val="single" w:sz="4" w:space="1" w:color="auto"/>
          <w:right w:val="single" w:sz="4" w:space="4" w:color="auto"/>
        </w:pBdr>
        <w:rPr>
          <w:b/>
          <w:lang w:val="en-GB"/>
        </w:rPr>
      </w:pPr>
    </w:p>
    <w:p w:rsidR="003E2663" w:rsidRPr="00D4182C" w:rsidRDefault="003E2663" w:rsidP="003E2663">
      <w:pPr>
        <w:pBdr>
          <w:top w:val="single" w:sz="4" w:space="1" w:color="auto"/>
          <w:left w:val="single" w:sz="4" w:space="4" w:color="auto"/>
          <w:bottom w:val="single" w:sz="4" w:space="1" w:color="auto"/>
          <w:right w:val="single" w:sz="4" w:space="4" w:color="auto"/>
        </w:pBdr>
        <w:outlineLvl w:val="0"/>
        <w:rPr>
          <w:b/>
          <w:lang w:val="en-GB"/>
        </w:rPr>
      </w:pPr>
      <w:r w:rsidRPr="00D4182C">
        <w:rPr>
          <w:b/>
          <w:lang w:val="en-GB"/>
        </w:rPr>
        <w:t>Specific objective 1:</w:t>
      </w:r>
      <w:r w:rsidRPr="00D4182C">
        <w:rPr>
          <w:b/>
          <w:lang w:val="en-GB"/>
        </w:rPr>
        <w:tab/>
      </w:r>
      <w:r w:rsidR="00197582" w:rsidRPr="00225E62">
        <w:rPr>
          <w:lang w:val="en-GB" w:eastAsia="ar-SA"/>
        </w:rPr>
        <w:t xml:space="preserve">to consolidate in particular on Public Administration reform: to enhance the Government and the Parliament evidence based decision making </w:t>
      </w:r>
      <w:r w:rsidR="00197582" w:rsidRPr="00225E62">
        <w:rPr>
          <w:lang w:val="en-GB"/>
        </w:rPr>
        <w:t>policy development capacities and gender sensitive human resource management,</w:t>
      </w:r>
      <w:r w:rsidR="00197582" w:rsidRPr="00225E62">
        <w:rPr>
          <w:lang w:val="en-GB" w:eastAsia="ar-SA"/>
        </w:rPr>
        <w:t xml:space="preserve"> to strengthen the structures and processes of local governance; to further improve public finance policy processes as well as transparency, accessibility and quality of government services with the aim </w:t>
      </w:r>
      <w:r w:rsidR="00197582" w:rsidRPr="00225E62">
        <w:rPr>
          <w:lang w:val="en-GB"/>
        </w:rPr>
        <w:t>to assist the Government in further aligning its legal system with European rules and best practices in particular on disputes, registries and legislation related to the business sphere; to promote a rights based approach encompassing all human rights, and strengthen the institutional and human resource capacities in the judiciary / justice sector ;</w:t>
      </w:r>
      <w:r w:rsidR="00197582" w:rsidRPr="00225E62">
        <w:rPr>
          <w:lang w:val="en-GB" w:eastAsia="ar-SA"/>
        </w:rPr>
        <w:t>to strengthen the fight against corruption and money laundering</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3231"/>
        <w:gridCol w:w="2922"/>
      </w:tblGrid>
      <w:tr w:rsidR="003E2663" w:rsidRPr="00D4182C" w:rsidTr="00DB4F06">
        <w:trPr>
          <w:trHeight w:val="451"/>
        </w:trPr>
        <w:tc>
          <w:tcPr>
            <w:tcW w:w="3701" w:type="dxa"/>
          </w:tcPr>
          <w:p w:rsidR="003E2663" w:rsidRPr="00D4182C" w:rsidRDefault="003E2663" w:rsidP="00B77114">
            <w:pPr>
              <w:widowControl w:val="0"/>
              <w:jc w:val="center"/>
              <w:rPr>
                <w:b/>
                <w:u w:val="single"/>
                <w:lang w:val="en-GB"/>
              </w:rPr>
            </w:pPr>
            <w:r w:rsidRPr="00D4182C">
              <w:rPr>
                <w:b/>
                <w:u w:val="single"/>
                <w:lang w:val="en-GB"/>
              </w:rPr>
              <w:t>Expected Results</w:t>
            </w:r>
          </w:p>
        </w:tc>
        <w:tc>
          <w:tcPr>
            <w:tcW w:w="3231" w:type="dxa"/>
          </w:tcPr>
          <w:p w:rsidR="003E2663" w:rsidRPr="00D4182C" w:rsidRDefault="003E2663" w:rsidP="00B77114">
            <w:pPr>
              <w:jc w:val="center"/>
              <w:rPr>
                <w:b/>
                <w:u w:val="single"/>
                <w:lang w:val="en-GB"/>
              </w:rPr>
            </w:pPr>
            <w:r w:rsidRPr="00D4182C">
              <w:rPr>
                <w:b/>
                <w:u w:val="single"/>
                <w:lang w:val="en-GB"/>
              </w:rPr>
              <w:t>Indicators</w:t>
            </w:r>
          </w:p>
        </w:tc>
        <w:tc>
          <w:tcPr>
            <w:tcW w:w="2922" w:type="dxa"/>
          </w:tcPr>
          <w:p w:rsidR="003E2663" w:rsidRPr="00D4182C" w:rsidRDefault="003E2663" w:rsidP="00B77114">
            <w:pPr>
              <w:jc w:val="center"/>
              <w:rPr>
                <w:b/>
                <w:u w:val="single"/>
                <w:lang w:val="en-GB"/>
              </w:rPr>
            </w:pPr>
            <w:r w:rsidRPr="00D4182C">
              <w:rPr>
                <w:b/>
                <w:u w:val="single"/>
                <w:lang w:val="en-GB"/>
              </w:rPr>
              <w:t xml:space="preserve">Means of </w:t>
            </w:r>
            <w:r w:rsidRPr="00D4182C">
              <w:rPr>
                <w:b/>
                <w:u w:val="single"/>
                <w:lang w:val="en-GB"/>
              </w:rPr>
              <w:br/>
              <w:t>verification</w:t>
            </w:r>
          </w:p>
        </w:tc>
      </w:tr>
      <w:tr w:rsidR="003E2663" w:rsidRPr="00932D62" w:rsidTr="00DB4F06">
        <w:tc>
          <w:tcPr>
            <w:tcW w:w="3701" w:type="dxa"/>
          </w:tcPr>
          <w:p w:rsidR="003E2663" w:rsidRPr="00B440B4" w:rsidRDefault="00DB4F06" w:rsidP="00DB4F06">
            <w:pPr>
              <w:pStyle w:val="ListParagraph"/>
              <w:spacing w:after="120"/>
              <w:ind w:left="0"/>
              <w:rPr>
                <w:lang w:eastAsia="en-GB"/>
              </w:rPr>
            </w:pPr>
            <w:r>
              <w:rPr>
                <w:lang w:eastAsia="en-GB"/>
              </w:rPr>
              <w:t xml:space="preserve">a) </w:t>
            </w:r>
            <w:r w:rsidR="003E2663" w:rsidRPr="00B440B4">
              <w:rPr>
                <w:lang w:eastAsia="en-GB"/>
              </w:rPr>
              <w:t>Robust election legislative framework and administration, taking into account gender equality perspective</w:t>
            </w:r>
          </w:p>
          <w:p w:rsidR="003E2663" w:rsidRPr="00B440B4" w:rsidRDefault="003E2663" w:rsidP="003E2663">
            <w:pPr>
              <w:rPr>
                <w:b/>
                <w:lang w:val="en-GB"/>
              </w:rPr>
            </w:pPr>
          </w:p>
        </w:tc>
        <w:tc>
          <w:tcPr>
            <w:tcW w:w="3231" w:type="dxa"/>
          </w:tcPr>
          <w:p w:rsidR="003E2663" w:rsidRPr="00B440B4" w:rsidRDefault="003E2663" w:rsidP="00B77114">
            <w:pPr>
              <w:rPr>
                <w:lang w:val="en-GB"/>
              </w:rPr>
            </w:pPr>
            <w:r w:rsidRPr="00B440B4">
              <w:rPr>
                <w:lang w:val="en-GB"/>
              </w:rPr>
              <w:t>a1) Improvement of election legal framework integrating OSCE/Venice Commission recommendations</w:t>
            </w:r>
          </w:p>
          <w:p w:rsidR="003E2663" w:rsidRPr="00B440B4" w:rsidRDefault="003E2663" w:rsidP="00B77114">
            <w:pPr>
              <w:pStyle w:val="ListParagraph"/>
              <w:ind w:left="35"/>
            </w:pPr>
          </w:p>
          <w:p w:rsidR="003E2663" w:rsidRPr="00B440B4" w:rsidRDefault="003E2663" w:rsidP="00B77114">
            <w:pPr>
              <w:rPr>
                <w:b/>
                <w:lang w:val="en-GB"/>
              </w:rPr>
            </w:pPr>
            <w:r w:rsidRPr="00B440B4">
              <w:rPr>
                <w:lang w:val="en-GB"/>
              </w:rPr>
              <w:t xml:space="preserve">a2) Legal basis advanced as </w:t>
            </w:r>
            <w:r w:rsidRPr="00B440B4">
              <w:rPr>
                <w:lang w:val="en-GB"/>
              </w:rPr>
              <w:lastRenderedPageBreak/>
              <w:t>per obligations under UN Convention on Elimination of all forms of Discrimination against Women (CEDAW)</w:t>
            </w:r>
          </w:p>
        </w:tc>
        <w:tc>
          <w:tcPr>
            <w:tcW w:w="2922" w:type="dxa"/>
          </w:tcPr>
          <w:p w:rsidR="003E2663" w:rsidRPr="00B440B4" w:rsidRDefault="003E2663" w:rsidP="00B77114">
            <w:pPr>
              <w:rPr>
                <w:lang w:val="en-GB"/>
              </w:rPr>
            </w:pPr>
            <w:r w:rsidRPr="00B440B4">
              <w:rPr>
                <w:lang w:val="en-GB"/>
              </w:rPr>
              <w:lastRenderedPageBreak/>
              <w:t>OSCE and Venice Commission reports</w:t>
            </w:r>
          </w:p>
          <w:p w:rsidR="003E2663" w:rsidRPr="00B440B4" w:rsidRDefault="003E2663" w:rsidP="00B77114">
            <w:pPr>
              <w:rPr>
                <w:lang w:val="en-GB"/>
              </w:rPr>
            </w:pPr>
            <w:r w:rsidRPr="00B440B4">
              <w:rPr>
                <w:lang w:val="en-GB"/>
              </w:rPr>
              <w:t>Parliament reports;</w:t>
            </w:r>
          </w:p>
          <w:p w:rsidR="003E2663" w:rsidRPr="00B440B4" w:rsidRDefault="003E2663" w:rsidP="00B77114">
            <w:pPr>
              <w:rPr>
                <w:lang w:val="en-GB"/>
              </w:rPr>
            </w:pPr>
            <w:r w:rsidRPr="00B440B4">
              <w:rPr>
                <w:lang w:val="en-GB"/>
              </w:rPr>
              <w:t>Annual Reports of the Ministry of Justice</w:t>
            </w:r>
          </w:p>
          <w:p w:rsidR="003E2663" w:rsidRPr="00B440B4" w:rsidRDefault="003E2663" w:rsidP="00B77114">
            <w:pPr>
              <w:rPr>
                <w:lang w:val="en-GB"/>
              </w:rPr>
            </w:pPr>
            <w:r w:rsidRPr="00B440B4">
              <w:rPr>
                <w:lang w:val="en-GB"/>
              </w:rPr>
              <w:t xml:space="preserve">Georgia's State Reporting </w:t>
            </w:r>
            <w:r w:rsidRPr="00B440B4">
              <w:rPr>
                <w:lang w:val="en-GB"/>
              </w:rPr>
              <w:lastRenderedPageBreak/>
              <w:t>to CEDAW</w:t>
            </w:r>
          </w:p>
          <w:p w:rsidR="003E2663" w:rsidRPr="00B440B4" w:rsidRDefault="003E2663" w:rsidP="00B77114">
            <w:pPr>
              <w:rPr>
                <w:b/>
                <w:lang w:val="en-GB"/>
              </w:rPr>
            </w:pPr>
            <w:r w:rsidRPr="00B440B4">
              <w:rPr>
                <w:lang w:val="en-GB"/>
              </w:rPr>
              <w:t>CEDAW recommendations to Georgia</w:t>
            </w:r>
          </w:p>
        </w:tc>
      </w:tr>
      <w:tr w:rsidR="003E2663" w:rsidRPr="00932D62" w:rsidTr="00DB4F06">
        <w:tc>
          <w:tcPr>
            <w:tcW w:w="3701" w:type="dxa"/>
          </w:tcPr>
          <w:p w:rsidR="003E2663" w:rsidRPr="00D4182C" w:rsidRDefault="00DB4F06" w:rsidP="00DB4F06">
            <w:pPr>
              <w:pStyle w:val="ListParagraph"/>
              <w:spacing w:after="120"/>
              <w:ind w:left="0"/>
              <w:rPr>
                <w:lang w:eastAsia="en-GB"/>
              </w:rPr>
            </w:pPr>
            <w:r>
              <w:rPr>
                <w:lang w:eastAsia="en-GB"/>
              </w:rPr>
              <w:lastRenderedPageBreak/>
              <w:t xml:space="preserve">b) </w:t>
            </w:r>
            <w:r w:rsidR="00EC07BE">
              <w:rPr>
                <w:lang w:eastAsia="en-GB"/>
              </w:rPr>
              <w:t xml:space="preserve">Greater democratic oversight of Government from relevant institutions, including Parliament. </w:t>
            </w:r>
          </w:p>
        </w:tc>
        <w:tc>
          <w:tcPr>
            <w:tcW w:w="3231" w:type="dxa"/>
          </w:tcPr>
          <w:p w:rsidR="003E2663" w:rsidRPr="00D4182C" w:rsidRDefault="003E2663" w:rsidP="00B77114">
            <w:pPr>
              <w:rPr>
                <w:lang w:val="en-GB"/>
              </w:rPr>
            </w:pPr>
            <w:r w:rsidRPr="00D4182C">
              <w:rPr>
                <w:lang w:val="en-GB"/>
              </w:rPr>
              <w:t xml:space="preserve">b1) improvement in World Governance indicator on voice and accountability </w:t>
            </w:r>
          </w:p>
          <w:p w:rsidR="003E2663" w:rsidRPr="00D4182C" w:rsidRDefault="003E2663" w:rsidP="00B77114">
            <w:pPr>
              <w:rPr>
                <w:lang w:val="en-GB"/>
              </w:rPr>
            </w:pPr>
          </w:p>
          <w:p w:rsidR="003E2663" w:rsidRPr="00D4182C" w:rsidRDefault="003E2663" w:rsidP="00B77114">
            <w:pPr>
              <w:rPr>
                <w:lang w:val="en-GB"/>
              </w:rPr>
            </w:pPr>
            <w:r w:rsidRPr="00D4182C">
              <w:rPr>
                <w:lang w:val="en-GB"/>
              </w:rPr>
              <w:t>b2) Number of Parliament enquiries on Government's policies/programme performance</w:t>
            </w:r>
          </w:p>
          <w:p w:rsidR="003E2663" w:rsidRPr="00D4182C" w:rsidRDefault="003E2663" w:rsidP="00B77114">
            <w:pPr>
              <w:rPr>
                <w:lang w:val="en-GB"/>
              </w:rPr>
            </w:pPr>
          </w:p>
          <w:p w:rsidR="003E2663" w:rsidRPr="00D4182C" w:rsidRDefault="003E2663" w:rsidP="00B77114">
            <w:pPr>
              <w:rPr>
                <w:lang w:val="en-GB"/>
              </w:rPr>
            </w:pPr>
            <w:r w:rsidRPr="00D4182C">
              <w:rPr>
                <w:lang w:val="en-GB"/>
              </w:rPr>
              <w:t>b3) Increase in Parliament’s input to Government policies</w:t>
            </w:r>
          </w:p>
          <w:p w:rsidR="003E2663" w:rsidRPr="00D4182C" w:rsidRDefault="003E2663" w:rsidP="00B77114">
            <w:pPr>
              <w:rPr>
                <w:lang w:val="en-GB"/>
              </w:rPr>
            </w:pPr>
          </w:p>
          <w:p w:rsidR="003E2663" w:rsidRPr="00D4182C" w:rsidRDefault="003E2663" w:rsidP="00B77114">
            <w:pPr>
              <w:rPr>
                <w:lang w:val="en-GB"/>
              </w:rPr>
            </w:pPr>
            <w:r w:rsidRPr="00D4182C">
              <w:rPr>
                <w:lang w:val="en-GB"/>
              </w:rPr>
              <w:t xml:space="preserve">b4)  Increase of Parliament's hearings and recommendations  on the implementation of  AA/DCFTA </w:t>
            </w:r>
          </w:p>
          <w:p w:rsidR="003E2663" w:rsidRPr="00D4182C" w:rsidRDefault="003E2663" w:rsidP="00B77114">
            <w:pPr>
              <w:rPr>
                <w:lang w:val="en-GB"/>
              </w:rPr>
            </w:pPr>
          </w:p>
          <w:p w:rsidR="003E2663" w:rsidRPr="00D4182C" w:rsidRDefault="003E2663" w:rsidP="00B77114">
            <w:pPr>
              <w:rPr>
                <w:lang w:val="en-GB"/>
              </w:rPr>
            </w:pPr>
            <w:r w:rsidRPr="00D4182C">
              <w:rPr>
                <w:lang w:val="en-GB"/>
              </w:rPr>
              <w:t>b5) Timely implementation of the Open Parliament AP 2017-2018 and subsequent ones</w:t>
            </w:r>
          </w:p>
        </w:tc>
        <w:tc>
          <w:tcPr>
            <w:tcW w:w="2922" w:type="dxa"/>
          </w:tcPr>
          <w:p w:rsidR="003E2663" w:rsidRPr="00D4182C" w:rsidRDefault="003E2663" w:rsidP="00B77114">
            <w:pPr>
              <w:rPr>
                <w:lang w:val="en-GB"/>
              </w:rPr>
            </w:pPr>
            <w:r w:rsidRPr="00D4182C">
              <w:rPr>
                <w:lang w:val="en-GB"/>
              </w:rPr>
              <w:t>b1) Worldwide Governance indicator – voice and accountability</w:t>
            </w:r>
          </w:p>
          <w:p w:rsidR="003E2663" w:rsidRPr="00D4182C" w:rsidRDefault="003E2663" w:rsidP="00B77114">
            <w:pPr>
              <w:rPr>
                <w:lang w:val="en-GB"/>
              </w:rPr>
            </w:pPr>
          </w:p>
          <w:p w:rsidR="003E2663" w:rsidRPr="00D4182C" w:rsidRDefault="003E2663" w:rsidP="00B77114">
            <w:pPr>
              <w:rPr>
                <w:lang w:val="en-GB"/>
              </w:rPr>
            </w:pPr>
            <w:r w:rsidRPr="00D4182C">
              <w:rPr>
                <w:lang w:val="en-GB"/>
              </w:rPr>
              <w:t xml:space="preserve">b2) Committee Reports, Assessment reports of d local and international organizations, including TI Georgia, OSCE/ODIHR, etc. </w:t>
            </w:r>
          </w:p>
          <w:p w:rsidR="003E2663" w:rsidRPr="00D4182C" w:rsidRDefault="003E2663" w:rsidP="00B77114">
            <w:pPr>
              <w:rPr>
                <w:lang w:val="en-GB"/>
              </w:rPr>
            </w:pPr>
          </w:p>
          <w:p w:rsidR="003E2663" w:rsidRPr="00D4182C" w:rsidRDefault="003E2663" w:rsidP="00B77114">
            <w:pPr>
              <w:rPr>
                <w:lang w:val="en-GB"/>
              </w:rPr>
            </w:pPr>
            <w:r w:rsidRPr="00D4182C">
              <w:rPr>
                <w:lang w:val="en-GB"/>
              </w:rPr>
              <w:t>b3) Committee action plans and reports;</w:t>
            </w:r>
          </w:p>
          <w:p w:rsidR="003E2663" w:rsidRPr="00D4182C" w:rsidRDefault="003E2663" w:rsidP="00B77114">
            <w:pPr>
              <w:rPr>
                <w:lang w:val="en-GB"/>
              </w:rPr>
            </w:pPr>
          </w:p>
          <w:p w:rsidR="003E2663" w:rsidRPr="00D4182C" w:rsidRDefault="003E2663" w:rsidP="00B77114">
            <w:pPr>
              <w:rPr>
                <w:lang w:val="en-GB"/>
              </w:rPr>
            </w:pPr>
            <w:r w:rsidRPr="00D4182C">
              <w:rPr>
                <w:lang w:val="en-GB"/>
              </w:rPr>
              <w:t>b4) Parliament’s  hearing reports - decisions of Parliamentary Committees  Reports of the State Minister’s Office  on European and  Euro -Atlantic Integration</w:t>
            </w:r>
          </w:p>
          <w:p w:rsidR="003E2663" w:rsidRPr="00D4182C" w:rsidRDefault="003E2663" w:rsidP="00B77114">
            <w:pPr>
              <w:rPr>
                <w:lang w:val="en-GB"/>
              </w:rPr>
            </w:pPr>
          </w:p>
          <w:p w:rsidR="003E2663" w:rsidRPr="00D4182C" w:rsidRDefault="003E2663" w:rsidP="00B77114">
            <w:pPr>
              <w:rPr>
                <w:lang w:val="en-GB"/>
              </w:rPr>
            </w:pPr>
            <w:r w:rsidRPr="00D4182C">
              <w:rPr>
                <w:lang w:val="en-GB"/>
              </w:rPr>
              <w:t>b5) Parliament report to Open Government Partnership, OGP independent monitoring mechanism, CSOs reports</w:t>
            </w:r>
          </w:p>
        </w:tc>
      </w:tr>
      <w:tr w:rsidR="003E2663" w:rsidRPr="00932D62" w:rsidTr="00DB4F06">
        <w:tc>
          <w:tcPr>
            <w:tcW w:w="3701" w:type="dxa"/>
          </w:tcPr>
          <w:p w:rsidR="003E2663" w:rsidRPr="00D4182C" w:rsidRDefault="00DB4F06" w:rsidP="00DB4F06">
            <w:pPr>
              <w:pStyle w:val="ListParagraph"/>
              <w:spacing w:after="120"/>
              <w:ind w:left="0"/>
              <w:rPr>
                <w:lang w:eastAsia="en-GB"/>
              </w:rPr>
            </w:pPr>
            <w:r>
              <w:rPr>
                <w:lang w:eastAsia="en-GB"/>
              </w:rPr>
              <w:t xml:space="preserve">c) </w:t>
            </w:r>
            <w:r w:rsidR="002B5CF9">
              <w:rPr>
                <w:lang w:eastAsia="en-GB"/>
              </w:rPr>
              <w:t xml:space="preserve">Adoption of better policies thanks to </w:t>
            </w:r>
            <w:r w:rsidR="004D0ADF">
              <w:rPr>
                <w:lang w:eastAsia="en-GB"/>
              </w:rPr>
              <w:t>s</w:t>
            </w:r>
            <w:r w:rsidR="003E2663" w:rsidRPr="00D4182C">
              <w:rPr>
                <w:lang w:eastAsia="en-GB"/>
              </w:rPr>
              <w:t xml:space="preserve">trengthened policy development processes and </w:t>
            </w:r>
            <w:r w:rsidR="004D0ADF">
              <w:rPr>
                <w:lang w:eastAsia="en-GB"/>
              </w:rPr>
              <w:t xml:space="preserve">better </w:t>
            </w:r>
            <w:r w:rsidR="003E2663" w:rsidRPr="00D4182C">
              <w:rPr>
                <w:lang w:eastAsia="en-GB"/>
              </w:rPr>
              <w:t>quality of policy (including law) making</w:t>
            </w:r>
            <w:r w:rsidR="004D0ADF">
              <w:rPr>
                <w:lang w:eastAsia="en-GB"/>
              </w:rPr>
              <w:t>.</w:t>
            </w:r>
            <w:r w:rsidR="003E2663" w:rsidRPr="00D4182C">
              <w:rPr>
                <w:lang w:eastAsia="en-GB"/>
              </w:rPr>
              <w:t xml:space="preserve"> </w:t>
            </w:r>
          </w:p>
        </w:tc>
        <w:tc>
          <w:tcPr>
            <w:tcW w:w="3231" w:type="dxa"/>
          </w:tcPr>
          <w:p w:rsidR="003E2663" w:rsidRPr="00D4182C" w:rsidRDefault="003E2663" w:rsidP="00B77114">
            <w:pPr>
              <w:autoSpaceDE w:val="0"/>
              <w:autoSpaceDN w:val="0"/>
              <w:adjustRightInd w:val="0"/>
              <w:rPr>
                <w:lang w:val="en-GB"/>
              </w:rPr>
            </w:pPr>
            <w:r w:rsidRPr="00D4182C">
              <w:rPr>
                <w:rFonts w:eastAsia="Calibri"/>
                <w:lang w:val="en-GB" w:eastAsia="en-US"/>
              </w:rPr>
              <w:t xml:space="preserve">c1) Improvement in </w:t>
            </w:r>
            <w:r w:rsidRPr="00D4182C">
              <w:rPr>
                <w:lang w:val="en-GB"/>
              </w:rPr>
              <w:t>Worldwide Governance indicator on regulatory quality</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 xml:space="preserve">c2) continued increase of evidence-based public national and local policies aligned with requirements of national policy planning strategy and EU principles (budgeting, data, participatory elaboration), </w:t>
            </w: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 xml:space="preserve">  </w:t>
            </w: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c3) development of tools for civic engagement (e-petition etc) and number of petitions and enquiries of citizens at local level</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 xml:space="preserve">c4) Increased number of policies adopted following participatory consultations </w:t>
            </w:r>
            <w:r w:rsidRPr="00D4182C">
              <w:rPr>
                <w:rFonts w:eastAsia="Calibri"/>
                <w:lang w:val="en-GB" w:eastAsia="en-US"/>
              </w:rPr>
              <w:lastRenderedPageBreak/>
              <w:t xml:space="preserve">with involvement of Civil society </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rPr>
                <w:rFonts w:eastAsia="Calibri"/>
                <w:lang w:val="en-GB" w:eastAsia="en-US"/>
              </w:rPr>
            </w:pPr>
            <w:r w:rsidRPr="00D4182C">
              <w:rPr>
                <w:lang w:val="en-GB"/>
              </w:rPr>
              <w:t>c</w:t>
            </w:r>
            <w:r w:rsidR="00283B8F">
              <w:rPr>
                <w:lang w:val="en-GB"/>
              </w:rPr>
              <w:t>5</w:t>
            </w:r>
            <w:r w:rsidRPr="00D4182C">
              <w:rPr>
                <w:lang w:val="en-GB"/>
              </w:rPr>
              <w:t xml:space="preserve">) </w:t>
            </w:r>
            <w:r w:rsidRPr="00D4182C">
              <w:rPr>
                <w:rFonts w:eastAsia="Calibri"/>
                <w:lang w:val="en-GB" w:eastAsia="en-US"/>
              </w:rPr>
              <w:t>Increased ratio of national policies aligned with national gender and civic integration action plans</w:t>
            </w:r>
          </w:p>
          <w:p w:rsidR="003E2663" w:rsidRPr="00D4182C" w:rsidRDefault="003E2663" w:rsidP="00B440B4">
            <w:pPr>
              <w:rPr>
                <w:lang w:val="en-GB"/>
              </w:rPr>
            </w:pPr>
            <w:r w:rsidRPr="00D4182C">
              <w:rPr>
                <w:lang w:val="en-GB"/>
              </w:rPr>
              <w:t>c</w:t>
            </w:r>
            <w:r w:rsidR="00283B8F">
              <w:rPr>
                <w:lang w:val="en-GB"/>
              </w:rPr>
              <w:t>6</w:t>
            </w:r>
            <w:r w:rsidRPr="00D4182C">
              <w:rPr>
                <w:lang w:val="en-GB"/>
              </w:rPr>
              <w:t>) Increased use of gender responsive budgeting in all areas of public policy</w:t>
            </w:r>
          </w:p>
        </w:tc>
        <w:tc>
          <w:tcPr>
            <w:tcW w:w="2922" w:type="dxa"/>
          </w:tcPr>
          <w:p w:rsidR="003E2663" w:rsidRPr="00D4182C" w:rsidRDefault="003E2663" w:rsidP="00B77114">
            <w:pPr>
              <w:autoSpaceDE w:val="0"/>
              <w:autoSpaceDN w:val="0"/>
              <w:adjustRightInd w:val="0"/>
              <w:rPr>
                <w:lang w:val="en-GB"/>
              </w:rPr>
            </w:pPr>
            <w:r w:rsidRPr="00D4182C">
              <w:rPr>
                <w:rFonts w:eastAsia="Calibri"/>
                <w:lang w:val="en-GB" w:eastAsia="en-US"/>
              </w:rPr>
              <w:lastRenderedPageBreak/>
              <w:t xml:space="preserve">c1) </w:t>
            </w:r>
            <w:r w:rsidRPr="00D4182C">
              <w:rPr>
                <w:lang w:val="en-GB"/>
              </w:rPr>
              <w:t>d4) improvement in Worldwide Governance indicator on regulatory quality</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c2)SIGMA baseline assessment on policy development and subsequent reports, PAR Council reports;</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c3) available tools for civic engagement , CSOs reports</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autoSpaceDE w:val="0"/>
              <w:autoSpaceDN w:val="0"/>
              <w:adjustRightInd w:val="0"/>
              <w:rPr>
                <w:rFonts w:eastAsia="Calibri"/>
                <w:lang w:val="en-GB" w:eastAsia="en-US"/>
              </w:rPr>
            </w:pPr>
            <w:r w:rsidRPr="00D4182C">
              <w:rPr>
                <w:rFonts w:eastAsia="Calibri"/>
                <w:lang w:val="en-GB" w:eastAsia="en-US"/>
              </w:rPr>
              <w:t>c4) Parliamentary Committee Reports, Reports of CSOs</w:t>
            </w:r>
          </w:p>
          <w:p w:rsidR="003E2663" w:rsidRPr="00D4182C" w:rsidRDefault="003E2663" w:rsidP="00B77114">
            <w:pPr>
              <w:autoSpaceDE w:val="0"/>
              <w:autoSpaceDN w:val="0"/>
              <w:adjustRightInd w:val="0"/>
              <w:rPr>
                <w:rFonts w:eastAsia="Calibri"/>
                <w:lang w:val="en-GB" w:eastAsia="en-US"/>
              </w:rPr>
            </w:pPr>
          </w:p>
          <w:p w:rsidR="003E2663" w:rsidRPr="00D4182C" w:rsidRDefault="003E2663" w:rsidP="00B77114">
            <w:pPr>
              <w:rPr>
                <w:lang w:val="en-GB"/>
              </w:rPr>
            </w:pPr>
            <w:r w:rsidRPr="00D4182C">
              <w:rPr>
                <w:rFonts w:eastAsia="Calibri"/>
                <w:lang w:val="en-GB" w:eastAsia="en-US"/>
              </w:rPr>
              <w:t>c5) Annual State Budgets of Georgia with</w:t>
            </w:r>
          </w:p>
        </w:tc>
      </w:tr>
      <w:tr w:rsidR="00283B8F" w:rsidRPr="00932D62" w:rsidTr="00DB4F06">
        <w:tc>
          <w:tcPr>
            <w:tcW w:w="3701" w:type="dxa"/>
          </w:tcPr>
          <w:p w:rsidR="00283B8F" w:rsidRPr="00D4182C" w:rsidRDefault="00DB4F06" w:rsidP="00DB4F06">
            <w:pPr>
              <w:pStyle w:val="ListParagraph"/>
              <w:spacing w:after="120"/>
              <w:ind w:left="0"/>
              <w:rPr>
                <w:lang w:eastAsia="en-GB"/>
              </w:rPr>
            </w:pPr>
            <w:r>
              <w:rPr>
                <w:lang w:eastAsia="en-GB"/>
              </w:rPr>
              <w:lastRenderedPageBreak/>
              <w:t xml:space="preserve">d) </w:t>
            </w:r>
            <w:r w:rsidR="00283B8F">
              <w:rPr>
                <w:lang w:eastAsia="en-GB"/>
              </w:rPr>
              <w:t>Broader access to us</w:t>
            </w:r>
            <w:r w:rsidR="00283B8F" w:rsidRPr="00D4182C">
              <w:rPr>
                <w:lang w:eastAsia="en-GB"/>
              </w:rPr>
              <w:t>er-centric</w:t>
            </w:r>
            <w:r w:rsidR="00283B8F">
              <w:rPr>
                <w:lang w:eastAsia="en-GB"/>
              </w:rPr>
              <w:t xml:space="preserve">, qualitative and </w:t>
            </w:r>
            <w:r w:rsidR="00283B8F" w:rsidRPr="00D4182C">
              <w:rPr>
                <w:lang w:eastAsia="en-GB"/>
              </w:rPr>
              <w:t>accountable public services</w:t>
            </w:r>
            <w:r w:rsidR="00283B8F">
              <w:rPr>
                <w:lang w:eastAsia="en-GB"/>
              </w:rPr>
              <w:t>, thanks to efficient quality delivery control systems and m</w:t>
            </w:r>
            <w:r w:rsidR="00283B8F" w:rsidRPr="00D4182C">
              <w:rPr>
                <w:lang w:eastAsia="en-GB"/>
              </w:rPr>
              <w:t>erit-basis, professionalism and de-politicisation, of the civil service</w:t>
            </w:r>
          </w:p>
        </w:tc>
        <w:tc>
          <w:tcPr>
            <w:tcW w:w="3231" w:type="dxa"/>
          </w:tcPr>
          <w:p w:rsidR="00283B8F" w:rsidRPr="00D4182C" w:rsidRDefault="00283B8F" w:rsidP="00BD312C">
            <w:pPr>
              <w:autoSpaceDE w:val="0"/>
              <w:autoSpaceDN w:val="0"/>
              <w:adjustRightInd w:val="0"/>
              <w:rPr>
                <w:lang w:val="en-GB"/>
              </w:rPr>
            </w:pPr>
            <w:r w:rsidRPr="00D4182C">
              <w:rPr>
                <w:lang w:val="en-GB"/>
              </w:rPr>
              <w:t>d1) adoption and effective implementation of the national public service delivery strategy integrating quality assurance mechanism</w:t>
            </w:r>
          </w:p>
          <w:p w:rsidR="00283B8F" w:rsidRPr="00D4182C" w:rsidRDefault="00283B8F" w:rsidP="00BD312C">
            <w:pPr>
              <w:autoSpaceDE w:val="0"/>
              <w:autoSpaceDN w:val="0"/>
              <w:adjustRightInd w:val="0"/>
              <w:rPr>
                <w:lang w:val="en-GB"/>
              </w:rPr>
            </w:pPr>
          </w:p>
          <w:p w:rsidR="00283B8F" w:rsidRPr="000E4EEA" w:rsidRDefault="00283B8F" w:rsidP="00BD312C">
            <w:pPr>
              <w:autoSpaceDE w:val="0"/>
              <w:autoSpaceDN w:val="0"/>
              <w:adjustRightInd w:val="0"/>
              <w:rPr>
                <w:rFonts w:eastAsia="Calibri"/>
                <w:lang w:val="en-US"/>
              </w:rPr>
            </w:pPr>
            <w:r w:rsidRPr="000E4EEA">
              <w:rPr>
                <w:rFonts w:eastAsia="Calibri"/>
                <w:lang w:val="en-US"/>
              </w:rPr>
              <w:t xml:space="preserve">d2) increase of accessibility to public services by citizens and businesses (development of community centres, increase of services provided by community centres, increase of services through national and local e-portals eg.mygov.ge, mytbilisi.ge…) </w:t>
            </w:r>
          </w:p>
          <w:p w:rsidR="00283B8F" w:rsidRPr="000E4EEA" w:rsidRDefault="00283B8F" w:rsidP="00BD312C">
            <w:pPr>
              <w:autoSpaceDE w:val="0"/>
              <w:autoSpaceDN w:val="0"/>
              <w:adjustRightInd w:val="0"/>
              <w:rPr>
                <w:rFonts w:eastAsia="Calibri"/>
                <w:lang w:val="en-US"/>
              </w:rPr>
            </w:pPr>
          </w:p>
          <w:p w:rsidR="00283B8F" w:rsidRPr="000E4EEA" w:rsidRDefault="00283B8F" w:rsidP="00BD312C">
            <w:pPr>
              <w:autoSpaceDE w:val="0"/>
              <w:autoSpaceDN w:val="0"/>
              <w:adjustRightInd w:val="0"/>
              <w:rPr>
                <w:rFonts w:eastAsia="Calibri"/>
                <w:lang w:val="en-US"/>
              </w:rPr>
            </w:pPr>
            <w:r w:rsidRPr="000E4EEA">
              <w:rPr>
                <w:rFonts w:eastAsia="Calibri"/>
                <w:lang w:val="en-US"/>
              </w:rPr>
              <w:t xml:space="preserve">d3) improvement in the responsiveness of the administration towards citizens and businesses (answer to enquiries), </w:t>
            </w:r>
          </w:p>
          <w:p w:rsidR="00283B8F" w:rsidRPr="000E4EEA" w:rsidRDefault="00283B8F" w:rsidP="00BD312C">
            <w:pPr>
              <w:autoSpaceDE w:val="0"/>
              <w:autoSpaceDN w:val="0"/>
              <w:adjustRightInd w:val="0"/>
              <w:rPr>
                <w:rFonts w:eastAsia="Calibri"/>
                <w:lang w:val="en-US"/>
              </w:rPr>
            </w:pPr>
          </w:p>
          <w:p w:rsidR="00283B8F" w:rsidRPr="00D4182C" w:rsidRDefault="00283B8F" w:rsidP="00B440B4">
            <w:pPr>
              <w:jc w:val="both"/>
              <w:rPr>
                <w:lang w:val="en-GB"/>
              </w:rPr>
            </w:pPr>
            <w:r w:rsidRPr="00D4182C">
              <w:rPr>
                <w:lang w:val="en-GB"/>
              </w:rPr>
              <w:t>d4) improvement in Worldwide Governance indicator on Government effectiveness</w:t>
            </w:r>
          </w:p>
          <w:p w:rsidR="00283B8F" w:rsidRPr="000E4EEA" w:rsidRDefault="00283B8F" w:rsidP="00BD312C">
            <w:pPr>
              <w:jc w:val="both"/>
              <w:rPr>
                <w:lang w:val="en-US"/>
              </w:rPr>
            </w:pPr>
            <w:r w:rsidRPr="000E4EEA">
              <w:rPr>
                <w:lang w:val="en-US"/>
              </w:rPr>
              <w:t xml:space="preserve"> d5) effective implementation of the new decrees on civil service by central and local public administrations, consistent with EU Directive on equal opportunities.</w:t>
            </w:r>
          </w:p>
          <w:p w:rsidR="00283B8F" w:rsidRPr="000E4EEA" w:rsidRDefault="00283B8F" w:rsidP="00BD312C">
            <w:pPr>
              <w:spacing w:before="120" w:after="120"/>
              <w:jc w:val="both"/>
              <w:rPr>
                <w:lang w:val="en-US"/>
              </w:rPr>
            </w:pPr>
            <w:r w:rsidRPr="000E4EEA">
              <w:rPr>
                <w:lang w:val="en-US"/>
              </w:rPr>
              <w:t>d6) fair and transparent implementation of HRM new rules in national, regional and local public institutions.</w:t>
            </w:r>
          </w:p>
          <w:p w:rsidR="00283B8F" w:rsidRPr="000E4EEA" w:rsidRDefault="00283B8F" w:rsidP="00BD312C">
            <w:pPr>
              <w:spacing w:before="120" w:after="120"/>
              <w:jc w:val="both"/>
              <w:rPr>
                <w:lang w:val="en-US"/>
              </w:rPr>
            </w:pPr>
            <w:r w:rsidRPr="000E4EEA">
              <w:rPr>
                <w:lang w:val="en-US"/>
              </w:rPr>
              <w:t xml:space="preserve">d7) implementation of the general training system in the civil servants, at central and local levels, in line with the national Gender action plan </w:t>
            </w:r>
            <w:r w:rsidRPr="000E4EEA">
              <w:rPr>
                <w:lang w:val="en-US"/>
              </w:rPr>
              <w:lastRenderedPageBreak/>
              <w:t xml:space="preserve">and EU Directive on equal opportunities </w:t>
            </w:r>
            <w:r w:rsidRPr="00D4182C">
              <w:rPr>
                <w:lang w:val="en-US"/>
              </w:rPr>
              <w:t xml:space="preserve"> </w:t>
            </w:r>
          </w:p>
          <w:p w:rsidR="00283B8F" w:rsidRPr="000E4EEA" w:rsidDel="00D95C83" w:rsidRDefault="00283B8F" w:rsidP="00B440B4">
            <w:pPr>
              <w:rPr>
                <w:lang w:val="en-US"/>
              </w:rPr>
            </w:pPr>
            <w:r w:rsidRPr="000E4EEA">
              <w:rPr>
                <w:lang w:val="en-US"/>
              </w:rPr>
              <w:t>d8) progressive promotion of, career-development towards high ranking/decision making positions and ranking in the public sector</w:t>
            </w:r>
          </w:p>
        </w:tc>
        <w:tc>
          <w:tcPr>
            <w:tcW w:w="2922" w:type="dxa"/>
          </w:tcPr>
          <w:p w:rsidR="00283B8F" w:rsidRPr="00D4182C" w:rsidRDefault="00283B8F" w:rsidP="00BD312C">
            <w:pPr>
              <w:rPr>
                <w:lang w:val="en-GB"/>
              </w:rPr>
            </w:pPr>
            <w:r w:rsidRPr="00D4182C">
              <w:rPr>
                <w:lang w:val="en-GB"/>
              </w:rPr>
              <w:lastRenderedPageBreak/>
              <w:t xml:space="preserve">d1) PAR Council report, PAR roadmap reviews </w:t>
            </w:r>
          </w:p>
          <w:p w:rsidR="00283B8F" w:rsidRPr="00D4182C" w:rsidRDefault="00283B8F" w:rsidP="00BD312C">
            <w:pPr>
              <w:rPr>
                <w:lang w:val="en-GB"/>
              </w:rPr>
            </w:pPr>
          </w:p>
          <w:p w:rsidR="00283B8F" w:rsidRPr="00D4182C" w:rsidRDefault="00283B8F" w:rsidP="00BD312C">
            <w:pPr>
              <w:rPr>
                <w:lang w:val="en-GB"/>
              </w:rPr>
            </w:pPr>
            <w:r w:rsidRPr="00D4182C">
              <w:rPr>
                <w:lang w:val="en-GB"/>
              </w:rPr>
              <w:t>d2)Line ministries and municipalities  reports Ministry of Justice reports</w:t>
            </w:r>
          </w:p>
          <w:p w:rsidR="00283B8F" w:rsidRPr="00D4182C" w:rsidRDefault="00283B8F" w:rsidP="00BD312C">
            <w:pPr>
              <w:rPr>
                <w:lang w:val="en-GB"/>
              </w:rPr>
            </w:pPr>
          </w:p>
          <w:p w:rsidR="00283B8F" w:rsidRPr="00D4182C" w:rsidRDefault="00283B8F" w:rsidP="00BD312C">
            <w:pPr>
              <w:rPr>
                <w:lang w:val="en-GB"/>
              </w:rPr>
            </w:pPr>
            <w:r w:rsidRPr="00D4182C">
              <w:rPr>
                <w:lang w:val="en-GB"/>
              </w:rPr>
              <w:t>d3)assessments of Open Governance Strategy and Action Plan, CSOs/Business associations reports</w:t>
            </w:r>
          </w:p>
          <w:p w:rsidR="00283B8F" w:rsidRPr="00D4182C" w:rsidRDefault="00283B8F" w:rsidP="00BD312C">
            <w:pPr>
              <w:rPr>
                <w:lang w:val="en-GB"/>
              </w:rPr>
            </w:pPr>
          </w:p>
          <w:p w:rsidR="00283B8F" w:rsidRPr="00D4182C" w:rsidRDefault="00283B8F" w:rsidP="00BD312C">
            <w:pPr>
              <w:autoSpaceDE w:val="0"/>
              <w:autoSpaceDN w:val="0"/>
              <w:adjustRightInd w:val="0"/>
              <w:rPr>
                <w:lang w:val="en-GB"/>
              </w:rPr>
            </w:pPr>
            <w:r w:rsidRPr="00D4182C">
              <w:rPr>
                <w:lang w:val="en-GB"/>
              </w:rPr>
              <w:t>d4)Worldwide Governance indicator – Government effectiveness</w:t>
            </w:r>
          </w:p>
          <w:p w:rsidR="00283B8F" w:rsidRPr="00D4182C" w:rsidRDefault="00283B8F" w:rsidP="00DB4F06">
            <w:pPr>
              <w:spacing w:line="276" w:lineRule="auto"/>
              <w:rPr>
                <w:lang w:val="en-GB"/>
              </w:rPr>
            </w:pPr>
          </w:p>
        </w:tc>
      </w:tr>
      <w:tr w:rsidR="00283B8F" w:rsidRPr="00932D62" w:rsidTr="00DB4F06">
        <w:tc>
          <w:tcPr>
            <w:tcW w:w="3701" w:type="dxa"/>
          </w:tcPr>
          <w:p w:rsidR="00283B8F" w:rsidRPr="00D4182C" w:rsidRDefault="00DB4F06" w:rsidP="00DB4F06">
            <w:pPr>
              <w:pStyle w:val="ListParagraph"/>
              <w:spacing w:after="120"/>
              <w:ind w:left="0"/>
              <w:rPr>
                <w:lang w:eastAsia="en-GB"/>
              </w:rPr>
            </w:pPr>
            <w:r>
              <w:rPr>
                <w:lang w:eastAsia="en-GB"/>
              </w:rPr>
              <w:lastRenderedPageBreak/>
              <w:t xml:space="preserve">e) </w:t>
            </w:r>
            <w:r w:rsidR="00283B8F" w:rsidRPr="00D4182C">
              <w:rPr>
                <w:lang w:eastAsia="en-GB"/>
              </w:rPr>
              <w:t>Strengthened institutional, planning, financial and technical capacities of municipalities, clear division of responsibilities between local and central levels,</w:t>
            </w:r>
          </w:p>
          <w:p w:rsidR="00283B8F" w:rsidRPr="00D4182C" w:rsidRDefault="00283B8F" w:rsidP="0056593B">
            <w:pPr>
              <w:pStyle w:val="ListParagraph"/>
              <w:spacing w:after="120"/>
              <w:ind w:left="0"/>
              <w:rPr>
                <w:lang w:eastAsia="en-GB"/>
              </w:rPr>
            </w:pPr>
          </w:p>
        </w:tc>
        <w:tc>
          <w:tcPr>
            <w:tcW w:w="3231" w:type="dxa"/>
          </w:tcPr>
          <w:p w:rsidR="00283B8F" w:rsidRPr="000E4EEA" w:rsidRDefault="00283B8F" w:rsidP="00B77114">
            <w:pPr>
              <w:spacing w:line="276" w:lineRule="auto"/>
              <w:rPr>
                <w:lang w:val="en-US"/>
              </w:rPr>
            </w:pPr>
            <w:r w:rsidRPr="000E4EEA">
              <w:rPr>
                <w:lang w:val="en-US"/>
              </w:rPr>
              <w:t xml:space="preserve">e1) Number of municipal economic/development strategies aligned to local needs, local budgets </w:t>
            </w:r>
          </w:p>
          <w:p w:rsidR="00283B8F" w:rsidRPr="000E4EEA" w:rsidRDefault="00283B8F" w:rsidP="00B77114">
            <w:pPr>
              <w:spacing w:line="276" w:lineRule="auto"/>
              <w:rPr>
                <w:lang w:val="en-US"/>
              </w:rPr>
            </w:pPr>
            <w:r w:rsidRPr="000E4EEA">
              <w:rPr>
                <w:lang w:val="en-US"/>
              </w:rPr>
              <w:t xml:space="preserve">e 2) </w:t>
            </w:r>
            <w:r w:rsidRPr="00D4182C">
              <w:rPr>
                <w:lang w:val="en-GB"/>
              </w:rPr>
              <w:t> </w:t>
            </w:r>
            <w:r w:rsidRPr="000E4EEA">
              <w:rPr>
                <w:lang w:val="en-US"/>
              </w:rPr>
              <w:t>Number</w:t>
            </w:r>
            <w:r w:rsidRPr="00D4182C">
              <w:rPr>
                <w:lang w:val="en-GB"/>
              </w:rPr>
              <w:t xml:space="preserve"> of </w:t>
            </w:r>
            <w:r w:rsidRPr="000E4EEA">
              <w:rPr>
                <w:lang w:val="en-US"/>
              </w:rPr>
              <w:t>legal acts initiated/amended to harmonize LSG legislation</w:t>
            </w:r>
          </w:p>
          <w:p w:rsidR="00283B8F" w:rsidRPr="00D4182C" w:rsidRDefault="00283B8F" w:rsidP="00236463">
            <w:pPr>
              <w:rPr>
                <w:lang w:val="en-GB"/>
              </w:rPr>
            </w:pPr>
            <w:r>
              <w:rPr>
                <w:lang w:val="en-GB"/>
              </w:rPr>
              <w:t>e</w:t>
            </w:r>
            <w:r w:rsidRPr="00D4182C">
              <w:rPr>
                <w:lang w:val="en-GB"/>
              </w:rPr>
              <w:t>3) </w:t>
            </w:r>
            <w:r w:rsidRPr="000E4EEA">
              <w:rPr>
                <w:lang w:val="en-US"/>
              </w:rPr>
              <w:t>upgraded system of equalization of financial resources that take into account</w:t>
            </w:r>
            <w:r w:rsidRPr="00D4182C">
              <w:rPr>
                <w:lang w:val="en-GB"/>
              </w:rPr>
              <w:t xml:space="preserve"> population </w:t>
            </w:r>
            <w:r w:rsidRPr="000E4EEA">
              <w:rPr>
                <w:lang w:val="en-US"/>
              </w:rPr>
              <w:t xml:space="preserve">dynamics </w:t>
            </w:r>
            <w:r w:rsidRPr="00D4182C">
              <w:rPr>
                <w:lang w:val="en-GB"/>
              </w:rPr>
              <w:t xml:space="preserve">(trends and projections) and local data to </w:t>
            </w:r>
            <w:r w:rsidRPr="000E4EEA">
              <w:rPr>
                <w:lang w:val="en-US"/>
              </w:rPr>
              <w:t>address development needs</w:t>
            </w:r>
            <w:r w:rsidRPr="00D4182C">
              <w:rPr>
                <w:lang w:val="en-GB"/>
              </w:rPr>
              <w:t xml:space="preserve"> of the </w:t>
            </w:r>
            <w:r w:rsidRPr="000E4EEA">
              <w:rPr>
                <w:lang w:val="en-US"/>
              </w:rPr>
              <w:t>most vulnerable</w:t>
            </w:r>
            <w:r w:rsidRPr="00D4182C">
              <w:rPr>
                <w:lang w:val="en-GB"/>
              </w:rPr>
              <w:t xml:space="preserve"> groups (i.e. </w:t>
            </w:r>
            <w:r w:rsidRPr="000E4EEA">
              <w:rPr>
                <w:lang w:val="en-US"/>
              </w:rPr>
              <w:t>marginalized</w:t>
            </w:r>
            <w:r w:rsidRPr="00D4182C">
              <w:rPr>
                <w:lang w:val="en-GB"/>
              </w:rPr>
              <w:t xml:space="preserve"> adolescents, </w:t>
            </w:r>
            <w:r w:rsidRPr="000E4EEA">
              <w:rPr>
                <w:lang w:val="en-US"/>
              </w:rPr>
              <w:t>youth</w:t>
            </w:r>
            <w:r w:rsidRPr="00D4182C">
              <w:rPr>
                <w:lang w:val="en-GB"/>
              </w:rPr>
              <w:t xml:space="preserve">, </w:t>
            </w:r>
            <w:r w:rsidRPr="000E4EEA">
              <w:rPr>
                <w:lang w:val="en-US"/>
              </w:rPr>
              <w:t>IDPs</w:t>
            </w:r>
            <w:r w:rsidRPr="00D4182C">
              <w:rPr>
                <w:lang w:val="en-GB"/>
              </w:rPr>
              <w:t xml:space="preserve">, </w:t>
            </w:r>
            <w:r w:rsidRPr="000E4EEA">
              <w:rPr>
                <w:lang w:val="en-US"/>
              </w:rPr>
              <w:t>families under poverty</w:t>
            </w:r>
          </w:p>
        </w:tc>
        <w:tc>
          <w:tcPr>
            <w:tcW w:w="2922" w:type="dxa"/>
          </w:tcPr>
          <w:p w:rsidR="00283B8F" w:rsidRPr="00D4182C" w:rsidRDefault="00283B8F" w:rsidP="00DB4F06">
            <w:pPr>
              <w:rPr>
                <w:lang w:val="en-GB"/>
              </w:rPr>
            </w:pPr>
            <w:r w:rsidRPr="00D4182C">
              <w:rPr>
                <w:lang w:val="en-GB"/>
              </w:rPr>
              <w:t>PAR council reports</w:t>
            </w:r>
          </w:p>
          <w:p w:rsidR="00283B8F" w:rsidRPr="00D4182C" w:rsidRDefault="00283B8F" w:rsidP="00BD312C">
            <w:pPr>
              <w:rPr>
                <w:lang w:val="en-GB"/>
              </w:rPr>
            </w:pPr>
          </w:p>
          <w:p w:rsidR="00283B8F" w:rsidRPr="00D4182C" w:rsidRDefault="00283B8F" w:rsidP="00BD312C">
            <w:pPr>
              <w:rPr>
                <w:lang w:val="en-GB"/>
              </w:rPr>
            </w:pPr>
            <w:r w:rsidRPr="00D4182C">
              <w:rPr>
                <w:lang w:val="en-GB"/>
              </w:rPr>
              <w:t>OECD Anticorruption network report</w:t>
            </w:r>
          </w:p>
          <w:p w:rsidR="00283B8F" w:rsidRPr="00D4182C" w:rsidRDefault="00283B8F" w:rsidP="00BD312C">
            <w:pPr>
              <w:rPr>
                <w:lang w:val="en-GB"/>
              </w:rPr>
            </w:pPr>
          </w:p>
          <w:p w:rsidR="00283B8F" w:rsidRPr="00D4182C" w:rsidRDefault="00283B8F" w:rsidP="00DB4F06">
            <w:pPr>
              <w:rPr>
                <w:lang w:val="en-GB"/>
              </w:rPr>
            </w:pPr>
            <w:r w:rsidRPr="00D4182C">
              <w:rPr>
                <w:lang w:val="en-GB"/>
              </w:rPr>
              <w:t>Sigma reports</w:t>
            </w:r>
          </w:p>
          <w:p w:rsidR="00283B8F" w:rsidRPr="00D4182C" w:rsidRDefault="00283B8F" w:rsidP="00BD312C">
            <w:pPr>
              <w:rPr>
                <w:lang w:val="en-GB"/>
              </w:rPr>
            </w:pPr>
          </w:p>
          <w:p w:rsidR="00283B8F" w:rsidRPr="00D4182C" w:rsidRDefault="00283B8F" w:rsidP="00BD312C">
            <w:pPr>
              <w:rPr>
                <w:lang w:val="en-GB"/>
              </w:rPr>
            </w:pPr>
            <w:r w:rsidRPr="00D4182C">
              <w:rPr>
                <w:lang w:val="en-GB"/>
              </w:rPr>
              <w:t>Civil Service Bureau  reports</w:t>
            </w:r>
          </w:p>
          <w:p w:rsidR="00283B8F" w:rsidRPr="00D4182C" w:rsidRDefault="00283B8F" w:rsidP="00BD312C">
            <w:pPr>
              <w:rPr>
                <w:lang w:val="en-GB"/>
              </w:rPr>
            </w:pPr>
          </w:p>
          <w:p w:rsidR="00283B8F" w:rsidRPr="00D4182C" w:rsidRDefault="00283B8F" w:rsidP="00BD312C">
            <w:pPr>
              <w:rPr>
                <w:lang w:val="en-GB"/>
              </w:rPr>
            </w:pPr>
            <w:r w:rsidRPr="00D4182C">
              <w:rPr>
                <w:lang w:val="en-GB"/>
              </w:rPr>
              <w:t xml:space="preserve">WGI- </w:t>
            </w:r>
            <w:r w:rsidRPr="00DB4F06">
              <w:rPr>
                <w:lang w:val="en-GB"/>
              </w:rPr>
              <w:t xml:space="preserve">Government </w:t>
            </w:r>
            <w:r w:rsidRPr="00D4182C">
              <w:rPr>
                <w:lang w:val="en-GB"/>
              </w:rPr>
              <w:t>effectiveness</w:t>
            </w:r>
          </w:p>
          <w:p w:rsidR="00283B8F" w:rsidRPr="00D4182C" w:rsidRDefault="00283B8F" w:rsidP="00BD312C">
            <w:pPr>
              <w:rPr>
                <w:lang w:val="en-GB"/>
              </w:rPr>
            </w:pPr>
          </w:p>
          <w:p w:rsidR="00283B8F" w:rsidRPr="00D4182C" w:rsidRDefault="00283B8F" w:rsidP="00B77114">
            <w:pPr>
              <w:rPr>
                <w:lang w:val="en-GB"/>
              </w:rPr>
            </w:pPr>
          </w:p>
        </w:tc>
      </w:tr>
      <w:tr w:rsidR="00283B8F" w:rsidRPr="00D4182C" w:rsidTr="00DB4F06">
        <w:tc>
          <w:tcPr>
            <w:tcW w:w="3701" w:type="dxa"/>
          </w:tcPr>
          <w:p w:rsidR="00283B8F" w:rsidRPr="00D4182C" w:rsidRDefault="00DB4F06" w:rsidP="00DB4F06">
            <w:pPr>
              <w:pStyle w:val="ListParagraph"/>
              <w:spacing w:after="120"/>
              <w:ind w:left="0"/>
              <w:rPr>
                <w:lang w:eastAsia="en-GB"/>
              </w:rPr>
            </w:pPr>
            <w:r>
              <w:rPr>
                <w:lang w:eastAsia="en-GB"/>
              </w:rPr>
              <w:t xml:space="preserve">f) </w:t>
            </w:r>
            <w:r w:rsidR="00283B8F" w:rsidRPr="00D4182C">
              <w:rPr>
                <w:lang w:eastAsia="en-GB"/>
              </w:rPr>
              <w:t>enhanced management of the fiscal burden related to increased developmental needs (social spending, public investment);</w:t>
            </w:r>
            <w:r w:rsidR="00283B8F" w:rsidRPr="00D4182C">
              <w:rPr>
                <w:bCs/>
                <w:lang w:eastAsia="en-GB"/>
              </w:rPr>
              <w:t xml:space="preserve"> Improved medium-term policy and expenditure frameworks and annual programme budgeting; improved effectiveness of revenue administration, deeper follow-up of recommendations from State Audit Office (SAO) and Parliament by auditees,</w:t>
            </w:r>
          </w:p>
        </w:tc>
        <w:tc>
          <w:tcPr>
            <w:tcW w:w="3231" w:type="dxa"/>
          </w:tcPr>
          <w:p w:rsidR="00283B8F" w:rsidRPr="00D4182C" w:rsidRDefault="00283B8F" w:rsidP="00B77114">
            <w:pPr>
              <w:spacing w:line="276" w:lineRule="auto"/>
              <w:rPr>
                <w:lang w:val="en-GB"/>
              </w:rPr>
            </w:pPr>
            <w:r>
              <w:rPr>
                <w:lang w:val="en-GB" w:eastAsia="en-US"/>
              </w:rPr>
              <w:t>f</w:t>
            </w:r>
            <w:r w:rsidRPr="00D4182C">
              <w:rPr>
                <w:lang w:val="en-GB" w:eastAsia="en-US"/>
              </w:rPr>
              <w:t>1) National PEFA scores, Open Budget Index</w:t>
            </w:r>
            <w:r w:rsidRPr="00D4182C">
              <w:rPr>
                <w:lang w:val="en-GB"/>
              </w:rPr>
              <w:t xml:space="preserve"> scores</w:t>
            </w:r>
          </w:p>
          <w:p w:rsidR="00283B8F" w:rsidRPr="00D4182C" w:rsidRDefault="00283B8F" w:rsidP="00B77114">
            <w:pPr>
              <w:spacing w:line="276" w:lineRule="auto"/>
              <w:rPr>
                <w:lang w:val="en-GB" w:eastAsia="en-GB"/>
              </w:rPr>
            </w:pPr>
            <w:r>
              <w:rPr>
                <w:lang w:val="en-GB"/>
              </w:rPr>
              <w:t>f</w:t>
            </w:r>
            <w:r w:rsidR="00BD312C">
              <w:rPr>
                <w:lang w:val="en-GB"/>
              </w:rPr>
              <w:t>2</w:t>
            </w:r>
            <w:r w:rsidRPr="00D4182C">
              <w:rPr>
                <w:lang w:val="en-GB"/>
              </w:rPr>
              <w:t>) positive assessment of in taxpayers' opinion surveys</w:t>
            </w:r>
          </w:p>
          <w:p w:rsidR="00283B8F" w:rsidRPr="00D4182C" w:rsidRDefault="00283B8F" w:rsidP="00DB4F06">
            <w:pPr>
              <w:spacing w:line="276" w:lineRule="auto"/>
              <w:rPr>
                <w:lang w:val="en-GB"/>
              </w:rPr>
            </w:pPr>
            <w:r>
              <w:rPr>
                <w:lang w:val="en-GB"/>
              </w:rPr>
              <w:t>f</w:t>
            </w:r>
            <w:r w:rsidRPr="00D4182C">
              <w:rPr>
                <w:lang w:val="en-GB"/>
              </w:rPr>
              <w:t>4) increased number or share of recommendations from State Audit Office (SAO) and Parliament implemented</w:t>
            </w:r>
          </w:p>
        </w:tc>
        <w:tc>
          <w:tcPr>
            <w:tcW w:w="2922" w:type="dxa"/>
          </w:tcPr>
          <w:p w:rsidR="00283B8F" w:rsidRPr="00D4182C" w:rsidRDefault="00283B8F" w:rsidP="00B77114">
            <w:pPr>
              <w:autoSpaceDE w:val="0"/>
              <w:spacing w:line="276" w:lineRule="auto"/>
              <w:rPr>
                <w:lang w:val="en-GB"/>
              </w:rPr>
            </w:pPr>
            <w:r w:rsidRPr="00D4182C">
              <w:rPr>
                <w:lang w:val="en-GB"/>
              </w:rPr>
              <w:t>Public Expenditure and Financial Accountability Assessment (PEFA)</w:t>
            </w:r>
          </w:p>
          <w:p w:rsidR="00283B8F" w:rsidRPr="00D4182C" w:rsidRDefault="00283B8F" w:rsidP="00B77114">
            <w:pPr>
              <w:autoSpaceDE w:val="0"/>
              <w:spacing w:line="276" w:lineRule="auto"/>
              <w:rPr>
                <w:lang w:val="en-GB"/>
              </w:rPr>
            </w:pPr>
          </w:p>
          <w:p w:rsidR="00283B8F" w:rsidRPr="00D4182C" w:rsidRDefault="00283B8F" w:rsidP="00B77114">
            <w:pPr>
              <w:autoSpaceDE w:val="0"/>
              <w:spacing w:line="276" w:lineRule="auto"/>
              <w:rPr>
                <w:lang w:val="en-GB"/>
              </w:rPr>
            </w:pPr>
            <w:r w:rsidRPr="00D4182C">
              <w:rPr>
                <w:lang w:val="en-GB"/>
              </w:rPr>
              <w:t>Public Expenditure Tracking Surveys</w:t>
            </w:r>
          </w:p>
          <w:p w:rsidR="00283B8F" w:rsidRPr="00D4182C" w:rsidRDefault="00283B8F" w:rsidP="00B77114">
            <w:pPr>
              <w:autoSpaceDE w:val="0"/>
              <w:spacing w:line="276" w:lineRule="auto"/>
              <w:rPr>
                <w:lang w:val="en-GB"/>
              </w:rPr>
            </w:pPr>
            <w:r w:rsidRPr="00D4182C">
              <w:rPr>
                <w:lang w:val="en-GB"/>
              </w:rPr>
              <w:t>Government reports and statistics</w:t>
            </w:r>
          </w:p>
          <w:p w:rsidR="00283B8F" w:rsidRPr="00D4182C" w:rsidRDefault="00283B8F" w:rsidP="00B77114">
            <w:pPr>
              <w:autoSpaceDE w:val="0"/>
              <w:autoSpaceDN w:val="0"/>
              <w:spacing w:after="160" w:line="276" w:lineRule="auto"/>
              <w:rPr>
                <w:lang w:val="en-GB"/>
              </w:rPr>
            </w:pPr>
            <w:r w:rsidRPr="00D4182C">
              <w:rPr>
                <w:lang w:val="en-GB"/>
              </w:rPr>
              <w:t>Methodology for Assessing Procurement Systems (MAPS) by OECD</w:t>
            </w:r>
          </w:p>
          <w:p w:rsidR="00283B8F" w:rsidRPr="00D4182C" w:rsidRDefault="00283B8F" w:rsidP="00B77114">
            <w:pPr>
              <w:rPr>
                <w:lang w:val="en-GB"/>
              </w:rPr>
            </w:pPr>
            <w:r w:rsidRPr="000E4EEA">
              <w:t>Taxpayers' opinion surveys</w:t>
            </w:r>
          </w:p>
        </w:tc>
      </w:tr>
      <w:tr w:rsidR="00283B8F" w:rsidRPr="00932D62" w:rsidTr="00DB4F06">
        <w:tc>
          <w:tcPr>
            <w:tcW w:w="3701" w:type="dxa"/>
          </w:tcPr>
          <w:p w:rsidR="00283B8F" w:rsidRPr="00B440B4" w:rsidRDefault="00DB4F06" w:rsidP="00DB4F06">
            <w:pPr>
              <w:pStyle w:val="ListParagraph"/>
              <w:spacing w:after="120"/>
              <w:ind w:left="0"/>
              <w:rPr>
                <w:lang w:eastAsia="en-GB"/>
              </w:rPr>
            </w:pPr>
            <w:r>
              <w:rPr>
                <w:lang w:eastAsia="en-GB"/>
              </w:rPr>
              <w:t xml:space="preserve">g) </w:t>
            </w:r>
            <w:r w:rsidR="00283B8F" w:rsidRPr="00236463">
              <w:rPr>
                <w:lang w:eastAsia="en-GB"/>
              </w:rPr>
              <w:t xml:space="preserve">Reduction of </w:t>
            </w:r>
            <w:r w:rsidR="00283B8F" w:rsidRPr="00B440B4">
              <w:rPr>
                <w:lang w:eastAsia="en-GB"/>
              </w:rPr>
              <w:t xml:space="preserve">petty </w:t>
            </w:r>
            <w:r w:rsidR="00283B8F" w:rsidRPr="00236463">
              <w:rPr>
                <w:lang w:eastAsia="en-GB"/>
              </w:rPr>
              <w:t xml:space="preserve">corruption  thanks to </w:t>
            </w:r>
            <w:r w:rsidR="00283B8F" w:rsidRPr="00B440B4">
              <w:rPr>
                <w:lang w:eastAsia="en-GB"/>
              </w:rPr>
              <w:t>effective implementation of anti-corruption reforms at the sectoral and local levels and effective prevention and fight against complex forms of corruption</w:t>
            </w:r>
          </w:p>
        </w:tc>
        <w:tc>
          <w:tcPr>
            <w:tcW w:w="3231" w:type="dxa"/>
          </w:tcPr>
          <w:p w:rsidR="00283B8F" w:rsidRPr="00B440B4" w:rsidRDefault="00283B8F" w:rsidP="00B77114">
            <w:pPr>
              <w:autoSpaceDE w:val="0"/>
              <w:autoSpaceDN w:val="0"/>
              <w:adjustRightInd w:val="0"/>
              <w:rPr>
                <w:rFonts w:eastAsia="Calibri"/>
                <w:lang w:val="en-GB" w:eastAsia="en-US"/>
              </w:rPr>
            </w:pPr>
            <w:r w:rsidRPr="00B440B4">
              <w:rPr>
                <w:rFonts w:eastAsia="Calibri"/>
                <w:lang w:val="en-GB" w:eastAsia="en-US"/>
              </w:rPr>
              <w:t xml:space="preserve"> g1) improvement on Worldwide Governance indicator on control of corruption + TI indicator</w:t>
            </w:r>
          </w:p>
          <w:p w:rsidR="00283B8F" w:rsidRPr="00B440B4" w:rsidRDefault="00283B8F" w:rsidP="00B77114">
            <w:pPr>
              <w:rPr>
                <w:lang w:val="en-GB"/>
              </w:rPr>
            </w:pPr>
          </w:p>
          <w:p w:rsidR="00283B8F" w:rsidRPr="00B440B4" w:rsidRDefault="00283B8F" w:rsidP="00B77114">
            <w:pPr>
              <w:rPr>
                <w:lang w:val="en-GB"/>
              </w:rPr>
            </w:pPr>
            <w:r w:rsidRPr="00B440B4">
              <w:rPr>
                <w:lang w:val="en-GB"/>
              </w:rPr>
              <w:t>g</w:t>
            </w:r>
            <w:r w:rsidRPr="00434A3D">
              <w:rPr>
                <w:lang w:val="en-GB"/>
              </w:rPr>
              <w:t xml:space="preserve">2) Number of </w:t>
            </w:r>
            <w:r w:rsidRPr="000E4EEA">
              <w:rPr>
                <w:lang w:val="en-US"/>
              </w:rPr>
              <w:t>sectoral</w:t>
            </w:r>
            <w:r w:rsidRPr="00B440B4">
              <w:rPr>
                <w:lang w:val="en-GB"/>
              </w:rPr>
              <w:t xml:space="preserve"> and regional development plans with effective anticorruption measures.</w:t>
            </w:r>
          </w:p>
          <w:p w:rsidR="00BA6109" w:rsidRPr="00B440B4" w:rsidRDefault="00BA6109" w:rsidP="00B77114">
            <w:pPr>
              <w:rPr>
                <w:lang w:val="en-GB"/>
              </w:rPr>
            </w:pPr>
          </w:p>
          <w:p w:rsidR="00283B8F" w:rsidRPr="00B440B4" w:rsidRDefault="00283B8F" w:rsidP="00B440B4">
            <w:pPr>
              <w:rPr>
                <w:lang w:val="en-GB"/>
              </w:rPr>
            </w:pPr>
            <w:r w:rsidRPr="00B440B4">
              <w:rPr>
                <w:lang w:val="en-GB"/>
              </w:rPr>
              <w:t>g</w:t>
            </w:r>
            <w:r w:rsidR="00BA6109">
              <w:rPr>
                <w:lang w:val="en-GB"/>
              </w:rPr>
              <w:t>3</w:t>
            </w:r>
            <w:r w:rsidRPr="00236463">
              <w:rPr>
                <w:lang w:val="en-GB"/>
              </w:rPr>
              <w:t xml:space="preserve">) continued implementation </w:t>
            </w:r>
            <w:r w:rsidRPr="00236463">
              <w:rPr>
                <w:lang w:val="en-GB"/>
              </w:rPr>
              <w:lastRenderedPageBreak/>
              <w:t>of OECD-ACN and GRECO recommendations (3</w:t>
            </w:r>
            <w:r w:rsidRPr="00434A3D">
              <w:rPr>
                <w:vertAlign w:val="superscript"/>
                <w:lang w:val="en-GB"/>
              </w:rPr>
              <w:t>rd</w:t>
            </w:r>
            <w:r w:rsidRPr="00B440B4">
              <w:rPr>
                <w:lang w:val="en-GB"/>
              </w:rPr>
              <w:t>-4</w:t>
            </w:r>
            <w:r w:rsidRPr="00B440B4">
              <w:rPr>
                <w:vertAlign w:val="superscript"/>
                <w:lang w:val="en-GB"/>
              </w:rPr>
              <w:t>th</w:t>
            </w:r>
            <w:r w:rsidRPr="00B440B4">
              <w:rPr>
                <w:lang w:val="en-GB"/>
              </w:rPr>
              <w:t xml:space="preserve"> monitoring rounds), including in relation to business integrity and public procurement</w:t>
            </w:r>
          </w:p>
        </w:tc>
        <w:tc>
          <w:tcPr>
            <w:tcW w:w="2922" w:type="dxa"/>
          </w:tcPr>
          <w:p w:rsidR="00283B8F" w:rsidRPr="00B440B4" w:rsidRDefault="00283B8F" w:rsidP="00B77114">
            <w:pPr>
              <w:rPr>
                <w:lang w:val="en-GB"/>
              </w:rPr>
            </w:pPr>
            <w:r w:rsidRPr="00B440B4">
              <w:rPr>
                <w:rFonts w:eastAsia="Calibri"/>
                <w:lang w:val="en-GB" w:eastAsia="en-US"/>
              </w:rPr>
              <w:lastRenderedPageBreak/>
              <w:t>Worldwide Governance indicator + TI reports</w:t>
            </w:r>
          </w:p>
          <w:p w:rsidR="00283B8F" w:rsidRPr="00B440B4" w:rsidRDefault="00283B8F" w:rsidP="00B77114">
            <w:pPr>
              <w:rPr>
                <w:lang w:val="en-GB"/>
              </w:rPr>
            </w:pPr>
          </w:p>
          <w:p w:rsidR="00283B8F" w:rsidRPr="00B440B4" w:rsidRDefault="00283B8F" w:rsidP="00B77114">
            <w:pPr>
              <w:autoSpaceDE w:val="0"/>
              <w:autoSpaceDN w:val="0"/>
              <w:adjustRightInd w:val="0"/>
              <w:rPr>
                <w:rFonts w:eastAsia="Calibri"/>
                <w:lang w:val="en-GB" w:eastAsia="en-US"/>
              </w:rPr>
            </w:pPr>
            <w:r w:rsidRPr="00B440B4">
              <w:rPr>
                <w:lang w:val="en-GB"/>
              </w:rPr>
              <w:t>GRECO and OECD-Anticorruption network (</w:t>
            </w:r>
            <w:r w:rsidRPr="00B440B4">
              <w:rPr>
                <w:rFonts w:eastAsia="Calibri"/>
                <w:lang w:val="en-GB" w:eastAsia="en-US"/>
              </w:rPr>
              <w:t>Istanbul Anti-</w:t>
            </w:r>
          </w:p>
          <w:p w:rsidR="00283B8F" w:rsidRPr="00B440B4" w:rsidRDefault="00283B8F" w:rsidP="00B77114">
            <w:pPr>
              <w:autoSpaceDE w:val="0"/>
              <w:autoSpaceDN w:val="0"/>
              <w:adjustRightInd w:val="0"/>
              <w:rPr>
                <w:rFonts w:eastAsia="Calibri"/>
                <w:lang w:val="en-GB" w:eastAsia="en-US"/>
              </w:rPr>
            </w:pPr>
            <w:r w:rsidRPr="00B440B4">
              <w:rPr>
                <w:rFonts w:eastAsia="Calibri"/>
                <w:lang w:val="en-GB" w:eastAsia="en-US"/>
              </w:rPr>
              <w:t>Corruption action</w:t>
            </w:r>
          </w:p>
          <w:p w:rsidR="00283B8F" w:rsidRPr="00B440B4" w:rsidRDefault="00283B8F" w:rsidP="00B77114">
            <w:pPr>
              <w:autoSpaceDE w:val="0"/>
              <w:autoSpaceDN w:val="0"/>
              <w:adjustRightInd w:val="0"/>
              <w:rPr>
                <w:rFonts w:eastAsia="Calibri"/>
                <w:lang w:val="en-GB" w:eastAsia="en-US"/>
              </w:rPr>
            </w:pPr>
            <w:r w:rsidRPr="00B440B4">
              <w:rPr>
                <w:rFonts w:eastAsia="Calibri"/>
                <w:lang w:val="en-GB" w:eastAsia="en-US"/>
              </w:rPr>
              <w:t xml:space="preserve">Plan) </w:t>
            </w:r>
            <w:r w:rsidRPr="00B440B4">
              <w:rPr>
                <w:lang w:val="en-GB"/>
              </w:rPr>
              <w:t>reports</w:t>
            </w:r>
            <w:r w:rsidRPr="00B440B4">
              <w:rPr>
                <w:rFonts w:eastAsia="Calibri"/>
                <w:lang w:val="en-GB" w:eastAsia="en-US"/>
              </w:rPr>
              <w:t xml:space="preserve"> </w:t>
            </w:r>
          </w:p>
          <w:p w:rsidR="00283B8F" w:rsidRPr="00B440B4" w:rsidRDefault="00283B8F" w:rsidP="00B77114">
            <w:pPr>
              <w:rPr>
                <w:lang w:val="en-GB"/>
              </w:rPr>
            </w:pPr>
          </w:p>
          <w:p w:rsidR="00283B8F" w:rsidRPr="00B440B4" w:rsidRDefault="00283B8F" w:rsidP="00B77114">
            <w:pPr>
              <w:rPr>
                <w:lang w:val="en-GB"/>
              </w:rPr>
            </w:pPr>
            <w:r w:rsidRPr="00B440B4">
              <w:rPr>
                <w:lang w:val="en-GB"/>
              </w:rPr>
              <w:t>Report of the Ministry of Interior</w:t>
            </w:r>
          </w:p>
          <w:p w:rsidR="00283B8F" w:rsidRPr="00B440B4" w:rsidRDefault="00283B8F" w:rsidP="00B77114">
            <w:pPr>
              <w:rPr>
                <w:lang w:val="en-GB"/>
              </w:rPr>
            </w:pPr>
          </w:p>
          <w:p w:rsidR="00283B8F" w:rsidRPr="00B440B4" w:rsidRDefault="00283B8F" w:rsidP="00B77114">
            <w:pPr>
              <w:autoSpaceDE w:val="0"/>
              <w:autoSpaceDN w:val="0"/>
              <w:adjustRightInd w:val="0"/>
              <w:rPr>
                <w:rFonts w:eastAsia="Calibri"/>
                <w:lang w:val="en-GB" w:eastAsia="en-US"/>
              </w:rPr>
            </w:pPr>
            <w:r w:rsidRPr="00B440B4">
              <w:rPr>
                <w:rFonts w:eastAsia="Calibri"/>
                <w:lang w:val="en-GB" w:eastAsia="en-US"/>
              </w:rPr>
              <w:t>World Justice Project reports</w:t>
            </w:r>
          </w:p>
          <w:p w:rsidR="00283B8F" w:rsidRPr="00B440B4" w:rsidRDefault="00283B8F" w:rsidP="00B77114">
            <w:pPr>
              <w:autoSpaceDE w:val="0"/>
              <w:autoSpaceDN w:val="0"/>
              <w:adjustRightInd w:val="0"/>
              <w:rPr>
                <w:rFonts w:eastAsia="Calibri"/>
                <w:lang w:val="en-GB" w:eastAsia="en-US"/>
              </w:rPr>
            </w:pPr>
          </w:p>
          <w:p w:rsidR="00283B8F" w:rsidRPr="00B440B4" w:rsidRDefault="00283B8F" w:rsidP="00B77114">
            <w:pPr>
              <w:rPr>
                <w:lang w:val="en-GB"/>
              </w:rPr>
            </w:pPr>
            <w:r w:rsidRPr="00B440B4">
              <w:rPr>
                <w:rFonts w:eastAsia="Calibri"/>
                <w:lang w:val="en-GB" w:eastAsia="en-US"/>
              </w:rPr>
              <w:t>World Bank Group - CPIA database</w:t>
            </w:r>
          </w:p>
        </w:tc>
      </w:tr>
      <w:tr w:rsidR="00283B8F" w:rsidRPr="00932D62" w:rsidTr="00B440B4">
        <w:trPr>
          <w:trHeight w:val="906"/>
        </w:trPr>
        <w:tc>
          <w:tcPr>
            <w:tcW w:w="3701" w:type="dxa"/>
          </w:tcPr>
          <w:p w:rsidR="00283B8F" w:rsidRPr="00434A3D" w:rsidRDefault="00DB4F06" w:rsidP="00DB4F06">
            <w:pPr>
              <w:pStyle w:val="ListParagraph"/>
              <w:spacing w:line="276" w:lineRule="auto"/>
              <w:ind w:left="0"/>
              <w:jc w:val="left"/>
              <w:rPr>
                <w:lang w:eastAsia="en-GB"/>
              </w:rPr>
            </w:pPr>
            <w:r>
              <w:rPr>
                <w:lang w:eastAsia="en-GB"/>
              </w:rPr>
              <w:lastRenderedPageBreak/>
              <w:t xml:space="preserve">h) </w:t>
            </w:r>
            <w:r w:rsidR="00283B8F" w:rsidRPr="00236463">
              <w:rPr>
                <w:lang w:eastAsia="en-GB"/>
              </w:rPr>
              <w:t>Money launderi</w:t>
            </w:r>
            <w:r w:rsidR="00283B8F" w:rsidRPr="00434A3D">
              <w:rPr>
                <w:lang w:eastAsia="en-GB"/>
              </w:rPr>
              <w:t xml:space="preserve">ng legislation is fully implemented </w:t>
            </w:r>
          </w:p>
          <w:p w:rsidR="00283B8F" w:rsidRPr="00B440B4" w:rsidRDefault="00283B8F" w:rsidP="00B440B4">
            <w:pPr>
              <w:pStyle w:val="ListParagraph"/>
              <w:spacing w:after="120"/>
              <w:ind w:left="0"/>
              <w:rPr>
                <w:lang w:eastAsia="en-GB"/>
              </w:rPr>
            </w:pPr>
          </w:p>
        </w:tc>
        <w:tc>
          <w:tcPr>
            <w:tcW w:w="3231" w:type="dxa"/>
          </w:tcPr>
          <w:p w:rsidR="00283B8F" w:rsidRPr="00B440B4" w:rsidRDefault="00283B8F" w:rsidP="00B77114">
            <w:pPr>
              <w:spacing w:line="276" w:lineRule="auto"/>
              <w:rPr>
                <w:rFonts w:eastAsia="Calibri"/>
                <w:lang w:val="en-GB" w:eastAsia="en-US"/>
              </w:rPr>
            </w:pPr>
            <w:r w:rsidRPr="00B440B4">
              <w:rPr>
                <w:rFonts w:eastAsia="Calibri"/>
                <w:lang w:val="en-GB" w:eastAsia="en-US"/>
              </w:rPr>
              <w:t>h1) Liberal and frequent use of plea agreements is decreased</w:t>
            </w:r>
          </w:p>
          <w:p w:rsidR="00283B8F" w:rsidRPr="00B440B4" w:rsidRDefault="00283B8F" w:rsidP="00236463">
            <w:pPr>
              <w:rPr>
                <w:lang w:val="en-GB"/>
              </w:rPr>
            </w:pPr>
          </w:p>
        </w:tc>
        <w:tc>
          <w:tcPr>
            <w:tcW w:w="2922" w:type="dxa"/>
          </w:tcPr>
          <w:p w:rsidR="00283B8F" w:rsidRPr="00B440B4" w:rsidRDefault="00283B8F" w:rsidP="00B77114">
            <w:pPr>
              <w:spacing w:line="276" w:lineRule="auto"/>
              <w:rPr>
                <w:rFonts w:eastAsia="Calibri"/>
                <w:lang w:val="en-GB" w:eastAsia="en-US"/>
              </w:rPr>
            </w:pPr>
            <w:r w:rsidRPr="00B440B4">
              <w:rPr>
                <w:rFonts w:eastAsia="Calibri"/>
                <w:lang w:val="en-GB" w:eastAsia="en-US"/>
              </w:rPr>
              <w:t>MONEYVAL Reports</w:t>
            </w:r>
          </w:p>
          <w:p w:rsidR="00283B8F" w:rsidRPr="00B440B4" w:rsidRDefault="00283B8F" w:rsidP="00B77114">
            <w:pPr>
              <w:rPr>
                <w:rFonts w:eastAsia="Calibri"/>
                <w:lang w:val="en-GB" w:eastAsia="en-US"/>
              </w:rPr>
            </w:pPr>
            <w:r w:rsidRPr="00B440B4">
              <w:rPr>
                <w:rFonts w:eastAsia="Calibri"/>
                <w:lang w:val="en-GB" w:eastAsia="en-US"/>
              </w:rPr>
              <w:t>FATF monitoring reports</w:t>
            </w:r>
          </w:p>
          <w:p w:rsidR="00283B8F" w:rsidRPr="00B440B4" w:rsidRDefault="00283B8F" w:rsidP="00B77114">
            <w:pPr>
              <w:rPr>
                <w:lang w:val="en-GB"/>
              </w:rPr>
            </w:pPr>
            <w:r w:rsidRPr="00B440B4">
              <w:rPr>
                <w:rFonts w:eastAsia="Calibri"/>
                <w:lang w:val="en-GB" w:eastAsia="en-US"/>
              </w:rPr>
              <w:t>Reporting by the Office of the Prosecutor</w:t>
            </w:r>
          </w:p>
        </w:tc>
      </w:tr>
      <w:tr w:rsidR="00283B8F" w:rsidRPr="00932D62" w:rsidTr="00DB4F06">
        <w:trPr>
          <w:trHeight w:val="1425"/>
        </w:trPr>
        <w:tc>
          <w:tcPr>
            <w:tcW w:w="3701" w:type="dxa"/>
          </w:tcPr>
          <w:p w:rsidR="00283B8F" w:rsidRPr="006E419C" w:rsidRDefault="00DB4F06" w:rsidP="00DB4F06">
            <w:pPr>
              <w:pStyle w:val="ListParagraph"/>
              <w:spacing w:line="276" w:lineRule="auto"/>
              <w:ind w:left="0"/>
              <w:jc w:val="left"/>
              <w:rPr>
                <w:lang w:eastAsia="en-GB"/>
              </w:rPr>
            </w:pPr>
            <w:r>
              <w:rPr>
                <w:lang w:eastAsia="en-GB"/>
              </w:rPr>
              <w:t xml:space="preserve">i) </w:t>
            </w:r>
            <w:r w:rsidR="00283B8F" w:rsidRPr="006E419C">
              <w:rPr>
                <w:lang w:eastAsia="en-GB"/>
              </w:rPr>
              <w:t>Customer due diligence and record-keeping provisions of anti-money laundering legislation are fully implemented</w:t>
            </w:r>
          </w:p>
          <w:p w:rsidR="00283B8F" w:rsidRPr="00236463" w:rsidRDefault="00283B8F" w:rsidP="00DB4F06">
            <w:pPr>
              <w:pStyle w:val="ListParagraph"/>
              <w:spacing w:line="276" w:lineRule="auto"/>
              <w:ind w:left="318"/>
              <w:jc w:val="left"/>
              <w:rPr>
                <w:lang w:eastAsia="en-GB"/>
              </w:rPr>
            </w:pPr>
          </w:p>
        </w:tc>
        <w:tc>
          <w:tcPr>
            <w:tcW w:w="3231" w:type="dxa"/>
          </w:tcPr>
          <w:p w:rsidR="00283B8F" w:rsidRPr="00250D8C" w:rsidRDefault="00283B8F" w:rsidP="00283B8F">
            <w:pPr>
              <w:spacing w:line="276" w:lineRule="auto"/>
              <w:rPr>
                <w:rFonts w:eastAsia="Calibri"/>
                <w:lang w:val="en-GB" w:eastAsia="en-US"/>
              </w:rPr>
            </w:pPr>
            <w:r w:rsidRPr="00250D8C">
              <w:rPr>
                <w:rFonts w:eastAsia="Calibri"/>
                <w:lang w:val="en-GB" w:eastAsia="en-US"/>
              </w:rPr>
              <w:t xml:space="preserve">i1) Inconsistencies relating to measures that can be applied on a risk-sensitive basis are decreased; identification and verification of beneficial owners, documentation of the purpose and nature of the account business are improved </w:t>
            </w:r>
          </w:p>
          <w:p w:rsidR="00283B8F" w:rsidRPr="00B440B4" w:rsidDel="00D95C83" w:rsidRDefault="00283B8F" w:rsidP="00DB4F06">
            <w:pPr>
              <w:spacing w:line="276" w:lineRule="auto"/>
              <w:rPr>
                <w:rFonts w:eastAsia="Calibri"/>
                <w:lang w:val="en-GB" w:eastAsia="en-US"/>
              </w:rPr>
            </w:pPr>
          </w:p>
        </w:tc>
        <w:tc>
          <w:tcPr>
            <w:tcW w:w="2922" w:type="dxa"/>
            <w:vMerge w:val="restart"/>
          </w:tcPr>
          <w:p w:rsidR="00283B8F" w:rsidRPr="00B440B4" w:rsidRDefault="00283B8F" w:rsidP="00DB4F06">
            <w:pPr>
              <w:spacing w:line="276" w:lineRule="auto"/>
              <w:rPr>
                <w:rFonts w:eastAsia="Calibri"/>
                <w:lang w:val="en-GB" w:eastAsia="en-US"/>
              </w:rPr>
            </w:pPr>
          </w:p>
        </w:tc>
      </w:tr>
      <w:tr w:rsidR="00283B8F" w:rsidRPr="00932D62" w:rsidTr="00B440B4">
        <w:trPr>
          <w:trHeight w:val="1425"/>
        </w:trPr>
        <w:tc>
          <w:tcPr>
            <w:tcW w:w="3701" w:type="dxa"/>
          </w:tcPr>
          <w:p w:rsidR="00283B8F" w:rsidRPr="00236463" w:rsidRDefault="00DB4F06" w:rsidP="00DB4F06">
            <w:pPr>
              <w:pStyle w:val="ListParagraph"/>
              <w:spacing w:line="276" w:lineRule="auto"/>
              <w:ind w:left="0"/>
              <w:jc w:val="left"/>
              <w:rPr>
                <w:lang w:eastAsia="en-GB"/>
              </w:rPr>
            </w:pPr>
            <w:r>
              <w:rPr>
                <w:lang w:eastAsia="en-GB"/>
              </w:rPr>
              <w:t xml:space="preserve">j) </w:t>
            </w:r>
            <w:r w:rsidR="00283B8F" w:rsidRPr="00FB6333">
              <w:rPr>
                <w:lang w:eastAsia="en-GB"/>
              </w:rPr>
              <w:t>National and international coordination and cooperation in the development and implementation of policies and activities to combat money laundering and financing of terrorism</w:t>
            </w:r>
          </w:p>
        </w:tc>
        <w:tc>
          <w:tcPr>
            <w:tcW w:w="3231" w:type="dxa"/>
          </w:tcPr>
          <w:p w:rsidR="00283B8F" w:rsidRPr="00B440B4" w:rsidDel="00D95C83" w:rsidRDefault="00283B8F" w:rsidP="00B77114">
            <w:pPr>
              <w:spacing w:line="276" w:lineRule="auto"/>
              <w:rPr>
                <w:rFonts w:eastAsia="Calibri"/>
                <w:lang w:val="en-GB" w:eastAsia="en-US"/>
              </w:rPr>
            </w:pPr>
            <w:r w:rsidRPr="00661E48">
              <w:rPr>
                <w:rFonts w:eastAsia="Calibri"/>
                <w:lang w:val="en-GB" w:eastAsia="en-US"/>
              </w:rPr>
              <w:t>j1) Increased number of joint investigations; increased number of identified cases</w:t>
            </w:r>
          </w:p>
        </w:tc>
        <w:tc>
          <w:tcPr>
            <w:tcW w:w="2922" w:type="dxa"/>
            <w:vMerge/>
          </w:tcPr>
          <w:p w:rsidR="00283B8F" w:rsidRPr="00B440B4" w:rsidRDefault="00283B8F" w:rsidP="00B77114">
            <w:pPr>
              <w:spacing w:line="276" w:lineRule="auto"/>
              <w:rPr>
                <w:rFonts w:eastAsia="Calibri"/>
                <w:lang w:val="en-GB" w:eastAsia="en-US"/>
              </w:rPr>
            </w:pPr>
          </w:p>
        </w:tc>
      </w:tr>
      <w:tr w:rsidR="00283B8F" w:rsidRPr="00932D62" w:rsidTr="00B440B4">
        <w:tc>
          <w:tcPr>
            <w:tcW w:w="3701" w:type="dxa"/>
          </w:tcPr>
          <w:p w:rsidR="00283B8F" w:rsidRPr="00236463" w:rsidRDefault="00DB4F06" w:rsidP="00DB4F06">
            <w:pPr>
              <w:pStyle w:val="ListParagraph"/>
              <w:spacing w:line="276" w:lineRule="auto"/>
              <w:ind w:left="0"/>
              <w:jc w:val="left"/>
              <w:rPr>
                <w:lang w:eastAsia="en-GB"/>
              </w:rPr>
            </w:pPr>
            <w:r>
              <w:rPr>
                <w:lang w:eastAsia="en-GB"/>
              </w:rPr>
              <w:t xml:space="preserve">k) </w:t>
            </w:r>
            <w:r w:rsidR="00283B8F" w:rsidRPr="00D4182C">
              <w:rPr>
                <w:lang w:eastAsia="en-GB"/>
              </w:rPr>
              <w:t>Protection of Human Rights, including minority rights and rights of vulnerable groups such as children and people with disabilities, mainstreamed and incorporated into Georgian legislation and its enforcement and promoted in business</w:t>
            </w:r>
          </w:p>
        </w:tc>
        <w:tc>
          <w:tcPr>
            <w:tcW w:w="3231" w:type="dxa"/>
          </w:tcPr>
          <w:p w:rsidR="00283B8F" w:rsidRPr="00D4182C" w:rsidRDefault="00283B8F" w:rsidP="00BD312C">
            <w:pPr>
              <w:pStyle w:val="ListParagraph"/>
              <w:spacing w:after="120"/>
              <w:ind w:left="360" w:hanging="360"/>
              <w:rPr>
                <w:lang w:eastAsia="en-GB"/>
              </w:rPr>
            </w:pPr>
            <w:r>
              <w:rPr>
                <w:lang w:eastAsia="en-GB"/>
              </w:rPr>
              <w:t>k</w:t>
            </w:r>
            <w:r w:rsidRPr="00D4182C">
              <w:rPr>
                <w:lang w:eastAsia="en-GB"/>
              </w:rPr>
              <w:t>1) % of actions of the National Human Rights Strategy and Action Plan (NHRSAP) 2015-2016 and 2017-2020  implemented or in progress;</w:t>
            </w:r>
          </w:p>
          <w:p w:rsidR="00283B8F" w:rsidRPr="00D4182C" w:rsidRDefault="00283B8F" w:rsidP="00BD312C">
            <w:pPr>
              <w:pStyle w:val="ListParagraph"/>
              <w:spacing w:after="120"/>
              <w:ind w:left="360" w:hanging="360"/>
              <w:rPr>
                <w:lang w:eastAsia="en-GB"/>
              </w:rPr>
            </w:pPr>
            <w:r>
              <w:rPr>
                <w:lang w:eastAsia="en-GB"/>
              </w:rPr>
              <w:t>k</w:t>
            </w:r>
            <w:r w:rsidRPr="00D4182C">
              <w:rPr>
                <w:lang w:eastAsia="en-GB"/>
              </w:rPr>
              <w:t>2) % of P</w:t>
            </w:r>
            <w:r>
              <w:rPr>
                <w:lang w:eastAsia="en-GB"/>
              </w:rPr>
              <w:t xml:space="preserve">ublic </w:t>
            </w:r>
            <w:r w:rsidRPr="00D4182C">
              <w:rPr>
                <w:lang w:eastAsia="en-GB"/>
              </w:rPr>
              <w:t>D</w:t>
            </w:r>
            <w:r>
              <w:rPr>
                <w:lang w:eastAsia="en-GB"/>
              </w:rPr>
              <w:t xml:space="preserve">efender's </w:t>
            </w:r>
            <w:r w:rsidRPr="00D4182C">
              <w:rPr>
                <w:lang w:eastAsia="en-GB"/>
              </w:rPr>
              <w:t>O</w:t>
            </w:r>
            <w:r>
              <w:rPr>
                <w:lang w:eastAsia="en-GB"/>
              </w:rPr>
              <w:t>ffice's</w:t>
            </w:r>
            <w:r w:rsidRPr="00D4182C">
              <w:rPr>
                <w:lang w:eastAsia="en-GB"/>
              </w:rPr>
              <w:t xml:space="preserve"> recommendation on compliance with human rights standards implemented by line institutions</w:t>
            </w:r>
          </w:p>
          <w:p w:rsidR="00283B8F" w:rsidRPr="00D4182C" w:rsidRDefault="00283B8F" w:rsidP="00BD312C">
            <w:pPr>
              <w:pStyle w:val="ListParagraph"/>
              <w:spacing w:after="120"/>
              <w:ind w:left="360" w:hanging="360"/>
              <w:rPr>
                <w:lang w:eastAsia="en-GB"/>
              </w:rPr>
            </w:pPr>
            <w:r>
              <w:rPr>
                <w:lang w:eastAsia="en-GB"/>
              </w:rPr>
              <w:t>k</w:t>
            </w:r>
            <w:r w:rsidRPr="00D4182C">
              <w:rPr>
                <w:lang w:eastAsia="en-GB"/>
              </w:rPr>
              <w:t>3)  Adopted Action Plan on Business and Human Rights.</w:t>
            </w:r>
          </w:p>
          <w:p w:rsidR="00283B8F" w:rsidRPr="00B440B4" w:rsidDel="00D95C83" w:rsidRDefault="00283B8F" w:rsidP="00B77114">
            <w:pPr>
              <w:spacing w:line="276" w:lineRule="auto"/>
              <w:rPr>
                <w:rFonts w:eastAsia="Calibri"/>
                <w:lang w:val="en-GB" w:eastAsia="en-US"/>
              </w:rPr>
            </w:pPr>
          </w:p>
        </w:tc>
        <w:tc>
          <w:tcPr>
            <w:tcW w:w="2922" w:type="dxa"/>
          </w:tcPr>
          <w:p w:rsidR="00283B8F" w:rsidRPr="00D4182C" w:rsidRDefault="00283B8F" w:rsidP="00BD312C">
            <w:pPr>
              <w:pStyle w:val="ListParagraph"/>
              <w:ind w:left="0"/>
              <w:rPr>
                <w:lang w:eastAsia="en-GB"/>
              </w:rPr>
            </w:pPr>
            <w:r w:rsidRPr="00D4182C">
              <w:rPr>
                <w:lang w:eastAsia="en-GB"/>
              </w:rPr>
              <w:t>Public Defender’s Office assessments and statistics</w:t>
            </w:r>
          </w:p>
          <w:p w:rsidR="00283B8F" w:rsidRPr="00D4182C" w:rsidRDefault="00283B8F" w:rsidP="00BD312C">
            <w:pPr>
              <w:pStyle w:val="ListParagraph"/>
              <w:ind w:left="0"/>
              <w:rPr>
                <w:lang w:eastAsia="en-GB"/>
              </w:rPr>
            </w:pPr>
            <w:r w:rsidRPr="00D4182C">
              <w:rPr>
                <w:lang w:eastAsia="en-GB"/>
              </w:rPr>
              <w:t>Human Rights Secretariat/Human Rights Council annual implementation report on NHRSAP</w:t>
            </w:r>
          </w:p>
          <w:p w:rsidR="00283B8F" w:rsidRPr="00D4182C" w:rsidRDefault="00283B8F" w:rsidP="00BD312C">
            <w:pPr>
              <w:rPr>
                <w:lang w:val="en-GB" w:eastAsia="en-GB"/>
              </w:rPr>
            </w:pPr>
            <w:r w:rsidRPr="00D4182C">
              <w:rPr>
                <w:lang w:val="en-GB" w:eastAsia="en-GB"/>
              </w:rPr>
              <w:t>ECRI report</w:t>
            </w:r>
          </w:p>
          <w:p w:rsidR="00283B8F" w:rsidRPr="00D4182C" w:rsidRDefault="00283B8F" w:rsidP="00BD312C">
            <w:pPr>
              <w:pStyle w:val="ListParagraph"/>
              <w:ind w:left="360" w:hanging="360"/>
              <w:rPr>
                <w:lang w:eastAsia="en-GB"/>
              </w:rPr>
            </w:pPr>
            <w:r w:rsidRPr="00D4182C">
              <w:rPr>
                <w:lang w:eastAsia="en-GB"/>
              </w:rPr>
              <w:t>Civil society reports</w:t>
            </w:r>
          </w:p>
          <w:p w:rsidR="00283B8F" w:rsidRPr="00D4182C" w:rsidRDefault="00283B8F" w:rsidP="00BD312C">
            <w:pPr>
              <w:pStyle w:val="ListParagraph"/>
              <w:ind w:left="0"/>
              <w:rPr>
                <w:lang w:eastAsia="en-GB"/>
              </w:rPr>
            </w:pPr>
            <w:r w:rsidRPr="00D4182C">
              <w:rPr>
                <w:lang w:eastAsia="en-GB"/>
              </w:rPr>
              <w:t>State Ministry  for Reconciliation and Civic Equality Reports</w:t>
            </w:r>
          </w:p>
          <w:p w:rsidR="00283B8F" w:rsidRPr="00D4182C" w:rsidRDefault="00283B8F" w:rsidP="00BD312C">
            <w:pPr>
              <w:pStyle w:val="ListParagraph"/>
              <w:ind w:left="360" w:hanging="360"/>
              <w:rPr>
                <w:lang w:eastAsia="en-GB"/>
              </w:rPr>
            </w:pPr>
            <w:r w:rsidRPr="00D4182C">
              <w:rPr>
                <w:lang w:eastAsia="en-GB"/>
              </w:rPr>
              <w:t xml:space="preserve">MIA reports </w:t>
            </w:r>
          </w:p>
          <w:p w:rsidR="00283B8F" w:rsidRPr="00B440B4" w:rsidRDefault="00283B8F" w:rsidP="00B77114">
            <w:pPr>
              <w:spacing w:line="276" w:lineRule="auto"/>
              <w:rPr>
                <w:rFonts w:eastAsia="Calibri"/>
                <w:lang w:val="en-GB" w:eastAsia="en-US"/>
              </w:rPr>
            </w:pPr>
            <w:r w:rsidRPr="00D4182C">
              <w:rPr>
                <w:lang w:val="en-GB" w:eastAsia="en-GB"/>
              </w:rPr>
              <w:t>EU-funded projects/reports</w:t>
            </w:r>
          </w:p>
        </w:tc>
      </w:tr>
      <w:tr w:rsidR="00283B8F" w:rsidRPr="00932D62" w:rsidTr="00597901">
        <w:tc>
          <w:tcPr>
            <w:tcW w:w="9854" w:type="dxa"/>
            <w:gridSpan w:val="3"/>
          </w:tcPr>
          <w:p w:rsidR="00283B8F" w:rsidRPr="00D4182C" w:rsidRDefault="00283B8F" w:rsidP="00197582">
            <w:pPr>
              <w:rPr>
                <w:b/>
                <w:lang w:val="en-GB"/>
              </w:rPr>
            </w:pPr>
            <w:r w:rsidRPr="00D4182C">
              <w:rPr>
                <w:b/>
                <w:lang w:val="en-GB"/>
              </w:rPr>
              <w:t>Specific objective 2</w:t>
            </w:r>
            <w:r w:rsidR="00597901" w:rsidRPr="00597901">
              <w:rPr>
                <w:lang w:val="en-GB"/>
              </w:rPr>
              <w:t xml:space="preserve">: </w:t>
            </w:r>
            <w:r w:rsidR="00197582" w:rsidRPr="002954A0">
              <w:rPr>
                <w:lang w:val="en-GB" w:eastAsia="ar-SA"/>
              </w:rPr>
              <w:t xml:space="preserve">to strengthen Rule of Law and the Justice system : a) </w:t>
            </w:r>
            <w:r w:rsidR="00197582" w:rsidRPr="002954A0">
              <w:rPr>
                <w:lang w:val="en-GB"/>
              </w:rPr>
              <w:t xml:space="preserve">access to justice and legal aid for vulnerable people; zero-tolerance policy against ill-treatment; improving further </w:t>
            </w:r>
            <w:r w:rsidR="00197582" w:rsidRPr="002954A0">
              <w:rPr>
                <w:lang w:val="en-GB" w:eastAsia="ar-SA"/>
              </w:rPr>
              <w:t>the election process in line with international standards</w:t>
            </w:r>
            <w:r w:rsidR="00197582" w:rsidRPr="000E4EEA">
              <w:rPr>
                <w:sz w:val="20"/>
                <w:lang w:val="en-GB"/>
              </w:rPr>
              <w:t xml:space="preserve"> </w:t>
            </w:r>
            <w:r w:rsidR="00197582" w:rsidRPr="002954A0">
              <w:rPr>
                <w:lang w:val="en-GB"/>
              </w:rPr>
              <w:t>b) support the implementation of the Human Rights Strategy and Action Plan</w:t>
            </w:r>
          </w:p>
        </w:tc>
      </w:tr>
      <w:tr w:rsidR="00283B8F" w:rsidRPr="00D4182C" w:rsidTr="006A27EA">
        <w:trPr>
          <w:trHeight w:val="451"/>
        </w:trPr>
        <w:tc>
          <w:tcPr>
            <w:tcW w:w="3701" w:type="dxa"/>
          </w:tcPr>
          <w:p w:rsidR="00283B8F" w:rsidRPr="00D4182C" w:rsidRDefault="00283B8F" w:rsidP="00B77114">
            <w:pPr>
              <w:widowControl w:val="0"/>
              <w:jc w:val="center"/>
              <w:rPr>
                <w:b/>
                <w:u w:val="single"/>
                <w:lang w:val="en-GB"/>
              </w:rPr>
            </w:pPr>
            <w:r w:rsidRPr="00D4182C">
              <w:rPr>
                <w:b/>
                <w:u w:val="single"/>
                <w:lang w:val="en-GB"/>
              </w:rPr>
              <w:t>Expected Results</w:t>
            </w:r>
          </w:p>
        </w:tc>
        <w:tc>
          <w:tcPr>
            <w:tcW w:w="3231" w:type="dxa"/>
          </w:tcPr>
          <w:p w:rsidR="00283B8F" w:rsidRPr="00D4182C" w:rsidRDefault="00283B8F" w:rsidP="00B77114">
            <w:pPr>
              <w:jc w:val="center"/>
              <w:rPr>
                <w:b/>
                <w:u w:val="single"/>
                <w:lang w:val="en-GB"/>
              </w:rPr>
            </w:pPr>
            <w:r w:rsidRPr="00D4182C">
              <w:rPr>
                <w:b/>
                <w:u w:val="single"/>
                <w:lang w:val="en-GB"/>
              </w:rPr>
              <w:t>Indicators</w:t>
            </w:r>
          </w:p>
        </w:tc>
        <w:tc>
          <w:tcPr>
            <w:tcW w:w="2922" w:type="dxa"/>
          </w:tcPr>
          <w:p w:rsidR="00283B8F" w:rsidRPr="00D4182C" w:rsidRDefault="00283B8F" w:rsidP="00B77114">
            <w:pPr>
              <w:jc w:val="center"/>
              <w:rPr>
                <w:b/>
                <w:u w:val="single"/>
                <w:lang w:val="en-GB"/>
              </w:rPr>
            </w:pPr>
            <w:r w:rsidRPr="00D4182C">
              <w:rPr>
                <w:b/>
                <w:u w:val="single"/>
                <w:lang w:val="en-GB"/>
              </w:rPr>
              <w:t xml:space="preserve">Means of </w:t>
            </w:r>
            <w:r w:rsidRPr="00D4182C">
              <w:rPr>
                <w:b/>
                <w:u w:val="single"/>
                <w:lang w:val="en-GB"/>
              </w:rPr>
              <w:br/>
              <w:t>verification</w:t>
            </w:r>
          </w:p>
        </w:tc>
      </w:tr>
      <w:tr w:rsidR="00981417" w:rsidRPr="00932D62" w:rsidTr="00597901">
        <w:tc>
          <w:tcPr>
            <w:tcW w:w="3701" w:type="dxa"/>
          </w:tcPr>
          <w:p w:rsidR="00981417" w:rsidRPr="00D4182C" w:rsidRDefault="00981417" w:rsidP="00BD312C">
            <w:pPr>
              <w:pStyle w:val="ListParagraph"/>
              <w:numPr>
                <w:ilvl w:val="0"/>
                <w:numId w:val="32"/>
              </w:numPr>
              <w:spacing w:after="120"/>
              <w:ind w:left="284" w:hanging="284"/>
              <w:rPr>
                <w:lang w:eastAsia="en-GB"/>
              </w:rPr>
            </w:pPr>
            <w:r w:rsidRPr="00D4182C">
              <w:rPr>
                <w:lang w:eastAsia="en-GB"/>
              </w:rPr>
              <w:t xml:space="preserve">Higher </w:t>
            </w:r>
            <w:r>
              <w:rPr>
                <w:lang w:eastAsia="en-GB"/>
              </w:rPr>
              <w:t xml:space="preserve">civic </w:t>
            </w:r>
            <w:r w:rsidRPr="00D4182C">
              <w:rPr>
                <w:lang w:eastAsia="en-GB"/>
              </w:rPr>
              <w:t xml:space="preserve">participation of </w:t>
            </w:r>
            <w:r w:rsidRPr="00D4182C">
              <w:rPr>
                <w:lang w:eastAsia="en-GB"/>
              </w:rPr>
              <w:lastRenderedPageBreak/>
              <w:t>women, youth and ethnic minorities in elections, politics, policy development and decision making as well as their access to economic opportunities, g</w:t>
            </w:r>
            <w:r w:rsidRPr="00D4182C">
              <w:t>ender equality advanced and mainstreamed into Georgian legislation and its implementation;</w:t>
            </w:r>
            <w:r w:rsidRPr="00D4182C">
              <w:rPr>
                <w:u w:val="single"/>
              </w:rPr>
              <w:t xml:space="preserve"> </w:t>
            </w:r>
            <w:r w:rsidRPr="00D4182C">
              <w:rPr>
                <w:lang w:eastAsia="en-GB"/>
              </w:rPr>
              <w:t>Higher degree of exercise of passive voting right by women</w:t>
            </w:r>
          </w:p>
          <w:p w:rsidR="00981417" w:rsidRPr="00D4182C" w:rsidRDefault="00981417" w:rsidP="00597901">
            <w:pPr>
              <w:rPr>
                <w:lang w:val="en-GB" w:eastAsia="en-GB"/>
              </w:rPr>
            </w:pPr>
          </w:p>
        </w:tc>
        <w:tc>
          <w:tcPr>
            <w:tcW w:w="3231" w:type="dxa"/>
          </w:tcPr>
          <w:p w:rsidR="00981417" w:rsidRPr="00D4182C" w:rsidRDefault="00981417" w:rsidP="00BD312C">
            <w:pPr>
              <w:pStyle w:val="Default"/>
              <w:rPr>
                <w:rFonts w:ascii="Times New Roman" w:hAnsi="Times New Roman"/>
                <w:color w:val="auto"/>
              </w:rPr>
            </w:pPr>
            <w:r>
              <w:rPr>
                <w:rFonts w:ascii="Times New Roman" w:hAnsi="Times New Roman"/>
                <w:color w:val="auto"/>
              </w:rPr>
              <w:lastRenderedPageBreak/>
              <w:t>a</w:t>
            </w:r>
            <w:r w:rsidRPr="00D4182C">
              <w:rPr>
                <w:rFonts w:ascii="Times New Roman" w:hAnsi="Times New Roman"/>
                <w:color w:val="auto"/>
              </w:rPr>
              <w:t xml:space="preserve">1)  % of women/youth/ ethnic </w:t>
            </w:r>
            <w:r w:rsidRPr="00D4182C">
              <w:rPr>
                <w:rFonts w:ascii="Times New Roman" w:hAnsi="Times New Roman"/>
                <w:color w:val="auto"/>
              </w:rPr>
              <w:lastRenderedPageBreak/>
              <w:t xml:space="preserve">minorities in elections, politics, policy development and decision making </w:t>
            </w:r>
            <w:r>
              <w:rPr>
                <w:rFonts w:ascii="Times New Roman" w:hAnsi="Times New Roman"/>
                <w:color w:val="auto"/>
              </w:rPr>
              <w:t>(increase)</w:t>
            </w:r>
          </w:p>
          <w:p w:rsidR="00981417" w:rsidRPr="00597901" w:rsidRDefault="00981417" w:rsidP="00597901">
            <w:pPr>
              <w:pStyle w:val="Default"/>
              <w:rPr>
                <w:rFonts w:ascii="Times New Roman" w:hAnsi="Times New Roman"/>
                <w:color w:val="auto"/>
              </w:rPr>
            </w:pPr>
          </w:p>
          <w:p w:rsidR="00981417" w:rsidRPr="00D4182C" w:rsidRDefault="00981417" w:rsidP="00BD312C">
            <w:pPr>
              <w:pStyle w:val="Default"/>
              <w:rPr>
                <w:rFonts w:ascii="Times New Roman" w:hAnsi="Times New Roman"/>
                <w:color w:val="auto"/>
              </w:rPr>
            </w:pPr>
            <w:r w:rsidRPr="00597901">
              <w:rPr>
                <w:rFonts w:ascii="Times New Roman" w:hAnsi="Times New Roman"/>
                <w:color w:val="auto"/>
              </w:rPr>
              <w:t xml:space="preserve">a2) Number of </w:t>
            </w:r>
            <w:r w:rsidRPr="00D4182C">
              <w:rPr>
                <w:rFonts w:ascii="Times New Roman" w:hAnsi="Times New Roman"/>
                <w:color w:val="auto"/>
              </w:rPr>
              <w:t>employment among women/youth/ethnic minorities</w:t>
            </w:r>
            <w:r>
              <w:rPr>
                <w:rFonts w:ascii="Times New Roman" w:hAnsi="Times New Roman"/>
                <w:color w:val="auto"/>
              </w:rPr>
              <w:t xml:space="preserve"> (increase)</w:t>
            </w:r>
          </w:p>
          <w:p w:rsidR="00981417" w:rsidRPr="00D4182C" w:rsidRDefault="00981417" w:rsidP="00BD312C">
            <w:pPr>
              <w:pStyle w:val="Default"/>
              <w:rPr>
                <w:rFonts w:ascii="Times New Roman" w:hAnsi="Times New Roman"/>
                <w:color w:val="auto"/>
              </w:rPr>
            </w:pPr>
          </w:p>
          <w:p w:rsidR="00981417" w:rsidRPr="00D4182C" w:rsidRDefault="00981417" w:rsidP="00BD312C">
            <w:pPr>
              <w:rPr>
                <w:lang w:val="en-GB"/>
              </w:rPr>
            </w:pPr>
            <w:r>
              <w:rPr>
                <w:lang w:val="en-GB"/>
              </w:rPr>
              <w:t>a</w:t>
            </w:r>
            <w:r w:rsidRPr="00D4182C">
              <w:rPr>
                <w:lang w:val="en-GB"/>
              </w:rPr>
              <w:t xml:space="preserve">3) Adopted laws and legislative amendments duly addressing gender equality aspects </w:t>
            </w:r>
          </w:p>
          <w:p w:rsidR="00981417" w:rsidRPr="00D4182C" w:rsidRDefault="00981417" w:rsidP="00BD312C">
            <w:pPr>
              <w:rPr>
                <w:u w:val="single"/>
                <w:lang w:val="en-GB"/>
              </w:rPr>
            </w:pPr>
          </w:p>
          <w:p w:rsidR="00981417" w:rsidRPr="00597901" w:rsidRDefault="00981417" w:rsidP="00597901">
            <w:pPr>
              <w:rPr>
                <w:lang w:val="en-GB"/>
              </w:rPr>
            </w:pPr>
            <w:r>
              <w:rPr>
                <w:lang w:val="en-GB"/>
              </w:rPr>
              <w:t>a</w:t>
            </w:r>
            <w:r w:rsidRPr="00D4182C">
              <w:rPr>
                <w:lang w:val="en-GB"/>
              </w:rPr>
              <w:t>4) Higher representation of women on election lists</w:t>
            </w:r>
          </w:p>
        </w:tc>
        <w:tc>
          <w:tcPr>
            <w:tcW w:w="2922" w:type="dxa"/>
          </w:tcPr>
          <w:p w:rsidR="00981417" w:rsidRPr="00D4182C" w:rsidRDefault="00981417" w:rsidP="00BD312C">
            <w:pPr>
              <w:pStyle w:val="Default"/>
              <w:jc w:val="both"/>
              <w:rPr>
                <w:rFonts w:ascii="Times New Roman" w:hAnsi="Times New Roman"/>
                <w:color w:val="auto"/>
              </w:rPr>
            </w:pPr>
            <w:r w:rsidRPr="00D4182C">
              <w:rPr>
                <w:rFonts w:ascii="Times New Roman" w:hAnsi="Times New Roman"/>
                <w:color w:val="auto"/>
              </w:rPr>
              <w:lastRenderedPageBreak/>
              <w:t xml:space="preserve">CEC Election Reports, </w:t>
            </w:r>
          </w:p>
          <w:p w:rsidR="00981417" w:rsidRPr="00D4182C" w:rsidRDefault="00981417" w:rsidP="00BD312C">
            <w:pPr>
              <w:pStyle w:val="Default"/>
              <w:jc w:val="both"/>
              <w:rPr>
                <w:rFonts w:ascii="Times New Roman" w:hAnsi="Times New Roman"/>
                <w:color w:val="auto"/>
              </w:rPr>
            </w:pPr>
            <w:r w:rsidRPr="00D4182C">
              <w:rPr>
                <w:rFonts w:ascii="Times New Roman" w:hAnsi="Times New Roman"/>
                <w:color w:val="auto"/>
              </w:rPr>
              <w:lastRenderedPageBreak/>
              <w:t xml:space="preserve">CSOs and International Organisations Reports; Parliamentary, Committees Reports, Government Reports </w:t>
            </w:r>
          </w:p>
          <w:p w:rsidR="00981417" w:rsidRPr="00D4182C" w:rsidRDefault="00981417" w:rsidP="00BD312C">
            <w:pPr>
              <w:pStyle w:val="Default"/>
              <w:jc w:val="both"/>
              <w:rPr>
                <w:rFonts w:ascii="Times New Roman" w:hAnsi="Times New Roman"/>
                <w:color w:val="auto"/>
              </w:rPr>
            </w:pPr>
          </w:p>
          <w:p w:rsidR="00981417" w:rsidRPr="00D4182C" w:rsidRDefault="00981417" w:rsidP="00BD312C">
            <w:pPr>
              <w:pStyle w:val="Default"/>
              <w:jc w:val="both"/>
              <w:rPr>
                <w:rFonts w:ascii="Times New Roman" w:hAnsi="Times New Roman"/>
                <w:color w:val="auto"/>
              </w:rPr>
            </w:pPr>
            <w:r w:rsidRPr="00D4182C">
              <w:rPr>
                <w:rFonts w:ascii="Times New Roman" w:hAnsi="Times New Roman"/>
                <w:color w:val="auto"/>
              </w:rPr>
              <w:t>Employment</w:t>
            </w:r>
            <w:r w:rsidRPr="00597901">
              <w:rPr>
                <w:rFonts w:ascii="Times New Roman" w:hAnsi="Times New Roman"/>
                <w:color w:val="auto"/>
              </w:rPr>
              <w:t xml:space="preserve"> statistics</w:t>
            </w:r>
          </w:p>
          <w:p w:rsidR="00981417" w:rsidRPr="00D4182C" w:rsidRDefault="00981417" w:rsidP="00BD312C">
            <w:pPr>
              <w:pStyle w:val="Default"/>
              <w:jc w:val="both"/>
              <w:rPr>
                <w:rFonts w:ascii="Times New Roman" w:hAnsi="Times New Roman"/>
                <w:color w:val="auto"/>
              </w:rPr>
            </w:pPr>
          </w:p>
          <w:p w:rsidR="00981417" w:rsidRPr="00D4182C" w:rsidRDefault="00981417" w:rsidP="00BD312C">
            <w:pPr>
              <w:rPr>
                <w:lang w:val="en-GB"/>
              </w:rPr>
            </w:pPr>
            <w:r w:rsidRPr="00D4182C">
              <w:rPr>
                <w:lang w:val="en-GB"/>
              </w:rPr>
              <w:t xml:space="preserve">Draft laws and legal amendments </w:t>
            </w:r>
          </w:p>
          <w:p w:rsidR="00981417" w:rsidRPr="00D4182C" w:rsidRDefault="00981417" w:rsidP="00BD312C">
            <w:pPr>
              <w:rPr>
                <w:lang w:val="en-GB"/>
              </w:rPr>
            </w:pPr>
          </w:p>
          <w:p w:rsidR="00981417" w:rsidRPr="00597901" w:rsidRDefault="00981417" w:rsidP="00597901">
            <w:pPr>
              <w:autoSpaceDE w:val="0"/>
              <w:autoSpaceDN w:val="0"/>
              <w:adjustRightInd w:val="0"/>
              <w:rPr>
                <w:rFonts w:eastAsia="Calibri"/>
                <w:lang w:val="en-GB"/>
              </w:rPr>
            </w:pPr>
            <w:r w:rsidRPr="00D4182C">
              <w:rPr>
                <w:lang w:val="en-GB"/>
              </w:rPr>
              <w:t>Election lists as published by Central Election Commission</w:t>
            </w:r>
          </w:p>
        </w:tc>
      </w:tr>
      <w:tr w:rsidR="00283B8F" w:rsidRPr="00D4182C" w:rsidTr="00597901">
        <w:tc>
          <w:tcPr>
            <w:tcW w:w="3701" w:type="dxa"/>
          </w:tcPr>
          <w:p w:rsidR="00283B8F" w:rsidRPr="00D4182C" w:rsidRDefault="00283B8F" w:rsidP="00CC15DC">
            <w:pPr>
              <w:numPr>
                <w:ilvl w:val="0"/>
                <w:numId w:val="32"/>
              </w:numPr>
              <w:ind w:left="284" w:hanging="284"/>
              <w:rPr>
                <w:lang w:val="en-GB"/>
              </w:rPr>
            </w:pPr>
            <w:r w:rsidRPr="00D4182C">
              <w:rPr>
                <w:lang w:val="en-GB" w:eastAsia="en-GB"/>
              </w:rPr>
              <w:lastRenderedPageBreak/>
              <w:t>Litigation proceedings in civil and commercial cases more efficient</w:t>
            </w:r>
          </w:p>
        </w:tc>
        <w:tc>
          <w:tcPr>
            <w:tcW w:w="3231" w:type="dxa"/>
          </w:tcPr>
          <w:p w:rsidR="00283B8F" w:rsidRPr="00D4182C" w:rsidRDefault="00981417" w:rsidP="00597901">
            <w:pPr>
              <w:jc w:val="both"/>
              <w:rPr>
                <w:b/>
                <w:lang w:val="en-GB"/>
              </w:rPr>
            </w:pPr>
            <w:r>
              <w:rPr>
                <w:lang w:val="en-GB"/>
              </w:rPr>
              <w:t>b</w:t>
            </w:r>
            <w:r w:rsidR="00283B8F" w:rsidRPr="00D4182C">
              <w:rPr>
                <w:lang w:val="en-GB"/>
              </w:rPr>
              <w:t>1) Shorter proceedings in civil and commercial cases before courts.</w:t>
            </w:r>
          </w:p>
        </w:tc>
        <w:tc>
          <w:tcPr>
            <w:tcW w:w="2922" w:type="dxa"/>
          </w:tcPr>
          <w:p w:rsidR="00283B8F" w:rsidRPr="00D4182C" w:rsidRDefault="00283B8F" w:rsidP="00B77114">
            <w:pPr>
              <w:rPr>
                <w:b/>
                <w:lang w:val="en-GB"/>
              </w:rPr>
            </w:pPr>
            <w:r w:rsidRPr="00D4182C">
              <w:rPr>
                <w:rFonts w:eastAsia="Calibri"/>
                <w:lang w:val="en-GB" w:eastAsia="en-US"/>
              </w:rPr>
              <w:t>Judiciary statistics</w:t>
            </w:r>
          </w:p>
        </w:tc>
      </w:tr>
      <w:tr w:rsidR="00283B8F" w:rsidRPr="00932D62" w:rsidTr="00597901">
        <w:tc>
          <w:tcPr>
            <w:tcW w:w="3701" w:type="dxa"/>
          </w:tcPr>
          <w:p w:rsidR="00283B8F" w:rsidRPr="00597901" w:rsidRDefault="00283B8F" w:rsidP="00CC15DC">
            <w:pPr>
              <w:numPr>
                <w:ilvl w:val="0"/>
                <w:numId w:val="32"/>
              </w:numPr>
              <w:ind w:left="284" w:hanging="284"/>
              <w:rPr>
                <w:lang w:val="en-GB"/>
              </w:rPr>
            </w:pPr>
            <w:r w:rsidRPr="00D4182C">
              <w:rPr>
                <w:lang w:val="en-GB" w:eastAsia="en-GB"/>
              </w:rPr>
              <w:t xml:space="preserve"> Efficient and widely used arbitration and mediation</w:t>
            </w:r>
          </w:p>
        </w:tc>
        <w:tc>
          <w:tcPr>
            <w:tcW w:w="3231" w:type="dxa"/>
          </w:tcPr>
          <w:p w:rsidR="00283B8F" w:rsidRPr="00D4182C" w:rsidRDefault="00981417" w:rsidP="00B77114">
            <w:pPr>
              <w:rPr>
                <w:b/>
                <w:lang w:val="en-GB"/>
              </w:rPr>
            </w:pPr>
            <w:r>
              <w:rPr>
                <w:rFonts w:eastAsia="Calibri"/>
                <w:lang w:val="en-GB" w:eastAsia="en-US"/>
              </w:rPr>
              <w:t>c</w:t>
            </w:r>
            <w:r w:rsidR="00283B8F" w:rsidRPr="00D4182C">
              <w:rPr>
                <w:rFonts w:eastAsia="Calibri"/>
                <w:lang w:val="en-GB" w:eastAsia="en-US"/>
              </w:rPr>
              <w:t xml:space="preserve"> 1)  More  cases settled  via arbitration and mediation</w:t>
            </w:r>
          </w:p>
        </w:tc>
        <w:tc>
          <w:tcPr>
            <w:tcW w:w="2922" w:type="dxa"/>
          </w:tcPr>
          <w:p w:rsidR="00283B8F" w:rsidRPr="00D4182C" w:rsidRDefault="00283B8F" w:rsidP="00B77114">
            <w:pPr>
              <w:rPr>
                <w:b/>
                <w:lang w:val="en-GB"/>
              </w:rPr>
            </w:pPr>
            <w:r w:rsidRPr="00D4182C">
              <w:rPr>
                <w:rFonts w:eastAsia="Calibri"/>
                <w:lang w:val="en-GB" w:eastAsia="en-US"/>
              </w:rPr>
              <w:t>Statistics of the mediation and arbitration bodies</w:t>
            </w:r>
          </w:p>
        </w:tc>
      </w:tr>
      <w:tr w:rsidR="00283B8F" w:rsidRPr="00932D62" w:rsidTr="00597901">
        <w:tc>
          <w:tcPr>
            <w:tcW w:w="3701" w:type="dxa"/>
          </w:tcPr>
          <w:p w:rsidR="00283B8F" w:rsidRPr="00597901" w:rsidRDefault="00283B8F" w:rsidP="00CC15DC">
            <w:pPr>
              <w:numPr>
                <w:ilvl w:val="0"/>
                <w:numId w:val="32"/>
              </w:numPr>
              <w:ind w:left="284" w:hanging="284"/>
              <w:rPr>
                <w:b/>
                <w:lang w:val="en-GB"/>
              </w:rPr>
            </w:pPr>
            <w:r w:rsidRPr="00D4182C">
              <w:rPr>
                <w:lang w:val="en-GB" w:eastAsia="ar-SA"/>
              </w:rPr>
              <w:t xml:space="preserve"> land registration reform implemented;  land register and cadastre able to serve as reliable sources for policy makers and the financial sector;</w:t>
            </w:r>
          </w:p>
        </w:tc>
        <w:tc>
          <w:tcPr>
            <w:tcW w:w="3231" w:type="dxa"/>
          </w:tcPr>
          <w:p w:rsidR="00283B8F" w:rsidRPr="00D4182C" w:rsidRDefault="00981417" w:rsidP="00B77114">
            <w:pPr>
              <w:rPr>
                <w:lang w:val="en-GB"/>
              </w:rPr>
            </w:pPr>
            <w:r>
              <w:rPr>
                <w:lang w:val="en-GB"/>
              </w:rPr>
              <w:t>d</w:t>
            </w:r>
            <w:r w:rsidR="00283B8F" w:rsidRPr="00D4182C">
              <w:rPr>
                <w:lang w:val="en-GB"/>
              </w:rPr>
              <w:t>1)  drafts of Laws/legislative amendments on land registration submitted to the Parliament for approval</w:t>
            </w:r>
          </w:p>
          <w:p w:rsidR="00283B8F" w:rsidRPr="00D4182C" w:rsidRDefault="00981417" w:rsidP="00B77114">
            <w:pPr>
              <w:rPr>
                <w:lang w:val="en-GB"/>
              </w:rPr>
            </w:pPr>
            <w:r>
              <w:rPr>
                <w:lang w:val="en-GB"/>
              </w:rPr>
              <w:t>d</w:t>
            </w:r>
            <w:r w:rsidR="00283B8F" w:rsidRPr="00D4182C">
              <w:rPr>
                <w:lang w:val="en-GB"/>
              </w:rPr>
              <w:t>2) Pilot projects in 11 Sakrebulos’ implemented, all land plots surveyed and registered</w:t>
            </w:r>
          </w:p>
          <w:p w:rsidR="00283B8F" w:rsidRPr="00597901" w:rsidRDefault="00981417" w:rsidP="003E2663">
            <w:pPr>
              <w:rPr>
                <w:b/>
                <w:lang w:val="en-GB"/>
              </w:rPr>
            </w:pPr>
            <w:r>
              <w:rPr>
                <w:lang w:val="en-GB"/>
              </w:rPr>
              <w:t>d</w:t>
            </w:r>
            <w:r w:rsidR="00283B8F" w:rsidRPr="00D4182C">
              <w:rPr>
                <w:lang w:val="en-GB"/>
              </w:rPr>
              <w:t>3) Country wide implementation strategy prepared and submitted to the Government for approval</w:t>
            </w:r>
          </w:p>
        </w:tc>
        <w:tc>
          <w:tcPr>
            <w:tcW w:w="2922" w:type="dxa"/>
          </w:tcPr>
          <w:p w:rsidR="00283B8F" w:rsidRPr="00D4182C" w:rsidRDefault="00283B8F" w:rsidP="00B77114">
            <w:pPr>
              <w:rPr>
                <w:lang w:val="en-GB"/>
              </w:rPr>
            </w:pPr>
            <w:r w:rsidRPr="00D4182C">
              <w:rPr>
                <w:lang w:val="en-GB"/>
              </w:rPr>
              <w:t>Laws/legislative amendments</w:t>
            </w:r>
          </w:p>
          <w:p w:rsidR="00283B8F" w:rsidRPr="00D4182C" w:rsidRDefault="00283B8F" w:rsidP="00B77114">
            <w:pPr>
              <w:rPr>
                <w:lang w:val="en-GB"/>
              </w:rPr>
            </w:pPr>
          </w:p>
          <w:p w:rsidR="00283B8F" w:rsidRPr="00D4182C" w:rsidRDefault="00283B8F" w:rsidP="00B77114">
            <w:pPr>
              <w:rPr>
                <w:lang w:val="en-GB"/>
              </w:rPr>
            </w:pPr>
            <w:r w:rsidRPr="00D4182C">
              <w:rPr>
                <w:lang w:val="en-GB"/>
              </w:rPr>
              <w:t>Strategy on pilot project for land registration</w:t>
            </w:r>
          </w:p>
          <w:p w:rsidR="00283B8F" w:rsidRPr="00D4182C" w:rsidRDefault="00283B8F" w:rsidP="00B77114">
            <w:pPr>
              <w:rPr>
                <w:lang w:val="en-GB"/>
              </w:rPr>
            </w:pPr>
          </w:p>
          <w:p w:rsidR="00283B8F" w:rsidRPr="00D4182C" w:rsidRDefault="00283B8F" w:rsidP="00B77114">
            <w:pPr>
              <w:rPr>
                <w:lang w:val="en-GB"/>
              </w:rPr>
            </w:pPr>
            <w:r w:rsidRPr="00D4182C">
              <w:rPr>
                <w:lang w:val="en-GB"/>
              </w:rPr>
              <w:t>Geostat data /statistics on land registration.</w:t>
            </w:r>
          </w:p>
          <w:p w:rsidR="00283B8F" w:rsidRPr="00597901" w:rsidRDefault="00283B8F" w:rsidP="00B77114">
            <w:pPr>
              <w:rPr>
                <w:b/>
                <w:lang w:val="en-GB"/>
              </w:rPr>
            </w:pPr>
          </w:p>
        </w:tc>
      </w:tr>
      <w:tr w:rsidR="00283B8F" w:rsidRPr="00932D62" w:rsidTr="00597901">
        <w:tc>
          <w:tcPr>
            <w:tcW w:w="3701" w:type="dxa"/>
          </w:tcPr>
          <w:p w:rsidR="00283B8F" w:rsidRPr="00597901" w:rsidRDefault="00283B8F" w:rsidP="00CC15DC">
            <w:pPr>
              <w:numPr>
                <w:ilvl w:val="0"/>
                <w:numId w:val="32"/>
              </w:numPr>
              <w:ind w:left="284" w:hanging="284"/>
              <w:rPr>
                <w:lang w:val="en-GB"/>
              </w:rPr>
            </w:pPr>
            <w:r w:rsidRPr="00597901">
              <w:rPr>
                <w:lang w:val="en-GB" w:eastAsia="en-GB"/>
              </w:rPr>
              <w:t>Capacity and skills of judges, lawyers, notaries, arbitrators, mediators, business and consumer associations and other actors improved;</w:t>
            </w:r>
          </w:p>
        </w:tc>
        <w:tc>
          <w:tcPr>
            <w:tcW w:w="3231" w:type="dxa"/>
          </w:tcPr>
          <w:p w:rsidR="00283B8F" w:rsidRPr="00597901" w:rsidRDefault="00981417" w:rsidP="00B77114">
            <w:pPr>
              <w:rPr>
                <w:lang w:val="en-GB"/>
              </w:rPr>
            </w:pPr>
            <w:r w:rsidRPr="00597901">
              <w:rPr>
                <w:lang w:val="en-GB"/>
              </w:rPr>
              <w:t>e</w:t>
            </w:r>
            <w:r w:rsidR="00283B8F" w:rsidRPr="00597901">
              <w:rPr>
                <w:lang w:val="en-GB"/>
              </w:rPr>
              <w:t>1) Number of judges, lawyers. notaries, arbitrators, mediators, number of representatives of business and consumers associations trained</w:t>
            </w:r>
          </w:p>
        </w:tc>
        <w:tc>
          <w:tcPr>
            <w:tcW w:w="2922" w:type="dxa"/>
          </w:tcPr>
          <w:p w:rsidR="00283B8F" w:rsidRPr="00597901" w:rsidRDefault="00283B8F" w:rsidP="00B77114">
            <w:pPr>
              <w:autoSpaceDE w:val="0"/>
              <w:autoSpaceDN w:val="0"/>
              <w:adjustRightInd w:val="0"/>
              <w:rPr>
                <w:rFonts w:eastAsia="Calibri"/>
                <w:lang w:val="en-GB" w:eastAsia="en-US"/>
              </w:rPr>
            </w:pPr>
            <w:r w:rsidRPr="00597901">
              <w:rPr>
                <w:rFonts w:eastAsia="Calibri"/>
                <w:lang w:val="en-GB" w:eastAsia="en-US"/>
              </w:rPr>
              <w:t>Ministry of Justice</w:t>
            </w:r>
          </w:p>
          <w:p w:rsidR="00283B8F" w:rsidRPr="00597901" w:rsidRDefault="00283B8F" w:rsidP="00597901">
            <w:pPr>
              <w:rPr>
                <w:lang w:val="en-GB"/>
              </w:rPr>
            </w:pPr>
            <w:r w:rsidRPr="00597901">
              <w:rPr>
                <w:rFonts w:eastAsia="Calibri"/>
                <w:lang w:val="en-GB" w:eastAsia="en-US"/>
              </w:rPr>
              <w:t>reports and statistics</w:t>
            </w:r>
          </w:p>
        </w:tc>
      </w:tr>
      <w:tr w:rsidR="00283B8F" w:rsidRPr="00932D62" w:rsidTr="00597901">
        <w:tc>
          <w:tcPr>
            <w:tcW w:w="3701" w:type="dxa"/>
          </w:tcPr>
          <w:p w:rsidR="00283B8F" w:rsidRPr="00D4182C" w:rsidRDefault="00283B8F" w:rsidP="00FF6C9A">
            <w:pPr>
              <w:numPr>
                <w:ilvl w:val="0"/>
                <w:numId w:val="32"/>
              </w:numPr>
              <w:ind w:left="284" w:hanging="284"/>
              <w:rPr>
                <w:lang w:val="en-GB" w:eastAsia="en-GB"/>
              </w:rPr>
            </w:pPr>
            <w:r>
              <w:rPr>
                <w:lang w:val="en-GB" w:eastAsia="en-GB"/>
              </w:rPr>
              <w:t>Broader a</w:t>
            </w:r>
            <w:r w:rsidRPr="00D4182C">
              <w:rPr>
                <w:lang w:val="en-GB" w:eastAsia="en-GB"/>
              </w:rPr>
              <w:t xml:space="preserve">ccess to justice for vulnerable people </w:t>
            </w:r>
          </w:p>
        </w:tc>
        <w:tc>
          <w:tcPr>
            <w:tcW w:w="3231" w:type="dxa"/>
          </w:tcPr>
          <w:p w:rsidR="00283B8F" w:rsidRPr="00D4182C" w:rsidRDefault="00981417" w:rsidP="00B77114">
            <w:pPr>
              <w:autoSpaceDE w:val="0"/>
              <w:autoSpaceDN w:val="0"/>
              <w:adjustRightInd w:val="0"/>
              <w:rPr>
                <w:rFonts w:eastAsia="Calibri"/>
                <w:lang w:val="en-GB" w:eastAsia="en-US"/>
              </w:rPr>
            </w:pPr>
            <w:r>
              <w:rPr>
                <w:rFonts w:eastAsia="Calibri"/>
                <w:lang w:val="en-GB" w:eastAsia="en-US"/>
              </w:rPr>
              <w:t>f</w:t>
            </w:r>
            <w:r w:rsidR="00283B8F" w:rsidRPr="00D4182C">
              <w:rPr>
                <w:rFonts w:eastAsia="Calibri"/>
                <w:lang w:val="en-GB" w:eastAsia="en-US"/>
              </w:rPr>
              <w:t>1) Wider use of state-funded legal aid (cases and consultations);</w:t>
            </w:r>
          </w:p>
          <w:p w:rsidR="00283B8F" w:rsidRPr="00D4182C" w:rsidRDefault="00283B8F" w:rsidP="00B77114">
            <w:pPr>
              <w:rPr>
                <w:lang w:val="en-GB"/>
              </w:rPr>
            </w:pPr>
          </w:p>
        </w:tc>
        <w:tc>
          <w:tcPr>
            <w:tcW w:w="2922" w:type="dxa"/>
          </w:tcPr>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Statistics by Legal Aid Service</w:t>
            </w:r>
          </w:p>
        </w:tc>
      </w:tr>
      <w:tr w:rsidR="00283B8F" w:rsidRPr="00932D62" w:rsidTr="00597901">
        <w:tc>
          <w:tcPr>
            <w:tcW w:w="3701" w:type="dxa"/>
          </w:tcPr>
          <w:p w:rsidR="00283B8F" w:rsidRPr="00D4182C" w:rsidRDefault="00283B8F" w:rsidP="00CC15DC">
            <w:pPr>
              <w:numPr>
                <w:ilvl w:val="0"/>
                <w:numId w:val="32"/>
              </w:numPr>
              <w:ind w:left="284" w:hanging="284"/>
              <w:rPr>
                <w:lang w:val="en-GB" w:eastAsia="en-GB"/>
              </w:rPr>
            </w:pPr>
            <w:r>
              <w:rPr>
                <w:lang w:val="en-GB" w:eastAsia="en-GB"/>
              </w:rPr>
              <w:t xml:space="preserve">Increased </w:t>
            </w:r>
            <w:r w:rsidRPr="00D4182C">
              <w:rPr>
                <w:lang w:val="en-GB" w:eastAsia="en-GB"/>
              </w:rPr>
              <w:t xml:space="preserve">resocialization of prisoners </w:t>
            </w:r>
          </w:p>
        </w:tc>
        <w:tc>
          <w:tcPr>
            <w:tcW w:w="3231" w:type="dxa"/>
          </w:tcPr>
          <w:p w:rsidR="00283B8F" w:rsidRPr="00D4182C" w:rsidRDefault="00981417" w:rsidP="00B77114">
            <w:pPr>
              <w:rPr>
                <w:lang w:val="en-GB"/>
              </w:rPr>
            </w:pPr>
            <w:r>
              <w:rPr>
                <w:rFonts w:eastAsia="Calibri"/>
                <w:lang w:val="en-GB" w:eastAsia="en-US"/>
              </w:rPr>
              <w:t>g</w:t>
            </w:r>
            <w:r w:rsidR="00283B8F" w:rsidRPr="00D4182C">
              <w:rPr>
                <w:rFonts w:eastAsia="Calibri"/>
                <w:lang w:val="en-GB" w:eastAsia="en-US"/>
              </w:rPr>
              <w:t xml:space="preserve">1) More prisoners involved at qualified vocational work and education </w:t>
            </w:r>
          </w:p>
        </w:tc>
        <w:tc>
          <w:tcPr>
            <w:tcW w:w="2922" w:type="dxa"/>
          </w:tcPr>
          <w:p w:rsidR="00283B8F" w:rsidRPr="00D4182C" w:rsidRDefault="00283B8F" w:rsidP="00B77114">
            <w:pPr>
              <w:autoSpaceDE w:val="0"/>
              <w:autoSpaceDN w:val="0"/>
              <w:adjustRightInd w:val="0"/>
              <w:rPr>
                <w:rFonts w:eastAsia="Calibri"/>
                <w:lang w:val="en-GB" w:eastAsia="en-US"/>
              </w:rPr>
            </w:pPr>
            <w:r w:rsidRPr="006A27EA">
              <w:rPr>
                <w:rFonts w:eastAsia="Calibri"/>
                <w:lang w:val="en-GB" w:eastAsia="en-US"/>
              </w:rPr>
              <w:t>Statistics by Legal Aid Service</w:t>
            </w:r>
          </w:p>
        </w:tc>
      </w:tr>
      <w:tr w:rsidR="00283B8F" w:rsidRPr="00932D62" w:rsidTr="00597901">
        <w:tc>
          <w:tcPr>
            <w:tcW w:w="3701" w:type="dxa"/>
          </w:tcPr>
          <w:p w:rsidR="00283B8F" w:rsidRPr="00D4182C" w:rsidRDefault="00283B8F" w:rsidP="00CC15DC">
            <w:pPr>
              <w:numPr>
                <w:ilvl w:val="0"/>
                <w:numId w:val="32"/>
              </w:numPr>
              <w:ind w:left="284" w:hanging="284"/>
              <w:rPr>
                <w:lang w:val="en-GB" w:eastAsia="en-GB"/>
              </w:rPr>
            </w:pPr>
            <w:r w:rsidRPr="00D4182C">
              <w:rPr>
                <w:lang w:val="en-GB" w:eastAsia="en-GB"/>
              </w:rPr>
              <w:t>Strengthened status of journalists and ability of media to withstand pressure, enhanced regulation of ethical responsibility, increased financial sustainability and independence of media institutions, enhanced transparency of media financing</w:t>
            </w:r>
          </w:p>
        </w:tc>
        <w:tc>
          <w:tcPr>
            <w:tcW w:w="3231" w:type="dxa"/>
          </w:tcPr>
          <w:p w:rsidR="00283B8F" w:rsidRPr="00D4182C" w:rsidRDefault="00283B8F" w:rsidP="00B77114">
            <w:pPr>
              <w:rPr>
                <w:bCs/>
                <w:lang w:val="en-GB"/>
              </w:rPr>
            </w:pPr>
            <w:r w:rsidRPr="00D4182C">
              <w:rPr>
                <w:bCs/>
                <w:lang w:val="en-GB"/>
              </w:rPr>
              <w:t>h1) Enacted legal framework ensuring conditions for effective functioning of the journalistic profession</w:t>
            </w:r>
            <w:r w:rsidRPr="00D4182C" w:rsidDel="001860F1">
              <w:rPr>
                <w:bCs/>
                <w:lang w:val="en-GB"/>
              </w:rPr>
              <w:t xml:space="preserve"> </w:t>
            </w:r>
            <w:r w:rsidRPr="00D4182C">
              <w:rPr>
                <w:bCs/>
                <w:lang w:val="en-GB"/>
              </w:rPr>
              <w:t xml:space="preserve">in which editorial freedoms can be performed, protected and not threatened, </w:t>
            </w:r>
          </w:p>
          <w:p w:rsidR="00283B8F" w:rsidRPr="00D4182C" w:rsidRDefault="00283B8F" w:rsidP="00B77114">
            <w:pPr>
              <w:rPr>
                <w:bCs/>
                <w:lang w:val="en-GB"/>
              </w:rPr>
            </w:pPr>
          </w:p>
          <w:p w:rsidR="00283B8F" w:rsidRPr="00D4182C" w:rsidRDefault="00283B8F" w:rsidP="00B77114">
            <w:pPr>
              <w:rPr>
                <w:lang w:val="en-GB"/>
              </w:rPr>
            </w:pPr>
            <w:r w:rsidRPr="00D4182C">
              <w:rPr>
                <w:bCs/>
                <w:lang w:val="en-GB"/>
              </w:rPr>
              <w:lastRenderedPageBreak/>
              <w:t xml:space="preserve">h2) Availability of accurate, comprehensive and up-to-date information about media ownership structures and financing </w:t>
            </w:r>
            <w:r w:rsidRPr="00D4182C">
              <w:rPr>
                <w:lang w:val="en-GB"/>
              </w:rPr>
              <w:t>;</w:t>
            </w:r>
          </w:p>
          <w:p w:rsidR="00283B8F" w:rsidRPr="00D4182C" w:rsidRDefault="00283B8F" w:rsidP="00B77114">
            <w:pPr>
              <w:rPr>
                <w:lang w:val="en-GB"/>
              </w:rPr>
            </w:pPr>
          </w:p>
          <w:p w:rsidR="00283B8F" w:rsidRPr="00D4182C" w:rsidRDefault="00283B8F" w:rsidP="00B77114">
            <w:pPr>
              <w:rPr>
                <w:lang w:val="en-GB"/>
              </w:rPr>
            </w:pPr>
            <w:r w:rsidRPr="00D4182C">
              <w:rPr>
                <w:lang w:val="en-GB"/>
              </w:rPr>
              <w:t>h3) Georgian Charter of Journalism Ethics improved</w:t>
            </w:r>
          </w:p>
          <w:p w:rsidR="00283B8F" w:rsidRPr="00D4182C" w:rsidRDefault="00283B8F" w:rsidP="00B77114">
            <w:pPr>
              <w:rPr>
                <w:lang w:val="en-GB"/>
              </w:rPr>
            </w:pPr>
          </w:p>
          <w:p w:rsidR="00283B8F" w:rsidRPr="00D4182C" w:rsidRDefault="00283B8F" w:rsidP="00B77114">
            <w:pPr>
              <w:rPr>
                <w:lang w:val="en-GB"/>
              </w:rPr>
            </w:pPr>
            <w:r w:rsidRPr="00D4182C">
              <w:rPr>
                <w:lang w:val="en-GB"/>
              </w:rPr>
              <w:t>h4) reports of violence and intimidation of journalists are sufficiently investigated</w:t>
            </w:r>
          </w:p>
          <w:p w:rsidR="00283B8F" w:rsidRPr="00D4182C" w:rsidRDefault="00283B8F" w:rsidP="00B77114">
            <w:pPr>
              <w:rPr>
                <w:lang w:val="en-GB"/>
              </w:rPr>
            </w:pPr>
          </w:p>
          <w:p w:rsidR="00283B8F" w:rsidRPr="00D4182C" w:rsidRDefault="00283B8F" w:rsidP="00B77114">
            <w:pPr>
              <w:rPr>
                <w:lang w:val="en-GB"/>
              </w:rPr>
            </w:pPr>
            <w:r w:rsidRPr="00D4182C">
              <w:rPr>
                <w:lang w:val="en-GB"/>
              </w:rPr>
              <w:t>h5) World Press Freedom Index</w:t>
            </w:r>
          </w:p>
        </w:tc>
        <w:tc>
          <w:tcPr>
            <w:tcW w:w="2922" w:type="dxa"/>
          </w:tcPr>
          <w:p w:rsidR="00283B8F" w:rsidRPr="00D4182C" w:rsidRDefault="00283B8F" w:rsidP="00B77114">
            <w:pPr>
              <w:autoSpaceDE w:val="0"/>
              <w:autoSpaceDN w:val="0"/>
              <w:adjustRightInd w:val="0"/>
              <w:rPr>
                <w:rFonts w:eastAsia="Calibri"/>
                <w:lang w:val="en-GB" w:eastAsia="en-US"/>
              </w:rPr>
            </w:pP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Draft Law</w:t>
            </w: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 xml:space="preserve">Drafts of legislative amendments </w:t>
            </w: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 xml:space="preserve">EU funded Project Reports </w:t>
            </w: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 xml:space="preserve">Reports of CSOs and International Organisations </w:t>
            </w: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 xml:space="preserve">Georgian Charter of </w:t>
            </w:r>
            <w:r w:rsidRPr="00D4182C">
              <w:rPr>
                <w:rFonts w:eastAsia="Calibri"/>
                <w:lang w:val="en-GB" w:eastAsia="en-US"/>
              </w:rPr>
              <w:lastRenderedPageBreak/>
              <w:t xml:space="preserve">Journalists Ethics </w:t>
            </w: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Reports of CSOs</w:t>
            </w:r>
          </w:p>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Reports of Media Association</w:t>
            </w:r>
          </w:p>
          <w:p w:rsidR="00283B8F" w:rsidRPr="00D4182C" w:rsidRDefault="00283B8F" w:rsidP="00B77114">
            <w:pPr>
              <w:autoSpaceDE w:val="0"/>
              <w:autoSpaceDN w:val="0"/>
              <w:adjustRightInd w:val="0"/>
              <w:rPr>
                <w:rFonts w:eastAsia="Calibri"/>
                <w:lang w:val="en-GB" w:eastAsia="en-US"/>
              </w:rPr>
            </w:pPr>
            <w:r w:rsidRPr="00D4182C">
              <w:rPr>
                <w:lang w:val="en-GB"/>
              </w:rPr>
              <w:t>World Press Freedom Index reports</w:t>
            </w:r>
          </w:p>
        </w:tc>
      </w:tr>
      <w:tr w:rsidR="00283B8F" w:rsidRPr="00D4182C" w:rsidTr="00597901">
        <w:tc>
          <w:tcPr>
            <w:tcW w:w="3701" w:type="dxa"/>
          </w:tcPr>
          <w:p w:rsidR="00283B8F" w:rsidRPr="00D4182C" w:rsidRDefault="00283B8F" w:rsidP="00CC15DC">
            <w:pPr>
              <w:numPr>
                <w:ilvl w:val="0"/>
                <w:numId w:val="32"/>
              </w:numPr>
              <w:ind w:left="284" w:hanging="284"/>
              <w:rPr>
                <w:lang w:val="en-GB" w:eastAsia="en-GB"/>
              </w:rPr>
            </w:pPr>
            <w:r w:rsidRPr="00D4182C">
              <w:rPr>
                <w:lang w:val="en-GB" w:eastAsia="en-GB"/>
              </w:rPr>
              <w:lastRenderedPageBreak/>
              <w:t>Enhanced sustainability among Civil Society organisations, in particular, as concerns enabling environment for financial sustainability and accountability of CSOs, increased policy dialogue between civil society and public / governmental institutions, especially regarding budgetary and legislative processes, stronger civic participation in the regions of Georgia.</w:t>
            </w:r>
          </w:p>
        </w:tc>
        <w:tc>
          <w:tcPr>
            <w:tcW w:w="3231" w:type="dxa"/>
          </w:tcPr>
          <w:p w:rsidR="00283B8F" w:rsidRPr="00D4182C" w:rsidRDefault="00981417" w:rsidP="00B77114">
            <w:pPr>
              <w:rPr>
                <w:lang w:val="en-GB"/>
              </w:rPr>
            </w:pPr>
            <w:r>
              <w:rPr>
                <w:lang w:val="en-GB"/>
              </w:rPr>
              <w:t>i</w:t>
            </w:r>
            <w:r w:rsidR="00283B8F" w:rsidRPr="00D4182C">
              <w:rPr>
                <w:lang w:val="en-GB"/>
              </w:rPr>
              <w:t xml:space="preserve">1) Adopted laws and legal amendments enhancing financial sustainability of CSO and enabling environment and their accountability to citizens </w:t>
            </w:r>
          </w:p>
          <w:p w:rsidR="00283B8F" w:rsidRPr="00D4182C" w:rsidRDefault="00283B8F" w:rsidP="00B77114">
            <w:pPr>
              <w:rPr>
                <w:lang w:val="en-GB"/>
              </w:rPr>
            </w:pPr>
          </w:p>
          <w:p w:rsidR="00283B8F" w:rsidRPr="00D4182C" w:rsidRDefault="00981417" w:rsidP="00B440B4">
            <w:pPr>
              <w:rPr>
                <w:lang w:val="en-GB"/>
              </w:rPr>
            </w:pPr>
            <w:r>
              <w:rPr>
                <w:lang w:val="en-GB"/>
              </w:rPr>
              <w:t>i</w:t>
            </w:r>
            <w:r w:rsidR="00283B8F" w:rsidRPr="00D4182C">
              <w:rPr>
                <w:lang w:val="en-GB"/>
              </w:rPr>
              <w:t xml:space="preserve">2) </w:t>
            </w:r>
            <w:r w:rsidR="00283B8F">
              <w:rPr>
                <w:lang w:val="en-GB"/>
              </w:rPr>
              <w:t>Nu</w:t>
            </w:r>
            <w:r w:rsidR="00283B8F" w:rsidRPr="00D4182C">
              <w:rPr>
                <w:lang w:val="en-GB"/>
              </w:rPr>
              <w:t>mber of policies/laws/budgets at national and local level adopted following participatory</w:t>
            </w:r>
            <w:r w:rsidR="00283B8F">
              <w:rPr>
                <w:lang w:val="en-GB"/>
              </w:rPr>
              <w:t xml:space="preserve"> (increase)</w:t>
            </w:r>
          </w:p>
        </w:tc>
        <w:tc>
          <w:tcPr>
            <w:tcW w:w="2922" w:type="dxa"/>
          </w:tcPr>
          <w:p w:rsidR="00283B8F" w:rsidRPr="00D4182C" w:rsidRDefault="00283B8F" w:rsidP="00B77114">
            <w:pPr>
              <w:rPr>
                <w:lang w:val="en-GB"/>
              </w:rPr>
            </w:pPr>
            <w:r w:rsidRPr="00D4182C">
              <w:rPr>
                <w:lang w:val="en-GB"/>
              </w:rPr>
              <w:t>Draft Law</w:t>
            </w:r>
          </w:p>
          <w:p w:rsidR="00283B8F" w:rsidRPr="00D4182C" w:rsidRDefault="00283B8F" w:rsidP="00B77114">
            <w:pPr>
              <w:rPr>
                <w:lang w:val="en-GB"/>
              </w:rPr>
            </w:pPr>
            <w:r w:rsidRPr="00D4182C">
              <w:rPr>
                <w:lang w:val="en-GB"/>
              </w:rPr>
              <w:t xml:space="preserve">Legal Amendments </w:t>
            </w:r>
          </w:p>
          <w:p w:rsidR="00283B8F" w:rsidRPr="00D4182C" w:rsidRDefault="00283B8F" w:rsidP="00B77114">
            <w:pPr>
              <w:rPr>
                <w:lang w:val="en-GB"/>
              </w:rPr>
            </w:pPr>
          </w:p>
          <w:p w:rsidR="00283B8F" w:rsidRPr="00D4182C" w:rsidRDefault="00283B8F" w:rsidP="00B77114">
            <w:pPr>
              <w:rPr>
                <w:lang w:val="en-GB"/>
              </w:rPr>
            </w:pPr>
            <w:r w:rsidRPr="00D4182C">
              <w:rPr>
                <w:lang w:val="en-GB"/>
              </w:rPr>
              <w:t>CSO reports</w:t>
            </w:r>
          </w:p>
          <w:p w:rsidR="00283B8F" w:rsidRPr="00D4182C" w:rsidRDefault="00283B8F" w:rsidP="00B77114">
            <w:pPr>
              <w:rPr>
                <w:lang w:val="en-GB"/>
              </w:rPr>
            </w:pPr>
            <w:r w:rsidRPr="00D4182C">
              <w:rPr>
                <w:lang w:val="en-GB"/>
              </w:rPr>
              <w:t>Governments/Parliamentary  committees  report</w:t>
            </w:r>
          </w:p>
          <w:p w:rsidR="00283B8F" w:rsidRPr="00D4182C" w:rsidRDefault="00283B8F" w:rsidP="00B77114">
            <w:pPr>
              <w:rPr>
                <w:lang w:val="en-GB"/>
              </w:rPr>
            </w:pPr>
          </w:p>
          <w:p w:rsidR="00283B8F" w:rsidRPr="00D4182C" w:rsidRDefault="00283B8F" w:rsidP="00B77114">
            <w:pPr>
              <w:autoSpaceDE w:val="0"/>
              <w:autoSpaceDN w:val="0"/>
              <w:adjustRightInd w:val="0"/>
              <w:rPr>
                <w:rFonts w:eastAsia="Calibri"/>
                <w:lang w:val="en-GB" w:eastAsia="en-US"/>
              </w:rPr>
            </w:pPr>
          </w:p>
        </w:tc>
      </w:tr>
      <w:tr w:rsidR="00283B8F" w:rsidRPr="00932D62" w:rsidTr="00597901">
        <w:tc>
          <w:tcPr>
            <w:tcW w:w="9854" w:type="dxa"/>
            <w:gridSpan w:val="3"/>
          </w:tcPr>
          <w:p w:rsidR="00283B8F" w:rsidRPr="00D4182C" w:rsidRDefault="00283B8F" w:rsidP="00B440B4">
            <w:pPr>
              <w:rPr>
                <w:b/>
                <w:lang w:val="en-GB"/>
              </w:rPr>
            </w:pPr>
            <w:r w:rsidRPr="00D4182C">
              <w:rPr>
                <w:b/>
                <w:lang w:val="en-GB"/>
              </w:rPr>
              <w:t xml:space="preserve">Specific objective 3 </w:t>
            </w:r>
            <w:r w:rsidR="00197582" w:rsidRPr="002954A0">
              <w:rPr>
                <w:lang w:val="en-GB"/>
              </w:rPr>
              <w:t>to enhance resilience and address security: vis-à-vis hybrid threats, natural or industrial disasters and through strengthening security sector reform (incl. in the field of cyber security and organised crime), including actions to increase security and step up its engagement and non-recognition policy towards the breakaway regions and improve confidence building.</w:t>
            </w:r>
          </w:p>
        </w:tc>
      </w:tr>
      <w:tr w:rsidR="00283B8F" w:rsidRPr="00D4182C" w:rsidTr="00597901">
        <w:trPr>
          <w:trHeight w:val="451"/>
        </w:trPr>
        <w:tc>
          <w:tcPr>
            <w:tcW w:w="3701" w:type="dxa"/>
          </w:tcPr>
          <w:p w:rsidR="00283B8F" w:rsidRPr="00D4182C" w:rsidRDefault="00283B8F" w:rsidP="00B77114">
            <w:pPr>
              <w:widowControl w:val="0"/>
              <w:jc w:val="center"/>
              <w:rPr>
                <w:b/>
                <w:u w:val="single"/>
                <w:lang w:val="en-GB"/>
              </w:rPr>
            </w:pPr>
            <w:r w:rsidRPr="00D4182C">
              <w:rPr>
                <w:b/>
                <w:u w:val="single"/>
                <w:lang w:val="en-GB"/>
              </w:rPr>
              <w:t>Expected Results</w:t>
            </w:r>
          </w:p>
        </w:tc>
        <w:tc>
          <w:tcPr>
            <w:tcW w:w="3231" w:type="dxa"/>
          </w:tcPr>
          <w:p w:rsidR="00283B8F" w:rsidRPr="00D4182C" w:rsidRDefault="00283B8F" w:rsidP="00B77114">
            <w:pPr>
              <w:jc w:val="center"/>
              <w:rPr>
                <w:b/>
                <w:u w:val="single"/>
                <w:lang w:val="en-GB"/>
              </w:rPr>
            </w:pPr>
            <w:r w:rsidRPr="00D4182C">
              <w:rPr>
                <w:b/>
                <w:u w:val="single"/>
                <w:lang w:val="en-GB"/>
              </w:rPr>
              <w:t>Indicators</w:t>
            </w:r>
          </w:p>
        </w:tc>
        <w:tc>
          <w:tcPr>
            <w:tcW w:w="2922" w:type="dxa"/>
          </w:tcPr>
          <w:p w:rsidR="00283B8F" w:rsidRPr="00D4182C" w:rsidRDefault="00283B8F" w:rsidP="00B77114">
            <w:pPr>
              <w:jc w:val="center"/>
              <w:rPr>
                <w:b/>
                <w:u w:val="single"/>
                <w:lang w:val="en-GB"/>
              </w:rPr>
            </w:pPr>
            <w:r w:rsidRPr="00D4182C">
              <w:rPr>
                <w:b/>
                <w:u w:val="single"/>
                <w:lang w:val="en-GB"/>
              </w:rPr>
              <w:t xml:space="preserve">Means of </w:t>
            </w:r>
            <w:r w:rsidRPr="00D4182C">
              <w:rPr>
                <w:b/>
                <w:u w:val="single"/>
                <w:lang w:val="en-GB"/>
              </w:rPr>
              <w:br/>
              <w:t>verification</w:t>
            </w:r>
          </w:p>
        </w:tc>
      </w:tr>
      <w:tr w:rsidR="00283B8F" w:rsidRPr="00932D62" w:rsidTr="00597901">
        <w:trPr>
          <w:trHeight w:val="451"/>
        </w:trPr>
        <w:tc>
          <w:tcPr>
            <w:tcW w:w="3701" w:type="dxa"/>
          </w:tcPr>
          <w:p w:rsidR="00283B8F" w:rsidRPr="00B440B4" w:rsidRDefault="00283B8F" w:rsidP="00597901">
            <w:pPr>
              <w:pStyle w:val="ListParagraph"/>
              <w:numPr>
                <w:ilvl w:val="1"/>
                <w:numId w:val="60"/>
              </w:numPr>
              <w:ind w:left="709" w:hanging="250"/>
              <w:jc w:val="left"/>
            </w:pPr>
            <w:r w:rsidRPr="00B440B4">
              <w:t>Improved safety and security at the borders, by implementing integrated border management and enhancing the capacity of border management agencies, taking into account gender equality and sensitivity principles</w:t>
            </w:r>
          </w:p>
          <w:p w:rsidR="00283B8F" w:rsidRPr="00B440B4" w:rsidRDefault="00283B8F" w:rsidP="00597901">
            <w:pPr>
              <w:ind w:left="709" w:hanging="250"/>
              <w:rPr>
                <w:lang w:val="en-GB"/>
              </w:rPr>
            </w:pPr>
          </w:p>
          <w:p w:rsidR="00283B8F" w:rsidRPr="00B440B4" w:rsidRDefault="00283B8F" w:rsidP="00597901">
            <w:pPr>
              <w:widowControl w:val="0"/>
              <w:ind w:left="709" w:hanging="250"/>
              <w:jc w:val="center"/>
              <w:rPr>
                <w:b/>
                <w:u w:val="single"/>
                <w:lang w:val="en-GB"/>
              </w:rPr>
            </w:pPr>
          </w:p>
        </w:tc>
        <w:tc>
          <w:tcPr>
            <w:tcW w:w="3231" w:type="dxa"/>
          </w:tcPr>
          <w:p w:rsidR="00283B8F" w:rsidRPr="00D4182C" w:rsidRDefault="00283B8F" w:rsidP="00B77114">
            <w:pPr>
              <w:rPr>
                <w:lang w:val="en-GB"/>
              </w:rPr>
            </w:pPr>
            <w:r w:rsidRPr="00D4182C">
              <w:rPr>
                <w:lang w:val="en-GB"/>
              </w:rPr>
              <w:t xml:space="preserve">a 1) Integrated border management is implemented in all Border Crossing Points and Green Border sectors </w:t>
            </w:r>
          </w:p>
          <w:p w:rsidR="00283B8F" w:rsidRPr="000E4EEA" w:rsidRDefault="00283B8F" w:rsidP="00B77114">
            <w:pPr>
              <w:autoSpaceDE w:val="0"/>
              <w:autoSpaceDN w:val="0"/>
              <w:adjustRightInd w:val="0"/>
              <w:rPr>
                <w:rFonts w:eastAsia="Calibri"/>
                <w:lang w:val="en-US"/>
              </w:rPr>
            </w:pPr>
            <w:r w:rsidRPr="000E4EEA">
              <w:rPr>
                <w:rFonts w:eastAsia="Calibri"/>
                <w:lang w:val="en-US"/>
              </w:rPr>
              <w:t>a 2) Gender sensitive practices for asylum claims at Georgia's borders improved</w:t>
            </w:r>
          </w:p>
          <w:p w:rsidR="00283B8F" w:rsidRPr="000E4EEA" w:rsidRDefault="00283B8F" w:rsidP="00B77114">
            <w:pPr>
              <w:autoSpaceDE w:val="0"/>
              <w:autoSpaceDN w:val="0"/>
              <w:adjustRightInd w:val="0"/>
              <w:rPr>
                <w:rFonts w:eastAsia="Calibri"/>
                <w:lang w:val="en-US"/>
              </w:rPr>
            </w:pPr>
            <w:r w:rsidRPr="000E4EEA">
              <w:rPr>
                <w:rFonts w:eastAsia="Calibri"/>
                <w:lang w:val="en-US"/>
              </w:rPr>
              <w:t>a 3) increased detection rate of counterfeit goods, drugs,</w:t>
            </w:r>
          </w:p>
          <w:p w:rsidR="00283B8F" w:rsidRPr="000E4EEA" w:rsidRDefault="00283B8F" w:rsidP="00B77114">
            <w:pPr>
              <w:autoSpaceDE w:val="0"/>
              <w:autoSpaceDN w:val="0"/>
              <w:adjustRightInd w:val="0"/>
              <w:rPr>
                <w:rFonts w:eastAsia="Calibri"/>
                <w:lang w:val="en-US"/>
              </w:rPr>
            </w:pPr>
            <w:r w:rsidRPr="000E4EEA">
              <w:rPr>
                <w:rFonts w:eastAsia="Calibri"/>
                <w:lang w:val="en-US"/>
              </w:rPr>
              <w:t>arms etc. seized;</w:t>
            </w:r>
          </w:p>
          <w:p w:rsidR="00283B8F" w:rsidRPr="000E4EEA" w:rsidRDefault="00283B8F" w:rsidP="00B77114">
            <w:pPr>
              <w:autoSpaceDE w:val="0"/>
              <w:autoSpaceDN w:val="0"/>
              <w:adjustRightInd w:val="0"/>
              <w:rPr>
                <w:rFonts w:eastAsia="Calibri"/>
                <w:lang w:val="en-US"/>
              </w:rPr>
            </w:pPr>
            <w:r w:rsidRPr="000E4EEA">
              <w:rPr>
                <w:rFonts w:eastAsia="Calibri"/>
                <w:lang w:val="en-US"/>
              </w:rPr>
              <w:t xml:space="preserve">a 4) Gender sensitive employment policies for border management agencies advanced </w:t>
            </w:r>
          </w:p>
          <w:p w:rsidR="00283B8F" w:rsidRPr="00D4182C" w:rsidRDefault="00283B8F" w:rsidP="00B77114">
            <w:pPr>
              <w:jc w:val="center"/>
              <w:rPr>
                <w:b/>
                <w:u w:val="single"/>
                <w:lang w:val="en-GB"/>
              </w:rPr>
            </w:pPr>
          </w:p>
        </w:tc>
        <w:tc>
          <w:tcPr>
            <w:tcW w:w="2922" w:type="dxa"/>
          </w:tcPr>
          <w:p w:rsidR="00283B8F" w:rsidRPr="00D4182C" w:rsidRDefault="00283B8F" w:rsidP="00B77114">
            <w:pPr>
              <w:autoSpaceDE w:val="0"/>
              <w:autoSpaceDN w:val="0"/>
              <w:adjustRightInd w:val="0"/>
              <w:rPr>
                <w:rFonts w:eastAsia="Calibri"/>
                <w:lang w:val="en-GB" w:eastAsia="en-US"/>
              </w:rPr>
            </w:pPr>
            <w:r w:rsidRPr="00D4182C">
              <w:rPr>
                <w:rFonts w:eastAsia="Calibri"/>
                <w:lang w:val="en-GB" w:eastAsia="en-US"/>
              </w:rPr>
              <w:t>Ministry of Interior reports and statistics</w:t>
            </w:r>
          </w:p>
          <w:p w:rsidR="00283B8F" w:rsidRPr="000E4EEA" w:rsidRDefault="00283B8F" w:rsidP="00B77114">
            <w:pPr>
              <w:autoSpaceDE w:val="0"/>
              <w:autoSpaceDN w:val="0"/>
              <w:adjustRightInd w:val="0"/>
              <w:rPr>
                <w:rFonts w:eastAsia="Calibri"/>
                <w:lang w:val="en-US"/>
              </w:rPr>
            </w:pPr>
            <w:r w:rsidRPr="000E4EEA">
              <w:rPr>
                <w:rFonts w:eastAsia="Calibri"/>
                <w:lang w:val="en-US"/>
              </w:rPr>
              <w:t>Revenue Service Reports</w:t>
            </w:r>
          </w:p>
          <w:p w:rsidR="00283B8F" w:rsidRPr="000E4EEA" w:rsidRDefault="00283B8F" w:rsidP="00B77114">
            <w:pPr>
              <w:autoSpaceDE w:val="0"/>
              <w:autoSpaceDN w:val="0"/>
              <w:adjustRightInd w:val="0"/>
              <w:rPr>
                <w:rFonts w:eastAsia="Calibri"/>
                <w:lang w:val="en-US"/>
              </w:rPr>
            </w:pPr>
            <w:r w:rsidRPr="000E4EEA">
              <w:rPr>
                <w:rFonts w:eastAsia="Calibri"/>
                <w:lang w:val="en-US"/>
              </w:rPr>
              <w:t>Ministry of Internal Affairs Reports</w:t>
            </w:r>
          </w:p>
          <w:p w:rsidR="00283B8F" w:rsidRPr="000E4EEA" w:rsidRDefault="00283B8F" w:rsidP="00B77114">
            <w:pPr>
              <w:autoSpaceDE w:val="0"/>
              <w:autoSpaceDN w:val="0"/>
              <w:adjustRightInd w:val="0"/>
              <w:rPr>
                <w:rFonts w:eastAsia="Calibri"/>
                <w:lang w:val="en-US"/>
              </w:rPr>
            </w:pPr>
            <w:r w:rsidRPr="000E4EEA">
              <w:rPr>
                <w:rFonts w:eastAsia="Calibri"/>
                <w:lang w:val="en-US"/>
              </w:rPr>
              <w:t>Geostat Reports</w:t>
            </w:r>
          </w:p>
          <w:p w:rsidR="00283B8F" w:rsidRPr="000E4EEA" w:rsidRDefault="00283B8F" w:rsidP="00B77114">
            <w:pPr>
              <w:rPr>
                <w:rFonts w:eastAsia="Calibri"/>
                <w:lang w:val="en-US"/>
              </w:rPr>
            </w:pPr>
            <w:r w:rsidRPr="000E4EEA">
              <w:rPr>
                <w:rFonts w:eastAsia="Calibri"/>
                <w:lang w:val="en-US"/>
              </w:rPr>
              <w:t>CSO Monitoring reports</w:t>
            </w:r>
          </w:p>
          <w:p w:rsidR="00283B8F" w:rsidRPr="00D4182C" w:rsidRDefault="00283B8F" w:rsidP="00B77114">
            <w:pPr>
              <w:jc w:val="center"/>
              <w:rPr>
                <w:b/>
                <w:u w:val="single"/>
                <w:lang w:val="en-GB"/>
              </w:rPr>
            </w:pPr>
            <w:r w:rsidRPr="000E4EEA">
              <w:rPr>
                <w:rFonts w:eastAsia="Calibri"/>
                <w:lang w:val="en-US"/>
              </w:rPr>
              <w:t>EU Projects Reports</w:t>
            </w:r>
          </w:p>
        </w:tc>
      </w:tr>
      <w:tr w:rsidR="00283B8F" w:rsidRPr="00D4182C" w:rsidTr="00597901">
        <w:trPr>
          <w:trHeight w:val="451"/>
        </w:trPr>
        <w:tc>
          <w:tcPr>
            <w:tcW w:w="3701" w:type="dxa"/>
          </w:tcPr>
          <w:p w:rsidR="00283B8F" w:rsidRPr="00597901" w:rsidRDefault="00283B8F" w:rsidP="00597901">
            <w:pPr>
              <w:pStyle w:val="ListParagraph"/>
              <w:numPr>
                <w:ilvl w:val="0"/>
                <w:numId w:val="60"/>
              </w:numPr>
              <w:spacing w:after="120"/>
              <w:ind w:left="709" w:hanging="250"/>
            </w:pPr>
            <w:r w:rsidRPr="00B440B4">
              <w:t xml:space="preserve">Better countering of hybrid threats and cyber-crime by Georgian Authorities thanks </w:t>
            </w:r>
            <w:r w:rsidRPr="00B440B4">
              <w:lastRenderedPageBreak/>
              <w:t xml:space="preserve">to implementation of the Budapest Convention, cybercrime action plan, establishment of operational cybercrime units in law enforcement authorities. </w:t>
            </w:r>
          </w:p>
          <w:p w:rsidR="00283B8F" w:rsidRPr="00B440B4" w:rsidRDefault="00283B8F" w:rsidP="00597901">
            <w:pPr>
              <w:pStyle w:val="ListParagraph"/>
              <w:spacing w:after="120"/>
              <w:ind w:left="709" w:hanging="250"/>
              <w:rPr>
                <w:b/>
                <w:u w:val="single"/>
              </w:rPr>
            </w:pPr>
          </w:p>
        </w:tc>
        <w:tc>
          <w:tcPr>
            <w:tcW w:w="3231" w:type="dxa"/>
          </w:tcPr>
          <w:p w:rsidR="00283B8F" w:rsidRPr="00D4182C" w:rsidRDefault="00283B8F" w:rsidP="00B77114">
            <w:pPr>
              <w:pStyle w:val="Default"/>
              <w:rPr>
                <w:rFonts w:ascii="Times New Roman" w:hAnsi="Times New Roman"/>
                <w:color w:val="auto"/>
              </w:rPr>
            </w:pPr>
            <w:r>
              <w:rPr>
                <w:rFonts w:ascii="Times New Roman" w:hAnsi="Times New Roman"/>
                <w:color w:val="auto"/>
              </w:rPr>
              <w:lastRenderedPageBreak/>
              <w:t>a</w:t>
            </w:r>
            <w:r w:rsidRPr="00D4182C">
              <w:rPr>
                <w:rFonts w:ascii="Times New Roman" w:hAnsi="Times New Roman"/>
                <w:color w:val="auto"/>
              </w:rPr>
              <w:t xml:space="preserve">1) </w:t>
            </w:r>
            <w:r>
              <w:rPr>
                <w:rFonts w:ascii="Times New Roman" w:hAnsi="Times New Roman"/>
                <w:color w:val="auto"/>
              </w:rPr>
              <w:t>P</w:t>
            </w:r>
            <w:r w:rsidRPr="00D4182C">
              <w:rPr>
                <w:rFonts w:ascii="Times New Roman" w:hAnsi="Times New Roman"/>
                <w:color w:val="auto"/>
              </w:rPr>
              <w:t xml:space="preserve">roposal for the development of network of national Computer Emergency </w:t>
            </w:r>
            <w:r w:rsidRPr="00D4182C">
              <w:rPr>
                <w:rFonts w:ascii="Times New Roman" w:hAnsi="Times New Roman"/>
                <w:color w:val="auto"/>
              </w:rPr>
              <w:lastRenderedPageBreak/>
              <w:t xml:space="preserve">Response Team (CERT)  to be linked to EU CERTs. </w:t>
            </w:r>
          </w:p>
          <w:p w:rsidR="00283B8F" w:rsidRPr="00D4182C" w:rsidRDefault="00283B8F" w:rsidP="00B77114">
            <w:pPr>
              <w:pStyle w:val="Default"/>
              <w:rPr>
                <w:rFonts w:ascii="Times New Roman" w:hAnsi="Times New Roman"/>
                <w:color w:val="auto"/>
              </w:rPr>
            </w:pPr>
          </w:p>
          <w:p w:rsidR="00283B8F" w:rsidRPr="00D4182C" w:rsidRDefault="00283B8F" w:rsidP="00B77114">
            <w:pPr>
              <w:pStyle w:val="Default"/>
              <w:rPr>
                <w:rFonts w:ascii="Times New Roman" w:hAnsi="Times New Roman"/>
                <w:color w:val="auto"/>
              </w:rPr>
            </w:pPr>
            <w:r>
              <w:rPr>
                <w:rFonts w:ascii="Times New Roman" w:hAnsi="Times New Roman"/>
                <w:color w:val="auto"/>
              </w:rPr>
              <w:t>a</w:t>
            </w:r>
            <w:r w:rsidRPr="00D4182C">
              <w:rPr>
                <w:rFonts w:ascii="Times New Roman" w:hAnsi="Times New Roman"/>
                <w:color w:val="auto"/>
              </w:rPr>
              <w:t xml:space="preserve">2) Improved international Police Cooperation for fighting cyber crime </w:t>
            </w:r>
          </w:p>
          <w:p w:rsidR="00283B8F" w:rsidRPr="00D4182C" w:rsidRDefault="00283B8F" w:rsidP="00B77114">
            <w:pPr>
              <w:pStyle w:val="Default"/>
              <w:rPr>
                <w:rFonts w:ascii="Times New Roman" w:hAnsi="Times New Roman"/>
                <w:color w:val="auto"/>
              </w:rPr>
            </w:pPr>
          </w:p>
          <w:p w:rsidR="00283B8F" w:rsidRPr="00D4182C" w:rsidRDefault="00283B8F" w:rsidP="00B77114">
            <w:pPr>
              <w:jc w:val="center"/>
              <w:rPr>
                <w:b/>
                <w:u w:val="single"/>
                <w:lang w:val="en-GB"/>
              </w:rPr>
            </w:pPr>
          </w:p>
        </w:tc>
        <w:tc>
          <w:tcPr>
            <w:tcW w:w="2922" w:type="dxa"/>
          </w:tcPr>
          <w:p w:rsidR="00283B8F" w:rsidRPr="00D4182C" w:rsidRDefault="00283B8F" w:rsidP="00B77114">
            <w:pPr>
              <w:rPr>
                <w:lang w:val="en-GB"/>
              </w:rPr>
            </w:pPr>
            <w:r w:rsidRPr="00D4182C">
              <w:rPr>
                <w:lang w:val="en-GB"/>
              </w:rPr>
              <w:lastRenderedPageBreak/>
              <w:t>Government Reports</w:t>
            </w:r>
          </w:p>
          <w:p w:rsidR="00283B8F" w:rsidRPr="00D4182C" w:rsidRDefault="00283B8F" w:rsidP="00B77114">
            <w:pPr>
              <w:rPr>
                <w:lang w:val="en-GB"/>
              </w:rPr>
            </w:pPr>
            <w:r w:rsidRPr="00D4182C">
              <w:rPr>
                <w:lang w:val="en-GB"/>
              </w:rPr>
              <w:t>Europol Reports</w:t>
            </w:r>
          </w:p>
          <w:p w:rsidR="00283B8F" w:rsidRPr="00D4182C" w:rsidRDefault="00283B8F" w:rsidP="00B77114">
            <w:pPr>
              <w:rPr>
                <w:lang w:val="en-GB"/>
              </w:rPr>
            </w:pPr>
            <w:r w:rsidRPr="00D4182C">
              <w:rPr>
                <w:lang w:val="en-GB"/>
              </w:rPr>
              <w:t xml:space="preserve">Ministry of Internal Affairs </w:t>
            </w:r>
            <w:r w:rsidRPr="00D4182C">
              <w:rPr>
                <w:lang w:val="en-GB"/>
              </w:rPr>
              <w:lastRenderedPageBreak/>
              <w:t>reports</w:t>
            </w:r>
          </w:p>
          <w:p w:rsidR="00283B8F" w:rsidRPr="00D4182C" w:rsidRDefault="00283B8F" w:rsidP="00B77114">
            <w:pPr>
              <w:rPr>
                <w:lang w:val="en-GB"/>
              </w:rPr>
            </w:pPr>
            <w:r w:rsidRPr="00D4182C">
              <w:rPr>
                <w:lang w:val="en-GB"/>
              </w:rPr>
              <w:t>Council of Europe reports</w:t>
            </w:r>
          </w:p>
          <w:p w:rsidR="00283B8F" w:rsidRPr="00D4182C" w:rsidRDefault="00283B8F" w:rsidP="00B77114">
            <w:pPr>
              <w:rPr>
                <w:lang w:val="en-GB"/>
              </w:rPr>
            </w:pPr>
            <w:r w:rsidRPr="00D4182C">
              <w:rPr>
                <w:lang w:val="en-GB"/>
              </w:rPr>
              <w:t>Draft proposals</w:t>
            </w:r>
          </w:p>
          <w:p w:rsidR="00283B8F" w:rsidRPr="00D4182C" w:rsidRDefault="00283B8F" w:rsidP="00B77114">
            <w:pPr>
              <w:rPr>
                <w:lang w:val="en-GB"/>
              </w:rPr>
            </w:pPr>
            <w:r w:rsidRPr="00D4182C">
              <w:rPr>
                <w:lang w:val="en-GB"/>
              </w:rPr>
              <w:t>Draft Plans</w:t>
            </w:r>
          </w:p>
          <w:p w:rsidR="00283B8F" w:rsidRPr="00D4182C" w:rsidRDefault="00283B8F" w:rsidP="00B77114">
            <w:pPr>
              <w:jc w:val="center"/>
              <w:rPr>
                <w:b/>
                <w:u w:val="single"/>
                <w:lang w:val="en-GB"/>
              </w:rPr>
            </w:pPr>
          </w:p>
        </w:tc>
      </w:tr>
      <w:tr w:rsidR="00283B8F" w:rsidRPr="00D4182C" w:rsidTr="00B440B4">
        <w:trPr>
          <w:trHeight w:val="451"/>
        </w:trPr>
        <w:tc>
          <w:tcPr>
            <w:tcW w:w="3701" w:type="dxa"/>
          </w:tcPr>
          <w:p w:rsidR="00283B8F" w:rsidRPr="00B440B4" w:rsidRDefault="00283B8F" w:rsidP="00B440B4">
            <w:pPr>
              <w:pStyle w:val="ListParagraph"/>
              <w:numPr>
                <w:ilvl w:val="0"/>
                <w:numId w:val="60"/>
              </w:numPr>
              <w:spacing w:after="120"/>
              <w:ind w:left="709" w:hanging="250"/>
              <w:rPr>
                <w:lang w:eastAsia="en-GB"/>
              </w:rPr>
            </w:pPr>
            <w:r w:rsidRPr="00B440B4">
              <w:lastRenderedPageBreak/>
              <w:t xml:space="preserve">Better disaster preparedness and natural and industrial risk reduction </w:t>
            </w:r>
          </w:p>
          <w:p w:rsidR="00283B8F" w:rsidRPr="00B440B4" w:rsidRDefault="00283B8F" w:rsidP="00B440B4">
            <w:pPr>
              <w:pStyle w:val="ListParagraph"/>
              <w:spacing w:after="120"/>
              <w:ind w:left="709" w:hanging="250"/>
            </w:pPr>
          </w:p>
        </w:tc>
        <w:tc>
          <w:tcPr>
            <w:tcW w:w="3231" w:type="dxa"/>
          </w:tcPr>
          <w:p w:rsidR="00283B8F" w:rsidRPr="00D4182C" w:rsidRDefault="00283B8F" w:rsidP="00EA5E4C">
            <w:pPr>
              <w:pStyle w:val="Default"/>
              <w:rPr>
                <w:rFonts w:ascii="Times New Roman" w:hAnsi="Times New Roman"/>
                <w:color w:val="auto"/>
              </w:rPr>
            </w:pPr>
            <w:r>
              <w:rPr>
                <w:rFonts w:ascii="Times New Roman" w:hAnsi="Times New Roman"/>
                <w:color w:val="auto"/>
              </w:rPr>
              <w:t>b1</w:t>
            </w:r>
            <w:r w:rsidRPr="00D4182C">
              <w:rPr>
                <w:rFonts w:ascii="Times New Roman" w:hAnsi="Times New Roman"/>
                <w:color w:val="auto"/>
              </w:rPr>
              <w:t>)</w:t>
            </w:r>
            <w:r>
              <w:rPr>
                <w:rFonts w:ascii="Times New Roman" w:hAnsi="Times New Roman"/>
                <w:color w:val="auto"/>
              </w:rPr>
              <w:t xml:space="preserve"> Number of Municipalities having a </w:t>
            </w:r>
            <w:r w:rsidRPr="00D4182C">
              <w:rPr>
                <w:rFonts w:ascii="Times New Roman" w:hAnsi="Times New Roman"/>
                <w:color w:val="auto"/>
              </w:rPr>
              <w:t>Disaster Prevent</w:t>
            </w:r>
            <w:r>
              <w:rPr>
                <w:rFonts w:ascii="Times New Roman" w:hAnsi="Times New Roman"/>
                <w:color w:val="auto"/>
              </w:rPr>
              <w:t>ion Plan</w:t>
            </w:r>
          </w:p>
          <w:p w:rsidR="00283B8F" w:rsidRPr="00D4182C" w:rsidRDefault="00283B8F" w:rsidP="00B440B4">
            <w:pPr>
              <w:pStyle w:val="ListParagraph"/>
              <w:spacing w:after="120"/>
              <w:ind w:left="0"/>
            </w:pPr>
            <w:r w:rsidRPr="00FF6C9A">
              <w:t>b</w:t>
            </w:r>
            <w:r>
              <w:t>2</w:t>
            </w:r>
            <w:r w:rsidRPr="00FF6C9A">
              <w:t xml:space="preserve">) Reduction of human and economic losses due to natural and </w:t>
            </w:r>
            <w:r>
              <w:t>man-made</w:t>
            </w:r>
            <w:r w:rsidRPr="00FF6C9A">
              <w:t xml:space="preserve"> disasters.</w:t>
            </w:r>
          </w:p>
        </w:tc>
        <w:tc>
          <w:tcPr>
            <w:tcW w:w="2922" w:type="dxa"/>
          </w:tcPr>
          <w:p w:rsidR="00283B8F" w:rsidRPr="00D4182C" w:rsidRDefault="00283B8F" w:rsidP="00B77114">
            <w:pPr>
              <w:rPr>
                <w:lang w:val="en-GB"/>
              </w:rPr>
            </w:pPr>
            <w:r w:rsidRPr="00D4182C">
              <w:rPr>
                <w:lang w:val="en-GB"/>
              </w:rPr>
              <w:t>MRDI Reports</w:t>
            </w:r>
          </w:p>
        </w:tc>
      </w:tr>
      <w:tr w:rsidR="00283B8F" w:rsidRPr="00932D62" w:rsidTr="00597901">
        <w:trPr>
          <w:trHeight w:val="451"/>
        </w:trPr>
        <w:tc>
          <w:tcPr>
            <w:tcW w:w="3701" w:type="dxa"/>
          </w:tcPr>
          <w:p w:rsidR="00283B8F" w:rsidRPr="00B440B4" w:rsidRDefault="00283B8F" w:rsidP="00597901">
            <w:pPr>
              <w:pStyle w:val="ListParagraph"/>
              <w:numPr>
                <w:ilvl w:val="0"/>
                <w:numId w:val="60"/>
              </w:numPr>
              <w:spacing w:after="120"/>
              <w:ind w:left="709" w:hanging="250"/>
              <w:rPr>
                <w:b/>
                <w:u w:val="single"/>
              </w:rPr>
            </w:pPr>
            <w:r w:rsidRPr="00B440B4">
              <w:t xml:space="preserve">Better prevention of illegal migration (including combating human trafficking) and enhanced reintegration of Georgian returnees. </w:t>
            </w:r>
          </w:p>
        </w:tc>
        <w:tc>
          <w:tcPr>
            <w:tcW w:w="3231" w:type="dxa"/>
          </w:tcPr>
          <w:p w:rsidR="00283B8F" w:rsidRPr="00D4182C" w:rsidRDefault="00283B8F" w:rsidP="00B77114">
            <w:pPr>
              <w:rPr>
                <w:lang w:val="en-GB"/>
              </w:rPr>
            </w:pPr>
            <w:r w:rsidRPr="00D4182C">
              <w:rPr>
                <w:lang w:val="en-GB"/>
              </w:rPr>
              <w:t>c 1) Number of border management officers (both male and female)  trained on safety and security issue;</w:t>
            </w:r>
          </w:p>
          <w:p w:rsidR="00283B8F" w:rsidRPr="00D4182C" w:rsidRDefault="00283B8F" w:rsidP="00B77114">
            <w:pPr>
              <w:rPr>
                <w:lang w:val="en-GB"/>
              </w:rPr>
            </w:pPr>
          </w:p>
          <w:p w:rsidR="00283B8F" w:rsidRPr="00D4182C" w:rsidRDefault="00283B8F" w:rsidP="00B77114">
            <w:pPr>
              <w:rPr>
                <w:lang w:val="en-GB"/>
              </w:rPr>
            </w:pPr>
            <w:r w:rsidRPr="00D4182C">
              <w:rPr>
                <w:lang w:val="en-GB"/>
              </w:rPr>
              <w:t>c2) Number of successfully reintegrated  migrants</w:t>
            </w:r>
          </w:p>
          <w:p w:rsidR="00283B8F" w:rsidRPr="00D4182C" w:rsidRDefault="00283B8F" w:rsidP="00B77114">
            <w:pPr>
              <w:pStyle w:val="Default"/>
              <w:rPr>
                <w:rFonts w:ascii="Times New Roman" w:hAnsi="Times New Roman"/>
                <w:color w:val="auto"/>
              </w:rPr>
            </w:pPr>
          </w:p>
          <w:p w:rsidR="00283B8F" w:rsidRPr="00D4182C" w:rsidRDefault="00283B8F" w:rsidP="00B77114">
            <w:pPr>
              <w:pStyle w:val="Default"/>
              <w:rPr>
                <w:rFonts w:ascii="Times New Roman" w:hAnsi="Times New Roman"/>
                <w:color w:val="auto"/>
              </w:rPr>
            </w:pPr>
            <w:r w:rsidRPr="00D4182C">
              <w:rPr>
                <w:rFonts w:ascii="Times New Roman" w:hAnsi="Times New Roman"/>
                <w:color w:val="auto"/>
              </w:rPr>
              <w:t>c3) No. of convictions for trafficking, organized crime, smuggling and counterfeiting offences.</w:t>
            </w:r>
          </w:p>
          <w:p w:rsidR="00283B8F" w:rsidRPr="00D4182C" w:rsidRDefault="00283B8F" w:rsidP="00597901">
            <w:pPr>
              <w:jc w:val="both"/>
              <w:rPr>
                <w:b/>
                <w:u w:val="single"/>
                <w:lang w:val="en-GB"/>
              </w:rPr>
            </w:pPr>
            <w:r w:rsidRPr="00D4182C">
              <w:rPr>
                <w:lang w:val="en-GB"/>
              </w:rPr>
              <w:t>c4) number of assisted victims of human trafficking using State Referral System</w:t>
            </w:r>
          </w:p>
        </w:tc>
        <w:tc>
          <w:tcPr>
            <w:tcW w:w="2922" w:type="dxa"/>
          </w:tcPr>
          <w:p w:rsidR="00283B8F" w:rsidRPr="00D4182C" w:rsidRDefault="00283B8F" w:rsidP="00B77114">
            <w:pPr>
              <w:rPr>
                <w:lang w:val="en-GB"/>
              </w:rPr>
            </w:pPr>
            <w:r w:rsidRPr="00D4182C">
              <w:rPr>
                <w:lang w:val="en-GB"/>
              </w:rPr>
              <w:t>Ministry of Interior Reports and statistic;</w:t>
            </w:r>
          </w:p>
          <w:p w:rsidR="00283B8F" w:rsidRPr="00D4182C" w:rsidRDefault="00283B8F" w:rsidP="00B77114">
            <w:pPr>
              <w:rPr>
                <w:lang w:val="en-GB"/>
              </w:rPr>
            </w:pPr>
            <w:r w:rsidRPr="00D4182C">
              <w:rPr>
                <w:lang w:val="en-GB"/>
              </w:rPr>
              <w:t>Reports of State Commission on Migration Issues</w:t>
            </w:r>
          </w:p>
          <w:p w:rsidR="00283B8F" w:rsidRPr="00D4182C" w:rsidRDefault="00283B8F" w:rsidP="00B77114">
            <w:pPr>
              <w:rPr>
                <w:lang w:val="en-GB"/>
              </w:rPr>
            </w:pPr>
            <w:r w:rsidRPr="00D4182C">
              <w:rPr>
                <w:lang w:val="en-GB"/>
              </w:rPr>
              <w:t xml:space="preserve">Reports by Ministry of Refugees and Accommodation </w:t>
            </w:r>
          </w:p>
          <w:p w:rsidR="00283B8F" w:rsidRPr="00D4182C" w:rsidRDefault="00283B8F" w:rsidP="00B77114">
            <w:pPr>
              <w:jc w:val="center"/>
              <w:rPr>
                <w:b/>
                <w:u w:val="single"/>
                <w:lang w:val="en-GB"/>
              </w:rPr>
            </w:pPr>
          </w:p>
        </w:tc>
      </w:tr>
      <w:tr w:rsidR="00283B8F" w:rsidRPr="00932D62" w:rsidTr="006A27EA">
        <w:tc>
          <w:tcPr>
            <w:tcW w:w="9854" w:type="dxa"/>
            <w:gridSpan w:val="3"/>
            <w:shd w:val="clear" w:color="auto" w:fill="auto"/>
          </w:tcPr>
          <w:p w:rsidR="00283B8F" w:rsidRPr="00D4182C" w:rsidRDefault="00283B8F" w:rsidP="00B77114">
            <w:pPr>
              <w:rPr>
                <w:b/>
                <w:lang w:val="en-GB"/>
              </w:rPr>
            </w:pPr>
          </w:p>
          <w:p w:rsidR="00283B8F" w:rsidRPr="00D4182C" w:rsidRDefault="00283B8F" w:rsidP="003E2663">
            <w:pPr>
              <w:rPr>
                <w:b/>
                <w:bCs/>
                <w:u w:val="single"/>
                <w:lang w:val="en-GB"/>
              </w:rPr>
            </w:pPr>
            <w:r w:rsidRPr="00D4182C">
              <w:rPr>
                <w:b/>
                <w:lang w:val="en-GB"/>
              </w:rPr>
              <w:t>Sector 3:</w:t>
            </w:r>
            <w:r w:rsidRPr="00D4182C">
              <w:rPr>
                <w:b/>
                <w:u w:val="single"/>
                <w:lang w:val="en-GB"/>
              </w:rPr>
              <w:t xml:space="preserve"> </w:t>
            </w:r>
            <w:r w:rsidRPr="00D4182C">
              <w:rPr>
                <w:b/>
                <w:bCs/>
                <w:u w:val="single"/>
                <w:lang w:val="en-GB"/>
              </w:rPr>
              <w:t>Connectivity, energy efficiency, environment and climate change</w:t>
            </w:r>
          </w:p>
          <w:p w:rsidR="00283B8F" w:rsidRPr="00D4182C" w:rsidRDefault="00283B8F" w:rsidP="003E2663">
            <w:pPr>
              <w:rPr>
                <w:b/>
                <w:lang w:val="en-GB"/>
              </w:rPr>
            </w:pPr>
          </w:p>
        </w:tc>
      </w:tr>
      <w:tr w:rsidR="00283B8F" w:rsidRPr="00932D62" w:rsidTr="00597901">
        <w:tc>
          <w:tcPr>
            <w:tcW w:w="9854" w:type="dxa"/>
            <w:gridSpan w:val="3"/>
            <w:shd w:val="clear" w:color="auto" w:fill="auto"/>
          </w:tcPr>
          <w:p w:rsidR="00283B8F" w:rsidRPr="00D4182C" w:rsidRDefault="00283B8F" w:rsidP="00B77114">
            <w:pPr>
              <w:rPr>
                <w:lang w:val="en-GB"/>
              </w:rPr>
            </w:pPr>
            <w:r w:rsidRPr="00D4182C">
              <w:rPr>
                <w:b/>
                <w:lang w:val="en-GB"/>
              </w:rPr>
              <w:t>Specific objective 1:</w:t>
            </w:r>
            <w:r w:rsidR="000E4EEA" w:rsidRPr="006409E3">
              <w:rPr>
                <w:lang w:val="en-GB"/>
              </w:rPr>
              <w:t xml:space="preserve"> to enhance energy efficiency, to increase energy independence including through the promotion of energy efficiency improvements, use of untapped renewable energy sources and boosting investments in low emission technologies</w:t>
            </w:r>
          </w:p>
        </w:tc>
      </w:tr>
      <w:tr w:rsidR="00283B8F" w:rsidRPr="00D4182C" w:rsidTr="006A27EA">
        <w:trPr>
          <w:trHeight w:val="451"/>
        </w:trPr>
        <w:tc>
          <w:tcPr>
            <w:tcW w:w="3701" w:type="dxa"/>
          </w:tcPr>
          <w:p w:rsidR="00283B8F" w:rsidRPr="00D4182C" w:rsidRDefault="00283B8F" w:rsidP="00B77114">
            <w:pPr>
              <w:widowControl w:val="0"/>
              <w:jc w:val="center"/>
              <w:rPr>
                <w:b/>
                <w:u w:val="single"/>
                <w:lang w:val="en-GB"/>
              </w:rPr>
            </w:pPr>
            <w:r w:rsidRPr="00D4182C">
              <w:rPr>
                <w:b/>
                <w:u w:val="single"/>
                <w:lang w:val="en-GB"/>
              </w:rPr>
              <w:t>Expected Results</w:t>
            </w:r>
          </w:p>
        </w:tc>
        <w:tc>
          <w:tcPr>
            <w:tcW w:w="3231" w:type="dxa"/>
          </w:tcPr>
          <w:p w:rsidR="00283B8F" w:rsidRPr="00D4182C" w:rsidRDefault="00283B8F" w:rsidP="00B77114">
            <w:pPr>
              <w:jc w:val="center"/>
              <w:rPr>
                <w:b/>
                <w:u w:val="single"/>
                <w:lang w:val="en-GB"/>
              </w:rPr>
            </w:pPr>
            <w:r w:rsidRPr="00D4182C">
              <w:rPr>
                <w:b/>
                <w:u w:val="single"/>
                <w:lang w:val="en-GB"/>
              </w:rPr>
              <w:t>Indicators</w:t>
            </w:r>
          </w:p>
        </w:tc>
        <w:tc>
          <w:tcPr>
            <w:tcW w:w="2922" w:type="dxa"/>
          </w:tcPr>
          <w:p w:rsidR="00283B8F" w:rsidRPr="00D4182C" w:rsidRDefault="00283B8F" w:rsidP="00B77114">
            <w:pPr>
              <w:jc w:val="center"/>
              <w:rPr>
                <w:b/>
                <w:u w:val="single"/>
                <w:lang w:val="en-GB"/>
              </w:rPr>
            </w:pPr>
            <w:r w:rsidRPr="00D4182C">
              <w:rPr>
                <w:b/>
                <w:u w:val="single"/>
                <w:lang w:val="en-GB"/>
              </w:rPr>
              <w:t xml:space="preserve">Means of </w:t>
            </w:r>
            <w:r w:rsidRPr="00D4182C">
              <w:rPr>
                <w:b/>
                <w:u w:val="single"/>
                <w:lang w:val="en-GB"/>
              </w:rPr>
              <w:br/>
              <w:t>verification</w:t>
            </w:r>
          </w:p>
        </w:tc>
      </w:tr>
      <w:tr w:rsidR="00283B8F" w:rsidRPr="00D4182C" w:rsidTr="006A27EA">
        <w:tc>
          <w:tcPr>
            <w:tcW w:w="3701" w:type="dxa"/>
          </w:tcPr>
          <w:p w:rsidR="00283B8F" w:rsidRPr="00D4182C" w:rsidRDefault="00283B8F" w:rsidP="00CC15DC">
            <w:pPr>
              <w:pStyle w:val="ListParagraph"/>
              <w:numPr>
                <w:ilvl w:val="0"/>
                <w:numId w:val="24"/>
              </w:numPr>
              <w:ind w:left="284" w:hanging="284"/>
              <w:contextualSpacing w:val="0"/>
              <w:jc w:val="left"/>
            </w:pPr>
            <w:r w:rsidRPr="00D4182C">
              <w:t>Reduced seasonal dependence on energy imports as a result of energy efficiency measures</w:t>
            </w:r>
          </w:p>
          <w:p w:rsidR="00283B8F" w:rsidRPr="00D4182C" w:rsidRDefault="00283B8F" w:rsidP="0056593B">
            <w:pPr>
              <w:ind w:left="284" w:hanging="284"/>
              <w:rPr>
                <w:lang w:val="en-GB"/>
              </w:rPr>
            </w:pPr>
          </w:p>
        </w:tc>
        <w:tc>
          <w:tcPr>
            <w:tcW w:w="3231" w:type="dxa"/>
          </w:tcPr>
          <w:p w:rsidR="00283B8F" w:rsidRPr="00D4182C" w:rsidRDefault="00283B8F" w:rsidP="00B77114">
            <w:pPr>
              <w:jc w:val="both"/>
              <w:rPr>
                <w:lang w:val="en-GB"/>
              </w:rPr>
            </w:pPr>
            <w:r w:rsidRPr="00D4182C">
              <w:rPr>
                <w:lang w:val="en-GB"/>
              </w:rPr>
              <w:t>a1) Total net energy imports as part of energy consumption (electricity:  7.2%, natural gas:  99.9 %; Oil Products:100%)</w:t>
            </w:r>
          </w:p>
          <w:p w:rsidR="00283B8F" w:rsidRPr="00D4182C" w:rsidRDefault="00283B8F" w:rsidP="00B77114">
            <w:pPr>
              <w:jc w:val="both"/>
              <w:rPr>
                <w:lang w:val="en-GB"/>
              </w:rPr>
            </w:pPr>
          </w:p>
          <w:p w:rsidR="00283B8F" w:rsidRPr="00D4182C" w:rsidRDefault="00283B8F" w:rsidP="00B77114">
            <w:pPr>
              <w:jc w:val="both"/>
              <w:rPr>
                <w:lang w:val="en-GB"/>
              </w:rPr>
            </w:pPr>
            <w:r w:rsidRPr="00D4182C">
              <w:rPr>
                <w:lang w:val="en-GB"/>
              </w:rPr>
              <w:t>a2) IEA indicators TPES/population; Indicators reflecting the means to achieve the result (EE):</w:t>
            </w:r>
          </w:p>
          <w:p w:rsidR="00283B8F" w:rsidRPr="00D4182C" w:rsidRDefault="00283B8F" w:rsidP="00B77114">
            <w:pPr>
              <w:jc w:val="both"/>
              <w:rPr>
                <w:lang w:val="en-GB"/>
              </w:rPr>
            </w:pPr>
            <w:r w:rsidRPr="00D4182C">
              <w:rPr>
                <w:lang w:val="en-GB"/>
              </w:rPr>
              <w:t>a3) Reduction of electricity losses%</w:t>
            </w:r>
          </w:p>
          <w:p w:rsidR="00283B8F" w:rsidRPr="00D4182C" w:rsidRDefault="00283B8F" w:rsidP="00B77114">
            <w:pPr>
              <w:jc w:val="both"/>
              <w:rPr>
                <w:lang w:val="en-GB"/>
              </w:rPr>
            </w:pPr>
            <w:r w:rsidRPr="00D4182C">
              <w:rPr>
                <w:lang w:val="en-GB"/>
              </w:rPr>
              <w:t>a4) Reduction of gas losses. %</w:t>
            </w:r>
          </w:p>
          <w:p w:rsidR="00283B8F" w:rsidRPr="00D4182C" w:rsidRDefault="00283B8F" w:rsidP="0056593B">
            <w:pPr>
              <w:jc w:val="both"/>
              <w:rPr>
                <w:b/>
                <w:lang w:val="en-GB"/>
              </w:rPr>
            </w:pPr>
          </w:p>
        </w:tc>
        <w:tc>
          <w:tcPr>
            <w:tcW w:w="2922" w:type="dxa"/>
          </w:tcPr>
          <w:p w:rsidR="00283B8F" w:rsidRPr="00D4182C" w:rsidRDefault="00283B8F" w:rsidP="00B77114">
            <w:pPr>
              <w:rPr>
                <w:lang w:val="en-GB"/>
              </w:rPr>
            </w:pPr>
            <w:r w:rsidRPr="00D4182C">
              <w:rPr>
                <w:lang w:val="en-GB"/>
              </w:rPr>
              <w:t>Ministry of Energy Reports and Statistics</w:t>
            </w:r>
          </w:p>
          <w:p w:rsidR="00283B8F" w:rsidRPr="00D4182C" w:rsidRDefault="00283B8F" w:rsidP="00B77114">
            <w:pPr>
              <w:rPr>
                <w:lang w:val="en-GB"/>
              </w:rPr>
            </w:pPr>
            <w:r w:rsidRPr="00D4182C">
              <w:rPr>
                <w:lang w:val="en-GB"/>
              </w:rPr>
              <w:t>Draft Feasibility studies/ proposals</w:t>
            </w:r>
          </w:p>
          <w:p w:rsidR="00283B8F" w:rsidRPr="00D4182C" w:rsidRDefault="00283B8F" w:rsidP="00B77114">
            <w:pPr>
              <w:rPr>
                <w:lang w:val="en-GB"/>
              </w:rPr>
            </w:pPr>
            <w:r w:rsidRPr="00D4182C">
              <w:rPr>
                <w:lang w:val="en-GB"/>
              </w:rPr>
              <w:t>Geostat data</w:t>
            </w:r>
          </w:p>
          <w:p w:rsidR="00283B8F" w:rsidRPr="00D4182C" w:rsidRDefault="00283B8F" w:rsidP="00B77114">
            <w:pPr>
              <w:rPr>
                <w:lang w:val="en-GB"/>
              </w:rPr>
            </w:pPr>
          </w:p>
          <w:p w:rsidR="00283B8F" w:rsidRPr="00D4182C" w:rsidRDefault="00283B8F" w:rsidP="00B77114">
            <w:pPr>
              <w:rPr>
                <w:lang w:val="en-GB"/>
              </w:rPr>
            </w:pPr>
            <w:r w:rsidRPr="00D4182C">
              <w:rPr>
                <w:lang w:val="en-GB"/>
              </w:rPr>
              <w:t>IEA data</w:t>
            </w:r>
          </w:p>
          <w:p w:rsidR="00283B8F" w:rsidRPr="00D4182C" w:rsidRDefault="00283B8F" w:rsidP="00B77114">
            <w:pPr>
              <w:rPr>
                <w:b/>
                <w:lang w:val="en-GB"/>
              </w:rPr>
            </w:pPr>
          </w:p>
        </w:tc>
      </w:tr>
      <w:tr w:rsidR="00283B8F" w:rsidRPr="00932D62" w:rsidTr="006A27EA">
        <w:tc>
          <w:tcPr>
            <w:tcW w:w="3701" w:type="dxa"/>
          </w:tcPr>
          <w:p w:rsidR="00283B8F" w:rsidRPr="00D4182C" w:rsidRDefault="00283B8F" w:rsidP="00CC15DC">
            <w:pPr>
              <w:numPr>
                <w:ilvl w:val="0"/>
                <w:numId w:val="24"/>
              </w:numPr>
              <w:ind w:left="284" w:hanging="284"/>
              <w:rPr>
                <w:lang w:val="en-GB"/>
              </w:rPr>
            </w:pPr>
            <w:r w:rsidRPr="00D4182C">
              <w:rPr>
                <w:lang w:val="en-GB"/>
              </w:rPr>
              <w:t xml:space="preserve">Energy Efficiency Action Plan implemented; progress on </w:t>
            </w:r>
            <w:r w:rsidRPr="00D4182C">
              <w:rPr>
                <w:lang w:val="en-GB"/>
              </w:rPr>
              <w:lastRenderedPageBreak/>
              <w:t>energy efficiency regulation and measures in accordance with relevant commitments and protocols of Energy Community and Association Agreement</w:t>
            </w:r>
          </w:p>
        </w:tc>
        <w:tc>
          <w:tcPr>
            <w:tcW w:w="3231" w:type="dxa"/>
          </w:tcPr>
          <w:p w:rsidR="00283B8F" w:rsidRPr="00D4182C" w:rsidRDefault="00283B8F" w:rsidP="00B77114">
            <w:pPr>
              <w:rPr>
                <w:lang w:val="en-GB"/>
              </w:rPr>
            </w:pPr>
            <w:r w:rsidRPr="00D4182C">
              <w:rPr>
                <w:lang w:val="en-GB"/>
              </w:rPr>
              <w:lastRenderedPageBreak/>
              <w:t xml:space="preserve"> b1) implementation progress of the Energy Efficiency </w:t>
            </w:r>
            <w:r w:rsidRPr="00D4182C">
              <w:rPr>
                <w:lang w:val="en-GB"/>
              </w:rPr>
              <w:lastRenderedPageBreak/>
              <w:t>Action Plan</w:t>
            </w:r>
          </w:p>
          <w:p w:rsidR="00283B8F" w:rsidRDefault="00283B8F" w:rsidP="00B77114">
            <w:pPr>
              <w:rPr>
                <w:lang w:val="en-GB"/>
              </w:rPr>
            </w:pPr>
            <w:r w:rsidRPr="00D4182C">
              <w:rPr>
                <w:lang w:val="en-GB"/>
              </w:rPr>
              <w:t>b2)  % of Energy Community legislative and regulatory commitments including the energy efficiency is implemented</w:t>
            </w:r>
          </w:p>
          <w:p w:rsidR="00283B8F" w:rsidRPr="00D4182C" w:rsidRDefault="00283B8F" w:rsidP="00B440B4">
            <w:pPr>
              <w:rPr>
                <w:b/>
                <w:lang w:val="en-GB"/>
              </w:rPr>
            </w:pPr>
            <w:r>
              <w:rPr>
                <w:lang w:val="en-GB"/>
              </w:rPr>
              <w:t>b3) energy efficiency ratio for Georgia</w:t>
            </w:r>
          </w:p>
        </w:tc>
        <w:tc>
          <w:tcPr>
            <w:tcW w:w="2922" w:type="dxa"/>
          </w:tcPr>
          <w:p w:rsidR="00283B8F" w:rsidRPr="00D4182C" w:rsidRDefault="00283B8F" w:rsidP="00B77114">
            <w:pPr>
              <w:rPr>
                <w:lang w:val="en-GB"/>
              </w:rPr>
            </w:pPr>
            <w:r w:rsidRPr="00D4182C">
              <w:rPr>
                <w:lang w:val="en-GB"/>
              </w:rPr>
              <w:lastRenderedPageBreak/>
              <w:t>Ministry of Energy Reports and statistics</w:t>
            </w:r>
          </w:p>
          <w:p w:rsidR="00283B8F" w:rsidRPr="00D4182C" w:rsidRDefault="00283B8F" w:rsidP="00B77114">
            <w:pPr>
              <w:rPr>
                <w:b/>
                <w:lang w:val="en-GB"/>
              </w:rPr>
            </w:pPr>
            <w:r w:rsidRPr="00D4182C">
              <w:rPr>
                <w:lang w:val="en-GB"/>
              </w:rPr>
              <w:lastRenderedPageBreak/>
              <w:t>Reports of the Athens Energy Community Secretariat</w:t>
            </w:r>
          </w:p>
        </w:tc>
      </w:tr>
      <w:tr w:rsidR="00283B8F" w:rsidRPr="00D4182C" w:rsidTr="006A27EA">
        <w:tc>
          <w:tcPr>
            <w:tcW w:w="3701" w:type="dxa"/>
          </w:tcPr>
          <w:p w:rsidR="00283B8F" w:rsidRPr="00D4182C" w:rsidRDefault="00283B8F" w:rsidP="00CC15DC">
            <w:pPr>
              <w:numPr>
                <w:ilvl w:val="0"/>
                <w:numId w:val="24"/>
              </w:numPr>
              <w:ind w:left="284" w:hanging="284"/>
              <w:rPr>
                <w:lang w:val="en-GB"/>
              </w:rPr>
            </w:pPr>
            <w:r w:rsidRPr="00D4182C">
              <w:rPr>
                <w:lang w:val="en-GB"/>
              </w:rPr>
              <w:lastRenderedPageBreak/>
              <w:t>Renewable Energy Action Plan implemented</w:t>
            </w:r>
          </w:p>
        </w:tc>
        <w:tc>
          <w:tcPr>
            <w:tcW w:w="3231" w:type="dxa"/>
          </w:tcPr>
          <w:p w:rsidR="00283B8F" w:rsidRPr="00D4182C" w:rsidRDefault="00283B8F" w:rsidP="00B77114">
            <w:pPr>
              <w:rPr>
                <w:b/>
                <w:lang w:val="en-GB"/>
              </w:rPr>
            </w:pPr>
            <w:r w:rsidRPr="00D4182C">
              <w:rPr>
                <w:lang w:val="en-GB"/>
              </w:rPr>
              <w:t xml:space="preserve">c1)  implementation progress of  Renewable Energy Action Plan </w:t>
            </w:r>
          </w:p>
        </w:tc>
        <w:tc>
          <w:tcPr>
            <w:tcW w:w="2922" w:type="dxa"/>
          </w:tcPr>
          <w:p w:rsidR="00283B8F" w:rsidRPr="00D4182C" w:rsidRDefault="00283B8F" w:rsidP="00B77114">
            <w:pPr>
              <w:rPr>
                <w:b/>
                <w:lang w:val="en-GB"/>
              </w:rPr>
            </w:pPr>
            <w:r w:rsidRPr="00D4182C">
              <w:rPr>
                <w:lang w:val="en-GB"/>
              </w:rPr>
              <w:t>MoE and CSO reports</w:t>
            </w:r>
          </w:p>
        </w:tc>
      </w:tr>
      <w:tr w:rsidR="00283B8F" w:rsidRPr="00932D62" w:rsidTr="006A27EA">
        <w:tc>
          <w:tcPr>
            <w:tcW w:w="3701" w:type="dxa"/>
          </w:tcPr>
          <w:p w:rsidR="00283B8F" w:rsidRPr="00D4182C" w:rsidRDefault="00283B8F" w:rsidP="00CC15DC">
            <w:pPr>
              <w:numPr>
                <w:ilvl w:val="0"/>
                <w:numId w:val="24"/>
              </w:numPr>
              <w:ind w:left="284" w:hanging="284"/>
              <w:rPr>
                <w:lang w:val="en-GB"/>
              </w:rPr>
            </w:pPr>
            <w:r w:rsidRPr="00D4182C">
              <w:rPr>
                <w:lang w:val="en-GB"/>
              </w:rPr>
              <w:t>increased supply of household energy from renewable sources and enhanced energy efficiency in urban and rural areas</w:t>
            </w:r>
          </w:p>
        </w:tc>
        <w:tc>
          <w:tcPr>
            <w:tcW w:w="3231" w:type="dxa"/>
          </w:tcPr>
          <w:p w:rsidR="00283B8F" w:rsidRPr="00D4182C" w:rsidRDefault="00283B8F" w:rsidP="00B77114">
            <w:pPr>
              <w:rPr>
                <w:lang w:val="en-GB"/>
              </w:rPr>
            </w:pPr>
            <w:r w:rsidRPr="00D4182C">
              <w:rPr>
                <w:lang w:val="en-GB"/>
              </w:rPr>
              <w:t>d1) increase share (%) of renewable energy supply  in total energy supply;</w:t>
            </w:r>
          </w:p>
          <w:p w:rsidR="00283B8F" w:rsidRPr="00D4182C" w:rsidRDefault="00283B8F" w:rsidP="00B77114">
            <w:pPr>
              <w:rPr>
                <w:lang w:val="en-GB"/>
              </w:rPr>
            </w:pPr>
            <w:r w:rsidRPr="00D4182C">
              <w:rPr>
                <w:lang w:val="en-GB"/>
              </w:rPr>
              <w:t>d2) Reduction of electricity losses in electricity distribution system;</w:t>
            </w:r>
          </w:p>
          <w:p w:rsidR="00283B8F" w:rsidRPr="00D4182C" w:rsidRDefault="00283B8F" w:rsidP="00B77114">
            <w:pPr>
              <w:rPr>
                <w:lang w:val="en-GB"/>
              </w:rPr>
            </w:pPr>
            <w:r w:rsidRPr="00D4182C">
              <w:rPr>
                <w:lang w:val="en-GB"/>
              </w:rPr>
              <w:t>d3) Reduction of  natural gas losses in gas distribution system;</w:t>
            </w:r>
            <w:r w:rsidRPr="00D4182C">
              <w:rPr>
                <w:snapToGrid w:val="0"/>
                <w:lang w:val="en-GB"/>
              </w:rPr>
              <w:t xml:space="preserve"> </w:t>
            </w:r>
          </w:p>
        </w:tc>
        <w:tc>
          <w:tcPr>
            <w:tcW w:w="2922" w:type="dxa"/>
          </w:tcPr>
          <w:p w:rsidR="00283B8F" w:rsidRPr="00D4182C" w:rsidRDefault="00283B8F" w:rsidP="00B77114">
            <w:pPr>
              <w:rPr>
                <w:lang w:val="en-GB"/>
              </w:rPr>
            </w:pPr>
            <w:r w:rsidRPr="00D4182C">
              <w:rPr>
                <w:lang w:val="en-GB"/>
              </w:rPr>
              <w:t>Ministry of Energy Reports/Data</w:t>
            </w:r>
          </w:p>
          <w:p w:rsidR="00283B8F" w:rsidRPr="00D4182C" w:rsidRDefault="00283B8F" w:rsidP="00B77114">
            <w:pPr>
              <w:rPr>
                <w:lang w:val="en-GB"/>
              </w:rPr>
            </w:pPr>
          </w:p>
          <w:p w:rsidR="00283B8F" w:rsidRPr="00D4182C" w:rsidRDefault="00283B8F" w:rsidP="00B77114">
            <w:pPr>
              <w:rPr>
                <w:lang w:val="en-GB"/>
              </w:rPr>
            </w:pPr>
            <w:r w:rsidRPr="00D4182C">
              <w:rPr>
                <w:lang w:val="en-GB"/>
              </w:rPr>
              <w:t>EU project reports</w:t>
            </w:r>
          </w:p>
        </w:tc>
      </w:tr>
      <w:tr w:rsidR="00283B8F" w:rsidRPr="00932D62" w:rsidTr="006A27EA">
        <w:tc>
          <w:tcPr>
            <w:tcW w:w="9854" w:type="dxa"/>
            <w:gridSpan w:val="3"/>
          </w:tcPr>
          <w:p w:rsidR="00283B8F" w:rsidRPr="00D4182C" w:rsidRDefault="00283B8F" w:rsidP="00B77114">
            <w:pPr>
              <w:rPr>
                <w:b/>
                <w:lang w:val="en-GB"/>
              </w:rPr>
            </w:pPr>
          </w:p>
          <w:p w:rsidR="00283B8F" w:rsidRPr="00D4182C" w:rsidRDefault="00283B8F" w:rsidP="00B77114">
            <w:pPr>
              <w:rPr>
                <w:lang w:val="en-GB"/>
              </w:rPr>
            </w:pPr>
            <w:r w:rsidRPr="00D4182C">
              <w:rPr>
                <w:b/>
                <w:lang w:val="en-GB"/>
              </w:rPr>
              <w:t xml:space="preserve">Specific objective 2 </w:t>
            </w:r>
            <w:r w:rsidRPr="00D4182C">
              <w:rPr>
                <w:lang w:val="en-GB"/>
              </w:rPr>
              <w:t xml:space="preserve">to </w:t>
            </w:r>
            <w:r w:rsidRPr="000E4EEA">
              <w:rPr>
                <w:lang w:val="en-US"/>
              </w:rPr>
              <w:t>build</w:t>
            </w:r>
            <w:r w:rsidRPr="00D4182C">
              <w:rPr>
                <w:lang w:val="en-GB"/>
              </w:rPr>
              <w:t xml:space="preserve">, </w:t>
            </w:r>
            <w:r w:rsidRPr="000E4EEA">
              <w:rPr>
                <w:lang w:val="en-US"/>
              </w:rPr>
              <w:t>rehabilitate</w:t>
            </w:r>
            <w:r w:rsidRPr="00D4182C">
              <w:rPr>
                <w:lang w:val="en-GB"/>
              </w:rPr>
              <w:t xml:space="preserve"> and upgrade infrastructures and to </w:t>
            </w:r>
            <w:r w:rsidRPr="000E4EEA">
              <w:rPr>
                <w:lang w:val="en-US"/>
              </w:rPr>
              <w:t>promote</w:t>
            </w:r>
            <w:r w:rsidRPr="00D4182C">
              <w:rPr>
                <w:lang w:val="en-GB"/>
              </w:rPr>
              <w:t xml:space="preserve"> </w:t>
            </w:r>
            <w:r w:rsidRPr="000E4EEA">
              <w:rPr>
                <w:lang w:val="en-US"/>
              </w:rPr>
              <w:t>energy</w:t>
            </w:r>
            <w:r w:rsidRPr="00D4182C">
              <w:rPr>
                <w:lang w:val="en-GB"/>
              </w:rPr>
              <w:t xml:space="preserve"> interconnections for </w:t>
            </w:r>
            <w:r w:rsidRPr="000E4EEA">
              <w:rPr>
                <w:lang w:val="en-US"/>
              </w:rPr>
              <w:t>market</w:t>
            </w:r>
            <w:r w:rsidRPr="00D4182C">
              <w:rPr>
                <w:lang w:val="en-GB"/>
              </w:rPr>
              <w:t xml:space="preserve"> </w:t>
            </w:r>
            <w:r w:rsidRPr="000E4EEA">
              <w:rPr>
                <w:lang w:val="en-US"/>
              </w:rPr>
              <w:t>development</w:t>
            </w:r>
            <w:r w:rsidRPr="00D4182C">
              <w:rPr>
                <w:lang w:val="en-GB"/>
              </w:rPr>
              <w:t xml:space="preserve"> and </w:t>
            </w:r>
            <w:r w:rsidRPr="000E4EEA">
              <w:rPr>
                <w:lang w:val="en-US"/>
              </w:rPr>
              <w:t>security</w:t>
            </w:r>
            <w:r w:rsidRPr="00D4182C">
              <w:rPr>
                <w:lang w:val="en-GB"/>
              </w:rPr>
              <w:t xml:space="preserve"> </w:t>
            </w:r>
            <w:r w:rsidRPr="000E4EEA">
              <w:rPr>
                <w:lang w:val="en-US"/>
              </w:rPr>
              <w:t>purposes</w:t>
            </w:r>
            <w:r w:rsidRPr="00D4182C">
              <w:rPr>
                <w:b/>
                <w:lang w:val="en-GB"/>
              </w:rPr>
              <w:t>.</w:t>
            </w:r>
          </w:p>
        </w:tc>
      </w:tr>
      <w:tr w:rsidR="00283B8F" w:rsidRPr="00D4182C" w:rsidTr="006A27EA">
        <w:tc>
          <w:tcPr>
            <w:tcW w:w="3701" w:type="dxa"/>
          </w:tcPr>
          <w:p w:rsidR="00283B8F" w:rsidRPr="00D4182C" w:rsidRDefault="00283B8F" w:rsidP="00B77114">
            <w:pPr>
              <w:rPr>
                <w:lang w:val="en-GB"/>
              </w:rPr>
            </w:pPr>
            <w:r w:rsidRPr="00D4182C">
              <w:rPr>
                <w:b/>
                <w:u w:val="single"/>
                <w:lang w:val="en-GB"/>
              </w:rPr>
              <w:t>Expected Results</w:t>
            </w:r>
          </w:p>
        </w:tc>
        <w:tc>
          <w:tcPr>
            <w:tcW w:w="3231" w:type="dxa"/>
          </w:tcPr>
          <w:p w:rsidR="00283B8F" w:rsidRPr="00D4182C" w:rsidRDefault="00283B8F" w:rsidP="00B77114">
            <w:pPr>
              <w:rPr>
                <w:lang w:val="en-GB"/>
              </w:rPr>
            </w:pPr>
            <w:r w:rsidRPr="00D4182C">
              <w:rPr>
                <w:b/>
                <w:u w:val="single"/>
                <w:lang w:val="en-GB"/>
              </w:rPr>
              <w:t>Indicators</w:t>
            </w:r>
          </w:p>
        </w:tc>
        <w:tc>
          <w:tcPr>
            <w:tcW w:w="2922" w:type="dxa"/>
          </w:tcPr>
          <w:p w:rsidR="00283B8F" w:rsidRPr="00D4182C" w:rsidRDefault="00283B8F" w:rsidP="00B77114">
            <w:pPr>
              <w:rPr>
                <w:lang w:val="en-GB"/>
              </w:rPr>
            </w:pPr>
            <w:r w:rsidRPr="00D4182C">
              <w:rPr>
                <w:b/>
                <w:u w:val="single"/>
                <w:lang w:val="en-GB"/>
              </w:rPr>
              <w:t xml:space="preserve">Means of </w:t>
            </w:r>
            <w:r w:rsidRPr="00D4182C">
              <w:rPr>
                <w:b/>
                <w:u w:val="single"/>
                <w:lang w:val="en-GB"/>
              </w:rPr>
              <w:br/>
              <w:t>verification</w:t>
            </w:r>
          </w:p>
        </w:tc>
      </w:tr>
      <w:tr w:rsidR="00283B8F" w:rsidRPr="00932D62" w:rsidTr="006A27EA">
        <w:tc>
          <w:tcPr>
            <w:tcW w:w="3701" w:type="dxa"/>
          </w:tcPr>
          <w:p w:rsidR="00283B8F" w:rsidRPr="00D4182C" w:rsidRDefault="00283B8F" w:rsidP="00CC15DC">
            <w:pPr>
              <w:numPr>
                <w:ilvl w:val="0"/>
                <w:numId w:val="34"/>
              </w:numPr>
              <w:ind w:left="284" w:hanging="284"/>
              <w:rPr>
                <w:lang w:val="en-GB"/>
              </w:rPr>
            </w:pPr>
            <w:r w:rsidRPr="00D4182C">
              <w:rPr>
                <w:lang w:val="en-GB"/>
              </w:rPr>
              <w:t xml:space="preserve">Stable, affordable and </w:t>
            </w:r>
            <w:r w:rsidRPr="000E4EEA">
              <w:rPr>
                <w:lang w:val="en-US"/>
              </w:rPr>
              <w:t>Reliable</w:t>
            </w:r>
            <w:r w:rsidRPr="00D4182C">
              <w:rPr>
                <w:lang w:val="en-GB"/>
              </w:rPr>
              <w:t xml:space="preserve"> </w:t>
            </w:r>
            <w:r w:rsidRPr="000E4EEA">
              <w:rPr>
                <w:lang w:val="en-US"/>
              </w:rPr>
              <w:t>energy</w:t>
            </w:r>
            <w:r w:rsidRPr="00D4182C">
              <w:rPr>
                <w:lang w:val="en-GB"/>
              </w:rPr>
              <w:t xml:space="preserve"> </w:t>
            </w:r>
            <w:r w:rsidRPr="000E4EEA">
              <w:rPr>
                <w:lang w:val="en-US"/>
              </w:rPr>
              <w:t>supply</w:t>
            </w:r>
            <w:r w:rsidRPr="00D4182C">
              <w:rPr>
                <w:lang w:val="en-GB"/>
              </w:rPr>
              <w:t xml:space="preserve"> (</w:t>
            </w:r>
            <w:r w:rsidRPr="000E4EEA">
              <w:rPr>
                <w:lang w:val="en-US"/>
              </w:rPr>
              <w:t>energy</w:t>
            </w:r>
            <w:r w:rsidRPr="00D4182C">
              <w:rPr>
                <w:lang w:val="en-GB"/>
              </w:rPr>
              <w:t xml:space="preserve"> </w:t>
            </w:r>
            <w:r w:rsidRPr="000E4EEA">
              <w:rPr>
                <w:lang w:val="en-US"/>
              </w:rPr>
              <w:t>security</w:t>
            </w:r>
            <w:r w:rsidRPr="00D4182C">
              <w:rPr>
                <w:lang w:val="en-GB"/>
              </w:rPr>
              <w:t>) and strengthened d</w:t>
            </w:r>
            <w:r w:rsidRPr="000E4EEA">
              <w:rPr>
                <w:lang w:val="en-US"/>
              </w:rPr>
              <w:t>omestic production and infrastructure</w:t>
            </w:r>
          </w:p>
          <w:p w:rsidR="00283B8F" w:rsidRPr="00D4182C" w:rsidRDefault="00283B8F" w:rsidP="00B77114">
            <w:pPr>
              <w:rPr>
                <w:lang w:val="en-GB"/>
              </w:rPr>
            </w:pPr>
          </w:p>
        </w:tc>
        <w:tc>
          <w:tcPr>
            <w:tcW w:w="3231" w:type="dxa"/>
          </w:tcPr>
          <w:p w:rsidR="00283B8F" w:rsidRPr="00D4182C" w:rsidRDefault="00283B8F" w:rsidP="00B77114">
            <w:pPr>
              <w:rPr>
                <w:lang w:val="en-GB"/>
              </w:rPr>
            </w:pPr>
            <w:r w:rsidRPr="00D4182C">
              <w:rPr>
                <w:lang w:val="en-GB"/>
              </w:rPr>
              <w:t xml:space="preserve">a1) Increased electricity trade  balance with neighbouring countries </w:t>
            </w:r>
          </w:p>
          <w:p w:rsidR="00283B8F" w:rsidRPr="00D4182C" w:rsidRDefault="00283B8F" w:rsidP="00B77114">
            <w:pPr>
              <w:rPr>
                <w:lang w:val="en-GB"/>
              </w:rPr>
            </w:pPr>
            <w:r w:rsidRPr="00D4182C">
              <w:rPr>
                <w:lang w:val="en-GB"/>
              </w:rPr>
              <w:t>a2)  % of rehabilitated of internal electricity transmission network and number of  new substations</w:t>
            </w:r>
          </w:p>
          <w:p w:rsidR="00283B8F" w:rsidRPr="00D4182C" w:rsidRDefault="00283B8F" w:rsidP="00B77114">
            <w:pPr>
              <w:rPr>
                <w:lang w:val="en-GB"/>
              </w:rPr>
            </w:pPr>
            <w:r w:rsidRPr="00D4182C">
              <w:rPr>
                <w:lang w:val="en-GB"/>
              </w:rPr>
              <w:t xml:space="preserve">a3) % of  rehabilitated/ new gas transmission lines </w:t>
            </w:r>
          </w:p>
          <w:p w:rsidR="00283B8F" w:rsidRPr="00D4182C" w:rsidRDefault="00283B8F" w:rsidP="00B77114">
            <w:pPr>
              <w:rPr>
                <w:lang w:val="en-GB"/>
              </w:rPr>
            </w:pPr>
            <w:r w:rsidRPr="00D4182C">
              <w:rPr>
                <w:lang w:val="en-GB"/>
              </w:rPr>
              <w:t>a4) increase in uninterrupted energy supply to all households</w:t>
            </w:r>
          </w:p>
          <w:p w:rsidR="00283B8F" w:rsidRPr="00D4182C" w:rsidRDefault="00283B8F" w:rsidP="00B77114">
            <w:pPr>
              <w:rPr>
                <w:lang w:val="en-GB"/>
              </w:rPr>
            </w:pPr>
            <w:r w:rsidRPr="00D4182C">
              <w:rPr>
                <w:lang w:val="en-GB"/>
              </w:rPr>
              <w:t xml:space="preserve">a5) Energy security index of  WEC </w:t>
            </w:r>
          </w:p>
        </w:tc>
        <w:tc>
          <w:tcPr>
            <w:tcW w:w="2922" w:type="dxa"/>
          </w:tcPr>
          <w:p w:rsidR="00283B8F" w:rsidRPr="00D4182C" w:rsidRDefault="00283B8F" w:rsidP="00B77114">
            <w:pPr>
              <w:rPr>
                <w:lang w:val="en-GB"/>
              </w:rPr>
            </w:pPr>
            <w:r w:rsidRPr="00D4182C">
              <w:rPr>
                <w:lang w:val="en-GB"/>
              </w:rPr>
              <w:t>Ministry of Energy Reports/Statistics</w:t>
            </w:r>
          </w:p>
          <w:p w:rsidR="00283B8F" w:rsidRPr="00D4182C" w:rsidRDefault="00283B8F" w:rsidP="00B77114">
            <w:pPr>
              <w:rPr>
                <w:lang w:val="en-GB"/>
              </w:rPr>
            </w:pPr>
          </w:p>
          <w:p w:rsidR="00283B8F" w:rsidRPr="00D4182C" w:rsidRDefault="00283B8F" w:rsidP="00B77114">
            <w:pPr>
              <w:rPr>
                <w:lang w:val="en-GB"/>
              </w:rPr>
            </w:pPr>
            <w:r w:rsidRPr="00D4182C">
              <w:rPr>
                <w:lang w:val="en-GB"/>
              </w:rPr>
              <w:t>World Energy Council data</w:t>
            </w:r>
          </w:p>
        </w:tc>
      </w:tr>
      <w:tr w:rsidR="00283B8F" w:rsidRPr="00932D62" w:rsidTr="00FD4AC5">
        <w:tc>
          <w:tcPr>
            <w:tcW w:w="9854" w:type="dxa"/>
            <w:gridSpan w:val="3"/>
          </w:tcPr>
          <w:p w:rsidR="00283B8F" w:rsidRPr="00D4182C" w:rsidRDefault="00283B8F" w:rsidP="00FD4AC5">
            <w:pPr>
              <w:rPr>
                <w:lang w:val="en-GB"/>
              </w:rPr>
            </w:pPr>
            <w:r w:rsidRPr="00D4182C">
              <w:rPr>
                <w:b/>
                <w:lang w:val="en-GB"/>
              </w:rPr>
              <w:t xml:space="preserve">Specific objective 3  </w:t>
            </w:r>
            <w:r w:rsidRPr="000E4EEA">
              <w:rPr>
                <w:lang w:val="en-US"/>
              </w:rPr>
              <w:t>to develop the circular economy, meet Paris targets on emission reduction, to enhance environmentally-friendly policy making, promote sustainable production and consumption, to strengthen the capacity for environmental protection, to support the extension of sustainable waste and water management systems</w:t>
            </w:r>
            <w:r w:rsidR="00FD4AC5" w:rsidRPr="000E4EEA">
              <w:rPr>
                <w:lang w:val="en-US"/>
              </w:rPr>
              <w:t xml:space="preserve"> and valorization of wastes</w:t>
            </w:r>
            <w:r w:rsidRPr="000E4EEA">
              <w:rPr>
                <w:lang w:val="en-US"/>
              </w:rPr>
              <w:t>;</w:t>
            </w:r>
          </w:p>
        </w:tc>
      </w:tr>
      <w:tr w:rsidR="00283B8F" w:rsidRPr="00D4182C" w:rsidTr="006A27EA">
        <w:tc>
          <w:tcPr>
            <w:tcW w:w="3701" w:type="dxa"/>
          </w:tcPr>
          <w:p w:rsidR="00283B8F" w:rsidRPr="00D4182C" w:rsidRDefault="00283B8F" w:rsidP="00B77114">
            <w:pPr>
              <w:rPr>
                <w:lang w:val="en-GB"/>
              </w:rPr>
            </w:pPr>
            <w:r w:rsidRPr="00D4182C">
              <w:rPr>
                <w:b/>
                <w:u w:val="single"/>
                <w:lang w:val="en-GB"/>
              </w:rPr>
              <w:t>Expected Results</w:t>
            </w:r>
          </w:p>
        </w:tc>
        <w:tc>
          <w:tcPr>
            <w:tcW w:w="3231" w:type="dxa"/>
          </w:tcPr>
          <w:p w:rsidR="00283B8F" w:rsidRPr="00D4182C" w:rsidRDefault="00283B8F" w:rsidP="00B77114">
            <w:pPr>
              <w:rPr>
                <w:lang w:val="en-GB"/>
              </w:rPr>
            </w:pPr>
            <w:r w:rsidRPr="00D4182C">
              <w:rPr>
                <w:b/>
                <w:u w:val="single"/>
                <w:lang w:val="en-GB"/>
              </w:rPr>
              <w:t>Indicators</w:t>
            </w:r>
          </w:p>
        </w:tc>
        <w:tc>
          <w:tcPr>
            <w:tcW w:w="2922" w:type="dxa"/>
          </w:tcPr>
          <w:p w:rsidR="00283B8F" w:rsidRPr="000E4EEA" w:rsidRDefault="00283B8F" w:rsidP="00B77114">
            <w:r w:rsidRPr="00D4182C">
              <w:rPr>
                <w:b/>
                <w:u w:val="single"/>
                <w:lang w:val="en-GB"/>
              </w:rPr>
              <w:t xml:space="preserve">Means of </w:t>
            </w:r>
            <w:r w:rsidRPr="00D4182C">
              <w:rPr>
                <w:b/>
                <w:u w:val="single"/>
                <w:lang w:val="en-GB"/>
              </w:rPr>
              <w:br/>
              <w:t>verification</w:t>
            </w:r>
          </w:p>
        </w:tc>
      </w:tr>
      <w:tr w:rsidR="00283B8F" w:rsidRPr="00932D62" w:rsidTr="006A27EA">
        <w:tc>
          <w:tcPr>
            <w:tcW w:w="3701" w:type="dxa"/>
          </w:tcPr>
          <w:p w:rsidR="00283B8F" w:rsidRPr="00D4182C" w:rsidRDefault="00283B8F" w:rsidP="00CC15DC">
            <w:pPr>
              <w:numPr>
                <w:ilvl w:val="0"/>
                <w:numId w:val="23"/>
              </w:numPr>
              <w:ind w:left="284" w:hanging="284"/>
              <w:rPr>
                <w:lang w:val="en-GB"/>
              </w:rPr>
            </w:pPr>
            <w:r w:rsidRPr="00D4182C">
              <w:rPr>
                <w:lang w:val="en-GB"/>
              </w:rPr>
              <w:t>Improved environment for data monitoring and collection, as well as data management and interpretation</w:t>
            </w:r>
          </w:p>
        </w:tc>
        <w:tc>
          <w:tcPr>
            <w:tcW w:w="3231" w:type="dxa"/>
          </w:tcPr>
          <w:p w:rsidR="00283B8F" w:rsidRPr="00D4182C" w:rsidRDefault="00283B8F" w:rsidP="00B77114">
            <w:pPr>
              <w:rPr>
                <w:lang w:val="en-GB"/>
              </w:rPr>
            </w:pPr>
            <w:r w:rsidRPr="00D4182C">
              <w:rPr>
                <w:lang w:val="en-GB"/>
              </w:rPr>
              <w:t xml:space="preserve">a) % of national, regional and international commitments related to environmental reporting implemented in line with the requirements of the EU-GE Association Agreement and the EU/EEA </w:t>
            </w:r>
            <w:r w:rsidRPr="00D4182C">
              <w:rPr>
                <w:lang w:val="en-GB"/>
              </w:rPr>
              <w:lastRenderedPageBreak/>
              <w:t xml:space="preserve">best practices </w:t>
            </w:r>
          </w:p>
        </w:tc>
        <w:tc>
          <w:tcPr>
            <w:tcW w:w="2922" w:type="dxa"/>
          </w:tcPr>
          <w:p w:rsidR="00283B8F" w:rsidRPr="00D4182C" w:rsidRDefault="00283B8F" w:rsidP="00B77114">
            <w:pPr>
              <w:rPr>
                <w:lang w:val="en-GB"/>
              </w:rPr>
            </w:pPr>
            <w:r w:rsidRPr="00D4182C">
              <w:rPr>
                <w:lang w:val="en-GB"/>
              </w:rPr>
              <w:lastRenderedPageBreak/>
              <w:t>Reports of the Ministry of Natural Recourses and Environmental protection  (MoNREP)</w:t>
            </w:r>
          </w:p>
          <w:p w:rsidR="00283B8F" w:rsidRPr="00D4182C" w:rsidRDefault="00283B8F" w:rsidP="00B77114">
            <w:pPr>
              <w:rPr>
                <w:lang w:val="en-GB"/>
              </w:rPr>
            </w:pPr>
            <w:r w:rsidRPr="00D4182C">
              <w:rPr>
                <w:lang w:val="en-GB"/>
              </w:rPr>
              <w:t xml:space="preserve"> </w:t>
            </w:r>
          </w:p>
        </w:tc>
      </w:tr>
      <w:tr w:rsidR="00283B8F" w:rsidRPr="00932D62" w:rsidTr="006A27EA">
        <w:tc>
          <w:tcPr>
            <w:tcW w:w="3701" w:type="dxa"/>
          </w:tcPr>
          <w:p w:rsidR="00283B8F" w:rsidRPr="00D4182C" w:rsidRDefault="00283B8F" w:rsidP="00CC15DC">
            <w:pPr>
              <w:numPr>
                <w:ilvl w:val="0"/>
                <w:numId w:val="23"/>
              </w:numPr>
              <w:ind w:left="284" w:hanging="284"/>
              <w:rPr>
                <w:lang w:val="en-GB"/>
              </w:rPr>
            </w:pPr>
            <w:r w:rsidRPr="00D4182C">
              <w:rPr>
                <w:lang w:val="en-GB"/>
              </w:rPr>
              <w:lastRenderedPageBreak/>
              <w:t>increased overall 'green' awareness and literacy of the population</w:t>
            </w:r>
          </w:p>
        </w:tc>
        <w:tc>
          <w:tcPr>
            <w:tcW w:w="3231" w:type="dxa"/>
          </w:tcPr>
          <w:p w:rsidR="00283B8F" w:rsidRPr="00D4182C" w:rsidRDefault="00283B8F" w:rsidP="00B77114">
            <w:pPr>
              <w:rPr>
                <w:lang w:val="en-GB"/>
              </w:rPr>
            </w:pPr>
            <w:r w:rsidRPr="00D4182C">
              <w:rPr>
                <w:lang w:val="en-GB"/>
              </w:rPr>
              <w:t xml:space="preserve">b1)  Increased number of people with knowledge and awareness about green economy approaches (disaggregated by occupation and </w:t>
            </w:r>
            <w:r w:rsidR="00324E67">
              <w:rPr>
                <w:lang w:val="en-GB"/>
              </w:rPr>
              <w:t>gender</w:t>
            </w:r>
            <w:r w:rsidRPr="00D4182C">
              <w:rPr>
                <w:lang w:val="en-GB"/>
              </w:rPr>
              <w:t>);</w:t>
            </w:r>
          </w:p>
        </w:tc>
        <w:tc>
          <w:tcPr>
            <w:tcW w:w="2922" w:type="dxa"/>
          </w:tcPr>
          <w:p w:rsidR="00283B8F" w:rsidRPr="00D4182C" w:rsidRDefault="00283B8F" w:rsidP="00B77114">
            <w:pPr>
              <w:rPr>
                <w:lang w:val="en-GB"/>
              </w:rPr>
            </w:pPr>
            <w:r w:rsidRPr="00D4182C">
              <w:rPr>
                <w:lang w:val="en-GB"/>
              </w:rPr>
              <w:t>MoNREP reports</w:t>
            </w:r>
          </w:p>
          <w:p w:rsidR="00283B8F" w:rsidRPr="00D4182C" w:rsidRDefault="00283B8F" w:rsidP="00B77114">
            <w:pPr>
              <w:rPr>
                <w:lang w:val="en-GB"/>
              </w:rPr>
            </w:pPr>
            <w:r w:rsidRPr="00D4182C">
              <w:rPr>
                <w:lang w:val="en-GB"/>
              </w:rPr>
              <w:t xml:space="preserve">Annual Reports of Ministry of Agriculture, </w:t>
            </w:r>
          </w:p>
        </w:tc>
      </w:tr>
      <w:tr w:rsidR="00283B8F" w:rsidRPr="00932D62" w:rsidTr="006A27EA">
        <w:tc>
          <w:tcPr>
            <w:tcW w:w="3701" w:type="dxa"/>
          </w:tcPr>
          <w:p w:rsidR="00283B8F" w:rsidRPr="00D4182C" w:rsidRDefault="00283B8F" w:rsidP="00CC15DC">
            <w:pPr>
              <w:numPr>
                <w:ilvl w:val="0"/>
                <w:numId w:val="23"/>
              </w:numPr>
              <w:ind w:left="284" w:hanging="284"/>
              <w:rPr>
                <w:lang w:val="en-GB"/>
              </w:rPr>
            </w:pPr>
            <w:r w:rsidRPr="00D4182C">
              <w:rPr>
                <w:lang w:val="en-GB"/>
              </w:rPr>
              <w:t>green economy promoted, including turning environment related EU approximation into opportunities for SMEs and business in general</w:t>
            </w:r>
          </w:p>
        </w:tc>
        <w:tc>
          <w:tcPr>
            <w:tcW w:w="3231" w:type="dxa"/>
          </w:tcPr>
          <w:p w:rsidR="00283B8F" w:rsidRPr="00D4182C" w:rsidRDefault="00283B8F" w:rsidP="00B77114">
            <w:pPr>
              <w:rPr>
                <w:lang w:val="en-GB"/>
              </w:rPr>
            </w:pPr>
            <w:r w:rsidRPr="00D4182C">
              <w:rPr>
                <w:lang w:val="en-GB"/>
              </w:rPr>
              <w:t>c1) Increased number of pilot projects implemented which effectively introduce good practices under a green economy approach;</w:t>
            </w:r>
          </w:p>
          <w:p w:rsidR="00283B8F" w:rsidRPr="00D4182C" w:rsidRDefault="00283B8F" w:rsidP="00B77114">
            <w:pPr>
              <w:rPr>
                <w:lang w:val="en-GB"/>
              </w:rPr>
            </w:pPr>
            <w:r w:rsidRPr="00D4182C">
              <w:rPr>
                <w:lang w:val="en-GB"/>
              </w:rPr>
              <w:t xml:space="preserve">c2) Increased number of new jobs created  following the implementation of  pilot projects introducing green economy approaches (disaggregated by sector and </w:t>
            </w:r>
            <w:r w:rsidR="00324E67">
              <w:rPr>
                <w:lang w:val="en-GB"/>
              </w:rPr>
              <w:t>gender</w:t>
            </w:r>
            <w:r w:rsidRPr="00D4182C">
              <w:rPr>
                <w:lang w:val="en-GB"/>
              </w:rPr>
              <w:t>)</w:t>
            </w:r>
          </w:p>
          <w:p w:rsidR="00283B8F" w:rsidRPr="00D4182C" w:rsidRDefault="00283B8F" w:rsidP="00B77114">
            <w:pPr>
              <w:rPr>
                <w:lang w:val="en-GB"/>
              </w:rPr>
            </w:pPr>
            <w:r w:rsidRPr="00D4182C">
              <w:rPr>
                <w:lang w:val="en-GB"/>
              </w:rPr>
              <w:t>c3) % increase in investments from public and private operators introducing good practices under the green economy approaches in agriculture, energy, water and transport secto</w:t>
            </w:r>
          </w:p>
        </w:tc>
        <w:tc>
          <w:tcPr>
            <w:tcW w:w="2922" w:type="dxa"/>
          </w:tcPr>
          <w:p w:rsidR="00283B8F" w:rsidRPr="00D4182C" w:rsidRDefault="00283B8F" w:rsidP="00B77114">
            <w:pPr>
              <w:rPr>
                <w:lang w:val="en-GB"/>
              </w:rPr>
            </w:pPr>
            <w:r w:rsidRPr="00D4182C">
              <w:rPr>
                <w:lang w:val="en-GB"/>
              </w:rPr>
              <w:t>Reports of the Ministry of Economy;</w:t>
            </w:r>
          </w:p>
          <w:p w:rsidR="00283B8F" w:rsidRPr="00D4182C" w:rsidRDefault="00283B8F" w:rsidP="00B77114">
            <w:pPr>
              <w:rPr>
                <w:lang w:val="en-GB"/>
              </w:rPr>
            </w:pPr>
          </w:p>
          <w:p w:rsidR="00283B8F" w:rsidRPr="00D4182C" w:rsidRDefault="00283B8F" w:rsidP="00B77114">
            <w:pPr>
              <w:rPr>
                <w:lang w:val="en-GB"/>
              </w:rPr>
            </w:pPr>
            <w:r w:rsidRPr="00D4182C">
              <w:rPr>
                <w:lang w:val="en-GB"/>
              </w:rPr>
              <w:t>Project  progress and Final Reports</w:t>
            </w:r>
          </w:p>
          <w:p w:rsidR="00283B8F" w:rsidRPr="00D4182C" w:rsidRDefault="00283B8F" w:rsidP="00B77114">
            <w:pPr>
              <w:rPr>
                <w:lang w:val="en-GB"/>
              </w:rPr>
            </w:pPr>
          </w:p>
          <w:p w:rsidR="00283B8F" w:rsidRPr="00D4182C" w:rsidRDefault="00283B8F" w:rsidP="00B77114">
            <w:pPr>
              <w:rPr>
                <w:lang w:val="en-GB"/>
              </w:rPr>
            </w:pPr>
            <w:r w:rsidRPr="00D4182C">
              <w:rPr>
                <w:lang w:val="en-GB"/>
              </w:rPr>
              <w:t>Evaluation report</w:t>
            </w:r>
          </w:p>
          <w:p w:rsidR="00283B8F" w:rsidRPr="00D4182C" w:rsidRDefault="00283B8F" w:rsidP="00B77114">
            <w:pPr>
              <w:rPr>
                <w:lang w:val="en-GB"/>
              </w:rPr>
            </w:pPr>
          </w:p>
          <w:p w:rsidR="00283B8F" w:rsidRPr="00D4182C" w:rsidRDefault="00283B8F" w:rsidP="00B77114">
            <w:pPr>
              <w:rPr>
                <w:lang w:val="en-GB"/>
              </w:rPr>
            </w:pPr>
          </w:p>
          <w:p w:rsidR="00283B8F" w:rsidRPr="00D4182C" w:rsidRDefault="00283B8F" w:rsidP="00B77114">
            <w:pPr>
              <w:rPr>
                <w:lang w:val="en-GB"/>
              </w:rPr>
            </w:pPr>
          </w:p>
        </w:tc>
      </w:tr>
      <w:tr w:rsidR="00283B8F" w:rsidRPr="00932D62" w:rsidTr="006A27EA">
        <w:tc>
          <w:tcPr>
            <w:tcW w:w="3701" w:type="dxa"/>
          </w:tcPr>
          <w:p w:rsidR="00283B8F" w:rsidRPr="00D4182C" w:rsidRDefault="00283B8F" w:rsidP="00CC15DC">
            <w:pPr>
              <w:numPr>
                <w:ilvl w:val="0"/>
                <w:numId w:val="23"/>
              </w:numPr>
              <w:spacing w:after="120"/>
              <w:ind w:left="284" w:hanging="284"/>
              <w:jc w:val="both"/>
              <w:rPr>
                <w:lang w:val="en-GB"/>
              </w:rPr>
            </w:pPr>
            <w:r w:rsidRPr="00D4182C">
              <w:rPr>
                <w:lang w:val="en-GB"/>
              </w:rPr>
              <w:t>Reduced level of air pollution, especially in urban areas.</w:t>
            </w:r>
          </w:p>
          <w:p w:rsidR="00283B8F" w:rsidRPr="00D4182C" w:rsidRDefault="00283B8F" w:rsidP="0056593B">
            <w:pPr>
              <w:ind w:left="284" w:hanging="284"/>
              <w:rPr>
                <w:lang w:val="en-GB"/>
              </w:rPr>
            </w:pPr>
          </w:p>
        </w:tc>
        <w:tc>
          <w:tcPr>
            <w:tcW w:w="3231" w:type="dxa"/>
          </w:tcPr>
          <w:p w:rsidR="00283B8F" w:rsidRPr="00D4182C" w:rsidRDefault="00283B8F" w:rsidP="00B77114">
            <w:pPr>
              <w:rPr>
                <w:lang w:val="en-GB"/>
              </w:rPr>
            </w:pPr>
            <w:r w:rsidRPr="00D4182C">
              <w:rPr>
                <w:lang w:val="en-GB"/>
              </w:rPr>
              <w:t>d1) Increased number of  municipalities implementing  measures for the effective reduction of air pollution;</w:t>
            </w:r>
          </w:p>
          <w:p w:rsidR="00283B8F" w:rsidRPr="00D4182C" w:rsidRDefault="00283B8F" w:rsidP="00B77114">
            <w:pPr>
              <w:spacing w:after="120"/>
              <w:jc w:val="both"/>
              <w:rPr>
                <w:lang w:val="en-GB"/>
              </w:rPr>
            </w:pPr>
            <w:r w:rsidRPr="00D4182C">
              <w:rPr>
                <w:lang w:val="en-GB"/>
              </w:rPr>
              <w:t xml:space="preserve">d2) Increased % reduction of the values from core air pollutants in selected urban agglomerations including Primary particulate matter, Sulphur dioxide (SO2) and/or Nitrogen oxides (NOx) </w:t>
            </w:r>
          </w:p>
          <w:p w:rsidR="00283B8F" w:rsidRPr="00D4182C" w:rsidRDefault="00283B8F" w:rsidP="00B77114">
            <w:pPr>
              <w:spacing w:after="120"/>
              <w:jc w:val="both"/>
              <w:rPr>
                <w:lang w:val="en-GB"/>
              </w:rPr>
            </w:pPr>
            <w:r w:rsidRPr="00D4182C">
              <w:rPr>
                <w:lang w:val="en-GB"/>
              </w:rPr>
              <w:t>d3) Increased % reduction of CO</w:t>
            </w:r>
            <w:r w:rsidRPr="00D4182C">
              <w:rPr>
                <w:vertAlign w:val="subscript"/>
                <w:lang w:val="en-GB"/>
              </w:rPr>
              <w:t>2</w:t>
            </w:r>
            <w:r w:rsidRPr="00D4182C">
              <w:rPr>
                <w:lang w:val="en-GB"/>
              </w:rPr>
              <w:t xml:space="preserve"> in the municipalities taking part in the Covenant of Mayors initiative</w:t>
            </w:r>
          </w:p>
          <w:p w:rsidR="00283B8F" w:rsidRPr="00D4182C" w:rsidRDefault="00283B8F" w:rsidP="00B77114">
            <w:pPr>
              <w:rPr>
                <w:lang w:val="en-GB"/>
              </w:rPr>
            </w:pPr>
            <w:r w:rsidRPr="00D4182C">
              <w:rPr>
                <w:lang w:val="en-GB"/>
              </w:rPr>
              <w:t xml:space="preserve">d4) By 2030 15% of GHG emissions reduced compared to Business as Usual (BAU) scenario based on different mitigation measures integration in policy documents such as Low Emission Development Strategy, Climate Action Plan for 2021-2030 and Nationally </w:t>
            </w:r>
            <w:r w:rsidRPr="00D4182C">
              <w:rPr>
                <w:lang w:val="en-GB"/>
              </w:rPr>
              <w:lastRenderedPageBreak/>
              <w:t xml:space="preserve">Determined Contributions (NDC).  </w:t>
            </w:r>
          </w:p>
        </w:tc>
        <w:tc>
          <w:tcPr>
            <w:tcW w:w="2922" w:type="dxa"/>
          </w:tcPr>
          <w:p w:rsidR="00283B8F" w:rsidRPr="00D4182C" w:rsidRDefault="00283B8F" w:rsidP="00B77114">
            <w:pPr>
              <w:rPr>
                <w:lang w:val="en-GB"/>
              </w:rPr>
            </w:pPr>
            <w:r w:rsidRPr="00D4182C">
              <w:rPr>
                <w:lang w:val="en-GB"/>
              </w:rPr>
              <w:lastRenderedPageBreak/>
              <w:t>MoNREP  Annual Reports</w:t>
            </w:r>
          </w:p>
          <w:p w:rsidR="00283B8F" w:rsidRPr="00D4182C" w:rsidRDefault="00283B8F" w:rsidP="00B77114">
            <w:pPr>
              <w:rPr>
                <w:lang w:val="en-GB"/>
              </w:rPr>
            </w:pPr>
            <w:r w:rsidRPr="00D4182C">
              <w:rPr>
                <w:lang w:val="en-GB"/>
              </w:rPr>
              <w:t>Geostat</w:t>
            </w:r>
          </w:p>
          <w:p w:rsidR="00283B8F" w:rsidRPr="00D4182C" w:rsidRDefault="00283B8F" w:rsidP="00B77114">
            <w:pPr>
              <w:rPr>
                <w:lang w:val="en-GB"/>
              </w:rPr>
            </w:pPr>
            <w:r w:rsidRPr="00D4182C">
              <w:rPr>
                <w:lang w:val="en-GB"/>
              </w:rPr>
              <w:t>Covenant of Mayors Reports</w:t>
            </w:r>
          </w:p>
        </w:tc>
      </w:tr>
      <w:tr w:rsidR="00283B8F" w:rsidRPr="00932D62" w:rsidTr="006A27EA">
        <w:tc>
          <w:tcPr>
            <w:tcW w:w="3701" w:type="dxa"/>
          </w:tcPr>
          <w:p w:rsidR="00283B8F" w:rsidRPr="00D4182C" w:rsidRDefault="00283B8F" w:rsidP="00236463">
            <w:pPr>
              <w:numPr>
                <w:ilvl w:val="0"/>
                <w:numId w:val="23"/>
              </w:numPr>
              <w:ind w:left="284" w:hanging="284"/>
              <w:rPr>
                <w:lang w:val="en-GB"/>
              </w:rPr>
            </w:pPr>
            <w:r w:rsidRPr="00D4182C">
              <w:rPr>
                <w:lang w:val="en-GB"/>
              </w:rPr>
              <w:lastRenderedPageBreak/>
              <w:t xml:space="preserve">better </w:t>
            </w:r>
            <w:r>
              <w:rPr>
                <w:lang w:val="en-GB"/>
              </w:rPr>
              <w:t xml:space="preserve">inclusion of climate change impact in policy making  </w:t>
            </w:r>
          </w:p>
        </w:tc>
        <w:tc>
          <w:tcPr>
            <w:tcW w:w="3231" w:type="dxa"/>
          </w:tcPr>
          <w:p w:rsidR="00283B8F" w:rsidRPr="00D4182C" w:rsidRDefault="00283B8F" w:rsidP="00B77114">
            <w:pPr>
              <w:rPr>
                <w:lang w:val="en-GB"/>
              </w:rPr>
            </w:pPr>
            <w:r w:rsidRPr="00D4182C">
              <w:rPr>
                <w:lang w:val="en-GB"/>
              </w:rPr>
              <w:t>1) Increase in the number of projects implemented under the Low Emission Development Strategy, the National Energy Efficiency Action Plan (NEEAP) and the Nationally Appropriate Mitigation Actions (NAMA)</w:t>
            </w:r>
          </w:p>
        </w:tc>
        <w:tc>
          <w:tcPr>
            <w:tcW w:w="2922" w:type="dxa"/>
          </w:tcPr>
          <w:p w:rsidR="00283B8F" w:rsidRPr="00D4182C" w:rsidRDefault="00283B8F" w:rsidP="00B77114">
            <w:pPr>
              <w:rPr>
                <w:lang w:val="en-GB"/>
              </w:rPr>
            </w:pPr>
            <w:r w:rsidRPr="00D4182C">
              <w:rPr>
                <w:lang w:val="en-GB"/>
              </w:rPr>
              <w:t>MoNREP  Annual Reports/Statistics</w:t>
            </w:r>
          </w:p>
          <w:p w:rsidR="00283B8F" w:rsidRPr="00D4182C" w:rsidRDefault="00283B8F" w:rsidP="00B77114">
            <w:pPr>
              <w:rPr>
                <w:lang w:val="en-GB"/>
              </w:rPr>
            </w:pPr>
          </w:p>
          <w:p w:rsidR="00283B8F" w:rsidRPr="00D4182C" w:rsidRDefault="00283B8F" w:rsidP="00B77114">
            <w:pPr>
              <w:rPr>
                <w:lang w:val="en-GB"/>
              </w:rPr>
            </w:pPr>
            <w:r w:rsidRPr="00D4182C">
              <w:rPr>
                <w:lang w:val="en-GB"/>
              </w:rPr>
              <w:t>MoE Annual Reports/Statistics</w:t>
            </w:r>
          </w:p>
        </w:tc>
      </w:tr>
      <w:tr w:rsidR="00283B8F" w:rsidRPr="00D4182C" w:rsidTr="006A27EA">
        <w:tc>
          <w:tcPr>
            <w:tcW w:w="3701" w:type="dxa"/>
          </w:tcPr>
          <w:p w:rsidR="00283B8F" w:rsidRPr="00D4182C" w:rsidRDefault="00283B8F" w:rsidP="00CC15DC">
            <w:pPr>
              <w:numPr>
                <w:ilvl w:val="0"/>
                <w:numId w:val="23"/>
              </w:numPr>
              <w:ind w:left="284" w:hanging="284"/>
              <w:rPr>
                <w:lang w:val="en-GB"/>
              </w:rPr>
            </w:pPr>
            <w:r w:rsidRPr="00D4182C">
              <w:rPr>
                <w:lang w:val="en-GB"/>
              </w:rPr>
              <w:t>Reversed degradation and unsustainable use of natural resources outside of protected areas, including control of forest use and overgrazing.</w:t>
            </w:r>
          </w:p>
        </w:tc>
        <w:tc>
          <w:tcPr>
            <w:tcW w:w="3231" w:type="dxa"/>
          </w:tcPr>
          <w:p w:rsidR="00283B8F" w:rsidRPr="00D4182C" w:rsidRDefault="00283B8F" w:rsidP="00B77114">
            <w:pPr>
              <w:rPr>
                <w:lang w:val="en-GB"/>
              </w:rPr>
            </w:pPr>
            <w:r w:rsidRPr="00D4182C">
              <w:rPr>
                <w:lang w:val="en-GB"/>
              </w:rPr>
              <w:t>f 1)  Increase in the number of hectares or % of forest and protected areas where sustainable and climate-resilient management practices have been introduced with support from public, donor and private funding;</w:t>
            </w:r>
          </w:p>
        </w:tc>
        <w:tc>
          <w:tcPr>
            <w:tcW w:w="2922" w:type="dxa"/>
          </w:tcPr>
          <w:p w:rsidR="00283B8F" w:rsidRPr="00D4182C" w:rsidRDefault="00283B8F" w:rsidP="00B77114">
            <w:pPr>
              <w:rPr>
                <w:lang w:val="en-GB"/>
              </w:rPr>
            </w:pPr>
            <w:r w:rsidRPr="00D4182C">
              <w:rPr>
                <w:lang w:val="en-GB"/>
              </w:rPr>
              <w:t>MoNREP reports and Statistics</w:t>
            </w:r>
          </w:p>
        </w:tc>
      </w:tr>
      <w:tr w:rsidR="00283B8F" w:rsidRPr="00D4182C" w:rsidTr="006A27EA">
        <w:tc>
          <w:tcPr>
            <w:tcW w:w="3701" w:type="dxa"/>
          </w:tcPr>
          <w:p w:rsidR="00283B8F" w:rsidRPr="00D4182C" w:rsidRDefault="00283B8F" w:rsidP="00CC15DC">
            <w:pPr>
              <w:numPr>
                <w:ilvl w:val="0"/>
                <w:numId w:val="23"/>
              </w:numPr>
              <w:ind w:left="284" w:hanging="284"/>
              <w:rPr>
                <w:lang w:val="en-GB"/>
              </w:rPr>
            </w:pPr>
            <w:r w:rsidRPr="00D4182C">
              <w:rPr>
                <w:lang w:val="en-GB"/>
              </w:rPr>
              <w:t>Enhanced inter-agency capacity to tackle threats to biodiversity and enforce legislation</w:t>
            </w:r>
          </w:p>
        </w:tc>
        <w:tc>
          <w:tcPr>
            <w:tcW w:w="3231" w:type="dxa"/>
          </w:tcPr>
          <w:p w:rsidR="00283B8F" w:rsidRPr="00D4182C" w:rsidRDefault="00283B8F" w:rsidP="00B77114">
            <w:pPr>
              <w:rPr>
                <w:lang w:val="en-GB"/>
              </w:rPr>
            </w:pPr>
            <w:r w:rsidRPr="00D4182C">
              <w:rPr>
                <w:lang w:val="en-GB"/>
              </w:rPr>
              <w:t xml:space="preserve"> g1)  Increase in the number of new or amended legislations and regulations effectively enforced with support from competent authorities.</w:t>
            </w:r>
          </w:p>
        </w:tc>
        <w:tc>
          <w:tcPr>
            <w:tcW w:w="2922" w:type="dxa"/>
          </w:tcPr>
          <w:p w:rsidR="00283B8F" w:rsidRPr="00D4182C" w:rsidRDefault="00283B8F" w:rsidP="00B77114">
            <w:pPr>
              <w:rPr>
                <w:lang w:val="en-GB"/>
              </w:rPr>
            </w:pPr>
            <w:r w:rsidRPr="00D4182C">
              <w:rPr>
                <w:lang w:val="en-GB"/>
              </w:rPr>
              <w:t>MoNREP reports and Statistics</w:t>
            </w:r>
          </w:p>
        </w:tc>
      </w:tr>
      <w:tr w:rsidR="00283B8F" w:rsidRPr="00D4182C" w:rsidTr="006A27EA">
        <w:tc>
          <w:tcPr>
            <w:tcW w:w="3701" w:type="dxa"/>
          </w:tcPr>
          <w:p w:rsidR="00283B8F" w:rsidRPr="00D4182C" w:rsidRDefault="00283B8F" w:rsidP="00CC15DC">
            <w:pPr>
              <w:numPr>
                <w:ilvl w:val="0"/>
                <w:numId w:val="23"/>
              </w:numPr>
              <w:ind w:left="284" w:hanging="284"/>
              <w:rPr>
                <w:lang w:val="en-GB"/>
              </w:rPr>
            </w:pPr>
            <w:r w:rsidRPr="00D4182C">
              <w:rPr>
                <w:lang w:val="en-GB"/>
              </w:rPr>
              <w:t xml:space="preserve">Improved municipal infrastructure (sewage water and drinking water systems), with due regard to gender analysis as part of the strategic decision-making related to prioritisation </w:t>
            </w:r>
          </w:p>
        </w:tc>
        <w:tc>
          <w:tcPr>
            <w:tcW w:w="3231" w:type="dxa"/>
          </w:tcPr>
          <w:p w:rsidR="00283B8F" w:rsidRPr="00D4182C" w:rsidRDefault="00283B8F" w:rsidP="00B77114">
            <w:pPr>
              <w:rPr>
                <w:lang w:val="en-GB"/>
              </w:rPr>
            </w:pPr>
            <w:r w:rsidRPr="00D4182C">
              <w:rPr>
                <w:lang w:val="en-GB"/>
              </w:rPr>
              <w:t xml:space="preserve">h 1) Increased number of population with improved access to reliable water supply and sanitation services ( disaggregated by </w:t>
            </w:r>
            <w:r w:rsidR="00324E67">
              <w:rPr>
                <w:lang w:val="en-GB"/>
              </w:rPr>
              <w:t>gender</w:t>
            </w:r>
            <w:r w:rsidRPr="00D4182C">
              <w:rPr>
                <w:lang w:val="en-GB"/>
              </w:rPr>
              <w:t>).</w:t>
            </w:r>
          </w:p>
        </w:tc>
        <w:tc>
          <w:tcPr>
            <w:tcW w:w="2922" w:type="dxa"/>
          </w:tcPr>
          <w:p w:rsidR="00283B8F" w:rsidRPr="00D4182C" w:rsidRDefault="00283B8F" w:rsidP="00B77114">
            <w:pPr>
              <w:rPr>
                <w:lang w:val="en-GB"/>
              </w:rPr>
            </w:pPr>
            <w:r w:rsidRPr="00D4182C">
              <w:rPr>
                <w:lang w:val="en-GB"/>
              </w:rPr>
              <w:t>MRDI/SWMCG Reports</w:t>
            </w:r>
          </w:p>
        </w:tc>
      </w:tr>
      <w:tr w:rsidR="00283B8F" w:rsidRPr="00D4182C" w:rsidTr="006A27EA">
        <w:tc>
          <w:tcPr>
            <w:tcW w:w="3701" w:type="dxa"/>
          </w:tcPr>
          <w:p w:rsidR="00283B8F" w:rsidRPr="00D4182C" w:rsidRDefault="00283B8F" w:rsidP="00CC15DC">
            <w:pPr>
              <w:numPr>
                <w:ilvl w:val="0"/>
                <w:numId w:val="23"/>
              </w:numPr>
              <w:spacing w:after="120"/>
              <w:ind w:left="284" w:hanging="284"/>
              <w:jc w:val="both"/>
              <w:rPr>
                <w:lang w:val="en-GB"/>
              </w:rPr>
            </w:pPr>
            <w:r w:rsidRPr="00D4182C">
              <w:rPr>
                <w:lang w:val="en-GB"/>
              </w:rPr>
              <w:t>Job creation and business expansion based on circular economy approach, taking into account gender equality principles;</w:t>
            </w:r>
          </w:p>
          <w:p w:rsidR="00283B8F" w:rsidRPr="00D4182C" w:rsidRDefault="00283B8F" w:rsidP="0056593B">
            <w:pPr>
              <w:ind w:left="284" w:hanging="284"/>
              <w:rPr>
                <w:lang w:val="en-GB"/>
              </w:rPr>
            </w:pPr>
          </w:p>
        </w:tc>
        <w:tc>
          <w:tcPr>
            <w:tcW w:w="3231" w:type="dxa"/>
          </w:tcPr>
          <w:p w:rsidR="00283B8F" w:rsidRPr="00D4182C" w:rsidRDefault="00283B8F" w:rsidP="00B77114">
            <w:pPr>
              <w:rPr>
                <w:lang w:val="en-GB"/>
              </w:rPr>
            </w:pPr>
            <w:r w:rsidRPr="00D4182C">
              <w:rPr>
                <w:lang w:val="en-GB"/>
              </w:rPr>
              <w:t>i1) % increase in investments from public and private operators introducing good practices under circular economy approaches in agriculture and industry and services sectors.</w:t>
            </w:r>
          </w:p>
          <w:p w:rsidR="00283B8F" w:rsidRPr="00D4182C" w:rsidRDefault="00283B8F" w:rsidP="00B77114">
            <w:pPr>
              <w:rPr>
                <w:i/>
                <w:lang w:val="en-GB"/>
              </w:rPr>
            </w:pPr>
          </w:p>
          <w:p w:rsidR="00283B8F" w:rsidRPr="00D4182C" w:rsidRDefault="00283B8F" w:rsidP="00B77114">
            <w:pPr>
              <w:rPr>
                <w:lang w:val="en-GB"/>
              </w:rPr>
            </w:pPr>
            <w:r w:rsidRPr="00D4182C">
              <w:rPr>
                <w:lang w:val="en-GB"/>
              </w:rPr>
              <w:t xml:space="preserve">i2) Increased number of new jobs created following  circular economy based business expansions (disaggregated by </w:t>
            </w:r>
            <w:r w:rsidR="00324E67">
              <w:rPr>
                <w:lang w:val="en-GB"/>
              </w:rPr>
              <w:t>gender</w:t>
            </w:r>
            <w:r w:rsidRPr="00D4182C">
              <w:rPr>
                <w:lang w:val="en-GB"/>
              </w:rPr>
              <w:t>)</w:t>
            </w:r>
            <w:r w:rsidRPr="00D4182C">
              <w:rPr>
                <w:i/>
                <w:lang w:val="en-GB"/>
              </w:rPr>
              <w:t>;</w:t>
            </w:r>
          </w:p>
        </w:tc>
        <w:tc>
          <w:tcPr>
            <w:tcW w:w="2922" w:type="dxa"/>
          </w:tcPr>
          <w:p w:rsidR="00283B8F" w:rsidRPr="00D4182C" w:rsidRDefault="00283B8F" w:rsidP="00B77114">
            <w:pPr>
              <w:rPr>
                <w:lang w:val="en-GB"/>
              </w:rPr>
            </w:pPr>
            <w:r w:rsidRPr="00D4182C">
              <w:rPr>
                <w:lang w:val="en-GB"/>
              </w:rPr>
              <w:t>Ministry of Economy Annual Reports;</w:t>
            </w:r>
          </w:p>
          <w:p w:rsidR="00283B8F" w:rsidRPr="00D4182C" w:rsidRDefault="00283B8F" w:rsidP="00B77114">
            <w:pPr>
              <w:rPr>
                <w:lang w:val="en-GB"/>
              </w:rPr>
            </w:pPr>
          </w:p>
          <w:p w:rsidR="00283B8F" w:rsidRPr="00D4182C" w:rsidRDefault="00283B8F" w:rsidP="00B77114">
            <w:pPr>
              <w:rPr>
                <w:lang w:val="en-GB"/>
              </w:rPr>
            </w:pPr>
            <w:r w:rsidRPr="00D4182C">
              <w:rPr>
                <w:lang w:val="en-GB"/>
              </w:rPr>
              <w:t>Geostat publications/statistics</w:t>
            </w:r>
          </w:p>
        </w:tc>
      </w:tr>
      <w:tr w:rsidR="00283B8F" w:rsidRPr="00932D62" w:rsidTr="006A27EA">
        <w:tc>
          <w:tcPr>
            <w:tcW w:w="3701" w:type="dxa"/>
          </w:tcPr>
          <w:p w:rsidR="00283B8F" w:rsidRPr="00D4182C" w:rsidRDefault="00283B8F" w:rsidP="00CC15DC">
            <w:pPr>
              <w:numPr>
                <w:ilvl w:val="0"/>
                <w:numId w:val="23"/>
              </w:numPr>
              <w:spacing w:after="120"/>
              <w:ind w:left="284" w:hanging="284"/>
              <w:jc w:val="both"/>
              <w:rPr>
                <w:lang w:val="en-GB"/>
              </w:rPr>
            </w:pPr>
            <w:r w:rsidRPr="00D4182C">
              <w:rPr>
                <w:lang w:val="en-GB"/>
              </w:rPr>
              <w:t>Introduction or upgrading of the waste collection systems (including hazardous and medical waste) and promotion of the establishment of recycling practices.</w:t>
            </w:r>
          </w:p>
          <w:p w:rsidR="00283B8F" w:rsidRPr="00D4182C" w:rsidRDefault="00283B8F" w:rsidP="0056593B">
            <w:pPr>
              <w:ind w:left="284" w:hanging="284"/>
              <w:rPr>
                <w:lang w:val="en-GB"/>
              </w:rPr>
            </w:pPr>
          </w:p>
        </w:tc>
        <w:tc>
          <w:tcPr>
            <w:tcW w:w="3231" w:type="dxa"/>
          </w:tcPr>
          <w:p w:rsidR="00283B8F" w:rsidRPr="00D4182C" w:rsidRDefault="00283B8F" w:rsidP="00B77114">
            <w:pPr>
              <w:spacing w:after="120"/>
              <w:jc w:val="both"/>
              <w:rPr>
                <w:i/>
                <w:iCs/>
                <w:lang w:val="en-GB"/>
              </w:rPr>
            </w:pPr>
            <w:r w:rsidRPr="00D4182C">
              <w:rPr>
                <w:lang w:val="en-GB"/>
              </w:rPr>
              <w:t>j1) Increased number of population with improved access to waste management services, including for hazardous and medical waste, in compliance with EU and international standards</w:t>
            </w:r>
            <w:r w:rsidRPr="00D4182C">
              <w:rPr>
                <w:i/>
                <w:iCs/>
                <w:lang w:val="en-GB"/>
              </w:rPr>
              <w:t>;</w:t>
            </w:r>
          </w:p>
          <w:p w:rsidR="00283B8F" w:rsidRPr="00D4182C" w:rsidRDefault="00283B8F" w:rsidP="00B77114">
            <w:pPr>
              <w:rPr>
                <w:lang w:val="en-GB"/>
              </w:rPr>
            </w:pPr>
          </w:p>
        </w:tc>
        <w:tc>
          <w:tcPr>
            <w:tcW w:w="2922" w:type="dxa"/>
          </w:tcPr>
          <w:p w:rsidR="00283B8F" w:rsidRPr="00D4182C" w:rsidRDefault="00283B8F" w:rsidP="00B77114">
            <w:pPr>
              <w:rPr>
                <w:lang w:val="en-GB"/>
              </w:rPr>
            </w:pPr>
            <w:r w:rsidRPr="00D4182C">
              <w:rPr>
                <w:lang w:val="en-GB"/>
              </w:rPr>
              <w:t xml:space="preserve">MoENRP Reports, </w:t>
            </w:r>
          </w:p>
          <w:p w:rsidR="00283B8F" w:rsidRPr="00D4182C" w:rsidRDefault="00283B8F" w:rsidP="00B77114">
            <w:pPr>
              <w:rPr>
                <w:i/>
                <w:lang w:val="en-GB"/>
              </w:rPr>
            </w:pPr>
          </w:p>
          <w:p w:rsidR="00283B8F" w:rsidRPr="00D4182C" w:rsidRDefault="00283B8F" w:rsidP="00B77114">
            <w:pPr>
              <w:rPr>
                <w:lang w:val="en-GB"/>
              </w:rPr>
            </w:pPr>
            <w:r w:rsidRPr="00D4182C">
              <w:rPr>
                <w:lang w:val="en-GB"/>
              </w:rPr>
              <w:t>MRDI/SWMCG Reports</w:t>
            </w:r>
          </w:p>
        </w:tc>
      </w:tr>
      <w:tr w:rsidR="00283B8F" w:rsidRPr="00932D62" w:rsidTr="00597901">
        <w:tc>
          <w:tcPr>
            <w:tcW w:w="9854" w:type="dxa"/>
            <w:gridSpan w:val="3"/>
          </w:tcPr>
          <w:p w:rsidR="00283B8F" w:rsidRPr="00D4182C" w:rsidRDefault="00283B8F" w:rsidP="00225E62">
            <w:pPr>
              <w:rPr>
                <w:lang w:val="en-GB"/>
              </w:rPr>
            </w:pPr>
            <w:r w:rsidRPr="000E4EEA">
              <w:rPr>
                <w:b/>
                <w:lang w:val="en-US"/>
              </w:rPr>
              <w:t>Specific Objective 4</w:t>
            </w:r>
            <w:r w:rsidRPr="000E4EEA">
              <w:rPr>
                <w:lang w:val="en-US"/>
              </w:rPr>
              <w:t xml:space="preserve"> to enhance the governance of the connectivity sector to assist prioritisation of key actions and to deliver on commitments such as TEN-T</w:t>
            </w:r>
            <w:r w:rsidR="00597901" w:rsidRPr="000E4EEA">
              <w:rPr>
                <w:lang w:val="en-US"/>
              </w:rPr>
              <w:t xml:space="preserve">. </w:t>
            </w:r>
          </w:p>
        </w:tc>
      </w:tr>
      <w:tr w:rsidR="00283B8F" w:rsidRPr="00D4182C" w:rsidTr="006A27EA">
        <w:tc>
          <w:tcPr>
            <w:tcW w:w="3701" w:type="dxa"/>
          </w:tcPr>
          <w:p w:rsidR="00283B8F" w:rsidRPr="00D4182C" w:rsidRDefault="00283B8F" w:rsidP="00B77114">
            <w:pPr>
              <w:rPr>
                <w:lang w:val="en-GB"/>
              </w:rPr>
            </w:pPr>
            <w:r w:rsidRPr="00D4182C">
              <w:rPr>
                <w:b/>
                <w:u w:val="single"/>
                <w:lang w:val="en-GB"/>
              </w:rPr>
              <w:lastRenderedPageBreak/>
              <w:t>Expected Results</w:t>
            </w:r>
          </w:p>
        </w:tc>
        <w:tc>
          <w:tcPr>
            <w:tcW w:w="3231" w:type="dxa"/>
          </w:tcPr>
          <w:p w:rsidR="00283B8F" w:rsidRPr="00D4182C" w:rsidRDefault="00283B8F" w:rsidP="00B77114">
            <w:pPr>
              <w:rPr>
                <w:lang w:val="en-GB"/>
              </w:rPr>
            </w:pPr>
            <w:r w:rsidRPr="00D4182C">
              <w:rPr>
                <w:b/>
                <w:u w:val="single"/>
                <w:lang w:val="en-GB"/>
              </w:rPr>
              <w:t>Indicators</w:t>
            </w:r>
          </w:p>
        </w:tc>
        <w:tc>
          <w:tcPr>
            <w:tcW w:w="2922" w:type="dxa"/>
          </w:tcPr>
          <w:p w:rsidR="00283B8F" w:rsidRPr="00D4182C" w:rsidRDefault="00283B8F" w:rsidP="00B77114">
            <w:pPr>
              <w:rPr>
                <w:lang w:val="en-GB"/>
              </w:rPr>
            </w:pPr>
            <w:r w:rsidRPr="00D4182C">
              <w:rPr>
                <w:b/>
                <w:u w:val="single"/>
                <w:lang w:val="en-GB"/>
              </w:rPr>
              <w:t xml:space="preserve">Means of </w:t>
            </w:r>
            <w:r w:rsidRPr="00D4182C">
              <w:rPr>
                <w:b/>
                <w:u w:val="single"/>
                <w:lang w:val="en-GB"/>
              </w:rPr>
              <w:br/>
              <w:t>verification</w:t>
            </w:r>
          </w:p>
        </w:tc>
      </w:tr>
      <w:tr w:rsidR="00283B8F" w:rsidRPr="00D4182C" w:rsidTr="006A27EA">
        <w:tc>
          <w:tcPr>
            <w:tcW w:w="3701" w:type="dxa"/>
          </w:tcPr>
          <w:p w:rsidR="00283B8F" w:rsidRPr="00D4182C" w:rsidRDefault="00283B8F" w:rsidP="00CC15DC">
            <w:pPr>
              <w:pStyle w:val="ListParagraph"/>
              <w:numPr>
                <w:ilvl w:val="0"/>
                <w:numId w:val="25"/>
              </w:numPr>
              <w:spacing w:after="120"/>
              <w:ind w:left="284" w:hanging="284"/>
              <w:contextualSpacing w:val="0"/>
            </w:pPr>
            <w:r w:rsidRPr="00D4182C">
              <w:t>Implementation of transport interconnections internally and with neighbours;</w:t>
            </w:r>
          </w:p>
          <w:p w:rsidR="00283B8F" w:rsidRPr="00D4182C" w:rsidRDefault="00283B8F" w:rsidP="0056593B">
            <w:pPr>
              <w:ind w:left="284" w:hanging="284"/>
              <w:rPr>
                <w:lang w:val="en-GB"/>
              </w:rPr>
            </w:pPr>
          </w:p>
        </w:tc>
        <w:tc>
          <w:tcPr>
            <w:tcW w:w="3231" w:type="dxa"/>
          </w:tcPr>
          <w:p w:rsidR="00283B8F" w:rsidRPr="00D4182C" w:rsidRDefault="00283B8F" w:rsidP="00B77114">
            <w:pPr>
              <w:rPr>
                <w:lang w:val="en-GB"/>
              </w:rPr>
            </w:pPr>
            <w:r w:rsidRPr="00D4182C">
              <w:rPr>
                <w:lang w:val="en-GB"/>
              </w:rPr>
              <w:t>a1) Increased volume (in  %) of transported goods and passenger by all mode of transport</w:t>
            </w:r>
          </w:p>
          <w:p w:rsidR="00283B8F" w:rsidRPr="00D4182C" w:rsidRDefault="00283B8F" w:rsidP="00B77114">
            <w:pPr>
              <w:rPr>
                <w:lang w:val="en-GB"/>
              </w:rPr>
            </w:pPr>
            <w:r w:rsidRPr="00D4182C">
              <w:rPr>
                <w:lang w:val="en-GB"/>
              </w:rPr>
              <w:t>a 2) Number of infrastructure development projects supported by the Government for connection to TEN-T transport system</w:t>
            </w:r>
          </w:p>
        </w:tc>
        <w:tc>
          <w:tcPr>
            <w:tcW w:w="2922" w:type="dxa"/>
          </w:tcPr>
          <w:p w:rsidR="00283B8F" w:rsidRPr="00D4182C" w:rsidRDefault="00283B8F" w:rsidP="00B77114">
            <w:pPr>
              <w:rPr>
                <w:lang w:val="en-GB"/>
              </w:rPr>
            </w:pPr>
            <w:r w:rsidRPr="00D4182C">
              <w:rPr>
                <w:lang w:val="en-GB"/>
              </w:rPr>
              <w:t>Ministry of Economy Annual Reports</w:t>
            </w:r>
          </w:p>
          <w:p w:rsidR="00283B8F" w:rsidRPr="00D4182C" w:rsidRDefault="00283B8F" w:rsidP="00B77114">
            <w:pPr>
              <w:rPr>
                <w:lang w:val="en-GB"/>
              </w:rPr>
            </w:pPr>
            <w:r w:rsidRPr="00D4182C">
              <w:rPr>
                <w:lang w:val="en-GB"/>
              </w:rPr>
              <w:t>MRDI Annual Reports</w:t>
            </w:r>
          </w:p>
          <w:p w:rsidR="00283B8F" w:rsidRPr="00D4182C" w:rsidRDefault="00283B8F" w:rsidP="00B77114">
            <w:pPr>
              <w:rPr>
                <w:lang w:val="en-GB"/>
              </w:rPr>
            </w:pPr>
            <w:r w:rsidRPr="00D4182C">
              <w:rPr>
                <w:lang w:val="en-GB"/>
              </w:rPr>
              <w:t>Georgian Railway</w:t>
            </w:r>
          </w:p>
          <w:p w:rsidR="00283B8F" w:rsidRPr="00D4182C" w:rsidRDefault="00283B8F" w:rsidP="00B77114">
            <w:pPr>
              <w:rPr>
                <w:lang w:val="en-GB"/>
              </w:rPr>
            </w:pPr>
          </w:p>
        </w:tc>
      </w:tr>
      <w:tr w:rsidR="00283B8F" w:rsidRPr="00932D62" w:rsidTr="006A27EA">
        <w:tc>
          <w:tcPr>
            <w:tcW w:w="3701" w:type="dxa"/>
          </w:tcPr>
          <w:p w:rsidR="00283B8F" w:rsidRPr="00D4182C" w:rsidRDefault="00283B8F" w:rsidP="00CC15DC">
            <w:pPr>
              <w:numPr>
                <w:ilvl w:val="0"/>
                <w:numId w:val="25"/>
              </w:numPr>
              <w:ind w:left="284" w:hanging="284"/>
              <w:rPr>
                <w:lang w:val="en-GB"/>
              </w:rPr>
            </w:pPr>
            <w:r w:rsidRPr="00D4182C">
              <w:rPr>
                <w:lang w:val="en-GB"/>
              </w:rPr>
              <w:t>Increased capacity to plan, budget and prioritise infrastructure projects such as TEN-T and implement AA/DCFTA provisions in transport including road safety and vehicle standards</w:t>
            </w:r>
          </w:p>
        </w:tc>
        <w:tc>
          <w:tcPr>
            <w:tcW w:w="3231" w:type="dxa"/>
          </w:tcPr>
          <w:p w:rsidR="00283B8F" w:rsidRPr="00D4182C" w:rsidRDefault="00283B8F" w:rsidP="00B77114">
            <w:pPr>
              <w:rPr>
                <w:lang w:val="en-GB"/>
              </w:rPr>
            </w:pPr>
            <w:r w:rsidRPr="00D4182C">
              <w:rPr>
                <w:lang w:val="en-GB"/>
              </w:rPr>
              <w:t>b1) Increased Transit of goods ( tons)  ;</w:t>
            </w:r>
          </w:p>
          <w:p w:rsidR="00283B8F" w:rsidRPr="00D4182C" w:rsidRDefault="00283B8F" w:rsidP="00B77114">
            <w:pPr>
              <w:rPr>
                <w:lang w:val="en-GB"/>
              </w:rPr>
            </w:pPr>
            <w:r w:rsidRPr="00D4182C">
              <w:rPr>
                <w:lang w:val="en-GB"/>
              </w:rPr>
              <w:t xml:space="preserve">b2) status of new vehicle  standards and road safety regulations </w:t>
            </w:r>
          </w:p>
          <w:p w:rsidR="00283B8F" w:rsidRPr="00D4182C" w:rsidRDefault="00283B8F" w:rsidP="00B77114">
            <w:pPr>
              <w:rPr>
                <w:lang w:val="en-GB"/>
              </w:rPr>
            </w:pPr>
            <w:r w:rsidRPr="00D4182C">
              <w:rPr>
                <w:lang w:val="en-GB"/>
              </w:rPr>
              <w:t>b3) Increase volume (in %) of hydrocarbons transported from Central Asia to Western Markets.</w:t>
            </w:r>
          </w:p>
        </w:tc>
        <w:tc>
          <w:tcPr>
            <w:tcW w:w="2922" w:type="dxa"/>
          </w:tcPr>
          <w:p w:rsidR="00283B8F" w:rsidRPr="00D4182C" w:rsidRDefault="00283B8F" w:rsidP="00B77114">
            <w:pPr>
              <w:rPr>
                <w:lang w:val="en-GB"/>
              </w:rPr>
            </w:pPr>
            <w:r w:rsidRPr="00D4182C">
              <w:rPr>
                <w:lang w:val="en-GB"/>
              </w:rPr>
              <w:t>Ministry of Economy Annual Reports;</w:t>
            </w:r>
          </w:p>
          <w:p w:rsidR="00283B8F" w:rsidRPr="00D4182C" w:rsidRDefault="00283B8F" w:rsidP="00B77114">
            <w:pPr>
              <w:rPr>
                <w:lang w:val="en-GB"/>
              </w:rPr>
            </w:pPr>
            <w:r w:rsidRPr="00D4182C">
              <w:rPr>
                <w:lang w:val="en-GB"/>
              </w:rPr>
              <w:t>Ministry of Energy Annual Reports</w:t>
            </w:r>
          </w:p>
        </w:tc>
      </w:tr>
      <w:tr w:rsidR="00283B8F" w:rsidRPr="00932D62" w:rsidTr="006A27EA">
        <w:tc>
          <w:tcPr>
            <w:tcW w:w="9854" w:type="dxa"/>
            <w:gridSpan w:val="3"/>
          </w:tcPr>
          <w:p w:rsidR="00283B8F" w:rsidRPr="00D4182C" w:rsidRDefault="00283B8F" w:rsidP="0056593B">
            <w:pPr>
              <w:spacing w:after="120"/>
              <w:rPr>
                <w:b/>
                <w:u w:val="single"/>
                <w:lang w:val="en-GB"/>
              </w:rPr>
            </w:pPr>
          </w:p>
          <w:p w:rsidR="00283B8F" w:rsidRPr="00D4182C" w:rsidRDefault="00283B8F" w:rsidP="0056593B">
            <w:pPr>
              <w:spacing w:after="120"/>
              <w:rPr>
                <w:b/>
                <w:u w:val="single"/>
                <w:lang w:val="en-GB"/>
              </w:rPr>
            </w:pPr>
            <w:r w:rsidRPr="00D4182C">
              <w:rPr>
                <w:b/>
                <w:lang w:val="en-GB"/>
              </w:rPr>
              <w:t>Sector 4:</w:t>
            </w:r>
            <w:r w:rsidRPr="00D4182C">
              <w:rPr>
                <w:u w:val="single"/>
                <w:lang w:val="en-GB"/>
              </w:rPr>
              <w:t xml:space="preserve"> </w:t>
            </w:r>
            <w:r w:rsidRPr="00570B5D">
              <w:rPr>
                <w:b/>
                <w:u w:val="single"/>
                <w:lang w:val="en-GB"/>
              </w:rPr>
              <w:t xml:space="preserve"> </w:t>
            </w:r>
            <w:r w:rsidRPr="00D4182C">
              <w:rPr>
                <w:b/>
                <w:u w:val="single"/>
                <w:lang w:val="en-GB"/>
              </w:rPr>
              <w:t xml:space="preserve">Mobility and people-to-people contacts, including support to the implementation of the visa liberalisation action plan and to vocational education and training </w:t>
            </w:r>
          </w:p>
          <w:p w:rsidR="00283B8F" w:rsidRPr="00D4182C" w:rsidRDefault="00283B8F" w:rsidP="0056593B">
            <w:pPr>
              <w:spacing w:after="120"/>
              <w:rPr>
                <w:i/>
                <w:u w:val="single"/>
                <w:lang w:val="en-GB"/>
              </w:rPr>
            </w:pPr>
          </w:p>
        </w:tc>
      </w:tr>
      <w:tr w:rsidR="00283B8F" w:rsidRPr="00932D62" w:rsidTr="00FE0FFB">
        <w:tc>
          <w:tcPr>
            <w:tcW w:w="9854" w:type="dxa"/>
            <w:gridSpan w:val="3"/>
          </w:tcPr>
          <w:p w:rsidR="00283B8F" w:rsidRPr="00D4182C" w:rsidRDefault="00283B8F" w:rsidP="00BE3F6D">
            <w:pPr>
              <w:pBdr>
                <w:top w:val="single" w:sz="4" w:space="1" w:color="auto"/>
                <w:left w:val="single" w:sz="4" w:space="4" w:color="auto"/>
                <w:bottom w:val="single" w:sz="4" w:space="1" w:color="auto"/>
                <w:right w:val="single" w:sz="4" w:space="4" w:color="auto"/>
              </w:pBdr>
              <w:outlineLvl w:val="0"/>
              <w:rPr>
                <w:lang w:val="en-GB"/>
              </w:rPr>
            </w:pPr>
            <w:r w:rsidRPr="00D4182C">
              <w:rPr>
                <w:b/>
                <w:lang w:val="en-GB"/>
              </w:rPr>
              <w:t>Specific objective 1:</w:t>
            </w:r>
            <w:r w:rsidRPr="00D4182C">
              <w:rPr>
                <w:b/>
                <w:lang w:val="en-GB"/>
              </w:rPr>
              <w:tab/>
            </w:r>
            <w:r w:rsidRPr="00D4182C">
              <w:rPr>
                <w:lang w:val="en-GB"/>
              </w:rPr>
              <w:t>to enhance the matching between skills and jobs, e.g. through raising the quality of vocational education and training, through active labour market policies and develop Europeanisation of education in</w:t>
            </w:r>
            <w:r w:rsidR="000E4EEA">
              <w:rPr>
                <w:lang w:val="en-GB"/>
              </w:rPr>
              <w:t xml:space="preserve"> Georgia</w:t>
            </w:r>
            <w:r w:rsidRPr="00D4182C">
              <w:rPr>
                <w:lang w:val="en-GB"/>
              </w:rPr>
              <w:t>;</w:t>
            </w:r>
          </w:p>
          <w:p w:rsidR="00283B8F" w:rsidRPr="00D4182C" w:rsidRDefault="00283B8F" w:rsidP="00B77114">
            <w:pPr>
              <w:rPr>
                <w:lang w:val="en-GB"/>
              </w:rPr>
            </w:pPr>
          </w:p>
        </w:tc>
      </w:tr>
      <w:tr w:rsidR="00283B8F" w:rsidRPr="00D4182C" w:rsidTr="00FE0FFB">
        <w:tc>
          <w:tcPr>
            <w:tcW w:w="3701" w:type="dxa"/>
          </w:tcPr>
          <w:p w:rsidR="00283B8F" w:rsidRPr="00D4182C" w:rsidRDefault="00283B8F" w:rsidP="001010B5">
            <w:pPr>
              <w:rPr>
                <w:lang w:val="en-GB"/>
              </w:rPr>
            </w:pPr>
            <w:r w:rsidRPr="00D4182C">
              <w:rPr>
                <w:b/>
                <w:u w:val="single"/>
                <w:lang w:val="en-GB"/>
              </w:rPr>
              <w:t>Expected Results</w:t>
            </w:r>
          </w:p>
        </w:tc>
        <w:tc>
          <w:tcPr>
            <w:tcW w:w="3231" w:type="dxa"/>
          </w:tcPr>
          <w:p w:rsidR="00283B8F" w:rsidRPr="00D4182C" w:rsidRDefault="00283B8F" w:rsidP="001010B5">
            <w:pPr>
              <w:rPr>
                <w:lang w:val="en-GB"/>
              </w:rPr>
            </w:pPr>
            <w:r w:rsidRPr="00D4182C">
              <w:rPr>
                <w:b/>
                <w:u w:val="single"/>
                <w:lang w:val="en-GB"/>
              </w:rPr>
              <w:t>Indicators</w:t>
            </w:r>
          </w:p>
        </w:tc>
        <w:tc>
          <w:tcPr>
            <w:tcW w:w="2922" w:type="dxa"/>
          </w:tcPr>
          <w:p w:rsidR="00283B8F" w:rsidRPr="00D4182C" w:rsidRDefault="00283B8F" w:rsidP="001010B5">
            <w:pPr>
              <w:rPr>
                <w:lang w:val="en-GB"/>
              </w:rPr>
            </w:pPr>
            <w:r w:rsidRPr="00D4182C">
              <w:rPr>
                <w:b/>
                <w:u w:val="single"/>
                <w:lang w:val="en-GB"/>
              </w:rPr>
              <w:t xml:space="preserve">Means of </w:t>
            </w:r>
            <w:r w:rsidRPr="00D4182C">
              <w:rPr>
                <w:b/>
                <w:u w:val="single"/>
                <w:lang w:val="en-GB"/>
              </w:rPr>
              <w:br/>
              <w:t>verification</w:t>
            </w:r>
          </w:p>
        </w:tc>
      </w:tr>
      <w:tr w:rsidR="00981417" w:rsidRPr="00D4182C" w:rsidTr="00FE0FFB">
        <w:tc>
          <w:tcPr>
            <w:tcW w:w="3701" w:type="dxa"/>
          </w:tcPr>
          <w:p w:rsidR="00981417" w:rsidRPr="00D4182C" w:rsidRDefault="00981417" w:rsidP="00BD312C">
            <w:pPr>
              <w:numPr>
                <w:ilvl w:val="0"/>
                <w:numId w:val="26"/>
              </w:numPr>
              <w:ind w:left="284" w:hanging="284"/>
              <w:rPr>
                <w:lang w:val="en-GB"/>
              </w:rPr>
            </w:pPr>
            <w:r>
              <w:rPr>
                <w:lang w:val="en-GB"/>
              </w:rPr>
              <w:t xml:space="preserve">More and better employability (in particular for </w:t>
            </w:r>
            <w:r w:rsidRPr="00D4182C">
              <w:rPr>
                <w:lang w:val="en-GB"/>
              </w:rPr>
              <w:t>youth, women and on disadvantaged groups</w:t>
            </w:r>
            <w:r>
              <w:rPr>
                <w:lang w:val="en-GB"/>
              </w:rPr>
              <w:t>) thanks to an a</w:t>
            </w:r>
            <w:r w:rsidRPr="00D4182C">
              <w:rPr>
                <w:lang w:val="en-GB"/>
              </w:rPr>
              <w:t>ctive labour market policy (ALMP)</w:t>
            </w:r>
            <w:r w:rsidRPr="00D4182C" w:rsidDel="007E716C">
              <w:rPr>
                <w:lang w:val="en-GB"/>
              </w:rPr>
              <w:t xml:space="preserve"> </w:t>
            </w:r>
            <w:r w:rsidRPr="00D4182C">
              <w:rPr>
                <w:lang w:val="en-GB"/>
              </w:rPr>
              <w:t xml:space="preserve"> </w:t>
            </w:r>
          </w:p>
        </w:tc>
        <w:tc>
          <w:tcPr>
            <w:tcW w:w="3231" w:type="dxa"/>
          </w:tcPr>
          <w:p w:rsidR="00981417" w:rsidRPr="00D4182C" w:rsidRDefault="00981417" w:rsidP="00BD312C">
            <w:pPr>
              <w:rPr>
                <w:lang w:val="en-GB"/>
              </w:rPr>
            </w:pPr>
            <w:r>
              <w:rPr>
                <w:lang w:val="en-GB"/>
              </w:rPr>
              <w:t>a</w:t>
            </w:r>
            <w:r w:rsidRPr="00D4182C">
              <w:rPr>
                <w:lang w:val="en-GB"/>
              </w:rPr>
              <w:t xml:space="preserve">1) Employment Services Act adopted </w:t>
            </w:r>
          </w:p>
          <w:p w:rsidR="00981417" w:rsidRPr="00D4182C" w:rsidRDefault="00981417" w:rsidP="00BD312C">
            <w:pPr>
              <w:rPr>
                <w:lang w:val="en-GB"/>
              </w:rPr>
            </w:pPr>
          </w:p>
          <w:p w:rsidR="00981417" w:rsidRPr="00D4182C" w:rsidRDefault="00981417" w:rsidP="00BD312C">
            <w:pPr>
              <w:rPr>
                <w:lang w:val="en-GB"/>
              </w:rPr>
            </w:pPr>
            <w:r>
              <w:rPr>
                <w:lang w:val="en-GB"/>
              </w:rPr>
              <w:t>a</w:t>
            </w:r>
            <w:r w:rsidRPr="00D4182C">
              <w:rPr>
                <w:lang w:val="en-GB"/>
              </w:rPr>
              <w:t xml:space="preserve">2) NEETs rate reduced, disaggregated by region, </w:t>
            </w:r>
            <w:r w:rsidR="00324E67">
              <w:rPr>
                <w:lang w:val="en-GB"/>
              </w:rPr>
              <w:t>gender</w:t>
            </w:r>
            <w:r w:rsidRPr="00D4182C">
              <w:rPr>
                <w:lang w:val="en-GB"/>
              </w:rPr>
              <w:t>, age, education, vulnerable groups</w:t>
            </w:r>
          </w:p>
          <w:p w:rsidR="00981417" w:rsidRPr="00D4182C" w:rsidRDefault="00981417" w:rsidP="00BD312C">
            <w:pPr>
              <w:rPr>
                <w:lang w:val="en-GB"/>
              </w:rPr>
            </w:pPr>
            <w:r w:rsidRPr="00D4182C">
              <w:rPr>
                <w:lang w:val="en-GB"/>
              </w:rPr>
              <w:t xml:space="preserve"> </w:t>
            </w:r>
          </w:p>
          <w:p w:rsidR="00981417" w:rsidRPr="00D4182C" w:rsidRDefault="00981417" w:rsidP="00BD312C">
            <w:pPr>
              <w:rPr>
                <w:lang w:val="en-GB"/>
              </w:rPr>
            </w:pPr>
            <w:r>
              <w:rPr>
                <w:lang w:val="en-GB"/>
              </w:rPr>
              <w:t>a</w:t>
            </w:r>
            <w:r w:rsidRPr="00D4182C">
              <w:rPr>
                <w:lang w:val="en-GB"/>
              </w:rPr>
              <w:t xml:space="preserve">3) Number of beneficiaries of ALMPs increased, disaggregated by  region, </w:t>
            </w:r>
            <w:r w:rsidR="00324E67">
              <w:rPr>
                <w:lang w:val="en-GB"/>
              </w:rPr>
              <w:t>gender</w:t>
            </w:r>
            <w:r w:rsidRPr="00D4182C">
              <w:rPr>
                <w:lang w:val="en-GB"/>
              </w:rPr>
              <w:t>, age, education, vulnerable groups</w:t>
            </w:r>
          </w:p>
        </w:tc>
        <w:tc>
          <w:tcPr>
            <w:tcW w:w="2922" w:type="dxa"/>
          </w:tcPr>
          <w:p w:rsidR="00981417" w:rsidRPr="00D4182C" w:rsidRDefault="00981417" w:rsidP="00BD312C">
            <w:pPr>
              <w:rPr>
                <w:lang w:val="en-GB"/>
              </w:rPr>
            </w:pPr>
            <w:r w:rsidRPr="00D4182C">
              <w:rPr>
                <w:lang w:val="en-GB"/>
              </w:rPr>
              <w:t>Act of the Parliament</w:t>
            </w:r>
          </w:p>
          <w:p w:rsidR="00981417" w:rsidRPr="00D4182C" w:rsidRDefault="00981417" w:rsidP="00BD312C">
            <w:pPr>
              <w:rPr>
                <w:lang w:val="en-GB"/>
              </w:rPr>
            </w:pPr>
            <w:r w:rsidRPr="00D4182C">
              <w:rPr>
                <w:lang w:val="en-GB"/>
              </w:rPr>
              <w:t>GEOSTAT (LFS)</w:t>
            </w:r>
          </w:p>
          <w:p w:rsidR="00981417" w:rsidRPr="00D4182C" w:rsidRDefault="00981417" w:rsidP="00BD312C">
            <w:pPr>
              <w:rPr>
                <w:lang w:val="en-GB"/>
              </w:rPr>
            </w:pPr>
          </w:p>
          <w:p w:rsidR="00981417" w:rsidRPr="00D4182C" w:rsidRDefault="00981417" w:rsidP="00BD312C">
            <w:pPr>
              <w:rPr>
                <w:lang w:val="en-GB"/>
              </w:rPr>
            </w:pPr>
            <w:r w:rsidRPr="00D4182C">
              <w:rPr>
                <w:lang w:val="en-GB"/>
              </w:rPr>
              <w:t>Admin data of EES</w:t>
            </w:r>
          </w:p>
        </w:tc>
      </w:tr>
      <w:tr w:rsidR="00283B8F" w:rsidRPr="00D4182C" w:rsidTr="00FE0FFB">
        <w:tc>
          <w:tcPr>
            <w:tcW w:w="3701" w:type="dxa"/>
          </w:tcPr>
          <w:p w:rsidR="00283B8F" w:rsidRPr="00D4182C" w:rsidRDefault="00283B8F" w:rsidP="00CC15DC">
            <w:pPr>
              <w:numPr>
                <w:ilvl w:val="0"/>
                <w:numId w:val="26"/>
              </w:numPr>
              <w:ind w:left="284" w:hanging="284"/>
              <w:rPr>
                <w:lang w:val="en-GB"/>
              </w:rPr>
            </w:pPr>
            <w:r w:rsidRPr="00FE0FFB">
              <w:rPr>
                <w:lang w:val="en-GB"/>
              </w:rPr>
              <w:t xml:space="preserve">Social Partnerships (SP) established on regional and national level, and contribute to the planning and implementation of education and labour market and employment policies, taking into account the gender </w:t>
            </w:r>
            <w:r w:rsidRPr="00FE0FFB">
              <w:rPr>
                <w:lang w:val="en-GB"/>
              </w:rPr>
              <w:lastRenderedPageBreak/>
              <w:t xml:space="preserve">perspective; </w:t>
            </w:r>
          </w:p>
        </w:tc>
        <w:tc>
          <w:tcPr>
            <w:tcW w:w="3231" w:type="dxa"/>
          </w:tcPr>
          <w:p w:rsidR="00283B8F" w:rsidRPr="00D4182C" w:rsidRDefault="00981417" w:rsidP="00B77114">
            <w:pPr>
              <w:rPr>
                <w:lang w:val="en-GB"/>
              </w:rPr>
            </w:pPr>
            <w:r>
              <w:rPr>
                <w:lang w:val="en-GB"/>
              </w:rPr>
              <w:lastRenderedPageBreak/>
              <w:t>b</w:t>
            </w:r>
            <w:r w:rsidR="00283B8F" w:rsidRPr="00D4182C">
              <w:rPr>
                <w:lang w:val="en-GB"/>
              </w:rPr>
              <w:t>) Regular dialogue/meetings of Tripartite Social Partnership Commission and National VET Council</w:t>
            </w:r>
          </w:p>
        </w:tc>
        <w:tc>
          <w:tcPr>
            <w:tcW w:w="2922" w:type="dxa"/>
          </w:tcPr>
          <w:p w:rsidR="00283B8F" w:rsidRPr="00D4182C" w:rsidRDefault="00283B8F" w:rsidP="001010B5">
            <w:pPr>
              <w:rPr>
                <w:lang w:val="en-GB"/>
              </w:rPr>
            </w:pPr>
            <w:r w:rsidRPr="00D4182C">
              <w:rPr>
                <w:lang w:val="en-GB"/>
              </w:rPr>
              <w:t>Meeting agendas</w:t>
            </w:r>
          </w:p>
          <w:p w:rsidR="00283B8F" w:rsidRPr="00D4182C" w:rsidRDefault="00283B8F" w:rsidP="001010B5">
            <w:pPr>
              <w:rPr>
                <w:lang w:val="en-GB"/>
              </w:rPr>
            </w:pPr>
            <w:r w:rsidRPr="00D4182C">
              <w:rPr>
                <w:lang w:val="en-GB"/>
              </w:rPr>
              <w:t>Minutes of the meetings</w:t>
            </w:r>
          </w:p>
          <w:p w:rsidR="00283B8F" w:rsidRPr="006A27EA" w:rsidRDefault="00283B8F" w:rsidP="001010B5">
            <w:pPr>
              <w:rPr>
                <w:lang w:val="en-GB"/>
              </w:rPr>
            </w:pPr>
            <w:r w:rsidRPr="006A27EA">
              <w:rPr>
                <w:lang w:val="en-GB"/>
              </w:rPr>
              <w:t xml:space="preserve">ILO reports </w:t>
            </w:r>
          </w:p>
          <w:p w:rsidR="00283B8F" w:rsidRPr="00D4182C" w:rsidRDefault="00283B8F" w:rsidP="00B77114">
            <w:pPr>
              <w:rPr>
                <w:lang w:val="en-GB"/>
              </w:rPr>
            </w:pPr>
            <w:r w:rsidRPr="006A27EA">
              <w:rPr>
                <w:lang w:val="en-GB"/>
              </w:rPr>
              <w:t>EU Project</w:t>
            </w:r>
            <w:r w:rsidRPr="00FE0FFB">
              <w:rPr>
                <w:lang w:val="en-GB"/>
              </w:rPr>
              <w:t xml:space="preserve"> reports</w:t>
            </w:r>
          </w:p>
        </w:tc>
      </w:tr>
      <w:tr w:rsidR="00283B8F" w:rsidRPr="00932D62" w:rsidTr="00FE0FFB">
        <w:tc>
          <w:tcPr>
            <w:tcW w:w="3701" w:type="dxa"/>
          </w:tcPr>
          <w:p w:rsidR="00283B8F" w:rsidRPr="00D4182C" w:rsidRDefault="00283B8F" w:rsidP="00CC15DC">
            <w:pPr>
              <w:numPr>
                <w:ilvl w:val="0"/>
                <w:numId w:val="26"/>
              </w:numPr>
              <w:ind w:left="284" w:hanging="284"/>
              <w:rPr>
                <w:lang w:val="en-GB"/>
              </w:rPr>
            </w:pPr>
            <w:r w:rsidRPr="00FE0FFB">
              <w:rPr>
                <w:lang w:val="en-GB"/>
              </w:rPr>
              <w:lastRenderedPageBreak/>
              <w:t>VET reform implemented covering the roles of social partnerships and public-private partnerships, work-based learning, continuous teacher professional development, quality enhancement, better linking and networking of VET with other levels of education for women and men;</w:t>
            </w:r>
          </w:p>
        </w:tc>
        <w:tc>
          <w:tcPr>
            <w:tcW w:w="3231" w:type="dxa"/>
          </w:tcPr>
          <w:p w:rsidR="00283B8F" w:rsidRPr="00D4182C" w:rsidRDefault="00981417" w:rsidP="001010B5">
            <w:pPr>
              <w:rPr>
                <w:lang w:val="en-GB"/>
              </w:rPr>
            </w:pPr>
            <w:r>
              <w:rPr>
                <w:lang w:val="en-GB"/>
              </w:rPr>
              <w:t>c</w:t>
            </w:r>
            <w:r w:rsidR="00283B8F" w:rsidRPr="00D4182C">
              <w:rPr>
                <w:lang w:val="en-GB"/>
              </w:rPr>
              <w:t xml:space="preserve">1) New VET law and by-laws &amp; regulations adopted </w:t>
            </w:r>
          </w:p>
          <w:p w:rsidR="00283B8F" w:rsidRPr="00D4182C" w:rsidRDefault="00283B8F" w:rsidP="001010B5">
            <w:pPr>
              <w:rPr>
                <w:lang w:val="en-GB"/>
              </w:rPr>
            </w:pPr>
          </w:p>
          <w:p w:rsidR="00283B8F" w:rsidRPr="00D4182C" w:rsidRDefault="00981417" w:rsidP="001010B5">
            <w:pPr>
              <w:rPr>
                <w:lang w:val="en-GB"/>
              </w:rPr>
            </w:pPr>
            <w:r>
              <w:rPr>
                <w:lang w:val="en-GB"/>
              </w:rPr>
              <w:t>c</w:t>
            </w:r>
            <w:r w:rsidR="00283B8F" w:rsidRPr="00D4182C">
              <w:rPr>
                <w:lang w:val="en-GB"/>
              </w:rPr>
              <w:t xml:space="preserve">2) Implementation plans addressing these issues developed and funded </w:t>
            </w:r>
          </w:p>
          <w:p w:rsidR="00283B8F" w:rsidRPr="00D4182C" w:rsidRDefault="00283B8F" w:rsidP="001010B5">
            <w:pPr>
              <w:rPr>
                <w:lang w:val="en-GB"/>
              </w:rPr>
            </w:pPr>
          </w:p>
          <w:p w:rsidR="00283B8F" w:rsidRPr="00D4182C" w:rsidRDefault="00981417" w:rsidP="00B77114">
            <w:pPr>
              <w:rPr>
                <w:lang w:val="en-GB"/>
              </w:rPr>
            </w:pPr>
            <w:r>
              <w:rPr>
                <w:lang w:val="en-GB"/>
              </w:rPr>
              <w:t>c</w:t>
            </w:r>
            <w:r w:rsidR="00283B8F" w:rsidRPr="00D4182C">
              <w:rPr>
                <w:lang w:val="en-GB"/>
              </w:rPr>
              <w:t xml:space="preserve">3) Overall Education Sector Strategy adopted </w:t>
            </w:r>
          </w:p>
        </w:tc>
        <w:tc>
          <w:tcPr>
            <w:tcW w:w="2922" w:type="dxa"/>
          </w:tcPr>
          <w:p w:rsidR="00283B8F" w:rsidRPr="00D4182C" w:rsidRDefault="00283B8F" w:rsidP="001010B5">
            <w:pPr>
              <w:rPr>
                <w:lang w:val="en-GB"/>
              </w:rPr>
            </w:pPr>
            <w:r w:rsidRPr="00D4182C">
              <w:rPr>
                <w:lang w:val="en-GB"/>
              </w:rPr>
              <w:t>Law and regulations</w:t>
            </w:r>
          </w:p>
          <w:p w:rsidR="00283B8F" w:rsidRPr="00D4182C" w:rsidRDefault="00283B8F" w:rsidP="001010B5">
            <w:pPr>
              <w:rPr>
                <w:lang w:val="en-GB"/>
              </w:rPr>
            </w:pPr>
            <w:r w:rsidRPr="00D4182C">
              <w:rPr>
                <w:lang w:val="en-GB"/>
              </w:rPr>
              <w:t>Implementation plans and monitoring reports</w:t>
            </w:r>
          </w:p>
          <w:p w:rsidR="00283B8F" w:rsidRPr="00D4182C" w:rsidRDefault="00283B8F" w:rsidP="001010B5">
            <w:pPr>
              <w:rPr>
                <w:lang w:val="en-GB"/>
              </w:rPr>
            </w:pPr>
            <w:r w:rsidRPr="00D4182C">
              <w:rPr>
                <w:lang w:val="en-GB"/>
              </w:rPr>
              <w:t xml:space="preserve">Education Sector Strategy </w:t>
            </w:r>
          </w:p>
          <w:p w:rsidR="00283B8F" w:rsidRPr="00D4182C" w:rsidRDefault="00283B8F" w:rsidP="001010B5">
            <w:pPr>
              <w:rPr>
                <w:lang w:val="en-GB"/>
              </w:rPr>
            </w:pPr>
            <w:r w:rsidRPr="00D4182C">
              <w:rPr>
                <w:lang w:val="en-GB"/>
              </w:rPr>
              <w:t xml:space="preserve">Government reports </w:t>
            </w:r>
          </w:p>
          <w:p w:rsidR="00283B8F" w:rsidRPr="00D4182C" w:rsidRDefault="00283B8F" w:rsidP="00B77114">
            <w:pPr>
              <w:rPr>
                <w:lang w:val="en-GB"/>
              </w:rPr>
            </w:pPr>
            <w:r w:rsidRPr="00D4182C">
              <w:rPr>
                <w:lang w:val="en-GB"/>
              </w:rPr>
              <w:t xml:space="preserve">EU project reports </w:t>
            </w:r>
          </w:p>
        </w:tc>
      </w:tr>
      <w:tr w:rsidR="00283B8F" w:rsidRPr="00932D62" w:rsidTr="00FE0FFB">
        <w:tc>
          <w:tcPr>
            <w:tcW w:w="3701" w:type="dxa"/>
          </w:tcPr>
          <w:p w:rsidR="00283B8F" w:rsidRPr="00D4182C" w:rsidRDefault="00283B8F" w:rsidP="00CC15DC">
            <w:pPr>
              <w:numPr>
                <w:ilvl w:val="0"/>
                <w:numId w:val="26"/>
              </w:numPr>
              <w:ind w:left="284" w:hanging="284"/>
              <w:rPr>
                <w:lang w:val="en-GB"/>
              </w:rPr>
            </w:pPr>
            <w:r w:rsidRPr="00D4182C">
              <w:rPr>
                <w:lang w:val="en-GB"/>
              </w:rPr>
              <w:t>effective and sustainable mechanisms/models of education and training financing developed;</w:t>
            </w:r>
          </w:p>
        </w:tc>
        <w:tc>
          <w:tcPr>
            <w:tcW w:w="3231" w:type="dxa"/>
          </w:tcPr>
          <w:p w:rsidR="00283B8F" w:rsidRPr="00D4182C" w:rsidRDefault="00981417" w:rsidP="001010B5">
            <w:pPr>
              <w:rPr>
                <w:lang w:val="en-GB"/>
              </w:rPr>
            </w:pPr>
            <w:r>
              <w:rPr>
                <w:lang w:val="en-GB"/>
              </w:rPr>
              <w:t>d</w:t>
            </w:r>
            <w:r w:rsidR="00283B8F" w:rsidRPr="00D4182C">
              <w:rPr>
                <w:lang w:val="en-GB"/>
              </w:rPr>
              <w:t>1)  Overall Education Sector Strategy and AP adopted, aligned with Goal 4 of SDGs</w:t>
            </w:r>
          </w:p>
          <w:p w:rsidR="00283B8F" w:rsidRPr="00D4182C" w:rsidRDefault="00981417" w:rsidP="001010B5">
            <w:pPr>
              <w:rPr>
                <w:lang w:val="en-GB"/>
              </w:rPr>
            </w:pPr>
            <w:r>
              <w:rPr>
                <w:lang w:val="en-GB"/>
              </w:rPr>
              <w:t>d</w:t>
            </w:r>
            <w:r w:rsidR="00283B8F" w:rsidRPr="00D4182C">
              <w:rPr>
                <w:lang w:val="en-GB"/>
              </w:rPr>
              <w:t xml:space="preserve">2) National VET Strategy updated  </w:t>
            </w:r>
          </w:p>
          <w:p w:rsidR="00283B8F" w:rsidRPr="00D4182C" w:rsidRDefault="00981417" w:rsidP="001010B5">
            <w:pPr>
              <w:rPr>
                <w:lang w:val="en-GB"/>
              </w:rPr>
            </w:pPr>
            <w:r>
              <w:rPr>
                <w:lang w:val="en-GB"/>
              </w:rPr>
              <w:t>d</w:t>
            </w:r>
            <w:r w:rsidR="00283B8F" w:rsidRPr="00D4182C">
              <w:rPr>
                <w:lang w:val="en-GB"/>
              </w:rPr>
              <w:t>3)New VET law, by-laws, regulations adopted</w:t>
            </w:r>
          </w:p>
          <w:p w:rsidR="00283B8F" w:rsidRPr="00D4182C" w:rsidRDefault="00981417" w:rsidP="00B77114">
            <w:pPr>
              <w:rPr>
                <w:lang w:val="en-GB"/>
              </w:rPr>
            </w:pPr>
            <w:r>
              <w:rPr>
                <w:lang w:val="en-GB"/>
              </w:rPr>
              <w:t>d</w:t>
            </w:r>
            <w:r w:rsidR="00283B8F" w:rsidRPr="00D4182C">
              <w:rPr>
                <w:lang w:val="en-GB"/>
              </w:rPr>
              <w:t xml:space="preserve">4) Implementation plans addressing financing  issues </w:t>
            </w:r>
          </w:p>
        </w:tc>
        <w:tc>
          <w:tcPr>
            <w:tcW w:w="2922" w:type="dxa"/>
          </w:tcPr>
          <w:p w:rsidR="00283B8F" w:rsidRPr="00D4182C" w:rsidRDefault="00283B8F" w:rsidP="001010B5">
            <w:pPr>
              <w:rPr>
                <w:lang w:val="en-GB"/>
              </w:rPr>
            </w:pPr>
            <w:r w:rsidRPr="00D4182C">
              <w:rPr>
                <w:lang w:val="en-GB"/>
              </w:rPr>
              <w:t xml:space="preserve">Amended/new laws and/or regulations on models of education financing  </w:t>
            </w:r>
          </w:p>
          <w:p w:rsidR="00283B8F" w:rsidRPr="00D4182C" w:rsidRDefault="00283B8F" w:rsidP="001010B5">
            <w:pPr>
              <w:rPr>
                <w:lang w:val="en-GB"/>
              </w:rPr>
            </w:pPr>
            <w:r w:rsidRPr="00D4182C">
              <w:rPr>
                <w:lang w:val="en-GB"/>
              </w:rPr>
              <w:t>Implementation plans and monitoring reports</w:t>
            </w:r>
          </w:p>
          <w:p w:rsidR="00283B8F" w:rsidRPr="00D4182C" w:rsidRDefault="00283B8F" w:rsidP="001010B5">
            <w:pPr>
              <w:rPr>
                <w:lang w:val="en-GB"/>
              </w:rPr>
            </w:pPr>
            <w:r w:rsidRPr="00D4182C">
              <w:rPr>
                <w:lang w:val="en-GB"/>
              </w:rPr>
              <w:t xml:space="preserve">Education Sector Strategy </w:t>
            </w:r>
          </w:p>
          <w:p w:rsidR="00283B8F" w:rsidRPr="00D4182C" w:rsidRDefault="00283B8F" w:rsidP="001010B5">
            <w:pPr>
              <w:rPr>
                <w:lang w:val="en-GB"/>
              </w:rPr>
            </w:pPr>
            <w:r w:rsidRPr="00D4182C">
              <w:rPr>
                <w:lang w:val="en-GB"/>
              </w:rPr>
              <w:t xml:space="preserve">Government reports </w:t>
            </w:r>
          </w:p>
          <w:p w:rsidR="00283B8F" w:rsidRPr="00D4182C" w:rsidRDefault="00283B8F" w:rsidP="00B77114">
            <w:pPr>
              <w:rPr>
                <w:lang w:val="en-GB"/>
              </w:rPr>
            </w:pPr>
            <w:r w:rsidRPr="00D4182C">
              <w:rPr>
                <w:lang w:val="en-GB"/>
              </w:rPr>
              <w:t>EU projects reports</w:t>
            </w:r>
          </w:p>
        </w:tc>
      </w:tr>
      <w:tr w:rsidR="00283B8F" w:rsidRPr="00D4182C" w:rsidTr="00FE0FFB">
        <w:tc>
          <w:tcPr>
            <w:tcW w:w="3701" w:type="dxa"/>
          </w:tcPr>
          <w:p w:rsidR="00283B8F" w:rsidRPr="00D4182C" w:rsidRDefault="00283B8F" w:rsidP="00CC15DC">
            <w:pPr>
              <w:numPr>
                <w:ilvl w:val="0"/>
                <w:numId w:val="26"/>
              </w:numPr>
              <w:ind w:left="284" w:hanging="284"/>
              <w:rPr>
                <w:lang w:val="en-GB"/>
              </w:rPr>
            </w:pPr>
            <w:r w:rsidRPr="00D4182C">
              <w:rPr>
                <w:lang w:val="en-GB"/>
              </w:rPr>
              <w:t>Gender sensitive evidence based employment policies integrating elements of modern research and innovation</w:t>
            </w:r>
          </w:p>
        </w:tc>
        <w:tc>
          <w:tcPr>
            <w:tcW w:w="3231" w:type="dxa"/>
          </w:tcPr>
          <w:p w:rsidR="00283B8F" w:rsidRPr="00D4182C" w:rsidRDefault="00981417" w:rsidP="00B77114">
            <w:pPr>
              <w:rPr>
                <w:lang w:val="en-GB"/>
              </w:rPr>
            </w:pPr>
            <w:r>
              <w:rPr>
                <w:lang w:val="en-GB"/>
              </w:rPr>
              <w:t>e</w:t>
            </w:r>
            <w:r w:rsidR="00283B8F" w:rsidRPr="00D4182C">
              <w:rPr>
                <w:lang w:val="en-GB"/>
              </w:rPr>
              <w:t xml:space="preserve">1) State Labour Market and/or Employment Policies and State Programmes </w:t>
            </w:r>
          </w:p>
        </w:tc>
        <w:tc>
          <w:tcPr>
            <w:tcW w:w="2922" w:type="dxa"/>
          </w:tcPr>
          <w:p w:rsidR="00283B8F" w:rsidRPr="00D4182C" w:rsidRDefault="00283B8F" w:rsidP="001010B5">
            <w:pPr>
              <w:rPr>
                <w:lang w:val="en-GB"/>
              </w:rPr>
            </w:pPr>
            <w:r w:rsidRPr="00D4182C">
              <w:rPr>
                <w:lang w:val="en-GB"/>
              </w:rPr>
              <w:t>State Labour Market and/or Employment Policies, programmes implementation plans &amp; monitoring reports</w:t>
            </w:r>
          </w:p>
          <w:p w:rsidR="00283B8F" w:rsidRPr="00D4182C" w:rsidRDefault="00283B8F" w:rsidP="001010B5">
            <w:pPr>
              <w:rPr>
                <w:lang w:val="en-GB"/>
              </w:rPr>
            </w:pPr>
            <w:r w:rsidRPr="00D4182C">
              <w:rPr>
                <w:lang w:val="en-GB"/>
              </w:rPr>
              <w:t xml:space="preserve">Government reports </w:t>
            </w:r>
          </w:p>
          <w:p w:rsidR="00283B8F" w:rsidRPr="00D4182C" w:rsidRDefault="00283B8F" w:rsidP="00B77114">
            <w:pPr>
              <w:rPr>
                <w:lang w:val="en-GB"/>
              </w:rPr>
            </w:pPr>
            <w:r w:rsidRPr="00D4182C">
              <w:rPr>
                <w:lang w:val="en-GB"/>
              </w:rPr>
              <w:t>EU project reports</w:t>
            </w:r>
          </w:p>
        </w:tc>
      </w:tr>
      <w:tr w:rsidR="00283B8F" w:rsidRPr="00D4182C" w:rsidTr="00FE0FFB">
        <w:tc>
          <w:tcPr>
            <w:tcW w:w="3701" w:type="dxa"/>
          </w:tcPr>
          <w:p w:rsidR="00283B8F" w:rsidRPr="00D4182C" w:rsidRDefault="00283B8F" w:rsidP="00CC15DC">
            <w:pPr>
              <w:numPr>
                <w:ilvl w:val="0"/>
                <w:numId w:val="26"/>
              </w:numPr>
              <w:ind w:left="284" w:hanging="284"/>
              <w:rPr>
                <w:lang w:val="en-GB"/>
              </w:rPr>
            </w:pPr>
            <w:r w:rsidRPr="00D4182C">
              <w:rPr>
                <w:lang w:val="en-GB"/>
              </w:rPr>
              <w:t>Labour Market Information System (LMIS) operational and Career Guidance system in place;</w:t>
            </w:r>
          </w:p>
        </w:tc>
        <w:tc>
          <w:tcPr>
            <w:tcW w:w="3231" w:type="dxa"/>
          </w:tcPr>
          <w:p w:rsidR="00283B8F" w:rsidRPr="00D4182C" w:rsidRDefault="00283B8F" w:rsidP="001010B5">
            <w:pPr>
              <w:rPr>
                <w:lang w:val="en-GB"/>
              </w:rPr>
            </w:pPr>
            <w:r w:rsidRPr="00D4182C">
              <w:rPr>
                <w:lang w:val="en-GB"/>
              </w:rPr>
              <w:t>f1) New service/unit on skills anticipation established, staffed and resourced in the MoESD</w:t>
            </w:r>
          </w:p>
          <w:p w:rsidR="00283B8F" w:rsidRPr="00D4182C" w:rsidRDefault="00283B8F" w:rsidP="001010B5">
            <w:pPr>
              <w:rPr>
                <w:lang w:val="en-GB"/>
              </w:rPr>
            </w:pPr>
            <w:r w:rsidRPr="00D4182C">
              <w:rPr>
                <w:lang w:val="en-GB"/>
              </w:rPr>
              <w:t>f2) Regular labour market reports produced and disseminated</w:t>
            </w:r>
          </w:p>
          <w:p w:rsidR="00283B8F" w:rsidRPr="00D4182C" w:rsidRDefault="00283B8F" w:rsidP="001010B5">
            <w:pPr>
              <w:rPr>
                <w:lang w:val="en-GB"/>
              </w:rPr>
            </w:pPr>
            <w:r w:rsidRPr="00D4182C">
              <w:rPr>
                <w:lang w:val="en-GB"/>
              </w:rPr>
              <w:t>f3) web-portals on LMIS (MoHLSA) and Career Guidance (CG-MoSYA) regularly updated</w:t>
            </w:r>
          </w:p>
          <w:p w:rsidR="00283B8F" w:rsidRPr="00D4182C" w:rsidRDefault="00283B8F" w:rsidP="00B77114">
            <w:pPr>
              <w:rPr>
                <w:lang w:val="en-GB"/>
              </w:rPr>
            </w:pPr>
            <w:r w:rsidRPr="00D4182C">
              <w:rPr>
                <w:lang w:val="en-GB"/>
              </w:rPr>
              <w:t xml:space="preserve">f4) CG strategy covering LLL adopted and action plans implemented and funded </w:t>
            </w:r>
          </w:p>
        </w:tc>
        <w:tc>
          <w:tcPr>
            <w:tcW w:w="2922" w:type="dxa"/>
          </w:tcPr>
          <w:p w:rsidR="00283B8F" w:rsidRPr="00D4182C" w:rsidRDefault="00283B8F" w:rsidP="001010B5">
            <w:pPr>
              <w:rPr>
                <w:lang w:val="en-GB"/>
              </w:rPr>
            </w:pPr>
            <w:r w:rsidRPr="00D4182C">
              <w:rPr>
                <w:lang w:val="en-GB"/>
              </w:rPr>
              <w:t>Reports of the MoESD</w:t>
            </w:r>
          </w:p>
          <w:p w:rsidR="00283B8F" w:rsidRPr="00D4182C" w:rsidRDefault="00283B8F" w:rsidP="001010B5">
            <w:pPr>
              <w:rPr>
                <w:lang w:val="en-GB"/>
              </w:rPr>
            </w:pPr>
            <w:r w:rsidRPr="00D4182C">
              <w:rPr>
                <w:lang w:val="en-GB"/>
              </w:rPr>
              <w:t>Annual reports of relevant line ministries</w:t>
            </w:r>
          </w:p>
          <w:p w:rsidR="00283B8F" w:rsidRPr="00D4182C" w:rsidRDefault="00283B8F" w:rsidP="001010B5">
            <w:pPr>
              <w:rPr>
                <w:lang w:val="en-GB"/>
              </w:rPr>
            </w:pPr>
            <w:r w:rsidRPr="00D4182C">
              <w:rPr>
                <w:lang w:val="en-GB"/>
              </w:rPr>
              <w:t>Web-portals</w:t>
            </w:r>
          </w:p>
          <w:p w:rsidR="00283B8F" w:rsidRPr="00D4182C" w:rsidRDefault="00283B8F" w:rsidP="001010B5">
            <w:pPr>
              <w:rPr>
                <w:lang w:val="en-GB"/>
              </w:rPr>
            </w:pPr>
            <w:r w:rsidRPr="00D4182C">
              <w:rPr>
                <w:lang w:val="en-GB"/>
              </w:rPr>
              <w:t>LM reports</w:t>
            </w:r>
          </w:p>
          <w:p w:rsidR="00283B8F" w:rsidRPr="00D4182C" w:rsidRDefault="00283B8F" w:rsidP="001010B5">
            <w:pPr>
              <w:rPr>
                <w:lang w:val="en-GB"/>
              </w:rPr>
            </w:pPr>
            <w:r w:rsidRPr="00D4182C">
              <w:rPr>
                <w:lang w:val="en-GB"/>
              </w:rPr>
              <w:t>Government decisions and reports</w:t>
            </w:r>
          </w:p>
          <w:p w:rsidR="00283B8F" w:rsidRPr="00D4182C" w:rsidRDefault="00283B8F" w:rsidP="00B77114">
            <w:pPr>
              <w:rPr>
                <w:lang w:val="en-GB"/>
              </w:rPr>
            </w:pPr>
            <w:r w:rsidRPr="00D4182C">
              <w:rPr>
                <w:lang w:val="en-GB"/>
              </w:rPr>
              <w:t>EU project reports</w:t>
            </w:r>
          </w:p>
        </w:tc>
      </w:tr>
      <w:tr w:rsidR="00283B8F" w:rsidRPr="00D4182C" w:rsidTr="00FE0FFB">
        <w:tc>
          <w:tcPr>
            <w:tcW w:w="3701" w:type="dxa"/>
          </w:tcPr>
          <w:p w:rsidR="00283B8F" w:rsidRPr="00D4182C" w:rsidRDefault="00283B8F" w:rsidP="00CC15DC">
            <w:pPr>
              <w:numPr>
                <w:ilvl w:val="0"/>
                <w:numId w:val="26"/>
              </w:numPr>
              <w:ind w:left="284" w:hanging="284"/>
              <w:rPr>
                <w:lang w:val="en-GB"/>
              </w:rPr>
            </w:pPr>
            <w:r w:rsidRPr="00D4182C">
              <w:rPr>
                <w:lang w:val="en-GB"/>
              </w:rPr>
              <w:t>Georgian legislation and standards necessary for enforcement of labour and employment policies in line with international and AA/DCFTA standards and requirements;</w:t>
            </w:r>
          </w:p>
        </w:tc>
        <w:tc>
          <w:tcPr>
            <w:tcW w:w="3231" w:type="dxa"/>
          </w:tcPr>
          <w:p w:rsidR="00283B8F" w:rsidRPr="00D4182C" w:rsidRDefault="00283B8F" w:rsidP="001010B5">
            <w:pPr>
              <w:rPr>
                <w:lang w:val="en-GB"/>
              </w:rPr>
            </w:pPr>
            <w:r w:rsidRPr="00D4182C">
              <w:rPr>
                <w:lang w:val="en-GB"/>
              </w:rPr>
              <w:t>g1) OSH framework law adopted in compliance with AA</w:t>
            </w:r>
          </w:p>
          <w:p w:rsidR="00283B8F" w:rsidRPr="00D4182C" w:rsidRDefault="00283B8F" w:rsidP="001010B5">
            <w:pPr>
              <w:rPr>
                <w:lang w:val="en-GB"/>
              </w:rPr>
            </w:pPr>
          </w:p>
          <w:p w:rsidR="00283B8F" w:rsidRPr="00D4182C" w:rsidRDefault="00283B8F" w:rsidP="001010B5">
            <w:pPr>
              <w:rPr>
                <w:lang w:val="en-GB"/>
              </w:rPr>
            </w:pPr>
            <w:r w:rsidRPr="00D4182C">
              <w:rPr>
                <w:lang w:val="en-GB"/>
              </w:rPr>
              <w:t xml:space="preserve">g2) Labour Law amended </w:t>
            </w:r>
          </w:p>
          <w:p w:rsidR="00283B8F" w:rsidRPr="00D4182C" w:rsidRDefault="00283B8F" w:rsidP="001010B5">
            <w:pPr>
              <w:rPr>
                <w:lang w:val="en-GB"/>
              </w:rPr>
            </w:pPr>
          </w:p>
          <w:p w:rsidR="00283B8F" w:rsidRPr="00D4182C" w:rsidRDefault="00283B8F" w:rsidP="008215F5">
            <w:pPr>
              <w:rPr>
                <w:lang w:val="en-GB"/>
              </w:rPr>
            </w:pPr>
            <w:r w:rsidRPr="00D4182C">
              <w:rPr>
                <w:lang w:val="en-GB"/>
              </w:rPr>
              <w:t xml:space="preserve">g3) Employment Services Act adopted </w:t>
            </w:r>
          </w:p>
        </w:tc>
        <w:tc>
          <w:tcPr>
            <w:tcW w:w="2922" w:type="dxa"/>
          </w:tcPr>
          <w:p w:rsidR="00283B8F" w:rsidRPr="00D4182C" w:rsidRDefault="00283B8F" w:rsidP="001010B5">
            <w:pPr>
              <w:rPr>
                <w:lang w:val="en-GB"/>
              </w:rPr>
            </w:pPr>
            <w:r w:rsidRPr="00D4182C">
              <w:rPr>
                <w:lang w:val="en-GB"/>
              </w:rPr>
              <w:t>Laws and act published</w:t>
            </w:r>
          </w:p>
          <w:p w:rsidR="00283B8F" w:rsidRPr="00D4182C" w:rsidRDefault="00283B8F" w:rsidP="001010B5">
            <w:pPr>
              <w:rPr>
                <w:lang w:val="en-GB"/>
              </w:rPr>
            </w:pPr>
            <w:r w:rsidRPr="00D4182C">
              <w:rPr>
                <w:lang w:val="en-GB"/>
              </w:rPr>
              <w:t>ILO reports</w:t>
            </w:r>
          </w:p>
          <w:p w:rsidR="00283B8F" w:rsidRPr="00D4182C" w:rsidRDefault="00283B8F" w:rsidP="00B77114">
            <w:pPr>
              <w:rPr>
                <w:lang w:val="en-GB"/>
              </w:rPr>
            </w:pPr>
            <w:r w:rsidRPr="00D4182C">
              <w:rPr>
                <w:lang w:val="en-GB"/>
              </w:rPr>
              <w:t>EU project reports</w:t>
            </w:r>
          </w:p>
        </w:tc>
      </w:tr>
      <w:tr w:rsidR="00283B8F" w:rsidRPr="00932D62" w:rsidTr="00FE0FFB">
        <w:tc>
          <w:tcPr>
            <w:tcW w:w="3701" w:type="dxa"/>
          </w:tcPr>
          <w:p w:rsidR="00283B8F" w:rsidRPr="000E4EEA" w:rsidRDefault="00283B8F" w:rsidP="00B440B4">
            <w:pPr>
              <w:numPr>
                <w:ilvl w:val="0"/>
                <w:numId w:val="26"/>
              </w:numPr>
              <w:ind w:left="284" w:hanging="284"/>
              <w:rPr>
                <w:lang w:val="en-GB"/>
              </w:rPr>
            </w:pPr>
            <w:r w:rsidRPr="000E4EEA">
              <w:rPr>
                <w:lang w:val="en-GB"/>
              </w:rPr>
              <w:t>Regional expansion of available European educational offer</w:t>
            </w:r>
          </w:p>
        </w:tc>
        <w:tc>
          <w:tcPr>
            <w:tcW w:w="3231" w:type="dxa"/>
          </w:tcPr>
          <w:p w:rsidR="00283B8F" w:rsidRPr="000E4EEA" w:rsidRDefault="00981417" w:rsidP="001010B5">
            <w:pPr>
              <w:rPr>
                <w:lang w:val="en-GB"/>
              </w:rPr>
            </w:pPr>
            <w:r w:rsidRPr="000E4EEA">
              <w:rPr>
                <w:lang w:val="en-GB"/>
              </w:rPr>
              <w:t>h</w:t>
            </w:r>
            <w:r w:rsidR="00283B8F" w:rsidRPr="000E4EEA">
              <w:rPr>
                <w:lang w:val="en-GB"/>
              </w:rPr>
              <w:t>1) agreement signed on the European School between the EU and Georgia</w:t>
            </w:r>
          </w:p>
          <w:p w:rsidR="00283B8F" w:rsidRPr="000E4EEA" w:rsidRDefault="00283B8F" w:rsidP="001010B5">
            <w:pPr>
              <w:rPr>
                <w:lang w:val="en-GB"/>
              </w:rPr>
            </w:pPr>
          </w:p>
          <w:p w:rsidR="00283B8F" w:rsidRPr="000E4EEA" w:rsidRDefault="00981417" w:rsidP="00B440B4">
            <w:pPr>
              <w:rPr>
                <w:lang w:val="en-GB"/>
              </w:rPr>
            </w:pPr>
            <w:r w:rsidRPr="000E4EEA">
              <w:rPr>
                <w:lang w:val="en-GB"/>
              </w:rPr>
              <w:t>h</w:t>
            </w:r>
            <w:r w:rsidR="00283B8F" w:rsidRPr="000E4EEA">
              <w:rPr>
                <w:lang w:val="en-GB"/>
              </w:rPr>
              <w:t>2) number of EaP students in the Georgia European School</w:t>
            </w:r>
          </w:p>
        </w:tc>
        <w:tc>
          <w:tcPr>
            <w:tcW w:w="2922" w:type="dxa"/>
          </w:tcPr>
          <w:p w:rsidR="00283B8F" w:rsidRPr="000E4EEA" w:rsidRDefault="00283B8F" w:rsidP="001010B5">
            <w:pPr>
              <w:rPr>
                <w:lang w:val="en-GB"/>
              </w:rPr>
            </w:pPr>
            <w:r w:rsidRPr="000E4EEA">
              <w:rPr>
                <w:lang w:val="en-GB"/>
              </w:rPr>
              <w:lastRenderedPageBreak/>
              <w:t>EU-Georgia agreement</w:t>
            </w:r>
          </w:p>
          <w:p w:rsidR="00283B8F" w:rsidRPr="000E4EEA" w:rsidRDefault="00283B8F" w:rsidP="001010B5">
            <w:pPr>
              <w:rPr>
                <w:lang w:val="en-GB"/>
              </w:rPr>
            </w:pPr>
            <w:r w:rsidRPr="000E4EEA">
              <w:rPr>
                <w:lang w:val="en-GB"/>
              </w:rPr>
              <w:t>Government reports</w:t>
            </w:r>
          </w:p>
          <w:p w:rsidR="00283B8F" w:rsidRPr="000E4EEA" w:rsidRDefault="00283B8F" w:rsidP="00B77114">
            <w:pPr>
              <w:rPr>
                <w:lang w:val="en-GB"/>
              </w:rPr>
            </w:pPr>
            <w:r w:rsidRPr="000E4EEA">
              <w:rPr>
                <w:lang w:val="en-GB"/>
              </w:rPr>
              <w:t xml:space="preserve">EU grant monitoring </w:t>
            </w:r>
            <w:r w:rsidRPr="000E4EEA">
              <w:rPr>
                <w:lang w:val="en-GB"/>
              </w:rPr>
              <w:lastRenderedPageBreak/>
              <w:t xml:space="preserve">reports </w:t>
            </w:r>
          </w:p>
        </w:tc>
      </w:tr>
      <w:tr w:rsidR="00283B8F" w:rsidRPr="00932D62" w:rsidTr="00FE0FFB">
        <w:tc>
          <w:tcPr>
            <w:tcW w:w="9854" w:type="dxa"/>
            <w:gridSpan w:val="3"/>
          </w:tcPr>
          <w:p w:rsidR="00283B8F" w:rsidRPr="00D4182C" w:rsidRDefault="00283B8F" w:rsidP="00B77114">
            <w:pPr>
              <w:rPr>
                <w:b/>
                <w:lang w:val="en-GB"/>
              </w:rPr>
            </w:pPr>
            <w:r w:rsidRPr="00D4182C">
              <w:rPr>
                <w:b/>
                <w:lang w:val="en-GB"/>
              </w:rPr>
              <w:lastRenderedPageBreak/>
              <w:t>Specific objective 2:</w:t>
            </w:r>
            <w:r w:rsidRPr="00D4182C">
              <w:rPr>
                <w:b/>
                <w:lang w:val="en-GB"/>
              </w:rPr>
              <w:tab/>
            </w:r>
            <w:r w:rsidRPr="00D4182C">
              <w:rPr>
                <w:lang w:val="en-GB"/>
              </w:rPr>
              <w:t>to sustain the implementation of all benchmarks of the Visa Liberalisation Action Plan</w:t>
            </w:r>
          </w:p>
        </w:tc>
      </w:tr>
      <w:tr w:rsidR="00283B8F" w:rsidRPr="00D4182C" w:rsidTr="00FE0FFB">
        <w:tc>
          <w:tcPr>
            <w:tcW w:w="3701" w:type="dxa"/>
          </w:tcPr>
          <w:p w:rsidR="00283B8F" w:rsidRPr="00D4182C" w:rsidRDefault="00283B8F" w:rsidP="00B77114">
            <w:pPr>
              <w:rPr>
                <w:lang w:val="en-GB"/>
              </w:rPr>
            </w:pPr>
            <w:r w:rsidRPr="00D4182C">
              <w:rPr>
                <w:b/>
                <w:u w:val="single"/>
                <w:lang w:val="en-GB"/>
              </w:rPr>
              <w:t>Expected Results</w:t>
            </w:r>
          </w:p>
        </w:tc>
        <w:tc>
          <w:tcPr>
            <w:tcW w:w="3231" w:type="dxa"/>
          </w:tcPr>
          <w:p w:rsidR="00283B8F" w:rsidRPr="00D4182C" w:rsidRDefault="00283B8F" w:rsidP="00B77114">
            <w:pPr>
              <w:rPr>
                <w:lang w:val="en-GB"/>
              </w:rPr>
            </w:pPr>
            <w:r w:rsidRPr="00D4182C">
              <w:rPr>
                <w:b/>
                <w:u w:val="single"/>
                <w:lang w:val="en-GB"/>
              </w:rPr>
              <w:t>Indicators</w:t>
            </w:r>
          </w:p>
        </w:tc>
        <w:tc>
          <w:tcPr>
            <w:tcW w:w="2922" w:type="dxa"/>
          </w:tcPr>
          <w:p w:rsidR="00283B8F" w:rsidRPr="00D4182C" w:rsidRDefault="00283B8F" w:rsidP="00B77114">
            <w:pPr>
              <w:rPr>
                <w:lang w:val="en-GB"/>
              </w:rPr>
            </w:pPr>
            <w:r w:rsidRPr="00D4182C">
              <w:rPr>
                <w:b/>
                <w:u w:val="single"/>
                <w:lang w:val="en-GB"/>
              </w:rPr>
              <w:t xml:space="preserve">Means of </w:t>
            </w:r>
            <w:r w:rsidRPr="00D4182C">
              <w:rPr>
                <w:b/>
                <w:u w:val="single"/>
                <w:lang w:val="en-GB"/>
              </w:rPr>
              <w:br/>
              <w:t>verification</w:t>
            </w:r>
          </w:p>
        </w:tc>
      </w:tr>
      <w:tr w:rsidR="00283B8F" w:rsidRPr="00932D62" w:rsidTr="00FE0FFB">
        <w:tc>
          <w:tcPr>
            <w:tcW w:w="3701" w:type="dxa"/>
          </w:tcPr>
          <w:p w:rsidR="00283B8F" w:rsidRPr="00B440B4" w:rsidRDefault="00AA3254" w:rsidP="00CC15DC">
            <w:pPr>
              <w:pStyle w:val="ListParagraph"/>
              <w:numPr>
                <w:ilvl w:val="0"/>
                <w:numId w:val="27"/>
              </w:numPr>
              <w:ind w:left="284" w:hanging="284"/>
              <w:jc w:val="left"/>
              <w:rPr>
                <w:b/>
              </w:rPr>
            </w:pPr>
            <w:r>
              <w:t>Enhanced capacity to fight against irregular migration and to regulate regular migration</w:t>
            </w:r>
          </w:p>
          <w:p w:rsidR="00283B8F" w:rsidRPr="00D4182C" w:rsidRDefault="00283B8F" w:rsidP="001010B5">
            <w:pPr>
              <w:ind w:left="284" w:hanging="284"/>
              <w:rPr>
                <w:b/>
                <w:lang w:val="en-GB"/>
              </w:rPr>
            </w:pPr>
          </w:p>
          <w:p w:rsidR="00283B8F" w:rsidRPr="00D4182C" w:rsidRDefault="00283B8F" w:rsidP="001010B5">
            <w:pPr>
              <w:ind w:left="284" w:hanging="284"/>
              <w:rPr>
                <w:b/>
                <w:lang w:val="en-GB"/>
              </w:rPr>
            </w:pPr>
          </w:p>
          <w:p w:rsidR="00283B8F" w:rsidRPr="00D4182C" w:rsidRDefault="00283B8F" w:rsidP="001010B5">
            <w:pPr>
              <w:ind w:left="284" w:hanging="284"/>
              <w:rPr>
                <w:b/>
                <w:lang w:val="en-GB"/>
              </w:rPr>
            </w:pPr>
          </w:p>
          <w:p w:rsidR="00283B8F" w:rsidRPr="00D4182C" w:rsidRDefault="00283B8F" w:rsidP="00B77114">
            <w:pPr>
              <w:rPr>
                <w:lang w:val="en-GB"/>
              </w:rPr>
            </w:pPr>
          </w:p>
        </w:tc>
        <w:tc>
          <w:tcPr>
            <w:tcW w:w="3231" w:type="dxa"/>
          </w:tcPr>
          <w:p w:rsidR="00AA3254" w:rsidRPr="00D4182C" w:rsidRDefault="00283B8F" w:rsidP="00AA3254">
            <w:pPr>
              <w:rPr>
                <w:lang w:val="en-GB"/>
              </w:rPr>
            </w:pPr>
            <w:r w:rsidRPr="00D4182C">
              <w:rPr>
                <w:lang w:val="en-GB"/>
              </w:rPr>
              <w:t>a</w:t>
            </w:r>
            <w:r w:rsidR="00AA3254">
              <w:rPr>
                <w:lang w:val="en-GB"/>
              </w:rPr>
              <w:t>1</w:t>
            </w:r>
            <w:r w:rsidRPr="00FE0FFB">
              <w:rPr>
                <w:lang w:val="en-GB"/>
              </w:rPr>
              <w:t xml:space="preserve">) </w:t>
            </w:r>
            <w:r w:rsidRPr="00D4182C">
              <w:rPr>
                <w:lang w:val="en-GB"/>
              </w:rPr>
              <w:t>Status of implementation of EU-Georgia Readmission Agreement</w:t>
            </w:r>
            <w:r>
              <w:rPr>
                <w:lang w:val="en-GB"/>
              </w:rPr>
              <w:t xml:space="preserve"> </w:t>
            </w:r>
            <w:r w:rsidR="00AA3254">
              <w:rPr>
                <w:lang w:val="en-GB"/>
              </w:rPr>
              <w:t xml:space="preserve">including </w:t>
            </w:r>
            <w:r w:rsidR="00AA3254" w:rsidRPr="00D4182C">
              <w:rPr>
                <w:lang w:val="en-GB"/>
              </w:rPr>
              <w:t xml:space="preserve">number of reintegrated migrants </w:t>
            </w:r>
            <w:r w:rsidR="00AA3254">
              <w:rPr>
                <w:lang w:val="en-GB"/>
              </w:rPr>
              <w:t>(</w:t>
            </w:r>
            <w:r w:rsidR="00AA3254" w:rsidRPr="00D4182C">
              <w:rPr>
                <w:lang w:val="en-GB"/>
              </w:rPr>
              <w:t xml:space="preserve">disaggregated by </w:t>
            </w:r>
            <w:r w:rsidR="00324E67">
              <w:rPr>
                <w:lang w:val="en-GB"/>
              </w:rPr>
              <w:t>gender</w:t>
            </w:r>
            <w:r w:rsidR="00AA3254">
              <w:rPr>
                <w:lang w:val="en-GB"/>
              </w:rPr>
              <w:t>)</w:t>
            </w:r>
            <w:r w:rsidR="00AA3254" w:rsidRPr="00D4182C">
              <w:rPr>
                <w:lang w:val="en-GB"/>
              </w:rPr>
              <w:t>;</w:t>
            </w:r>
          </w:p>
          <w:p w:rsidR="00AA3254" w:rsidRDefault="00AA3254" w:rsidP="00AA3254">
            <w:pPr>
              <w:rPr>
                <w:lang w:val="en-GB"/>
              </w:rPr>
            </w:pPr>
            <w:r>
              <w:rPr>
                <w:lang w:val="en-GB"/>
              </w:rPr>
              <w:t>a2</w:t>
            </w:r>
            <w:r w:rsidRPr="00D4182C">
              <w:rPr>
                <w:lang w:val="en-GB"/>
              </w:rPr>
              <w:t>) Progress in development of efficient system for migration data management</w:t>
            </w:r>
            <w:r>
              <w:rPr>
                <w:lang w:val="en-GB"/>
              </w:rPr>
              <w:t xml:space="preserve"> and risk analysis</w:t>
            </w:r>
            <w:r w:rsidRPr="00D4182C">
              <w:rPr>
                <w:lang w:val="en-GB"/>
              </w:rPr>
              <w:t>.</w:t>
            </w:r>
          </w:p>
          <w:p w:rsidR="00AA3254" w:rsidRPr="00B440B4" w:rsidRDefault="00AA3254" w:rsidP="00B440B4">
            <w:pPr>
              <w:pStyle w:val="Default"/>
              <w:rPr>
                <w:rFonts w:ascii="Times New Roman" w:hAnsi="Times New Roman" w:cs="Times New Roman"/>
                <w:color w:val="auto"/>
              </w:rPr>
            </w:pPr>
            <w:r>
              <w:rPr>
                <w:rFonts w:ascii="Times New Roman" w:hAnsi="Times New Roman"/>
                <w:color w:val="auto"/>
              </w:rPr>
              <w:t>a3</w:t>
            </w:r>
            <w:r w:rsidRPr="00D4182C">
              <w:rPr>
                <w:rFonts w:ascii="Times New Roman" w:hAnsi="Times New Roman"/>
                <w:color w:val="auto"/>
              </w:rPr>
              <w:t xml:space="preserve">) Number asylum seekers, stateless persons, and persons with a humanitarian or refugee status received protection and  assistance in compliance with the </w:t>
            </w:r>
            <w:r w:rsidRPr="00B440B4">
              <w:rPr>
                <w:rFonts w:ascii="Times New Roman" w:hAnsi="Times New Roman" w:cs="Times New Roman"/>
                <w:color w:val="auto"/>
              </w:rPr>
              <w:t xml:space="preserve">principles of the </w:t>
            </w:r>
          </w:p>
          <w:p w:rsidR="00283B8F" w:rsidRPr="00B440B4" w:rsidRDefault="00AA3254" w:rsidP="00B440B4">
            <w:pPr>
              <w:pStyle w:val="Default"/>
              <w:rPr>
                <w:rFonts w:ascii="Times New Roman" w:hAnsi="Times New Roman" w:cs="Times New Roman"/>
                <w:color w:val="auto"/>
              </w:rPr>
            </w:pPr>
            <w:r w:rsidRPr="00B440B4">
              <w:rPr>
                <w:rFonts w:ascii="Times New Roman" w:hAnsi="Times New Roman" w:cs="Times New Roman"/>
                <w:color w:val="auto"/>
              </w:rPr>
              <w:t xml:space="preserve">international law </w:t>
            </w:r>
          </w:p>
          <w:p w:rsidR="00AA3254" w:rsidRPr="00B440B4" w:rsidRDefault="00AA3254" w:rsidP="00FE0FFB">
            <w:pPr>
              <w:pStyle w:val="Default"/>
            </w:pPr>
            <w:r w:rsidRPr="00B440B4">
              <w:rPr>
                <w:rFonts w:ascii="Times New Roman" w:hAnsi="Times New Roman" w:cs="Times New Roman"/>
              </w:rPr>
              <w:t>a4) Number of staff  trained on migration regulations;</w:t>
            </w:r>
          </w:p>
        </w:tc>
        <w:tc>
          <w:tcPr>
            <w:tcW w:w="2922" w:type="dxa"/>
          </w:tcPr>
          <w:p w:rsidR="00283B8F" w:rsidRPr="00D4182C" w:rsidRDefault="00283B8F" w:rsidP="001010B5">
            <w:pPr>
              <w:rPr>
                <w:lang w:val="en-GB"/>
              </w:rPr>
            </w:pPr>
            <w:r w:rsidRPr="00D4182C">
              <w:rPr>
                <w:lang w:val="en-GB"/>
              </w:rPr>
              <w:t>Georgia's reporting under Joint Readmission Committee</w:t>
            </w:r>
          </w:p>
          <w:p w:rsidR="00283B8F" w:rsidRPr="00D4182C" w:rsidRDefault="00283B8F" w:rsidP="001010B5">
            <w:pPr>
              <w:rPr>
                <w:lang w:val="en-GB"/>
              </w:rPr>
            </w:pPr>
            <w:r w:rsidRPr="00D4182C">
              <w:rPr>
                <w:lang w:val="en-GB"/>
              </w:rPr>
              <w:t>Annual reports of Ministry of Internal Affairs</w:t>
            </w:r>
          </w:p>
          <w:p w:rsidR="00283B8F" w:rsidRPr="00D4182C" w:rsidRDefault="00283B8F" w:rsidP="001010B5">
            <w:pPr>
              <w:rPr>
                <w:lang w:val="en-GB"/>
              </w:rPr>
            </w:pPr>
            <w:r w:rsidRPr="00D4182C">
              <w:rPr>
                <w:lang w:val="en-GB"/>
              </w:rPr>
              <w:t xml:space="preserve">Data and Statistics of </w:t>
            </w:r>
            <w:r w:rsidRPr="00D4182C">
              <w:rPr>
                <w:shd w:val="clear" w:color="auto" w:fill="FFFFFF"/>
                <w:lang w:val="en-GB"/>
              </w:rPr>
              <w:t>the State Commission on Migration Issues</w:t>
            </w:r>
            <w:r w:rsidR="00AA3254">
              <w:rPr>
                <w:shd w:val="clear" w:color="auto" w:fill="FFFFFF"/>
                <w:lang w:val="en-GB"/>
              </w:rPr>
              <w:t xml:space="preserve"> and other government reports</w:t>
            </w:r>
          </w:p>
          <w:p w:rsidR="00283B8F" w:rsidRPr="00D4182C" w:rsidRDefault="00283B8F" w:rsidP="001010B5">
            <w:pPr>
              <w:rPr>
                <w:lang w:val="en-GB"/>
              </w:rPr>
            </w:pPr>
            <w:r w:rsidRPr="00D4182C">
              <w:rPr>
                <w:lang w:val="en-GB"/>
              </w:rPr>
              <w:t xml:space="preserve">Geostat reports </w:t>
            </w:r>
          </w:p>
          <w:p w:rsidR="00283B8F" w:rsidRPr="00D4182C" w:rsidRDefault="00283B8F" w:rsidP="00B77114">
            <w:pPr>
              <w:rPr>
                <w:lang w:val="en-GB"/>
              </w:rPr>
            </w:pPr>
            <w:r w:rsidRPr="00D4182C">
              <w:rPr>
                <w:lang w:val="en-GB"/>
              </w:rPr>
              <w:t>SDG evaluation reports</w:t>
            </w:r>
          </w:p>
        </w:tc>
      </w:tr>
      <w:tr w:rsidR="00283B8F" w:rsidRPr="00932D62" w:rsidTr="00FE0FFB">
        <w:tc>
          <w:tcPr>
            <w:tcW w:w="3701" w:type="dxa"/>
          </w:tcPr>
          <w:p w:rsidR="00283B8F" w:rsidRPr="00FE0FFB" w:rsidRDefault="00AA3254" w:rsidP="00FE0FFB">
            <w:pPr>
              <w:ind w:left="284" w:hanging="284"/>
              <w:rPr>
                <w:b/>
                <w:lang w:val="en-GB"/>
              </w:rPr>
            </w:pPr>
            <w:r w:rsidRPr="00FE0FFB">
              <w:rPr>
                <w:lang w:val="en-GB"/>
              </w:rPr>
              <w:t xml:space="preserve">b) Sustained implementation of the legal and institutional framework to maintain public order and security (block 3 of VLAP) </w:t>
            </w:r>
          </w:p>
          <w:p w:rsidR="00283B8F" w:rsidRPr="00D4182C" w:rsidRDefault="00283B8F" w:rsidP="00B77114">
            <w:pPr>
              <w:rPr>
                <w:lang w:val="en-GB"/>
              </w:rPr>
            </w:pPr>
          </w:p>
        </w:tc>
        <w:tc>
          <w:tcPr>
            <w:tcW w:w="3231" w:type="dxa"/>
          </w:tcPr>
          <w:p w:rsidR="00283B8F" w:rsidRPr="00D4182C" w:rsidRDefault="00283B8F" w:rsidP="00B440B4">
            <w:pPr>
              <w:rPr>
                <w:lang w:val="en-GB"/>
              </w:rPr>
            </w:pPr>
          </w:p>
        </w:tc>
        <w:tc>
          <w:tcPr>
            <w:tcW w:w="2922" w:type="dxa"/>
          </w:tcPr>
          <w:p w:rsidR="00283B8F" w:rsidRPr="00D4182C" w:rsidRDefault="00283B8F" w:rsidP="001010B5">
            <w:pPr>
              <w:rPr>
                <w:lang w:val="en-GB"/>
              </w:rPr>
            </w:pPr>
          </w:p>
          <w:p w:rsidR="00283B8F" w:rsidRPr="00D4182C" w:rsidRDefault="00283B8F" w:rsidP="00B77114">
            <w:pPr>
              <w:rPr>
                <w:lang w:val="en-GB"/>
              </w:rPr>
            </w:pPr>
          </w:p>
        </w:tc>
      </w:tr>
      <w:tr w:rsidR="00283B8F" w:rsidRPr="00932D62" w:rsidTr="00FE0FFB">
        <w:tc>
          <w:tcPr>
            <w:tcW w:w="3701" w:type="dxa"/>
          </w:tcPr>
          <w:p w:rsidR="00283B8F" w:rsidRPr="00D4182C" w:rsidRDefault="00AA3254" w:rsidP="001010B5">
            <w:pPr>
              <w:ind w:left="284" w:hanging="284"/>
              <w:rPr>
                <w:b/>
                <w:lang w:val="en-GB"/>
              </w:rPr>
            </w:pPr>
            <w:r w:rsidRPr="00FE0FFB">
              <w:rPr>
                <w:lang w:val="en-GB"/>
              </w:rPr>
              <w:t>c) Sustained implementation of the legal and regulatory framework to protect fundamental rioghts, in particular the "law on elimination of all forms of discrimination" (block 4 of the VLAP)</w:t>
            </w:r>
          </w:p>
          <w:p w:rsidR="00283B8F" w:rsidRPr="00D4182C" w:rsidRDefault="00283B8F" w:rsidP="00B77114">
            <w:pPr>
              <w:rPr>
                <w:lang w:val="en-GB"/>
              </w:rPr>
            </w:pPr>
          </w:p>
        </w:tc>
        <w:tc>
          <w:tcPr>
            <w:tcW w:w="3231" w:type="dxa"/>
          </w:tcPr>
          <w:p w:rsidR="00283B8F" w:rsidRPr="00D4182C" w:rsidRDefault="00283B8F" w:rsidP="001010B5">
            <w:pPr>
              <w:rPr>
                <w:lang w:val="en-GB"/>
              </w:rPr>
            </w:pPr>
            <w:r w:rsidRPr="00D4182C">
              <w:rPr>
                <w:lang w:val="en-GB"/>
              </w:rPr>
              <w:t xml:space="preserve"> </w:t>
            </w:r>
          </w:p>
          <w:p w:rsidR="00283B8F" w:rsidRPr="00D4182C" w:rsidRDefault="00283B8F" w:rsidP="001010B5">
            <w:pPr>
              <w:rPr>
                <w:lang w:val="en-GB"/>
              </w:rPr>
            </w:pPr>
          </w:p>
          <w:p w:rsidR="00283B8F" w:rsidRPr="00D4182C" w:rsidRDefault="00283B8F" w:rsidP="001010B5">
            <w:pPr>
              <w:rPr>
                <w:lang w:val="en-GB"/>
              </w:rPr>
            </w:pPr>
          </w:p>
          <w:p w:rsidR="00283B8F" w:rsidRPr="00D4182C" w:rsidRDefault="00283B8F" w:rsidP="001010B5">
            <w:pPr>
              <w:pStyle w:val="Default"/>
              <w:rPr>
                <w:rFonts w:ascii="Times New Roman" w:hAnsi="Times New Roman"/>
                <w:color w:val="auto"/>
              </w:rPr>
            </w:pPr>
          </w:p>
          <w:p w:rsidR="00283B8F" w:rsidRPr="00B440B4" w:rsidRDefault="00283B8F" w:rsidP="00FE0FFB">
            <w:pPr>
              <w:pStyle w:val="Default"/>
            </w:pPr>
          </w:p>
        </w:tc>
        <w:tc>
          <w:tcPr>
            <w:tcW w:w="2922" w:type="dxa"/>
          </w:tcPr>
          <w:p w:rsidR="00283B8F" w:rsidRPr="00D4182C" w:rsidRDefault="00283B8F" w:rsidP="00B77114">
            <w:pPr>
              <w:rPr>
                <w:lang w:val="en-GB"/>
              </w:rPr>
            </w:pPr>
          </w:p>
        </w:tc>
      </w:tr>
      <w:tr w:rsidR="00283B8F" w:rsidRPr="00932D62" w:rsidTr="00FE0FFB">
        <w:tc>
          <w:tcPr>
            <w:tcW w:w="9854" w:type="dxa"/>
            <w:gridSpan w:val="3"/>
            <w:shd w:val="clear" w:color="auto" w:fill="auto"/>
          </w:tcPr>
          <w:p w:rsidR="00283B8F" w:rsidRPr="00D4182C" w:rsidRDefault="00283B8F" w:rsidP="0056593B">
            <w:pPr>
              <w:pBdr>
                <w:top w:val="single" w:sz="4" w:space="1" w:color="auto"/>
                <w:left w:val="single" w:sz="4" w:space="4" w:color="auto"/>
                <w:bottom w:val="single" w:sz="4" w:space="1" w:color="auto"/>
                <w:right w:val="single" w:sz="4" w:space="0" w:color="auto"/>
              </w:pBdr>
              <w:outlineLvl w:val="0"/>
              <w:rPr>
                <w:lang w:val="en-GB"/>
              </w:rPr>
            </w:pPr>
            <w:r w:rsidRPr="00D4182C">
              <w:rPr>
                <w:b/>
                <w:lang w:val="en-GB"/>
              </w:rPr>
              <w:t>Specific objective 3:</w:t>
            </w:r>
            <w:r w:rsidRPr="00D4182C">
              <w:rPr>
                <w:lang w:val="en-GB"/>
              </w:rPr>
              <w:t xml:space="preserve"> to strengthen the inclusion of disadvantaged groups (including minorities) in mainstream education;</w:t>
            </w:r>
          </w:p>
        </w:tc>
      </w:tr>
      <w:tr w:rsidR="00283B8F" w:rsidRPr="00D4182C" w:rsidTr="00FE0FFB">
        <w:tc>
          <w:tcPr>
            <w:tcW w:w="3701" w:type="dxa"/>
          </w:tcPr>
          <w:p w:rsidR="00283B8F" w:rsidRPr="00D4182C" w:rsidRDefault="00283B8F" w:rsidP="00B77114">
            <w:pPr>
              <w:rPr>
                <w:lang w:val="en-GB"/>
              </w:rPr>
            </w:pPr>
            <w:r w:rsidRPr="00D4182C">
              <w:rPr>
                <w:b/>
                <w:u w:val="single"/>
                <w:lang w:val="en-GB"/>
              </w:rPr>
              <w:t>Expected Results</w:t>
            </w:r>
          </w:p>
        </w:tc>
        <w:tc>
          <w:tcPr>
            <w:tcW w:w="3231" w:type="dxa"/>
          </w:tcPr>
          <w:p w:rsidR="00283B8F" w:rsidRPr="00D4182C" w:rsidRDefault="00283B8F" w:rsidP="00B77114">
            <w:pPr>
              <w:rPr>
                <w:lang w:val="en-GB"/>
              </w:rPr>
            </w:pPr>
            <w:r w:rsidRPr="00D4182C">
              <w:rPr>
                <w:b/>
                <w:u w:val="single"/>
                <w:lang w:val="en-GB"/>
              </w:rPr>
              <w:t>Indicators</w:t>
            </w:r>
          </w:p>
        </w:tc>
        <w:tc>
          <w:tcPr>
            <w:tcW w:w="2922" w:type="dxa"/>
          </w:tcPr>
          <w:p w:rsidR="00283B8F" w:rsidRPr="00D4182C" w:rsidRDefault="00283B8F" w:rsidP="00B77114">
            <w:pPr>
              <w:rPr>
                <w:lang w:val="en-GB"/>
              </w:rPr>
            </w:pPr>
            <w:r w:rsidRPr="00D4182C">
              <w:rPr>
                <w:b/>
                <w:u w:val="single"/>
                <w:lang w:val="en-GB"/>
              </w:rPr>
              <w:t xml:space="preserve">Means of </w:t>
            </w:r>
            <w:r w:rsidRPr="00D4182C">
              <w:rPr>
                <w:b/>
                <w:u w:val="single"/>
                <w:lang w:val="en-GB"/>
              </w:rPr>
              <w:br/>
              <w:t>verification</w:t>
            </w:r>
          </w:p>
        </w:tc>
      </w:tr>
      <w:tr w:rsidR="00283B8F" w:rsidRPr="00932D62" w:rsidTr="00FE0FFB">
        <w:tc>
          <w:tcPr>
            <w:tcW w:w="3701" w:type="dxa"/>
          </w:tcPr>
          <w:p w:rsidR="00283B8F" w:rsidRPr="00D4182C" w:rsidRDefault="00283B8F" w:rsidP="00CC15DC">
            <w:pPr>
              <w:numPr>
                <w:ilvl w:val="0"/>
                <w:numId w:val="28"/>
              </w:numPr>
              <w:ind w:left="284" w:hanging="284"/>
              <w:rPr>
                <w:lang w:val="en-GB"/>
              </w:rPr>
            </w:pPr>
            <w:r w:rsidRPr="00D4182C">
              <w:rPr>
                <w:lang w:val="en-GB"/>
              </w:rPr>
              <w:t>Young people, women and other vulnerable groups gain access to education and training;</w:t>
            </w:r>
          </w:p>
        </w:tc>
        <w:tc>
          <w:tcPr>
            <w:tcW w:w="3231" w:type="dxa"/>
          </w:tcPr>
          <w:p w:rsidR="00283B8F" w:rsidRPr="00D4182C" w:rsidRDefault="00283B8F" w:rsidP="001010B5">
            <w:pPr>
              <w:rPr>
                <w:lang w:val="en-GB"/>
              </w:rPr>
            </w:pPr>
            <w:r w:rsidRPr="00D4182C">
              <w:rPr>
                <w:lang w:val="en-GB"/>
              </w:rPr>
              <w:t xml:space="preserve">a1) NEET rates reduced </w:t>
            </w:r>
          </w:p>
          <w:p w:rsidR="00283B8F" w:rsidRPr="00D4182C" w:rsidRDefault="00283B8F" w:rsidP="00B77114">
            <w:pPr>
              <w:rPr>
                <w:lang w:val="en-GB"/>
              </w:rPr>
            </w:pPr>
            <w:r w:rsidRPr="00D4182C">
              <w:rPr>
                <w:lang w:val="en-GB"/>
              </w:rPr>
              <w:t xml:space="preserve">a2) Enrolment rate, and completion rate increased and drop-out rate decreased in less developed regions, disaggregated by region, </w:t>
            </w:r>
            <w:r w:rsidR="00324E67">
              <w:rPr>
                <w:lang w:val="en-GB"/>
              </w:rPr>
              <w:t>gender</w:t>
            </w:r>
            <w:r w:rsidRPr="00D4182C">
              <w:rPr>
                <w:lang w:val="en-GB"/>
              </w:rPr>
              <w:t>, age, education, vulnerable groups</w:t>
            </w:r>
          </w:p>
        </w:tc>
        <w:tc>
          <w:tcPr>
            <w:tcW w:w="2922" w:type="dxa"/>
          </w:tcPr>
          <w:p w:rsidR="00283B8F" w:rsidRPr="00D4182C" w:rsidRDefault="00283B8F" w:rsidP="001010B5">
            <w:pPr>
              <w:rPr>
                <w:lang w:val="en-GB"/>
              </w:rPr>
            </w:pPr>
            <w:r w:rsidRPr="00D4182C">
              <w:rPr>
                <w:lang w:val="en-GB"/>
              </w:rPr>
              <w:t>GEOSTAT</w:t>
            </w:r>
          </w:p>
          <w:p w:rsidR="00283B8F" w:rsidRPr="00D4182C" w:rsidRDefault="00283B8F" w:rsidP="001010B5">
            <w:pPr>
              <w:rPr>
                <w:lang w:val="en-GB"/>
              </w:rPr>
            </w:pPr>
            <w:r w:rsidRPr="00D4182C">
              <w:rPr>
                <w:lang w:val="en-GB"/>
              </w:rPr>
              <w:t>EMIS</w:t>
            </w:r>
          </w:p>
          <w:p w:rsidR="00283B8F" w:rsidRPr="00D4182C" w:rsidRDefault="00283B8F" w:rsidP="00B77114">
            <w:pPr>
              <w:rPr>
                <w:lang w:val="en-GB"/>
              </w:rPr>
            </w:pPr>
            <w:r w:rsidRPr="00D4182C">
              <w:rPr>
                <w:lang w:val="en-GB"/>
              </w:rPr>
              <w:t>Ministry of Education and Science statistics</w:t>
            </w:r>
          </w:p>
        </w:tc>
      </w:tr>
      <w:tr w:rsidR="00283B8F" w:rsidRPr="00932D62" w:rsidTr="00FE0FFB">
        <w:tc>
          <w:tcPr>
            <w:tcW w:w="9854" w:type="dxa"/>
            <w:gridSpan w:val="3"/>
            <w:shd w:val="clear" w:color="auto" w:fill="auto"/>
          </w:tcPr>
          <w:p w:rsidR="00283B8F" w:rsidRPr="00D4182C" w:rsidRDefault="00283B8F" w:rsidP="00BE3F6D">
            <w:pPr>
              <w:pBdr>
                <w:top w:val="single" w:sz="4" w:space="1" w:color="auto"/>
                <w:left w:val="single" w:sz="4" w:space="4" w:color="auto"/>
                <w:bottom w:val="single" w:sz="4" w:space="1" w:color="auto"/>
                <w:right w:val="single" w:sz="4" w:space="4" w:color="auto"/>
              </w:pBdr>
              <w:outlineLvl w:val="0"/>
              <w:rPr>
                <w:lang w:val="en-GB"/>
              </w:rPr>
            </w:pPr>
            <w:r w:rsidRPr="00D4182C">
              <w:rPr>
                <w:b/>
                <w:lang w:val="en-GB"/>
              </w:rPr>
              <w:t xml:space="preserve">Specific objective 4: </w:t>
            </w:r>
            <w:r w:rsidRPr="00D4182C">
              <w:rPr>
                <w:lang w:val="en-GB"/>
              </w:rPr>
              <w:t xml:space="preserve">to support innovation and research including fostering research/industry </w:t>
            </w:r>
            <w:r w:rsidRPr="00D4182C">
              <w:rPr>
                <w:lang w:val="en-GB"/>
              </w:rPr>
              <w:lastRenderedPageBreak/>
              <w:t>partnerships.</w:t>
            </w:r>
          </w:p>
        </w:tc>
      </w:tr>
      <w:tr w:rsidR="00283B8F" w:rsidRPr="00D4182C" w:rsidTr="00FE0FFB">
        <w:tc>
          <w:tcPr>
            <w:tcW w:w="3701" w:type="dxa"/>
          </w:tcPr>
          <w:p w:rsidR="00283B8F" w:rsidRPr="00D4182C" w:rsidRDefault="00283B8F" w:rsidP="00B77114">
            <w:pPr>
              <w:rPr>
                <w:lang w:val="en-GB"/>
              </w:rPr>
            </w:pPr>
            <w:r w:rsidRPr="00D4182C">
              <w:rPr>
                <w:b/>
                <w:u w:val="single"/>
                <w:lang w:val="en-GB"/>
              </w:rPr>
              <w:lastRenderedPageBreak/>
              <w:t>Expected Results</w:t>
            </w:r>
          </w:p>
        </w:tc>
        <w:tc>
          <w:tcPr>
            <w:tcW w:w="3231" w:type="dxa"/>
          </w:tcPr>
          <w:p w:rsidR="00283B8F" w:rsidRPr="00D4182C" w:rsidRDefault="00283B8F" w:rsidP="00B77114">
            <w:pPr>
              <w:rPr>
                <w:lang w:val="en-GB"/>
              </w:rPr>
            </w:pPr>
            <w:r w:rsidRPr="00D4182C">
              <w:rPr>
                <w:b/>
                <w:u w:val="single"/>
                <w:lang w:val="en-GB"/>
              </w:rPr>
              <w:t>Indicators</w:t>
            </w:r>
          </w:p>
        </w:tc>
        <w:tc>
          <w:tcPr>
            <w:tcW w:w="2922" w:type="dxa"/>
          </w:tcPr>
          <w:p w:rsidR="00283B8F" w:rsidRPr="00D4182C" w:rsidRDefault="00283B8F" w:rsidP="00B77114">
            <w:pPr>
              <w:rPr>
                <w:lang w:val="en-GB"/>
              </w:rPr>
            </w:pPr>
            <w:r w:rsidRPr="00D4182C">
              <w:rPr>
                <w:b/>
                <w:u w:val="single"/>
                <w:lang w:val="en-GB"/>
              </w:rPr>
              <w:t xml:space="preserve">Means of </w:t>
            </w:r>
            <w:r w:rsidRPr="00D4182C">
              <w:rPr>
                <w:b/>
                <w:u w:val="single"/>
                <w:lang w:val="en-GB"/>
              </w:rPr>
              <w:br/>
              <w:t>verification</w:t>
            </w:r>
          </w:p>
        </w:tc>
      </w:tr>
      <w:tr w:rsidR="00283B8F" w:rsidRPr="00D4182C" w:rsidTr="00FE0FFB">
        <w:tc>
          <w:tcPr>
            <w:tcW w:w="3701" w:type="dxa"/>
          </w:tcPr>
          <w:p w:rsidR="00283B8F" w:rsidRPr="00D4182C" w:rsidRDefault="00283B8F" w:rsidP="00CC15DC">
            <w:pPr>
              <w:numPr>
                <w:ilvl w:val="0"/>
                <w:numId w:val="33"/>
              </w:numPr>
              <w:ind w:left="284" w:hanging="284"/>
              <w:rPr>
                <w:lang w:val="en-GB"/>
              </w:rPr>
            </w:pPr>
            <w:r w:rsidRPr="00D4182C">
              <w:rPr>
                <w:lang w:val="en-GB"/>
              </w:rPr>
              <w:t>Increase opportunities and enhanced partnerships in the area of research and innovation</w:t>
            </w:r>
          </w:p>
        </w:tc>
        <w:tc>
          <w:tcPr>
            <w:tcW w:w="3231" w:type="dxa"/>
          </w:tcPr>
          <w:p w:rsidR="00283B8F" w:rsidRPr="00D4182C" w:rsidRDefault="00283B8F" w:rsidP="001010B5">
            <w:pPr>
              <w:rPr>
                <w:lang w:val="en-GB"/>
              </w:rPr>
            </w:pPr>
            <w:r w:rsidRPr="00D4182C">
              <w:rPr>
                <w:lang w:val="en-GB"/>
              </w:rPr>
              <w:t>a1) number of adopted  policy documents on innovation and research</w:t>
            </w:r>
          </w:p>
          <w:p w:rsidR="00283B8F" w:rsidRPr="00D4182C" w:rsidRDefault="00283B8F" w:rsidP="001010B5">
            <w:pPr>
              <w:rPr>
                <w:lang w:val="en-GB"/>
              </w:rPr>
            </w:pPr>
          </w:p>
          <w:p w:rsidR="00283B8F" w:rsidRPr="00D4182C" w:rsidRDefault="00283B8F" w:rsidP="00B440B4">
            <w:pPr>
              <w:rPr>
                <w:lang w:val="en-GB"/>
              </w:rPr>
            </w:pPr>
            <w:r w:rsidRPr="00D4182C">
              <w:rPr>
                <w:lang w:val="en-GB"/>
              </w:rPr>
              <w:t xml:space="preserve">a2) </w:t>
            </w:r>
            <w:r>
              <w:rPr>
                <w:lang w:val="en-GB"/>
              </w:rPr>
              <w:t>number of research/industry partnerships</w:t>
            </w:r>
          </w:p>
        </w:tc>
        <w:tc>
          <w:tcPr>
            <w:tcW w:w="2922" w:type="dxa"/>
          </w:tcPr>
          <w:p w:rsidR="00283B8F" w:rsidRPr="00D4182C" w:rsidRDefault="00283B8F" w:rsidP="001010B5">
            <w:pPr>
              <w:rPr>
                <w:lang w:val="en-GB"/>
              </w:rPr>
            </w:pPr>
            <w:r w:rsidRPr="00D4182C">
              <w:rPr>
                <w:lang w:val="en-GB"/>
              </w:rPr>
              <w:t>Ministry of Education and Science statistics</w:t>
            </w:r>
          </w:p>
          <w:p w:rsidR="00283B8F" w:rsidRPr="00D4182C" w:rsidRDefault="00283B8F" w:rsidP="001010B5">
            <w:pPr>
              <w:rPr>
                <w:lang w:val="en-GB"/>
              </w:rPr>
            </w:pPr>
            <w:r w:rsidRPr="00D4182C">
              <w:rPr>
                <w:lang w:val="en-GB"/>
              </w:rPr>
              <w:t>GITA/MoE reports</w:t>
            </w:r>
          </w:p>
          <w:p w:rsidR="00283B8F" w:rsidRPr="00D4182C" w:rsidRDefault="00283B8F" w:rsidP="001010B5">
            <w:pPr>
              <w:rPr>
                <w:lang w:val="en-GB"/>
              </w:rPr>
            </w:pPr>
            <w:r w:rsidRPr="00D4182C">
              <w:rPr>
                <w:lang w:val="en-GB"/>
              </w:rPr>
              <w:t>Horizo2020 Statists</w:t>
            </w:r>
          </w:p>
          <w:p w:rsidR="00283B8F" w:rsidRPr="00D4182C" w:rsidRDefault="00283B8F" w:rsidP="00B77114">
            <w:pPr>
              <w:rPr>
                <w:lang w:val="en-GB"/>
              </w:rPr>
            </w:pPr>
          </w:p>
        </w:tc>
      </w:tr>
    </w:tbl>
    <w:p w:rsidR="00783851" w:rsidRPr="00D4182C" w:rsidRDefault="00783851" w:rsidP="00783851">
      <w:pPr>
        <w:rPr>
          <w:lang w:val="en-GB"/>
        </w:rPr>
        <w:sectPr w:rsidR="00783851" w:rsidRPr="00D4182C" w:rsidSect="0036260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cols w:space="708"/>
          <w:titlePg/>
          <w:rtlGutter/>
          <w:docGrid w:linePitch="360"/>
        </w:sectPr>
      </w:pPr>
    </w:p>
    <w:p w:rsidR="00783851" w:rsidRPr="00D4182C" w:rsidRDefault="00783851" w:rsidP="00783851">
      <w:pPr>
        <w:rPr>
          <w:b/>
          <w:u w:val="single"/>
          <w:lang w:val="en-GB"/>
        </w:rPr>
      </w:pPr>
      <w:r w:rsidRPr="00D4182C">
        <w:rPr>
          <w:b/>
          <w:u w:val="single"/>
          <w:lang w:val="en-GB"/>
        </w:rPr>
        <w:lastRenderedPageBreak/>
        <w:t>Attachment 2.</w:t>
      </w:r>
      <w:r w:rsidRPr="00D4182C">
        <w:rPr>
          <w:b/>
          <w:u w:val="single"/>
          <w:lang w:val="en-GB"/>
        </w:rPr>
        <w:tab/>
        <w:t xml:space="preserve">Indicative timetable for commitments </w:t>
      </w:r>
    </w:p>
    <w:p w:rsidR="00783851" w:rsidRPr="00D4182C" w:rsidRDefault="00644140" w:rsidP="00E70C23">
      <w:pPr>
        <w:pStyle w:val="Heading4"/>
        <w:numPr>
          <w:ilvl w:val="0"/>
          <w:numId w:val="0"/>
        </w:numPr>
        <w:rPr>
          <w:b w:val="0"/>
          <w:sz w:val="24"/>
          <w:szCs w:val="24"/>
          <w:lang w:val="en-GB"/>
        </w:rPr>
      </w:pPr>
      <w:r w:rsidRPr="00FE0FFB">
        <w:rPr>
          <w:sz w:val="24"/>
          <w:lang w:val="en-GB"/>
        </w:rPr>
        <w:t xml:space="preserve">      </w:t>
      </w:r>
    </w:p>
    <w:tbl>
      <w:tblPr>
        <w:tblW w:w="5000" w:type="pct"/>
        <w:tblCellMar>
          <w:left w:w="30" w:type="dxa"/>
          <w:right w:w="30" w:type="dxa"/>
        </w:tblCellMar>
        <w:tblLook w:val="0000" w:firstRow="0" w:lastRow="0" w:firstColumn="0" w:lastColumn="0" w:noHBand="0" w:noVBand="0"/>
      </w:tblPr>
      <w:tblGrid>
        <w:gridCol w:w="6234"/>
        <w:gridCol w:w="3200"/>
        <w:gridCol w:w="66"/>
        <w:gridCol w:w="66"/>
        <w:gridCol w:w="66"/>
        <w:gridCol w:w="66"/>
      </w:tblGrid>
      <w:tr w:rsidR="001038E5" w:rsidRPr="00D4182C" w:rsidTr="00B8558D">
        <w:trPr>
          <w:cantSplit/>
          <w:trHeight w:val="1005"/>
        </w:trPr>
        <w:tc>
          <w:tcPr>
            <w:tcW w:w="3304" w:type="pct"/>
            <w:tcBorders>
              <w:top w:val="single" w:sz="4" w:space="0" w:color="auto"/>
              <w:left w:val="single" w:sz="4" w:space="0" w:color="auto"/>
              <w:right w:val="single" w:sz="4" w:space="0" w:color="auto"/>
            </w:tcBorders>
          </w:tcPr>
          <w:p w:rsidR="00644140" w:rsidRPr="00D4182C" w:rsidRDefault="00644140" w:rsidP="006E6FE0">
            <w:pPr>
              <w:rPr>
                <w:lang w:val="en-GB"/>
              </w:rPr>
            </w:pPr>
          </w:p>
        </w:tc>
        <w:tc>
          <w:tcPr>
            <w:tcW w:w="1696" w:type="pct"/>
            <w:tcBorders>
              <w:top w:val="single" w:sz="8" w:space="0" w:color="000000"/>
              <w:left w:val="single" w:sz="4" w:space="0" w:color="auto"/>
              <w:right w:val="single" w:sz="4" w:space="0" w:color="auto"/>
            </w:tcBorders>
          </w:tcPr>
          <w:p w:rsidR="00644140" w:rsidRPr="00D4182C" w:rsidRDefault="00644140" w:rsidP="006E6FE0">
            <w:pPr>
              <w:rPr>
                <w:b/>
                <w:lang w:val="en-GB"/>
              </w:rPr>
            </w:pPr>
          </w:p>
          <w:p w:rsidR="00644140" w:rsidRPr="00D4182C" w:rsidRDefault="00644140" w:rsidP="006E6FE0">
            <w:pPr>
              <w:jc w:val="center"/>
              <w:rPr>
                <w:b/>
                <w:lang w:val="en-GB"/>
              </w:rPr>
            </w:pPr>
            <w:r w:rsidRPr="00D4182C">
              <w:rPr>
                <w:b/>
                <w:lang w:val="en-GB"/>
              </w:rPr>
              <w:t>Indicative allocation</w:t>
            </w:r>
          </w:p>
        </w:tc>
        <w:tc>
          <w:tcPr>
            <w:tcW w:w="780" w:type="dxa"/>
            <w:tcBorders>
              <w:top w:val="single" w:sz="4" w:space="0" w:color="auto"/>
              <w:left w:val="single" w:sz="4" w:space="0" w:color="auto"/>
              <w:bottom w:val="single" w:sz="4" w:space="0" w:color="auto"/>
            </w:tcBorders>
          </w:tcPr>
          <w:p w:rsidR="00783851" w:rsidRPr="00D4182C" w:rsidRDefault="00783851" w:rsidP="008E4166">
            <w:pPr>
              <w:spacing w:before="240"/>
              <w:jc w:val="center"/>
              <w:rPr>
                <w:b/>
                <w:color w:val="000000"/>
                <w:lang w:val="en-GB"/>
              </w:rPr>
            </w:pPr>
          </w:p>
        </w:tc>
        <w:tc>
          <w:tcPr>
            <w:tcW w:w="780" w:type="dxa"/>
            <w:tcBorders>
              <w:top w:val="single" w:sz="4" w:space="0" w:color="auto"/>
              <w:left w:val="single" w:sz="8" w:space="0" w:color="000000"/>
              <w:bottom w:val="single" w:sz="4" w:space="0" w:color="auto"/>
            </w:tcBorders>
          </w:tcPr>
          <w:p w:rsidR="00783851" w:rsidRPr="00D4182C" w:rsidRDefault="00783851" w:rsidP="008E4166">
            <w:pPr>
              <w:spacing w:before="240"/>
              <w:jc w:val="center"/>
              <w:rPr>
                <w:b/>
                <w:color w:val="000000"/>
                <w:lang w:val="en-GB"/>
              </w:rPr>
            </w:pPr>
          </w:p>
        </w:tc>
        <w:tc>
          <w:tcPr>
            <w:tcW w:w="780" w:type="dxa"/>
            <w:tcBorders>
              <w:top w:val="single" w:sz="4" w:space="0" w:color="auto"/>
              <w:left w:val="single" w:sz="8" w:space="0" w:color="000000"/>
              <w:bottom w:val="single" w:sz="4" w:space="0" w:color="auto"/>
              <w:right w:val="single" w:sz="8" w:space="0" w:color="000000"/>
            </w:tcBorders>
          </w:tcPr>
          <w:p w:rsidR="00783851" w:rsidRPr="00D4182C" w:rsidRDefault="00783851" w:rsidP="006E6FE0">
            <w:pPr>
              <w:autoSpaceDE w:val="0"/>
              <w:spacing w:before="240"/>
              <w:jc w:val="center"/>
              <w:rPr>
                <w:b/>
                <w:color w:val="000000"/>
                <w:lang w:val="en-GB"/>
              </w:rPr>
            </w:pPr>
          </w:p>
        </w:tc>
        <w:tc>
          <w:tcPr>
            <w:tcW w:w="780" w:type="dxa"/>
            <w:tcBorders>
              <w:top w:val="single" w:sz="4" w:space="0" w:color="auto"/>
              <w:left w:val="single" w:sz="8" w:space="0" w:color="000000"/>
              <w:bottom w:val="single" w:sz="4" w:space="0" w:color="auto"/>
              <w:right w:val="single" w:sz="4" w:space="0" w:color="auto"/>
            </w:tcBorders>
          </w:tcPr>
          <w:p w:rsidR="00783851" w:rsidRPr="00D4182C" w:rsidRDefault="00783851" w:rsidP="006E6FE0">
            <w:pPr>
              <w:autoSpaceDE w:val="0"/>
              <w:spacing w:before="240"/>
              <w:jc w:val="center"/>
              <w:rPr>
                <w:b/>
                <w:color w:val="000000"/>
                <w:lang w:val="en-GB"/>
              </w:rPr>
            </w:pPr>
          </w:p>
        </w:tc>
      </w:tr>
      <w:tr w:rsidR="001038E5" w:rsidRPr="00D4182C" w:rsidTr="00B8558D">
        <w:trPr>
          <w:cantSplit/>
          <w:trHeight w:val="298"/>
        </w:trPr>
        <w:tc>
          <w:tcPr>
            <w:tcW w:w="3304" w:type="pct"/>
            <w:tcBorders>
              <w:top w:val="single" w:sz="8" w:space="0" w:color="000000"/>
              <w:left w:val="single" w:sz="4" w:space="0" w:color="auto"/>
              <w:bottom w:val="single" w:sz="6" w:space="0" w:color="000000"/>
              <w:right w:val="single" w:sz="4" w:space="0" w:color="auto"/>
            </w:tcBorders>
            <w:shd w:val="clear" w:color="auto" w:fill="FFFFFF"/>
          </w:tcPr>
          <w:p w:rsidR="00644140" w:rsidRPr="00D4182C" w:rsidRDefault="00644140" w:rsidP="006E6FE0">
            <w:pPr>
              <w:spacing w:before="120" w:after="120"/>
              <w:rPr>
                <w:b/>
                <w:shd w:val="clear" w:color="auto" w:fill="FFFFFF"/>
                <w:lang w:val="en-GB"/>
              </w:rPr>
            </w:pPr>
            <w:r w:rsidRPr="00D4182C">
              <w:rPr>
                <w:b/>
                <w:shd w:val="clear" w:color="auto" w:fill="FFFFFF"/>
                <w:lang w:val="en-GB"/>
              </w:rPr>
              <w:t xml:space="preserve">SECTOR OF INTERVENTION 1 – </w:t>
            </w:r>
            <w:r w:rsidRPr="00D4182C">
              <w:rPr>
                <w:b/>
                <w:lang w:val="en-GB"/>
              </w:rPr>
              <w:t>Economic development and market opportunities</w:t>
            </w:r>
            <w:r w:rsidRPr="00D4182C">
              <w:rPr>
                <w:lang w:val="en-GB"/>
              </w:rPr>
              <w:t xml:space="preserve">, </w:t>
            </w:r>
            <w:r w:rsidRPr="00D4182C">
              <w:rPr>
                <w:i/>
                <w:lang w:val="en-GB"/>
              </w:rPr>
              <w:t>including</w:t>
            </w:r>
            <w:r w:rsidRPr="00D4182C">
              <w:rPr>
                <w:lang w:val="en-GB"/>
              </w:rPr>
              <w:t xml:space="preserve"> smart, sustainable and inclusive growth</w:t>
            </w:r>
          </w:p>
        </w:tc>
        <w:tc>
          <w:tcPr>
            <w:tcW w:w="1696" w:type="pct"/>
            <w:tcBorders>
              <w:top w:val="single" w:sz="8" w:space="0" w:color="000000"/>
              <w:left w:val="single" w:sz="4" w:space="0" w:color="auto"/>
              <w:bottom w:val="single" w:sz="6" w:space="0" w:color="000000"/>
              <w:right w:val="single" w:sz="4" w:space="0" w:color="auto"/>
            </w:tcBorders>
          </w:tcPr>
          <w:p w:rsidR="00644140" w:rsidRPr="00D4182C" w:rsidRDefault="00644140" w:rsidP="00B8558D">
            <w:pPr>
              <w:spacing w:before="120" w:after="120"/>
              <w:rPr>
                <w:b/>
                <w:shd w:val="clear" w:color="auto" w:fill="FFFFFF"/>
                <w:lang w:val="en-GB"/>
              </w:rPr>
            </w:pPr>
            <w:bookmarkStart w:id="7" w:name="_GoBack"/>
            <w:bookmarkEnd w:id="7"/>
          </w:p>
        </w:tc>
        <w:tc>
          <w:tcPr>
            <w:tcW w:w="780" w:type="dxa"/>
            <w:tcBorders>
              <w:top w:val="single" w:sz="4" w:space="0" w:color="auto"/>
              <w:left w:val="single" w:sz="8" w:space="0" w:color="000000"/>
              <w:bottom w:val="single" w:sz="8" w:space="0" w:color="000000"/>
              <w:right w:val="single" w:sz="2" w:space="0" w:color="000000"/>
            </w:tcBorders>
          </w:tcPr>
          <w:p w:rsidR="00783851" w:rsidRPr="00D4182C" w:rsidRDefault="00783851" w:rsidP="006E6FE0">
            <w:pPr>
              <w:autoSpaceDE w:val="0"/>
              <w:jc w:val="center"/>
              <w:rPr>
                <w:b/>
                <w:color w:val="000000"/>
                <w:lang w:val="en-GB"/>
              </w:rPr>
            </w:pPr>
          </w:p>
        </w:tc>
        <w:tc>
          <w:tcPr>
            <w:tcW w:w="780" w:type="dxa"/>
            <w:tcBorders>
              <w:top w:val="single" w:sz="4" w:space="0" w:color="auto"/>
              <w:left w:val="single" w:sz="8" w:space="0" w:color="000000"/>
              <w:bottom w:val="single" w:sz="8" w:space="0" w:color="000000"/>
            </w:tcBorders>
          </w:tcPr>
          <w:p w:rsidR="00783851" w:rsidRPr="00D4182C" w:rsidRDefault="00783851" w:rsidP="006E6FE0">
            <w:pPr>
              <w:autoSpaceDE w:val="0"/>
              <w:jc w:val="center"/>
              <w:rPr>
                <w:b/>
                <w:color w:val="000000"/>
                <w:lang w:val="en-GB"/>
              </w:rPr>
            </w:pPr>
          </w:p>
        </w:tc>
        <w:tc>
          <w:tcPr>
            <w:tcW w:w="780" w:type="dxa"/>
            <w:tcBorders>
              <w:top w:val="single" w:sz="4" w:space="0" w:color="auto"/>
              <w:left w:val="single" w:sz="2" w:space="0" w:color="000000"/>
              <w:bottom w:val="single" w:sz="8" w:space="0" w:color="000000"/>
            </w:tcBorders>
          </w:tcPr>
          <w:p w:rsidR="00783851" w:rsidRPr="00D4182C" w:rsidRDefault="00783851" w:rsidP="006E6FE0">
            <w:pPr>
              <w:autoSpaceDE w:val="0"/>
              <w:jc w:val="center"/>
              <w:rPr>
                <w:b/>
                <w:color w:val="000000"/>
                <w:lang w:val="en-GB"/>
              </w:rPr>
            </w:pPr>
          </w:p>
        </w:tc>
        <w:tc>
          <w:tcPr>
            <w:tcW w:w="780" w:type="dxa"/>
            <w:tcBorders>
              <w:top w:val="single" w:sz="4" w:space="0" w:color="auto"/>
              <w:left w:val="single" w:sz="2" w:space="0" w:color="000000"/>
              <w:bottom w:val="single" w:sz="8" w:space="0" w:color="000000"/>
              <w:right w:val="single" w:sz="2" w:space="0" w:color="000000"/>
            </w:tcBorders>
          </w:tcPr>
          <w:p w:rsidR="00783851" w:rsidRPr="00D4182C" w:rsidRDefault="00783851" w:rsidP="006E6FE0">
            <w:pPr>
              <w:autoSpaceDE w:val="0"/>
              <w:jc w:val="center"/>
              <w:rPr>
                <w:b/>
                <w:color w:val="000000"/>
                <w:lang w:val="en-GB"/>
              </w:rPr>
            </w:pPr>
          </w:p>
        </w:tc>
      </w:tr>
      <w:tr w:rsidR="001038E5" w:rsidRPr="00D4182C" w:rsidTr="00B8558D">
        <w:trPr>
          <w:cantSplit/>
          <w:trHeight w:val="298"/>
        </w:trPr>
        <w:tc>
          <w:tcPr>
            <w:tcW w:w="3304" w:type="pct"/>
            <w:tcBorders>
              <w:top w:val="single" w:sz="6" w:space="0" w:color="000000"/>
              <w:left w:val="single" w:sz="4" w:space="0" w:color="auto"/>
              <w:bottom w:val="single" w:sz="6" w:space="0" w:color="000000"/>
              <w:right w:val="single" w:sz="4" w:space="0" w:color="auto"/>
            </w:tcBorders>
            <w:shd w:val="clear" w:color="auto" w:fill="FFFFFF"/>
          </w:tcPr>
          <w:p w:rsidR="00644140" w:rsidRPr="00D4182C" w:rsidRDefault="00644140" w:rsidP="00B8558D">
            <w:pPr>
              <w:pStyle w:val="Footer"/>
              <w:spacing w:before="120" w:after="120"/>
              <w:rPr>
                <w:b/>
                <w:lang w:val="en-GB"/>
              </w:rPr>
            </w:pPr>
            <w:r w:rsidRPr="00D4182C">
              <w:rPr>
                <w:b/>
                <w:lang w:val="en-GB"/>
              </w:rPr>
              <w:t>SECTOR</w:t>
            </w:r>
            <w:r w:rsidRPr="00D4182C">
              <w:rPr>
                <w:b/>
                <w:shd w:val="clear" w:color="auto" w:fill="FFFFFF"/>
                <w:lang w:val="en-GB"/>
              </w:rPr>
              <w:t xml:space="preserve"> OF INTERVENTION</w:t>
            </w:r>
            <w:r w:rsidRPr="00D4182C">
              <w:rPr>
                <w:b/>
                <w:lang w:val="en-GB"/>
              </w:rPr>
              <w:t xml:space="preserve"> 2 – Strengthening institutions and good governance</w:t>
            </w:r>
            <w:r w:rsidRPr="00D4182C">
              <w:rPr>
                <w:lang w:val="en-GB"/>
              </w:rPr>
              <w:t xml:space="preserve">, </w:t>
            </w:r>
            <w:r w:rsidRPr="00D4182C">
              <w:rPr>
                <w:i/>
                <w:lang w:val="en-GB"/>
              </w:rPr>
              <w:t>including</w:t>
            </w:r>
            <w:r w:rsidRPr="00D4182C">
              <w:rPr>
                <w:lang w:val="en-GB"/>
              </w:rPr>
              <w:t xml:space="preserve"> consolidating the Rule of Law and addressing security</w:t>
            </w:r>
          </w:p>
        </w:tc>
        <w:tc>
          <w:tcPr>
            <w:tcW w:w="1696" w:type="pct"/>
            <w:tcBorders>
              <w:top w:val="single" w:sz="6" w:space="0" w:color="000000"/>
              <w:left w:val="single" w:sz="4" w:space="0" w:color="auto"/>
              <w:bottom w:val="single" w:sz="6" w:space="0" w:color="000000"/>
              <w:right w:val="single" w:sz="4" w:space="0" w:color="auto"/>
            </w:tcBorders>
          </w:tcPr>
          <w:p w:rsidR="00644140" w:rsidRPr="00D4182C" w:rsidRDefault="00644140" w:rsidP="00B8558D">
            <w:pPr>
              <w:jc w:val="center"/>
              <w:rPr>
                <w:b/>
                <w:lang w:val="en-GB"/>
              </w:rPr>
            </w:pPr>
          </w:p>
        </w:tc>
        <w:tc>
          <w:tcPr>
            <w:tcW w:w="780" w:type="dxa"/>
            <w:tcBorders>
              <w:left w:val="single" w:sz="8" w:space="0" w:color="000000"/>
              <w:bottom w:val="single" w:sz="8" w:space="0" w:color="000000"/>
              <w:right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8" w:space="0" w:color="000000"/>
              <w:bottom w:val="single" w:sz="8"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2" w:space="0" w:color="000000"/>
              <w:bottom w:val="single" w:sz="8"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2" w:space="0" w:color="000000"/>
              <w:bottom w:val="single" w:sz="8" w:space="0" w:color="000000"/>
              <w:right w:val="single" w:sz="2" w:space="0" w:color="000000"/>
            </w:tcBorders>
          </w:tcPr>
          <w:p w:rsidR="00783851" w:rsidRPr="00D4182C" w:rsidRDefault="00783851" w:rsidP="006E6FE0">
            <w:pPr>
              <w:autoSpaceDE w:val="0"/>
              <w:spacing w:before="60"/>
              <w:jc w:val="center"/>
              <w:rPr>
                <w:color w:val="000000"/>
                <w:lang w:val="en-GB"/>
              </w:rPr>
            </w:pPr>
          </w:p>
        </w:tc>
      </w:tr>
      <w:tr w:rsidR="001038E5" w:rsidRPr="00D4182C" w:rsidTr="00B8558D">
        <w:trPr>
          <w:cantSplit/>
          <w:trHeight w:val="298"/>
        </w:trPr>
        <w:tc>
          <w:tcPr>
            <w:tcW w:w="3304" w:type="pct"/>
            <w:tcBorders>
              <w:top w:val="single" w:sz="6" w:space="0" w:color="000000"/>
              <w:left w:val="single" w:sz="4" w:space="0" w:color="auto"/>
              <w:bottom w:val="single" w:sz="6" w:space="0" w:color="000000"/>
              <w:right w:val="single" w:sz="4" w:space="0" w:color="auto"/>
            </w:tcBorders>
          </w:tcPr>
          <w:p w:rsidR="00644140" w:rsidRPr="00D4182C" w:rsidRDefault="00644140" w:rsidP="00B8558D">
            <w:pPr>
              <w:tabs>
                <w:tab w:val="left" w:pos="720"/>
              </w:tabs>
              <w:jc w:val="both"/>
              <w:rPr>
                <w:lang w:val="en-GB"/>
              </w:rPr>
            </w:pPr>
            <w:r w:rsidRPr="00D4182C">
              <w:rPr>
                <w:b/>
                <w:lang w:val="en-GB"/>
              </w:rPr>
              <w:t xml:space="preserve">SECTOR </w:t>
            </w:r>
            <w:r w:rsidRPr="00D4182C">
              <w:rPr>
                <w:b/>
                <w:shd w:val="clear" w:color="auto" w:fill="FFFFFF"/>
                <w:lang w:val="en-GB"/>
              </w:rPr>
              <w:t xml:space="preserve">OF INTERVENTION 3 </w:t>
            </w:r>
            <w:r w:rsidRPr="00D4182C">
              <w:rPr>
                <w:b/>
                <w:lang w:val="en-GB"/>
              </w:rPr>
              <w:t>– Connectivity, energy efficiency, environment and climate change</w:t>
            </w:r>
            <w:r w:rsidRPr="00D4182C">
              <w:rPr>
                <w:lang w:val="en-GB"/>
              </w:rPr>
              <w:t xml:space="preserve"> and support for circular economy</w:t>
            </w:r>
          </w:p>
        </w:tc>
        <w:tc>
          <w:tcPr>
            <w:tcW w:w="1696" w:type="pct"/>
            <w:tcBorders>
              <w:top w:val="single" w:sz="6" w:space="0" w:color="000000"/>
              <w:left w:val="single" w:sz="4" w:space="0" w:color="auto"/>
              <w:bottom w:val="single" w:sz="6" w:space="0" w:color="000000"/>
              <w:right w:val="single" w:sz="4" w:space="0" w:color="auto"/>
            </w:tcBorders>
          </w:tcPr>
          <w:p w:rsidR="00644140" w:rsidRPr="00D4182C" w:rsidRDefault="00644140" w:rsidP="006E6FE0">
            <w:pPr>
              <w:jc w:val="center"/>
              <w:rPr>
                <w:b/>
                <w:shd w:val="clear" w:color="auto" w:fill="FFFFFF"/>
                <w:lang w:val="en-GB"/>
              </w:rPr>
            </w:pPr>
          </w:p>
        </w:tc>
        <w:tc>
          <w:tcPr>
            <w:tcW w:w="780" w:type="dxa"/>
            <w:tcBorders>
              <w:left w:val="single" w:sz="8" w:space="0" w:color="000000"/>
              <w:bottom w:val="single" w:sz="8" w:space="0" w:color="000000"/>
              <w:right w:val="single" w:sz="2" w:space="0" w:color="000000"/>
            </w:tcBorders>
          </w:tcPr>
          <w:p w:rsidR="00783851" w:rsidRPr="00D4182C" w:rsidRDefault="00783851" w:rsidP="006E6FE0">
            <w:pPr>
              <w:autoSpaceDE w:val="0"/>
              <w:jc w:val="center"/>
              <w:rPr>
                <w:b/>
                <w:color w:val="000000"/>
                <w:lang w:val="en-GB"/>
              </w:rPr>
            </w:pPr>
          </w:p>
        </w:tc>
        <w:tc>
          <w:tcPr>
            <w:tcW w:w="780" w:type="dxa"/>
            <w:tcBorders>
              <w:left w:val="single" w:sz="8" w:space="0" w:color="000000"/>
              <w:bottom w:val="single" w:sz="8" w:space="0" w:color="000000"/>
            </w:tcBorders>
          </w:tcPr>
          <w:p w:rsidR="00783851" w:rsidRPr="00D4182C" w:rsidRDefault="00783851" w:rsidP="006E6FE0">
            <w:pPr>
              <w:autoSpaceDE w:val="0"/>
              <w:jc w:val="center"/>
              <w:rPr>
                <w:b/>
                <w:color w:val="000000"/>
                <w:lang w:val="en-GB"/>
              </w:rPr>
            </w:pPr>
          </w:p>
        </w:tc>
        <w:tc>
          <w:tcPr>
            <w:tcW w:w="780" w:type="dxa"/>
            <w:tcBorders>
              <w:left w:val="single" w:sz="2" w:space="0" w:color="000000"/>
              <w:bottom w:val="single" w:sz="8" w:space="0" w:color="000000"/>
            </w:tcBorders>
          </w:tcPr>
          <w:p w:rsidR="00783851" w:rsidRPr="00D4182C" w:rsidRDefault="00783851" w:rsidP="006E6FE0">
            <w:pPr>
              <w:autoSpaceDE w:val="0"/>
              <w:jc w:val="center"/>
              <w:rPr>
                <w:b/>
                <w:color w:val="000000"/>
                <w:lang w:val="en-GB"/>
              </w:rPr>
            </w:pPr>
          </w:p>
        </w:tc>
        <w:tc>
          <w:tcPr>
            <w:tcW w:w="780" w:type="dxa"/>
            <w:tcBorders>
              <w:left w:val="single" w:sz="2" w:space="0" w:color="000000"/>
              <w:bottom w:val="single" w:sz="8" w:space="0" w:color="000000"/>
              <w:right w:val="single" w:sz="2" w:space="0" w:color="000000"/>
            </w:tcBorders>
          </w:tcPr>
          <w:p w:rsidR="00783851" w:rsidRPr="00D4182C" w:rsidRDefault="00783851" w:rsidP="006E6FE0">
            <w:pPr>
              <w:autoSpaceDE w:val="0"/>
              <w:jc w:val="center"/>
              <w:rPr>
                <w:b/>
                <w:color w:val="000000"/>
                <w:lang w:val="en-GB"/>
              </w:rPr>
            </w:pPr>
          </w:p>
        </w:tc>
      </w:tr>
      <w:tr w:rsidR="001038E5" w:rsidRPr="00D4182C" w:rsidTr="00B8558D">
        <w:trPr>
          <w:cantSplit/>
          <w:trHeight w:val="298"/>
        </w:trPr>
        <w:tc>
          <w:tcPr>
            <w:tcW w:w="3304" w:type="pct"/>
            <w:tcBorders>
              <w:top w:val="single" w:sz="6" w:space="0" w:color="000000"/>
              <w:left w:val="single" w:sz="4" w:space="0" w:color="auto"/>
              <w:bottom w:val="single" w:sz="6" w:space="0" w:color="000000"/>
              <w:right w:val="single" w:sz="4" w:space="0" w:color="auto"/>
            </w:tcBorders>
            <w:shd w:val="clear" w:color="auto" w:fill="FFFFFF"/>
          </w:tcPr>
          <w:p w:rsidR="00644140" w:rsidRPr="00D4182C" w:rsidRDefault="00644140" w:rsidP="006E6FE0">
            <w:pPr>
              <w:spacing w:before="120" w:after="120"/>
              <w:rPr>
                <w:b/>
                <w:caps/>
                <w:lang w:val="en-GB"/>
              </w:rPr>
            </w:pPr>
            <w:r w:rsidRPr="00D4182C">
              <w:rPr>
                <w:b/>
                <w:lang w:val="en-GB"/>
              </w:rPr>
              <w:t xml:space="preserve">SECTOR </w:t>
            </w:r>
            <w:r w:rsidRPr="00D4182C">
              <w:rPr>
                <w:b/>
                <w:shd w:val="clear" w:color="auto" w:fill="FFFFFF"/>
                <w:lang w:val="en-GB"/>
              </w:rPr>
              <w:t xml:space="preserve">OF INTERVENTION 4 </w:t>
            </w:r>
            <w:r w:rsidRPr="00D4182C">
              <w:rPr>
                <w:b/>
                <w:lang w:val="en-GB"/>
              </w:rPr>
              <w:t>– Mobility and people-to-people contacts</w:t>
            </w:r>
            <w:r w:rsidRPr="00D4182C">
              <w:rPr>
                <w:lang w:val="en-GB"/>
              </w:rPr>
              <w:t xml:space="preserve">, </w:t>
            </w:r>
            <w:r w:rsidRPr="00D4182C">
              <w:rPr>
                <w:i/>
                <w:lang w:val="en-GB"/>
              </w:rPr>
              <w:t>including</w:t>
            </w:r>
            <w:r w:rsidRPr="00D4182C">
              <w:rPr>
                <w:lang w:val="en-GB"/>
              </w:rPr>
              <w:t xml:space="preserve"> support to the implementation of the visa liberalisation action plan and to vocational education and training</w:t>
            </w:r>
          </w:p>
        </w:tc>
        <w:tc>
          <w:tcPr>
            <w:tcW w:w="1696" w:type="pct"/>
            <w:tcBorders>
              <w:top w:val="single" w:sz="6" w:space="0" w:color="000000"/>
              <w:left w:val="single" w:sz="4" w:space="0" w:color="auto"/>
              <w:bottom w:val="single" w:sz="6" w:space="0" w:color="000000"/>
              <w:right w:val="single" w:sz="4" w:space="0" w:color="auto"/>
            </w:tcBorders>
          </w:tcPr>
          <w:p w:rsidR="00644140" w:rsidRPr="00D4182C" w:rsidRDefault="00644140" w:rsidP="006E6FE0">
            <w:pPr>
              <w:spacing w:before="120" w:after="120"/>
              <w:jc w:val="center"/>
              <w:rPr>
                <w:b/>
                <w:shd w:val="clear" w:color="auto" w:fill="FFFFFF"/>
                <w:lang w:val="en-GB"/>
              </w:rPr>
            </w:pPr>
          </w:p>
        </w:tc>
        <w:tc>
          <w:tcPr>
            <w:tcW w:w="780" w:type="dxa"/>
            <w:tcBorders>
              <w:left w:val="single" w:sz="8" w:space="0" w:color="000000"/>
              <w:bottom w:val="single" w:sz="8" w:space="0" w:color="000000"/>
              <w:right w:val="single" w:sz="2" w:space="0" w:color="000000"/>
            </w:tcBorders>
          </w:tcPr>
          <w:p w:rsidR="00783851" w:rsidRPr="00D4182C" w:rsidRDefault="00783851" w:rsidP="006E6FE0">
            <w:pPr>
              <w:autoSpaceDE w:val="0"/>
              <w:spacing w:before="120" w:after="120"/>
              <w:jc w:val="center"/>
              <w:rPr>
                <w:b/>
                <w:color w:val="000000"/>
                <w:lang w:val="en-GB"/>
              </w:rPr>
            </w:pPr>
          </w:p>
        </w:tc>
        <w:tc>
          <w:tcPr>
            <w:tcW w:w="780" w:type="dxa"/>
            <w:tcBorders>
              <w:left w:val="single" w:sz="8" w:space="0" w:color="000000"/>
              <w:bottom w:val="single" w:sz="8" w:space="0" w:color="000000"/>
            </w:tcBorders>
          </w:tcPr>
          <w:p w:rsidR="00783851" w:rsidRPr="00D4182C" w:rsidRDefault="00783851" w:rsidP="006E6FE0">
            <w:pPr>
              <w:autoSpaceDE w:val="0"/>
              <w:spacing w:before="120" w:after="120"/>
              <w:jc w:val="center"/>
              <w:rPr>
                <w:b/>
                <w:color w:val="000000"/>
                <w:lang w:val="en-GB"/>
              </w:rPr>
            </w:pPr>
          </w:p>
        </w:tc>
        <w:tc>
          <w:tcPr>
            <w:tcW w:w="780" w:type="dxa"/>
            <w:tcBorders>
              <w:left w:val="single" w:sz="2" w:space="0" w:color="000000"/>
              <w:bottom w:val="single" w:sz="8" w:space="0" w:color="000000"/>
            </w:tcBorders>
          </w:tcPr>
          <w:p w:rsidR="00783851" w:rsidRPr="00D4182C" w:rsidRDefault="00783851" w:rsidP="006E6FE0">
            <w:pPr>
              <w:autoSpaceDE w:val="0"/>
              <w:spacing w:before="120" w:after="120"/>
              <w:jc w:val="center"/>
              <w:rPr>
                <w:b/>
                <w:color w:val="000000"/>
                <w:lang w:val="en-GB"/>
              </w:rPr>
            </w:pPr>
          </w:p>
        </w:tc>
        <w:tc>
          <w:tcPr>
            <w:tcW w:w="780" w:type="dxa"/>
            <w:tcBorders>
              <w:left w:val="single" w:sz="2" w:space="0" w:color="000000"/>
              <w:bottom w:val="single" w:sz="8" w:space="0" w:color="000000"/>
              <w:right w:val="single" w:sz="2" w:space="0" w:color="000000"/>
            </w:tcBorders>
          </w:tcPr>
          <w:p w:rsidR="00783851" w:rsidRPr="00D4182C" w:rsidRDefault="00783851" w:rsidP="006E6FE0">
            <w:pPr>
              <w:autoSpaceDE w:val="0"/>
              <w:spacing w:before="120" w:after="120"/>
              <w:jc w:val="center"/>
              <w:rPr>
                <w:b/>
                <w:color w:val="000000"/>
                <w:lang w:val="en-GB"/>
              </w:rPr>
            </w:pPr>
          </w:p>
        </w:tc>
      </w:tr>
      <w:tr w:rsidR="001038E5" w:rsidRPr="00D4182C" w:rsidTr="00B8558D">
        <w:trPr>
          <w:cantSplit/>
          <w:trHeight w:val="298"/>
        </w:trPr>
        <w:tc>
          <w:tcPr>
            <w:tcW w:w="3304" w:type="pct"/>
            <w:tcBorders>
              <w:top w:val="single" w:sz="6" w:space="0" w:color="000000"/>
              <w:left w:val="single" w:sz="4" w:space="0" w:color="auto"/>
              <w:bottom w:val="single" w:sz="6" w:space="0" w:color="000000"/>
              <w:right w:val="single" w:sz="4" w:space="0" w:color="auto"/>
            </w:tcBorders>
          </w:tcPr>
          <w:p w:rsidR="00644140" w:rsidRPr="00D4182C" w:rsidRDefault="00644140" w:rsidP="006E6FE0">
            <w:pPr>
              <w:rPr>
                <w:b/>
                <w:lang w:val="en-GB"/>
              </w:rPr>
            </w:pPr>
            <w:r w:rsidRPr="00D4182C">
              <w:rPr>
                <w:b/>
                <w:lang w:val="en-GB"/>
              </w:rPr>
              <w:t>Complementary support for capacity development</w:t>
            </w:r>
          </w:p>
          <w:p w:rsidR="00644140" w:rsidRPr="00D4182C" w:rsidRDefault="00644140" w:rsidP="006E6FE0">
            <w:pPr>
              <w:rPr>
                <w:lang w:val="en-GB"/>
              </w:rPr>
            </w:pPr>
            <w:r w:rsidRPr="00D4182C">
              <w:rPr>
                <w:b/>
                <w:lang w:val="en-GB"/>
              </w:rPr>
              <w:t>/institution building</w:t>
            </w:r>
          </w:p>
        </w:tc>
        <w:tc>
          <w:tcPr>
            <w:tcW w:w="1696" w:type="pct"/>
            <w:tcBorders>
              <w:top w:val="single" w:sz="6" w:space="0" w:color="000000"/>
              <w:left w:val="single" w:sz="4" w:space="0" w:color="auto"/>
              <w:bottom w:val="single" w:sz="6" w:space="0" w:color="000000"/>
              <w:right w:val="single" w:sz="4" w:space="0" w:color="auto"/>
            </w:tcBorders>
          </w:tcPr>
          <w:p w:rsidR="00644140" w:rsidRPr="00D4182C" w:rsidRDefault="00644140" w:rsidP="006E6FE0">
            <w:pPr>
              <w:spacing w:before="60"/>
              <w:jc w:val="center"/>
              <w:rPr>
                <w:b/>
                <w:lang w:val="en-GB"/>
              </w:rPr>
            </w:pPr>
          </w:p>
        </w:tc>
        <w:tc>
          <w:tcPr>
            <w:tcW w:w="780" w:type="dxa"/>
            <w:tcBorders>
              <w:left w:val="single" w:sz="8" w:space="0" w:color="000000"/>
              <w:bottom w:val="single" w:sz="2" w:space="0" w:color="000000"/>
              <w:right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8" w:space="0" w:color="000000"/>
              <w:bottom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2" w:space="0" w:color="000000"/>
              <w:bottom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2" w:space="0" w:color="000000"/>
              <w:bottom w:val="single" w:sz="2" w:space="0" w:color="000000"/>
              <w:right w:val="single" w:sz="2" w:space="0" w:color="000000"/>
            </w:tcBorders>
          </w:tcPr>
          <w:p w:rsidR="00783851" w:rsidRPr="00D4182C" w:rsidRDefault="00783851" w:rsidP="006E6FE0">
            <w:pPr>
              <w:autoSpaceDE w:val="0"/>
              <w:spacing w:before="60"/>
              <w:jc w:val="center"/>
              <w:rPr>
                <w:color w:val="000000"/>
                <w:lang w:val="en-GB"/>
              </w:rPr>
            </w:pPr>
          </w:p>
        </w:tc>
      </w:tr>
      <w:tr w:rsidR="001038E5" w:rsidRPr="00D4182C" w:rsidTr="00B8558D">
        <w:trPr>
          <w:cantSplit/>
          <w:trHeight w:val="298"/>
        </w:trPr>
        <w:tc>
          <w:tcPr>
            <w:tcW w:w="3304" w:type="pct"/>
            <w:tcBorders>
              <w:top w:val="single" w:sz="6" w:space="0" w:color="000000"/>
              <w:left w:val="single" w:sz="4" w:space="0" w:color="auto"/>
              <w:bottom w:val="single" w:sz="6" w:space="0" w:color="000000"/>
              <w:right w:val="single" w:sz="4" w:space="0" w:color="auto"/>
            </w:tcBorders>
          </w:tcPr>
          <w:p w:rsidR="00644140" w:rsidRPr="00D4182C" w:rsidRDefault="00644140" w:rsidP="006E6FE0">
            <w:pPr>
              <w:rPr>
                <w:lang w:val="en-GB"/>
              </w:rPr>
            </w:pPr>
            <w:r w:rsidRPr="00D4182C">
              <w:rPr>
                <w:b/>
                <w:lang w:val="en-GB"/>
              </w:rPr>
              <w:t>Complementary support in favour of civil society development</w:t>
            </w:r>
          </w:p>
        </w:tc>
        <w:tc>
          <w:tcPr>
            <w:tcW w:w="1696" w:type="pct"/>
            <w:tcBorders>
              <w:top w:val="single" w:sz="6" w:space="0" w:color="000000"/>
              <w:left w:val="single" w:sz="4" w:space="0" w:color="auto"/>
              <w:bottom w:val="single" w:sz="6" w:space="0" w:color="000000"/>
              <w:right w:val="single" w:sz="4" w:space="0" w:color="auto"/>
            </w:tcBorders>
          </w:tcPr>
          <w:p w:rsidR="00644140" w:rsidRPr="00D4182C" w:rsidRDefault="00644140" w:rsidP="006E6FE0">
            <w:pPr>
              <w:jc w:val="center"/>
              <w:rPr>
                <w:b/>
                <w:lang w:val="en-GB"/>
              </w:rPr>
            </w:pPr>
          </w:p>
        </w:tc>
        <w:tc>
          <w:tcPr>
            <w:tcW w:w="780" w:type="dxa"/>
            <w:tcBorders>
              <w:left w:val="single" w:sz="8" w:space="0" w:color="000000"/>
              <w:bottom w:val="single" w:sz="2" w:space="0" w:color="000000"/>
              <w:right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8" w:space="0" w:color="000000"/>
              <w:bottom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2" w:space="0" w:color="000000"/>
              <w:bottom w:val="single" w:sz="2" w:space="0" w:color="000000"/>
            </w:tcBorders>
          </w:tcPr>
          <w:p w:rsidR="00783851" w:rsidRPr="00D4182C" w:rsidRDefault="00783851" w:rsidP="006E6FE0">
            <w:pPr>
              <w:autoSpaceDE w:val="0"/>
              <w:spacing w:before="60"/>
              <w:jc w:val="center"/>
              <w:rPr>
                <w:color w:val="000000"/>
                <w:lang w:val="en-GB"/>
              </w:rPr>
            </w:pPr>
          </w:p>
        </w:tc>
        <w:tc>
          <w:tcPr>
            <w:tcW w:w="780" w:type="dxa"/>
            <w:tcBorders>
              <w:left w:val="single" w:sz="2" w:space="0" w:color="000000"/>
              <w:bottom w:val="single" w:sz="2" w:space="0" w:color="000000"/>
              <w:right w:val="single" w:sz="2" w:space="0" w:color="000000"/>
            </w:tcBorders>
          </w:tcPr>
          <w:p w:rsidR="00783851" w:rsidRPr="00D4182C" w:rsidRDefault="00783851" w:rsidP="006E6FE0">
            <w:pPr>
              <w:autoSpaceDE w:val="0"/>
              <w:spacing w:before="60"/>
              <w:jc w:val="center"/>
              <w:rPr>
                <w:color w:val="000000"/>
                <w:lang w:val="en-GB"/>
              </w:rPr>
            </w:pPr>
          </w:p>
        </w:tc>
      </w:tr>
      <w:tr w:rsidR="001038E5" w:rsidRPr="00D4182C" w:rsidTr="00B8558D">
        <w:trPr>
          <w:cantSplit/>
          <w:trHeight w:val="298"/>
        </w:trPr>
        <w:tc>
          <w:tcPr>
            <w:tcW w:w="3304" w:type="pct"/>
            <w:tcBorders>
              <w:top w:val="single" w:sz="6" w:space="0" w:color="000000"/>
              <w:left w:val="single" w:sz="4" w:space="0" w:color="auto"/>
              <w:bottom w:val="single" w:sz="8" w:space="0" w:color="auto"/>
              <w:right w:val="single" w:sz="4" w:space="0" w:color="auto"/>
            </w:tcBorders>
            <w:shd w:val="clear" w:color="auto" w:fill="FFFFFF"/>
          </w:tcPr>
          <w:p w:rsidR="00644140" w:rsidRPr="00D4182C" w:rsidRDefault="00644140" w:rsidP="006E6FE0">
            <w:pPr>
              <w:spacing w:before="120" w:after="120"/>
              <w:rPr>
                <w:b/>
                <w:caps/>
                <w:lang w:val="en-GB"/>
              </w:rPr>
            </w:pPr>
            <w:r w:rsidRPr="00D4182C">
              <w:rPr>
                <w:b/>
                <w:lang w:val="en-GB"/>
              </w:rPr>
              <w:t>Strategic communication</w:t>
            </w:r>
          </w:p>
        </w:tc>
        <w:tc>
          <w:tcPr>
            <w:tcW w:w="1696" w:type="pct"/>
            <w:tcBorders>
              <w:top w:val="single" w:sz="6" w:space="0" w:color="000000"/>
              <w:left w:val="single" w:sz="4" w:space="0" w:color="auto"/>
              <w:bottom w:val="single" w:sz="8" w:space="0" w:color="auto"/>
              <w:right w:val="single" w:sz="4" w:space="0" w:color="auto"/>
            </w:tcBorders>
          </w:tcPr>
          <w:p w:rsidR="00644140" w:rsidRPr="00D4182C" w:rsidRDefault="00644140" w:rsidP="006E6FE0">
            <w:pPr>
              <w:spacing w:before="120" w:after="120"/>
              <w:jc w:val="center"/>
              <w:rPr>
                <w:b/>
                <w:shd w:val="clear" w:color="auto" w:fill="FFFFFF"/>
                <w:lang w:val="en-GB"/>
              </w:rPr>
            </w:pPr>
          </w:p>
        </w:tc>
        <w:tc>
          <w:tcPr>
            <w:tcW w:w="780" w:type="dxa"/>
            <w:tcBorders>
              <w:left w:val="single" w:sz="8" w:space="0" w:color="000000"/>
              <w:bottom w:val="single" w:sz="8" w:space="0" w:color="000000"/>
              <w:right w:val="single" w:sz="2" w:space="0" w:color="000000"/>
            </w:tcBorders>
          </w:tcPr>
          <w:p w:rsidR="00783851" w:rsidRPr="00D4182C" w:rsidRDefault="00783851" w:rsidP="006E6FE0">
            <w:pPr>
              <w:autoSpaceDE w:val="0"/>
              <w:spacing w:before="120" w:after="120"/>
              <w:jc w:val="center"/>
              <w:rPr>
                <w:b/>
                <w:color w:val="000000"/>
                <w:lang w:val="en-GB"/>
              </w:rPr>
            </w:pPr>
          </w:p>
        </w:tc>
        <w:tc>
          <w:tcPr>
            <w:tcW w:w="780" w:type="dxa"/>
            <w:tcBorders>
              <w:left w:val="single" w:sz="8" w:space="0" w:color="000000"/>
              <w:bottom w:val="single" w:sz="8" w:space="0" w:color="000000"/>
            </w:tcBorders>
          </w:tcPr>
          <w:p w:rsidR="00783851" w:rsidRPr="00D4182C" w:rsidRDefault="00783851" w:rsidP="006E6FE0">
            <w:pPr>
              <w:autoSpaceDE w:val="0"/>
              <w:spacing w:before="120" w:after="120"/>
              <w:jc w:val="center"/>
              <w:rPr>
                <w:b/>
                <w:color w:val="000000"/>
                <w:lang w:val="en-GB"/>
              </w:rPr>
            </w:pPr>
          </w:p>
        </w:tc>
        <w:tc>
          <w:tcPr>
            <w:tcW w:w="780" w:type="dxa"/>
            <w:tcBorders>
              <w:left w:val="single" w:sz="2" w:space="0" w:color="000000"/>
              <w:bottom w:val="single" w:sz="8" w:space="0" w:color="000000"/>
            </w:tcBorders>
          </w:tcPr>
          <w:p w:rsidR="00783851" w:rsidRPr="00D4182C" w:rsidRDefault="00783851" w:rsidP="006E6FE0">
            <w:pPr>
              <w:autoSpaceDE w:val="0"/>
              <w:spacing w:before="120" w:after="120"/>
              <w:jc w:val="center"/>
              <w:rPr>
                <w:b/>
                <w:color w:val="000000"/>
                <w:lang w:val="en-GB"/>
              </w:rPr>
            </w:pPr>
          </w:p>
        </w:tc>
        <w:tc>
          <w:tcPr>
            <w:tcW w:w="780" w:type="dxa"/>
            <w:tcBorders>
              <w:left w:val="single" w:sz="2" w:space="0" w:color="000000"/>
              <w:bottom w:val="single" w:sz="8" w:space="0" w:color="000000"/>
              <w:right w:val="single" w:sz="2" w:space="0" w:color="000000"/>
            </w:tcBorders>
          </w:tcPr>
          <w:p w:rsidR="00783851" w:rsidRPr="00D4182C" w:rsidRDefault="00783851" w:rsidP="006E6FE0">
            <w:pPr>
              <w:autoSpaceDE w:val="0"/>
              <w:spacing w:before="120" w:after="120"/>
              <w:jc w:val="center"/>
              <w:rPr>
                <w:b/>
                <w:color w:val="000000"/>
                <w:lang w:val="en-GB"/>
              </w:rPr>
            </w:pPr>
          </w:p>
        </w:tc>
      </w:tr>
      <w:tr w:rsidR="001038E5" w:rsidRPr="00D4182C" w:rsidTr="00B8558D">
        <w:trPr>
          <w:cantSplit/>
          <w:trHeight w:val="298"/>
        </w:trPr>
        <w:tc>
          <w:tcPr>
            <w:tcW w:w="3304" w:type="pct"/>
            <w:tcBorders>
              <w:top w:val="single" w:sz="8" w:space="0" w:color="auto"/>
              <w:left w:val="single" w:sz="4" w:space="0" w:color="auto"/>
              <w:bottom w:val="single" w:sz="4" w:space="0" w:color="auto"/>
              <w:right w:val="single" w:sz="4" w:space="0" w:color="auto"/>
            </w:tcBorders>
          </w:tcPr>
          <w:p w:rsidR="00D311FD" w:rsidRPr="00D4182C" w:rsidRDefault="00D311FD" w:rsidP="006E6FE0">
            <w:pPr>
              <w:spacing w:before="60"/>
              <w:rPr>
                <w:b/>
                <w:lang w:val="en-GB"/>
              </w:rPr>
            </w:pPr>
          </w:p>
          <w:p w:rsidR="00644140" w:rsidRPr="00D4182C" w:rsidRDefault="00644140" w:rsidP="006E6FE0">
            <w:pPr>
              <w:spacing w:before="60"/>
              <w:rPr>
                <w:b/>
                <w:lang w:val="en-GB"/>
              </w:rPr>
            </w:pPr>
            <w:r w:rsidRPr="00D4182C">
              <w:rPr>
                <w:b/>
                <w:lang w:val="en-GB"/>
              </w:rPr>
              <w:t>Total Commitments</w:t>
            </w:r>
          </w:p>
          <w:p w:rsidR="00644140" w:rsidRPr="00D4182C" w:rsidRDefault="00644140" w:rsidP="006E6FE0">
            <w:pPr>
              <w:spacing w:before="60"/>
              <w:rPr>
                <w:b/>
                <w:lang w:val="en-GB"/>
              </w:rPr>
            </w:pPr>
          </w:p>
        </w:tc>
        <w:tc>
          <w:tcPr>
            <w:tcW w:w="1696" w:type="pct"/>
            <w:tcBorders>
              <w:top w:val="single" w:sz="8" w:space="0" w:color="auto"/>
              <w:left w:val="single" w:sz="4" w:space="0" w:color="auto"/>
              <w:bottom w:val="single" w:sz="6" w:space="0" w:color="000000"/>
              <w:right w:val="single" w:sz="4" w:space="0" w:color="auto"/>
            </w:tcBorders>
          </w:tcPr>
          <w:p w:rsidR="00644140" w:rsidRPr="00D4182C" w:rsidRDefault="00644140" w:rsidP="006E6FE0">
            <w:pPr>
              <w:spacing w:before="60"/>
              <w:jc w:val="center"/>
              <w:rPr>
                <w:b/>
                <w:lang w:val="en-GB"/>
              </w:rPr>
            </w:pPr>
          </w:p>
        </w:tc>
        <w:tc>
          <w:tcPr>
            <w:tcW w:w="780" w:type="dxa"/>
            <w:tcBorders>
              <w:top w:val="single" w:sz="2" w:space="0" w:color="000000"/>
              <w:left w:val="single" w:sz="8" w:space="0" w:color="000000"/>
              <w:bottom w:val="single" w:sz="8" w:space="0" w:color="000000"/>
              <w:right w:val="single" w:sz="2" w:space="0" w:color="000000"/>
            </w:tcBorders>
          </w:tcPr>
          <w:p w:rsidR="00783851" w:rsidRPr="00D4182C" w:rsidRDefault="00783851" w:rsidP="006E6FE0">
            <w:pPr>
              <w:autoSpaceDE w:val="0"/>
              <w:spacing w:before="60"/>
              <w:jc w:val="center"/>
              <w:rPr>
                <w:b/>
                <w:color w:val="000000"/>
                <w:lang w:val="en-GB"/>
              </w:rPr>
            </w:pPr>
          </w:p>
        </w:tc>
        <w:tc>
          <w:tcPr>
            <w:tcW w:w="780" w:type="dxa"/>
            <w:tcBorders>
              <w:top w:val="single" w:sz="2" w:space="0" w:color="000000"/>
              <w:left w:val="single" w:sz="8" w:space="0" w:color="000000"/>
              <w:bottom w:val="single" w:sz="8" w:space="0" w:color="000000"/>
            </w:tcBorders>
          </w:tcPr>
          <w:p w:rsidR="00783851" w:rsidRPr="00D4182C" w:rsidRDefault="00783851" w:rsidP="006E6FE0">
            <w:pPr>
              <w:autoSpaceDE w:val="0"/>
              <w:spacing w:before="60"/>
              <w:jc w:val="center"/>
              <w:rPr>
                <w:b/>
                <w:color w:val="000000"/>
                <w:lang w:val="en-GB"/>
              </w:rPr>
            </w:pPr>
          </w:p>
        </w:tc>
        <w:tc>
          <w:tcPr>
            <w:tcW w:w="780" w:type="dxa"/>
            <w:tcBorders>
              <w:top w:val="single" w:sz="2" w:space="0" w:color="000000"/>
              <w:left w:val="single" w:sz="2" w:space="0" w:color="000000"/>
              <w:bottom w:val="single" w:sz="8" w:space="0" w:color="000000"/>
            </w:tcBorders>
          </w:tcPr>
          <w:p w:rsidR="00783851" w:rsidRPr="00D4182C" w:rsidRDefault="00783851" w:rsidP="006E6FE0">
            <w:pPr>
              <w:autoSpaceDE w:val="0"/>
              <w:spacing w:before="60"/>
              <w:jc w:val="center"/>
              <w:rPr>
                <w:b/>
                <w:color w:val="000000"/>
                <w:lang w:val="en-GB"/>
              </w:rPr>
            </w:pPr>
          </w:p>
        </w:tc>
        <w:tc>
          <w:tcPr>
            <w:tcW w:w="780" w:type="dxa"/>
            <w:tcBorders>
              <w:top w:val="single" w:sz="2" w:space="0" w:color="000000"/>
              <w:left w:val="single" w:sz="2" w:space="0" w:color="000000"/>
              <w:bottom w:val="single" w:sz="8" w:space="0" w:color="000000"/>
              <w:right w:val="single" w:sz="2" w:space="0" w:color="000000"/>
            </w:tcBorders>
          </w:tcPr>
          <w:p w:rsidR="00783851" w:rsidRPr="00D4182C" w:rsidRDefault="00783851" w:rsidP="006E6FE0">
            <w:pPr>
              <w:autoSpaceDE w:val="0"/>
              <w:spacing w:before="60"/>
              <w:jc w:val="center"/>
              <w:rPr>
                <w:b/>
                <w:color w:val="000000"/>
                <w:lang w:val="en-GB"/>
              </w:rPr>
            </w:pPr>
          </w:p>
        </w:tc>
      </w:tr>
    </w:tbl>
    <w:p w:rsidR="00783851" w:rsidRPr="00D4182C" w:rsidRDefault="00783851" w:rsidP="00783851">
      <w:pPr>
        <w:rPr>
          <w:lang w:val="en-GB"/>
        </w:rPr>
      </w:pPr>
    </w:p>
    <w:p w:rsidR="00783851" w:rsidRPr="00D4182C" w:rsidRDefault="00783851" w:rsidP="00783851">
      <w:pPr>
        <w:rPr>
          <w:lang w:val="en-GB"/>
        </w:rPr>
      </w:pPr>
    </w:p>
    <w:p w:rsidR="0054005F" w:rsidRPr="00D4182C" w:rsidRDefault="00783851" w:rsidP="0054005F">
      <w:pPr>
        <w:rPr>
          <w:lang w:val="en-GB"/>
        </w:rPr>
      </w:pPr>
      <w:r w:rsidRPr="00D4182C">
        <w:rPr>
          <w:lang w:val="en-GB"/>
        </w:rPr>
        <w:t>*Breakdown by year is useful for planning, but not required</w:t>
      </w:r>
    </w:p>
    <w:p w:rsidR="009B1D3A" w:rsidRPr="00D4182C" w:rsidRDefault="009B1D3A" w:rsidP="009B1D3A">
      <w:pPr>
        <w:rPr>
          <w:lang w:val="en-GB"/>
        </w:rPr>
      </w:pPr>
    </w:p>
    <w:p w:rsidR="00D229F7" w:rsidRPr="00D4182C" w:rsidRDefault="00661A61" w:rsidP="007B3798">
      <w:pPr>
        <w:spacing w:line="276" w:lineRule="auto"/>
        <w:jc w:val="both"/>
        <w:rPr>
          <w:lang w:val="en-GB" w:eastAsia="en-GB"/>
        </w:rPr>
      </w:pPr>
      <w:r w:rsidRPr="00D4182C">
        <w:rPr>
          <w:lang w:val="en-GB"/>
        </w:rPr>
        <w:t xml:space="preserve"> </w:t>
      </w:r>
    </w:p>
    <w:sectPr w:rsidR="00D229F7" w:rsidRPr="00D4182C" w:rsidSect="0036260F">
      <w:headerReference w:type="even" r:id="rId15"/>
      <w:headerReference w:type="default" r:id="rId16"/>
      <w:footerReference w:type="even" r:id="rId17"/>
      <w:footerReference w:type="default" r:id="rId18"/>
      <w:headerReference w:type="first" r:id="rId19"/>
      <w:pgSz w:w="11906" w:h="16838" w:code="9"/>
      <w:pgMar w:top="1134" w:right="1134" w:bottom="899"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CC" w:rsidRDefault="00A215CC">
      <w:r>
        <w:separator/>
      </w:r>
    </w:p>
  </w:endnote>
  <w:endnote w:type="continuationSeparator" w:id="0">
    <w:p w:rsidR="00A215CC" w:rsidRDefault="00A215CC">
      <w:r>
        <w:continuationSeparator/>
      </w:r>
    </w:p>
  </w:endnote>
  <w:endnote w:type="continuationNotice" w:id="1">
    <w:p w:rsidR="00A215CC" w:rsidRDefault="00A21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0E4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0E4EEA">
    <w:pPr>
      <w:pStyle w:val="Footer"/>
      <w:jc w:val="right"/>
    </w:pPr>
    <w:r>
      <w:fldChar w:fldCharType="begin"/>
    </w:r>
    <w:r>
      <w:instrText xml:space="preserve"> PAGE   \* MERGEFORMAT </w:instrText>
    </w:r>
    <w:r>
      <w:fldChar w:fldCharType="separate"/>
    </w:r>
    <w:r w:rsidR="00932D62">
      <w:rPr>
        <w:noProof/>
      </w:rPr>
      <w:t>29</w:t>
    </w:r>
    <w:r>
      <w:rPr>
        <w:noProof/>
      </w:rPr>
      <w:fldChar w:fldCharType="end"/>
    </w:r>
  </w:p>
  <w:p w:rsidR="000E4EEA" w:rsidRDefault="000E4E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0E4E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0E4EEA" w:rsidP="00886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4EEA" w:rsidRDefault="000E4EEA" w:rsidP="004A31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0E4EEA" w:rsidP="00886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D62">
      <w:rPr>
        <w:rStyle w:val="PageNumber"/>
        <w:noProof/>
      </w:rPr>
      <w:t>30</w:t>
    </w:r>
    <w:r>
      <w:rPr>
        <w:rStyle w:val="PageNumber"/>
      </w:rPr>
      <w:fldChar w:fldCharType="end"/>
    </w:r>
  </w:p>
  <w:p w:rsidR="000E4EEA" w:rsidRDefault="000E4EEA" w:rsidP="004A3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CC" w:rsidRDefault="00A215CC">
      <w:r>
        <w:separator/>
      </w:r>
    </w:p>
  </w:footnote>
  <w:footnote w:type="continuationSeparator" w:id="0">
    <w:p w:rsidR="00A215CC" w:rsidRDefault="00A215CC">
      <w:r>
        <w:continuationSeparator/>
      </w:r>
    </w:p>
  </w:footnote>
  <w:footnote w:type="continuationNotice" w:id="1">
    <w:p w:rsidR="00A215CC" w:rsidRDefault="00A215CC"/>
  </w:footnote>
  <w:footnote w:id="2">
    <w:p w:rsidR="000E4EEA" w:rsidRDefault="000E4EEA" w:rsidP="001E1A07">
      <w:pPr>
        <w:pStyle w:val="FootnoteText"/>
      </w:pPr>
      <w:r>
        <w:rPr>
          <w:rStyle w:val="FootnoteReference"/>
        </w:rPr>
        <w:footnoteRef/>
      </w:r>
      <w:r>
        <w:t xml:space="preserve"> </w:t>
      </w:r>
      <w:r>
        <w:tab/>
        <w:t xml:space="preserve">Georgia was re-classified </w:t>
      </w:r>
      <w:r w:rsidRPr="00542731">
        <w:t xml:space="preserve">by the World Bank </w:t>
      </w:r>
      <w:r>
        <w:t xml:space="preserve">from a lower-middle to an upper-middle income country on 01/07/2016 </w:t>
      </w:r>
      <w:r w:rsidRPr="00542731">
        <w:t xml:space="preserve"> (according to the World Bank Atlas method)</w:t>
      </w:r>
      <w:r>
        <w:t>.</w:t>
      </w:r>
    </w:p>
  </w:footnote>
  <w:footnote w:id="3">
    <w:p w:rsidR="000E4EEA" w:rsidRPr="00804356" w:rsidRDefault="000E4EEA" w:rsidP="001E1A07">
      <w:pPr>
        <w:pStyle w:val="FootnoteText"/>
      </w:pPr>
      <w:r>
        <w:rPr>
          <w:rStyle w:val="FootnoteReference"/>
        </w:rPr>
        <w:footnoteRef/>
      </w:r>
      <w:r>
        <w:t xml:space="preserve"> </w:t>
      </w:r>
      <w:r>
        <w:tab/>
        <w:t>A series of countries feature in this category including Albania and Belarus.</w:t>
      </w:r>
    </w:p>
  </w:footnote>
  <w:footnote w:id="4">
    <w:p w:rsidR="000E4EEA" w:rsidRPr="00402C28" w:rsidRDefault="000E4EEA" w:rsidP="00674A50">
      <w:pPr>
        <w:pStyle w:val="FootnoteText"/>
      </w:pPr>
      <w:r w:rsidRPr="00402C28">
        <w:rPr>
          <w:rStyle w:val="FootnoteReference"/>
        </w:rPr>
        <w:footnoteRef/>
      </w:r>
      <w:r w:rsidRPr="00402C28">
        <w:t xml:space="preserve"> </w:t>
      </w:r>
      <w:r w:rsidRPr="00402C28">
        <w:rPr>
          <w:sz w:val="16"/>
          <w:szCs w:val="16"/>
        </w:rPr>
        <w:t>The ENP review highlighted the stabilisation of neighbouring countries as an important political priority, to be achieved through support to good governance, democracy, human rights and rule of law, economic governance, as well as cooperation on security and on migration and mobility.</w:t>
      </w:r>
    </w:p>
  </w:footnote>
  <w:footnote w:id="5">
    <w:p w:rsidR="000E4EEA" w:rsidRPr="00A01678" w:rsidRDefault="000E4EEA" w:rsidP="00887B79">
      <w:pPr>
        <w:pStyle w:val="FootnoteText"/>
        <w:rPr>
          <w:sz w:val="16"/>
          <w:szCs w:val="16"/>
        </w:rPr>
      </w:pPr>
      <w:r w:rsidRPr="00A01678">
        <w:rPr>
          <w:rStyle w:val="FootnoteReference"/>
          <w:sz w:val="16"/>
          <w:szCs w:val="16"/>
        </w:rPr>
        <w:footnoteRef/>
      </w:r>
      <w:r w:rsidRPr="00A01678">
        <w:rPr>
          <w:sz w:val="16"/>
          <w:szCs w:val="16"/>
        </w:rPr>
        <w:t xml:space="preserve"> European Commission/HRVP - Joint Staff Working Document of 15 December 2016 "Eastern partnership – Focusing on key priorities and deliverables" – SWD(2016) 467 final</w:t>
      </w:r>
    </w:p>
  </w:footnote>
  <w:footnote w:id="6">
    <w:p w:rsidR="000E4EEA" w:rsidRPr="006E2177" w:rsidRDefault="000E4EEA">
      <w:pPr>
        <w:pStyle w:val="FootnoteText"/>
      </w:pPr>
      <w:r w:rsidRPr="00B8558D">
        <w:rPr>
          <w:rStyle w:val="FootnoteReference"/>
        </w:rPr>
        <w:footnoteRef/>
      </w:r>
      <w:r w:rsidRPr="00B8558D">
        <w:t xml:space="preserve"> </w:t>
      </w:r>
      <w:r w:rsidRPr="00B8558D">
        <w:tab/>
        <w:t>Selection criteria could include: GDP per capita (spread and trend), unemployment, poverty related indicators, local capacity for development, track record of foreign aid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932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2432" o:spid="_x0000_s2050" type="#_x0000_t136" style="position:absolute;margin-left:0;margin-top:0;width:485.3pt;height:194.1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932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2433" o:spid="_x0000_s2051"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932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2431" o:spid="_x0000_s2049" type="#_x0000_t136" style="position:absolute;margin-left:0;margin-top:0;width:485.3pt;height:194.1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932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2435" o:spid="_x0000_s2053"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932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2436" o:spid="_x0000_s2054"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EEA" w:rsidRDefault="00932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2434" o:spid="_x0000_s2052"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2C6"/>
    <w:multiLevelType w:val="hybridMultilevel"/>
    <w:tmpl w:val="03ECF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34477C9"/>
    <w:multiLevelType w:val="hybridMultilevel"/>
    <w:tmpl w:val="000AC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901E3D"/>
    <w:multiLevelType w:val="hybridMultilevel"/>
    <w:tmpl w:val="7BCC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620ED6"/>
    <w:multiLevelType w:val="hybridMultilevel"/>
    <w:tmpl w:val="BB06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F92781"/>
    <w:multiLevelType w:val="hybridMultilevel"/>
    <w:tmpl w:val="84E6F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DE5477"/>
    <w:multiLevelType w:val="hybridMultilevel"/>
    <w:tmpl w:val="8FE4837C"/>
    <w:lvl w:ilvl="0" w:tplc="AFB6811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082623"/>
    <w:multiLevelType w:val="hybridMultilevel"/>
    <w:tmpl w:val="990E2B92"/>
    <w:lvl w:ilvl="0" w:tplc="C4F0B67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4250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D255A7"/>
    <w:multiLevelType w:val="hybridMultilevel"/>
    <w:tmpl w:val="51CC5B5C"/>
    <w:lvl w:ilvl="0" w:tplc="FDB0DB9E">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16467F8"/>
    <w:multiLevelType w:val="hybridMultilevel"/>
    <w:tmpl w:val="C02CCA80"/>
    <w:lvl w:ilvl="0" w:tplc="9342EA48">
      <w:start w:val="14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DA572E"/>
    <w:multiLevelType w:val="hybridMultilevel"/>
    <w:tmpl w:val="0D22414E"/>
    <w:lvl w:ilvl="0" w:tplc="DBE43344">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EF765D"/>
    <w:multiLevelType w:val="hybridMultilevel"/>
    <w:tmpl w:val="5768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064690"/>
    <w:multiLevelType w:val="hybridMultilevel"/>
    <w:tmpl w:val="79680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2E3EB2"/>
    <w:multiLevelType w:val="hybridMultilevel"/>
    <w:tmpl w:val="FD7ADA82"/>
    <w:lvl w:ilvl="0" w:tplc="CCCA0C80">
      <w:start w:val="1"/>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26E0164"/>
    <w:multiLevelType w:val="hybridMultilevel"/>
    <w:tmpl w:val="2DC085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B474E2"/>
    <w:multiLevelType w:val="hybridMultilevel"/>
    <w:tmpl w:val="9EE4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EB53D0"/>
    <w:multiLevelType w:val="hybridMultilevel"/>
    <w:tmpl w:val="3976ED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E859FD"/>
    <w:multiLevelType w:val="hybridMultilevel"/>
    <w:tmpl w:val="EA10294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nsid w:val="30A5568E"/>
    <w:multiLevelType w:val="hybridMultilevel"/>
    <w:tmpl w:val="BC34B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20B0BA5"/>
    <w:multiLevelType w:val="hybridMultilevel"/>
    <w:tmpl w:val="B3E00B0A"/>
    <w:lvl w:ilvl="0" w:tplc="CCCA0C80">
      <w:start w:val="1"/>
      <w:numFmt w:val="bullet"/>
      <w:lvlText w:val="-"/>
      <w:lvlJc w:val="left"/>
      <w:pPr>
        <w:ind w:left="360" w:hanging="360"/>
      </w:pPr>
      <w:rPr>
        <w:rFonts w:ascii="Arial" w:eastAsia="Times New Roman" w:hAnsi="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nsid w:val="326221F7"/>
    <w:multiLevelType w:val="hybridMultilevel"/>
    <w:tmpl w:val="12F81ECC"/>
    <w:lvl w:ilvl="0" w:tplc="F5C2C660">
      <w:start w:val="1"/>
      <w:numFmt w:val="bullet"/>
      <w:pStyle w:val="standardtext"/>
      <w:lvlText w:val=""/>
      <w:lvlJc w:val="left"/>
      <w:pPr>
        <w:ind w:left="360" w:hanging="360"/>
      </w:pPr>
      <w:rPr>
        <w:rFonts w:ascii="Wingdings" w:hAnsi="Wingdings" w:hint="default"/>
      </w:rPr>
    </w:lvl>
    <w:lvl w:ilvl="1" w:tplc="71C4C69E">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34110DA"/>
    <w:multiLevelType w:val="hybridMultilevel"/>
    <w:tmpl w:val="59C2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B2608E"/>
    <w:multiLevelType w:val="hybridMultilevel"/>
    <w:tmpl w:val="027CC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7740EC3"/>
    <w:multiLevelType w:val="hybridMultilevel"/>
    <w:tmpl w:val="9ABEEA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DC58FF"/>
    <w:multiLevelType w:val="hybridMultilevel"/>
    <w:tmpl w:val="EB944520"/>
    <w:lvl w:ilvl="0" w:tplc="FDB0DB9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782645"/>
    <w:multiLevelType w:val="hybridMultilevel"/>
    <w:tmpl w:val="0E24B9B6"/>
    <w:lvl w:ilvl="0" w:tplc="FA10BF6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8257F0"/>
    <w:multiLevelType w:val="hybridMultilevel"/>
    <w:tmpl w:val="ABAECD94"/>
    <w:lvl w:ilvl="0" w:tplc="CCCA0C80">
      <w:start w:val="1"/>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43386FDA"/>
    <w:multiLevelType w:val="hybridMultilevel"/>
    <w:tmpl w:val="C11CFA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3E0EB1"/>
    <w:multiLevelType w:val="hybridMultilevel"/>
    <w:tmpl w:val="3E6C47A8"/>
    <w:lvl w:ilvl="0" w:tplc="6F1AB6A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26452D"/>
    <w:multiLevelType w:val="hybridMultilevel"/>
    <w:tmpl w:val="A9605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A7A7598"/>
    <w:multiLevelType w:val="hybridMultilevel"/>
    <w:tmpl w:val="F918BB1E"/>
    <w:lvl w:ilvl="0" w:tplc="08090001">
      <w:start w:val="1"/>
      <w:numFmt w:val="bullet"/>
      <w:lvlText w:val=""/>
      <w:lvlJc w:val="left"/>
      <w:pPr>
        <w:ind w:left="720" w:hanging="360"/>
      </w:pPr>
      <w:rPr>
        <w:rFonts w:ascii="Symbol" w:hAnsi="Symbol" w:hint="default"/>
      </w:rPr>
    </w:lvl>
    <w:lvl w:ilvl="1" w:tplc="FAF4EBD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9F2429"/>
    <w:multiLevelType w:val="hybridMultilevel"/>
    <w:tmpl w:val="DA128DBE"/>
    <w:lvl w:ilvl="0" w:tplc="FDB0DB9E">
      <w:numFmt w:val="bullet"/>
      <w:lvlText w:val="-"/>
      <w:lvlJc w:val="left"/>
      <w:pPr>
        <w:ind w:left="530" w:hanging="360"/>
      </w:pPr>
      <w:rPr>
        <w:rFonts w:ascii="Times New Roman" w:eastAsia="Calibri" w:hAnsi="Times New Roman"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3">
    <w:nsid w:val="55AD0579"/>
    <w:multiLevelType w:val="hybridMultilevel"/>
    <w:tmpl w:val="48A2EFBA"/>
    <w:lvl w:ilvl="0" w:tplc="47BEBB2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92427F"/>
    <w:multiLevelType w:val="hybridMultilevel"/>
    <w:tmpl w:val="F2BCCF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A379C6"/>
    <w:multiLevelType w:val="hybridMultilevel"/>
    <w:tmpl w:val="CD5CBB48"/>
    <w:lvl w:ilvl="0" w:tplc="0809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nsid w:val="5E7213DF"/>
    <w:multiLevelType w:val="hybridMultilevel"/>
    <w:tmpl w:val="16BEFCB6"/>
    <w:lvl w:ilvl="0" w:tplc="8300410E">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557467"/>
    <w:multiLevelType w:val="multilevel"/>
    <w:tmpl w:val="B1CEDD64"/>
    <w:lvl w:ilvl="0">
      <w:start w:val="1"/>
      <w:numFmt w:val="decimal"/>
      <w:pStyle w:val="Heading1"/>
      <w:lvlText w:val="%1."/>
      <w:lvlJc w:val="left"/>
      <w:pPr>
        <w:tabs>
          <w:tab w:val="num" w:pos="432"/>
        </w:tabs>
        <w:ind w:left="432" w:hanging="432"/>
      </w:pPr>
    </w:lvl>
    <w:lvl w:ilvl="1">
      <w:start w:val="1"/>
      <w:numFmt w:val="decimal"/>
      <w:lvlText w:val="%1.%2"/>
      <w:lvlJc w:val="left"/>
      <w:pPr>
        <w:tabs>
          <w:tab w:val="num" w:pos="816"/>
        </w:tabs>
        <w:ind w:left="81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8">
    <w:nsid w:val="64556F2B"/>
    <w:multiLevelType w:val="hybridMultilevel"/>
    <w:tmpl w:val="784A09AA"/>
    <w:lvl w:ilvl="0" w:tplc="DBE43344">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85D7368"/>
    <w:multiLevelType w:val="hybridMultilevel"/>
    <w:tmpl w:val="582C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92791B"/>
    <w:multiLevelType w:val="hybridMultilevel"/>
    <w:tmpl w:val="94F63B2A"/>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nsid w:val="706936ED"/>
    <w:multiLevelType w:val="hybridMultilevel"/>
    <w:tmpl w:val="F2BCCF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0DD17AF"/>
    <w:multiLevelType w:val="hybridMultilevel"/>
    <w:tmpl w:val="7F148F0A"/>
    <w:lvl w:ilvl="0" w:tplc="CCCA0C80">
      <w:start w:val="1"/>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711167E2"/>
    <w:multiLevelType w:val="multilevel"/>
    <w:tmpl w:val="1E5294CA"/>
    <w:name w:val="0,4432446"/>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hint="default"/>
      </w:rPr>
    </w:lvl>
    <w:lvl w:ilvl="2">
      <w:start w:val="1"/>
      <w:numFmt w:val="decimal"/>
      <w:pStyle w:val="NumPar3"/>
      <w:lvlText w:val="%1.%2.%3."/>
      <w:lvlJc w:val="left"/>
      <w:pPr>
        <w:tabs>
          <w:tab w:val="num" w:pos="850"/>
        </w:tabs>
        <w:ind w:left="850" w:hanging="850"/>
      </w:pPr>
      <w:rPr>
        <w:rFonts w:cs="Times New Roman" w:hint="default"/>
      </w:rPr>
    </w:lvl>
    <w:lvl w:ilvl="3">
      <w:start w:val="1"/>
      <w:numFmt w:val="decimal"/>
      <w:pStyle w:val="NumPar4"/>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5644655"/>
    <w:multiLevelType w:val="hybridMultilevel"/>
    <w:tmpl w:val="D55A982E"/>
    <w:lvl w:ilvl="0" w:tplc="08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5F75A82"/>
    <w:multiLevelType w:val="hybridMultilevel"/>
    <w:tmpl w:val="FCAC1402"/>
    <w:lvl w:ilvl="0" w:tplc="FDB0DB9E">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89E0965"/>
    <w:multiLevelType w:val="hybridMultilevel"/>
    <w:tmpl w:val="52D6676A"/>
    <w:lvl w:ilvl="0" w:tplc="08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91F7C4A"/>
    <w:multiLevelType w:val="hybridMultilevel"/>
    <w:tmpl w:val="6A98AB4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nsid w:val="793B1B21"/>
    <w:multiLevelType w:val="hybridMultilevel"/>
    <w:tmpl w:val="F4B6928C"/>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9">
    <w:nsid w:val="7A376A6F"/>
    <w:multiLevelType w:val="hybridMultilevel"/>
    <w:tmpl w:val="43384D86"/>
    <w:lvl w:ilvl="0" w:tplc="DBE43344">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CCA1CA1"/>
    <w:multiLevelType w:val="hybridMultilevel"/>
    <w:tmpl w:val="1726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7E0EDE"/>
    <w:multiLevelType w:val="hybridMultilevel"/>
    <w:tmpl w:val="554CC718"/>
    <w:lvl w:ilvl="0" w:tplc="1BBA1F30">
      <w:start w:val="1"/>
      <w:numFmt w:val="decimal"/>
      <w:lvlText w:val="%1."/>
      <w:lvlJc w:val="left"/>
      <w:pPr>
        <w:tabs>
          <w:tab w:val="num" w:pos="1065"/>
        </w:tabs>
        <w:ind w:left="1065" w:hanging="70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2">
    <w:nsid w:val="7DEB71A3"/>
    <w:multiLevelType w:val="hybridMultilevel"/>
    <w:tmpl w:val="B352C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7F146CC2"/>
    <w:multiLevelType w:val="hybridMultilevel"/>
    <w:tmpl w:val="32AE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F151D86"/>
    <w:multiLevelType w:val="hybridMultilevel"/>
    <w:tmpl w:val="C278155E"/>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7"/>
  </w:num>
  <w:num w:numId="2">
    <w:abstractNumId w:val="43"/>
  </w:num>
  <w:num w:numId="3">
    <w:abstractNumId w:val="51"/>
  </w:num>
  <w:num w:numId="4">
    <w:abstractNumId w:val="20"/>
  </w:num>
  <w:num w:numId="5">
    <w:abstractNumId w:val="32"/>
  </w:num>
  <w:num w:numId="6">
    <w:abstractNumId w:val="54"/>
  </w:num>
  <w:num w:numId="7">
    <w:abstractNumId w:val="40"/>
  </w:num>
  <w:num w:numId="8">
    <w:abstractNumId w:val="17"/>
  </w:num>
  <w:num w:numId="9">
    <w:abstractNumId w:val="19"/>
  </w:num>
  <w:num w:numId="10">
    <w:abstractNumId w:val="26"/>
  </w:num>
  <w:num w:numId="11">
    <w:abstractNumId w:val="13"/>
  </w:num>
  <w:num w:numId="12">
    <w:abstractNumId w:val="42"/>
  </w:num>
  <w:num w:numId="13">
    <w:abstractNumId w:val="45"/>
  </w:num>
  <w:num w:numId="14">
    <w:abstractNumId w:val="31"/>
  </w:num>
  <w:num w:numId="15">
    <w:abstractNumId w:val="24"/>
  </w:num>
  <w:num w:numId="16">
    <w:abstractNumId w:val="8"/>
  </w:num>
  <w:num w:numId="17">
    <w:abstractNumId w:val="1"/>
  </w:num>
  <w:num w:numId="18">
    <w:abstractNumId w:val="46"/>
  </w:num>
  <w:num w:numId="19">
    <w:abstractNumId w:val="44"/>
  </w:num>
  <w:num w:numId="20">
    <w:abstractNumId w:val="47"/>
  </w:num>
  <w:num w:numId="21">
    <w:abstractNumId w:val="34"/>
  </w:num>
  <w:num w:numId="22">
    <w:abstractNumId w:val="49"/>
  </w:num>
  <w:num w:numId="23">
    <w:abstractNumId w:val="28"/>
  </w:num>
  <w:num w:numId="24">
    <w:abstractNumId w:val="36"/>
  </w:num>
  <w:num w:numId="25">
    <w:abstractNumId w:val="4"/>
  </w:num>
  <w:num w:numId="26">
    <w:abstractNumId w:val="23"/>
  </w:num>
  <w:num w:numId="27">
    <w:abstractNumId w:val="5"/>
  </w:num>
  <w:num w:numId="28">
    <w:abstractNumId w:val="12"/>
  </w:num>
  <w:num w:numId="29">
    <w:abstractNumId w:val="25"/>
  </w:num>
  <w:num w:numId="30">
    <w:abstractNumId w:val="52"/>
  </w:num>
  <w:num w:numId="31">
    <w:abstractNumId w:val="33"/>
  </w:num>
  <w:num w:numId="32">
    <w:abstractNumId w:val="6"/>
  </w:num>
  <w:num w:numId="33">
    <w:abstractNumId w:val="16"/>
  </w:num>
  <w:num w:numId="34">
    <w:abstractNumId w:val="14"/>
  </w:num>
  <w:num w:numId="35">
    <w:abstractNumId w:val="9"/>
  </w:num>
  <w:num w:numId="36">
    <w:abstractNumId w:val="37"/>
  </w:num>
  <w:num w:numId="37">
    <w:abstractNumId w:val="37"/>
  </w:num>
  <w:num w:numId="38">
    <w:abstractNumId w:val="37"/>
  </w:num>
  <w:num w:numId="39">
    <w:abstractNumId w:val="37"/>
  </w:num>
  <w:num w:numId="40">
    <w:abstractNumId w:val="37"/>
  </w:num>
  <w:num w:numId="41">
    <w:abstractNumId w:val="18"/>
  </w:num>
  <w:num w:numId="42">
    <w:abstractNumId w:val="21"/>
  </w:num>
  <w:num w:numId="43">
    <w:abstractNumId w:val="53"/>
  </w:num>
  <w:num w:numId="44">
    <w:abstractNumId w:val="32"/>
  </w:num>
  <w:num w:numId="45">
    <w:abstractNumId w:val="0"/>
  </w:num>
  <w:num w:numId="46">
    <w:abstractNumId w:val="0"/>
  </w:num>
  <w:num w:numId="47">
    <w:abstractNumId w:val="48"/>
  </w:num>
  <w:num w:numId="48">
    <w:abstractNumId w:val="2"/>
  </w:num>
  <w:num w:numId="49">
    <w:abstractNumId w:val="39"/>
  </w:num>
  <w:num w:numId="50">
    <w:abstractNumId w:val="50"/>
  </w:num>
  <w:num w:numId="51">
    <w:abstractNumId w:val="10"/>
  </w:num>
  <w:num w:numId="52">
    <w:abstractNumId w:val="38"/>
  </w:num>
  <w:num w:numId="53">
    <w:abstractNumId w:val="15"/>
  </w:num>
  <w:num w:numId="54">
    <w:abstractNumId w:val="30"/>
  </w:num>
  <w:num w:numId="55">
    <w:abstractNumId w:val="22"/>
  </w:num>
  <w:num w:numId="56">
    <w:abstractNumId w:val="11"/>
  </w:num>
  <w:num w:numId="57">
    <w:abstractNumId w:val="41"/>
  </w:num>
  <w:num w:numId="58">
    <w:abstractNumId w:val="29"/>
  </w:num>
  <w:num w:numId="59">
    <w:abstractNumId w:val="7"/>
  </w:num>
  <w:num w:numId="60">
    <w:abstractNumId w:val="27"/>
  </w:num>
  <w:num w:numId="61">
    <w:abstractNumId w:val="35"/>
  </w:num>
  <w:num w:numId="6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170"/>
  <w:drawingGridHorizontalSpacing w:val="120"/>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RMAL"/>
  </w:docVars>
  <w:rsids>
    <w:rsidRoot w:val="00262B01"/>
    <w:rsid w:val="0000019A"/>
    <w:rsid w:val="0000105C"/>
    <w:rsid w:val="00001FFA"/>
    <w:rsid w:val="00002490"/>
    <w:rsid w:val="000047E4"/>
    <w:rsid w:val="00006093"/>
    <w:rsid w:val="00006B66"/>
    <w:rsid w:val="00007CA7"/>
    <w:rsid w:val="00010716"/>
    <w:rsid w:val="00013AF3"/>
    <w:rsid w:val="000156C1"/>
    <w:rsid w:val="00016132"/>
    <w:rsid w:val="00020E73"/>
    <w:rsid w:val="00021A4F"/>
    <w:rsid w:val="00024422"/>
    <w:rsid w:val="00025108"/>
    <w:rsid w:val="00026B2E"/>
    <w:rsid w:val="0003328E"/>
    <w:rsid w:val="00036490"/>
    <w:rsid w:val="00037168"/>
    <w:rsid w:val="00040828"/>
    <w:rsid w:val="00040B0A"/>
    <w:rsid w:val="0004265E"/>
    <w:rsid w:val="0004527E"/>
    <w:rsid w:val="00045641"/>
    <w:rsid w:val="000464D3"/>
    <w:rsid w:val="00047469"/>
    <w:rsid w:val="000523AF"/>
    <w:rsid w:val="000526BE"/>
    <w:rsid w:val="00052A35"/>
    <w:rsid w:val="00052F13"/>
    <w:rsid w:val="000547A5"/>
    <w:rsid w:val="00054938"/>
    <w:rsid w:val="00054CCD"/>
    <w:rsid w:val="0005633D"/>
    <w:rsid w:val="00057B6E"/>
    <w:rsid w:val="00057DBB"/>
    <w:rsid w:val="00062070"/>
    <w:rsid w:val="000628B6"/>
    <w:rsid w:val="00063131"/>
    <w:rsid w:val="00064919"/>
    <w:rsid w:val="00064935"/>
    <w:rsid w:val="0006632D"/>
    <w:rsid w:val="00071B4A"/>
    <w:rsid w:val="000755B4"/>
    <w:rsid w:val="0007582B"/>
    <w:rsid w:val="000800A4"/>
    <w:rsid w:val="00081845"/>
    <w:rsid w:val="00081F98"/>
    <w:rsid w:val="00082A89"/>
    <w:rsid w:val="00083C87"/>
    <w:rsid w:val="00083CD2"/>
    <w:rsid w:val="00084244"/>
    <w:rsid w:val="000851D5"/>
    <w:rsid w:val="00090904"/>
    <w:rsid w:val="00092B42"/>
    <w:rsid w:val="00097457"/>
    <w:rsid w:val="000A466E"/>
    <w:rsid w:val="000A5FB8"/>
    <w:rsid w:val="000A6B36"/>
    <w:rsid w:val="000A6C02"/>
    <w:rsid w:val="000B28E8"/>
    <w:rsid w:val="000B356A"/>
    <w:rsid w:val="000B3DD5"/>
    <w:rsid w:val="000B4054"/>
    <w:rsid w:val="000B5C01"/>
    <w:rsid w:val="000B6D16"/>
    <w:rsid w:val="000C00F4"/>
    <w:rsid w:val="000C2E46"/>
    <w:rsid w:val="000C493B"/>
    <w:rsid w:val="000C5C47"/>
    <w:rsid w:val="000C5E6C"/>
    <w:rsid w:val="000C7BD7"/>
    <w:rsid w:val="000D3CF9"/>
    <w:rsid w:val="000D4FE2"/>
    <w:rsid w:val="000D70AB"/>
    <w:rsid w:val="000D7146"/>
    <w:rsid w:val="000D7A69"/>
    <w:rsid w:val="000E17D7"/>
    <w:rsid w:val="000E191E"/>
    <w:rsid w:val="000E2D49"/>
    <w:rsid w:val="000E2DDF"/>
    <w:rsid w:val="000E4EEA"/>
    <w:rsid w:val="000E76AE"/>
    <w:rsid w:val="000F5803"/>
    <w:rsid w:val="000F7D4D"/>
    <w:rsid w:val="001010B5"/>
    <w:rsid w:val="00102130"/>
    <w:rsid w:val="00103422"/>
    <w:rsid w:val="001038E5"/>
    <w:rsid w:val="0010462E"/>
    <w:rsid w:val="001046C8"/>
    <w:rsid w:val="001051FB"/>
    <w:rsid w:val="0010732C"/>
    <w:rsid w:val="00107B5B"/>
    <w:rsid w:val="00112A2D"/>
    <w:rsid w:val="00117721"/>
    <w:rsid w:val="001200B7"/>
    <w:rsid w:val="00120948"/>
    <w:rsid w:val="00120C45"/>
    <w:rsid w:val="00121710"/>
    <w:rsid w:val="001228EB"/>
    <w:rsid w:val="001235E5"/>
    <w:rsid w:val="00131E88"/>
    <w:rsid w:val="00134D16"/>
    <w:rsid w:val="00134D72"/>
    <w:rsid w:val="001352F2"/>
    <w:rsid w:val="00136046"/>
    <w:rsid w:val="0014027A"/>
    <w:rsid w:val="001403A4"/>
    <w:rsid w:val="00144BAB"/>
    <w:rsid w:val="00145A09"/>
    <w:rsid w:val="001465F3"/>
    <w:rsid w:val="00146683"/>
    <w:rsid w:val="00152DD0"/>
    <w:rsid w:val="001543F7"/>
    <w:rsid w:val="00155149"/>
    <w:rsid w:val="00161C36"/>
    <w:rsid w:val="001649E1"/>
    <w:rsid w:val="00165461"/>
    <w:rsid w:val="00165C24"/>
    <w:rsid w:val="00165E06"/>
    <w:rsid w:val="00166125"/>
    <w:rsid w:val="0017295E"/>
    <w:rsid w:val="00177CA3"/>
    <w:rsid w:val="00180520"/>
    <w:rsid w:val="00180C5E"/>
    <w:rsid w:val="00184372"/>
    <w:rsid w:val="0018508E"/>
    <w:rsid w:val="00185315"/>
    <w:rsid w:val="00185DD1"/>
    <w:rsid w:val="00187273"/>
    <w:rsid w:val="0018744E"/>
    <w:rsid w:val="0019229E"/>
    <w:rsid w:val="00192C5E"/>
    <w:rsid w:val="00197582"/>
    <w:rsid w:val="0019760D"/>
    <w:rsid w:val="00197EF6"/>
    <w:rsid w:val="00197FB3"/>
    <w:rsid w:val="001A2B71"/>
    <w:rsid w:val="001A3CC7"/>
    <w:rsid w:val="001A40D2"/>
    <w:rsid w:val="001A71BD"/>
    <w:rsid w:val="001A72C2"/>
    <w:rsid w:val="001B20C4"/>
    <w:rsid w:val="001B2A64"/>
    <w:rsid w:val="001B4015"/>
    <w:rsid w:val="001B646C"/>
    <w:rsid w:val="001B79C9"/>
    <w:rsid w:val="001B7D5E"/>
    <w:rsid w:val="001C09D1"/>
    <w:rsid w:val="001C2276"/>
    <w:rsid w:val="001C2BDE"/>
    <w:rsid w:val="001C3449"/>
    <w:rsid w:val="001C35D4"/>
    <w:rsid w:val="001C3B0C"/>
    <w:rsid w:val="001C5B4C"/>
    <w:rsid w:val="001C6A0F"/>
    <w:rsid w:val="001C7CF0"/>
    <w:rsid w:val="001D244F"/>
    <w:rsid w:val="001D59D5"/>
    <w:rsid w:val="001E1076"/>
    <w:rsid w:val="001E145E"/>
    <w:rsid w:val="001E180E"/>
    <w:rsid w:val="001E1A07"/>
    <w:rsid w:val="001E1D32"/>
    <w:rsid w:val="001E3742"/>
    <w:rsid w:val="001E403E"/>
    <w:rsid w:val="001E6461"/>
    <w:rsid w:val="001F0686"/>
    <w:rsid w:val="001F2090"/>
    <w:rsid w:val="001F5C85"/>
    <w:rsid w:val="001F70D8"/>
    <w:rsid w:val="001F7A90"/>
    <w:rsid w:val="0020267A"/>
    <w:rsid w:val="0020409F"/>
    <w:rsid w:val="00204D63"/>
    <w:rsid w:val="002052DC"/>
    <w:rsid w:val="0020712B"/>
    <w:rsid w:val="00207EB1"/>
    <w:rsid w:val="0021015B"/>
    <w:rsid w:val="00210555"/>
    <w:rsid w:val="0021061D"/>
    <w:rsid w:val="00212BE6"/>
    <w:rsid w:val="00213331"/>
    <w:rsid w:val="00213349"/>
    <w:rsid w:val="00221777"/>
    <w:rsid w:val="002220A4"/>
    <w:rsid w:val="00222DB4"/>
    <w:rsid w:val="00223F7B"/>
    <w:rsid w:val="00224643"/>
    <w:rsid w:val="00225E62"/>
    <w:rsid w:val="002260D6"/>
    <w:rsid w:val="00226BDF"/>
    <w:rsid w:val="002346F2"/>
    <w:rsid w:val="00234D3F"/>
    <w:rsid w:val="00234F13"/>
    <w:rsid w:val="00236463"/>
    <w:rsid w:val="00236782"/>
    <w:rsid w:val="00236C9A"/>
    <w:rsid w:val="00241979"/>
    <w:rsid w:val="002422F3"/>
    <w:rsid w:val="00242CF3"/>
    <w:rsid w:val="0024494E"/>
    <w:rsid w:val="0024530F"/>
    <w:rsid w:val="0025037F"/>
    <w:rsid w:val="0025129C"/>
    <w:rsid w:val="00252BB1"/>
    <w:rsid w:val="00253A3B"/>
    <w:rsid w:val="00255693"/>
    <w:rsid w:val="00255DFA"/>
    <w:rsid w:val="00257C3A"/>
    <w:rsid w:val="00262B01"/>
    <w:rsid w:val="002636AC"/>
    <w:rsid w:val="002657FB"/>
    <w:rsid w:val="00265A73"/>
    <w:rsid w:val="00265CE6"/>
    <w:rsid w:val="00267B1F"/>
    <w:rsid w:val="0027049A"/>
    <w:rsid w:val="002758E5"/>
    <w:rsid w:val="002765C1"/>
    <w:rsid w:val="00276DBA"/>
    <w:rsid w:val="00277A04"/>
    <w:rsid w:val="00280EE3"/>
    <w:rsid w:val="00281517"/>
    <w:rsid w:val="00281C13"/>
    <w:rsid w:val="00283ADE"/>
    <w:rsid w:val="00283B8F"/>
    <w:rsid w:val="00286A37"/>
    <w:rsid w:val="00290EB6"/>
    <w:rsid w:val="002917F3"/>
    <w:rsid w:val="002954A0"/>
    <w:rsid w:val="0029686E"/>
    <w:rsid w:val="002970C9"/>
    <w:rsid w:val="0029783C"/>
    <w:rsid w:val="002A1844"/>
    <w:rsid w:val="002A6C0B"/>
    <w:rsid w:val="002B345E"/>
    <w:rsid w:val="002B35FF"/>
    <w:rsid w:val="002B3766"/>
    <w:rsid w:val="002B37DB"/>
    <w:rsid w:val="002B453E"/>
    <w:rsid w:val="002B45E1"/>
    <w:rsid w:val="002B4F75"/>
    <w:rsid w:val="002B5CF9"/>
    <w:rsid w:val="002B72A1"/>
    <w:rsid w:val="002C22D6"/>
    <w:rsid w:val="002C2525"/>
    <w:rsid w:val="002C2E4E"/>
    <w:rsid w:val="002C53B9"/>
    <w:rsid w:val="002C5547"/>
    <w:rsid w:val="002C5F74"/>
    <w:rsid w:val="002D1CAA"/>
    <w:rsid w:val="002D3800"/>
    <w:rsid w:val="002D59D7"/>
    <w:rsid w:val="002E1520"/>
    <w:rsid w:val="002E3B92"/>
    <w:rsid w:val="002E6853"/>
    <w:rsid w:val="002F219A"/>
    <w:rsid w:val="002F2984"/>
    <w:rsid w:val="002F33E6"/>
    <w:rsid w:val="002F3C63"/>
    <w:rsid w:val="00300288"/>
    <w:rsid w:val="00301ECD"/>
    <w:rsid w:val="00304610"/>
    <w:rsid w:val="00305C1D"/>
    <w:rsid w:val="00306805"/>
    <w:rsid w:val="00306814"/>
    <w:rsid w:val="00307CB0"/>
    <w:rsid w:val="00320F80"/>
    <w:rsid w:val="003220A5"/>
    <w:rsid w:val="003225D1"/>
    <w:rsid w:val="00322FD5"/>
    <w:rsid w:val="0032448E"/>
    <w:rsid w:val="003248C8"/>
    <w:rsid w:val="00324E67"/>
    <w:rsid w:val="00325AED"/>
    <w:rsid w:val="00325F42"/>
    <w:rsid w:val="00333A0B"/>
    <w:rsid w:val="00337827"/>
    <w:rsid w:val="0034111B"/>
    <w:rsid w:val="003429A1"/>
    <w:rsid w:val="00342D9B"/>
    <w:rsid w:val="00343DEB"/>
    <w:rsid w:val="00344A9F"/>
    <w:rsid w:val="00347D26"/>
    <w:rsid w:val="003549A1"/>
    <w:rsid w:val="00354A26"/>
    <w:rsid w:val="00354C3F"/>
    <w:rsid w:val="00355C2A"/>
    <w:rsid w:val="00355CC0"/>
    <w:rsid w:val="00356617"/>
    <w:rsid w:val="0035678C"/>
    <w:rsid w:val="003571D8"/>
    <w:rsid w:val="00360C31"/>
    <w:rsid w:val="00360D4E"/>
    <w:rsid w:val="00361D5F"/>
    <w:rsid w:val="00362429"/>
    <w:rsid w:val="0036260F"/>
    <w:rsid w:val="00370D3F"/>
    <w:rsid w:val="00371C58"/>
    <w:rsid w:val="00371ED0"/>
    <w:rsid w:val="003727DF"/>
    <w:rsid w:val="003729E2"/>
    <w:rsid w:val="00372B9A"/>
    <w:rsid w:val="003745E4"/>
    <w:rsid w:val="00374751"/>
    <w:rsid w:val="00374B24"/>
    <w:rsid w:val="0037521E"/>
    <w:rsid w:val="00381005"/>
    <w:rsid w:val="003826D1"/>
    <w:rsid w:val="00382C0A"/>
    <w:rsid w:val="00383B9D"/>
    <w:rsid w:val="003841AC"/>
    <w:rsid w:val="00386B18"/>
    <w:rsid w:val="00387E9A"/>
    <w:rsid w:val="0039025D"/>
    <w:rsid w:val="00390953"/>
    <w:rsid w:val="00390CBA"/>
    <w:rsid w:val="003914C5"/>
    <w:rsid w:val="00393338"/>
    <w:rsid w:val="0039478E"/>
    <w:rsid w:val="00394AE8"/>
    <w:rsid w:val="00395045"/>
    <w:rsid w:val="00395552"/>
    <w:rsid w:val="00397825"/>
    <w:rsid w:val="003A1048"/>
    <w:rsid w:val="003A2618"/>
    <w:rsid w:val="003A4106"/>
    <w:rsid w:val="003A5768"/>
    <w:rsid w:val="003A6E76"/>
    <w:rsid w:val="003B0EFA"/>
    <w:rsid w:val="003B1521"/>
    <w:rsid w:val="003B2689"/>
    <w:rsid w:val="003B37F4"/>
    <w:rsid w:val="003B3B78"/>
    <w:rsid w:val="003B558A"/>
    <w:rsid w:val="003B5914"/>
    <w:rsid w:val="003B71AC"/>
    <w:rsid w:val="003B7820"/>
    <w:rsid w:val="003C0C63"/>
    <w:rsid w:val="003C202A"/>
    <w:rsid w:val="003C241A"/>
    <w:rsid w:val="003C264C"/>
    <w:rsid w:val="003C506D"/>
    <w:rsid w:val="003C615F"/>
    <w:rsid w:val="003C7FE5"/>
    <w:rsid w:val="003D112E"/>
    <w:rsid w:val="003D1DAB"/>
    <w:rsid w:val="003D36DD"/>
    <w:rsid w:val="003D49C3"/>
    <w:rsid w:val="003D63E1"/>
    <w:rsid w:val="003E0AA0"/>
    <w:rsid w:val="003E13EB"/>
    <w:rsid w:val="003E2663"/>
    <w:rsid w:val="003E474A"/>
    <w:rsid w:val="003E478E"/>
    <w:rsid w:val="003F07EA"/>
    <w:rsid w:val="003F0B82"/>
    <w:rsid w:val="003F10A4"/>
    <w:rsid w:val="003F15E6"/>
    <w:rsid w:val="003F437A"/>
    <w:rsid w:val="003F454E"/>
    <w:rsid w:val="003F489A"/>
    <w:rsid w:val="003F623A"/>
    <w:rsid w:val="003F6B64"/>
    <w:rsid w:val="0040110A"/>
    <w:rsid w:val="00401966"/>
    <w:rsid w:val="00401DF6"/>
    <w:rsid w:val="0040287D"/>
    <w:rsid w:val="004028CA"/>
    <w:rsid w:val="0041298C"/>
    <w:rsid w:val="0041439C"/>
    <w:rsid w:val="00414D97"/>
    <w:rsid w:val="0042158D"/>
    <w:rsid w:val="00422FB4"/>
    <w:rsid w:val="00424D90"/>
    <w:rsid w:val="00426D9F"/>
    <w:rsid w:val="00427558"/>
    <w:rsid w:val="00427DC3"/>
    <w:rsid w:val="00430340"/>
    <w:rsid w:val="00431D70"/>
    <w:rsid w:val="00433BCB"/>
    <w:rsid w:val="004346F8"/>
    <w:rsid w:val="00434A3D"/>
    <w:rsid w:val="004370FB"/>
    <w:rsid w:val="004374F1"/>
    <w:rsid w:val="00441728"/>
    <w:rsid w:val="0044325C"/>
    <w:rsid w:val="00443CF7"/>
    <w:rsid w:val="004449E0"/>
    <w:rsid w:val="00445D64"/>
    <w:rsid w:val="00446E50"/>
    <w:rsid w:val="00450336"/>
    <w:rsid w:val="004505E0"/>
    <w:rsid w:val="00451234"/>
    <w:rsid w:val="00452198"/>
    <w:rsid w:val="0045244A"/>
    <w:rsid w:val="00452D26"/>
    <w:rsid w:val="004556CF"/>
    <w:rsid w:val="0046101F"/>
    <w:rsid w:val="004614B2"/>
    <w:rsid w:val="00463CDE"/>
    <w:rsid w:val="0046597A"/>
    <w:rsid w:val="004711CB"/>
    <w:rsid w:val="00473120"/>
    <w:rsid w:val="00473CE1"/>
    <w:rsid w:val="00474582"/>
    <w:rsid w:val="00480F40"/>
    <w:rsid w:val="00483E90"/>
    <w:rsid w:val="00484FF6"/>
    <w:rsid w:val="00485ECD"/>
    <w:rsid w:val="00486AD4"/>
    <w:rsid w:val="00487E83"/>
    <w:rsid w:val="004907FA"/>
    <w:rsid w:val="0049106B"/>
    <w:rsid w:val="00492198"/>
    <w:rsid w:val="00492F72"/>
    <w:rsid w:val="00493107"/>
    <w:rsid w:val="00493971"/>
    <w:rsid w:val="00494260"/>
    <w:rsid w:val="00494AFA"/>
    <w:rsid w:val="004A0AEA"/>
    <w:rsid w:val="004A0E53"/>
    <w:rsid w:val="004A0EB6"/>
    <w:rsid w:val="004A1E9C"/>
    <w:rsid w:val="004A1F8C"/>
    <w:rsid w:val="004A29E2"/>
    <w:rsid w:val="004A3138"/>
    <w:rsid w:val="004A36CC"/>
    <w:rsid w:val="004A4A66"/>
    <w:rsid w:val="004A5414"/>
    <w:rsid w:val="004A74C0"/>
    <w:rsid w:val="004A7CAA"/>
    <w:rsid w:val="004B15CE"/>
    <w:rsid w:val="004B22D1"/>
    <w:rsid w:val="004B501D"/>
    <w:rsid w:val="004B5D66"/>
    <w:rsid w:val="004B62E5"/>
    <w:rsid w:val="004B655E"/>
    <w:rsid w:val="004B79C4"/>
    <w:rsid w:val="004C523F"/>
    <w:rsid w:val="004D05FE"/>
    <w:rsid w:val="004D06EF"/>
    <w:rsid w:val="004D0ADF"/>
    <w:rsid w:val="004D123D"/>
    <w:rsid w:val="004D4B47"/>
    <w:rsid w:val="004D4EF9"/>
    <w:rsid w:val="004D524E"/>
    <w:rsid w:val="004E30AC"/>
    <w:rsid w:val="004E35D1"/>
    <w:rsid w:val="004E45DC"/>
    <w:rsid w:val="004E5454"/>
    <w:rsid w:val="004E7C45"/>
    <w:rsid w:val="004F1895"/>
    <w:rsid w:val="004F3BC3"/>
    <w:rsid w:val="004F59D9"/>
    <w:rsid w:val="004F5F44"/>
    <w:rsid w:val="004F686D"/>
    <w:rsid w:val="0050080A"/>
    <w:rsid w:val="00503C36"/>
    <w:rsid w:val="005049FC"/>
    <w:rsid w:val="00504D93"/>
    <w:rsid w:val="005052AB"/>
    <w:rsid w:val="00505D2C"/>
    <w:rsid w:val="00506B4D"/>
    <w:rsid w:val="00510BD8"/>
    <w:rsid w:val="00511AEB"/>
    <w:rsid w:val="00512886"/>
    <w:rsid w:val="00512B44"/>
    <w:rsid w:val="00512D15"/>
    <w:rsid w:val="00514009"/>
    <w:rsid w:val="00520BA9"/>
    <w:rsid w:val="00521952"/>
    <w:rsid w:val="00521BFC"/>
    <w:rsid w:val="00522F3A"/>
    <w:rsid w:val="005240F3"/>
    <w:rsid w:val="00524D3D"/>
    <w:rsid w:val="00524E37"/>
    <w:rsid w:val="00526CB2"/>
    <w:rsid w:val="005273D4"/>
    <w:rsid w:val="00532000"/>
    <w:rsid w:val="0053203D"/>
    <w:rsid w:val="00532784"/>
    <w:rsid w:val="0053450F"/>
    <w:rsid w:val="005348F6"/>
    <w:rsid w:val="00534D1C"/>
    <w:rsid w:val="00536399"/>
    <w:rsid w:val="0053713B"/>
    <w:rsid w:val="0053719F"/>
    <w:rsid w:val="0054005F"/>
    <w:rsid w:val="0054258A"/>
    <w:rsid w:val="005515C2"/>
    <w:rsid w:val="0055619F"/>
    <w:rsid w:val="005567C4"/>
    <w:rsid w:val="005573EE"/>
    <w:rsid w:val="00560079"/>
    <w:rsid w:val="005601E0"/>
    <w:rsid w:val="00562627"/>
    <w:rsid w:val="005641CB"/>
    <w:rsid w:val="00564F6E"/>
    <w:rsid w:val="005657F1"/>
    <w:rsid w:val="005657F3"/>
    <w:rsid w:val="0056593B"/>
    <w:rsid w:val="0056621A"/>
    <w:rsid w:val="005666E6"/>
    <w:rsid w:val="00570B5D"/>
    <w:rsid w:val="00571605"/>
    <w:rsid w:val="005718FC"/>
    <w:rsid w:val="00571992"/>
    <w:rsid w:val="00571F62"/>
    <w:rsid w:val="00572247"/>
    <w:rsid w:val="00573546"/>
    <w:rsid w:val="005736EC"/>
    <w:rsid w:val="00576596"/>
    <w:rsid w:val="00576D46"/>
    <w:rsid w:val="00580403"/>
    <w:rsid w:val="00582E68"/>
    <w:rsid w:val="005831F4"/>
    <w:rsid w:val="005914AC"/>
    <w:rsid w:val="005931A8"/>
    <w:rsid w:val="00593974"/>
    <w:rsid w:val="00594653"/>
    <w:rsid w:val="00596039"/>
    <w:rsid w:val="00597848"/>
    <w:rsid w:val="00597901"/>
    <w:rsid w:val="005A1DEF"/>
    <w:rsid w:val="005A246B"/>
    <w:rsid w:val="005A2F47"/>
    <w:rsid w:val="005A3E7B"/>
    <w:rsid w:val="005A4617"/>
    <w:rsid w:val="005A721D"/>
    <w:rsid w:val="005A75CC"/>
    <w:rsid w:val="005A7DD0"/>
    <w:rsid w:val="005B107C"/>
    <w:rsid w:val="005B1882"/>
    <w:rsid w:val="005B3E27"/>
    <w:rsid w:val="005C004E"/>
    <w:rsid w:val="005C0458"/>
    <w:rsid w:val="005C0ED6"/>
    <w:rsid w:val="005C4F5C"/>
    <w:rsid w:val="005C508B"/>
    <w:rsid w:val="005C6188"/>
    <w:rsid w:val="005C6BB5"/>
    <w:rsid w:val="005C6F4E"/>
    <w:rsid w:val="005C7F72"/>
    <w:rsid w:val="005D0B04"/>
    <w:rsid w:val="005D1284"/>
    <w:rsid w:val="005D2617"/>
    <w:rsid w:val="005D786A"/>
    <w:rsid w:val="005D7ED3"/>
    <w:rsid w:val="005E00E0"/>
    <w:rsid w:val="005E2B03"/>
    <w:rsid w:val="005E3265"/>
    <w:rsid w:val="005E4887"/>
    <w:rsid w:val="005E4C3A"/>
    <w:rsid w:val="005E675C"/>
    <w:rsid w:val="005F0A45"/>
    <w:rsid w:val="005F181B"/>
    <w:rsid w:val="005F3447"/>
    <w:rsid w:val="005F48AD"/>
    <w:rsid w:val="005F5CFC"/>
    <w:rsid w:val="005F6068"/>
    <w:rsid w:val="005F6579"/>
    <w:rsid w:val="005F732B"/>
    <w:rsid w:val="00600A34"/>
    <w:rsid w:val="006039C4"/>
    <w:rsid w:val="0060567C"/>
    <w:rsid w:val="00605EC4"/>
    <w:rsid w:val="0060694B"/>
    <w:rsid w:val="006074D4"/>
    <w:rsid w:val="00611EF2"/>
    <w:rsid w:val="00612512"/>
    <w:rsid w:val="00613291"/>
    <w:rsid w:val="00613F20"/>
    <w:rsid w:val="00620104"/>
    <w:rsid w:val="00622FCB"/>
    <w:rsid w:val="00624D3E"/>
    <w:rsid w:val="00624ECB"/>
    <w:rsid w:val="0062524D"/>
    <w:rsid w:val="00625CEB"/>
    <w:rsid w:val="00626E47"/>
    <w:rsid w:val="00627695"/>
    <w:rsid w:val="00630D3A"/>
    <w:rsid w:val="00632103"/>
    <w:rsid w:val="00632D6B"/>
    <w:rsid w:val="00635836"/>
    <w:rsid w:val="006364B7"/>
    <w:rsid w:val="00637395"/>
    <w:rsid w:val="006405AB"/>
    <w:rsid w:val="006409E3"/>
    <w:rsid w:val="00642C30"/>
    <w:rsid w:val="00644140"/>
    <w:rsid w:val="00644434"/>
    <w:rsid w:val="00644CB6"/>
    <w:rsid w:val="0065341E"/>
    <w:rsid w:val="00655116"/>
    <w:rsid w:val="0065699A"/>
    <w:rsid w:val="006569A8"/>
    <w:rsid w:val="00656CD4"/>
    <w:rsid w:val="00660637"/>
    <w:rsid w:val="00661A61"/>
    <w:rsid w:val="00661E10"/>
    <w:rsid w:val="006625CA"/>
    <w:rsid w:val="00662AAE"/>
    <w:rsid w:val="00662B9D"/>
    <w:rsid w:val="00667294"/>
    <w:rsid w:val="006722F7"/>
    <w:rsid w:val="00673478"/>
    <w:rsid w:val="00674A50"/>
    <w:rsid w:val="00675C0C"/>
    <w:rsid w:val="00677864"/>
    <w:rsid w:val="0068036C"/>
    <w:rsid w:val="006803E9"/>
    <w:rsid w:val="00681DFE"/>
    <w:rsid w:val="00682651"/>
    <w:rsid w:val="00682669"/>
    <w:rsid w:val="0068277B"/>
    <w:rsid w:val="00683ECB"/>
    <w:rsid w:val="006860D7"/>
    <w:rsid w:val="00686BFA"/>
    <w:rsid w:val="00690E66"/>
    <w:rsid w:val="0069209D"/>
    <w:rsid w:val="00692F7F"/>
    <w:rsid w:val="00694831"/>
    <w:rsid w:val="006955C8"/>
    <w:rsid w:val="006959E7"/>
    <w:rsid w:val="00696539"/>
    <w:rsid w:val="00696C94"/>
    <w:rsid w:val="006A06AF"/>
    <w:rsid w:val="006A0D9F"/>
    <w:rsid w:val="006A27EA"/>
    <w:rsid w:val="006A2C61"/>
    <w:rsid w:val="006A53BE"/>
    <w:rsid w:val="006A565C"/>
    <w:rsid w:val="006A6EF1"/>
    <w:rsid w:val="006B25E7"/>
    <w:rsid w:val="006B2749"/>
    <w:rsid w:val="006B7C91"/>
    <w:rsid w:val="006C0A5B"/>
    <w:rsid w:val="006C0ADC"/>
    <w:rsid w:val="006C399A"/>
    <w:rsid w:val="006C3FCF"/>
    <w:rsid w:val="006C4977"/>
    <w:rsid w:val="006C4999"/>
    <w:rsid w:val="006D02FA"/>
    <w:rsid w:val="006D0EC3"/>
    <w:rsid w:val="006D1D75"/>
    <w:rsid w:val="006D3783"/>
    <w:rsid w:val="006D3C87"/>
    <w:rsid w:val="006D70C8"/>
    <w:rsid w:val="006D7B5B"/>
    <w:rsid w:val="006E16AC"/>
    <w:rsid w:val="006E1CC6"/>
    <w:rsid w:val="006E2177"/>
    <w:rsid w:val="006E24E2"/>
    <w:rsid w:val="006E3C60"/>
    <w:rsid w:val="006E5505"/>
    <w:rsid w:val="006E6C56"/>
    <w:rsid w:val="006E6FE0"/>
    <w:rsid w:val="006E73E3"/>
    <w:rsid w:val="006E7533"/>
    <w:rsid w:val="006E7BF1"/>
    <w:rsid w:val="006F4650"/>
    <w:rsid w:val="006F6F2E"/>
    <w:rsid w:val="007008CD"/>
    <w:rsid w:val="007012AA"/>
    <w:rsid w:val="00701E55"/>
    <w:rsid w:val="007026D8"/>
    <w:rsid w:val="00710D49"/>
    <w:rsid w:val="00711F16"/>
    <w:rsid w:val="00711F9A"/>
    <w:rsid w:val="007139D3"/>
    <w:rsid w:val="007149EF"/>
    <w:rsid w:val="00715177"/>
    <w:rsid w:val="00717A94"/>
    <w:rsid w:val="007235A4"/>
    <w:rsid w:val="00725260"/>
    <w:rsid w:val="00726616"/>
    <w:rsid w:val="007270AA"/>
    <w:rsid w:val="00727A6A"/>
    <w:rsid w:val="00727CF1"/>
    <w:rsid w:val="00727F2E"/>
    <w:rsid w:val="007302D9"/>
    <w:rsid w:val="00730E41"/>
    <w:rsid w:val="007337FC"/>
    <w:rsid w:val="007346ED"/>
    <w:rsid w:val="00734AAB"/>
    <w:rsid w:val="00734B7C"/>
    <w:rsid w:val="00735EFE"/>
    <w:rsid w:val="00737034"/>
    <w:rsid w:val="00737863"/>
    <w:rsid w:val="00743C5D"/>
    <w:rsid w:val="00746E93"/>
    <w:rsid w:val="00747451"/>
    <w:rsid w:val="00747686"/>
    <w:rsid w:val="007503BE"/>
    <w:rsid w:val="00750EB9"/>
    <w:rsid w:val="00752D4E"/>
    <w:rsid w:val="00755201"/>
    <w:rsid w:val="00755256"/>
    <w:rsid w:val="007556E6"/>
    <w:rsid w:val="00761DAB"/>
    <w:rsid w:val="00762A14"/>
    <w:rsid w:val="0076582C"/>
    <w:rsid w:val="007658D6"/>
    <w:rsid w:val="00765EFC"/>
    <w:rsid w:val="0076798E"/>
    <w:rsid w:val="00767A6E"/>
    <w:rsid w:val="00771D6D"/>
    <w:rsid w:val="00773014"/>
    <w:rsid w:val="00773704"/>
    <w:rsid w:val="00774AAD"/>
    <w:rsid w:val="0077664C"/>
    <w:rsid w:val="007806AD"/>
    <w:rsid w:val="00780710"/>
    <w:rsid w:val="0078129F"/>
    <w:rsid w:val="00783835"/>
    <w:rsid w:val="00783851"/>
    <w:rsid w:val="00784BDB"/>
    <w:rsid w:val="0078566F"/>
    <w:rsid w:val="0078635B"/>
    <w:rsid w:val="007869CC"/>
    <w:rsid w:val="00787D6F"/>
    <w:rsid w:val="00793A48"/>
    <w:rsid w:val="00795809"/>
    <w:rsid w:val="0079653F"/>
    <w:rsid w:val="007978D3"/>
    <w:rsid w:val="00797A08"/>
    <w:rsid w:val="007A0775"/>
    <w:rsid w:val="007A1090"/>
    <w:rsid w:val="007A2619"/>
    <w:rsid w:val="007A5C30"/>
    <w:rsid w:val="007B1619"/>
    <w:rsid w:val="007B3798"/>
    <w:rsid w:val="007B461A"/>
    <w:rsid w:val="007B4C43"/>
    <w:rsid w:val="007B5FAA"/>
    <w:rsid w:val="007C2E15"/>
    <w:rsid w:val="007C5845"/>
    <w:rsid w:val="007C628E"/>
    <w:rsid w:val="007C6572"/>
    <w:rsid w:val="007C72AB"/>
    <w:rsid w:val="007C7BA9"/>
    <w:rsid w:val="007D0278"/>
    <w:rsid w:val="007D1384"/>
    <w:rsid w:val="007D1660"/>
    <w:rsid w:val="007D3B17"/>
    <w:rsid w:val="007D4B14"/>
    <w:rsid w:val="007D6360"/>
    <w:rsid w:val="007D6857"/>
    <w:rsid w:val="007D6C03"/>
    <w:rsid w:val="007E2D4F"/>
    <w:rsid w:val="007E442A"/>
    <w:rsid w:val="007E716C"/>
    <w:rsid w:val="007F026C"/>
    <w:rsid w:val="007F0FAE"/>
    <w:rsid w:val="007F2268"/>
    <w:rsid w:val="007F245F"/>
    <w:rsid w:val="007F4AC9"/>
    <w:rsid w:val="00800040"/>
    <w:rsid w:val="008004FC"/>
    <w:rsid w:val="00802DB0"/>
    <w:rsid w:val="008073E7"/>
    <w:rsid w:val="00810D0E"/>
    <w:rsid w:val="00812B60"/>
    <w:rsid w:val="00813620"/>
    <w:rsid w:val="008145F0"/>
    <w:rsid w:val="0082091C"/>
    <w:rsid w:val="008210CB"/>
    <w:rsid w:val="008215F5"/>
    <w:rsid w:val="00823EF0"/>
    <w:rsid w:val="008242AB"/>
    <w:rsid w:val="0083247C"/>
    <w:rsid w:val="00832B44"/>
    <w:rsid w:val="008336A7"/>
    <w:rsid w:val="008336BA"/>
    <w:rsid w:val="008337CA"/>
    <w:rsid w:val="0083549D"/>
    <w:rsid w:val="0083717D"/>
    <w:rsid w:val="00837CF9"/>
    <w:rsid w:val="00840A3D"/>
    <w:rsid w:val="00842742"/>
    <w:rsid w:val="00844FC5"/>
    <w:rsid w:val="008453B6"/>
    <w:rsid w:val="0084710C"/>
    <w:rsid w:val="008471B3"/>
    <w:rsid w:val="0084750D"/>
    <w:rsid w:val="008506BD"/>
    <w:rsid w:val="00851D36"/>
    <w:rsid w:val="008521F4"/>
    <w:rsid w:val="00852D58"/>
    <w:rsid w:val="008530B2"/>
    <w:rsid w:val="0086023B"/>
    <w:rsid w:val="00860A40"/>
    <w:rsid w:val="008623B9"/>
    <w:rsid w:val="00862CE1"/>
    <w:rsid w:val="008631F5"/>
    <w:rsid w:val="00864BD1"/>
    <w:rsid w:val="00865734"/>
    <w:rsid w:val="008676C3"/>
    <w:rsid w:val="008747F7"/>
    <w:rsid w:val="00875001"/>
    <w:rsid w:val="008752E9"/>
    <w:rsid w:val="00876ACC"/>
    <w:rsid w:val="008822FC"/>
    <w:rsid w:val="00883FA6"/>
    <w:rsid w:val="00885A42"/>
    <w:rsid w:val="0088603A"/>
    <w:rsid w:val="008878BE"/>
    <w:rsid w:val="00887B79"/>
    <w:rsid w:val="00890734"/>
    <w:rsid w:val="0089124D"/>
    <w:rsid w:val="0089343E"/>
    <w:rsid w:val="008935C4"/>
    <w:rsid w:val="0089491F"/>
    <w:rsid w:val="008974C5"/>
    <w:rsid w:val="008A03E7"/>
    <w:rsid w:val="008A19B2"/>
    <w:rsid w:val="008A1E8E"/>
    <w:rsid w:val="008A4E49"/>
    <w:rsid w:val="008A4F20"/>
    <w:rsid w:val="008A637F"/>
    <w:rsid w:val="008A692B"/>
    <w:rsid w:val="008A729C"/>
    <w:rsid w:val="008A7F0C"/>
    <w:rsid w:val="008B26CD"/>
    <w:rsid w:val="008B2C49"/>
    <w:rsid w:val="008B3D53"/>
    <w:rsid w:val="008B468C"/>
    <w:rsid w:val="008B5B7D"/>
    <w:rsid w:val="008B7E06"/>
    <w:rsid w:val="008C10DC"/>
    <w:rsid w:val="008C28E4"/>
    <w:rsid w:val="008C3EC5"/>
    <w:rsid w:val="008C7A46"/>
    <w:rsid w:val="008D109D"/>
    <w:rsid w:val="008D1A03"/>
    <w:rsid w:val="008D1BFA"/>
    <w:rsid w:val="008D23A5"/>
    <w:rsid w:val="008D2FB7"/>
    <w:rsid w:val="008D32CA"/>
    <w:rsid w:val="008D3EC1"/>
    <w:rsid w:val="008D4893"/>
    <w:rsid w:val="008D5C1C"/>
    <w:rsid w:val="008E041F"/>
    <w:rsid w:val="008E07D7"/>
    <w:rsid w:val="008E3F3F"/>
    <w:rsid w:val="008E4166"/>
    <w:rsid w:val="008E5EA6"/>
    <w:rsid w:val="008E6449"/>
    <w:rsid w:val="008F0454"/>
    <w:rsid w:val="008F0B01"/>
    <w:rsid w:val="008F3AC0"/>
    <w:rsid w:val="008F574A"/>
    <w:rsid w:val="008F58C9"/>
    <w:rsid w:val="008F68E3"/>
    <w:rsid w:val="008F7B02"/>
    <w:rsid w:val="008F7FEA"/>
    <w:rsid w:val="00900B9F"/>
    <w:rsid w:val="00900CD6"/>
    <w:rsid w:val="00901842"/>
    <w:rsid w:val="00903A76"/>
    <w:rsid w:val="00903E91"/>
    <w:rsid w:val="009067CE"/>
    <w:rsid w:val="00907123"/>
    <w:rsid w:val="00914DE0"/>
    <w:rsid w:val="00915B1D"/>
    <w:rsid w:val="009166F4"/>
    <w:rsid w:val="009230DB"/>
    <w:rsid w:val="00930674"/>
    <w:rsid w:val="00931F10"/>
    <w:rsid w:val="00932D62"/>
    <w:rsid w:val="00933FCA"/>
    <w:rsid w:val="0093401F"/>
    <w:rsid w:val="0093590E"/>
    <w:rsid w:val="0093628A"/>
    <w:rsid w:val="009364C2"/>
    <w:rsid w:val="009404D7"/>
    <w:rsid w:val="00941F8F"/>
    <w:rsid w:val="009449CA"/>
    <w:rsid w:val="00947A88"/>
    <w:rsid w:val="009503A3"/>
    <w:rsid w:val="009521DA"/>
    <w:rsid w:val="00952F9F"/>
    <w:rsid w:val="009535C9"/>
    <w:rsid w:val="00953FBC"/>
    <w:rsid w:val="00957B12"/>
    <w:rsid w:val="009614B3"/>
    <w:rsid w:val="00961553"/>
    <w:rsid w:val="0096298E"/>
    <w:rsid w:val="00964D49"/>
    <w:rsid w:val="00964DA7"/>
    <w:rsid w:val="0096775D"/>
    <w:rsid w:val="00971512"/>
    <w:rsid w:val="00971F98"/>
    <w:rsid w:val="00971FB2"/>
    <w:rsid w:val="00974C94"/>
    <w:rsid w:val="00975653"/>
    <w:rsid w:val="00976EFA"/>
    <w:rsid w:val="00981375"/>
    <w:rsid w:val="00981417"/>
    <w:rsid w:val="00983DAD"/>
    <w:rsid w:val="0098556E"/>
    <w:rsid w:val="009873BA"/>
    <w:rsid w:val="00987C43"/>
    <w:rsid w:val="00990CF9"/>
    <w:rsid w:val="00992185"/>
    <w:rsid w:val="009922A8"/>
    <w:rsid w:val="00992DAC"/>
    <w:rsid w:val="00993507"/>
    <w:rsid w:val="00994A2C"/>
    <w:rsid w:val="00994F0A"/>
    <w:rsid w:val="00996EE4"/>
    <w:rsid w:val="009A2288"/>
    <w:rsid w:val="009A3CD5"/>
    <w:rsid w:val="009A4FC4"/>
    <w:rsid w:val="009A606B"/>
    <w:rsid w:val="009B1D3A"/>
    <w:rsid w:val="009B230C"/>
    <w:rsid w:val="009B36BC"/>
    <w:rsid w:val="009B3FDC"/>
    <w:rsid w:val="009C06DF"/>
    <w:rsid w:val="009C2C35"/>
    <w:rsid w:val="009C4DC7"/>
    <w:rsid w:val="009D1AC3"/>
    <w:rsid w:val="009D24E2"/>
    <w:rsid w:val="009D272A"/>
    <w:rsid w:val="009D3335"/>
    <w:rsid w:val="009D5DA2"/>
    <w:rsid w:val="009D65A9"/>
    <w:rsid w:val="009D6848"/>
    <w:rsid w:val="009E03B4"/>
    <w:rsid w:val="009E0C37"/>
    <w:rsid w:val="009E2458"/>
    <w:rsid w:val="009E27CC"/>
    <w:rsid w:val="009E4B16"/>
    <w:rsid w:val="009E777F"/>
    <w:rsid w:val="009F156F"/>
    <w:rsid w:val="009F17F5"/>
    <w:rsid w:val="009F3391"/>
    <w:rsid w:val="009F3BB9"/>
    <w:rsid w:val="009F3DC8"/>
    <w:rsid w:val="009F4D70"/>
    <w:rsid w:val="009F63C6"/>
    <w:rsid w:val="009F7CD3"/>
    <w:rsid w:val="00A01577"/>
    <w:rsid w:val="00A015FE"/>
    <w:rsid w:val="00A0245E"/>
    <w:rsid w:val="00A06486"/>
    <w:rsid w:val="00A110FD"/>
    <w:rsid w:val="00A120E8"/>
    <w:rsid w:val="00A12B9B"/>
    <w:rsid w:val="00A15CFC"/>
    <w:rsid w:val="00A163D5"/>
    <w:rsid w:val="00A17896"/>
    <w:rsid w:val="00A203F6"/>
    <w:rsid w:val="00A215CC"/>
    <w:rsid w:val="00A22EEC"/>
    <w:rsid w:val="00A22FCF"/>
    <w:rsid w:val="00A243B3"/>
    <w:rsid w:val="00A25E7A"/>
    <w:rsid w:val="00A26761"/>
    <w:rsid w:val="00A302F8"/>
    <w:rsid w:val="00A32163"/>
    <w:rsid w:val="00A34C25"/>
    <w:rsid w:val="00A3541F"/>
    <w:rsid w:val="00A35B00"/>
    <w:rsid w:val="00A3654A"/>
    <w:rsid w:val="00A368E1"/>
    <w:rsid w:val="00A4018E"/>
    <w:rsid w:val="00A4234F"/>
    <w:rsid w:val="00A4489F"/>
    <w:rsid w:val="00A50F60"/>
    <w:rsid w:val="00A51CB5"/>
    <w:rsid w:val="00A52678"/>
    <w:rsid w:val="00A554E8"/>
    <w:rsid w:val="00A56351"/>
    <w:rsid w:val="00A57814"/>
    <w:rsid w:val="00A60757"/>
    <w:rsid w:val="00A61AE8"/>
    <w:rsid w:val="00A626E2"/>
    <w:rsid w:val="00A63FB5"/>
    <w:rsid w:val="00A645FB"/>
    <w:rsid w:val="00A65504"/>
    <w:rsid w:val="00A65C90"/>
    <w:rsid w:val="00A67111"/>
    <w:rsid w:val="00A70795"/>
    <w:rsid w:val="00A7173F"/>
    <w:rsid w:val="00A71F3D"/>
    <w:rsid w:val="00A72CFC"/>
    <w:rsid w:val="00A765A8"/>
    <w:rsid w:val="00A802DB"/>
    <w:rsid w:val="00A803FE"/>
    <w:rsid w:val="00A81C24"/>
    <w:rsid w:val="00A81E96"/>
    <w:rsid w:val="00A8211E"/>
    <w:rsid w:val="00A830FA"/>
    <w:rsid w:val="00A86980"/>
    <w:rsid w:val="00A90855"/>
    <w:rsid w:val="00A91B8E"/>
    <w:rsid w:val="00A94978"/>
    <w:rsid w:val="00AA3254"/>
    <w:rsid w:val="00AA476A"/>
    <w:rsid w:val="00AA4F89"/>
    <w:rsid w:val="00AA56A4"/>
    <w:rsid w:val="00AA5F98"/>
    <w:rsid w:val="00AA7D27"/>
    <w:rsid w:val="00AB01ED"/>
    <w:rsid w:val="00AB0533"/>
    <w:rsid w:val="00AB2C93"/>
    <w:rsid w:val="00AB4739"/>
    <w:rsid w:val="00AB4DA6"/>
    <w:rsid w:val="00AC1418"/>
    <w:rsid w:val="00AC2286"/>
    <w:rsid w:val="00AC3DDC"/>
    <w:rsid w:val="00AC6A2B"/>
    <w:rsid w:val="00AC6CE9"/>
    <w:rsid w:val="00AD10CE"/>
    <w:rsid w:val="00AD1AA8"/>
    <w:rsid w:val="00AD7573"/>
    <w:rsid w:val="00AD79C3"/>
    <w:rsid w:val="00AD7C3C"/>
    <w:rsid w:val="00AE1E04"/>
    <w:rsid w:val="00AE3597"/>
    <w:rsid w:val="00AE6884"/>
    <w:rsid w:val="00AE6B06"/>
    <w:rsid w:val="00AF0C0D"/>
    <w:rsid w:val="00AF0C23"/>
    <w:rsid w:val="00AF0EFF"/>
    <w:rsid w:val="00AF196F"/>
    <w:rsid w:val="00AF2A4F"/>
    <w:rsid w:val="00AF2C2A"/>
    <w:rsid w:val="00AF3857"/>
    <w:rsid w:val="00AF4A6A"/>
    <w:rsid w:val="00AF69F3"/>
    <w:rsid w:val="00B00EB9"/>
    <w:rsid w:val="00B045A0"/>
    <w:rsid w:val="00B0542F"/>
    <w:rsid w:val="00B05D8C"/>
    <w:rsid w:val="00B11E6E"/>
    <w:rsid w:val="00B145E0"/>
    <w:rsid w:val="00B15641"/>
    <w:rsid w:val="00B16EAC"/>
    <w:rsid w:val="00B23411"/>
    <w:rsid w:val="00B252C7"/>
    <w:rsid w:val="00B25DEE"/>
    <w:rsid w:val="00B25F59"/>
    <w:rsid w:val="00B31566"/>
    <w:rsid w:val="00B31A4B"/>
    <w:rsid w:val="00B32F15"/>
    <w:rsid w:val="00B34233"/>
    <w:rsid w:val="00B350B7"/>
    <w:rsid w:val="00B440B4"/>
    <w:rsid w:val="00B46DD2"/>
    <w:rsid w:val="00B51886"/>
    <w:rsid w:val="00B528CB"/>
    <w:rsid w:val="00B5423F"/>
    <w:rsid w:val="00B54F8F"/>
    <w:rsid w:val="00B55A65"/>
    <w:rsid w:val="00B56F2C"/>
    <w:rsid w:val="00B57912"/>
    <w:rsid w:val="00B60C22"/>
    <w:rsid w:val="00B62F09"/>
    <w:rsid w:val="00B63D0D"/>
    <w:rsid w:val="00B66A20"/>
    <w:rsid w:val="00B71B31"/>
    <w:rsid w:val="00B71BF3"/>
    <w:rsid w:val="00B725BF"/>
    <w:rsid w:val="00B730A3"/>
    <w:rsid w:val="00B77114"/>
    <w:rsid w:val="00B800A8"/>
    <w:rsid w:val="00B802A5"/>
    <w:rsid w:val="00B802D8"/>
    <w:rsid w:val="00B8080E"/>
    <w:rsid w:val="00B823CC"/>
    <w:rsid w:val="00B826F4"/>
    <w:rsid w:val="00B84FED"/>
    <w:rsid w:val="00B8558D"/>
    <w:rsid w:val="00B8687C"/>
    <w:rsid w:val="00B90C42"/>
    <w:rsid w:val="00B927E6"/>
    <w:rsid w:val="00B92B02"/>
    <w:rsid w:val="00B95D3D"/>
    <w:rsid w:val="00B969BB"/>
    <w:rsid w:val="00B97FDB"/>
    <w:rsid w:val="00BA332D"/>
    <w:rsid w:val="00BA3618"/>
    <w:rsid w:val="00BA3F4D"/>
    <w:rsid w:val="00BA48B0"/>
    <w:rsid w:val="00BA4F62"/>
    <w:rsid w:val="00BA51D2"/>
    <w:rsid w:val="00BA6109"/>
    <w:rsid w:val="00BA6682"/>
    <w:rsid w:val="00BA7AC7"/>
    <w:rsid w:val="00BA7F00"/>
    <w:rsid w:val="00BB102C"/>
    <w:rsid w:val="00BB181C"/>
    <w:rsid w:val="00BB5282"/>
    <w:rsid w:val="00BB548A"/>
    <w:rsid w:val="00BB55A4"/>
    <w:rsid w:val="00BB5A38"/>
    <w:rsid w:val="00BC3D3B"/>
    <w:rsid w:val="00BC5423"/>
    <w:rsid w:val="00BC67E4"/>
    <w:rsid w:val="00BD2A92"/>
    <w:rsid w:val="00BD2F17"/>
    <w:rsid w:val="00BD312C"/>
    <w:rsid w:val="00BD3352"/>
    <w:rsid w:val="00BD4B6C"/>
    <w:rsid w:val="00BD6D49"/>
    <w:rsid w:val="00BD7260"/>
    <w:rsid w:val="00BE1350"/>
    <w:rsid w:val="00BE2E29"/>
    <w:rsid w:val="00BE2EE2"/>
    <w:rsid w:val="00BE3F6D"/>
    <w:rsid w:val="00BE7847"/>
    <w:rsid w:val="00BF21AB"/>
    <w:rsid w:val="00BF2F88"/>
    <w:rsid w:val="00BF7DF7"/>
    <w:rsid w:val="00C005A3"/>
    <w:rsid w:val="00C0131E"/>
    <w:rsid w:val="00C04CE1"/>
    <w:rsid w:val="00C05B56"/>
    <w:rsid w:val="00C06AE5"/>
    <w:rsid w:val="00C0781F"/>
    <w:rsid w:val="00C1287E"/>
    <w:rsid w:val="00C150FE"/>
    <w:rsid w:val="00C153BA"/>
    <w:rsid w:val="00C1647C"/>
    <w:rsid w:val="00C165E8"/>
    <w:rsid w:val="00C20F6E"/>
    <w:rsid w:val="00C26C59"/>
    <w:rsid w:val="00C303BB"/>
    <w:rsid w:val="00C303F4"/>
    <w:rsid w:val="00C339AA"/>
    <w:rsid w:val="00C35DCC"/>
    <w:rsid w:val="00C35EC4"/>
    <w:rsid w:val="00C37ACF"/>
    <w:rsid w:val="00C40D07"/>
    <w:rsid w:val="00C4287B"/>
    <w:rsid w:val="00C4379D"/>
    <w:rsid w:val="00C46B78"/>
    <w:rsid w:val="00C4736D"/>
    <w:rsid w:val="00C503F9"/>
    <w:rsid w:val="00C5131F"/>
    <w:rsid w:val="00C5159D"/>
    <w:rsid w:val="00C5171E"/>
    <w:rsid w:val="00C52493"/>
    <w:rsid w:val="00C52C89"/>
    <w:rsid w:val="00C52FD1"/>
    <w:rsid w:val="00C55860"/>
    <w:rsid w:val="00C5634A"/>
    <w:rsid w:val="00C56682"/>
    <w:rsid w:val="00C60073"/>
    <w:rsid w:val="00C61795"/>
    <w:rsid w:val="00C619F1"/>
    <w:rsid w:val="00C62971"/>
    <w:rsid w:val="00C67E65"/>
    <w:rsid w:val="00C70476"/>
    <w:rsid w:val="00C71644"/>
    <w:rsid w:val="00C727DA"/>
    <w:rsid w:val="00C7568A"/>
    <w:rsid w:val="00C75D2F"/>
    <w:rsid w:val="00C776F4"/>
    <w:rsid w:val="00C81643"/>
    <w:rsid w:val="00C823E6"/>
    <w:rsid w:val="00C8525B"/>
    <w:rsid w:val="00C870E4"/>
    <w:rsid w:val="00C916DC"/>
    <w:rsid w:val="00C946D6"/>
    <w:rsid w:val="00C962DD"/>
    <w:rsid w:val="00C96750"/>
    <w:rsid w:val="00CA024E"/>
    <w:rsid w:val="00CA04B3"/>
    <w:rsid w:val="00CA12E7"/>
    <w:rsid w:val="00CA3059"/>
    <w:rsid w:val="00CA3EF2"/>
    <w:rsid w:val="00CA3FA1"/>
    <w:rsid w:val="00CA48F3"/>
    <w:rsid w:val="00CA6374"/>
    <w:rsid w:val="00CB0AB8"/>
    <w:rsid w:val="00CB1A4A"/>
    <w:rsid w:val="00CB31C1"/>
    <w:rsid w:val="00CB37AE"/>
    <w:rsid w:val="00CB3B87"/>
    <w:rsid w:val="00CB45E3"/>
    <w:rsid w:val="00CB51D7"/>
    <w:rsid w:val="00CB65B8"/>
    <w:rsid w:val="00CB6ABD"/>
    <w:rsid w:val="00CC05B9"/>
    <w:rsid w:val="00CC15DC"/>
    <w:rsid w:val="00CC1C99"/>
    <w:rsid w:val="00CC376B"/>
    <w:rsid w:val="00CC6762"/>
    <w:rsid w:val="00CD1FEB"/>
    <w:rsid w:val="00CD7451"/>
    <w:rsid w:val="00CE15C8"/>
    <w:rsid w:val="00CE28F7"/>
    <w:rsid w:val="00CE36AE"/>
    <w:rsid w:val="00CE419E"/>
    <w:rsid w:val="00CE4451"/>
    <w:rsid w:val="00CE5BCB"/>
    <w:rsid w:val="00CE6FF1"/>
    <w:rsid w:val="00CE7E68"/>
    <w:rsid w:val="00CF117E"/>
    <w:rsid w:val="00CF2CB8"/>
    <w:rsid w:val="00CF464C"/>
    <w:rsid w:val="00CF4A97"/>
    <w:rsid w:val="00CF73B1"/>
    <w:rsid w:val="00D00987"/>
    <w:rsid w:val="00D012A5"/>
    <w:rsid w:val="00D012CA"/>
    <w:rsid w:val="00D0337A"/>
    <w:rsid w:val="00D0490F"/>
    <w:rsid w:val="00D04F1A"/>
    <w:rsid w:val="00D05E57"/>
    <w:rsid w:val="00D061DC"/>
    <w:rsid w:val="00D0663E"/>
    <w:rsid w:val="00D10653"/>
    <w:rsid w:val="00D115AC"/>
    <w:rsid w:val="00D118A0"/>
    <w:rsid w:val="00D12032"/>
    <w:rsid w:val="00D13B62"/>
    <w:rsid w:val="00D15539"/>
    <w:rsid w:val="00D16601"/>
    <w:rsid w:val="00D16B78"/>
    <w:rsid w:val="00D206C6"/>
    <w:rsid w:val="00D20BF4"/>
    <w:rsid w:val="00D229F7"/>
    <w:rsid w:val="00D23BEB"/>
    <w:rsid w:val="00D23C20"/>
    <w:rsid w:val="00D23C3B"/>
    <w:rsid w:val="00D26CDD"/>
    <w:rsid w:val="00D3033A"/>
    <w:rsid w:val="00D311FD"/>
    <w:rsid w:val="00D32741"/>
    <w:rsid w:val="00D32BDC"/>
    <w:rsid w:val="00D34046"/>
    <w:rsid w:val="00D34D6E"/>
    <w:rsid w:val="00D370F3"/>
    <w:rsid w:val="00D37336"/>
    <w:rsid w:val="00D37AD5"/>
    <w:rsid w:val="00D4182C"/>
    <w:rsid w:val="00D418F1"/>
    <w:rsid w:val="00D42474"/>
    <w:rsid w:val="00D45202"/>
    <w:rsid w:val="00D45CEE"/>
    <w:rsid w:val="00D502E4"/>
    <w:rsid w:val="00D50504"/>
    <w:rsid w:val="00D5163D"/>
    <w:rsid w:val="00D5238D"/>
    <w:rsid w:val="00D53582"/>
    <w:rsid w:val="00D539C8"/>
    <w:rsid w:val="00D54ACC"/>
    <w:rsid w:val="00D556DB"/>
    <w:rsid w:val="00D55883"/>
    <w:rsid w:val="00D57685"/>
    <w:rsid w:val="00D5798F"/>
    <w:rsid w:val="00D57F77"/>
    <w:rsid w:val="00D61EE6"/>
    <w:rsid w:val="00D626EF"/>
    <w:rsid w:val="00D63089"/>
    <w:rsid w:val="00D630D8"/>
    <w:rsid w:val="00D658D2"/>
    <w:rsid w:val="00D66A6B"/>
    <w:rsid w:val="00D67254"/>
    <w:rsid w:val="00D74F3D"/>
    <w:rsid w:val="00D80ACE"/>
    <w:rsid w:val="00D82FC3"/>
    <w:rsid w:val="00D84B3F"/>
    <w:rsid w:val="00D857A7"/>
    <w:rsid w:val="00D8622A"/>
    <w:rsid w:val="00D86B80"/>
    <w:rsid w:val="00D93D71"/>
    <w:rsid w:val="00D95C83"/>
    <w:rsid w:val="00D961EB"/>
    <w:rsid w:val="00D96DC6"/>
    <w:rsid w:val="00D976CF"/>
    <w:rsid w:val="00DA0013"/>
    <w:rsid w:val="00DA1938"/>
    <w:rsid w:val="00DA29F4"/>
    <w:rsid w:val="00DA2C12"/>
    <w:rsid w:val="00DA4B53"/>
    <w:rsid w:val="00DA6D20"/>
    <w:rsid w:val="00DA72F9"/>
    <w:rsid w:val="00DB14C3"/>
    <w:rsid w:val="00DB18B4"/>
    <w:rsid w:val="00DB2716"/>
    <w:rsid w:val="00DB2E8A"/>
    <w:rsid w:val="00DB2F70"/>
    <w:rsid w:val="00DB36CF"/>
    <w:rsid w:val="00DB3BFB"/>
    <w:rsid w:val="00DB3EFB"/>
    <w:rsid w:val="00DB4139"/>
    <w:rsid w:val="00DB4F06"/>
    <w:rsid w:val="00DB6524"/>
    <w:rsid w:val="00DB7064"/>
    <w:rsid w:val="00DB7673"/>
    <w:rsid w:val="00DC1DE2"/>
    <w:rsid w:val="00DC3904"/>
    <w:rsid w:val="00DC66C5"/>
    <w:rsid w:val="00DD5450"/>
    <w:rsid w:val="00DD69C6"/>
    <w:rsid w:val="00DD6B4F"/>
    <w:rsid w:val="00DE095E"/>
    <w:rsid w:val="00DE12EC"/>
    <w:rsid w:val="00DE5785"/>
    <w:rsid w:val="00DE5ECA"/>
    <w:rsid w:val="00DE6672"/>
    <w:rsid w:val="00DF2264"/>
    <w:rsid w:val="00DF399E"/>
    <w:rsid w:val="00DF56C1"/>
    <w:rsid w:val="00E00726"/>
    <w:rsid w:val="00E00D42"/>
    <w:rsid w:val="00E00D6B"/>
    <w:rsid w:val="00E00DF1"/>
    <w:rsid w:val="00E02755"/>
    <w:rsid w:val="00E02E82"/>
    <w:rsid w:val="00E03CCA"/>
    <w:rsid w:val="00E046B3"/>
    <w:rsid w:val="00E047C3"/>
    <w:rsid w:val="00E05414"/>
    <w:rsid w:val="00E05930"/>
    <w:rsid w:val="00E10727"/>
    <w:rsid w:val="00E12444"/>
    <w:rsid w:val="00E124CC"/>
    <w:rsid w:val="00E163C1"/>
    <w:rsid w:val="00E165CF"/>
    <w:rsid w:val="00E17D7C"/>
    <w:rsid w:val="00E21C2C"/>
    <w:rsid w:val="00E21CDE"/>
    <w:rsid w:val="00E2339A"/>
    <w:rsid w:val="00E24388"/>
    <w:rsid w:val="00E24CF0"/>
    <w:rsid w:val="00E25466"/>
    <w:rsid w:val="00E26F7C"/>
    <w:rsid w:val="00E30794"/>
    <w:rsid w:val="00E30EC6"/>
    <w:rsid w:val="00E320B5"/>
    <w:rsid w:val="00E34801"/>
    <w:rsid w:val="00E34B0A"/>
    <w:rsid w:val="00E350F5"/>
    <w:rsid w:val="00E375A9"/>
    <w:rsid w:val="00E37868"/>
    <w:rsid w:val="00E3792E"/>
    <w:rsid w:val="00E37CE2"/>
    <w:rsid w:val="00E40E2A"/>
    <w:rsid w:val="00E41B4E"/>
    <w:rsid w:val="00E433CC"/>
    <w:rsid w:val="00E44EDB"/>
    <w:rsid w:val="00E461B6"/>
    <w:rsid w:val="00E46C25"/>
    <w:rsid w:val="00E47ACE"/>
    <w:rsid w:val="00E47D6F"/>
    <w:rsid w:val="00E50774"/>
    <w:rsid w:val="00E52E58"/>
    <w:rsid w:val="00E53CB5"/>
    <w:rsid w:val="00E53E42"/>
    <w:rsid w:val="00E53F13"/>
    <w:rsid w:val="00E5527E"/>
    <w:rsid w:val="00E5688A"/>
    <w:rsid w:val="00E56B4D"/>
    <w:rsid w:val="00E575A2"/>
    <w:rsid w:val="00E6091A"/>
    <w:rsid w:val="00E60C72"/>
    <w:rsid w:val="00E6255C"/>
    <w:rsid w:val="00E63337"/>
    <w:rsid w:val="00E63489"/>
    <w:rsid w:val="00E67343"/>
    <w:rsid w:val="00E70282"/>
    <w:rsid w:val="00E70C23"/>
    <w:rsid w:val="00E7306F"/>
    <w:rsid w:val="00E74618"/>
    <w:rsid w:val="00E75C67"/>
    <w:rsid w:val="00E76537"/>
    <w:rsid w:val="00E76E48"/>
    <w:rsid w:val="00E80984"/>
    <w:rsid w:val="00E82483"/>
    <w:rsid w:val="00E83634"/>
    <w:rsid w:val="00E877E7"/>
    <w:rsid w:val="00E90141"/>
    <w:rsid w:val="00E909E3"/>
    <w:rsid w:val="00E9349E"/>
    <w:rsid w:val="00EA01D2"/>
    <w:rsid w:val="00EA17B1"/>
    <w:rsid w:val="00EA25B7"/>
    <w:rsid w:val="00EA3A91"/>
    <w:rsid w:val="00EA59F7"/>
    <w:rsid w:val="00EA5E4C"/>
    <w:rsid w:val="00EA72AA"/>
    <w:rsid w:val="00EB02EB"/>
    <w:rsid w:val="00EB2822"/>
    <w:rsid w:val="00EB333A"/>
    <w:rsid w:val="00EB47D5"/>
    <w:rsid w:val="00EB7063"/>
    <w:rsid w:val="00EC07BE"/>
    <w:rsid w:val="00EC1136"/>
    <w:rsid w:val="00EC137E"/>
    <w:rsid w:val="00EC2563"/>
    <w:rsid w:val="00EC4443"/>
    <w:rsid w:val="00EC5858"/>
    <w:rsid w:val="00EC5C1F"/>
    <w:rsid w:val="00EC6A84"/>
    <w:rsid w:val="00EC745F"/>
    <w:rsid w:val="00ED1E76"/>
    <w:rsid w:val="00ED283F"/>
    <w:rsid w:val="00ED565C"/>
    <w:rsid w:val="00ED5AFD"/>
    <w:rsid w:val="00ED6B6E"/>
    <w:rsid w:val="00ED71F8"/>
    <w:rsid w:val="00EE0766"/>
    <w:rsid w:val="00EE09E9"/>
    <w:rsid w:val="00EE1E9B"/>
    <w:rsid w:val="00EE657F"/>
    <w:rsid w:val="00EE6B72"/>
    <w:rsid w:val="00EF1291"/>
    <w:rsid w:val="00EF138A"/>
    <w:rsid w:val="00EF1E63"/>
    <w:rsid w:val="00EF2B61"/>
    <w:rsid w:val="00EF5051"/>
    <w:rsid w:val="00EF55B1"/>
    <w:rsid w:val="00EF5AA1"/>
    <w:rsid w:val="00EF6DC3"/>
    <w:rsid w:val="00F01E8B"/>
    <w:rsid w:val="00F0253C"/>
    <w:rsid w:val="00F027DB"/>
    <w:rsid w:val="00F029AC"/>
    <w:rsid w:val="00F046C8"/>
    <w:rsid w:val="00F055A9"/>
    <w:rsid w:val="00F05A80"/>
    <w:rsid w:val="00F13D7F"/>
    <w:rsid w:val="00F16ADC"/>
    <w:rsid w:val="00F16FE3"/>
    <w:rsid w:val="00F20985"/>
    <w:rsid w:val="00F22741"/>
    <w:rsid w:val="00F22789"/>
    <w:rsid w:val="00F25140"/>
    <w:rsid w:val="00F25C62"/>
    <w:rsid w:val="00F271EA"/>
    <w:rsid w:val="00F27538"/>
    <w:rsid w:val="00F276E1"/>
    <w:rsid w:val="00F27AF6"/>
    <w:rsid w:val="00F27F38"/>
    <w:rsid w:val="00F30FA1"/>
    <w:rsid w:val="00F32D63"/>
    <w:rsid w:val="00F33138"/>
    <w:rsid w:val="00F35F37"/>
    <w:rsid w:val="00F368C8"/>
    <w:rsid w:val="00F37B0E"/>
    <w:rsid w:val="00F4028C"/>
    <w:rsid w:val="00F40E8A"/>
    <w:rsid w:val="00F411D8"/>
    <w:rsid w:val="00F4296C"/>
    <w:rsid w:val="00F433ED"/>
    <w:rsid w:val="00F43907"/>
    <w:rsid w:val="00F45AD2"/>
    <w:rsid w:val="00F47446"/>
    <w:rsid w:val="00F50A45"/>
    <w:rsid w:val="00F535F6"/>
    <w:rsid w:val="00F57553"/>
    <w:rsid w:val="00F622B9"/>
    <w:rsid w:val="00F62CBF"/>
    <w:rsid w:val="00F65034"/>
    <w:rsid w:val="00F65790"/>
    <w:rsid w:val="00F6641D"/>
    <w:rsid w:val="00F66459"/>
    <w:rsid w:val="00F67243"/>
    <w:rsid w:val="00F6765F"/>
    <w:rsid w:val="00F7054D"/>
    <w:rsid w:val="00F749F3"/>
    <w:rsid w:val="00F752EF"/>
    <w:rsid w:val="00F77C8E"/>
    <w:rsid w:val="00F8162A"/>
    <w:rsid w:val="00F82359"/>
    <w:rsid w:val="00F91BD4"/>
    <w:rsid w:val="00F930C8"/>
    <w:rsid w:val="00F94696"/>
    <w:rsid w:val="00F94CD5"/>
    <w:rsid w:val="00F96177"/>
    <w:rsid w:val="00F9657D"/>
    <w:rsid w:val="00FA0D05"/>
    <w:rsid w:val="00FA2191"/>
    <w:rsid w:val="00FA365B"/>
    <w:rsid w:val="00FA432F"/>
    <w:rsid w:val="00FA4A4B"/>
    <w:rsid w:val="00FB0D53"/>
    <w:rsid w:val="00FB36AD"/>
    <w:rsid w:val="00FB5330"/>
    <w:rsid w:val="00FB5F38"/>
    <w:rsid w:val="00FB665C"/>
    <w:rsid w:val="00FB6EC1"/>
    <w:rsid w:val="00FC3909"/>
    <w:rsid w:val="00FC443C"/>
    <w:rsid w:val="00FC4C01"/>
    <w:rsid w:val="00FC4F5D"/>
    <w:rsid w:val="00FC6757"/>
    <w:rsid w:val="00FD1320"/>
    <w:rsid w:val="00FD194D"/>
    <w:rsid w:val="00FD3A0C"/>
    <w:rsid w:val="00FD4AC5"/>
    <w:rsid w:val="00FD4CCE"/>
    <w:rsid w:val="00FD61B6"/>
    <w:rsid w:val="00FD66ED"/>
    <w:rsid w:val="00FD7AC7"/>
    <w:rsid w:val="00FD7DE4"/>
    <w:rsid w:val="00FE0AF3"/>
    <w:rsid w:val="00FE0DF4"/>
    <w:rsid w:val="00FE0FFB"/>
    <w:rsid w:val="00FE233F"/>
    <w:rsid w:val="00FE33E1"/>
    <w:rsid w:val="00FE6927"/>
    <w:rsid w:val="00FE71FB"/>
    <w:rsid w:val="00FE792B"/>
    <w:rsid w:val="00FF0365"/>
    <w:rsid w:val="00FF6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qFormat="1"/>
    <w:lsdException w:name="annotation text" w:locked="1" w:uiPriority="99"/>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1EA"/>
    <w:rPr>
      <w:sz w:val="24"/>
      <w:szCs w:val="24"/>
      <w:lang w:val="fr-BE" w:eastAsia="fr-BE"/>
    </w:rPr>
  </w:style>
  <w:style w:type="paragraph" w:styleId="Heading1">
    <w:name w:val="heading 1"/>
    <w:basedOn w:val="Normal"/>
    <w:next w:val="Normal"/>
    <w:link w:val="Heading1Char"/>
    <w:qFormat/>
    <w:rsid w:val="00F271EA"/>
    <w:pPr>
      <w:keepNext/>
      <w:numPr>
        <w:numId w:val="1"/>
      </w:numPr>
      <w:spacing w:before="240" w:after="60"/>
      <w:outlineLvl w:val="0"/>
    </w:pPr>
    <w:rPr>
      <w:rFonts w:ascii="Arial" w:hAnsi="Arial" w:cs="Arial"/>
      <w:b/>
      <w:bCs/>
      <w:kern w:val="32"/>
      <w:sz w:val="32"/>
      <w:szCs w:val="32"/>
      <w:lang w:val="en-US" w:eastAsia="ko-KR"/>
    </w:rPr>
  </w:style>
  <w:style w:type="paragraph" w:styleId="Heading2">
    <w:name w:val="heading 2"/>
    <w:basedOn w:val="Normal"/>
    <w:next w:val="Normal"/>
    <w:link w:val="Heading2Char"/>
    <w:qFormat/>
    <w:rsid w:val="0069209D"/>
    <w:pPr>
      <w:keepNext/>
      <w:spacing w:after="120"/>
      <w:outlineLvl w:val="1"/>
    </w:pPr>
    <w:rPr>
      <w:b/>
      <w:bCs/>
      <w:i/>
      <w:iCs/>
      <w:sz w:val="28"/>
      <w:szCs w:val="28"/>
      <w:lang w:val="en-GB" w:eastAsia="ko-KR"/>
    </w:rPr>
  </w:style>
  <w:style w:type="paragraph" w:styleId="Heading3">
    <w:name w:val="heading 3"/>
    <w:basedOn w:val="Normal"/>
    <w:next w:val="Normal"/>
    <w:link w:val="Heading3Char"/>
    <w:qFormat/>
    <w:rsid w:val="00F271EA"/>
    <w:pPr>
      <w:keepNext/>
      <w:numPr>
        <w:ilvl w:val="2"/>
        <w:numId w:val="1"/>
      </w:numPr>
      <w:spacing w:before="240" w:after="60"/>
      <w:outlineLvl w:val="2"/>
    </w:pPr>
    <w:rPr>
      <w:rFonts w:ascii="Arial" w:hAnsi="Arial" w:cs="Arial"/>
      <w:b/>
      <w:bCs/>
      <w:sz w:val="26"/>
      <w:szCs w:val="26"/>
      <w:lang w:val="en-US" w:eastAsia="ko-KR"/>
    </w:rPr>
  </w:style>
  <w:style w:type="paragraph" w:styleId="Heading4">
    <w:name w:val="heading 4"/>
    <w:basedOn w:val="Normal"/>
    <w:next w:val="Normal"/>
    <w:link w:val="Heading4Char"/>
    <w:qFormat/>
    <w:rsid w:val="00F271EA"/>
    <w:pPr>
      <w:keepNext/>
      <w:numPr>
        <w:ilvl w:val="3"/>
        <w:numId w:val="1"/>
      </w:numPr>
      <w:spacing w:before="240" w:after="60"/>
      <w:outlineLvl w:val="3"/>
    </w:pPr>
    <w:rPr>
      <w:b/>
      <w:bCs/>
      <w:sz w:val="28"/>
      <w:szCs w:val="28"/>
      <w:lang w:val="en-US" w:eastAsia="ko-KR"/>
    </w:rPr>
  </w:style>
  <w:style w:type="paragraph" w:styleId="Heading5">
    <w:name w:val="heading 5"/>
    <w:basedOn w:val="Normal"/>
    <w:next w:val="Normal"/>
    <w:link w:val="Heading5Char"/>
    <w:qFormat/>
    <w:rsid w:val="00F271EA"/>
    <w:pPr>
      <w:numPr>
        <w:ilvl w:val="4"/>
        <w:numId w:val="1"/>
      </w:numPr>
      <w:spacing w:before="240" w:after="60"/>
      <w:outlineLvl w:val="4"/>
    </w:pPr>
    <w:rPr>
      <w:rFonts w:ascii="Times" w:hAnsi="Times"/>
      <w:b/>
      <w:bCs/>
      <w:i/>
      <w:iCs/>
      <w:sz w:val="26"/>
      <w:szCs w:val="26"/>
      <w:lang w:val="en-US" w:eastAsia="ko-KR"/>
    </w:rPr>
  </w:style>
  <w:style w:type="paragraph" w:styleId="Heading6">
    <w:name w:val="heading 6"/>
    <w:basedOn w:val="Normal"/>
    <w:next w:val="Normal"/>
    <w:link w:val="Heading6Char"/>
    <w:qFormat/>
    <w:rsid w:val="00F271EA"/>
    <w:pPr>
      <w:numPr>
        <w:ilvl w:val="5"/>
        <w:numId w:val="1"/>
      </w:numPr>
      <w:spacing w:before="240" w:after="60"/>
      <w:outlineLvl w:val="5"/>
    </w:pPr>
    <w:rPr>
      <w:b/>
      <w:bCs/>
      <w:sz w:val="22"/>
      <w:szCs w:val="22"/>
      <w:lang w:val="en-US" w:eastAsia="ko-KR"/>
    </w:rPr>
  </w:style>
  <w:style w:type="paragraph" w:styleId="Heading7">
    <w:name w:val="heading 7"/>
    <w:basedOn w:val="Normal"/>
    <w:next w:val="Normal"/>
    <w:link w:val="Heading7Char"/>
    <w:qFormat/>
    <w:rsid w:val="00F271EA"/>
    <w:pPr>
      <w:numPr>
        <w:ilvl w:val="6"/>
        <w:numId w:val="1"/>
      </w:numPr>
      <w:spacing w:before="240" w:after="60"/>
      <w:outlineLvl w:val="6"/>
    </w:pPr>
    <w:rPr>
      <w:lang w:val="en-US" w:eastAsia="ko-KR"/>
    </w:rPr>
  </w:style>
  <w:style w:type="paragraph" w:styleId="Heading8">
    <w:name w:val="heading 8"/>
    <w:basedOn w:val="Normal"/>
    <w:next w:val="Normal"/>
    <w:link w:val="Heading8Char"/>
    <w:qFormat/>
    <w:rsid w:val="00F271EA"/>
    <w:pPr>
      <w:numPr>
        <w:ilvl w:val="7"/>
        <w:numId w:val="1"/>
      </w:numPr>
      <w:spacing w:before="240" w:after="60"/>
      <w:outlineLvl w:val="7"/>
    </w:pPr>
    <w:rPr>
      <w:i/>
      <w:iCs/>
      <w:lang w:val="en-US" w:eastAsia="ko-KR"/>
    </w:rPr>
  </w:style>
  <w:style w:type="paragraph" w:styleId="Heading9">
    <w:name w:val="heading 9"/>
    <w:basedOn w:val="Normal"/>
    <w:next w:val="Normal"/>
    <w:link w:val="Heading9Char"/>
    <w:qFormat/>
    <w:rsid w:val="00F271EA"/>
    <w:pPr>
      <w:numPr>
        <w:ilvl w:val="8"/>
        <w:numId w:val="1"/>
      </w:numPr>
      <w:spacing w:before="240" w:after="60"/>
      <w:outlineLvl w:val="8"/>
    </w:pPr>
    <w:rPr>
      <w:rFonts w:ascii="Arial" w:hAnsi="Arial" w:cs="Arial"/>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271EA"/>
    <w:rPr>
      <w:rFonts w:ascii="Arial" w:hAnsi="Arial" w:cs="Arial"/>
      <w:b/>
      <w:bCs/>
      <w:kern w:val="32"/>
      <w:sz w:val="32"/>
      <w:szCs w:val="32"/>
      <w:lang w:val="en-US" w:eastAsia="ko-KR"/>
    </w:rPr>
  </w:style>
  <w:style w:type="character" w:customStyle="1" w:styleId="Heading2Char">
    <w:name w:val="Heading 2 Char"/>
    <w:link w:val="Heading2"/>
    <w:locked/>
    <w:rsid w:val="0069209D"/>
    <w:rPr>
      <w:b/>
      <w:bCs/>
      <w:i/>
      <w:iCs/>
      <w:sz w:val="28"/>
      <w:szCs w:val="28"/>
      <w:lang w:eastAsia="ko-KR"/>
    </w:rPr>
  </w:style>
  <w:style w:type="character" w:customStyle="1" w:styleId="Heading3Char">
    <w:name w:val="Heading 3 Char"/>
    <w:link w:val="Heading3"/>
    <w:locked/>
    <w:rsid w:val="00F271EA"/>
    <w:rPr>
      <w:rFonts w:ascii="Arial" w:hAnsi="Arial" w:cs="Arial"/>
      <w:b/>
      <w:bCs/>
      <w:sz w:val="26"/>
      <w:szCs w:val="26"/>
      <w:lang w:val="en-US" w:eastAsia="ko-KR"/>
    </w:rPr>
  </w:style>
  <w:style w:type="character" w:customStyle="1" w:styleId="Heading4Char">
    <w:name w:val="Heading 4 Char"/>
    <w:link w:val="Heading4"/>
    <w:locked/>
    <w:rsid w:val="00F271EA"/>
    <w:rPr>
      <w:b/>
      <w:bCs/>
      <w:sz w:val="28"/>
      <w:szCs w:val="28"/>
      <w:lang w:val="en-US" w:eastAsia="ko-KR"/>
    </w:rPr>
  </w:style>
  <w:style w:type="character" w:customStyle="1" w:styleId="Heading5Char">
    <w:name w:val="Heading 5 Char"/>
    <w:link w:val="Heading5"/>
    <w:locked/>
    <w:rsid w:val="00F271EA"/>
    <w:rPr>
      <w:rFonts w:ascii="Times" w:hAnsi="Times"/>
      <w:b/>
      <w:bCs/>
      <w:i/>
      <w:iCs/>
      <w:sz w:val="26"/>
      <w:szCs w:val="26"/>
      <w:lang w:val="en-US" w:eastAsia="ko-KR"/>
    </w:rPr>
  </w:style>
  <w:style w:type="character" w:customStyle="1" w:styleId="Heading6Char">
    <w:name w:val="Heading 6 Char"/>
    <w:link w:val="Heading6"/>
    <w:locked/>
    <w:rsid w:val="00F271EA"/>
    <w:rPr>
      <w:b/>
      <w:bCs/>
      <w:sz w:val="22"/>
      <w:szCs w:val="22"/>
      <w:lang w:val="en-US" w:eastAsia="ko-KR"/>
    </w:rPr>
  </w:style>
  <w:style w:type="character" w:customStyle="1" w:styleId="Heading7Char">
    <w:name w:val="Heading 7 Char"/>
    <w:link w:val="Heading7"/>
    <w:locked/>
    <w:rsid w:val="00F271EA"/>
    <w:rPr>
      <w:sz w:val="24"/>
      <w:szCs w:val="24"/>
      <w:lang w:val="en-US" w:eastAsia="ko-KR"/>
    </w:rPr>
  </w:style>
  <w:style w:type="character" w:customStyle="1" w:styleId="Heading8Char">
    <w:name w:val="Heading 8 Char"/>
    <w:link w:val="Heading8"/>
    <w:locked/>
    <w:rsid w:val="00F271EA"/>
    <w:rPr>
      <w:i/>
      <w:iCs/>
      <w:sz w:val="24"/>
      <w:szCs w:val="24"/>
      <w:lang w:val="en-US" w:eastAsia="ko-KR"/>
    </w:rPr>
  </w:style>
  <w:style w:type="character" w:customStyle="1" w:styleId="Heading9Char">
    <w:name w:val="Heading 9 Char"/>
    <w:link w:val="Heading9"/>
    <w:locked/>
    <w:rsid w:val="00F271EA"/>
    <w:rPr>
      <w:rFonts w:ascii="Arial" w:hAnsi="Arial" w:cs="Arial"/>
      <w:sz w:val="22"/>
      <w:szCs w:val="22"/>
      <w:lang w:val="en-US" w:eastAsia="ko-KR"/>
    </w:rPr>
  </w:style>
  <w:style w:type="paragraph" w:styleId="BalloonText">
    <w:name w:val="Balloon Text"/>
    <w:basedOn w:val="Normal"/>
    <w:link w:val="BalloonTextChar"/>
    <w:semiHidden/>
    <w:rsid w:val="00F271EA"/>
    <w:rPr>
      <w:rFonts w:ascii="Tahoma" w:hAnsi="Tahoma" w:cs="Tahoma"/>
      <w:sz w:val="16"/>
      <w:szCs w:val="16"/>
    </w:rPr>
  </w:style>
  <w:style w:type="character" w:customStyle="1" w:styleId="BalloonTextChar">
    <w:name w:val="Balloon Text Char"/>
    <w:link w:val="BalloonText"/>
    <w:semiHidden/>
    <w:locked/>
    <w:rsid w:val="002636AC"/>
    <w:rPr>
      <w:rFonts w:cs="Times New Roman"/>
      <w:sz w:val="2"/>
      <w:lang w:val="fr-BE" w:eastAsia="fr-BE"/>
    </w:rPr>
  </w:style>
  <w:style w:type="paragraph" w:styleId="Date">
    <w:name w:val="Date"/>
    <w:basedOn w:val="Normal"/>
    <w:next w:val="References"/>
    <w:link w:val="DateChar"/>
    <w:rsid w:val="00F271EA"/>
    <w:pPr>
      <w:ind w:left="5103" w:right="-567"/>
    </w:pPr>
    <w:rPr>
      <w:szCs w:val="20"/>
      <w:lang w:val="en-GB" w:eastAsia="en-US"/>
    </w:rPr>
  </w:style>
  <w:style w:type="character" w:customStyle="1" w:styleId="DateChar">
    <w:name w:val="Date Char"/>
    <w:link w:val="Date"/>
    <w:semiHidden/>
    <w:locked/>
    <w:rsid w:val="002636AC"/>
    <w:rPr>
      <w:rFonts w:cs="Times New Roman"/>
      <w:sz w:val="24"/>
      <w:szCs w:val="24"/>
      <w:lang w:val="fr-BE" w:eastAsia="fr-BE"/>
    </w:rPr>
  </w:style>
  <w:style w:type="paragraph" w:customStyle="1" w:styleId="References">
    <w:name w:val="References"/>
    <w:basedOn w:val="Normal"/>
    <w:next w:val="Normal"/>
    <w:rsid w:val="00F271EA"/>
    <w:pPr>
      <w:spacing w:after="240"/>
      <w:ind w:left="5103"/>
    </w:pPr>
    <w:rPr>
      <w:sz w:val="20"/>
      <w:szCs w:val="20"/>
      <w:lang w:val="en-GB" w:eastAsia="en-US"/>
    </w:rPr>
  </w:style>
  <w:style w:type="paragraph" w:customStyle="1" w:styleId="ZDGName">
    <w:name w:val="Z_DGName"/>
    <w:basedOn w:val="Normal"/>
    <w:rsid w:val="00F271EA"/>
    <w:pPr>
      <w:widowControl w:val="0"/>
      <w:autoSpaceDE w:val="0"/>
      <w:autoSpaceDN w:val="0"/>
      <w:ind w:right="85"/>
    </w:pPr>
    <w:rPr>
      <w:rFonts w:ascii="Arial" w:hAnsi="Arial" w:cs="Arial"/>
      <w:sz w:val="16"/>
      <w:szCs w:val="16"/>
      <w:lang w:val="en-GB" w:eastAsia="en-US"/>
    </w:rPr>
  </w:style>
  <w:style w:type="paragraph" w:customStyle="1" w:styleId="Style">
    <w:name w:val="Style"/>
    <w:basedOn w:val="Normal"/>
    <w:rsid w:val="00F271EA"/>
    <w:rPr>
      <w:lang w:val="pl-PL" w:eastAsia="pl-PL"/>
    </w:rPr>
  </w:style>
  <w:style w:type="paragraph" w:customStyle="1" w:styleId="Char1">
    <w:name w:val="Char1"/>
    <w:basedOn w:val="Normal"/>
    <w:rsid w:val="00F271EA"/>
    <w:rPr>
      <w:lang w:val="pl-PL" w:eastAsia="pl-PL"/>
    </w:rPr>
  </w:style>
  <w:style w:type="paragraph" w:styleId="DocumentMap">
    <w:name w:val="Document Map"/>
    <w:basedOn w:val="Normal"/>
    <w:link w:val="DocumentMapChar"/>
    <w:semiHidden/>
    <w:rsid w:val="00F271EA"/>
    <w:pPr>
      <w:shd w:val="clear" w:color="auto" w:fill="000080"/>
    </w:pPr>
    <w:rPr>
      <w:rFonts w:ascii="Tahoma" w:hAnsi="Tahoma" w:cs="Tahoma"/>
    </w:rPr>
  </w:style>
  <w:style w:type="character" w:customStyle="1" w:styleId="DocumentMapChar">
    <w:name w:val="Document Map Char"/>
    <w:link w:val="DocumentMap"/>
    <w:semiHidden/>
    <w:locked/>
    <w:rsid w:val="002636AC"/>
    <w:rPr>
      <w:rFonts w:cs="Times New Roman"/>
      <w:sz w:val="2"/>
      <w:lang w:val="fr-BE" w:eastAsia="fr-BE"/>
    </w:rPr>
  </w:style>
  <w:style w:type="table" w:styleId="TableGrid">
    <w:name w:val="Table Grid"/>
    <w:basedOn w:val="TableNormal"/>
    <w:uiPriority w:val="59"/>
    <w:rsid w:val="00F271EA"/>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271EA"/>
    <w:pPr>
      <w:spacing w:before="100" w:beforeAutospacing="1" w:after="100" w:afterAutospacing="1"/>
    </w:pPr>
    <w:rPr>
      <w:lang w:val="en-US" w:eastAsia="en-US"/>
    </w:rPr>
  </w:style>
  <w:style w:type="paragraph" w:customStyle="1" w:styleId="CharChar">
    <w:name w:val="Char Char"/>
    <w:basedOn w:val="Normal"/>
    <w:next w:val="Normal"/>
    <w:rsid w:val="00F271EA"/>
    <w:pPr>
      <w:spacing w:after="160" w:line="240" w:lineRule="exact"/>
    </w:pPr>
    <w:rPr>
      <w:rFonts w:ascii="Tahoma" w:hAnsi="Tahoma"/>
      <w:szCs w:val="20"/>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ußnote"/>
    <w:basedOn w:val="Normal"/>
    <w:link w:val="FootnoteTextChar"/>
    <w:qFormat/>
    <w:rsid w:val="00B440B4"/>
    <w:pPr>
      <w:ind w:left="720" w:hanging="720"/>
      <w:jc w:val="both"/>
    </w:pPr>
    <w:rPr>
      <w:sz w:val="20"/>
      <w:szCs w:val="20"/>
      <w:lang w:val="en-GB"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Fußnote Char"/>
    <w:link w:val="FootnoteText"/>
    <w:locked/>
    <w:rsid w:val="002636AC"/>
    <w:rPr>
      <w:lang w:eastAsia="en-US"/>
    </w:rPr>
  </w:style>
  <w:style w:type="character" w:styleId="FootnoteReference">
    <w:name w:val="footnote reference"/>
    <w:aliases w:val="Char Char Char Char,Char Char Char Char Car Car Char Char Car Car Char Char"/>
    <w:rsid w:val="00F271EA"/>
    <w:rPr>
      <w:rFonts w:cs="Times New Roman"/>
      <w:shd w:val="clear" w:color="auto" w:fill="auto"/>
      <w:vertAlign w:val="superscript"/>
    </w:rPr>
  </w:style>
  <w:style w:type="character" w:styleId="CommentReference">
    <w:name w:val="annotation reference"/>
    <w:uiPriority w:val="99"/>
    <w:semiHidden/>
    <w:rsid w:val="00F271EA"/>
    <w:rPr>
      <w:rFonts w:cs="Times New Roman"/>
      <w:sz w:val="16"/>
      <w:szCs w:val="16"/>
    </w:rPr>
  </w:style>
  <w:style w:type="paragraph" w:styleId="CommentText">
    <w:name w:val="annotation text"/>
    <w:basedOn w:val="Normal"/>
    <w:link w:val="CommentTextChar"/>
    <w:uiPriority w:val="99"/>
    <w:rsid w:val="00F271EA"/>
    <w:rPr>
      <w:sz w:val="20"/>
      <w:szCs w:val="20"/>
      <w:lang w:val="en-GB" w:eastAsia="en-GB"/>
    </w:rPr>
  </w:style>
  <w:style w:type="character" w:customStyle="1" w:styleId="CommentTextChar">
    <w:name w:val="Comment Text Char"/>
    <w:link w:val="CommentText"/>
    <w:uiPriority w:val="99"/>
    <w:locked/>
    <w:rsid w:val="00F271EA"/>
    <w:rPr>
      <w:rFonts w:cs="Times New Roman"/>
      <w:lang w:val="en-GB" w:eastAsia="en-GB"/>
    </w:rPr>
  </w:style>
  <w:style w:type="paragraph" w:styleId="Footer">
    <w:name w:val="footer"/>
    <w:basedOn w:val="Normal"/>
    <w:link w:val="FooterChar"/>
    <w:uiPriority w:val="99"/>
    <w:rsid w:val="00F271EA"/>
    <w:pPr>
      <w:tabs>
        <w:tab w:val="center" w:pos="4536"/>
        <w:tab w:val="right" w:pos="9072"/>
      </w:tabs>
    </w:pPr>
  </w:style>
  <w:style w:type="character" w:customStyle="1" w:styleId="FooterChar">
    <w:name w:val="Footer Char"/>
    <w:link w:val="Footer"/>
    <w:uiPriority w:val="99"/>
    <w:locked/>
    <w:rsid w:val="00F271EA"/>
    <w:rPr>
      <w:rFonts w:cs="Times New Roman"/>
      <w:sz w:val="24"/>
      <w:szCs w:val="24"/>
      <w:lang w:val="fr-BE" w:eastAsia="fr-BE"/>
    </w:rPr>
  </w:style>
  <w:style w:type="character" w:styleId="PageNumber">
    <w:name w:val="page number"/>
    <w:rsid w:val="00F271EA"/>
    <w:rPr>
      <w:rFonts w:cs="Times New Roman"/>
    </w:rPr>
  </w:style>
  <w:style w:type="paragraph" w:styleId="CommentSubject">
    <w:name w:val="annotation subject"/>
    <w:basedOn w:val="CommentText"/>
    <w:next w:val="CommentText"/>
    <w:link w:val="CommentSubjectChar"/>
    <w:rsid w:val="00F271EA"/>
    <w:rPr>
      <w:b/>
      <w:bCs/>
      <w:lang w:val="fr-BE" w:eastAsia="fr-BE"/>
    </w:rPr>
  </w:style>
  <w:style w:type="character" w:customStyle="1" w:styleId="CommentSubjectChar">
    <w:name w:val="Comment Subject Char"/>
    <w:link w:val="CommentSubject"/>
    <w:locked/>
    <w:rsid w:val="00F271EA"/>
    <w:rPr>
      <w:rFonts w:cs="Times New Roman"/>
      <w:b/>
      <w:bCs/>
      <w:lang w:val="fr-BE" w:eastAsia="fr-BE"/>
    </w:rPr>
  </w:style>
  <w:style w:type="character" w:styleId="Hyperlink">
    <w:name w:val="Hyperlink"/>
    <w:uiPriority w:val="99"/>
    <w:rsid w:val="00624ECB"/>
    <w:rPr>
      <w:rFonts w:cs="Times New Roman"/>
      <w:color w:val="0000FF"/>
      <w:u w:val="single"/>
    </w:rPr>
  </w:style>
  <w:style w:type="paragraph" w:customStyle="1" w:styleId="Text1">
    <w:name w:val="Text 1"/>
    <w:basedOn w:val="Normal"/>
    <w:rsid w:val="00632103"/>
    <w:pPr>
      <w:spacing w:before="120" w:after="120"/>
      <w:ind w:left="850"/>
      <w:jc w:val="both"/>
    </w:pPr>
    <w:rPr>
      <w:lang w:val="en-GB" w:eastAsia="en-US"/>
    </w:rPr>
  </w:style>
  <w:style w:type="paragraph" w:customStyle="1" w:styleId="NumPar1">
    <w:name w:val="NumPar 1"/>
    <w:basedOn w:val="Normal"/>
    <w:next w:val="Text1"/>
    <w:rsid w:val="00632103"/>
    <w:pPr>
      <w:numPr>
        <w:numId w:val="2"/>
      </w:numPr>
      <w:spacing w:before="120" w:after="120"/>
      <w:jc w:val="both"/>
    </w:pPr>
    <w:rPr>
      <w:lang w:val="en-GB" w:eastAsia="en-US"/>
    </w:rPr>
  </w:style>
  <w:style w:type="paragraph" w:customStyle="1" w:styleId="NumPar2">
    <w:name w:val="NumPar 2"/>
    <w:basedOn w:val="Normal"/>
    <w:next w:val="Text1"/>
    <w:rsid w:val="00632103"/>
    <w:pPr>
      <w:numPr>
        <w:ilvl w:val="1"/>
        <w:numId w:val="2"/>
      </w:numPr>
      <w:spacing w:before="120" w:after="120"/>
      <w:jc w:val="both"/>
    </w:pPr>
    <w:rPr>
      <w:lang w:val="en-GB" w:eastAsia="en-US"/>
    </w:rPr>
  </w:style>
  <w:style w:type="paragraph" w:customStyle="1" w:styleId="NumPar3">
    <w:name w:val="NumPar 3"/>
    <w:basedOn w:val="Normal"/>
    <w:next w:val="Text1"/>
    <w:rsid w:val="00632103"/>
    <w:pPr>
      <w:numPr>
        <w:ilvl w:val="2"/>
        <w:numId w:val="2"/>
      </w:numPr>
      <w:spacing w:before="120" w:after="120"/>
      <w:jc w:val="both"/>
    </w:pPr>
    <w:rPr>
      <w:lang w:val="en-GB" w:eastAsia="en-US"/>
    </w:rPr>
  </w:style>
  <w:style w:type="paragraph" w:customStyle="1" w:styleId="NumPar4">
    <w:name w:val="NumPar 4"/>
    <w:basedOn w:val="Normal"/>
    <w:next w:val="Text1"/>
    <w:rsid w:val="00632103"/>
    <w:pPr>
      <w:numPr>
        <w:ilvl w:val="3"/>
        <w:numId w:val="2"/>
      </w:numPr>
      <w:spacing w:before="120" w:after="120"/>
      <w:jc w:val="both"/>
    </w:pPr>
    <w:rPr>
      <w:lang w:val="en-GB" w:eastAsia="en-US"/>
    </w:rPr>
  </w:style>
  <w:style w:type="paragraph" w:styleId="Header">
    <w:name w:val="header"/>
    <w:basedOn w:val="Normal"/>
    <w:link w:val="HeaderChar"/>
    <w:rsid w:val="00AF0EFF"/>
    <w:pPr>
      <w:tabs>
        <w:tab w:val="center" w:pos="4536"/>
        <w:tab w:val="right" w:pos="9072"/>
      </w:tabs>
    </w:pPr>
  </w:style>
  <w:style w:type="character" w:customStyle="1" w:styleId="HeaderChar">
    <w:name w:val="Header Char"/>
    <w:link w:val="Header"/>
    <w:semiHidden/>
    <w:locked/>
    <w:rsid w:val="002636AC"/>
    <w:rPr>
      <w:rFonts w:cs="Times New Roman"/>
      <w:sz w:val="24"/>
      <w:szCs w:val="24"/>
      <w:lang w:val="fr-BE" w:eastAsia="fr-BE"/>
    </w:rPr>
  </w:style>
  <w:style w:type="paragraph" w:styleId="Revision">
    <w:name w:val="Revision"/>
    <w:hidden/>
    <w:semiHidden/>
    <w:rsid w:val="00675C0C"/>
    <w:rPr>
      <w:sz w:val="24"/>
      <w:szCs w:val="24"/>
      <w:lang w:val="fr-BE" w:eastAsia="fr-BE"/>
    </w:rPr>
  </w:style>
  <w:style w:type="paragraph" w:customStyle="1" w:styleId="CM4">
    <w:name w:val="CM4"/>
    <w:basedOn w:val="Normal"/>
    <w:next w:val="Normal"/>
    <w:rsid w:val="00681DFE"/>
    <w:pPr>
      <w:autoSpaceDE w:val="0"/>
      <w:autoSpaceDN w:val="0"/>
      <w:adjustRightInd w:val="0"/>
    </w:pPr>
    <w:rPr>
      <w:rFonts w:ascii="EUAlbertina" w:hAnsi="EUAlbertina"/>
      <w:lang w:val="en-US" w:eastAsia="en-US"/>
    </w:rPr>
  </w:style>
  <w:style w:type="paragraph" w:customStyle="1" w:styleId="standardtext">
    <w:name w:val="standard text"/>
    <w:basedOn w:val="Normal"/>
    <w:autoRedefine/>
    <w:rsid w:val="001E1076"/>
    <w:pPr>
      <w:numPr>
        <w:numId w:val="4"/>
      </w:numPr>
      <w:spacing w:after="160" w:line="276" w:lineRule="auto"/>
      <w:jc w:val="both"/>
    </w:pPr>
    <w:rPr>
      <w:rFonts w:eastAsia="MS Mincho"/>
      <w:lang w:val="en-GB" w:eastAsia="ja-JP"/>
    </w:rPr>
  </w:style>
  <w:style w:type="paragraph" w:customStyle="1" w:styleId="Default">
    <w:name w:val="Default"/>
    <w:rsid w:val="00EA72AA"/>
    <w:pPr>
      <w:autoSpaceDE w:val="0"/>
      <w:autoSpaceDN w:val="0"/>
      <w:adjustRightInd w:val="0"/>
    </w:pPr>
    <w:rPr>
      <w:rFonts w:ascii="Calibri" w:hAnsi="Calibri" w:cs="Calibri"/>
      <w:color w:val="000000"/>
      <w:sz w:val="24"/>
      <w:szCs w:val="24"/>
    </w:rPr>
  </w:style>
  <w:style w:type="character" w:styleId="FollowedHyperlink">
    <w:name w:val="FollowedHyperlink"/>
    <w:locked/>
    <w:rsid w:val="00AC6A2B"/>
    <w:rPr>
      <w:color w:val="800080"/>
      <w:u w:val="single"/>
    </w:rPr>
  </w:style>
  <w:style w:type="table" w:customStyle="1" w:styleId="TableGrid1">
    <w:name w:val="Table Grid1"/>
    <w:basedOn w:val="TableNormal"/>
    <w:next w:val="TableGrid"/>
    <w:uiPriority w:val="59"/>
    <w:rsid w:val="008A1E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ash">
    <w:name w:val="Par-dash"/>
    <w:basedOn w:val="Normal"/>
    <w:next w:val="Normal"/>
    <w:autoRedefine/>
    <w:rsid w:val="00D04F1A"/>
    <w:pPr>
      <w:widowControl w:val="0"/>
      <w:autoSpaceDE w:val="0"/>
      <w:autoSpaceDN w:val="0"/>
      <w:adjustRightInd w:val="0"/>
      <w:spacing w:after="120" w:line="20" w:lineRule="atLeast"/>
      <w:contextualSpacing/>
    </w:pPr>
    <w:rPr>
      <w:b/>
      <w:sz w:val="20"/>
      <w:szCs w:val="20"/>
      <w:lang w:val="en-GB"/>
    </w:rPr>
  </w:style>
  <w:style w:type="paragraph" w:styleId="ListParagraph">
    <w:name w:val="List Paragraph"/>
    <w:aliases w:val="Table of contents numbered,List Paragraph in table,Table/Figure Heading,Dot pt,F5 List Paragraph,List Paragraph1,No Spacing1,List Paragraph Char Char Char,Indicator Text,Numbered Para 1,Bullet 1,Bullet Points,MAIN CONTENT,Body text"/>
    <w:basedOn w:val="Normal"/>
    <w:link w:val="ListParagraphChar"/>
    <w:uiPriority w:val="34"/>
    <w:qFormat/>
    <w:rsid w:val="00D04F1A"/>
    <w:pPr>
      <w:ind w:left="720"/>
      <w:contextualSpacing/>
      <w:jc w:val="both"/>
    </w:pPr>
    <w:rPr>
      <w:lang w:val="en-GB"/>
    </w:rPr>
  </w:style>
  <w:style w:type="paragraph" w:styleId="TOCHeading">
    <w:name w:val="TOC Heading"/>
    <w:basedOn w:val="Heading1"/>
    <w:next w:val="Normal"/>
    <w:uiPriority w:val="39"/>
    <w:semiHidden/>
    <w:unhideWhenUsed/>
    <w:qFormat/>
    <w:rsid w:val="0069209D"/>
    <w:pPr>
      <w:keepLines/>
      <w:numPr>
        <w:numId w:val="0"/>
      </w:numPr>
      <w:spacing w:before="480" w:after="0" w:line="276" w:lineRule="auto"/>
      <w:outlineLvl w:val="9"/>
    </w:pPr>
    <w:rPr>
      <w:rFonts w:ascii="Cambria" w:eastAsia="MS Gothic" w:hAnsi="Cambria" w:cs="Times New Roman"/>
      <w:color w:val="365F91"/>
      <w:kern w:val="0"/>
      <w:sz w:val="28"/>
      <w:szCs w:val="28"/>
      <w:lang w:eastAsia="ja-JP"/>
    </w:rPr>
  </w:style>
  <w:style w:type="paragraph" w:styleId="TOC1">
    <w:name w:val="toc 1"/>
    <w:basedOn w:val="Normal"/>
    <w:next w:val="Normal"/>
    <w:autoRedefine/>
    <w:uiPriority w:val="39"/>
    <w:rsid w:val="0069209D"/>
  </w:style>
  <w:style w:type="paragraph" w:styleId="TOC2">
    <w:name w:val="toc 2"/>
    <w:basedOn w:val="Normal"/>
    <w:next w:val="Normal"/>
    <w:autoRedefine/>
    <w:uiPriority w:val="39"/>
    <w:rsid w:val="0069209D"/>
    <w:pPr>
      <w:ind w:left="240"/>
    </w:pPr>
  </w:style>
  <w:style w:type="paragraph" w:styleId="TOC3">
    <w:name w:val="toc 3"/>
    <w:basedOn w:val="Normal"/>
    <w:next w:val="Normal"/>
    <w:autoRedefine/>
    <w:uiPriority w:val="39"/>
    <w:rsid w:val="0069209D"/>
    <w:pPr>
      <w:tabs>
        <w:tab w:val="right" w:leader="dot" w:pos="9628"/>
      </w:tabs>
      <w:spacing w:after="120"/>
      <w:ind w:left="482"/>
    </w:pPr>
  </w:style>
  <w:style w:type="paragraph" w:styleId="PlainText">
    <w:name w:val="Plain Text"/>
    <w:basedOn w:val="Normal"/>
    <w:link w:val="PlainTextChar"/>
    <w:uiPriority w:val="99"/>
    <w:unhideWhenUsed/>
    <w:locked/>
    <w:rsid w:val="001E1076"/>
    <w:rPr>
      <w:rFonts w:ascii="Calibri" w:eastAsia="Calibri" w:hAnsi="Calibri" w:cs="Consolas"/>
      <w:sz w:val="22"/>
      <w:szCs w:val="21"/>
      <w:lang w:val="en-GB" w:eastAsia="en-US"/>
    </w:rPr>
  </w:style>
  <w:style w:type="character" w:customStyle="1" w:styleId="PlainTextChar">
    <w:name w:val="Plain Text Char"/>
    <w:link w:val="PlainText"/>
    <w:uiPriority w:val="99"/>
    <w:rsid w:val="001E1076"/>
    <w:rPr>
      <w:rFonts w:ascii="Calibri" w:eastAsia="Calibri" w:hAnsi="Calibri" w:cs="Consolas"/>
      <w:sz w:val="22"/>
      <w:szCs w:val="21"/>
      <w:lang w:eastAsia="en-US"/>
    </w:rPr>
  </w:style>
  <w:style w:type="paragraph" w:styleId="ListBullet">
    <w:name w:val="List Bullet"/>
    <w:basedOn w:val="Normal"/>
    <w:uiPriority w:val="99"/>
    <w:locked/>
    <w:rsid w:val="004E35D1"/>
    <w:pPr>
      <w:numPr>
        <w:numId w:val="5"/>
      </w:numPr>
      <w:spacing w:after="240"/>
      <w:jc w:val="both"/>
    </w:pPr>
    <w:rPr>
      <w:szCs w:val="20"/>
      <w:lang w:val="en-GB" w:eastAsia="en-US"/>
    </w:rPr>
  </w:style>
  <w:style w:type="character" w:customStyle="1" w:styleId="ListParagraphChar">
    <w:name w:val="List Paragraph Char"/>
    <w:aliases w:val="Table of contents numbered Char,List Paragraph in table Char,Table/Figure Heading Char,Dot pt Char,F5 List Paragraph Char,List Paragraph1 Char,No Spacing1 Char,List Paragraph Char Char Char Char,Indicator Text Char,Bullet 1 Char"/>
    <w:link w:val="ListParagraph"/>
    <w:uiPriority w:val="34"/>
    <w:rsid w:val="001046C8"/>
    <w:rPr>
      <w:sz w:val="24"/>
      <w:szCs w:val="24"/>
      <w:lang w:val="en-GB"/>
    </w:rPr>
  </w:style>
  <w:style w:type="character" w:styleId="Emphasis">
    <w:name w:val="Emphasis"/>
    <w:qFormat/>
    <w:rsid w:val="00CD7451"/>
    <w:rPr>
      <w:i/>
      <w:iCs/>
    </w:rPr>
  </w:style>
  <w:style w:type="paragraph" w:styleId="NoSpacing">
    <w:name w:val="No Spacing"/>
    <w:uiPriority w:val="99"/>
    <w:qFormat/>
    <w:rsid w:val="0036242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qFormat="1"/>
    <w:lsdException w:name="annotation text" w:locked="1" w:uiPriority="99"/>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1EA"/>
    <w:rPr>
      <w:sz w:val="24"/>
      <w:szCs w:val="24"/>
      <w:lang w:val="fr-BE" w:eastAsia="fr-BE"/>
    </w:rPr>
  </w:style>
  <w:style w:type="paragraph" w:styleId="Heading1">
    <w:name w:val="heading 1"/>
    <w:basedOn w:val="Normal"/>
    <w:next w:val="Normal"/>
    <w:link w:val="Heading1Char"/>
    <w:qFormat/>
    <w:rsid w:val="00F271EA"/>
    <w:pPr>
      <w:keepNext/>
      <w:numPr>
        <w:numId w:val="1"/>
      </w:numPr>
      <w:spacing w:before="240" w:after="60"/>
      <w:outlineLvl w:val="0"/>
    </w:pPr>
    <w:rPr>
      <w:rFonts w:ascii="Arial" w:hAnsi="Arial" w:cs="Arial"/>
      <w:b/>
      <w:bCs/>
      <w:kern w:val="32"/>
      <w:sz w:val="32"/>
      <w:szCs w:val="32"/>
      <w:lang w:val="en-US" w:eastAsia="ko-KR"/>
    </w:rPr>
  </w:style>
  <w:style w:type="paragraph" w:styleId="Heading2">
    <w:name w:val="heading 2"/>
    <w:basedOn w:val="Normal"/>
    <w:next w:val="Normal"/>
    <w:link w:val="Heading2Char"/>
    <w:qFormat/>
    <w:rsid w:val="0069209D"/>
    <w:pPr>
      <w:keepNext/>
      <w:spacing w:after="120"/>
      <w:outlineLvl w:val="1"/>
    </w:pPr>
    <w:rPr>
      <w:b/>
      <w:bCs/>
      <w:i/>
      <w:iCs/>
      <w:sz w:val="28"/>
      <w:szCs w:val="28"/>
      <w:lang w:val="en-GB" w:eastAsia="ko-KR"/>
    </w:rPr>
  </w:style>
  <w:style w:type="paragraph" w:styleId="Heading3">
    <w:name w:val="heading 3"/>
    <w:basedOn w:val="Normal"/>
    <w:next w:val="Normal"/>
    <w:link w:val="Heading3Char"/>
    <w:qFormat/>
    <w:rsid w:val="00F271EA"/>
    <w:pPr>
      <w:keepNext/>
      <w:numPr>
        <w:ilvl w:val="2"/>
        <w:numId w:val="1"/>
      </w:numPr>
      <w:spacing w:before="240" w:after="60"/>
      <w:outlineLvl w:val="2"/>
    </w:pPr>
    <w:rPr>
      <w:rFonts w:ascii="Arial" w:hAnsi="Arial" w:cs="Arial"/>
      <w:b/>
      <w:bCs/>
      <w:sz w:val="26"/>
      <w:szCs w:val="26"/>
      <w:lang w:val="en-US" w:eastAsia="ko-KR"/>
    </w:rPr>
  </w:style>
  <w:style w:type="paragraph" w:styleId="Heading4">
    <w:name w:val="heading 4"/>
    <w:basedOn w:val="Normal"/>
    <w:next w:val="Normal"/>
    <w:link w:val="Heading4Char"/>
    <w:qFormat/>
    <w:rsid w:val="00F271EA"/>
    <w:pPr>
      <w:keepNext/>
      <w:numPr>
        <w:ilvl w:val="3"/>
        <w:numId w:val="1"/>
      </w:numPr>
      <w:spacing w:before="240" w:after="60"/>
      <w:outlineLvl w:val="3"/>
    </w:pPr>
    <w:rPr>
      <w:b/>
      <w:bCs/>
      <w:sz w:val="28"/>
      <w:szCs w:val="28"/>
      <w:lang w:val="en-US" w:eastAsia="ko-KR"/>
    </w:rPr>
  </w:style>
  <w:style w:type="paragraph" w:styleId="Heading5">
    <w:name w:val="heading 5"/>
    <w:basedOn w:val="Normal"/>
    <w:next w:val="Normal"/>
    <w:link w:val="Heading5Char"/>
    <w:qFormat/>
    <w:rsid w:val="00F271EA"/>
    <w:pPr>
      <w:numPr>
        <w:ilvl w:val="4"/>
        <w:numId w:val="1"/>
      </w:numPr>
      <w:spacing w:before="240" w:after="60"/>
      <w:outlineLvl w:val="4"/>
    </w:pPr>
    <w:rPr>
      <w:rFonts w:ascii="Times" w:hAnsi="Times"/>
      <w:b/>
      <w:bCs/>
      <w:i/>
      <w:iCs/>
      <w:sz w:val="26"/>
      <w:szCs w:val="26"/>
      <w:lang w:val="en-US" w:eastAsia="ko-KR"/>
    </w:rPr>
  </w:style>
  <w:style w:type="paragraph" w:styleId="Heading6">
    <w:name w:val="heading 6"/>
    <w:basedOn w:val="Normal"/>
    <w:next w:val="Normal"/>
    <w:link w:val="Heading6Char"/>
    <w:qFormat/>
    <w:rsid w:val="00F271EA"/>
    <w:pPr>
      <w:numPr>
        <w:ilvl w:val="5"/>
        <w:numId w:val="1"/>
      </w:numPr>
      <w:spacing w:before="240" w:after="60"/>
      <w:outlineLvl w:val="5"/>
    </w:pPr>
    <w:rPr>
      <w:b/>
      <w:bCs/>
      <w:sz w:val="22"/>
      <w:szCs w:val="22"/>
      <w:lang w:val="en-US" w:eastAsia="ko-KR"/>
    </w:rPr>
  </w:style>
  <w:style w:type="paragraph" w:styleId="Heading7">
    <w:name w:val="heading 7"/>
    <w:basedOn w:val="Normal"/>
    <w:next w:val="Normal"/>
    <w:link w:val="Heading7Char"/>
    <w:qFormat/>
    <w:rsid w:val="00F271EA"/>
    <w:pPr>
      <w:numPr>
        <w:ilvl w:val="6"/>
        <w:numId w:val="1"/>
      </w:numPr>
      <w:spacing w:before="240" w:after="60"/>
      <w:outlineLvl w:val="6"/>
    </w:pPr>
    <w:rPr>
      <w:lang w:val="en-US" w:eastAsia="ko-KR"/>
    </w:rPr>
  </w:style>
  <w:style w:type="paragraph" w:styleId="Heading8">
    <w:name w:val="heading 8"/>
    <w:basedOn w:val="Normal"/>
    <w:next w:val="Normal"/>
    <w:link w:val="Heading8Char"/>
    <w:qFormat/>
    <w:rsid w:val="00F271EA"/>
    <w:pPr>
      <w:numPr>
        <w:ilvl w:val="7"/>
        <w:numId w:val="1"/>
      </w:numPr>
      <w:spacing w:before="240" w:after="60"/>
      <w:outlineLvl w:val="7"/>
    </w:pPr>
    <w:rPr>
      <w:i/>
      <w:iCs/>
      <w:lang w:val="en-US" w:eastAsia="ko-KR"/>
    </w:rPr>
  </w:style>
  <w:style w:type="paragraph" w:styleId="Heading9">
    <w:name w:val="heading 9"/>
    <w:basedOn w:val="Normal"/>
    <w:next w:val="Normal"/>
    <w:link w:val="Heading9Char"/>
    <w:qFormat/>
    <w:rsid w:val="00F271EA"/>
    <w:pPr>
      <w:numPr>
        <w:ilvl w:val="8"/>
        <w:numId w:val="1"/>
      </w:numPr>
      <w:spacing w:before="240" w:after="60"/>
      <w:outlineLvl w:val="8"/>
    </w:pPr>
    <w:rPr>
      <w:rFonts w:ascii="Arial" w:hAnsi="Arial" w:cs="Arial"/>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271EA"/>
    <w:rPr>
      <w:rFonts w:ascii="Arial" w:hAnsi="Arial" w:cs="Arial"/>
      <w:b/>
      <w:bCs/>
      <w:kern w:val="32"/>
      <w:sz w:val="32"/>
      <w:szCs w:val="32"/>
      <w:lang w:val="en-US" w:eastAsia="ko-KR"/>
    </w:rPr>
  </w:style>
  <w:style w:type="character" w:customStyle="1" w:styleId="Heading2Char">
    <w:name w:val="Heading 2 Char"/>
    <w:link w:val="Heading2"/>
    <w:locked/>
    <w:rsid w:val="0069209D"/>
    <w:rPr>
      <w:b/>
      <w:bCs/>
      <w:i/>
      <w:iCs/>
      <w:sz w:val="28"/>
      <w:szCs w:val="28"/>
      <w:lang w:eastAsia="ko-KR"/>
    </w:rPr>
  </w:style>
  <w:style w:type="character" w:customStyle="1" w:styleId="Heading3Char">
    <w:name w:val="Heading 3 Char"/>
    <w:link w:val="Heading3"/>
    <w:locked/>
    <w:rsid w:val="00F271EA"/>
    <w:rPr>
      <w:rFonts w:ascii="Arial" w:hAnsi="Arial" w:cs="Arial"/>
      <w:b/>
      <w:bCs/>
      <w:sz w:val="26"/>
      <w:szCs w:val="26"/>
      <w:lang w:val="en-US" w:eastAsia="ko-KR"/>
    </w:rPr>
  </w:style>
  <w:style w:type="character" w:customStyle="1" w:styleId="Heading4Char">
    <w:name w:val="Heading 4 Char"/>
    <w:link w:val="Heading4"/>
    <w:locked/>
    <w:rsid w:val="00F271EA"/>
    <w:rPr>
      <w:b/>
      <w:bCs/>
      <w:sz w:val="28"/>
      <w:szCs w:val="28"/>
      <w:lang w:val="en-US" w:eastAsia="ko-KR"/>
    </w:rPr>
  </w:style>
  <w:style w:type="character" w:customStyle="1" w:styleId="Heading5Char">
    <w:name w:val="Heading 5 Char"/>
    <w:link w:val="Heading5"/>
    <w:locked/>
    <w:rsid w:val="00F271EA"/>
    <w:rPr>
      <w:rFonts w:ascii="Times" w:hAnsi="Times"/>
      <w:b/>
      <w:bCs/>
      <w:i/>
      <w:iCs/>
      <w:sz w:val="26"/>
      <w:szCs w:val="26"/>
      <w:lang w:val="en-US" w:eastAsia="ko-KR"/>
    </w:rPr>
  </w:style>
  <w:style w:type="character" w:customStyle="1" w:styleId="Heading6Char">
    <w:name w:val="Heading 6 Char"/>
    <w:link w:val="Heading6"/>
    <w:locked/>
    <w:rsid w:val="00F271EA"/>
    <w:rPr>
      <w:b/>
      <w:bCs/>
      <w:sz w:val="22"/>
      <w:szCs w:val="22"/>
      <w:lang w:val="en-US" w:eastAsia="ko-KR"/>
    </w:rPr>
  </w:style>
  <w:style w:type="character" w:customStyle="1" w:styleId="Heading7Char">
    <w:name w:val="Heading 7 Char"/>
    <w:link w:val="Heading7"/>
    <w:locked/>
    <w:rsid w:val="00F271EA"/>
    <w:rPr>
      <w:sz w:val="24"/>
      <w:szCs w:val="24"/>
      <w:lang w:val="en-US" w:eastAsia="ko-KR"/>
    </w:rPr>
  </w:style>
  <w:style w:type="character" w:customStyle="1" w:styleId="Heading8Char">
    <w:name w:val="Heading 8 Char"/>
    <w:link w:val="Heading8"/>
    <w:locked/>
    <w:rsid w:val="00F271EA"/>
    <w:rPr>
      <w:i/>
      <w:iCs/>
      <w:sz w:val="24"/>
      <w:szCs w:val="24"/>
      <w:lang w:val="en-US" w:eastAsia="ko-KR"/>
    </w:rPr>
  </w:style>
  <w:style w:type="character" w:customStyle="1" w:styleId="Heading9Char">
    <w:name w:val="Heading 9 Char"/>
    <w:link w:val="Heading9"/>
    <w:locked/>
    <w:rsid w:val="00F271EA"/>
    <w:rPr>
      <w:rFonts w:ascii="Arial" w:hAnsi="Arial" w:cs="Arial"/>
      <w:sz w:val="22"/>
      <w:szCs w:val="22"/>
      <w:lang w:val="en-US" w:eastAsia="ko-KR"/>
    </w:rPr>
  </w:style>
  <w:style w:type="paragraph" w:styleId="BalloonText">
    <w:name w:val="Balloon Text"/>
    <w:basedOn w:val="Normal"/>
    <w:link w:val="BalloonTextChar"/>
    <w:semiHidden/>
    <w:rsid w:val="00F271EA"/>
    <w:rPr>
      <w:rFonts w:ascii="Tahoma" w:hAnsi="Tahoma" w:cs="Tahoma"/>
      <w:sz w:val="16"/>
      <w:szCs w:val="16"/>
    </w:rPr>
  </w:style>
  <w:style w:type="character" w:customStyle="1" w:styleId="BalloonTextChar">
    <w:name w:val="Balloon Text Char"/>
    <w:link w:val="BalloonText"/>
    <w:semiHidden/>
    <w:locked/>
    <w:rsid w:val="002636AC"/>
    <w:rPr>
      <w:rFonts w:cs="Times New Roman"/>
      <w:sz w:val="2"/>
      <w:lang w:val="fr-BE" w:eastAsia="fr-BE"/>
    </w:rPr>
  </w:style>
  <w:style w:type="paragraph" w:styleId="Date">
    <w:name w:val="Date"/>
    <w:basedOn w:val="Normal"/>
    <w:next w:val="References"/>
    <w:link w:val="DateChar"/>
    <w:rsid w:val="00F271EA"/>
    <w:pPr>
      <w:ind w:left="5103" w:right="-567"/>
    </w:pPr>
    <w:rPr>
      <w:szCs w:val="20"/>
      <w:lang w:val="en-GB" w:eastAsia="en-US"/>
    </w:rPr>
  </w:style>
  <w:style w:type="character" w:customStyle="1" w:styleId="DateChar">
    <w:name w:val="Date Char"/>
    <w:link w:val="Date"/>
    <w:semiHidden/>
    <w:locked/>
    <w:rsid w:val="002636AC"/>
    <w:rPr>
      <w:rFonts w:cs="Times New Roman"/>
      <w:sz w:val="24"/>
      <w:szCs w:val="24"/>
      <w:lang w:val="fr-BE" w:eastAsia="fr-BE"/>
    </w:rPr>
  </w:style>
  <w:style w:type="paragraph" w:customStyle="1" w:styleId="References">
    <w:name w:val="References"/>
    <w:basedOn w:val="Normal"/>
    <w:next w:val="Normal"/>
    <w:rsid w:val="00F271EA"/>
    <w:pPr>
      <w:spacing w:after="240"/>
      <w:ind w:left="5103"/>
    </w:pPr>
    <w:rPr>
      <w:sz w:val="20"/>
      <w:szCs w:val="20"/>
      <w:lang w:val="en-GB" w:eastAsia="en-US"/>
    </w:rPr>
  </w:style>
  <w:style w:type="paragraph" w:customStyle="1" w:styleId="ZDGName">
    <w:name w:val="Z_DGName"/>
    <w:basedOn w:val="Normal"/>
    <w:rsid w:val="00F271EA"/>
    <w:pPr>
      <w:widowControl w:val="0"/>
      <w:autoSpaceDE w:val="0"/>
      <w:autoSpaceDN w:val="0"/>
      <w:ind w:right="85"/>
    </w:pPr>
    <w:rPr>
      <w:rFonts w:ascii="Arial" w:hAnsi="Arial" w:cs="Arial"/>
      <w:sz w:val="16"/>
      <w:szCs w:val="16"/>
      <w:lang w:val="en-GB" w:eastAsia="en-US"/>
    </w:rPr>
  </w:style>
  <w:style w:type="paragraph" w:customStyle="1" w:styleId="Style">
    <w:name w:val="Style"/>
    <w:basedOn w:val="Normal"/>
    <w:rsid w:val="00F271EA"/>
    <w:rPr>
      <w:lang w:val="pl-PL" w:eastAsia="pl-PL"/>
    </w:rPr>
  </w:style>
  <w:style w:type="paragraph" w:customStyle="1" w:styleId="Char1">
    <w:name w:val="Char1"/>
    <w:basedOn w:val="Normal"/>
    <w:rsid w:val="00F271EA"/>
    <w:rPr>
      <w:lang w:val="pl-PL" w:eastAsia="pl-PL"/>
    </w:rPr>
  </w:style>
  <w:style w:type="paragraph" w:styleId="DocumentMap">
    <w:name w:val="Document Map"/>
    <w:basedOn w:val="Normal"/>
    <w:link w:val="DocumentMapChar"/>
    <w:semiHidden/>
    <w:rsid w:val="00F271EA"/>
    <w:pPr>
      <w:shd w:val="clear" w:color="auto" w:fill="000080"/>
    </w:pPr>
    <w:rPr>
      <w:rFonts w:ascii="Tahoma" w:hAnsi="Tahoma" w:cs="Tahoma"/>
    </w:rPr>
  </w:style>
  <w:style w:type="character" w:customStyle="1" w:styleId="DocumentMapChar">
    <w:name w:val="Document Map Char"/>
    <w:link w:val="DocumentMap"/>
    <w:semiHidden/>
    <w:locked/>
    <w:rsid w:val="002636AC"/>
    <w:rPr>
      <w:rFonts w:cs="Times New Roman"/>
      <w:sz w:val="2"/>
      <w:lang w:val="fr-BE" w:eastAsia="fr-BE"/>
    </w:rPr>
  </w:style>
  <w:style w:type="table" w:styleId="TableGrid">
    <w:name w:val="Table Grid"/>
    <w:basedOn w:val="TableNormal"/>
    <w:uiPriority w:val="59"/>
    <w:rsid w:val="00F271EA"/>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271EA"/>
    <w:pPr>
      <w:spacing w:before="100" w:beforeAutospacing="1" w:after="100" w:afterAutospacing="1"/>
    </w:pPr>
    <w:rPr>
      <w:lang w:val="en-US" w:eastAsia="en-US"/>
    </w:rPr>
  </w:style>
  <w:style w:type="paragraph" w:customStyle="1" w:styleId="CharChar">
    <w:name w:val="Char Char"/>
    <w:basedOn w:val="Normal"/>
    <w:next w:val="Normal"/>
    <w:rsid w:val="00F271EA"/>
    <w:pPr>
      <w:spacing w:after="160" w:line="240" w:lineRule="exact"/>
    </w:pPr>
    <w:rPr>
      <w:rFonts w:ascii="Tahoma" w:hAnsi="Tahoma"/>
      <w:szCs w:val="20"/>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ußnote"/>
    <w:basedOn w:val="Normal"/>
    <w:link w:val="FootnoteTextChar"/>
    <w:qFormat/>
    <w:rsid w:val="00B440B4"/>
    <w:pPr>
      <w:ind w:left="720" w:hanging="720"/>
      <w:jc w:val="both"/>
    </w:pPr>
    <w:rPr>
      <w:sz w:val="20"/>
      <w:szCs w:val="20"/>
      <w:lang w:val="en-GB"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Fußnote Char"/>
    <w:link w:val="FootnoteText"/>
    <w:locked/>
    <w:rsid w:val="002636AC"/>
    <w:rPr>
      <w:lang w:eastAsia="en-US"/>
    </w:rPr>
  </w:style>
  <w:style w:type="character" w:styleId="FootnoteReference">
    <w:name w:val="footnote reference"/>
    <w:aliases w:val="Char Char Char Char,Char Char Char Char Car Car Char Char Car Car Char Char"/>
    <w:rsid w:val="00F271EA"/>
    <w:rPr>
      <w:rFonts w:cs="Times New Roman"/>
      <w:shd w:val="clear" w:color="auto" w:fill="auto"/>
      <w:vertAlign w:val="superscript"/>
    </w:rPr>
  </w:style>
  <w:style w:type="character" w:styleId="CommentReference">
    <w:name w:val="annotation reference"/>
    <w:uiPriority w:val="99"/>
    <w:semiHidden/>
    <w:rsid w:val="00F271EA"/>
    <w:rPr>
      <w:rFonts w:cs="Times New Roman"/>
      <w:sz w:val="16"/>
      <w:szCs w:val="16"/>
    </w:rPr>
  </w:style>
  <w:style w:type="paragraph" w:styleId="CommentText">
    <w:name w:val="annotation text"/>
    <w:basedOn w:val="Normal"/>
    <w:link w:val="CommentTextChar"/>
    <w:uiPriority w:val="99"/>
    <w:rsid w:val="00F271EA"/>
    <w:rPr>
      <w:sz w:val="20"/>
      <w:szCs w:val="20"/>
      <w:lang w:val="en-GB" w:eastAsia="en-GB"/>
    </w:rPr>
  </w:style>
  <w:style w:type="character" w:customStyle="1" w:styleId="CommentTextChar">
    <w:name w:val="Comment Text Char"/>
    <w:link w:val="CommentText"/>
    <w:uiPriority w:val="99"/>
    <w:locked/>
    <w:rsid w:val="00F271EA"/>
    <w:rPr>
      <w:rFonts w:cs="Times New Roman"/>
      <w:lang w:val="en-GB" w:eastAsia="en-GB"/>
    </w:rPr>
  </w:style>
  <w:style w:type="paragraph" w:styleId="Footer">
    <w:name w:val="footer"/>
    <w:basedOn w:val="Normal"/>
    <w:link w:val="FooterChar"/>
    <w:uiPriority w:val="99"/>
    <w:rsid w:val="00F271EA"/>
    <w:pPr>
      <w:tabs>
        <w:tab w:val="center" w:pos="4536"/>
        <w:tab w:val="right" w:pos="9072"/>
      </w:tabs>
    </w:pPr>
  </w:style>
  <w:style w:type="character" w:customStyle="1" w:styleId="FooterChar">
    <w:name w:val="Footer Char"/>
    <w:link w:val="Footer"/>
    <w:uiPriority w:val="99"/>
    <w:locked/>
    <w:rsid w:val="00F271EA"/>
    <w:rPr>
      <w:rFonts w:cs="Times New Roman"/>
      <w:sz w:val="24"/>
      <w:szCs w:val="24"/>
      <w:lang w:val="fr-BE" w:eastAsia="fr-BE"/>
    </w:rPr>
  </w:style>
  <w:style w:type="character" w:styleId="PageNumber">
    <w:name w:val="page number"/>
    <w:rsid w:val="00F271EA"/>
    <w:rPr>
      <w:rFonts w:cs="Times New Roman"/>
    </w:rPr>
  </w:style>
  <w:style w:type="paragraph" w:styleId="CommentSubject">
    <w:name w:val="annotation subject"/>
    <w:basedOn w:val="CommentText"/>
    <w:next w:val="CommentText"/>
    <w:link w:val="CommentSubjectChar"/>
    <w:rsid w:val="00F271EA"/>
    <w:rPr>
      <w:b/>
      <w:bCs/>
      <w:lang w:val="fr-BE" w:eastAsia="fr-BE"/>
    </w:rPr>
  </w:style>
  <w:style w:type="character" w:customStyle="1" w:styleId="CommentSubjectChar">
    <w:name w:val="Comment Subject Char"/>
    <w:link w:val="CommentSubject"/>
    <w:locked/>
    <w:rsid w:val="00F271EA"/>
    <w:rPr>
      <w:rFonts w:cs="Times New Roman"/>
      <w:b/>
      <w:bCs/>
      <w:lang w:val="fr-BE" w:eastAsia="fr-BE"/>
    </w:rPr>
  </w:style>
  <w:style w:type="character" w:styleId="Hyperlink">
    <w:name w:val="Hyperlink"/>
    <w:uiPriority w:val="99"/>
    <w:rsid w:val="00624ECB"/>
    <w:rPr>
      <w:rFonts w:cs="Times New Roman"/>
      <w:color w:val="0000FF"/>
      <w:u w:val="single"/>
    </w:rPr>
  </w:style>
  <w:style w:type="paragraph" w:customStyle="1" w:styleId="Text1">
    <w:name w:val="Text 1"/>
    <w:basedOn w:val="Normal"/>
    <w:rsid w:val="00632103"/>
    <w:pPr>
      <w:spacing w:before="120" w:after="120"/>
      <w:ind w:left="850"/>
      <w:jc w:val="both"/>
    </w:pPr>
    <w:rPr>
      <w:lang w:val="en-GB" w:eastAsia="en-US"/>
    </w:rPr>
  </w:style>
  <w:style w:type="paragraph" w:customStyle="1" w:styleId="NumPar1">
    <w:name w:val="NumPar 1"/>
    <w:basedOn w:val="Normal"/>
    <w:next w:val="Text1"/>
    <w:rsid w:val="00632103"/>
    <w:pPr>
      <w:numPr>
        <w:numId w:val="2"/>
      </w:numPr>
      <w:spacing w:before="120" w:after="120"/>
      <w:jc w:val="both"/>
    </w:pPr>
    <w:rPr>
      <w:lang w:val="en-GB" w:eastAsia="en-US"/>
    </w:rPr>
  </w:style>
  <w:style w:type="paragraph" w:customStyle="1" w:styleId="NumPar2">
    <w:name w:val="NumPar 2"/>
    <w:basedOn w:val="Normal"/>
    <w:next w:val="Text1"/>
    <w:rsid w:val="00632103"/>
    <w:pPr>
      <w:numPr>
        <w:ilvl w:val="1"/>
        <w:numId w:val="2"/>
      </w:numPr>
      <w:spacing w:before="120" w:after="120"/>
      <w:jc w:val="both"/>
    </w:pPr>
    <w:rPr>
      <w:lang w:val="en-GB" w:eastAsia="en-US"/>
    </w:rPr>
  </w:style>
  <w:style w:type="paragraph" w:customStyle="1" w:styleId="NumPar3">
    <w:name w:val="NumPar 3"/>
    <w:basedOn w:val="Normal"/>
    <w:next w:val="Text1"/>
    <w:rsid w:val="00632103"/>
    <w:pPr>
      <w:numPr>
        <w:ilvl w:val="2"/>
        <w:numId w:val="2"/>
      </w:numPr>
      <w:spacing w:before="120" w:after="120"/>
      <w:jc w:val="both"/>
    </w:pPr>
    <w:rPr>
      <w:lang w:val="en-GB" w:eastAsia="en-US"/>
    </w:rPr>
  </w:style>
  <w:style w:type="paragraph" w:customStyle="1" w:styleId="NumPar4">
    <w:name w:val="NumPar 4"/>
    <w:basedOn w:val="Normal"/>
    <w:next w:val="Text1"/>
    <w:rsid w:val="00632103"/>
    <w:pPr>
      <w:numPr>
        <w:ilvl w:val="3"/>
        <w:numId w:val="2"/>
      </w:numPr>
      <w:spacing w:before="120" w:after="120"/>
      <w:jc w:val="both"/>
    </w:pPr>
    <w:rPr>
      <w:lang w:val="en-GB" w:eastAsia="en-US"/>
    </w:rPr>
  </w:style>
  <w:style w:type="paragraph" w:styleId="Header">
    <w:name w:val="header"/>
    <w:basedOn w:val="Normal"/>
    <w:link w:val="HeaderChar"/>
    <w:rsid w:val="00AF0EFF"/>
    <w:pPr>
      <w:tabs>
        <w:tab w:val="center" w:pos="4536"/>
        <w:tab w:val="right" w:pos="9072"/>
      </w:tabs>
    </w:pPr>
  </w:style>
  <w:style w:type="character" w:customStyle="1" w:styleId="HeaderChar">
    <w:name w:val="Header Char"/>
    <w:link w:val="Header"/>
    <w:semiHidden/>
    <w:locked/>
    <w:rsid w:val="002636AC"/>
    <w:rPr>
      <w:rFonts w:cs="Times New Roman"/>
      <w:sz w:val="24"/>
      <w:szCs w:val="24"/>
      <w:lang w:val="fr-BE" w:eastAsia="fr-BE"/>
    </w:rPr>
  </w:style>
  <w:style w:type="paragraph" w:styleId="Revision">
    <w:name w:val="Revision"/>
    <w:hidden/>
    <w:semiHidden/>
    <w:rsid w:val="00675C0C"/>
    <w:rPr>
      <w:sz w:val="24"/>
      <w:szCs w:val="24"/>
      <w:lang w:val="fr-BE" w:eastAsia="fr-BE"/>
    </w:rPr>
  </w:style>
  <w:style w:type="paragraph" w:customStyle="1" w:styleId="CM4">
    <w:name w:val="CM4"/>
    <w:basedOn w:val="Normal"/>
    <w:next w:val="Normal"/>
    <w:rsid w:val="00681DFE"/>
    <w:pPr>
      <w:autoSpaceDE w:val="0"/>
      <w:autoSpaceDN w:val="0"/>
      <w:adjustRightInd w:val="0"/>
    </w:pPr>
    <w:rPr>
      <w:rFonts w:ascii="EUAlbertina" w:hAnsi="EUAlbertina"/>
      <w:lang w:val="en-US" w:eastAsia="en-US"/>
    </w:rPr>
  </w:style>
  <w:style w:type="paragraph" w:customStyle="1" w:styleId="standardtext">
    <w:name w:val="standard text"/>
    <w:basedOn w:val="Normal"/>
    <w:autoRedefine/>
    <w:rsid w:val="001E1076"/>
    <w:pPr>
      <w:numPr>
        <w:numId w:val="4"/>
      </w:numPr>
      <w:spacing w:after="160" w:line="276" w:lineRule="auto"/>
      <w:jc w:val="both"/>
    </w:pPr>
    <w:rPr>
      <w:rFonts w:eastAsia="MS Mincho"/>
      <w:lang w:val="en-GB" w:eastAsia="ja-JP"/>
    </w:rPr>
  </w:style>
  <w:style w:type="paragraph" w:customStyle="1" w:styleId="Default">
    <w:name w:val="Default"/>
    <w:rsid w:val="00EA72AA"/>
    <w:pPr>
      <w:autoSpaceDE w:val="0"/>
      <w:autoSpaceDN w:val="0"/>
      <w:adjustRightInd w:val="0"/>
    </w:pPr>
    <w:rPr>
      <w:rFonts w:ascii="Calibri" w:hAnsi="Calibri" w:cs="Calibri"/>
      <w:color w:val="000000"/>
      <w:sz w:val="24"/>
      <w:szCs w:val="24"/>
    </w:rPr>
  </w:style>
  <w:style w:type="character" w:styleId="FollowedHyperlink">
    <w:name w:val="FollowedHyperlink"/>
    <w:locked/>
    <w:rsid w:val="00AC6A2B"/>
    <w:rPr>
      <w:color w:val="800080"/>
      <w:u w:val="single"/>
    </w:rPr>
  </w:style>
  <w:style w:type="table" w:customStyle="1" w:styleId="TableGrid1">
    <w:name w:val="Table Grid1"/>
    <w:basedOn w:val="TableNormal"/>
    <w:next w:val="TableGrid"/>
    <w:uiPriority w:val="59"/>
    <w:rsid w:val="008A1E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ash">
    <w:name w:val="Par-dash"/>
    <w:basedOn w:val="Normal"/>
    <w:next w:val="Normal"/>
    <w:autoRedefine/>
    <w:rsid w:val="00D04F1A"/>
    <w:pPr>
      <w:widowControl w:val="0"/>
      <w:autoSpaceDE w:val="0"/>
      <w:autoSpaceDN w:val="0"/>
      <w:adjustRightInd w:val="0"/>
      <w:spacing w:after="120" w:line="20" w:lineRule="atLeast"/>
      <w:contextualSpacing/>
    </w:pPr>
    <w:rPr>
      <w:b/>
      <w:sz w:val="20"/>
      <w:szCs w:val="20"/>
      <w:lang w:val="en-GB"/>
    </w:rPr>
  </w:style>
  <w:style w:type="paragraph" w:styleId="ListParagraph">
    <w:name w:val="List Paragraph"/>
    <w:aliases w:val="Table of contents numbered,List Paragraph in table,Table/Figure Heading,Dot pt,F5 List Paragraph,List Paragraph1,No Spacing1,List Paragraph Char Char Char,Indicator Text,Numbered Para 1,Bullet 1,Bullet Points,MAIN CONTENT,Body text"/>
    <w:basedOn w:val="Normal"/>
    <w:link w:val="ListParagraphChar"/>
    <w:uiPriority w:val="34"/>
    <w:qFormat/>
    <w:rsid w:val="00D04F1A"/>
    <w:pPr>
      <w:ind w:left="720"/>
      <w:contextualSpacing/>
      <w:jc w:val="both"/>
    </w:pPr>
    <w:rPr>
      <w:lang w:val="en-GB"/>
    </w:rPr>
  </w:style>
  <w:style w:type="paragraph" w:styleId="TOCHeading">
    <w:name w:val="TOC Heading"/>
    <w:basedOn w:val="Heading1"/>
    <w:next w:val="Normal"/>
    <w:uiPriority w:val="39"/>
    <w:semiHidden/>
    <w:unhideWhenUsed/>
    <w:qFormat/>
    <w:rsid w:val="0069209D"/>
    <w:pPr>
      <w:keepLines/>
      <w:numPr>
        <w:numId w:val="0"/>
      </w:numPr>
      <w:spacing w:before="480" w:after="0" w:line="276" w:lineRule="auto"/>
      <w:outlineLvl w:val="9"/>
    </w:pPr>
    <w:rPr>
      <w:rFonts w:ascii="Cambria" w:eastAsia="MS Gothic" w:hAnsi="Cambria" w:cs="Times New Roman"/>
      <w:color w:val="365F91"/>
      <w:kern w:val="0"/>
      <w:sz w:val="28"/>
      <w:szCs w:val="28"/>
      <w:lang w:eastAsia="ja-JP"/>
    </w:rPr>
  </w:style>
  <w:style w:type="paragraph" w:styleId="TOC1">
    <w:name w:val="toc 1"/>
    <w:basedOn w:val="Normal"/>
    <w:next w:val="Normal"/>
    <w:autoRedefine/>
    <w:uiPriority w:val="39"/>
    <w:rsid w:val="0069209D"/>
  </w:style>
  <w:style w:type="paragraph" w:styleId="TOC2">
    <w:name w:val="toc 2"/>
    <w:basedOn w:val="Normal"/>
    <w:next w:val="Normal"/>
    <w:autoRedefine/>
    <w:uiPriority w:val="39"/>
    <w:rsid w:val="0069209D"/>
    <w:pPr>
      <w:ind w:left="240"/>
    </w:pPr>
  </w:style>
  <w:style w:type="paragraph" w:styleId="TOC3">
    <w:name w:val="toc 3"/>
    <w:basedOn w:val="Normal"/>
    <w:next w:val="Normal"/>
    <w:autoRedefine/>
    <w:uiPriority w:val="39"/>
    <w:rsid w:val="0069209D"/>
    <w:pPr>
      <w:tabs>
        <w:tab w:val="right" w:leader="dot" w:pos="9628"/>
      </w:tabs>
      <w:spacing w:after="120"/>
      <w:ind w:left="482"/>
    </w:pPr>
  </w:style>
  <w:style w:type="paragraph" w:styleId="PlainText">
    <w:name w:val="Plain Text"/>
    <w:basedOn w:val="Normal"/>
    <w:link w:val="PlainTextChar"/>
    <w:uiPriority w:val="99"/>
    <w:unhideWhenUsed/>
    <w:locked/>
    <w:rsid w:val="001E1076"/>
    <w:rPr>
      <w:rFonts w:ascii="Calibri" w:eastAsia="Calibri" w:hAnsi="Calibri" w:cs="Consolas"/>
      <w:sz w:val="22"/>
      <w:szCs w:val="21"/>
      <w:lang w:val="en-GB" w:eastAsia="en-US"/>
    </w:rPr>
  </w:style>
  <w:style w:type="character" w:customStyle="1" w:styleId="PlainTextChar">
    <w:name w:val="Plain Text Char"/>
    <w:link w:val="PlainText"/>
    <w:uiPriority w:val="99"/>
    <w:rsid w:val="001E1076"/>
    <w:rPr>
      <w:rFonts w:ascii="Calibri" w:eastAsia="Calibri" w:hAnsi="Calibri" w:cs="Consolas"/>
      <w:sz w:val="22"/>
      <w:szCs w:val="21"/>
      <w:lang w:eastAsia="en-US"/>
    </w:rPr>
  </w:style>
  <w:style w:type="paragraph" w:styleId="ListBullet">
    <w:name w:val="List Bullet"/>
    <w:basedOn w:val="Normal"/>
    <w:uiPriority w:val="99"/>
    <w:locked/>
    <w:rsid w:val="004E35D1"/>
    <w:pPr>
      <w:numPr>
        <w:numId w:val="5"/>
      </w:numPr>
      <w:spacing w:after="240"/>
      <w:jc w:val="both"/>
    </w:pPr>
    <w:rPr>
      <w:szCs w:val="20"/>
      <w:lang w:val="en-GB" w:eastAsia="en-US"/>
    </w:rPr>
  </w:style>
  <w:style w:type="character" w:customStyle="1" w:styleId="ListParagraphChar">
    <w:name w:val="List Paragraph Char"/>
    <w:aliases w:val="Table of contents numbered Char,List Paragraph in table Char,Table/Figure Heading Char,Dot pt Char,F5 List Paragraph Char,List Paragraph1 Char,No Spacing1 Char,List Paragraph Char Char Char Char,Indicator Text Char,Bullet 1 Char"/>
    <w:link w:val="ListParagraph"/>
    <w:uiPriority w:val="34"/>
    <w:rsid w:val="001046C8"/>
    <w:rPr>
      <w:sz w:val="24"/>
      <w:szCs w:val="24"/>
      <w:lang w:val="en-GB"/>
    </w:rPr>
  </w:style>
  <w:style w:type="character" w:styleId="Emphasis">
    <w:name w:val="Emphasis"/>
    <w:qFormat/>
    <w:rsid w:val="00CD7451"/>
    <w:rPr>
      <w:i/>
      <w:iCs/>
    </w:rPr>
  </w:style>
  <w:style w:type="paragraph" w:styleId="NoSpacing">
    <w:name w:val="No Spacing"/>
    <w:uiPriority w:val="99"/>
    <w:qFormat/>
    <w:rsid w:val="0036242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1286">
      <w:bodyDiv w:val="1"/>
      <w:marLeft w:val="0"/>
      <w:marRight w:val="0"/>
      <w:marTop w:val="0"/>
      <w:marBottom w:val="0"/>
      <w:divBdr>
        <w:top w:val="none" w:sz="0" w:space="0" w:color="auto"/>
        <w:left w:val="none" w:sz="0" w:space="0" w:color="auto"/>
        <w:bottom w:val="none" w:sz="0" w:space="0" w:color="auto"/>
        <w:right w:val="none" w:sz="0" w:space="0" w:color="auto"/>
      </w:divBdr>
    </w:div>
    <w:div w:id="297420033">
      <w:bodyDiv w:val="1"/>
      <w:marLeft w:val="0"/>
      <w:marRight w:val="0"/>
      <w:marTop w:val="0"/>
      <w:marBottom w:val="0"/>
      <w:divBdr>
        <w:top w:val="none" w:sz="0" w:space="0" w:color="auto"/>
        <w:left w:val="none" w:sz="0" w:space="0" w:color="auto"/>
        <w:bottom w:val="none" w:sz="0" w:space="0" w:color="auto"/>
        <w:right w:val="none" w:sz="0" w:space="0" w:color="auto"/>
      </w:divBdr>
    </w:div>
    <w:div w:id="323628630">
      <w:bodyDiv w:val="1"/>
      <w:marLeft w:val="0"/>
      <w:marRight w:val="0"/>
      <w:marTop w:val="0"/>
      <w:marBottom w:val="0"/>
      <w:divBdr>
        <w:top w:val="none" w:sz="0" w:space="0" w:color="auto"/>
        <w:left w:val="none" w:sz="0" w:space="0" w:color="auto"/>
        <w:bottom w:val="none" w:sz="0" w:space="0" w:color="auto"/>
        <w:right w:val="none" w:sz="0" w:space="0" w:color="auto"/>
      </w:divBdr>
    </w:div>
    <w:div w:id="571045090">
      <w:bodyDiv w:val="1"/>
      <w:marLeft w:val="0"/>
      <w:marRight w:val="0"/>
      <w:marTop w:val="0"/>
      <w:marBottom w:val="0"/>
      <w:divBdr>
        <w:top w:val="none" w:sz="0" w:space="0" w:color="auto"/>
        <w:left w:val="none" w:sz="0" w:space="0" w:color="auto"/>
        <w:bottom w:val="none" w:sz="0" w:space="0" w:color="auto"/>
        <w:right w:val="none" w:sz="0" w:space="0" w:color="auto"/>
      </w:divBdr>
    </w:div>
    <w:div w:id="658726778">
      <w:bodyDiv w:val="1"/>
      <w:marLeft w:val="0"/>
      <w:marRight w:val="0"/>
      <w:marTop w:val="0"/>
      <w:marBottom w:val="0"/>
      <w:divBdr>
        <w:top w:val="none" w:sz="0" w:space="0" w:color="auto"/>
        <w:left w:val="none" w:sz="0" w:space="0" w:color="auto"/>
        <w:bottom w:val="none" w:sz="0" w:space="0" w:color="auto"/>
        <w:right w:val="none" w:sz="0" w:space="0" w:color="auto"/>
      </w:divBdr>
    </w:div>
    <w:div w:id="721635966">
      <w:bodyDiv w:val="1"/>
      <w:marLeft w:val="0"/>
      <w:marRight w:val="0"/>
      <w:marTop w:val="0"/>
      <w:marBottom w:val="0"/>
      <w:divBdr>
        <w:top w:val="none" w:sz="0" w:space="0" w:color="auto"/>
        <w:left w:val="none" w:sz="0" w:space="0" w:color="auto"/>
        <w:bottom w:val="none" w:sz="0" w:space="0" w:color="auto"/>
        <w:right w:val="none" w:sz="0" w:space="0" w:color="auto"/>
      </w:divBdr>
    </w:div>
    <w:div w:id="962612938">
      <w:bodyDiv w:val="1"/>
      <w:marLeft w:val="0"/>
      <w:marRight w:val="0"/>
      <w:marTop w:val="0"/>
      <w:marBottom w:val="0"/>
      <w:divBdr>
        <w:top w:val="none" w:sz="0" w:space="0" w:color="auto"/>
        <w:left w:val="none" w:sz="0" w:space="0" w:color="auto"/>
        <w:bottom w:val="none" w:sz="0" w:space="0" w:color="auto"/>
        <w:right w:val="none" w:sz="0" w:space="0" w:color="auto"/>
      </w:divBdr>
    </w:div>
    <w:div w:id="998070189">
      <w:bodyDiv w:val="1"/>
      <w:marLeft w:val="0"/>
      <w:marRight w:val="0"/>
      <w:marTop w:val="0"/>
      <w:marBottom w:val="0"/>
      <w:divBdr>
        <w:top w:val="none" w:sz="0" w:space="0" w:color="auto"/>
        <w:left w:val="none" w:sz="0" w:space="0" w:color="auto"/>
        <w:bottom w:val="none" w:sz="0" w:space="0" w:color="auto"/>
        <w:right w:val="none" w:sz="0" w:space="0" w:color="auto"/>
      </w:divBdr>
    </w:div>
    <w:div w:id="1008943636">
      <w:bodyDiv w:val="1"/>
      <w:marLeft w:val="0"/>
      <w:marRight w:val="0"/>
      <w:marTop w:val="0"/>
      <w:marBottom w:val="0"/>
      <w:divBdr>
        <w:top w:val="none" w:sz="0" w:space="0" w:color="auto"/>
        <w:left w:val="none" w:sz="0" w:space="0" w:color="auto"/>
        <w:bottom w:val="none" w:sz="0" w:space="0" w:color="auto"/>
        <w:right w:val="none" w:sz="0" w:space="0" w:color="auto"/>
      </w:divBdr>
    </w:div>
    <w:div w:id="1015883769">
      <w:bodyDiv w:val="1"/>
      <w:marLeft w:val="0"/>
      <w:marRight w:val="0"/>
      <w:marTop w:val="0"/>
      <w:marBottom w:val="0"/>
      <w:divBdr>
        <w:top w:val="none" w:sz="0" w:space="0" w:color="auto"/>
        <w:left w:val="none" w:sz="0" w:space="0" w:color="auto"/>
        <w:bottom w:val="none" w:sz="0" w:space="0" w:color="auto"/>
        <w:right w:val="none" w:sz="0" w:space="0" w:color="auto"/>
      </w:divBdr>
    </w:div>
    <w:div w:id="1096630468">
      <w:bodyDiv w:val="1"/>
      <w:marLeft w:val="0"/>
      <w:marRight w:val="0"/>
      <w:marTop w:val="0"/>
      <w:marBottom w:val="0"/>
      <w:divBdr>
        <w:top w:val="none" w:sz="0" w:space="0" w:color="auto"/>
        <w:left w:val="none" w:sz="0" w:space="0" w:color="auto"/>
        <w:bottom w:val="none" w:sz="0" w:space="0" w:color="auto"/>
        <w:right w:val="none" w:sz="0" w:space="0" w:color="auto"/>
      </w:divBdr>
    </w:div>
    <w:div w:id="1116171479">
      <w:bodyDiv w:val="1"/>
      <w:marLeft w:val="0"/>
      <w:marRight w:val="0"/>
      <w:marTop w:val="0"/>
      <w:marBottom w:val="0"/>
      <w:divBdr>
        <w:top w:val="none" w:sz="0" w:space="0" w:color="auto"/>
        <w:left w:val="none" w:sz="0" w:space="0" w:color="auto"/>
        <w:bottom w:val="none" w:sz="0" w:space="0" w:color="auto"/>
        <w:right w:val="none" w:sz="0" w:space="0" w:color="auto"/>
      </w:divBdr>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
    <w:div w:id="1544050490">
      <w:bodyDiv w:val="1"/>
      <w:marLeft w:val="0"/>
      <w:marRight w:val="0"/>
      <w:marTop w:val="0"/>
      <w:marBottom w:val="0"/>
      <w:divBdr>
        <w:top w:val="none" w:sz="0" w:space="0" w:color="auto"/>
        <w:left w:val="none" w:sz="0" w:space="0" w:color="auto"/>
        <w:bottom w:val="none" w:sz="0" w:space="0" w:color="auto"/>
        <w:right w:val="none" w:sz="0" w:space="0" w:color="auto"/>
      </w:divBdr>
    </w:div>
    <w:div w:id="1560824903">
      <w:bodyDiv w:val="1"/>
      <w:marLeft w:val="0"/>
      <w:marRight w:val="0"/>
      <w:marTop w:val="0"/>
      <w:marBottom w:val="0"/>
      <w:divBdr>
        <w:top w:val="none" w:sz="0" w:space="0" w:color="auto"/>
        <w:left w:val="none" w:sz="0" w:space="0" w:color="auto"/>
        <w:bottom w:val="none" w:sz="0" w:space="0" w:color="auto"/>
        <w:right w:val="none" w:sz="0" w:space="0" w:color="auto"/>
      </w:divBdr>
    </w:div>
    <w:div w:id="1831099086">
      <w:bodyDiv w:val="1"/>
      <w:marLeft w:val="0"/>
      <w:marRight w:val="0"/>
      <w:marTop w:val="0"/>
      <w:marBottom w:val="0"/>
      <w:divBdr>
        <w:top w:val="none" w:sz="0" w:space="0" w:color="auto"/>
        <w:left w:val="none" w:sz="0" w:space="0" w:color="auto"/>
        <w:bottom w:val="none" w:sz="0" w:space="0" w:color="auto"/>
        <w:right w:val="none" w:sz="0" w:space="0" w:color="auto"/>
      </w:divBdr>
    </w:div>
    <w:div w:id="1902911005">
      <w:bodyDiv w:val="1"/>
      <w:marLeft w:val="0"/>
      <w:marRight w:val="0"/>
      <w:marTop w:val="0"/>
      <w:marBottom w:val="0"/>
      <w:divBdr>
        <w:top w:val="none" w:sz="0" w:space="0" w:color="auto"/>
        <w:left w:val="none" w:sz="0" w:space="0" w:color="auto"/>
        <w:bottom w:val="none" w:sz="0" w:space="0" w:color="auto"/>
        <w:right w:val="none" w:sz="0" w:space="0" w:color="auto"/>
      </w:divBdr>
    </w:div>
    <w:div w:id="21326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15E3-B0CA-486F-95AE-2DE1DDEE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11669</Words>
  <Characters>66514</Characters>
  <Application>Microsoft Office Word</Application>
  <DocSecurity>0</DocSecurity>
  <Lines>554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EUROPEAN EXTERNAL ACTION SERVICE</vt:lpstr>
      <vt:lpstr>EUROPEAN EXTERNAL ACTION SERVICE</vt:lpstr>
    </vt:vector>
  </TitlesOfParts>
  <Company>General Secretariat of the Council of the EU</Company>
  <LinksUpToDate>false</LinksUpToDate>
  <CharactersWithSpaces>78027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EXTERNAL ACTION SERVICE</dc:title>
  <dc:creator>User</dc:creator>
  <cp:lastModifiedBy>BOUSQUET Mathieu (DEVCO)</cp:lastModifiedBy>
  <cp:revision>2</cp:revision>
  <cp:lastPrinted>2017-04-06T11:09:00Z</cp:lastPrinted>
  <dcterms:created xsi:type="dcterms:W3CDTF">2017-04-12T13:25:00Z</dcterms:created>
  <dcterms:modified xsi:type="dcterms:W3CDTF">2017-04-12T13:25:00Z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