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F2" w:rsidRDefault="00E91AF2" w:rsidP="00174CF8">
      <w:pPr>
        <w:spacing w:after="120" w:line="240" w:lineRule="auto"/>
        <w:contextualSpacing/>
        <w:jc w:val="both"/>
        <w:rPr>
          <w:rFonts w:ascii="Calibri" w:hAnsi="Calibri" w:cs="Calibri"/>
          <w:b/>
        </w:rPr>
      </w:pPr>
    </w:p>
    <w:p w:rsidR="001536EE" w:rsidRPr="007C17A7" w:rsidRDefault="00C8094E" w:rsidP="001536EE">
      <w:pPr>
        <w:shd w:val="clear" w:color="auto" w:fill="FFFFFF" w:themeFill="background1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</w:rPr>
        <w:t xml:space="preserve">    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</w:t>
      </w:r>
      <w:r w:rsidRPr="00624570">
        <w:rPr>
          <w:rFonts w:ascii="Calibri" w:eastAsiaTheme="majorEastAsia" w:hAnsi="Calibri" w:cs="Calibri"/>
          <w:color w:val="365F91" w:themeColor="accent1" w:themeShade="BF"/>
          <w:lang w:val="ka-GE"/>
        </w:rPr>
        <w:t xml:space="preserve">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 </w:t>
      </w:r>
      <w:r>
        <w:rPr>
          <w:rFonts w:ascii="Calibri" w:eastAsiaTheme="majorEastAsia" w:hAnsi="Calibri" w:cs="Calibri"/>
          <w:color w:val="365F91" w:themeColor="accent1" w:themeShade="BF"/>
        </w:rPr>
        <w:t xml:space="preserve">     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 </w:t>
      </w:r>
      <w:r w:rsidRPr="00624570">
        <w:rPr>
          <w:rFonts w:ascii="Calibri" w:eastAsiaTheme="majorEastAsia" w:hAnsi="Calibri" w:cs="Calibri"/>
          <w:color w:val="365F91" w:themeColor="accent1" w:themeShade="BF"/>
          <w:lang w:val="ka-GE"/>
        </w:rPr>
        <w:t xml:space="preserve">    </w:t>
      </w:r>
      <w:r w:rsidR="001536EE" w:rsidRPr="00624570">
        <w:rPr>
          <w:rFonts w:ascii="Calibri" w:eastAsiaTheme="majorEastAsia" w:hAnsi="Calibri" w:cs="Calibri"/>
          <w:b/>
          <w:bCs/>
          <w:i/>
          <w:noProof/>
          <w:color w:val="365F91" w:themeColor="accent1" w:themeShade="BF"/>
        </w:rPr>
        <w:drawing>
          <wp:anchor distT="0" distB="0" distL="114300" distR="114300" simplePos="0" relativeHeight="251662336" behindDoc="0" locked="0" layoutInCell="1" allowOverlap="1" wp14:anchorId="6968D480" wp14:editId="75AD2284">
            <wp:simplePos x="0" y="0"/>
            <wp:positionH relativeFrom="column">
              <wp:posOffset>5174615</wp:posOffset>
            </wp:positionH>
            <wp:positionV relativeFrom="paragraph">
              <wp:posOffset>-270510</wp:posOffset>
            </wp:positionV>
            <wp:extent cx="1504950" cy="61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6EE" w:rsidRPr="00624570">
        <w:rPr>
          <w:rFonts w:asciiTheme="majorHAnsi" w:eastAsiaTheme="majorEastAsia" w:hAnsiTheme="majorHAnsi" w:cstheme="majorBidi"/>
          <w:b/>
          <w:bCs/>
          <w:i/>
          <w:noProof/>
          <w:color w:val="365F91" w:themeColor="accent1" w:themeShade="BF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E121100" wp14:editId="6622E7F7">
            <wp:simplePos x="0" y="0"/>
            <wp:positionH relativeFrom="column">
              <wp:posOffset>107315</wp:posOffset>
            </wp:positionH>
            <wp:positionV relativeFrom="paragraph">
              <wp:posOffset>-288643</wp:posOffset>
            </wp:positionV>
            <wp:extent cx="1600200" cy="632813"/>
            <wp:effectExtent l="0" t="0" r="0" b="0"/>
            <wp:wrapNone/>
            <wp:docPr id="8" name="Picture 8" descr="F:\SCRC შეხვედრისთვის 7.11.2017\Briefs\New new briefs\MOH 1 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C შეხვედრისთვის 7.11.2017\Briefs\New new briefs\MOH 1 Logo-E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51" cy="6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0D3" w:rsidRPr="001536EE" w:rsidRDefault="001536EE" w:rsidP="00C8094E">
      <w:pPr>
        <w:pStyle w:val="Heading2"/>
        <w:rPr>
          <w:rFonts w:ascii="Calibri" w:eastAsiaTheme="majorEastAsia" w:hAnsi="Calibri" w:cs="Calibri"/>
          <w:color w:val="365F91" w:themeColor="accent1" w:themeShade="BF"/>
          <w:sz w:val="36"/>
          <w:szCs w:val="36"/>
        </w:rPr>
      </w:pPr>
      <w:r>
        <w:rPr>
          <w:rFonts w:ascii="Calibri" w:eastAsiaTheme="minorEastAsia" w:hAnsi="Calibri" w:cs="Calibri"/>
        </w:rPr>
        <w:t xml:space="preserve">    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</w:t>
      </w:r>
      <w:r w:rsidRPr="00624570">
        <w:rPr>
          <w:rFonts w:ascii="Calibri" w:eastAsiaTheme="majorEastAsia" w:hAnsi="Calibri" w:cs="Calibri"/>
          <w:color w:val="365F91" w:themeColor="accent1" w:themeShade="BF"/>
          <w:lang w:val="ka-GE"/>
        </w:rPr>
        <w:t xml:space="preserve">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 </w:t>
      </w:r>
      <w:r>
        <w:rPr>
          <w:rFonts w:ascii="Calibri" w:eastAsiaTheme="majorEastAsia" w:hAnsi="Calibri" w:cs="Calibri"/>
          <w:color w:val="365F91" w:themeColor="accent1" w:themeShade="BF"/>
        </w:rPr>
        <w:t xml:space="preserve">     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 </w:t>
      </w:r>
      <w:r w:rsidRPr="00624570">
        <w:rPr>
          <w:rFonts w:ascii="Calibri" w:eastAsiaTheme="majorEastAsia" w:hAnsi="Calibri" w:cs="Calibri"/>
          <w:color w:val="365F91" w:themeColor="accent1" w:themeShade="BF"/>
          <w:lang w:val="ka-GE"/>
        </w:rPr>
        <w:t xml:space="preserve">          </w:t>
      </w:r>
      <w:r w:rsidRPr="00624570">
        <w:rPr>
          <w:rFonts w:asciiTheme="minorHAnsi" w:eastAsiaTheme="majorEastAsia" w:hAnsiTheme="minorHAnsi" w:cs="Calibri"/>
          <w:color w:val="365F91" w:themeColor="accent1" w:themeShade="BF"/>
          <w:lang w:val="ka-GE"/>
        </w:rPr>
        <w:tab/>
      </w:r>
      <w:r>
        <w:rPr>
          <w:rFonts w:asciiTheme="minorHAnsi" w:eastAsiaTheme="majorEastAsia" w:hAnsiTheme="minorHAnsi" w:cs="Calibri"/>
          <w:color w:val="365F91" w:themeColor="accent1" w:themeShade="BF"/>
        </w:rPr>
        <w:t xml:space="preserve">                   </w:t>
      </w:r>
      <w:r w:rsidRPr="00624570">
        <w:rPr>
          <w:rFonts w:asciiTheme="minorHAnsi" w:eastAsiaTheme="majorEastAsia" w:hAnsiTheme="minorHAnsi" w:cs="Calibri"/>
          <w:color w:val="365F91" w:themeColor="accent1" w:themeShade="BF"/>
          <w:lang w:val="ka-GE"/>
        </w:rPr>
        <w:tab/>
      </w:r>
      <w:r>
        <w:rPr>
          <w:rFonts w:asciiTheme="minorHAnsi" w:eastAsiaTheme="majorEastAsia" w:hAnsiTheme="minorHAnsi" w:cs="Calibri"/>
          <w:color w:val="365F91" w:themeColor="accent1" w:themeShade="BF"/>
        </w:rPr>
        <w:t xml:space="preserve">                 </w:t>
      </w:r>
      <w:r w:rsidRPr="00624570">
        <w:rPr>
          <w:rFonts w:ascii="Calibri" w:eastAsiaTheme="majorEastAsia" w:hAnsi="Calibri" w:cs="Calibri"/>
          <w:color w:val="365F91" w:themeColor="accent1" w:themeShade="BF"/>
          <w:lang w:val="ka-GE"/>
        </w:rPr>
        <w:t xml:space="preserve">  </w:t>
      </w:r>
      <w:r w:rsidRPr="00624570">
        <w:rPr>
          <w:rFonts w:ascii="Calibri" w:eastAsiaTheme="majorEastAsia" w:hAnsi="Calibri" w:cs="Calibri"/>
          <w:color w:val="365F91" w:themeColor="accent1" w:themeShade="BF"/>
        </w:rPr>
        <w:t xml:space="preserve">   </w:t>
      </w:r>
    </w:p>
    <w:p w:rsidR="00E91AF2" w:rsidRDefault="006B10D3" w:rsidP="006B10D3">
      <w:pPr>
        <w:pStyle w:val="Heading2"/>
        <w:jc w:val="center"/>
        <w:rPr>
          <w:rFonts w:ascii="Calibri" w:hAnsi="Calibri" w:cs="Calibri"/>
          <w:b/>
        </w:rPr>
      </w:pPr>
      <w:r w:rsidRPr="00C51F98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BA3FB" wp14:editId="771EA6D4">
                <wp:simplePos x="0" y="0"/>
                <wp:positionH relativeFrom="margin">
                  <wp:posOffset>-19050</wp:posOffset>
                </wp:positionH>
                <wp:positionV relativeFrom="paragraph">
                  <wp:posOffset>274955</wp:posOffset>
                </wp:positionV>
                <wp:extent cx="6886575" cy="704850"/>
                <wp:effectExtent l="0" t="0" r="28575" b="19050"/>
                <wp:wrapNone/>
                <wp:docPr id="2" name="Round Single Corner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70485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AF2" w:rsidRPr="00E91AF2" w:rsidRDefault="00E91AF2" w:rsidP="00C8094E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91AF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Non-communicable </w:t>
                            </w:r>
                            <w:r w:rsidR="00C8094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D</w:t>
                            </w:r>
                            <w:r w:rsidRPr="00E91AF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iseases </w:t>
                            </w:r>
                            <w:r w:rsidR="00C8094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 w:rsidRPr="00E91AF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urveillance</w:t>
                            </w:r>
                          </w:p>
                          <w:p w:rsidR="00E91AF2" w:rsidRPr="00C51F98" w:rsidRDefault="00E91AF2" w:rsidP="00E91AF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A3FB" id="Round Single Corner Rectangle 2" o:spid="_x0000_s1026" style="position:absolute;left:0;text-align:left;margin-left:-1.5pt;margin-top:21.65pt;width:54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8657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" adj="-11796480,,5400" path="m,l6886575,r,l6886575,704850,,704850,,xe" fillcolor="#4f81bd" strokecolor="#385d8a" strokeweight="2pt">
                <v:stroke joinstyle="miter"/>
                <v:formulas/>
                <v:path arrowok="t" o:connecttype="custom" o:connectlocs="0,0;6886575,0;6886575,0;6886575,704850;0,704850;0,0" o:connectangles="0,0,0,0,0,0" textboxrect="0,0,6886575,704850"/>
                <v:textbox>
                  <w:txbxContent>
                    <w:p w:rsidR="00E91AF2" w:rsidRPr="00E91AF2" w:rsidRDefault="00E91AF2" w:rsidP="00C8094E">
                      <w:pPr>
                        <w:spacing w:after="12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E91AF2">
                        <w:rPr>
                          <w:rFonts w:ascii="Calibri" w:hAnsi="Calibri" w:cs="Calibr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Non-communicable </w:t>
                      </w:r>
                      <w:r w:rsidR="00C8094E">
                        <w:rPr>
                          <w:rFonts w:ascii="Calibri" w:hAnsi="Calibri" w:cs="Calibri"/>
                          <w:b/>
                          <w:color w:val="FFFFFF" w:themeColor="background1"/>
                          <w:sz w:val="44"/>
                          <w:szCs w:val="44"/>
                        </w:rPr>
                        <w:t>D</w:t>
                      </w:r>
                      <w:r w:rsidRPr="00E91AF2">
                        <w:rPr>
                          <w:rFonts w:ascii="Calibri" w:hAnsi="Calibri" w:cs="Calibr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iseases </w:t>
                      </w:r>
                      <w:r w:rsidR="00C8094E">
                        <w:rPr>
                          <w:rFonts w:ascii="Calibri" w:hAnsi="Calibri" w:cs="Calibri"/>
                          <w:b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  <w:r w:rsidRPr="00E91AF2">
                        <w:rPr>
                          <w:rFonts w:ascii="Calibri" w:hAnsi="Calibri" w:cs="Calibri"/>
                          <w:b/>
                          <w:color w:val="FFFFFF" w:themeColor="background1"/>
                          <w:sz w:val="44"/>
                          <w:szCs w:val="44"/>
                        </w:rPr>
                        <w:t>urveillance</w:t>
                      </w:r>
                    </w:p>
                    <w:p w:rsidR="00E91AF2" w:rsidRPr="00C51F98" w:rsidRDefault="00E91AF2" w:rsidP="00E91AF2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Theme="majorEastAsia" w:hAnsi="Calibri" w:cs="Calibri"/>
          <w:color w:val="365F91" w:themeColor="accent1" w:themeShade="BF"/>
        </w:rPr>
        <w:t xml:space="preserve">                                                                                                                                                          </w:t>
      </w:r>
      <w:r w:rsidR="00C8094E">
        <w:rPr>
          <w:rFonts w:ascii="Calibri" w:eastAsiaTheme="majorEastAsia" w:hAnsi="Calibri" w:cs="Calibri"/>
          <w:color w:val="365F91" w:themeColor="accent1" w:themeShade="BF"/>
        </w:rPr>
        <w:t xml:space="preserve"> </w:t>
      </w:r>
      <w:r w:rsidR="00C8094E" w:rsidRPr="00C8094E">
        <w:rPr>
          <w:rFonts w:ascii="Calibri" w:eastAsiaTheme="majorEastAsia" w:hAnsi="Calibri" w:cs="Calibri"/>
          <w:b/>
          <w:color w:val="244061" w:themeColor="accent1" w:themeShade="80"/>
          <w:sz w:val="36"/>
          <w:szCs w:val="36"/>
        </w:rPr>
        <w:t>GEORGIA</w:t>
      </w:r>
      <w:r w:rsidR="00C8094E" w:rsidRPr="00C8094E">
        <w:rPr>
          <w:rFonts w:ascii="Calibri" w:eastAsiaTheme="majorEastAsia" w:hAnsi="Calibri" w:cs="Calibri"/>
          <w:b/>
          <w:color w:val="244061" w:themeColor="accent1" w:themeShade="80"/>
          <w:sz w:val="32"/>
          <w:szCs w:val="32"/>
        </w:rPr>
        <w:t xml:space="preserve"> </w:t>
      </w:r>
      <w:r w:rsidR="00C8094E" w:rsidRPr="00C8094E">
        <w:rPr>
          <w:rFonts w:ascii="Calibri" w:eastAsiaTheme="majorEastAsia" w:hAnsi="Calibri" w:cs="Calibri"/>
          <w:b/>
          <w:i/>
          <w:color w:val="244061" w:themeColor="accent1" w:themeShade="80"/>
          <w:sz w:val="36"/>
          <w:szCs w:val="36"/>
        </w:rPr>
        <w:t>Brief</w:t>
      </w:r>
    </w:p>
    <w:p w:rsidR="00E91AF2" w:rsidRDefault="00E91AF2" w:rsidP="00174CF8">
      <w:pPr>
        <w:spacing w:after="120" w:line="240" w:lineRule="auto"/>
        <w:contextualSpacing/>
        <w:jc w:val="both"/>
        <w:rPr>
          <w:rFonts w:ascii="Calibri" w:hAnsi="Calibri" w:cs="Calibri"/>
          <w:b/>
        </w:rPr>
      </w:pPr>
    </w:p>
    <w:p w:rsidR="00E91AF2" w:rsidRDefault="00E91AF2" w:rsidP="00174CF8">
      <w:pPr>
        <w:spacing w:after="120" w:line="240" w:lineRule="auto"/>
        <w:contextualSpacing/>
        <w:jc w:val="both"/>
        <w:rPr>
          <w:rFonts w:ascii="Calibri" w:hAnsi="Calibri" w:cs="Calibri"/>
          <w:b/>
        </w:rPr>
      </w:pPr>
    </w:p>
    <w:p w:rsidR="00E91AF2" w:rsidRDefault="00E91AF2" w:rsidP="00174CF8">
      <w:pPr>
        <w:spacing w:after="120" w:line="240" w:lineRule="auto"/>
        <w:contextualSpacing/>
        <w:jc w:val="both"/>
        <w:rPr>
          <w:rFonts w:ascii="Calibri" w:hAnsi="Calibri" w:cs="Calibri"/>
          <w:b/>
        </w:rPr>
      </w:pPr>
    </w:p>
    <w:p w:rsidR="00E91AF2" w:rsidRDefault="00E91AF2" w:rsidP="00174CF8">
      <w:pPr>
        <w:spacing w:after="120" w:line="240" w:lineRule="auto"/>
        <w:contextualSpacing/>
        <w:jc w:val="both"/>
        <w:rPr>
          <w:rFonts w:ascii="Calibri" w:hAnsi="Calibri" w:cs="Calibri"/>
          <w:b/>
        </w:rPr>
      </w:pPr>
    </w:p>
    <w:p w:rsidR="00766FF2" w:rsidRDefault="00766FF2" w:rsidP="00174CF8">
      <w:pPr>
        <w:spacing w:after="120" w:line="240" w:lineRule="auto"/>
        <w:contextualSpacing/>
        <w:jc w:val="both"/>
        <w:rPr>
          <w:rFonts w:ascii="Calibri" w:hAnsi="Calibri" w:cs="Calibri"/>
        </w:rPr>
      </w:pPr>
      <w:r w:rsidRPr="00766FF2">
        <w:rPr>
          <w:rFonts w:ascii="Calibri" w:hAnsi="Calibri" w:cs="Calibri"/>
        </w:rPr>
        <w:t>Non-communicable diseases make the greatest proportion of the total burden of disease and injuries in Georgia</w:t>
      </w:r>
      <w:r w:rsidRPr="00766FF2">
        <w:rPr>
          <w:rFonts w:ascii="Calibri" w:eastAsia="Times New Roman" w:hAnsi="Calibri" w:cs="Calibri"/>
        </w:rPr>
        <w:t xml:space="preserve"> affecting the most productive years of life</w:t>
      </w:r>
      <w:r w:rsidRPr="00766FF2">
        <w:rPr>
          <w:rFonts w:ascii="Calibri" w:hAnsi="Calibri" w:cs="Calibri"/>
        </w:rPr>
        <w:t xml:space="preserve">. According to WHO 2014 Health Report, </w:t>
      </w:r>
      <w:r w:rsidRPr="00766FF2">
        <w:rPr>
          <w:rFonts w:ascii="Calibri" w:eastAsia="Times New Roman" w:hAnsi="Calibri" w:cs="Calibri"/>
        </w:rPr>
        <w:t>non-communicable diseases account for nearly 94% of all deaths</w:t>
      </w:r>
      <w:r w:rsidRPr="00766FF2">
        <w:rPr>
          <w:rFonts w:ascii="Calibri" w:hAnsi="Calibri" w:cs="Calibri"/>
        </w:rPr>
        <w:t xml:space="preserve">, among them 69% due to CVDs, 14% - cancer, 1% - diabetes, 4% - chronic respiratory diseases; </w:t>
      </w:r>
      <w:r w:rsidRPr="00766FF2">
        <w:rPr>
          <w:rFonts w:ascii="Calibri" w:eastAsia="Times New Roman" w:hAnsi="Calibri" w:cs="Calibri"/>
        </w:rPr>
        <w:t>they make influence not only on health but also on sustainable development of the country</w:t>
      </w:r>
      <w:r w:rsidRPr="00766FF2">
        <w:rPr>
          <w:rFonts w:ascii="Calibri" w:hAnsi="Calibri" w:cs="Calibri"/>
        </w:rPr>
        <w:t xml:space="preserve">. </w:t>
      </w:r>
    </w:p>
    <w:p w:rsidR="00766FF2" w:rsidRDefault="00766FF2" w:rsidP="00174CF8">
      <w:pPr>
        <w:spacing w:after="120" w:line="240" w:lineRule="auto"/>
        <w:contextualSpacing/>
        <w:jc w:val="center"/>
        <w:rPr>
          <w:rFonts w:ascii="Calibri" w:hAnsi="Calibri" w:cs="Calibri"/>
        </w:rPr>
      </w:pPr>
      <w:r w:rsidRPr="00766FF2">
        <w:rPr>
          <w:rFonts w:ascii="Calibri" w:hAnsi="Calibri" w:cs="Calibri"/>
          <w:noProof/>
        </w:rPr>
        <w:drawing>
          <wp:inline distT="0" distB="0" distL="0" distR="0" wp14:anchorId="727AED9F" wp14:editId="64CC1833">
            <wp:extent cx="3933825" cy="2727773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0117" cy="273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FF2" w:rsidRDefault="00766F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766FF2">
        <w:rPr>
          <w:rFonts w:ascii="Calibri" w:hAnsi="Calibri" w:cs="Calibri"/>
        </w:rPr>
        <w:t xml:space="preserve">For the effective prevention and control of NCDs it is essential to have timely access to precise and reliable information, </w:t>
      </w:r>
      <w:r w:rsidRPr="00766FF2">
        <w:rPr>
          <w:rFonts w:ascii="Calibri" w:eastAsia="Times New Roman" w:hAnsi="Calibri" w:cs="Calibri"/>
        </w:rPr>
        <w:t xml:space="preserve">to monitor and interpret health indicators, </w:t>
      </w:r>
      <w:r w:rsidRPr="00766FF2">
        <w:rPr>
          <w:rFonts w:ascii="Calibri" w:hAnsi="Calibri" w:cs="Calibri"/>
        </w:rPr>
        <w:t xml:space="preserve">to monitor and evaluate the impact of interventions. For the effective NCD surveillance Georgia implemented </w:t>
      </w:r>
      <w:r w:rsidRPr="00766FF2">
        <w:rPr>
          <w:rFonts w:ascii="Calibri" w:eastAsia="Times New Roman" w:hAnsi="Calibri" w:cs="Calibri"/>
        </w:rPr>
        <w:t xml:space="preserve">The WHO STEPwise approach; 2 rounds of STEPS surveys have been conducted in 2010 and 2016 with technical and financial assistance of the WHO-Euro and WHO-HQ and giving us the unique possibility to compare the data not only with other countries but to </w:t>
      </w:r>
      <w:r w:rsidRPr="00766FF2">
        <w:rPr>
          <w:rFonts w:ascii="Calibri" w:hAnsi="Calibri" w:cs="Calibri"/>
        </w:rPr>
        <w:t>monitor and evaluate patterns and trends of NCDs and risk-factors in Georgia</w:t>
      </w:r>
      <w:r w:rsidRPr="00766FF2">
        <w:rPr>
          <w:rFonts w:ascii="Calibri" w:eastAsia="Times New Roman" w:hAnsi="Calibri" w:cs="Calibri"/>
        </w:rPr>
        <w:t xml:space="preserve">. These are the first steps to contribute to building sustainable surveillance systems, which improved national capacity and provided the </w:t>
      </w:r>
      <w:r w:rsidRPr="00766FF2">
        <w:rPr>
          <w:rFonts w:ascii="Calibri" w:hAnsi="Calibri" w:cs="Calibri"/>
        </w:rPr>
        <w:t xml:space="preserve">better health information and thus better opportunities </w:t>
      </w:r>
      <w:r w:rsidRPr="00766FF2">
        <w:rPr>
          <w:rFonts w:ascii="Calibri" w:eastAsia="Times New Roman" w:hAnsi="Calibri" w:cs="Calibri"/>
        </w:rPr>
        <w:t>necessary for effective NCD prevention and control</w:t>
      </w:r>
      <w:r w:rsidRPr="00766FF2">
        <w:rPr>
          <w:rFonts w:ascii="Calibri" w:hAnsi="Calibri" w:cs="Calibri"/>
        </w:rPr>
        <w:t xml:space="preserve"> to improve the health of our citizens</w:t>
      </w:r>
      <w:r w:rsidRPr="00766FF2">
        <w:rPr>
          <w:rFonts w:ascii="Calibri" w:eastAsia="Times New Roman" w:hAnsi="Calibri" w:cs="Calibri"/>
        </w:rPr>
        <w:t xml:space="preserve">. </w:t>
      </w:r>
    </w:p>
    <w:tbl>
      <w:tblPr>
        <w:tblStyle w:val="TableGrid0"/>
        <w:tblpPr w:vertAnchor="text" w:horzAnchor="margin" w:tblpY="248"/>
        <w:tblOverlap w:val="never"/>
        <w:tblW w:w="10800" w:type="dxa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66FF2" w:rsidTr="00CF55CA">
        <w:tc>
          <w:tcPr>
            <w:tcW w:w="10800" w:type="dxa"/>
            <w:shd w:val="clear" w:color="auto" w:fill="244061" w:themeFill="accent1" w:themeFillShade="80"/>
            <w:hideMark/>
          </w:tcPr>
          <w:p w:rsidR="00766FF2" w:rsidRDefault="00766FF2" w:rsidP="00174CF8">
            <w:pPr>
              <w:spacing w:after="120"/>
              <w:contextualSpacing/>
            </w:pPr>
            <w:r>
              <w:rPr>
                <w:rFonts w:ascii="Calibri" w:hAnsi="Calibri" w:cs="Calibri"/>
                <w:b/>
              </w:rPr>
              <w:t xml:space="preserve">Goals and objectives of the </w:t>
            </w:r>
            <w:r w:rsidRPr="00617E06">
              <w:rPr>
                <w:rFonts w:ascii="Calibri" w:hAnsi="Calibri" w:cs="Calibri"/>
                <w:b/>
              </w:rPr>
              <w:t>STEPS 201</w:t>
            </w:r>
            <w:r>
              <w:rPr>
                <w:rFonts w:ascii="Calibri" w:hAnsi="Calibri" w:cs="Calibri"/>
                <w:b/>
              </w:rPr>
              <w:t>6</w:t>
            </w:r>
          </w:p>
        </w:tc>
      </w:tr>
      <w:tr w:rsidR="00766FF2" w:rsidTr="00CF55CA">
        <w:tc>
          <w:tcPr>
            <w:tcW w:w="10800" w:type="dxa"/>
            <w:shd w:val="clear" w:color="auto" w:fill="DBE5F1" w:themeFill="accent1" w:themeFillTint="33"/>
            <w:vAlign w:val="bottom"/>
            <w:hideMark/>
          </w:tcPr>
          <w:p w:rsidR="00766FF2" w:rsidRPr="00766FF2" w:rsidRDefault="00766FF2" w:rsidP="00174CF8">
            <w:pPr>
              <w:pStyle w:val="Default"/>
              <w:spacing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766FF2">
              <w:rPr>
                <w:rFonts w:ascii="Calibri" w:hAnsi="Calibri" w:cs="Calibri"/>
                <w:b/>
                <w:sz w:val="20"/>
                <w:szCs w:val="22"/>
              </w:rPr>
              <w:t xml:space="preserve">The overall goal:  </w:t>
            </w:r>
            <w:r w:rsidRPr="00766FF2">
              <w:rPr>
                <w:rFonts w:ascii="Calibri" w:hAnsi="Calibri" w:cs="Calibri"/>
                <w:bCs/>
                <w:sz w:val="20"/>
                <w:szCs w:val="22"/>
              </w:rPr>
              <w:t>Strengthening the surveillance system of major NCDs and risk-factors for improvement of NCDs prevention and control</w:t>
            </w:r>
            <w:r w:rsidRPr="00766FF2">
              <w:rPr>
                <w:rFonts w:ascii="Calibri" w:hAnsi="Calibri" w:cs="Calibri"/>
                <w:sz w:val="20"/>
                <w:szCs w:val="22"/>
              </w:rPr>
              <w:t xml:space="preserve"> including healthcare management in Georgia.</w:t>
            </w:r>
          </w:p>
          <w:p w:rsidR="00766FF2" w:rsidRDefault="00766FF2" w:rsidP="00174CF8">
            <w:pPr>
              <w:pStyle w:val="Default"/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766FF2">
              <w:rPr>
                <w:rFonts w:ascii="Calibri" w:hAnsi="Calibri" w:cs="Calibri"/>
                <w:b/>
                <w:sz w:val="20"/>
                <w:szCs w:val="22"/>
              </w:rPr>
              <w:t xml:space="preserve">The specific goal: </w:t>
            </w:r>
            <w:r w:rsidRPr="00766FF2">
              <w:rPr>
                <w:rFonts w:ascii="Calibri" w:hAnsi="Calibri" w:cs="Calibri"/>
                <w:sz w:val="20"/>
                <w:szCs w:val="22"/>
              </w:rPr>
              <w:t xml:space="preserve">Assessment of the prevalence and variation </w:t>
            </w:r>
            <w:r w:rsidRPr="00766FF2">
              <w:rPr>
                <w:rFonts w:ascii="Calibri" w:hAnsi="Calibri" w:cs="Calibri"/>
                <w:bCs/>
                <w:sz w:val="20"/>
                <w:szCs w:val="22"/>
              </w:rPr>
              <w:t xml:space="preserve">of major NCD </w:t>
            </w:r>
            <w:r w:rsidRPr="00766FF2">
              <w:rPr>
                <w:rFonts w:ascii="Calibri" w:hAnsi="Calibri" w:cs="Calibri"/>
                <w:sz w:val="20"/>
                <w:szCs w:val="22"/>
              </w:rPr>
              <w:t>behavioral, biological</w:t>
            </w:r>
            <w:r w:rsidRPr="00766FF2">
              <w:rPr>
                <w:rFonts w:ascii="Calibri" w:hAnsi="Calibri" w:cs="Calibri"/>
                <w:bCs/>
                <w:sz w:val="20"/>
                <w:szCs w:val="22"/>
              </w:rPr>
              <w:t xml:space="preserve"> risk factors and their determinants </w:t>
            </w:r>
            <w:r w:rsidRPr="00766FF2">
              <w:rPr>
                <w:rFonts w:ascii="Calibri" w:hAnsi="Calibri" w:cs="Calibri"/>
                <w:sz w:val="20"/>
                <w:szCs w:val="22"/>
              </w:rPr>
              <w:t>among 18-69 years old population of Georgia, and changes with respect to 2010 survey</w:t>
            </w:r>
          </w:p>
          <w:p w:rsidR="00766FF2" w:rsidRPr="00766FF2" w:rsidRDefault="00766FF2" w:rsidP="00174CF8">
            <w:pPr>
              <w:pStyle w:val="Default"/>
              <w:spacing w:after="120"/>
              <w:contextualSpacing/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Obj</w:t>
            </w:r>
            <w:r w:rsidRPr="00766FF2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2"/>
              </w:rPr>
              <w:t>ec</w:t>
            </w: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t</w:t>
            </w:r>
            <w:r w:rsidRPr="00766FF2">
              <w:rPr>
                <w:rFonts w:ascii="Calibri" w:hAnsi="Calibri" w:cs="Calibri"/>
                <w:b/>
                <w:bCs/>
                <w:iCs/>
                <w:spacing w:val="1"/>
                <w:sz w:val="20"/>
                <w:szCs w:val="22"/>
              </w:rPr>
              <w:t>i</w:t>
            </w:r>
            <w:r w:rsidRPr="00766FF2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2"/>
              </w:rPr>
              <w:t>v</w:t>
            </w: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e 1:</w:t>
            </w:r>
            <w:r w:rsidRPr="00766FF2">
              <w:rPr>
                <w:rFonts w:ascii="Calibri" w:hAnsi="Calibri" w:cs="Calibri"/>
                <w:b/>
                <w:bCs/>
                <w:iCs/>
                <w:spacing w:val="2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Est</w:t>
            </w:r>
            <w:r w:rsidRPr="00766FF2">
              <w:rPr>
                <w:rFonts w:ascii="Calibri" w:hAnsi="Calibri" w:cs="Calibri"/>
                <w:iCs/>
                <w:spacing w:val="1"/>
                <w:sz w:val="20"/>
                <w:szCs w:val="22"/>
              </w:rPr>
              <w:t>i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mate NCDs risk-factors</w:t>
            </w:r>
            <w:r w:rsidRPr="00766FF2">
              <w:rPr>
                <w:rFonts w:ascii="Calibri" w:hAnsi="Calibri" w:cs="Calibri"/>
                <w:iCs/>
                <w:spacing w:val="2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pre</w:t>
            </w:r>
            <w:r w:rsidRPr="00766FF2">
              <w:rPr>
                <w:rFonts w:ascii="Calibri" w:hAnsi="Calibri" w:cs="Calibri"/>
                <w:iCs/>
                <w:spacing w:val="-2"/>
                <w:sz w:val="20"/>
                <w:szCs w:val="22"/>
              </w:rPr>
              <w:t>v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alen</w:t>
            </w:r>
            <w:r w:rsidRPr="00766FF2">
              <w:rPr>
                <w:rFonts w:ascii="Calibri" w:hAnsi="Calibri" w:cs="Calibri"/>
                <w:iCs/>
                <w:spacing w:val="1"/>
                <w:sz w:val="20"/>
                <w:szCs w:val="22"/>
              </w:rPr>
              <w:t>c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 xml:space="preserve">e </w:t>
            </w:r>
            <w:r w:rsidRPr="00766FF2">
              <w:rPr>
                <w:rFonts w:ascii="Calibri" w:hAnsi="Calibri" w:cs="Calibri"/>
                <w:sz w:val="20"/>
                <w:szCs w:val="22"/>
              </w:rPr>
              <w:t>among 18-69 years old population of Georgia</w:t>
            </w:r>
            <w:r w:rsidRPr="00766FF2" w:rsidDel="003D5E6A">
              <w:rPr>
                <w:rFonts w:ascii="Calibri" w:hAnsi="Calibri" w:cs="Calibri"/>
                <w:iCs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by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age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grou</w:t>
            </w:r>
            <w:r w:rsidRPr="00766FF2">
              <w:rPr>
                <w:rFonts w:ascii="Calibri" w:hAnsi="Calibri" w:cs="Calibri"/>
                <w:iCs/>
                <w:spacing w:val="2"/>
                <w:sz w:val="20"/>
                <w:szCs w:val="22"/>
              </w:rPr>
              <w:t>p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s, regions, and by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urban and rural</w:t>
            </w:r>
            <w:r w:rsidRPr="00766FF2">
              <w:rPr>
                <w:rFonts w:ascii="Calibri" w:hAnsi="Calibri" w:cs="Calibri"/>
                <w:iCs/>
                <w:spacing w:val="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resid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>e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n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>c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e</w:t>
            </w:r>
          </w:p>
          <w:p w:rsidR="00766FF2" w:rsidRPr="00766FF2" w:rsidRDefault="00766FF2" w:rsidP="00174CF8">
            <w:pPr>
              <w:pStyle w:val="Default"/>
              <w:spacing w:after="120"/>
              <w:contextualSpacing/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Objective 2: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 xml:space="preserve"> Increase institutional capacity for ensuring effective and sustainable NCDs risk-factors surveillance system development in the future, including national monitoring and reporting of globally agreed NCD indicators on risk factors</w:t>
            </w:r>
          </w:p>
          <w:p w:rsidR="00766FF2" w:rsidRPr="00766FF2" w:rsidRDefault="00766FF2" w:rsidP="00174CF8">
            <w:pPr>
              <w:pStyle w:val="Default"/>
              <w:spacing w:after="120"/>
              <w:contextualSpacing/>
              <w:jc w:val="both"/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</w:pP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Obj</w:t>
            </w:r>
            <w:r w:rsidRPr="00766FF2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2"/>
              </w:rPr>
              <w:t>ec</w:t>
            </w: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t</w:t>
            </w:r>
            <w:r w:rsidRPr="00766FF2">
              <w:rPr>
                <w:rFonts w:ascii="Calibri" w:hAnsi="Calibri" w:cs="Calibri"/>
                <w:b/>
                <w:bCs/>
                <w:iCs/>
                <w:spacing w:val="1"/>
                <w:sz w:val="20"/>
                <w:szCs w:val="22"/>
              </w:rPr>
              <w:t>i</w:t>
            </w:r>
            <w:r w:rsidRPr="00766FF2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2"/>
              </w:rPr>
              <w:t>v</w:t>
            </w: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e</w:t>
            </w:r>
            <w:r w:rsidRPr="00766FF2">
              <w:rPr>
                <w:rFonts w:ascii="Calibri" w:hAnsi="Calibri" w:cs="Calibri"/>
                <w:b/>
                <w:bCs/>
                <w:iCs/>
                <w:spacing w:val="49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b/>
                <w:bCs/>
                <w:iCs/>
                <w:sz w:val="20"/>
                <w:szCs w:val="22"/>
              </w:rPr>
              <w:t>3:</w:t>
            </w:r>
            <w:r w:rsidRPr="00766FF2">
              <w:rPr>
                <w:rFonts w:ascii="Calibri" w:hAnsi="Calibri" w:cs="Calibri"/>
                <w:b/>
                <w:bCs/>
                <w:iCs/>
                <w:spacing w:val="50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Ensure that study outcomes are efficiently promoted to be used for supporting a significant decrease of</w:t>
            </w:r>
            <w:r w:rsidRPr="00766FF2">
              <w:rPr>
                <w:rFonts w:ascii="Calibri" w:hAnsi="Calibri" w:cs="Calibri"/>
                <w:iCs/>
                <w:spacing w:val="5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the</w:t>
            </w:r>
            <w:r w:rsidRPr="00766FF2">
              <w:rPr>
                <w:rFonts w:ascii="Calibri" w:hAnsi="Calibri" w:cs="Calibri"/>
                <w:iCs/>
                <w:spacing w:val="50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burd</w:t>
            </w:r>
            <w:r w:rsidRPr="00766FF2">
              <w:rPr>
                <w:rFonts w:ascii="Calibri" w:hAnsi="Calibri" w:cs="Calibri"/>
                <w:iCs/>
                <w:spacing w:val="-1"/>
                <w:sz w:val="20"/>
                <w:szCs w:val="22"/>
              </w:rPr>
              <w:t>e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n</w:t>
            </w:r>
            <w:r w:rsidRPr="00766FF2">
              <w:rPr>
                <w:rFonts w:ascii="Calibri" w:hAnsi="Calibri" w:cs="Calibri"/>
                <w:iCs/>
                <w:spacing w:val="50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z w:val="20"/>
                <w:szCs w:val="22"/>
              </w:rPr>
              <w:t>of</w:t>
            </w:r>
            <w:r w:rsidRPr="00766FF2">
              <w:rPr>
                <w:rFonts w:ascii="Calibri" w:hAnsi="Calibri" w:cs="Calibri"/>
                <w:iCs/>
                <w:spacing w:val="51"/>
                <w:sz w:val="20"/>
                <w:szCs w:val="22"/>
              </w:rPr>
              <w:t xml:space="preserve"> </w:t>
            </w:r>
            <w:r w:rsidRPr="00766FF2">
              <w:rPr>
                <w:rFonts w:ascii="Calibri" w:hAnsi="Calibri" w:cs="Calibri"/>
                <w:iCs/>
                <w:spacing w:val="-2"/>
                <w:sz w:val="20"/>
                <w:szCs w:val="22"/>
              </w:rPr>
              <w:t>NCDs in the country</w:t>
            </w:r>
            <w:r w:rsidRPr="00766FF2">
              <w:rPr>
                <w:rFonts w:ascii="Calibri" w:hAnsi="Calibri" w:cs="Calibri"/>
                <w:i/>
                <w:iCs/>
                <w:spacing w:val="-2"/>
                <w:sz w:val="20"/>
                <w:szCs w:val="22"/>
              </w:rPr>
              <w:t xml:space="preserve"> </w:t>
            </w:r>
          </w:p>
        </w:tc>
      </w:tr>
    </w:tbl>
    <w:p w:rsidR="00766FF2" w:rsidRDefault="00766F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</w:pPr>
    </w:p>
    <w:p w:rsidR="00766FF2" w:rsidRPr="00617E06" w:rsidRDefault="00766F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617E06">
        <w:rPr>
          <w:rFonts w:ascii="Calibri" w:eastAsia="Times New Roman" w:hAnsi="Calibri" w:cs="Calibri"/>
        </w:rPr>
        <w:lastRenderedPageBreak/>
        <w:t xml:space="preserve">STEPS country board includes representatives from </w:t>
      </w:r>
      <w:r>
        <w:rPr>
          <w:rFonts w:ascii="Calibri" w:eastAsia="Times New Roman" w:hAnsi="Calibri" w:cs="Calibri"/>
        </w:rPr>
        <w:t>the National Center for Disease Control and Public Health (</w:t>
      </w:r>
      <w:r w:rsidRPr="00617E06">
        <w:rPr>
          <w:rFonts w:ascii="Calibri" w:eastAsia="Times New Roman" w:hAnsi="Calibri" w:cs="Calibri"/>
        </w:rPr>
        <w:t>NCDC</w:t>
      </w:r>
      <w:r>
        <w:rPr>
          <w:rFonts w:ascii="Calibri" w:eastAsia="Times New Roman" w:hAnsi="Calibri" w:cs="Calibri"/>
        </w:rPr>
        <w:t>)</w:t>
      </w:r>
      <w:r w:rsidRPr="00617E06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t xml:space="preserve"> Ministry of Labor, Health and Social Affairs</w:t>
      </w:r>
      <w:r w:rsidRPr="00617E0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(</w:t>
      </w:r>
      <w:r w:rsidRPr="00617E06">
        <w:rPr>
          <w:rFonts w:ascii="Calibri" w:eastAsia="Times New Roman" w:hAnsi="Calibri" w:cs="Calibri"/>
        </w:rPr>
        <w:t>MoLHSA</w:t>
      </w:r>
      <w:r>
        <w:rPr>
          <w:rFonts w:ascii="Calibri" w:eastAsia="Times New Roman" w:hAnsi="Calibri" w:cs="Calibri"/>
        </w:rPr>
        <w:t>)</w:t>
      </w:r>
      <w:r w:rsidRPr="00617E06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National Statistics Office of Georgia (</w:t>
      </w:r>
      <w:r w:rsidRPr="00617E06">
        <w:rPr>
          <w:rFonts w:ascii="Calibri" w:eastAsia="Times New Roman" w:hAnsi="Calibri" w:cs="Calibri"/>
        </w:rPr>
        <w:t>GeoStat</w:t>
      </w:r>
      <w:r>
        <w:rPr>
          <w:rFonts w:ascii="Calibri" w:eastAsia="Times New Roman" w:hAnsi="Calibri" w:cs="Calibri"/>
        </w:rPr>
        <w:t>)</w:t>
      </w:r>
      <w:r w:rsidRPr="00617E06">
        <w:rPr>
          <w:rFonts w:ascii="Calibri" w:eastAsia="Times New Roman" w:hAnsi="Calibri" w:cs="Calibri"/>
        </w:rPr>
        <w:t>, academic medical institutions, and professional associations.</w:t>
      </w:r>
    </w:p>
    <w:p w:rsidR="00766FF2" w:rsidRPr="00617E06" w:rsidRDefault="00766F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Georgia conducted all</w:t>
      </w:r>
      <w:r w:rsidRPr="00617E06">
        <w:rPr>
          <w:rFonts w:ascii="Calibri" w:eastAsia="Times New Roman" w:hAnsi="Calibri" w:cs="Calibri"/>
        </w:rPr>
        <w:t xml:space="preserve"> three different levels of "steps" of risk-factor assessment</w:t>
      </w:r>
      <w:r>
        <w:rPr>
          <w:rFonts w:ascii="Calibri" w:eastAsia="Times New Roman" w:hAnsi="Calibri" w:cs="Calibri"/>
        </w:rPr>
        <w:t>:</w:t>
      </w:r>
      <w:r w:rsidRPr="00617E06">
        <w:rPr>
          <w:rFonts w:ascii="Calibri" w:eastAsia="Times New Roman" w:hAnsi="Calibri" w:cs="Calibri"/>
        </w:rPr>
        <w:t xml:space="preserve"> </w:t>
      </w:r>
    </w:p>
    <w:tbl>
      <w:tblPr>
        <w:tblStyle w:val="TableGrid0"/>
        <w:tblpPr w:vertAnchor="text" w:horzAnchor="margin" w:tblpY="248"/>
        <w:tblOverlap w:val="never"/>
        <w:tblW w:w="10800" w:type="dxa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66FF2" w:rsidTr="00CF55CA">
        <w:tc>
          <w:tcPr>
            <w:tcW w:w="10800" w:type="dxa"/>
            <w:shd w:val="clear" w:color="auto" w:fill="244061" w:themeFill="accent1" w:themeFillShade="80"/>
            <w:hideMark/>
          </w:tcPr>
          <w:p w:rsidR="00766FF2" w:rsidRPr="00766FF2" w:rsidRDefault="00D13D00" w:rsidP="00174CF8">
            <w:pPr>
              <w:spacing w:after="120"/>
              <w:contextualSpacing/>
              <w:rPr>
                <w:b/>
                <w:sz w:val="20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"S</w:t>
            </w:r>
            <w:r w:rsidR="00766FF2" w:rsidRPr="00766FF2">
              <w:rPr>
                <w:rFonts w:ascii="Calibri" w:eastAsia="Times New Roman" w:hAnsi="Calibri" w:cs="Calibri"/>
                <w:b/>
                <w:sz w:val="20"/>
              </w:rPr>
              <w:t>teps" of risk-factor assessment</w:t>
            </w:r>
          </w:p>
        </w:tc>
      </w:tr>
      <w:tr w:rsidR="00766FF2" w:rsidTr="00CF55CA">
        <w:tc>
          <w:tcPr>
            <w:tcW w:w="10800" w:type="dxa"/>
            <w:shd w:val="clear" w:color="auto" w:fill="DBE5F1" w:themeFill="accent1" w:themeFillTint="33"/>
            <w:vAlign w:val="bottom"/>
            <w:hideMark/>
          </w:tcPr>
          <w:p w:rsidR="00766FF2" w:rsidRPr="00766FF2" w:rsidRDefault="00766FF2" w:rsidP="00174CF8">
            <w:pPr>
              <w:contextualSpacing/>
              <w:jc w:val="both"/>
              <w:outlineLvl w:val="2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766FF2">
              <w:rPr>
                <w:rFonts w:ascii="Calibri" w:eastAsia="Times New Roman" w:hAnsi="Calibri" w:cs="Calibri"/>
                <w:b/>
                <w:bCs/>
                <w:sz w:val="20"/>
              </w:rPr>
              <w:t>Step 1- Questionnaire-based assessment</w:t>
            </w:r>
            <w:r>
              <w:rPr>
                <w:rFonts w:ascii="Calibri" w:eastAsia="Times New Roman" w:hAnsi="Calibri" w:cs="Calibri"/>
                <w:b/>
                <w:bCs/>
                <w:sz w:val="20"/>
              </w:rPr>
              <w:t xml:space="preserve"> </w:t>
            </w:r>
            <w:r w:rsidRPr="00766FF2">
              <w:rPr>
                <w:rFonts w:ascii="Calibri" w:eastAsia="Times New Roman" w:hAnsi="Calibri" w:cs="Calibri"/>
                <w:bCs/>
                <w:sz w:val="20"/>
              </w:rPr>
              <w:t>(</w:t>
            </w:r>
            <w:r w:rsidR="00D13D00" w:rsidRPr="00D13D00">
              <w:rPr>
                <w:rFonts w:ascii="Calibri" w:eastAsia="Times New Roman" w:hAnsi="Calibri" w:cs="Calibri"/>
                <w:bCs/>
                <w:sz w:val="20"/>
              </w:rPr>
              <w:t>Social-demographic indicators, behavioral risk-factors</w:t>
            </w:r>
            <w:r w:rsidR="00D13D00" w:rsidRPr="00D13D00">
              <w:rPr>
                <w:rFonts w:ascii="Calibri" w:eastAsia="Times New Roman" w:hAnsi="Calibri" w:cs="Calibri"/>
                <w:bCs/>
                <w:sz w:val="20"/>
                <w:lang w:val="ka-GE"/>
              </w:rPr>
              <w:t xml:space="preserve"> (</w:t>
            </w:r>
            <w:r w:rsidR="00D13D00" w:rsidRPr="00D13D00">
              <w:rPr>
                <w:rFonts w:ascii="Calibri" w:eastAsia="Times New Roman" w:hAnsi="Calibri" w:cs="Calibri"/>
                <w:bCs/>
                <w:sz w:val="20"/>
              </w:rPr>
              <w:t>tobacco, alcohol, unhealthy diet, physical inactivity, etc.</w:t>
            </w:r>
            <w:r w:rsidR="00D13D00" w:rsidRPr="00D13D00">
              <w:rPr>
                <w:rFonts w:ascii="Calibri" w:eastAsia="Times New Roman" w:hAnsi="Calibri" w:cs="Calibri"/>
                <w:bCs/>
                <w:sz w:val="20"/>
                <w:lang w:val="ka-GE"/>
              </w:rPr>
              <w:t>)</w:t>
            </w:r>
          </w:p>
          <w:p w:rsidR="00766FF2" w:rsidRPr="00766FF2" w:rsidRDefault="00766FF2" w:rsidP="00174CF8">
            <w:pPr>
              <w:spacing w:after="120"/>
              <w:contextualSpacing/>
              <w:jc w:val="both"/>
              <w:outlineLvl w:val="2"/>
              <w:rPr>
                <w:rFonts w:ascii="Calibri" w:eastAsia="Times New Roman" w:hAnsi="Calibri" w:cs="Calibri"/>
                <w:sz w:val="20"/>
              </w:rPr>
            </w:pPr>
            <w:r w:rsidRPr="00766FF2">
              <w:rPr>
                <w:rFonts w:ascii="Calibri" w:eastAsia="Times New Roman" w:hAnsi="Calibri" w:cs="Calibri"/>
                <w:b/>
                <w:bCs/>
                <w:sz w:val="20"/>
              </w:rPr>
              <w:t xml:space="preserve">Step 2- Simple physical measurements </w:t>
            </w:r>
            <w:r w:rsidRPr="00766FF2">
              <w:rPr>
                <w:rFonts w:ascii="Calibri" w:eastAsia="Times New Roman" w:hAnsi="Calibri" w:cs="Calibri"/>
                <w:bCs/>
                <w:sz w:val="20"/>
              </w:rPr>
              <w:t>(</w:t>
            </w:r>
            <w:r w:rsidRPr="00766FF2">
              <w:rPr>
                <w:rFonts w:ascii="Calibri" w:eastAsia="Times New Roman" w:hAnsi="Calibri" w:cs="Calibri"/>
                <w:sz w:val="20"/>
              </w:rPr>
              <w:t xml:space="preserve">height, weight, waist circumference, pulse and blood pressure) </w:t>
            </w:r>
          </w:p>
          <w:p w:rsidR="00766FF2" w:rsidRPr="00766FF2" w:rsidRDefault="00766FF2" w:rsidP="00174CF8">
            <w:pPr>
              <w:spacing w:after="120"/>
              <w:contextualSpacing/>
              <w:jc w:val="both"/>
              <w:outlineLvl w:val="2"/>
              <w:rPr>
                <w:rFonts w:ascii="Calibri" w:eastAsia="Times New Roman" w:hAnsi="Calibri" w:cs="Calibri"/>
                <w:b/>
                <w:bCs/>
              </w:rPr>
            </w:pPr>
            <w:r w:rsidRPr="00766FF2">
              <w:rPr>
                <w:rFonts w:ascii="Calibri" w:eastAsia="Times New Roman" w:hAnsi="Calibri" w:cs="Calibri"/>
                <w:b/>
                <w:bCs/>
                <w:sz w:val="20"/>
              </w:rPr>
              <w:t xml:space="preserve">Step 3- Biochemical Measurements </w:t>
            </w:r>
            <w:r w:rsidRPr="00766FF2">
              <w:rPr>
                <w:rFonts w:ascii="Calibri" w:eastAsia="Times New Roman" w:hAnsi="Calibri" w:cs="Calibri"/>
                <w:sz w:val="20"/>
              </w:rPr>
              <w:t>(b</w:t>
            </w:r>
            <w:r w:rsidRPr="00766FF2">
              <w:rPr>
                <w:rFonts w:ascii="Calibri" w:hAnsi="Calibri" w:cs="Calibri"/>
                <w:sz w:val="20"/>
              </w:rPr>
              <w:t>lood glucose, blood lipids, HDL cholesterol, urinary sodium and creatinine, urinary cotinine)</w:t>
            </w:r>
          </w:p>
        </w:tc>
      </w:tr>
    </w:tbl>
    <w:p w:rsidR="00D13D00" w:rsidRDefault="00D13D00" w:rsidP="00174CF8">
      <w:pPr>
        <w:spacing w:after="120" w:line="240" w:lineRule="auto"/>
        <w:contextualSpacing/>
        <w:jc w:val="both"/>
        <w:outlineLvl w:val="2"/>
        <w:rPr>
          <w:rFonts w:ascii="Calibri" w:eastAsia="Times New Roman" w:hAnsi="Calibri" w:cs="Calibri"/>
          <w:bCs/>
        </w:rPr>
      </w:pPr>
    </w:p>
    <w:p w:rsidR="00B33AD4" w:rsidRPr="00D13D00" w:rsidRDefault="00B33AD4" w:rsidP="00174CF8">
      <w:pPr>
        <w:spacing w:after="120" w:line="240" w:lineRule="auto"/>
        <w:contextualSpacing/>
        <w:jc w:val="both"/>
        <w:outlineLvl w:val="2"/>
        <w:rPr>
          <w:rFonts w:ascii="Calibri" w:eastAsia="Times New Roman" w:hAnsi="Calibri" w:cs="Calibri"/>
          <w:bCs/>
        </w:rPr>
      </w:pPr>
      <w:r w:rsidRPr="00B33AD4">
        <w:rPr>
          <w:rFonts w:ascii="Calibri" w:eastAsia="Times New Roman" w:hAnsi="Calibri" w:cs="Calibri"/>
          <w:bCs/>
          <w:noProof/>
        </w:rPr>
        <w:drawing>
          <wp:inline distT="0" distB="0" distL="0" distR="0" wp14:anchorId="7ADE6DB9" wp14:editId="066ED86A">
            <wp:extent cx="3190875" cy="1947703"/>
            <wp:effectExtent l="0" t="0" r="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69" b="3146"/>
                    <a:stretch/>
                  </pic:blipFill>
                  <pic:spPr>
                    <a:xfrm>
                      <a:off x="0" y="0"/>
                      <a:ext cx="3195376" cy="19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D4">
        <w:rPr>
          <w:rFonts w:ascii="Calibri" w:eastAsia="Times New Roman" w:hAnsi="Calibri" w:cs="Calibri"/>
          <w:bCs/>
          <w:noProof/>
        </w:rPr>
        <w:drawing>
          <wp:inline distT="0" distB="0" distL="0" distR="0" wp14:anchorId="61CEB03B" wp14:editId="5F56D681">
            <wp:extent cx="2258060" cy="1945071"/>
            <wp:effectExtent l="0" t="0" r="8890" b="0"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31"/>
                    <a:stretch/>
                  </pic:blipFill>
                  <pic:spPr>
                    <a:xfrm>
                      <a:off x="0" y="0"/>
                      <a:ext cx="2279155" cy="19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D4">
        <w:rPr>
          <w:rFonts w:ascii="Calibri" w:eastAsia="Times New Roman" w:hAnsi="Calibri" w:cs="Calibri"/>
          <w:bCs/>
          <w:noProof/>
        </w:rPr>
        <w:drawing>
          <wp:inline distT="0" distB="0" distL="0" distR="0" wp14:anchorId="24B4E71F" wp14:editId="4B135C77">
            <wp:extent cx="1276210" cy="1928495"/>
            <wp:effectExtent l="0" t="0" r="635" b="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65"/>
                    <a:stretch/>
                  </pic:blipFill>
                  <pic:spPr>
                    <a:xfrm>
                      <a:off x="0" y="0"/>
                      <a:ext cx="1287285" cy="194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pPr w:vertAnchor="text" w:horzAnchor="margin" w:tblpY="248"/>
        <w:tblOverlap w:val="never"/>
        <w:tblW w:w="10800" w:type="dxa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13D00" w:rsidTr="00CF55CA">
        <w:tc>
          <w:tcPr>
            <w:tcW w:w="10800" w:type="dxa"/>
            <w:shd w:val="clear" w:color="auto" w:fill="244061" w:themeFill="accent1" w:themeFillShade="80"/>
            <w:hideMark/>
          </w:tcPr>
          <w:p w:rsidR="00D13D00" w:rsidRPr="00766FF2" w:rsidRDefault="00D13D00" w:rsidP="00174CF8">
            <w:pPr>
              <w:spacing w:after="120"/>
              <w:contextualSpacing/>
              <w:rPr>
                <w:b/>
                <w:sz w:val="20"/>
              </w:rPr>
            </w:pPr>
            <w:r w:rsidRPr="00766FF2">
              <w:rPr>
                <w:rFonts w:ascii="Calibri" w:eastAsia="Times New Roman" w:hAnsi="Calibri" w:cs="Calibri"/>
                <w:b/>
                <w:sz w:val="20"/>
              </w:rPr>
              <w:t>"steps" of risk-factor assessment</w:t>
            </w:r>
          </w:p>
        </w:tc>
      </w:tr>
      <w:tr w:rsidR="00D13D00" w:rsidTr="00D13D00">
        <w:trPr>
          <w:trHeight w:val="1180"/>
        </w:trPr>
        <w:tc>
          <w:tcPr>
            <w:tcW w:w="10800" w:type="dxa"/>
            <w:shd w:val="clear" w:color="auto" w:fill="DBE5F1" w:themeFill="accent1" w:themeFillTint="33"/>
            <w:vAlign w:val="bottom"/>
            <w:hideMark/>
          </w:tcPr>
          <w:p w:rsidR="00D13D00" w:rsidRPr="00D13D00" w:rsidRDefault="00D13D00" w:rsidP="00174CF8">
            <w:pPr>
              <w:spacing w:after="120"/>
              <w:contextualSpacing/>
              <w:jc w:val="both"/>
              <w:outlineLvl w:val="2"/>
              <w:rPr>
                <w:rFonts w:ascii="Calibri" w:eastAsia="Times New Roman" w:hAnsi="Calibri" w:cs="Calibri"/>
                <w:bCs/>
              </w:rPr>
            </w:pPr>
            <w:r w:rsidRPr="00D13D00">
              <w:rPr>
                <w:rFonts w:ascii="Calibri" w:eastAsia="Times New Roman" w:hAnsi="Calibri" w:cs="Calibri"/>
                <w:bCs/>
              </w:rPr>
              <w:t>Final sample size – 5554</w:t>
            </w:r>
          </w:p>
          <w:p w:rsidR="00D13D00" w:rsidRPr="00D13D00" w:rsidRDefault="00D13D00" w:rsidP="00174CF8">
            <w:pPr>
              <w:spacing w:after="120"/>
              <w:contextualSpacing/>
              <w:jc w:val="both"/>
              <w:outlineLvl w:val="2"/>
              <w:rPr>
                <w:rFonts w:ascii="Calibri" w:eastAsia="Times New Roman" w:hAnsi="Calibri" w:cs="Calibri"/>
                <w:bCs/>
              </w:rPr>
            </w:pPr>
            <w:r w:rsidRPr="00D13D00">
              <w:rPr>
                <w:rFonts w:ascii="Calibri" w:eastAsia="Times New Roman" w:hAnsi="Calibri" w:cs="Calibri"/>
                <w:bCs/>
              </w:rPr>
              <w:t>Representation of urban/rural and 4 age groups (1-29, 30-44, 45-59, 60-69)</w:t>
            </w:r>
          </w:p>
          <w:p w:rsidR="00D13D00" w:rsidRPr="00D13D00" w:rsidRDefault="00D13D00" w:rsidP="00174CF8">
            <w:pPr>
              <w:spacing w:after="120"/>
              <w:contextualSpacing/>
              <w:jc w:val="both"/>
              <w:outlineLvl w:val="2"/>
              <w:rPr>
                <w:rFonts w:ascii="Calibri" w:eastAsia="Times New Roman" w:hAnsi="Calibri" w:cs="Calibri"/>
                <w:bCs/>
              </w:rPr>
            </w:pPr>
            <w:r w:rsidRPr="00D13D00">
              <w:rPr>
                <w:rFonts w:ascii="Calibri" w:eastAsia="Times New Roman" w:hAnsi="Calibri" w:cs="Calibri"/>
                <w:bCs/>
              </w:rPr>
              <w:t>Response rate – 76%</w:t>
            </w:r>
          </w:p>
        </w:tc>
      </w:tr>
    </w:tbl>
    <w:p w:rsidR="00766FF2" w:rsidRDefault="00766F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</w:pPr>
    </w:p>
    <w:p w:rsidR="00E91AF2" w:rsidRDefault="00E91AF2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  <w:sectPr w:rsidR="00E91AF2" w:rsidSect="009A716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66FF2" w:rsidRDefault="00D13D00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6EDCEE5D" wp14:editId="2B71BA5E">
            <wp:extent cx="3362325" cy="270510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1AF2" w:rsidRDefault="00E91AF2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  <w:sectPr w:rsidR="00E91AF2" w:rsidSect="00E91AF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30F93864" wp14:editId="63F519A3">
            <wp:extent cx="3209925" cy="27051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A4899" w:rsidRDefault="00DA4899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lastRenderedPageBreak/>
        <w:drawing>
          <wp:inline distT="0" distB="0" distL="0" distR="0" wp14:anchorId="05DD4A8B" wp14:editId="226654A3">
            <wp:extent cx="3543300" cy="204787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4899" w:rsidRDefault="00DA4899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</w:p>
    <w:p w:rsidR="00DA4899" w:rsidRDefault="00845882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2B7C7C21" wp14:editId="61B2B582">
            <wp:extent cx="3352800" cy="20478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45882" w:rsidRDefault="00845882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</w:p>
    <w:p w:rsidR="00E91AF2" w:rsidRDefault="00E91AF2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  <w:sectPr w:rsidR="00E91AF2" w:rsidSect="00E91AF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45882" w:rsidRDefault="00845882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447101BA" wp14:editId="6D7E4FB2">
            <wp:extent cx="4572000" cy="23145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74CF8" w:rsidRDefault="00174CF8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</w:p>
    <w:p w:rsidR="004D537E" w:rsidRDefault="004D537E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</w:p>
    <w:p w:rsidR="004D537E" w:rsidRDefault="004D537E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  <w:sectPr w:rsidR="004D537E" w:rsidSect="00E91AF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4635" w:rsidRDefault="00794635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1529F4B5" wp14:editId="0441AC21">
            <wp:extent cx="3524250" cy="192405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A4899" w:rsidRDefault="0070246B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5FEF0C4E" wp14:editId="59B5A1A4">
            <wp:extent cx="3552825" cy="202882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74CF8" w:rsidRDefault="00174CF8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  <w:sectPr w:rsidR="00174CF8" w:rsidSect="00174CF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0"/>
        <w:tblpPr w:vertAnchor="text" w:horzAnchor="margin" w:tblpY="248"/>
        <w:tblOverlap w:val="never"/>
        <w:tblW w:w="10800" w:type="dxa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0246B" w:rsidTr="00CF55CA">
        <w:tc>
          <w:tcPr>
            <w:tcW w:w="10800" w:type="dxa"/>
            <w:shd w:val="clear" w:color="auto" w:fill="244061" w:themeFill="accent1" w:themeFillShade="80"/>
            <w:hideMark/>
          </w:tcPr>
          <w:p w:rsidR="0070246B" w:rsidRDefault="0070246B" w:rsidP="00174CF8">
            <w:pPr>
              <w:spacing w:after="120"/>
              <w:contextualSpacing/>
            </w:pPr>
            <w:r>
              <w:t>Several indicators, STEPS 2016</w:t>
            </w:r>
          </w:p>
        </w:tc>
      </w:tr>
      <w:tr w:rsidR="0070246B" w:rsidTr="00CF55CA">
        <w:tc>
          <w:tcPr>
            <w:tcW w:w="10800" w:type="dxa"/>
            <w:shd w:val="clear" w:color="auto" w:fill="DBE5F1" w:themeFill="accent1" w:themeFillTint="33"/>
            <w:vAlign w:val="bottom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45"/>
              <w:gridCol w:w="1170"/>
              <w:gridCol w:w="865"/>
              <w:gridCol w:w="887"/>
            </w:tblGrid>
            <w:tr w:rsidR="0070246B" w:rsidTr="00FE2775">
              <w:tc>
                <w:tcPr>
                  <w:tcW w:w="7645" w:type="dxa"/>
                </w:tcPr>
                <w:p w:rsidR="0070246B" w:rsidRDefault="0070246B" w:rsidP="00174CF8">
                  <w:pPr>
                    <w:framePr w:wrap="around" w:vAnchor="text" w:hAnchor="margin" w:y="248"/>
                    <w:spacing w:after="120"/>
                    <w:contextualSpacing/>
                    <w:suppressOverlap/>
                    <w:jc w:val="both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20"/>
                      <w:szCs w:val="18"/>
                    </w:rPr>
                  </w:pPr>
                  <w:r w:rsidRPr="0070246B">
                    <w:rPr>
                      <w:rFonts w:eastAsia="SimSun" w:cs="Arial"/>
                      <w:bCs/>
                      <w:color w:val="000000" w:themeColor="text1"/>
                      <w:sz w:val="20"/>
                      <w:szCs w:val="18"/>
                    </w:rPr>
                    <w:t>Both Sexes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20"/>
                      <w:szCs w:val="18"/>
                    </w:rPr>
                  </w:pPr>
                  <w:r w:rsidRPr="0070246B">
                    <w:rPr>
                      <w:rFonts w:eastAsia="SimSun" w:cs="Arial"/>
                      <w:bCs/>
                      <w:color w:val="000000" w:themeColor="text1"/>
                      <w:sz w:val="20"/>
                      <w:szCs w:val="18"/>
                    </w:rPr>
                    <w:t>Males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20"/>
                      <w:szCs w:val="18"/>
                    </w:rPr>
                  </w:pPr>
                  <w:r w:rsidRPr="0070246B">
                    <w:rPr>
                      <w:rFonts w:eastAsia="SimSun" w:cs="Arial"/>
                      <w:bCs/>
                      <w:color w:val="000000" w:themeColor="text1"/>
                      <w:sz w:val="20"/>
                      <w:szCs w:val="18"/>
                    </w:rPr>
                    <w:t>Females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bottom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Percentage aged  40-69 years with a 10-year CVD risk ≥ 30%, or with existing CVD</w:t>
                  </w: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28.8%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30.8%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27.1%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Percentage who engage in heavy episodic drinking (6 or more drinks on any occasion in the past 30 days)</w:t>
                  </w: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18.30%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35.30%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2.60%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Percentage of women aged 30-49 years who have ever had a screening test for cervical cancer</w:t>
                  </w:r>
                </w:p>
              </w:tc>
              <w:tc>
                <w:tcPr>
                  <w:tcW w:w="1170" w:type="dxa"/>
                </w:tcPr>
                <w:p w:rsidR="0070246B" w:rsidRDefault="0070246B" w:rsidP="00174CF8">
                  <w:pPr>
                    <w:framePr w:wrap="around" w:vAnchor="text" w:hAnchor="margin" w:y="248"/>
                    <w:spacing w:after="120"/>
                    <w:contextualSpacing/>
                    <w:suppressOverlap/>
                    <w:jc w:val="both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865" w:type="dxa"/>
                </w:tcPr>
                <w:p w:rsidR="0070246B" w:rsidRDefault="0070246B" w:rsidP="00174CF8">
                  <w:pPr>
                    <w:framePr w:wrap="around" w:vAnchor="text" w:hAnchor="margin" w:y="248"/>
                    <w:spacing w:after="120"/>
                    <w:contextualSpacing/>
                    <w:suppressOverlap/>
                    <w:jc w:val="both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887" w:type="dxa"/>
                </w:tcPr>
                <w:p w:rsidR="0070246B" w:rsidRDefault="0070246B" w:rsidP="00174CF8">
                  <w:pPr>
                    <w:framePr w:wrap="around" w:vAnchor="text" w:hAnchor="margin" w:y="248"/>
                    <w:spacing w:after="120"/>
                    <w:contextualSpacing/>
                    <w:suppressOverlap/>
                    <w:jc w:val="both"/>
                    <w:rPr>
                      <w:rFonts w:ascii="Calibri" w:eastAsia="Times New Roman" w:hAnsi="Calibri" w:cs="Calibri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23.90%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 xml:space="preserve">Mean systolic blood pressure </w:t>
                  </w:r>
                  <w:r w:rsidR="006104EA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–</w:t>
                  </w: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 xml:space="preserve"> SBP (mmHg), including those currently on medication for raised BP</w:t>
                  </w: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129.4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132.6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126.5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 xml:space="preserve">Mean diastolic blood pressure </w:t>
                  </w:r>
                  <w:r w:rsidR="006104EA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–</w:t>
                  </w: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 xml:space="preserve"> DBP (mmHg), including those currently on medication for raised BP</w:t>
                  </w: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82.2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83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Times New Roman" w:cs="Arial"/>
                      <w:color w:val="000000"/>
                      <w:sz w:val="20"/>
                      <w:szCs w:val="20"/>
                      <w:lang w:val="ka-GE"/>
                    </w:rPr>
                    <w:t>81.4</w:t>
                  </w:r>
                </w:p>
              </w:tc>
            </w:tr>
            <w:tr w:rsidR="0070246B" w:rsidTr="00FE2775">
              <w:tc>
                <w:tcPr>
                  <w:tcW w:w="764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rPr>
                      <w:rFonts w:eastAsia="SimSu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Mean intake of salt per day (in grams)</w:t>
                  </w:r>
                </w:p>
              </w:tc>
              <w:tc>
                <w:tcPr>
                  <w:tcW w:w="1170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8.5</w:t>
                  </w:r>
                </w:p>
              </w:tc>
              <w:tc>
                <w:tcPr>
                  <w:tcW w:w="865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9.7</w:t>
                  </w:r>
                </w:p>
              </w:tc>
              <w:tc>
                <w:tcPr>
                  <w:tcW w:w="887" w:type="dxa"/>
                  <w:vAlign w:val="center"/>
                </w:tcPr>
                <w:p w:rsidR="0070246B" w:rsidRPr="0070246B" w:rsidRDefault="0070246B" w:rsidP="00174CF8">
                  <w:pPr>
                    <w:framePr w:wrap="around" w:vAnchor="text" w:hAnchor="margin" w:y="248"/>
                    <w:contextualSpacing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70246B">
                    <w:rPr>
                      <w:rFonts w:eastAsia="SimSun" w:cs="Arial"/>
                      <w:color w:val="000000"/>
                      <w:sz w:val="20"/>
                      <w:szCs w:val="20"/>
                    </w:rPr>
                    <w:t>7.4</w:t>
                  </w:r>
                </w:p>
              </w:tc>
            </w:tr>
          </w:tbl>
          <w:p w:rsidR="0070246B" w:rsidRPr="0070246B" w:rsidRDefault="0070246B" w:rsidP="00174CF8">
            <w:pPr>
              <w:spacing w:after="120"/>
              <w:contextualSpacing/>
              <w:jc w:val="both"/>
            </w:pPr>
          </w:p>
        </w:tc>
      </w:tr>
    </w:tbl>
    <w:p w:rsidR="00174CF8" w:rsidRDefault="00174CF8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</w:rPr>
        <w:sectPr w:rsidR="00174CF8" w:rsidSect="00E91AF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246B" w:rsidRDefault="0070246B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E34999B" wp14:editId="71B812E5">
            <wp:extent cx="2352675" cy="2800350"/>
            <wp:effectExtent l="0" t="0" r="952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End w:id="0"/>
    </w:p>
    <w:p w:rsidR="00DA4899" w:rsidRDefault="00B33AD4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5B20D3ED" wp14:editId="5E934311">
            <wp:extent cx="2438400" cy="28003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33AD4" w:rsidRDefault="001536EE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122C2F8D" wp14:editId="4428EEF7">
            <wp:extent cx="2038350" cy="268605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33AD4" w:rsidRDefault="00B33AD4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</w:pPr>
    </w:p>
    <w:p w:rsidR="00174CF8" w:rsidRDefault="00174CF8" w:rsidP="00174CF8">
      <w:pPr>
        <w:spacing w:after="120" w:line="240" w:lineRule="auto"/>
        <w:contextualSpacing/>
        <w:jc w:val="center"/>
        <w:rPr>
          <w:rFonts w:ascii="Calibri" w:eastAsia="Times New Roman" w:hAnsi="Calibri" w:cs="Calibri"/>
        </w:rPr>
        <w:sectPr w:rsidR="00174CF8" w:rsidSect="001536EE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360"/>
        </w:sectPr>
      </w:pPr>
    </w:p>
    <w:p w:rsidR="00794635" w:rsidRPr="00E91AF2" w:rsidRDefault="00C8094E" w:rsidP="00174CF8">
      <w:pPr>
        <w:spacing w:after="120" w:line="240" w:lineRule="auto"/>
        <w:contextualSpacing/>
        <w:jc w:val="both"/>
        <w:rPr>
          <w:rFonts w:ascii="Calibri" w:eastAsia="Times New Roman" w:hAnsi="Calibri" w:cs="Calibri"/>
          <w:b/>
          <w:i/>
          <w:color w:val="365F91" w:themeColor="accent1" w:themeShade="BF"/>
          <w:sz w:val="28"/>
          <w:szCs w:val="28"/>
        </w:rPr>
      </w:pPr>
      <w:r>
        <w:rPr>
          <w:rFonts w:ascii="Calibri" w:eastAsia="Times New Roman" w:hAnsi="Calibri" w:cs="Calibri"/>
          <w:b/>
          <w:i/>
          <w:color w:val="365F91" w:themeColor="accent1" w:themeShade="BF"/>
          <w:sz w:val="28"/>
          <w:szCs w:val="28"/>
        </w:rPr>
        <w:t xml:space="preserve">Recent </w:t>
      </w:r>
      <w:r w:rsidR="006104EA" w:rsidRPr="00E91AF2">
        <w:rPr>
          <w:rFonts w:ascii="Calibri" w:eastAsia="Times New Roman" w:hAnsi="Calibri" w:cs="Calibri"/>
          <w:b/>
          <w:i/>
          <w:color w:val="365F91" w:themeColor="accent1" w:themeShade="BF"/>
          <w:sz w:val="28"/>
          <w:szCs w:val="28"/>
        </w:rPr>
        <w:t xml:space="preserve">Key </w:t>
      </w:r>
      <w:r>
        <w:rPr>
          <w:rFonts w:ascii="Calibri" w:eastAsia="Times New Roman" w:hAnsi="Calibri" w:cs="Calibri"/>
          <w:b/>
          <w:i/>
          <w:color w:val="365F91" w:themeColor="accent1" w:themeShade="BF"/>
          <w:sz w:val="28"/>
          <w:szCs w:val="28"/>
        </w:rPr>
        <w:t>A</w:t>
      </w:r>
      <w:r w:rsidR="006104EA" w:rsidRPr="00E91AF2">
        <w:rPr>
          <w:rFonts w:ascii="Calibri" w:eastAsia="Times New Roman" w:hAnsi="Calibri" w:cs="Calibri"/>
          <w:b/>
          <w:i/>
          <w:color w:val="365F91" w:themeColor="accent1" w:themeShade="BF"/>
          <w:sz w:val="28"/>
          <w:szCs w:val="28"/>
        </w:rPr>
        <w:t>chievements</w:t>
      </w:r>
    </w:p>
    <w:p w:rsidR="006104EA" w:rsidRPr="006104EA" w:rsidRDefault="00766FF2" w:rsidP="001536EE">
      <w:pPr>
        <w:pStyle w:val="ListParagraph"/>
        <w:numPr>
          <w:ilvl w:val="0"/>
          <w:numId w:val="31"/>
        </w:numPr>
        <w:spacing w:after="120" w:line="240" w:lineRule="auto"/>
        <w:ind w:left="360"/>
        <w:jc w:val="both"/>
        <w:rPr>
          <w:rFonts w:ascii="Calibri" w:hAnsi="Calibri" w:cs="Calibri"/>
        </w:rPr>
      </w:pPr>
      <w:r w:rsidRPr="006104EA">
        <w:rPr>
          <w:rFonts w:ascii="Calibri" w:eastAsia="Times New Roman" w:hAnsi="Calibri" w:cs="Calibri"/>
        </w:rPr>
        <w:t xml:space="preserve">Based on the information provided by the STEPS surveys the multisectoral state council on NCDs prevention and control </w:t>
      </w:r>
      <w:r w:rsidR="006104EA">
        <w:rPr>
          <w:rFonts w:ascii="Calibri" w:eastAsia="Times New Roman" w:hAnsi="Calibri" w:cs="Calibri"/>
        </w:rPr>
        <w:t>is established</w:t>
      </w:r>
    </w:p>
    <w:p w:rsidR="006104EA" w:rsidRPr="006104EA" w:rsidRDefault="00766FF2" w:rsidP="001536EE">
      <w:pPr>
        <w:pStyle w:val="ListParagraph"/>
        <w:numPr>
          <w:ilvl w:val="0"/>
          <w:numId w:val="31"/>
        </w:numPr>
        <w:spacing w:after="120" w:line="240" w:lineRule="auto"/>
        <w:ind w:left="360"/>
        <w:jc w:val="both"/>
        <w:rPr>
          <w:rFonts w:ascii="Calibri" w:hAnsi="Calibri" w:cs="Calibri"/>
        </w:rPr>
      </w:pPr>
      <w:r w:rsidRPr="006104EA">
        <w:rPr>
          <w:rFonts w:ascii="Calibri" w:eastAsia="Times New Roman" w:hAnsi="Calibri" w:cs="Calibri"/>
        </w:rPr>
        <w:t xml:space="preserve">National Strategy of NCDs Prevention and Control and 4-year AP </w:t>
      </w:r>
      <w:r w:rsidR="006104EA">
        <w:rPr>
          <w:rFonts w:ascii="Calibri" w:eastAsia="Times New Roman" w:hAnsi="Calibri" w:cs="Calibri"/>
        </w:rPr>
        <w:t xml:space="preserve">are </w:t>
      </w:r>
      <w:r w:rsidRPr="006104EA">
        <w:rPr>
          <w:rFonts w:ascii="Calibri" w:eastAsia="Times New Roman" w:hAnsi="Calibri" w:cs="Calibri"/>
        </w:rPr>
        <w:t xml:space="preserve">endorsed </w:t>
      </w:r>
    </w:p>
    <w:p w:rsidR="006104EA" w:rsidRPr="006104EA" w:rsidRDefault="006104EA" w:rsidP="001536EE">
      <w:pPr>
        <w:pStyle w:val="ListParagraph"/>
        <w:numPr>
          <w:ilvl w:val="0"/>
          <w:numId w:val="31"/>
        </w:numPr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E</w:t>
      </w:r>
      <w:r w:rsidR="00766FF2" w:rsidRPr="006104EA">
        <w:rPr>
          <w:rFonts w:ascii="Calibri" w:eastAsia="Times New Roman" w:hAnsi="Calibri" w:cs="Calibri"/>
        </w:rPr>
        <w:t>ssential drugs for major NCDs for Georgia – IHD and stroke, asthma and COPD, Diabetes type 2 and thyroid gland dysfunction for the most vulnerable populations are arranged into the Universal Healthcare Program</w:t>
      </w:r>
    </w:p>
    <w:p w:rsidR="006104EA" w:rsidRPr="006104EA" w:rsidRDefault="006104EA" w:rsidP="001536EE">
      <w:pPr>
        <w:pStyle w:val="ListParagraph"/>
        <w:numPr>
          <w:ilvl w:val="0"/>
          <w:numId w:val="31"/>
        </w:numPr>
        <w:spacing w:after="120" w:line="240" w:lineRule="auto"/>
        <w:ind w:left="360"/>
        <w:jc w:val="both"/>
        <w:rPr>
          <w:rFonts w:ascii="Calibri" w:hAnsi="Calibri" w:cs="Calibri"/>
        </w:rPr>
      </w:pPr>
      <w:r w:rsidRPr="006104EA">
        <w:rPr>
          <w:rFonts w:ascii="Calibri" w:hAnsi="Calibri" w:cs="Calibri"/>
        </w:rPr>
        <w:t xml:space="preserve">For the effective NCD surveillance Georgia implemented </w:t>
      </w:r>
      <w:r w:rsidRPr="006104EA">
        <w:rPr>
          <w:rFonts w:ascii="Calibri" w:eastAsia="Times New Roman" w:hAnsi="Calibri" w:cs="Calibri"/>
        </w:rPr>
        <w:t>The WHO STEPwise approach</w:t>
      </w:r>
      <w:r>
        <w:rPr>
          <w:rFonts w:ascii="Calibri" w:eastAsia="Times New Roman" w:hAnsi="Calibri" w:cs="Calibri"/>
        </w:rPr>
        <w:t xml:space="preserve"> is implemented</w:t>
      </w:r>
    </w:p>
    <w:p w:rsidR="00766FF2" w:rsidRPr="006104EA" w:rsidRDefault="006104EA" w:rsidP="001536EE">
      <w:pPr>
        <w:pStyle w:val="ListParagraph"/>
        <w:numPr>
          <w:ilvl w:val="0"/>
          <w:numId w:val="31"/>
        </w:numPr>
        <w:spacing w:after="12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766FF2" w:rsidRPr="006104EA">
        <w:rPr>
          <w:rFonts w:ascii="Calibri" w:hAnsi="Calibri" w:cs="Calibri"/>
        </w:rPr>
        <w:t xml:space="preserve">ith the assistance of the WHO-Euro and other international organizations </w:t>
      </w:r>
      <w:r>
        <w:rPr>
          <w:rFonts w:ascii="Calibri" w:hAnsi="Calibri" w:cs="Calibri"/>
        </w:rPr>
        <w:t>Georgia uses</w:t>
      </w:r>
      <w:r w:rsidR="00766FF2" w:rsidRPr="006104EA">
        <w:rPr>
          <w:rFonts w:ascii="Calibri" w:hAnsi="Calibri" w:cs="Calibri"/>
        </w:rPr>
        <w:t xml:space="preserve"> all possibilities to obtain the information on NCDs and their risk-factors through the surveys such as GYTS, RHS, Migrant Health Survey, Hep C survey, HBSC, COSI, </w:t>
      </w:r>
      <w:r>
        <w:rPr>
          <w:rFonts w:ascii="Calibri" w:hAnsi="Calibri" w:cs="Calibri"/>
        </w:rPr>
        <w:t>National Iodine Survey,</w:t>
      </w:r>
      <w:r w:rsidR="00766FF2" w:rsidRPr="006104EA">
        <w:rPr>
          <w:rFonts w:ascii="Calibri" w:hAnsi="Calibri" w:cs="Calibri"/>
        </w:rPr>
        <w:t xml:space="preserve"> cancer registry, birth registry, and etc. </w:t>
      </w:r>
    </w:p>
    <w:p w:rsidR="006104EA" w:rsidRPr="00E91AF2" w:rsidRDefault="006104EA" w:rsidP="00174CF8">
      <w:pPr>
        <w:spacing w:after="120" w:line="240" w:lineRule="auto"/>
        <w:contextualSpacing/>
        <w:jc w:val="both"/>
        <w:rPr>
          <w:rFonts w:cs="Calibri"/>
          <w:b/>
          <w:i/>
          <w:color w:val="365F91" w:themeColor="accent1" w:themeShade="BF"/>
          <w:sz w:val="28"/>
          <w:szCs w:val="28"/>
        </w:rPr>
      </w:pPr>
      <w:r w:rsidRPr="00E91AF2">
        <w:rPr>
          <w:b/>
          <w:i/>
          <w:color w:val="365F91" w:themeColor="accent1" w:themeShade="BF"/>
          <w:sz w:val="28"/>
          <w:szCs w:val="28"/>
          <w:shd w:val="clear" w:color="auto" w:fill="FFFFFF"/>
        </w:rPr>
        <w:t xml:space="preserve">Challenges </w:t>
      </w:r>
      <w:r w:rsidR="00C8094E">
        <w:rPr>
          <w:b/>
          <w:i/>
          <w:color w:val="365F91" w:themeColor="accent1" w:themeShade="BF"/>
          <w:sz w:val="28"/>
          <w:szCs w:val="28"/>
          <w:shd w:val="clear" w:color="auto" w:fill="FFFFFF"/>
        </w:rPr>
        <w:t>and F</w:t>
      </w:r>
      <w:r w:rsidRPr="00E91AF2">
        <w:rPr>
          <w:b/>
          <w:i/>
          <w:color w:val="365F91" w:themeColor="accent1" w:themeShade="BF"/>
          <w:sz w:val="28"/>
          <w:szCs w:val="28"/>
          <w:shd w:val="clear" w:color="auto" w:fill="FFFFFF"/>
        </w:rPr>
        <w:t xml:space="preserve">uture </w:t>
      </w:r>
      <w:r w:rsidR="00C8094E">
        <w:rPr>
          <w:b/>
          <w:i/>
          <w:color w:val="365F91" w:themeColor="accent1" w:themeShade="BF"/>
          <w:sz w:val="28"/>
          <w:szCs w:val="28"/>
          <w:shd w:val="clear" w:color="auto" w:fill="FFFFFF"/>
        </w:rPr>
        <w:t>S</w:t>
      </w:r>
      <w:r w:rsidRPr="00E91AF2">
        <w:rPr>
          <w:b/>
          <w:i/>
          <w:color w:val="365F91" w:themeColor="accent1" w:themeShade="BF"/>
          <w:sz w:val="28"/>
          <w:szCs w:val="28"/>
          <w:shd w:val="clear" w:color="auto" w:fill="FFFFFF"/>
        </w:rPr>
        <w:t>teps</w:t>
      </w:r>
    </w:p>
    <w:p w:rsidR="006104EA" w:rsidRPr="006104EA" w:rsidRDefault="006104EA" w:rsidP="001536EE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</w:pPr>
      <w:r>
        <w:rPr>
          <w:rFonts w:ascii="Calibri" w:hAnsi="Calibri" w:cs="Calibri"/>
          <w:lang w:val="en-GB"/>
        </w:rPr>
        <w:t xml:space="preserve">On the basis of the </w:t>
      </w:r>
      <w:r w:rsidR="00766FF2" w:rsidRPr="006104EA">
        <w:rPr>
          <w:rFonts w:ascii="Calibri" w:hAnsi="Calibri" w:cs="Calibri"/>
          <w:lang w:val="en-GB"/>
        </w:rPr>
        <w:t>NCDs and risk-factors surveillance to orientate not only the primary but also secondary prevention, di</w:t>
      </w:r>
      <w:r w:rsidR="000B7539">
        <w:rPr>
          <w:rFonts w:ascii="Calibri" w:hAnsi="Calibri" w:cs="Calibri"/>
          <w:lang w:val="en-GB"/>
        </w:rPr>
        <w:t>sease screening and management</w:t>
      </w:r>
    </w:p>
    <w:p w:rsidR="004D537E" w:rsidRPr="004D537E" w:rsidRDefault="000B7539" w:rsidP="001536EE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  <w:lang w:val="en-GB"/>
        </w:rPr>
      </w:pPr>
      <w:r w:rsidRPr="004D537E">
        <w:rPr>
          <w:lang w:val="en-GB"/>
        </w:rPr>
        <w:t>To ensure the regularity of the STEPS Survey every 3-5 years in order to establish a sustainable surveillance system to estimate existing tendencies and provide sustainable networking for information exchange and evaluation</w:t>
      </w:r>
    </w:p>
    <w:p w:rsidR="00FE2775" w:rsidRDefault="000B7539" w:rsidP="001536EE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</w:rPr>
      </w:pPr>
      <w:r w:rsidRPr="00FE2775">
        <w:rPr>
          <w:rFonts w:ascii="Calibri" w:hAnsi="Calibri"/>
        </w:rPr>
        <w:t>To disseminate the Survey results among the Insurance Companies as well as other governmental and non-governmental, national and international health stakeholders in the country to undertake an in-depth analysis, oriented at win-win solutions, in view of increasing capacities/coverage offered by the State Health Insurance Policy with regards to NCDs management and treatment</w:t>
      </w:r>
    </w:p>
    <w:p w:rsidR="001536EE" w:rsidRDefault="000B7539" w:rsidP="00C46F31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</w:rPr>
      </w:pPr>
      <w:r w:rsidRPr="001536EE">
        <w:rPr>
          <w:rFonts w:ascii="Calibri" w:hAnsi="Calibri"/>
        </w:rPr>
        <w:t>Any further research would be valuable – e.g. intervention research with implementation of NCD prevention measures and evaluation of health insurance/allowance impact for NCD drugs on NCD treatment compliance, etc. such information can inform policy makers and other partners/donors on the needs</w:t>
      </w:r>
    </w:p>
    <w:p w:rsidR="001536EE" w:rsidRPr="001536EE" w:rsidRDefault="000B7539" w:rsidP="00D12786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  <w:color w:val="000000"/>
        </w:rPr>
      </w:pPr>
      <w:r w:rsidRPr="001536EE">
        <w:rPr>
          <w:rFonts w:ascii="Calibri" w:hAnsi="Calibri"/>
        </w:rPr>
        <w:t>To disseminate the survey results to communicate the needs of population to frontline stakeholders such as policy/decision makers, INGO and NGO sector, community leaders, etc. through different types of media sources</w:t>
      </w:r>
    </w:p>
    <w:p w:rsidR="001536EE" w:rsidRDefault="000B7539" w:rsidP="00CD6A87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</w:rPr>
      </w:pPr>
      <w:r w:rsidRPr="001536EE">
        <w:rPr>
          <w:rFonts w:ascii="Calibri" w:hAnsi="Calibri"/>
        </w:rPr>
        <w:t>Capacity building of primary health care personnel with a special emphasis on NCDs and health promotion among PHC</w:t>
      </w:r>
    </w:p>
    <w:p w:rsidR="000B7539" w:rsidRDefault="000B7539" w:rsidP="00CD6A87">
      <w:pPr>
        <w:pStyle w:val="ListParagraph"/>
        <w:numPr>
          <w:ilvl w:val="0"/>
          <w:numId w:val="32"/>
        </w:numPr>
        <w:spacing w:after="120" w:line="240" w:lineRule="auto"/>
        <w:ind w:left="360"/>
        <w:jc w:val="both"/>
        <w:rPr>
          <w:rFonts w:ascii="Calibri" w:hAnsi="Calibri"/>
        </w:rPr>
      </w:pPr>
      <w:r w:rsidRPr="001536EE">
        <w:rPr>
          <w:rFonts w:ascii="Calibri" w:hAnsi="Calibri"/>
        </w:rPr>
        <w:t>To elaborate Information, Education and Communication (IEC) materials to ensure accessibility and explicitness of health-related information intended for diverse population groups as well as general populatio</w:t>
      </w:r>
      <w:r w:rsidR="00FE2775" w:rsidRPr="001536EE">
        <w:rPr>
          <w:rFonts w:ascii="Calibri" w:hAnsi="Calibri"/>
        </w:rPr>
        <w:t>n</w:t>
      </w:r>
      <w:r w:rsidR="007A6E5D" w:rsidRPr="001536EE">
        <w:rPr>
          <w:rFonts w:ascii="Calibri" w:hAnsi="Calibri"/>
        </w:rPr>
        <w:t>.</w:t>
      </w:r>
    </w:p>
    <w:tbl>
      <w:tblPr>
        <w:tblStyle w:val="TableGrid"/>
        <w:tblpPr w:leftFromText="180" w:rightFromText="180" w:vertAnchor="text" w:horzAnchor="margin" w:tblpY="1300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831"/>
      </w:tblGrid>
      <w:tr w:rsidR="001536EE" w:rsidRPr="00E01149" w:rsidTr="001536EE">
        <w:trPr>
          <w:trHeight w:val="791"/>
        </w:trPr>
        <w:tc>
          <w:tcPr>
            <w:tcW w:w="5507" w:type="dxa"/>
          </w:tcPr>
          <w:p w:rsidR="001536EE" w:rsidRPr="001536EE" w:rsidRDefault="001536EE" w:rsidP="001536EE">
            <w:pPr>
              <w:pStyle w:val="Heading2"/>
              <w:spacing w:line="240" w:lineRule="auto"/>
              <w:ind w:left="-392"/>
              <w:jc w:val="center"/>
              <w:outlineLvl w:val="1"/>
              <w:rPr>
                <w:rFonts w:ascii="Calibri" w:hAnsi="Calibri" w:cs="Calibri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Ministry of Labour, Health and Social Affairs of Georgia</w:t>
            </w:r>
          </w:p>
          <w:p w:rsidR="001536EE" w:rsidRPr="001536EE" w:rsidRDefault="001536EE" w:rsidP="001536EE">
            <w:pPr>
              <w:spacing w:after="120"/>
              <w:ind w:left="-392"/>
              <w:contextualSpacing/>
              <w:jc w:val="center"/>
              <w:rPr>
                <w:rFonts w:ascii="Sylfaen" w:eastAsiaTheme="majorEastAsia" w:hAnsi="Sylfaen" w:cs="Calibri"/>
                <w:bCs/>
                <w:color w:val="365F91" w:themeColor="accent1" w:themeShade="BF"/>
                <w:sz w:val="20"/>
                <w:szCs w:val="20"/>
                <w:lang w:val="ka-GE"/>
              </w:rPr>
            </w:pPr>
            <w:r w:rsidRPr="001536EE">
              <w:rPr>
                <w:rFonts w:ascii="Calibri" w:eastAsiaTheme="majorEastAsia" w:hAnsi="Calibri" w:cs="Calibri"/>
                <w:bCs/>
                <w:color w:val="365F91" w:themeColor="accent1" w:themeShade="BF"/>
                <w:sz w:val="20"/>
                <w:szCs w:val="20"/>
              </w:rPr>
              <w:t>144, A. Tsereteli avenue. Tbilisi, Georgia, 0119</w:t>
            </w:r>
          </w:p>
          <w:p w:rsidR="001536EE" w:rsidRPr="001536EE" w:rsidRDefault="001536EE" w:rsidP="001536EE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</w:pPr>
            <w:r w:rsidRPr="001536EE">
              <w:rPr>
                <w:rFonts w:ascii="Calibri" w:eastAsiaTheme="majorEastAsia" w:hAnsi="Calibri" w:cs="Calibri"/>
                <w:bCs/>
                <w:color w:val="365F91" w:themeColor="accent1" w:themeShade="BF"/>
                <w:sz w:val="20"/>
                <w:szCs w:val="20"/>
              </w:rPr>
              <w:t>www.moh.gov.ge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  </w:t>
            </w:r>
          </w:p>
        </w:tc>
        <w:tc>
          <w:tcPr>
            <w:tcW w:w="4831" w:type="dxa"/>
          </w:tcPr>
          <w:p w:rsidR="001536EE" w:rsidRPr="001536EE" w:rsidRDefault="001536EE" w:rsidP="001536EE">
            <w:pPr>
              <w:pStyle w:val="Heading2"/>
              <w:spacing w:line="240" w:lineRule="auto"/>
              <w:outlineLvl w:val="1"/>
              <w:rPr>
                <w:rFonts w:ascii="Calibri" w:hAnsi="Calibri" w:cs="Calibri"/>
                <w:bCs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  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National Center for Disease Control and Public Health</w:t>
            </w:r>
          </w:p>
          <w:p w:rsidR="001536EE" w:rsidRPr="001536EE" w:rsidRDefault="001536EE" w:rsidP="001536EE">
            <w:pPr>
              <w:pStyle w:val="Heading2"/>
              <w:spacing w:line="240" w:lineRule="auto"/>
              <w:jc w:val="center"/>
              <w:outlineLvl w:val="1"/>
              <w:rPr>
                <w:rFonts w:ascii="Calibri" w:hAnsi="Calibri" w:cs="Calibri"/>
                <w:bCs/>
                <w:i/>
                <w:color w:val="365F91" w:themeColor="accent1" w:themeShade="BF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 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9, M. Asatiani street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  <w:lang w:val="ka-GE"/>
              </w:rPr>
              <w:t>.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 Tbilisi, Georgia,</w:t>
            </w: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  <w:lang w:val="ka-GE"/>
              </w:rPr>
              <w:t xml:space="preserve"> 0177</w:t>
            </w:r>
          </w:p>
          <w:p w:rsidR="001536EE" w:rsidRPr="001536EE" w:rsidRDefault="001536EE" w:rsidP="001536EE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</w:pPr>
            <w:r w:rsidRPr="001536EE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www.ncdc.ge</w:t>
            </w:r>
          </w:p>
        </w:tc>
      </w:tr>
    </w:tbl>
    <w:p w:rsidR="001536EE" w:rsidRPr="001536EE" w:rsidRDefault="001536EE" w:rsidP="001536EE">
      <w:pPr>
        <w:spacing w:after="120" w:line="240" w:lineRule="auto"/>
        <w:jc w:val="both"/>
        <w:rPr>
          <w:rFonts w:cs="Calibri"/>
          <w:color w:val="365F91" w:themeColor="accent1" w:themeShade="BF"/>
          <w:sz w:val="24"/>
          <w:szCs w:val="24"/>
        </w:rPr>
      </w:pPr>
      <w:r w:rsidRPr="00E01149">
        <w:rPr>
          <w:rFonts w:eastAsiaTheme="majorEastAsia"/>
          <w:bCs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12799A3A" wp14:editId="5E1E557F">
            <wp:simplePos x="0" y="0"/>
            <wp:positionH relativeFrom="column">
              <wp:posOffset>4343349</wp:posOffset>
            </wp:positionH>
            <wp:positionV relativeFrom="paragraph">
              <wp:posOffset>258445</wp:posOffset>
            </wp:positionV>
            <wp:extent cx="1457325" cy="462233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6EE">
        <w:rPr>
          <w:rFonts w:ascii="Calibri" w:hAnsi="Calibri" w:cs="Calibri"/>
          <w:color w:val="365F91" w:themeColor="accent1" w:themeShade="BF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color w:val="365F91" w:themeColor="accent1" w:themeShade="BF"/>
          <w:sz w:val="24"/>
          <w:szCs w:val="24"/>
        </w:rPr>
        <w:t>____</w:t>
      </w:r>
    </w:p>
    <w:p w:rsidR="001536EE" w:rsidRPr="001536EE" w:rsidRDefault="001536EE" w:rsidP="001536EE">
      <w:pPr>
        <w:pStyle w:val="ListParagraph"/>
        <w:spacing w:after="120" w:line="240" w:lineRule="auto"/>
        <w:ind w:left="360"/>
        <w:jc w:val="both"/>
        <w:rPr>
          <w:rFonts w:ascii="Calibri" w:hAnsi="Calibri"/>
        </w:rPr>
      </w:pPr>
      <w:r w:rsidRPr="00E01149">
        <w:rPr>
          <w:rFonts w:asciiTheme="majorHAnsi" w:eastAsiaTheme="majorEastAsia" w:hAnsiTheme="majorHAnsi" w:cstheme="majorBidi"/>
          <w:bCs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4CC2CC57" wp14:editId="68261253">
            <wp:simplePos x="0" y="0"/>
            <wp:positionH relativeFrom="column">
              <wp:posOffset>1217295</wp:posOffset>
            </wp:positionH>
            <wp:positionV relativeFrom="paragraph">
              <wp:posOffset>13970</wp:posOffset>
            </wp:positionV>
            <wp:extent cx="1133475" cy="448310"/>
            <wp:effectExtent l="0" t="0" r="9525" b="8890"/>
            <wp:wrapNone/>
            <wp:docPr id="26" name="Picture 26" descr="F:\SCRC შეხვედრისთვის 7.11.2017\Briefs\New new briefs\MOH 1 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C შეხვედრისთვის 7.11.2017\Briefs\New new briefs\MOH 1 Logo-EN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  </w:t>
      </w:r>
    </w:p>
    <w:sectPr w:rsidR="001536EE" w:rsidRPr="001536EE" w:rsidSect="001536EE">
      <w:type w:val="continuous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1F" w:rsidRDefault="009F2E1F" w:rsidP="00136770">
      <w:pPr>
        <w:spacing w:after="0" w:line="240" w:lineRule="auto"/>
      </w:pPr>
      <w:r>
        <w:separator/>
      </w:r>
    </w:p>
  </w:endnote>
  <w:endnote w:type="continuationSeparator" w:id="0">
    <w:p w:rsidR="009F2E1F" w:rsidRDefault="009F2E1F" w:rsidP="001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1F" w:rsidRDefault="009F2E1F" w:rsidP="00136770">
      <w:pPr>
        <w:spacing w:after="0" w:line="240" w:lineRule="auto"/>
      </w:pPr>
      <w:r>
        <w:separator/>
      </w:r>
    </w:p>
  </w:footnote>
  <w:footnote w:type="continuationSeparator" w:id="0">
    <w:p w:rsidR="009F2E1F" w:rsidRDefault="009F2E1F" w:rsidP="0013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434"/>
    <w:multiLevelType w:val="hybridMultilevel"/>
    <w:tmpl w:val="B5C4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174"/>
    <w:multiLevelType w:val="hybridMultilevel"/>
    <w:tmpl w:val="998AC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7B36"/>
    <w:multiLevelType w:val="hybridMultilevel"/>
    <w:tmpl w:val="1466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5650"/>
    <w:multiLevelType w:val="hybridMultilevel"/>
    <w:tmpl w:val="F054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637"/>
    <w:multiLevelType w:val="hybridMultilevel"/>
    <w:tmpl w:val="D76E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431"/>
    <w:multiLevelType w:val="hybridMultilevel"/>
    <w:tmpl w:val="0572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259"/>
    <w:multiLevelType w:val="hybridMultilevel"/>
    <w:tmpl w:val="1C486C2A"/>
    <w:lvl w:ilvl="0" w:tplc="FAF07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5DA1"/>
    <w:multiLevelType w:val="hybridMultilevel"/>
    <w:tmpl w:val="4ABE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70D2B"/>
    <w:multiLevelType w:val="hybridMultilevel"/>
    <w:tmpl w:val="A060F72E"/>
    <w:lvl w:ilvl="0" w:tplc="A234197A">
      <w:start w:val="1"/>
      <w:numFmt w:val="decimal"/>
      <w:lvlText w:val="%1."/>
      <w:lvlJc w:val="left"/>
      <w:pPr>
        <w:ind w:left="-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9" w15:restartNumberingAfterBreak="0">
    <w:nsid w:val="1B152B9F"/>
    <w:multiLevelType w:val="hybridMultilevel"/>
    <w:tmpl w:val="402427A8"/>
    <w:lvl w:ilvl="0" w:tplc="B1D498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BD32D21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7CFC58D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A330FCE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1BA4CF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AB485D3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9C06121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2C26162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C700EE4A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B50793D"/>
    <w:multiLevelType w:val="hybridMultilevel"/>
    <w:tmpl w:val="D2CA19A2"/>
    <w:lvl w:ilvl="0" w:tplc="AAD64BA0">
      <w:start w:val="1"/>
      <w:numFmt w:val="bullet"/>
      <w:pStyle w:val="Bullet2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CFD4E1F"/>
    <w:multiLevelType w:val="hybridMultilevel"/>
    <w:tmpl w:val="0E809E9A"/>
    <w:lvl w:ilvl="0" w:tplc="B33C7C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985"/>
    <w:multiLevelType w:val="hybridMultilevel"/>
    <w:tmpl w:val="54F4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1001"/>
    <w:multiLevelType w:val="hybridMultilevel"/>
    <w:tmpl w:val="6834FBB8"/>
    <w:lvl w:ilvl="0" w:tplc="9BE07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E5D13"/>
    <w:multiLevelType w:val="hybridMultilevel"/>
    <w:tmpl w:val="F7AE6CB4"/>
    <w:lvl w:ilvl="0" w:tplc="98D23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0E8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4995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CC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A8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67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AC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E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C50F5E"/>
    <w:multiLevelType w:val="hybridMultilevel"/>
    <w:tmpl w:val="7174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E0612"/>
    <w:multiLevelType w:val="hybridMultilevel"/>
    <w:tmpl w:val="425C4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54011"/>
    <w:multiLevelType w:val="hybridMultilevel"/>
    <w:tmpl w:val="0572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A1D0A"/>
    <w:multiLevelType w:val="hybridMultilevel"/>
    <w:tmpl w:val="66A4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3795"/>
    <w:multiLevelType w:val="hybridMultilevel"/>
    <w:tmpl w:val="D438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6703"/>
    <w:multiLevelType w:val="multilevel"/>
    <w:tmpl w:val="4406F37C"/>
    <w:lvl w:ilvl="0">
      <w:start w:val="1"/>
      <w:numFmt w:val="decimal"/>
      <w:lvlText w:val="%1."/>
      <w:lvlJc w:val="left"/>
      <w:pPr>
        <w:ind w:left="420" w:hanging="420"/>
      </w:pPr>
      <w:rPr>
        <w:rFonts w:cstheme="minorBidi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/>
        <w:color w:val="auto"/>
        <w:sz w:val="24"/>
      </w:rPr>
    </w:lvl>
  </w:abstractNum>
  <w:abstractNum w:abstractNumId="21" w15:restartNumberingAfterBreak="0">
    <w:nsid w:val="415F2059"/>
    <w:multiLevelType w:val="hybridMultilevel"/>
    <w:tmpl w:val="811C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A3171"/>
    <w:multiLevelType w:val="hybridMultilevel"/>
    <w:tmpl w:val="10C49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EF682F"/>
    <w:multiLevelType w:val="hybridMultilevel"/>
    <w:tmpl w:val="CD68A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11DE"/>
    <w:multiLevelType w:val="hybridMultilevel"/>
    <w:tmpl w:val="2848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46DE3"/>
    <w:multiLevelType w:val="hybridMultilevel"/>
    <w:tmpl w:val="19ECF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853CD"/>
    <w:multiLevelType w:val="hybridMultilevel"/>
    <w:tmpl w:val="9CE4750A"/>
    <w:lvl w:ilvl="0" w:tplc="85C8F09A">
      <w:start w:val="1"/>
      <w:numFmt w:val="decimal"/>
      <w:lvlText w:val="%1"/>
      <w:lvlJc w:val="left"/>
      <w:pPr>
        <w:ind w:left="360" w:firstLine="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656E"/>
    <w:multiLevelType w:val="multilevel"/>
    <w:tmpl w:val="CF349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B587040"/>
    <w:multiLevelType w:val="hybridMultilevel"/>
    <w:tmpl w:val="BCBC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22EB"/>
    <w:multiLevelType w:val="hybridMultilevel"/>
    <w:tmpl w:val="74BA8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4A69DC"/>
    <w:multiLevelType w:val="hybridMultilevel"/>
    <w:tmpl w:val="E7B2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860F6"/>
    <w:multiLevelType w:val="hybridMultilevel"/>
    <w:tmpl w:val="59EC484E"/>
    <w:lvl w:ilvl="0" w:tplc="0680AC6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5"/>
  </w:num>
  <w:num w:numId="4">
    <w:abstractNumId w:val="6"/>
  </w:num>
  <w:num w:numId="5">
    <w:abstractNumId w:val="8"/>
  </w:num>
  <w:num w:numId="6">
    <w:abstractNumId w:val="17"/>
  </w:num>
  <w:num w:numId="7">
    <w:abstractNumId w:val="27"/>
  </w:num>
  <w:num w:numId="8">
    <w:abstractNumId w:val="10"/>
  </w:num>
  <w:num w:numId="9">
    <w:abstractNumId w:val="28"/>
  </w:num>
  <w:num w:numId="10">
    <w:abstractNumId w:val="26"/>
  </w:num>
  <w:num w:numId="11">
    <w:abstractNumId w:val="7"/>
  </w:num>
  <w:num w:numId="12">
    <w:abstractNumId w:val="16"/>
  </w:num>
  <w:num w:numId="13">
    <w:abstractNumId w:val="24"/>
  </w:num>
  <w:num w:numId="14">
    <w:abstractNumId w:val="18"/>
  </w:num>
  <w:num w:numId="15">
    <w:abstractNumId w:val="0"/>
  </w:num>
  <w:num w:numId="16">
    <w:abstractNumId w:val="1"/>
  </w:num>
  <w:num w:numId="17">
    <w:abstractNumId w:val="3"/>
  </w:num>
  <w:num w:numId="18">
    <w:abstractNumId w:val="15"/>
  </w:num>
  <w:num w:numId="19">
    <w:abstractNumId w:val="23"/>
  </w:num>
  <w:num w:numId="20">
    <w:abstractNumId w:val="13"/>
  </w:num>
  <w:num w:numId="21">
    <w:abstractNumId w:val="11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4"/>
  </w:num>
  <w:num w:numId="30">
    <w:abstractNumId w:val="14"/>
  </w:num>
  <w:num w:numId="31">
    <w:abstractNumId w:val="21"/>
  </w:num>
  <w:num w:numId="32">
    <w:abstractNumId w:val="12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1D"/>
    <w:rsid w:val="000008A7"/>
    <w:rsid w:val="0000608A"/>
    <w:rsid w:val="000145D8"/>
    <w:rsid w:val="0001769F"/>
    <w:rsid w:val="00031FDE"/>
    <w:rsid w:val="00042327"/>
    <w:rsid w:val="00042AD7"/>
    <w:rsid w:val="000448D2"/>
    <w:rsid w:val="00051697"/>
    <w:rsid w:val="000547D3"/>
    <w:rsid w:val="00056D4F"/>
    <w:rsid w:val="00062B1E"/>
    <w:rsid w:val="00070493"/>
    <w:rsid w:val="000725FB"/>
    <w:rsid w:val="000775D2"/>
    <w:rsid w:val="00081390"/>
    <w:rsid w:val="000840C8"/>
    <w:rsid w:val="00085F8F"/>
    <w:rsid w:val="00092750"/>
    <w:rsid w:val="0009550A"/>
    <w:rsid w:val="0009750B"/>
    <w:rsid w:val="000A11EF"/>
    <w:rsid w:val="000A20EC"/>
    <w:rsid w:val="000B3593"/>
    <w:rsid w:val="000B498C"/>
    <w:rsid w:val="000B53F0"/>
    <w:rsid w:val="000B7539"/>
    <w:rsid w:val="000C65FA"/>
    <w:rsid w:val="000D2754"/>
    <w:rsid w:val="000D2C00"/>
    <w:rsid w:val="000E2B60"/>
    <w:rsid w:val="000F0ED8"/>
    <w:rsid w:val="000F62D5"/>
    <w:rsid w:val="001041E9"/>
    <w:rsid w:val="00120D99"/>
    <w:rsid w:val="001312D1"/>
    <w:rsid w:val="00132673"/>
    <w:rsid w:val="00136770"/>
    <w:rsid w:val="00143D63"/>
    <w:rsid w:val="00151930"/>
    <w:rsid w:val="001536EE"/>
    <w:rsid w:val="00167539"/>
    <w:rsid w:val="00174CF8"/>
    <w:rsid w:val="001760DF"/>
    <w:rsid w:val="00190AA4"/>
    <w:rsid w:val="00190FF9"/>
    <w:rsid w:val="001934CE"/>
    <w:rsid w:val="00197EFE"/>
    <w:rsid w:val="001A33BA"/>
    <w:rsid w:val="001A3571"/>
    <w:rsid w:val="001A6453"/>
    <w:rsid w:val="001A7DEF"/>
    <w:rsid w:val="001C403C"/>
    <w:rsid w:val="001C78E5"/>
    <w:rsid w:val="001D287C"/>
    <w:rsid w:val="001E04EB"/>
    <w:rsid w:val="001E3FB9"/>
    <w:rsid w:val="001E5A3C"/>
    <w:rsid w:val="001F56DC"/>
    <w:rsid w:val="001F6120"/>
    <w:rsid w:val="002118B0"/>
    <w:rsid w:val="00230F21"/>
    <w:rsid w:val="002351A9"/>
    <w:rsid w:val="00236E68"/>
    <w:rsid w:val="00242E4A"/>
    <w:rsid w:val="00244C35"/>
    <w:rsid w:val="00255BE1"/>
    <w:rsid w:val="0025676F"/>
    <w:rsid w:val="00261BC5"/>
    <w:rsid w:val="00272127"/>
    <w:rsid w:val="00273D7A"/>
    <w:rsid w:val="002746BD"/>
    <w:rsid w:val="00292353"/>
    <w:rsid w:val="00292903"/>
    <w:rsid w:val="00292F6D"/>
    <w:rsid w:val="00295289"/>
    <w:rsid w:val="002B01F5"/>
    <w:rsid w:val="002B2B1F"/>
    <w:rsid w:val="002B4882"/>
    <w:rsid w:val="002B70B3"/>
    <w:rsid w:val="002C3D43"/>
    <w:rsid w:val="002D4758"/>
    <w:rsid w:val="00301E20"/>
    <w:rsid w:val="00307533"/>
    <w:rsid w:val="00313C37"/>
    <w:rsid w:val="00325C6B"/>
    <w:rsid w:val="0032765D"/>
    <w:rsid w:val="003547B9"/>
    <w:rsid w:val="00362B37"/>
    <w:rsid w:val="003655A2"/>
    <w:rsid w:val="00380D85"/>
    <w:rsid w:val="00387122"/>
    <w:rsid w:val="003A23D1"/>
    <w:rsid w:val="003A33EF"/>
    <w:rsid w:val="003C5B79"/>
    <w:rsid w:val="003E0A6D"/>
    <w:rsid w:val="003E1BA0"/>
    <w:rsid w:val="003E1E97"/>
    <w:rsid w:val="003F189D"/>
    <w:rsid w:val="004015AF"/>
    <w:rsid w:val="00426D07"/>
    <w:rsid w:val="004509D9"/>
    <w:rsid w:val="004539DC"/>
    <w:rsid w:val="00455933"/>
    <w:rsid w:val="00460112"/>
    <w:rsid w:val="004629F5"/>
    <w:rsid w:val="004657F0"/>
    <w:rsid w:val="00473E62"/>
    <w:rsid w:val="00475EDC"/>
    <w:rsid w:val="004818D6"/>
    <w:rsid w:val="004827CD"/>
    <w:rsid w:val="00494A4C"/>
    <w:rsid w:val="004B2365"/>
    <w:rsid w:val="004D27DA"/>
    <w:rsid w:val="004D4575"/>
    <w:rsid w:val="004D537E"/>
    <w:rsid w:val="004E50B7"/>
    <w:rsid w:val="004F4695"/>
    <w:rsid w:val="0050163B"/>
    <w:rsid w:val="00501DE2"/>
    <w:rsid w:val="00517DAA"/>
    <w:rsid w:val="005239FE"/>
    <w:rsid w:val="005267AC"/>
    <w:rsid w:val="00534475"/>
    <w:rsid w:val="005352E7"/>
    <w:rsid w:val="00536694"/>
    <w:rsid w:val="005564C4"/>
    <w:rsid w:val="00567DC2"/>
    <w:rsid w:val="005832AA"/>
    <w:rsid w:val="00586C07"/>
    <w:rsid w:val="005907C4"/>
    <w:rsid w:val="005A3F28"/>
    <w:rsid w:val="005A5072"/>
    <w:rsid w:val="005B28B1"/>
    <w:rsid w:val="005B2C52"/>
    <w:rsid w:val="005B4AA9"/>
    <w:rsid w:val="005C54B8"/>
    <w:rsid w:val="005E349A"/>
    <w:rsid w:val="005F6653"/>
    <w:rsid w:val="00605D9A"/>
    <w:rsid w:val="006104EA"/>
    <w:rsid w:val="006344A6"/>
    <w:rsid w:val="006368CB"/>
    <w:rsid w:val="00661A00"/>
    <w:rsid w:val="006622D1"/>
    <w:rsid w:val="0067167A"/>
    <w:rsid w:val="0069125E"/>
    <w:rsid w:val="00692405"/>
    <w:rsid w:val="00696EA1"/>
    <w:rsid w:val="006B10D3"/>
    <w:rsid w:val="006B7523"/>
    <w:rsid w:val="006D3A4D"/>
    <w:rsid w:val="006D4C91"/>
    <w:rsid w:val="006E180B"/>
    <w:rsid w:val="006F0F34"/>
    <w:rsid w:val="006F150E"/>
    <w:rsid w:val="0070246B"/>
    <w:rsid w:val="007043F3"/>
    <w:rsid w:val="00715833"/>
    <w:rsid w:val="0072704B"/>
    <w:rsid w:val="00730459"/>
    <w:rsid w:val="0075368F"/>
    <w:rsid w:val="007601C6"/>
    <w:rsid w:val="0076250D"/>
    <w:rsid w:val="00766FF2"/>
    <w:rsid w:val="00783BEB"/>
    <w:rsid w:val="00785CE1"/>
    <w:rsid w:val="00794635"/>
    <w:rsid w:val="007A6E5D"/>
    <w:rsid w:val="007A74F9"/>
    <w:rsid w:val="007A7606"/>
    <w:rsid w:val="007B4594"/>
    <w:rsid w:val="007D08C1"/>
    <w:rsid w:val="007D0F8D"/>
    <w:rsid w:val="007D7B25"/>
    <w:rsid w:val="007F7AC7"/>
    <w:rsid w:val="00801527"/>
    <w:rsid w:val="00801D22"/>
    <w:rsid w:val="00803303"/>
    <w:rsid w:val="00813FE5"/>
    <w:rsid w:val="00815066"/>
    <w:rsid w:val="00824C93"/>
    <w:rsid w:val="00830828"/>
    <w:rsid w:val="00834B89"/>
    <w:rsid w:val="00845882"/>
    <w:rsid w:val="0084727E"/>
    <w:rsid w:val="00864B1C"/>
    <w:rsid w:val="00871E54"/>
    <w:rsid w:val="008732AB"/>
    <w:rsid w:val="00875A07"/>
    <w:rsid w:val="00881442"/>
    <w:rsid w:val="008859BE"/>
    <w:rsid w:val="00897363"/>
    <w:rsid w:val="008B2D6F"/>
    <w:rsid w:val="008B67BC"/>
    <w:rsid w:val="008B6858"/>
    <w:rsid w:val="008C319C"/>
    <w:rsid w:val="008C6FD8"/>
    <w:rsid w:val="008E4D36"/>
    <w:rsid w:val="008F468F"/>
    <w:rsid w:val="008F6D17"/>
    <w:rsid w:val="00917764"/>
    <w:rsid w:val="00922479"/>
    <w:rsid w:val="00942ADD"/>
    <w:rsid w:val="009953CF"/>
    <w:rsid w:val="00996CA5"/>
    <w:rsid w:val="009A7162"/>
    <w:rsid w:val="009A7C2B"/>
    <w:rsid w:val="009B24F2"/>
    <w:rsid w:val="009D3512"/>
    <w:rsid w:val="009E4974"/>
    <w:rsid w:val="009F2E1F"/>
    <w:rsid w:val="009F391F"/>
    <w:rsid w:val="009F47E4"/>
    <w:rsid w:val="00A01E66"/>
    <w:rsid w:val="00A02740"/>
    <w:rsid w:val="00A029FA"/>
    <w:rsid w:val="00A032CB"/>
    <w:rsid w:val="00A0749B"/>
    <w:rsid w:val="00A07526"/>
    <w:rsid w:val="00A12AA2"/>
    <w:rsid w:val="00A2391D"/>
    <w:rsid w:val="00A342F3"/>
    <w:rsid w:val="00A57534"/>
    <w:rsid w:val="00A708BB"/>
    <w:rsid w:val="00A72294"/>
    <w:rsid w:val="00A745B4"/>
    <w:rsid w:val="00A8241B"/>
    <w:rsid w:val="00A86277"/>
    <w:rsid w:val="00A86394"/>
    <w:rsid w:val="00A93FEB"/>
    <w:rsid w:val="00A955F3"/>
    <w:rsid w:val="00A9576B"/>
    <w:rsid w:val="00AA0828"/>
    <w:rsid w:val="00AA40AD"/>
    <w:rsid w:val="00AA6DE1"/>
    <w:rsid w:val="00AA72ED"/>
    <w:rsid w:val="00AB04D5"/>
    <w:rsid w:val="00AB2722"/>
    <w:rsid w:val="00AB3496"/>
    <w:rsid w:val="00AC2A75"/>
    <w:rsid w:val="00AC60FA"/>
    <w:rsid w:val="00AC75D5"/>
    <w:rsid w:val="00AD4A60"/>
    <w:rsid w:val="00AD6B7C"/>
    <w:rsid w:val="00AE6DCD"/>
    <w:rsid w:val="00AF40D1"/>
    <w:rsid w:val="00B0345E"/>
    <w:rsid w:val="00B17888"/>
    <w:rsid w:val="00B17BBD"/>
    <w:rsid w:val="00B200D6"/>
    <w:rsid w:val="00B255F7"/>
    <w:rsid w:val="00B31C3E"/>
    <w:rsid w:val="00B33AD4"/>
    <w:rsid w:val="00B444E4"/>
    <w:rsid w:val="00B5308E"/>
    <w:rsid w:val="00B54B1A"/>
    <w:rsid w:val="00B575BC"/>
    <w:rsid w:val="00B70C84"/>
    <w:rsid w:val="00B803D6"/>
    <w:rsid w:val="00B83433"/>
    <w:rsid w:val="00B85051"/>
    <w:rsid w:val="00B95090"/>
    <w:rsid w:val="00B96043"/>
    <w:rsid w:val="00BA6311"/>
    <w:rsid w:val="00BB0238"/>
    <w:rsid w:val="00BB2D76"/>
    <w:rsid w:val="00BB48A5"/>
    <w:rsid w:val="00BC22B0"/>
    <w:rsid w:val="00BC7E95"/>
    <w:rsid w:val="00BE492E"/>
    <w:rsid w:val="00BF20C2"/>
    <w:rsid w:val="00BF4789"/>
    <w:rsid w:val="00C02D85"/>
    <w:rsid w:val="00C31434"/>
    <w:rsid w:val="00C35F92"/>
    <w:rsid w:val="00C37F76"/>
    <w:rsid w:val="00C41DCB"/>
    <w:rsid w:val="00C447DC"/>
    <w:rsid w:val="00C5184A"/>
    <w:rsid w:val="00C53A8F"/>
    <w:rsid w:val="00C54114"/>
    <w:rsid w:val="00C57C47"/>
    <w:rsid w:val="00C62508"/>
    <w:rsid w:val="00C626BA"/>
    <w:rsid w:val="00C62710"/>
    <w:rsid w:val="00C639C3"/>
    <w:rsid w:val="00C67BAC"/>
    <w:rsid w:val="00C721E2"/>
    <w:rsid w:val="00C74FBA"/>
    <w:rsid w:val="00C771B8"/>
    <w:rsid w:val="00C803CA"/>
    <w:rsid w:val="00C8094E"/>
    <w:rsid w:val="00C81402"/>
    <w:rsid w:val="00C90564"/>
    <w:rsid w:val="00CA6C53"/>
    <w:rsid w:val="00CB5A91"/>
    <w:rsid w:val="00CD24CB"/>
    <w:rsid w:val="00CD7F9E"/>
    <w:rsid w:val="00CE2FFB"/>
    <w:rsid w:val="00CE31F1"/>
    <w:rsid w:val="00CF0232"/>
    <w:rsid w:val="00CF1EB6"/>
    <w:rsid w:val="00CF225D"/>
    <w:rsid w:val="00CF6E36"/>
    <w:rsid w:val="00D04B87"/>
    <w:rsid w:val="00D06DBF"/>
    <w:rsid w:val="00D073DD"/>
    <w:rsid w:val="00D13D00"/>
    <w:rsid w:val="00D2163C"/>
    <w:rsid w:val="00D219E3"/>
    <w:rsid w:val="00D52C7F"/>
    <w:rsid w:val="00D5325D"/>
    <w:rsid w:val="00D61094"/>
    <w:rsid w:val="00D61C26"/>
    <w:rsid w:val="00D7454B"/>
    <w:rsid w:val="00D81A38"/>
    <w:rsid w:val="00D86085"/>
    <w:rsid w:val="00D90375"/>
    <w:rsid w:val="00D968E0"/>
    <w:rsid w:val="00DA0638"/>
    <w:rsid w:val="00DA4899"/>
    <w:rsid w:val="00DA7EA3"/>
    <w:rsid w:val="00DB069F"/>
    <w:rsid w:val="00DB3CFD"/>
    <w:rsid w:val="00DC6DEB"/>
    <w:rsid w:val="00DD0D8D"/>
    <w:rsid w:val="00DD5A1D"/>
    <w:rsid w:val="00DF017F"/>
    <w:rsid w:val="00DF572D"/>
    <w:rsid w:val="00DF59A3"/>
    <w:rsid w:val="00E00924"/>
    <w:rsid w:val="00E01F3E"/>
    <w:rsid w:val="00E02BCF"/>
    <w:rsid w:val="00E11268"/>
    <w:rsid w:val="00E205E3"/>
    <w:rsid w:val="00E250E1"/>
    <w:rsid w:val="00E43732"/>
    <w:rsid w:val="00E554AA"/>
    <w:rsid w:val="00E65FA3"/>
    <w:rsid w:val="00E71587"/>
    <w:rsid w:val="00E76602"/>
    <w:rsid w:val="00E81488"/>
    <w:rsid w:val="00E86961"/>
    <w:rsid w:val="00E91AF2"/>
    <w:rsid w:val="00E941C4"/>
    <w:rsid w:val="00EB4570"/>
    <w:rsid w:val="00EB7E36"/>
    <w:rsid w:val="00EC0E94"/>
    <w:rsid w:val="00ED6940"/>
    <w:rsid w:val="00EE697D"/>
    <w:rsid w:val="00EE7357"/>
    <w:rsid w:val="00EF0C97"/>
    <w:rsid w:val="00EF6DCA"/>
    <w:rsid w:val="00F2768A"/>
    <w:rsid w:val="00F33CB9"/>
    <w:rsid w:val="00F35137"/>
    <w:rsid w:val="00F457FD"/>
    <w:rsid w:val="00F45B60"/>
    <w:rsid w:val="00F60D4C"/>
    <w:rsid w:val="00F70DE1"/>
    <w:rsid w:val="00F84F0E"/>
    <w:rsid w:val="00F911D4"/>
    <w:rsid w:val="00F9425B"/>
    <w:rsid w:val="00F97B1F"/>
    <w:rsid w:val="00FA4346"/>
    <w:rsid w:val="00FB2ADF"/>
    <w:rsid w:val="00FB4E98"/>
    <w:rsid w:val="00FD1945"/>
    <w:rsid w:val="00FE2775"/>
    <w:rsid w:val="00FE589C"/>
    <w:rsid w:val="00FE5CF9"/>
    <w:rsid w:val="00FF4382"/>
    <w:rsid w:val="00FF6736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916A9-5E08-46E2-BD62-AB2FA10A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1D"/>
  </w:style>
  <w:style w:type="paragraph" w:styleId="Heading2">
    <w:name w:val="heading 2"/>
    <w:basedOn w:val="Normal"/>
    <w:next w:val="Normal"/>
    <w:link w:val="Heading2Char1"/>
    <w:autoRedefine/>
    <w:uiPriority w:val="99"/>
    <w:qFormat/>
    <w:rsid w:val="005239FE"/>
    <w:pPr>
      <w:keepNext/>
      <w:keepLine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A2391D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A239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A745B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2567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2Char">
    <w:name w:val="Heading 2 Char"/>
    <w:basedOn w:val="DefaultParagraphFont"/>
    <w:uiPriority w:val="9"/>
    <w:semiHidden/>
    <w:rsid w:val="00DF5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7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5239FE"/>
    <w:rPr>
      <w:rFonts w:ascii="Times New Roman" w:eastAsia="Times New Roman" w:hAnsi="Times New Roman" w:cs="Times New Roman"/>
      <w:color w:val="002060"/>
    </w:rPr>
  </w:style>
  <w:style w:type="paragraph" w:customStyle="1" w:styleId="Bullet2">
    <w:name w:val="Bullet 2"/>
    <w:basedOn w:val="Normal"/>
    <w:link w:val="Bullet2Char"/>
    <w:qFormat/>
    <w:rsid w:val="00DF572D"/>
    <w:pPr>
      <w:numPr>
        <w:numId w:val="8"/>
      </w:numPr>
      <w:autoSpaceDE w:val="0"/>
      <w:autoSpaceDN w:val="0"/>
      <w:adjustRightInd w:val="0"/>
      <w:spacing w:before="3" w:after="0" w:line="252" w:lineRule="exact"/>
      <w:ind w:left="540" w:right="300" w:hanging="270"/>
    </w:pPr>
    <w:rPr>
      <w:rFonts w:ascii="Calibri" w:eastAsia="SimSun" w:hAnsi="Calibri" w:cs="Arial"/>
      <w:spacing w:val="5"/>
      <w:lang w:eastAsia="zh-CN"/>
    </w:rPr>
  </w:style>
  <w:style w:type="character" w:customStyle="1" w:styleId="Bullet2Char">
    <w:name w:val="Bullet 2 Char"/>
    <w:basedOn w:val="DefaultParagraphFont"/>
    <w:link w:val="Bullet2"/>
    <w:rsid w:val="00DF572D"/>
    <w:rPr>
      <w:rFonts w:ascii="Calibri" w:eastAsia="SimSun" w:hAnsi="Calibri" w:cs="Arial"/>
      <w:spacing w:val="5"/>
      <w:lang w:eastAsia="zh-CN"/>
    </w:rPr>
  </w:style>
  <w:style w:type="paragraph" w:customStyle="1" w:styleId="Bullet1">
    <w:name w:val="Bullet 1"/>
    <w:basedOn w:val="Bullet2"/>
    <w:link w:val="Bullet1Char"/>
    <w:autoRedefine/>
    <w:qFormat/>
    <w:rsid w:val="00301E20"/>
    <w:pPr>
      <w:numPr>
        <w:numId w:val="0"/>
      </w:numPr>
    </w:pPr>
  </w:style>
  <w:style w:type="character" w:customStyle="1" w:styleId="Bullet1Char">
    <w:name w:val="Bullet 1 Char"/>
    <w:basedOn w:val="Bullet2Char"/>
    <w:link w:val="Bullet1"/>
    <w:rsid w:val="00301E20"/>
    <w:rPr>
      <w:rFonts w:ascii="Calibri" w:eastAsia="SimSun" w:hAnsi="Calibri" w:cs="Arial"/>
      <w:spacing w:val="5"/>
      <w:lang w:eastAsia="zh-CN"/>
    </w:rPr>
  </w:style>
  <w:style w:type="paragraph" w:customStyle="1" w:styleId="Default">
    <w:name w:val="Default"/>
    <w:rsid w:val="00DF57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72D"/>
    <w:pPr>
      <w:widowControl w:val="0"/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72D"/>
    <w:rPr>
      <w:sz w:val="20"/>
      <w:szCs w:val="20"/>
      <w:lang w:val="en-ZA"/>
    </w:rPr>
  </w:style>
  <w:style w:type="character" w:styleId="Strong">
    <w:name w:val="Strong"/>
    <w:basedOn w:val="DefaultParagraphFont"/>
    <w:uiPriority w:val="22"/>
    <w:qFormat/>
    <w:rsid w:val="00DF572D"/>
    <w:rPr>
      <w:b/>
      <w:bCs/>
    </w:rPr>
  </w:style>
  <w:style w:type="paragraph" w:customStyle="1" w:styleId="yiv8242702639msolistparagraph">
    <w:name w:val="yiv8242702639msolistparagraph"/>
    <w:basedOn w:val="Normal"/>
    <w:rsid w:val="00D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1FDE"/>
  </w:style>
  <w:style w:type="character" w:styleId="Hyperlink">
    <w:name w:val="Hyperlink"/>
    <w:basedOn w:val="DefaultParagraphFont"/>
    <w:uiPriority w:val="99"/>
    <w:unhideWhenUsed/>
    <w:rsid w:val="00031FD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255F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67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770"/>
    <w:rPr>
      <w:vertAlign w:val="superscript"/>
    </w:rPr>
  </w:style>
  <w:style w:type="table" w:customStyle="1" w:styleId="TableGrid0">
    <w:name w:val="TableGrid"/>
    <w:rsid w:val="001367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9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5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0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5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73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48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51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67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la%20Sturua\Desktop\&#4315;&#4304;&#4334;&#4304;&#4311;&#4312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Percentage of current smokers; STEPS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Sheet2!$B$2:$B$6</c:f>
              <c:numCache>
                <c:formatCode>General</c:formatCode>
                <c:ptCount val="5"/>
                <c:pt idx="0">
                  <c:v>59.5</c:v>
                </c:pt>
                <c:pt idx="1">
                  <c:v>62</c:v>
                </c:pt>
                <c:pt idx="2">
                  <c:v>58</c:v>
                </c:pt>
                <c:pt idx="3">
                  <c:v>38.4</c:v>
                </c:pt>
                <c:pt idx="4">
                  <c:v>57</c:v>
                </c:pt>
              </c:numCache>
            </c:numRef>
          </c:val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Sheet2!$C$2:$C$6</c:f>
              <c:numCache>
                <c:formatCode>General</c:formatCode>
                <c:ptCount val="5"/>
                <c:pt idx="0">
                  <c:v>7</c:v>
                </c:pt>
                <c:pt idx="1">
                  <c:v>8.8000000000000007</c:v>
                </c:pt>
                <c:pt idx="2">
                  <c:v>7.1</c:v>
                </c:pt>
                <c:pt idx="3">
                  <c:v>3.9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Both Sexes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Sheet2!$D$2:$D$6</c:f>
              <c:numCache>
                <c:formatCode>General</c:formatCode>
                <c:ptCount val="5"/>
                <c:pt idx="0">
                  <c:v>33.799999999999997</c:v>
                </c:pt>
                <c:pt idx="1">
                  <c:v>35</c:v>
                </c:pt>
                <c:pt idx="2">
                  <c:v>30.9</c:v>
                </c:pt>
                <c:pt idx="3">
                  <c:v>18.600000000000001</c:v>
                </c:pt>
                <c:pt idx="4">
                  <c:v>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9"/>
        <c:overlap val="-9"/>
        <c:axId val="1165285792"/>
        <c:axId val="1165283616"/>
      </c:barChart>
      <c:catAx>
        <c:axId val="116528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5283616"/>
        <c:crosses val="autoZero"/>
        <c:auto val="1"/>
        <c:lblAlgn val="ctr"/>
        <c:lblOffset val="100"/>
        <c:noMultiLvlLbl val="0"/>
      </c:catAx>
      <c:valAx>
        <c:axId val="116528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528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SBP ≥140 and/or DBP ≥ 90 mmHg or currently on medication; STEPS 2010-2016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Sheet15!$B$11</c:f>
              <c:strCache>
                <c:ptCount val="1"/>
                <c:pt idx="0">
                  <c:v>Both Sexes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cat>
            <c:strRef>
              <c:f>Sheet15!$A$12:$A$13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Sheet15!$B$12:$B$13</c:f>
              <c:numCache>
                <c:formatCode>0.0%</c:formatCode>
                <c:ptCount val="2"/>
                <c:pt idx="0">
                  <c:v>0.33400000000000002</c:v>
                </c:pt>
                <c:pt idx="1">
                  <c:v>0.377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Sheet15!$C$11</c:f>
              <c:strCache>
                <c:ptCount val="1"/>
                <c:pt idx="0">
                  <c:v>Males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Sheet15!$A$12:$A$13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Sheet15!$C$12:$C$13</c:f>
              <c:numCache>
                <c:formatCode>0.0%</c:formatCode>
                <c:ptCount val="2"/>
                <c:pt idx="0">
                  <c:v>0.371</c:v>
                </c:pt>
                <c:pt idx="1">
                  <c:v>0.38600000000000001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Sheet15!$D$11</c:f>
              <c:strCache>
                <c:ptCount val="1"/>
                <c:pt idx="0">
                  <c:v>Females</c:v>
                </c:pt>
              </c:strCache>
            </c:strRef>
          </c:tx>
          <c:spPr>
            <a:ln w="28575" cap="rnd">
              <a:solidFill>
                <a:schemeClr val="accent5">
                  <a:tint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65000"/>
                </a:schemeClr>
              </a:solidFill>
              <a:ln w="9525">
                <a:solidFill>
                  <a:schemeClr val="accent5">
                    <a:tint val="65000"/>
                  </a:schemeClr>
                </a:solidFill>
              </a:ln>
              <a:effectLst/>
            </c:spPr>
          </c:marker>
          <c:cat>
            <c:strRef>
              <c:f>Sheet15!$A$12:$A$13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Sheet15!$D$12:$D$13</c:f>
              <c:numCache>
                <c:formatCode>0.0%</c:formatCode>
                <c:ptCount val="2"/>
                <c:pt idx="0">
                  <c:v>0.29799999999999999</c:v>
                </c:pt>
                <c:pt idx="1">
                  <c:v>0.36899999999999999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7841072"/>
        <c:axId val="1177843248"/>
      </c:lineChart>
      <c:catAx>
        <c:axId val="117784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43248"/>
        <c:crosses val="autoZero"/>
        <c:auto val="1"/>
        <c:lblAlgn val="ctr"/>
        <c:lblOffset val="100"/>
        <c:noMultiLvlLbl val="0"/>
      </c:catAx>
      <c:valAx>
        <c:axId val="117784324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41072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 i="0" u="none" strike="noStrike" baseline="0">
                <a:effectLst/>
              </a:rPr>
              <a:t>Current tobacco use % STEPS 2010-2016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0.55500000000000005</c:v>
                </c:pt>
                <c:pt idx="1">
                  <c:v>0.56999999999999995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9236657917761297E-3"/>
                  <c:y val="3.01272236803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4.8000000000000001E-2</c:v>
                </c:pt>
                <c:pt idx="1">
                  <c:v>7.0999999999999994E-2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5">
                  <a:tint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65000"/>
                </a:schemeClr>
              </a:solidFill>
              <a:ln w="9525">
                <a:solidFill>
                  <a:schemeClr val="accent5">
                    <a:tint val="6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0.30299999999999999</c:v>
                </c:pt>
                <c:pt idx="1">
                  <c:v>0.33700000000000002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09609424"/>
        <c:axId val="909604528"/>
      </c:lineChart>
      <c:catAx>
        <c:axId val="90960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604528"/>
        <c:crosses val="autoZero"/>
        <c:auto val="1"/>
        <c:lblAlgn val="ctr"/>
        <c:lblOffset val="100"/>
        <c:noMultiLvlLbl val="0"/>
      </c:catAx>
      <c:valAx>
        <c:axId val="90960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60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% Current drinkers;</a:t>
            </a:r>
            <a:r>
              <a:rPr lang="en-US" sz="1100" baseline="0"/>
              <a:t> STEPS 2016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989727090565305E-2"/>
          <c:y val="0.17103286384976529"/>
          <c:w val="0.87466260265853868"/>
          <c:h val="0.6267446674799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Sheet8!$B$1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Sheet8!$B$2:$B$6</c:f>
              <c:numCache>
                <c:formatCode>General</c:formatCode>
                <c:ptCount val="5"/>
                <c:pt idx="0">
                  <c:v>61.3</c:v>
                </c:pt>
                <c:pt idx="1">
                  <c:v>68.5</c:v>
                </c:pt>
                <c:pt idx="2">
                  <c:v>54.8</c:v>
                </c:pt>
                <c:pt idx="3">
                  <c:v>41.4</c:v>
                </c:pt>
                <c:pt idx="4">
                  <c:v>58.9</c:v>
                </c:pt>
              </c:numCache>
            </c:numRef>
          </c:val>
        </c:ser>
        <c:ser>
          <c:idx val="1"/>
          <c:order val="1"/>
          <c:tx>
            <c:strRef>
              <c:f>Sheet8!$C$1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Sheet8!$C$2:$C$6</c:f>
              <c:numCache>
                <c:formatCode>General</c:formatCode>
                <c:ptCount val="5"/>
                <c:pt idx="0">
                  <c:v>29.8</c:v>
                </c:pt>
                <c:pt idx="1">
                  <c:v>22.1</c:v>
                </c:pt>
                <c:pt idx="2">
                  <c:v>17.3</c:v>
                </c:pt>
                <c:pt idx="3">
                  <c:v>12.4</c:v>
                </c:pt>
                <c:pt idx="4">
                  <c:v>20.7</c:v>
                </c:pt>
              </c:numCache>
            </c:numRef>
          </c:val>
        </c:ser>
        <c:ser>
          <c:idx val="2"/>
          <c:order val="2"/>
          <c:tx>
            <c:strRef>
              <c:f>Sheet8!$D$1</c:f>
              <c:strCache>
                <c:ptCount val="1"/>
                <c:pt idx="0">
                  <c:v>Both Sexes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Sheet8!$A$2:$A$6</c:f>
              <c:strCache>
                <c:ptCount val="5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60-69</c:v>
                </c:pt>
                <c:pt idx="4">
                  <c:v>18-69</c:v>
                </c:pt>
              </c:strCache>
            </c:strRef>
          </c:cat>
          <c:val>
            <c:numRef>
              <c:f>Sheet8!$D$2:$D$6</c:f>
              <c:numCache>
                <c:formatCode>General</c:formatCode>
                <c:ptCount val="5"/>
                <c:pt idx="0">
                  <c:v>45.9</c:v>
                </c:pt>
                <c:pt idx="1">
                  <c:v>45</c:v>
                </c:pt>
                <c:pt idx="2">
                  <c:v>34.9</c:v>
                </c:pt>
                <c:pt idx="3">
                  <c:v>24.8</c:v>
                </c:pt>
                <c:pt idx="4">
                  <c:v>39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9"/>
        <c:overlap val="-9"/>
        <c:axId val="908093840"/>
        <c:axId val="908094384"/>
      </c:barChart>
      <c:catAx>
        <c:axId val="90809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094384"/>
        <c:crosses val="autoZero"/>
        <c:auto val="1"/>
        <c:lblAlgn val="ctr"/>
        <c:lblOffset val="100"/>
        <c:noMultiLvlLbl val="0"/>
      </c:catAx>
      <c:valAx>
        <c:axId val="90809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809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 i="0" baseline="0">
                <a:effectLst/>
              </a:rPr>
              <a:t>Lifetime alcohol use </a:t>
            </a:r>
            <a:r>
              <a:rPr lang="ka-GE" sz="1100" b="0" i="0" baseline="0">
                <a:effectLst/>
              </a:rPr>
              <a:t>(%); </a:t>
            </a:r>
            <a:r>
              <a:rPr lang="en-US" sz="1100" b="0" i="0" baseline="0">
                <a:effectLst/>
              </a:rPr>
              <a:t>STEPS 2010</a:t>
            </a:r>
            <a:r>
              <a:rPr lang="ka-GE" sz="1100" b="0" i="0" baseline="0">
                <a:effectLst/>
              </a:rPr>
              <a:t>-</a:t>
            </a:r>
            <a:r>
              <a:rPr lang="en-US" sz="1100" b="0" i="0" baseline="0">
                <a:effectLst/>
              </a:rPr>
              <a:t>2016</a:t>
            </a:r>
            <a:endParaRPr lang="en-US" sz="11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Sheet9!$B$1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1859033245844269"/>
                  <c:y val="-2.0798702245552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09667541557305E-3"/>
                  <c:y val="-3.0057961504811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Sheet9!$A$2:$A$3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Sheet9!$B$2:$B$3</c:f>
              <c:numCache>
                <c:formatCode>0.0%</c:formatCode>
                <c:ptCount val="2"/>
                <c:pt idx="0">
                  <c:v>0.90400000000000003</c:v>
                </c:pt>
                <c:pt idx="1">
                  <c:v>0.96099999999999997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Sheet9!$C$1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6923665791776022E-2"/>
                  <c:y val="5.3275371828521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701443569553908E-2"/>
                  <c:y val="6.7164260717410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Sheet9!$A$2:$A$3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Sheet9!$C$2:$C$3</c:f>
              <c:numCache>
                <c:formatCode>0.0%</c:formatCode>
                <c:ptCount val="2"/>
                <c:pt idx="0">
                  <c:v>0.66300000000000003</c:v>
                </c:pt>
                <c:pt idx="1">
                  <c:v>0.83699999999999997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Sheet9!$D$1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5">
                  <a:tint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65000"/>
                </a:schemeClr>
              </a:solidFill>
              <a:ln w="9525">
                <a:solidFill>
                  <a:schemeClr val="accent5">
                    <a:tint val="6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0747922134733158"/>
                  <c:y val="3.0127223680373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5411198600174982E-4"/>
                  <c:y val="2.349445902595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Sheet9!$A$2:$A$3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Sheet9!$D$2:$D$3</c:f>
              <c:numCache>
                <c:formatCode>0.0%</c:formatCode>
                <c:ptCount val="2"/>
                <c:pt idx="0">
                  <c:v>0.78500000000000003</c:v>
                </c:pt>
                <c:pt idx="1">
                  <c:v>0.90300000000000002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37729056"/>
        <c:axId val="1237730144"/>
      </c:lineChart>
      <c:catAx>
        <c:axId val="12377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30144"/>
        <c:crosses val="autoZero"/>
        <c:auto val="1"/>
        <c:lblAlgn val="ctr"/>
        <c:lblOffset val="100"/>
        <c:noMultiLvlLbl val="0"/>
      </c:catAx>
      <c:valAx>
        <c:axId val="1237730144"/>
        <c:scaling>
          <c:orientation val="minMax"/>
          <c:max val="1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90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&lt;5 servings of fruit and/or vegetables on average per day; STEPS 2010-2016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Sheet10!$B$1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cat>
            <c:strRef>
              <c:f>Sheet10!$A$2:$A$3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Sheet10!$B$2:$B$3</c:f>
              <c:numCache>
                <c:formatCode>0.00%</c:formatCode>
                <c:ptCount val="2"/>
                <c:pt idx="0">
                  <c:v>0.69599999999999995</c:v>
                </c:pt>
                <c:pt idx="1">
                  <c:v>0.624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Sheet10!$C$1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Sheet10!$A$2:$A$3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Sheet10!$C$2:$C$3</c:f>
              <c:numCache>
                <c:formatCode>0%</c:formatCode>
                <c:ptCount val="2"/>
                <c:pt idx="0" formatCode="0.00%">
                  <c:v>0.70699999999999996</c:v>
                </c:pt>
                <c:pt idx="1">
                  <c:v>0.63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Sheet10!$D$1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5">
                  <a:tint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65000"/>
                </a:schemeClr>
              </a:solidFill>
              <a:ln w="9525">
                <a:solidFill>
                  <a:schemeClr val="accent5">
                    <a:tint val="65000"/>
                  </a:schemeClr>
                </a:solidFill>
              </a:ln>
              <a:effectLst/>
            </c:spPr>
          </c:marker>
          <c:cat>
            <c:strRef>
              <c:f>Sheet10!$A$2:$A$3</c:f>
              <c:strCache>
                <c:ptCount val="2"/>
                <c:pt idx="0">
                  <c:v>STEPS 2010</c:v>
                </c:pt>
                <c:pt idx="1">
                  <c:v>STEPS 2016</c:v>
                </c:pt>
              </c:strCache>
            </c:strRef>
          </c:cat>
          <c:val>
            <c:numRef>
              <c:f>Sheet10!$D$2:$D$3</c:f>
              <c:numCache>
                <c:formatCode>0.00%</c:formatCode>
                <c:ptCount val="2"/>
                <c:pt idx="0">
                  <c:v>0.68600000000000005</c:v>
                </c:pt>
                <c:pt idx="1">
                  <c:v>0.63800000000000001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7724160"/>
        <c:axId val="1237724704"/>
      </c:lineChart>
      <c:catAx>
        <c:axId val="123772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4704"/>
        <c:crosses val="autoZero"/>
        <c:auto val="1"/>
        <c:lblAlgn val="ctr"/>
        <c:lblOffset val="100"/>
        <c:noMultiLvlLbl val="0"/>
      </c:catAx>
      <c:valAx>
        <c:axId val="1237724704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Overweight and obesity, STEPS 2010-2016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Sheet16!$A$14</c:f>
              <c:strCache>
                <c:ptCount val="1"/>
                <c:pt idx="0">
                  <c:v>STEPS 2010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Sheet16!$B$13:$C$13</c:f>
              <c:strCache>
                <c:ptCount val="2"/>
                <c:pt idx="0">
                  <c:v>Percentage who are overweight (BMI ≥ 25 kg/m2)</c:v>
                </c:pt>
                <c:pt idx="1">
                  <c:v>Percentage who are obese (BMI ≥ 30 kg/m2)</c:v>
                </c:pt>
              </c:strCache>
            </c:strRef>
          </c:cat>
          <c:val>
            <c:numRef>
              <c:f>Sheet16!$B$14:$C$14</c:f>
              <c:numCache>
                <c:formatCode>0.0%</c:formatCode>
                <c:ptCount val="2"/>
                <c:pt idx="0">
                  <c:v>0.56399999999999995</c:v>
                </c:pt>
                <c:pt idx="1">
                  <c:v>0.251</c:v>
                </c:pt>
              </c:numCache>
            </c:numRef>
          </c:val>
        </c:ser>
        <c:ser>
          <c:idx val="1"/>
          <c:order val="1"/>
          <c:tx>
            <c:strRef>
              <c:f>Sheet16!$A$15</c:f>
              <c:strCache>
                <c:ptCount val="1"/>
                <c:pt idx="0">
                  <c:v>STEPS 2016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Sheet16!$B$13:$C$13</c:f>
              <c:strCache>
                <c:ptCount val="2"/>
                <c:pt idx="0">
                  <c:v>Percentage who are overweight (BMI ≥ 25 kg/m2)</c:v>
                </c:pt>
                <c:pt idx="1">
                  <c:v>Percentage who are obese (BMI ≥ 30 kg/m2)</c:v>
                </c:pt>
              </c:strCache>
            </c:strRef>
          </c:cat>
          <c:val>
            <c:numRef>
              <c:f>Sheet16!$B$15:$C$15</c:f>
              <c:numCache>
                <c:formatCode>0.0%</c:formatCode>
                <c:ptCount val="2"/>
                <c:pt idx="0">
                  <c:v>0.64600000000000002</c:v>
                </c:pt>
                <c:pt idx="1">
                  <c:v>0.33200000000000002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7726336"/>
        <c:axId val="1237725792"/>
      </c:barChart>
      <c:catAx>
        <c:axId val="123772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5792"/>
        <c:crosses val="autoZero"/>
        <c:auto val="1"/>
        <c:lblAlgn val="ctr"/>
        <c:lblOffset val="100"/>
        <c:noMultiLvlLbl val="0"/>
      </c:catAx>
      <c:valAx>
        <c:axId val="123772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%</a:t>
            </a:r>
            <a:r>
              <a:rPr lang="en-US" sz="1100" baseline="0"/>
              <a:t> </a:t>
            </a:r>
            <a:r>
              <a:rPr lang="en-US" sz="1100"/>
              <a:t>with 3 or more risk factors; STEPS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Sheet12!$G$15</c:f>
              <c:strCache>
                <c:ptCount val="1"/>
                <c:pt idx="0">
                  <c:v>Both Sexes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Sheet12!$F$16:$F$18</c:f>
              <c:strCache>
                <c:ptCount val="3"/>
                <c:pt idx="0">
                  <c:v>18 to 44 years</c:v>
                </c:pt>
                <c:pt idx="1">
                  <c:v>45 to 69 year</c:v>
                </c:pt>
                <c:pt idx="2">
                  <c:v>18 to 69 years</c:v>
                </c:pt>
              </c:strCache>
            </c:strRef>
          </c:cat>
          <c:val>
            <c:numRef>
              <c:f>Sheet12!$G$16:$G$18</c:f>
              <c:numCache>
                <c:formatCode>0.0%</c:formatCode>
                <c:ptCount val="3"/>
                <c:pt idx="0">
                  <c:v>0.252</c:v>
                </c:pt>
                <c:pt idx="1">
                  <c:v>0.48599999999999999</c:v>
                </c:pt>
                <c:pt idx="2">
                  <c:v>0.36099999999999999</c:v>
                </c:pt>
              </c:numCache>
            </c:numRef>
          </c:val>
        </c:ser>
        <c:ser>
          <c:idx val="1"/>
          <c:order val="1"/>
          <c:tx>
            <c:strRef>
              <c:f>Sheet12!$H$15</c:f>
              <c:strCache>
                <c:ptCount val="1"/>
                <c:pt idx="0">
                  <c:v>Males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Sheet12!$F$16:$F$18</c:f>
              <c:strCache>
                <c:ptCount val="3"/>
                <c:pt idx="0">
                  <c:v>18 to 44 years</c:v>
                </c:pt>
                <c:pt idx="1">
                  <c:v>45 to 69 year</c:v>
                </c:pt>
                <c:pt idx="2">
                  <c:v>18 to 69 years</c:v>
                </c:pt>
              </c:strCache>
            </c:strRef>
          </c:cat>
          <c:val>
            <c:numRef>
              <c:f>Sheet12!$H$16:$H$18</c:f>
              <c:numCache>
                <c:formatCode>0.0%</c:formatCode>
                <c:ptCount val="3"/>
                <c:pt idx="0">
                  <c:v>0.379</c:v>
                </c:pt>
                <c:pt idx="1">
                  <c:v>0.55100000000000005</c:v>
                </c:pt>
                <c:pt idx="2">
                  <c:v>0.45400000000000001</c:v>
                </c:pt>
              </c:numCache>
            </c:numRef>
          </c:val>
        </c:ser>
        <c:ser>
          <c:idx val="2"/>
          <c:order val="2"/>
          <c:tx>
            <c:strRef>
              <c:f>Sheet12!$I$15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Sheet12!$F$16:$F$18</c:f>
              <c:strCache>
                <c:ptCount val="3"/>
                <c:pt idx="0">
                  <c:v>18 to 44 years</c:v>
                </c:pt>
                <c:pt idx="1">
                  <c:v>45 to 69 year</c:v>
                </c:pt>
                <c:pt idx="2">
                  <c:v>18 to 69 years</c:v>
                </c:pt>
              </c:strCache>
            </c:strRef>
          </c:cat>
          <c:val>
            <c:numRef>
              <c:f>Sheet12!$I$16:$I$18</c:f>
              <c:numCache>
                <c:formatCode>0.0%</c:formatCode>
                <c:ptCount val="3"/>
                <c:pt idx="0">
                  <c:v>0.125</c:v>
                </c:pt>
                <c:pt idx="1">
                  <c:v>0.434</c:v>
                </c:pt>
                <c:pt idx="2">
                  <c:v>0.27600000000000002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7728512"/>
        <c:axId val="1177834000"/>
      </c:barChart>
      <c:catAx>
        <c:axId val="123772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34000"/>
        <c:crosses val="autoZero"/>
        <c:auto val="1"/>
        <c:lblAlgn val="ctr"/>
        <c:lblOffset val="100"/>
        <c:noMultiLvlLbl val="0"/>
      </c:catAx>
      <c:valAx>
        <c:axId val="117783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72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Arterial Hypertension diagnosis and measurement; STEPS 2010-2016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Sheet14!$A$2</c:f>
              <c:strCache>
                <c:ptCount val="1"/>
                <c:pt idx="0">
                  <c:v>STEPS 2010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1.0796221322537112E-2"/>
                  <c:y val="1.7854910993268697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322558364414973"/>
                      <c:h val="9.517024657632079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Sheet14!$B$1:$E$1</c:f>
              <c:strCache>
                <c:ptCount val="4"/>
                <c:pt idx="0">
                  <c:v>% never measured</c:v>
                </c:pt>
                <c:pt idx="1">
                  <c:v>% measured, not diagnosed</c:v>
                </c:pt>
                <c:pt idx="2">
                  <c:v>% diagnosed in past 12 months</c:v>
                </c:pt>
                <c:pt idx="3">
                  <c:v>% diagnosed, but not in past 12 months</c:v>
                </c:pt>
              </c:strCache>
            </c:strRef>
          </c:cat>
          <c:val>
            <c:numRef>
              <c:f>Sheet14!$B$2:$E$2</c:f>
              <c:numCache>
                <c:formatCode>0.0%</c:formatCode>
                <c:ptCount val="4"/>
                <c:pt idx="0">
                  <c:v>0.30399999999999999</c:v>
                </c:pt>
                <c:pt idx="1">
                  <c:v>0.42499999999999999</c:v>
                </c:pt>
                <c:pt idx="2">
                  <c:v>5.3999999999999999E-2</c:v>
                </c:pt>
                <c:pt idx="3">
                  <c:v>0.215</c:v>
                </c:pt>
              </c:numCache>
            </c:numRef>
          </c:val>
        </c:ser>
        <c:ser>
          <c:idx val="1"/>
          <c:order val="1"/>
          <c:tx>
            <c:strRef>
              <c:f>Sheet14!$A$3</c:f>
              <c:strCache>
                <c:ptCount val="1"/>
                <c:pt idx="0">
                  <c:v>STEPS 2016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61019902876511"/>
                      <c:h val="0.11784598353777206"/>
                    </c:manualLayout>
                  </c15:layout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322558364414973"/>
                      <c:h val="4.9818772653418324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Sheet14!$B$1:$E$1</c:f>
              <c:strCache>
                <c:ptCount val="4"/>
                <c:pt idx="0">
                  <c:v>% never measured</c:v>
                </c:pt>
                <c:pt idx="1">
                  <c:v>% measured, not diagnosed</c:v>
                </c:pt>
                <c:pt idx="2">
                  <c:v>% diagnosed in past 12 months</c:v>
                </c:pt>
                <c:pt idx="3">
                  <c:v>% diagnosed, but not in past 12 months</c:v>
                </c:pt>
              </c:strCache>
            </c:strRef>
          </c:cat>
          <c:val>
            <c:numRef>
              <c:f>Sheet14!$B$3:$E$3</c:f>
              <c:numCache>
                <c:formatCode>0.0%</c:formatCode>
                <c:ptCount val="4"/>
                <c:pt idx="0">
                  <c:v>0.24</c:v>
                </c:pt>
                <c:pt idx="1">
                  <c:v>0.49199999999999999</c:v>
                </c:pt>
                <c:pt idx="2">
                  <c:v>6.2E-2</c:v>
                </c:pt>
                <c:pt idx="3">
                  <c:v>0.20499999999999999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9"/>
        <c:overlap val="-9"/>
        <c:axId val="1177839984"/>
        <c:axId val="1177837808"/>
      </c:barChart>
      <c:catAx>
        <c:axId val="117783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37808"/>
        <c:crosses val="autoZero"/>
        <c:auto val="1"/>
        <c:lblAlgn val="ctr"/>
        <c:lblOffset val="100"/>
        <c:noMultiLvlLbl val="0"/>
      </c:catAx>
      <c:valAx>
        <c:axId val="117783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3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Arterial Hypertension;</a:t>
            </a:r>
            <a:r>
              <a:rPr lang="en-US" sz="1100" baseline="0"/>
              <a:t> STEPS 2016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Sheet15!$A$2</c:f>
              <c:strCache>
                <c:ptCount val="1"/>
                <c:pt idx="0">
                  <c:v>SBP ≥140 and/or DBP ≥ 90 mmHg or currently on medication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Sheet15!$B$1:$D$1</c:f>
              <c:strCache>
                <c:ptCount val="3"/>
                <c:pt idx="0">
                  <c:v>Both Sexes</c:v>
                </c:pt>
                <c:pt idx="1">
                  <c:v>Males</c:v>
                </c:pt>
                <c:pt idx="2">
                  <c:v>Females</c:v>
                </c:pt>
              </c:strCache>
            </c:strRef>
          </c:cat>
          <c:val>
            <c:numRef>
              <c:f>Sheet15!$B$2:$D$2</c:f>
              <c:numCache>
                <c:formatCode>0.0%</c:formatCode>
                <c:ptCount val="3"/>
                <c:pt idx="0">
                  <c:v>0.377</c:v>
                </c:pt>
                <c:pt idx="1">
                  <c:v>0.38600000000000001</c:v>
                </c:pt>
                <c:pt idx="2">
                  <c:v>0.36899999999999999</c:v>
                </c:pt>
              </c:numCache>
            </c:numRef>
          </c:val>
        </c:ser>
        <c:ser>
          <c:idx val="1"/>
          <c:order val="1"/>
          <c:tx>
            <c:strRef>
              <c:f>Sheet15!$A$3</c:f>
              <c:strCache>
                <c:ptCount val="1"/>
                <c:pt idx="0">
                  <c:v>SBP ≥160 and/or DBP ≥ 100 mmHg or currently on medication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Sheet15!$B$1:$D$1</c:f>
              <c:strCache>
                <c:ptCount val="3"/>
                <c:pt idx="0">
                  <c:v>Both Sexes</c:v>
                </c:pt>
                <c:pt idx="1">
                  <c:v>Males</c:v>
                </c:pt>
                <c:pt idx="2">
                  <c:v>Females</c:v>
                </c:pt>
              </c:strCache>
            </c:strRef>
          </c:cat>
          <c:val>
            <c:numRef>
              <c:f>Sheet15!$B$3:$D$3</c:f>
              <c:numCache>
                <c:formatCode>0.0%</c:formatCode>
                <c:ptCount val="3"/>
                <c:pt idx="0">
                  <c:v>0.24</c:v>
                </c:pt>
                <c:pt idx="1">
                  <c:v>0.22800000000000001</c:v>
                </c:pt>
                <c:pt idx="2">
                  <c:v>0.252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7834544"/>
        <c:axId val="1177846512"/>
      </c:barChart>
      <c:catAx>
        <c:axId val="117783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46512"/>
        <c:crosses val="autoZero"/>
        <c:auto val="1"/>
        <c:lblAlgn val="ctr"/>
        <c:lblOffset val="100"/>
        <c:noMultiLvlLbl val="0"/>
      </c:catAx>
      <c:valAx>
        <c:axId val="117784651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83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0.79463</cdr:x>
      <cdr:y>0.5</cdr:y>
    </cdr:from>
    <cdr:to>
      <cdr:x>0.91875</cdr:x>
      <cdr:y>0.59072</cdr:y>
    </cdr:to>
    <cdr:sp macro="" textlink="">
      <cdr:nvSpPr>
        <cdr:cNvPr id="2" name="TextBox 4"/>
        <cdr:cNvSpPr txBox="1"/>
      </cdr:nvSpPr>
      <cdr:spPr>
        <a:xfrm xmlns:a="http://schemas.openxmlformats.org/drawingml/2006/main">
          <a:off x="3633042" y="1371599"/>
          <a:ext cx="567483" cy="24885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b="0" dirty="0" smtClean="0">
              <a:solidFill>
                <a:schemeClr val="tx1">
                  <a:lumMod val="95000"/>
                  <a:lumOff val="5000"/>
                </a:schemeClr>
              </a:solidFill>
            </a:rPr>
            <a:t>12.2%*</a:t>
          </a:r>
          <a:endParaRPr lang="en-US" sz="1000" b="0" dirty="0">
            <a:solidFill>
              <a:schemeClr val="tx1">
                <a:lumMod val="95000"/>
                <a:lumOff val="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Robizon</dc:creator>
  <cp:lastModifiedBy>Nana Kavtaradze</cp:lastModifiedBy>
  <cp:revision>2</cp:revision>
  <dcterms:created xsi:type="dcterms:W3CDTF">2017-11-23T15:07:00Z</dcterms:created>
  <dcterms:modified xsi:type="dcterms:W3CDTF">2017-11-23T15:07:00Z</dcterms:modified>
</cp:coreProperties>
</file>