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480" w:rsidRPr="007C17A7" w:rsidRDefault="007316EA" w:rsidP="007B33FE">
      <w:pPr>
        <w:shd w:val="clear" w:color="auto" w:fill="FFFFFF" w:themeFill="background1"/>
        <w:spacing w:after="0" w:line="240" w:lineRule="auto"/>
        <w:rPr>
          <w:rFonts w:ascii="Calibri" w:hAnsi="Calibri" w:cs="Calibri"/>
          <w:b/>
          <w:bCs/>
          <w:sz w:val="24"/>
          <w:szCs w:val="24"/>
        </w:rPr>
      </w:pPr>
      <w:r w:rsidRPr="00624570">
        <w:rPr>
          <w:rFonts w:ascii="Calibri" w:eastAsiaTheme="majorEastAsia" w:hAnsi="Calibri" w:cs="Calibri"/>
          <w:b/>
          <w:bCs/>
          <w:i/>
          <w:noProof/>
          <w:color w:val="365F91" w:themeColor="accent1" w:themeShade="BF"/>
        </w:rPr>
        <w:drawing>
          <wp:anchor distT="0" distB="0" distL="114300" distR="114300" simplePos="0" relativeHeight="251660288" behindDoc="0" locked="0" layoutInCell="1" allowOverlap="1">
            <wp:simplePos x="0" y="0"/>
            <wp:positionH relativeFrom="column">
              <wp:posOffset>5174615</wp:posOffset>
            </wp:positionH>
            <wp:positionV relativeFrom="paragraph">
              <wp:posOffset>-270510</wp:posOffset>
            </wp:positionV>
            <wp:extent cx="1504950" cy="611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504950" cy="61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570">
        <w:rPr>
          <w:rFonts w:asciiTheme="majorHAnsi" w:eastAsiaTheme="majorEastAsia" w:hAnsiTheme="majorHAnsi" w:cstheme="majorBidi"/>
          <w:b/>
          <w:bCs/>
          <w:i/>
          <w:noProof/>
          <w:color w:val="365F91" w:themeColor="accent1" w:themeShade="BF"/>
          <w:sz w:val="26"/>
          <w:szCs w:val="26"/>
        </w:rPr>
        <w:drawing>
          <wp:anchor distT="0" distB="0" distL="114300" distR="114300" simplePos="0" relativeHeight="251659264" behindDoc="0" locked="0" layoutInCell="1" allowOverlap="1">
            <wp:simplePos x="0" y="0"/>
            <wp:positionH relativeFrom="column">
              <wp:posOffset>107315</wp:posOffset>
            </wp:positionH>
            <wp:positionV relativeFrom="paragraph">
              <wp:posOffset>-288643</wp:posOffset>
            </wp:positionV>
            <wp:extent cx="1600200" cy="632813"/>
            <wp:effectExtent l="0" t="0" r="0" b="0"/>
            <wp:wrapNone/>
            <wp:docPr id="8" name="Picture 8"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351" cy="64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1F2" w:rsidRDefault="00B311F2" w:rsidP="00B311F2">
      <w:pPr>
        <w:pStyle w:val="Heading2"/>
        <w:rPr>
          <w:rFonts w:ascii="Calibri" w:eastAsiaTheme="majorEastAsia" w:hAnsi="Calibri" w:cs="Calibri"/>
          <w:b w:val="0"/>
          <w:bCs w:val="0"/>
          <w:i w:val="0"/>
          <w:color w:val="365F91" w:themeColor="accent1" w:themeShade="BF"/>
        </w:rPr>
      </w:pPr>
      <w:r>
        <w:rPr>
          <w:rFonts w:ascii="Calibri" w:eastAsiaTheme="minorEastAsia" w:hAnsi="Calibri" w:cs="Calibri"/>
        </w:rPr>
        <w:t xml:space="preserve">     </w:t>
      </w:r>
      <w:r w:rsidRPr="00624570">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Calibri" w:eastAsiaTheme="majorEastAsia" w:hAnsi="Calibri" w:cs="Calibri"/>
          <w:b w:val="0"/>
          <w:bCs w:val="0"/>
          <w:i w:val="0"/>
          <w:color w:val="365F91" w:themeColor="accent1" w:themeShade="BF"/>
        </w:rPr>
        <w:t xml:space="preserve">  </w:t>
      </w:r>
      <w:r>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Theme="minorHAnsi" w:eastAsiaTheme="majorEastAsia" w:hAnsiTheme="minorHAnsi" w:cs="Calibri"/>
          <w:b w:val="0"/>
          <w:bCs w:val="0"/>
          <w:i w:val="0"/>
          <w:color w:val="365F91" w:themeColor="accent1" w:themeShade="BF"/>
          <w:lang w:val="ka-GE"/>
        </w:rPr>
        <w:tab/>
      </w:r>
      <w:r w:rsidR="0012710C">
        <w:rPr>
          <w:rFonts w:asciiTheme="minorHAnsi" w:eastAsiaTheme="majorEastAsia" w:hAnsiTheme="minorHAnsi" w:cs="Calibri"/>
          <w:b w:val="0"/>
          <w:bCs w:val="0"/>
          <w:i w:val="0"/>
          <w:color w:val="365F91" w:themeColor="accent1" w:themeShade="BF"/>
        </w:rPr>
        <w:t xml:space="preserve">  </w:t>
      </w:r>
      <w:r>
        <w:rPr>
          <w:rFonts w:asciiTheme="minorHAnsi" w:eastAsiaTheme="majorEastAsia" w:hAnsiTheme="minorHAnsi" w:cs="Calibri"/>
          <w:b w:val="0"/>
          <w:bCs w:val="0"/>
          <w:i w:val="0"/>
          <w:color w:val="365F91" w:themeColor="accent1" w:themeShade="BF"/>
        </w:rPr>
        <w:t xml:space="preserve">                 </w:t>
      </w:r>
      <w:r w:rsidRPr="00624570">
        <w:rPr>
          <w:rFonts w:asciiTheme="minorHAnsi" w:eastAsiaTheme="majorEastAsia" w:hAnsiTheme="minorHAnsi" w:cs="Calibri"/>
          <w:b w:val="0"/>
          <w:bCs w:val="0"/>
          <w:i w:val="0"/>
          <w:color w:val="365F91" w:themeColor="accent1" w:themeShade="BF"/>
          <w:lang w:val="ka-GE"/>
        </w:rPr>
        <w:tab/>
      </w:r>
      <w:r w:rsidR="0012710C">
        <w:rPr>
          <w:rFonts w:asciiTheme="minorHAnsi" w:eastAsiaTheme="majorEastAsia" w:hAnsiTheme="minorHAnsi" w:cs="Calibri"/>
          <w:b w:val="0"/>
          <w:bCs w:val="0"/>
          <w:i w:val="0"/>
          <w:color w:val="365F91" w:themeColor="accent1" w:themeShade="BF"/>
        </w:rPr>
        <w:t xml:space="preserve">                 </w:t>
      </w:r>
      <w:r w:rsidRPr="00624570">
        <w:rPr>
          <w:rFonts w:ascii="Calibri" w:eastAsiaTheme="majorEastAsia" w:hAnsi="Calibri" w:cs="Calibri"/>
          <w:b w:val="0"/>
          <w:bCs w:val="0"/>
          <w:i w:val="0"/>
          <w:color w:val="365F91" w:themeColor="accent1" w:themeShade="BF"/>
          <w:lang w:val="ka-GE"/>
        </w:rPr>
        <w:t xml:space="preserve">  </w:t>
      </w:r>
      <w:r w:rsidRPr="00624570">
        <w:rPr>
          <w:rFonts w:ascii="Calibri" w:eastAsiaTheme="majorEastAsia" w:hAnsi="Calibri" w:cs="Calibri"/>
          <w:b w:val="0"/>
          <w:bCs w:val="0"/>
          <w:i w:val="0"/>
          <w:color w:val="365F91" w:themeColor="accent1" w:themeShade="BF"/>
        </w:rPr>
        <w:t xml:space="preserve">   </w:t>
      </w:r>
    </w:p>
    <w:p w:rsidR="007316EA" w:rsidRDefault="007316EA" w:rsidP="00B311F2">
      <w:pPr>
        <w:pStyle w:val="Heading2"/>
        <w:jc w:val="right"/>
        <w:rPr>
          <w:rFonts w:ascii="Calibri" w:eastAsiaTheme="majorEastAsia" w:hAnsi="Calibri" w:cs="Calibri"/>
          <w:bCs w:val="0"/>
          <w:i w:val="0"/>
          <w:color w:val="244061" w:themeColor="accent1" w:themeShade="80"/>
          <w:sz w:val="36"/>
          <w:szCs w:val="36"/>
        </w:rPr>
      </w:pPr>
    </w:p>
    <w:p w:rsidR="00B311F2" w:rsidRPr="00B97C81" w:rsidRDefault="00B311F2" w:rsidP="00B311F2">
      <w:pPr>
        <w:pStyle w:val="Heading2"/>
        <w:jc w:val="right"/>
        <w:rPr>
          <w:rFonts w:ascii="Calibri" w:eastAsiaTheme="majorEastAsia" w:hAnsi="Calibri" w:cs="Calibri"/>
          <w:bCs w:val="0"/>
          <w:i w:val="0"/>
          <w:color w:val="244061" w:themeColor="accent1" w:themeShade="80"/>
          <w:sz w:val="32"/>
          <w:szCs w:val="32"/>
        </w:rPr>
      </w:pPr>
      <w:r w:rsidRPr="00B97C81">
        <w:rPr>
          <w:rFonts w:ascii="Calibri" w:eastAsiaTheme="majorEastAsia" w:hAnsi="Calibri" w:cs="Calibri"/>
          <w:bCs w:val="0"/>
          <w:i w:val="0"/>
          <w:color w:val="244061" w:themeColor="accent1" w:themeShade="80"/>
          <w:sz w:val="36"/>
          <w:szCs w:val="36"/>
        </w:rPr>
        <w:t>GEORGIA</w:t>
      </w:r>
      <w:r w:rsidRPr="00B97C81">
        <w:rPr>
          <w:rFonts w:ascii="Calibri" w:eastAsiaTheme="majorEastAsia" w:hAnsi="Calibri" w:cs="Calibri"/>
          <w:bCs w:val="0"/>
          <w:color w:val="244061" w:themeColor="accent1" w:themeShade="80"/>
          <w:sz w:val="32"/>
          <w:szCs w:val="32"/>
        </w:rPr>
        <w:t xml:space="preserve"> </w:t>
      </w:r>
      <w:r w:rsidRPr="00B97C81">
        <w:rPr>
          <w:rFonts w:ascii="Calibri" w:eastAsiaTheme="majorEastAsia" w:hAnsi="Calibri" w:cs="Calibri"/>
          <w:bCs w:val="0"/>
          <w:color w:val="244061" w:themeColor="accent1" w:themeShade="80"/>
          <w:sz w:val="36"/>
          <w:szCs w:val="36"/>
        </w:rPr>
        <w:t>Brief</w:t>
      </w:r>
    </w:p>
    <w:p w:rsidR="00F56480" w:rsidRPr="007C17A7" w:rsidRDefault="00950D3D" w:rsidP="007B33FE">
      <w:pPr>
        <w:shd w:val="clear" w:color="auto" w:fill="FFFFFF" w:themeFill="background1"/>
        <w:spacing w:after="0" w:line="240" w:lineRule="auto"/>
        <w:rPr>
          <w:rFonts w:ascii="Calibri" w:hAnsi="Calibri" w:cs="Calibri"/>
          <w:b/>
          <w:bCs/>
          <w:sz w:val="24"/>
          <w:szCs w:val="24"/>
        </w:rPr>
      </w:pPr>
      <w:r w:rsidRPr="007C17A7">
        <w:rPr>
          <w:rFonts w:ascii="Calibri" w:hAnsi="Calibri" w:cs="Calibri"/>
          <w:b/>
          <w:bCs/>
          <w:noProof/>
          <w:sz w:val="24"/>
          <w:szCs w:val="24"/>
        </w:rPr>
        <mc:AlternateContent>
          <mc:Choice Requires="wps">
            <w:drawing>
              <wp:anchor distT="0" distB="0" distL="114300" distR="114300" simplePos="0" relativeHeight="251658240" behindDoc="0" locked="0" layoutInCell="1" allowOverlap="1" wp14:anchorId="22A02BB2" wp14:editId="75B90BF4">
                <wp:simplePos x="0" y="0"/>
                <wp:positionH relativeFrom="margin">
                  <wp:align>right</wp:align>
                </wp:positionH>
                <wp:positionV relativeFrom="paragraph">
                  <wp:posOffset>26035</wp:posOffset>
                </wp:positionV>
                <wp:extent cx="6667500" cy="790575"/>
                <wp:effectExtent l="0" t="0" r="19050" b="28575"/>
                <wp:wrapNone/>
                <wp:docPr id="12" name="Round Single Corner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790575"/>
                        </a:xfrm>
                        <a:prstGeom prst="round1Rect">
                          <a:avLst>
                            <a:gd name="adj" fmla="val 0"/>
                          </a:avLst>
                        </a:prstGeom>
                        <a:solidFill>
                          <a:srgbClr val="4F81BD"/>
                        </a:solidFill>
                        <a:ln w="25400" cap="flat" cmpd="sng" algn="ctr">
                          <a:solidFill>
                            <a:srgbClr val="4F81BD">
                              <a:shade val="50000"/>
                            </a:srgbClr>
                          </a:solidFill>
                          <a:prstDash val="solid"/>
                        </a:ln>
                        <a:effectLst/>
                      </wps:spPr>
                      <wps:txbx>
                        <w:txbxContent>
                          <w:p w:rsidR="007C17A7" w:rsidRDefault="00FB6F29" w:rsidP="00B311F2">
                            <w:pPr>
                              <w:spacing w:after="0" w:line="240" w:lineRule="auto"/>
                              <w:ind w:left="720"/>
                              <w:jc w:val="center"/>
                            </w:pPr>
                            <w:bookmarkStart w:id="0" w:name="_GoBack"/>
                            <w:bookmarkEnd w:id="0"/>
                            <w:r>
                              <w:rPr>
                                <w:rFonts w:cstheme="minorHAnsi"/>
                                <w:b/>
                                <w:color w:val="FFFFFF" w:themeColor="background1"/>
                                <w:sz w:val="44"/>
                                <w:szCs w:val="44"/>
                              </w:rPr>
                              <w:t>Medical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2BB2" id="Round Single Corner Rectangle 12" o:spid="_x0000_s1026" style="position:absolute;margin-left:473.8pt;margin-top:2.05pt;width:525pt;height:62.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66750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" adj="-11796480,,5400" path="m,l6667500,r,l6667500,790575,,790575,,xe" fillcolor="#4f81bd" strokecolor="#385d8a" strokeweight="2pt">
                <v:stroke joinstyle="miter"/>
                <v:formulas/>
                <v:path arrowok="t" o:connecttype="custom" o:connectlocs="0,0;6667500,0;6667500,0;6667500,790575;0,790575;0,0" o:connectangles="0,0,0,0,0,0" textboxrect="0,0,6667500,790575"/>
                <v:textbox>
                  <w:txbxContent>
                    <w:p w:rsidR="007C17A7" w:rsidRDefault="00FB6F29" w:rsidP="00B311F2">
                      <w:pPr>
                        <w:spacing w:after="0" w:line="240" w:lineRule="auto"/>
                        <w:ind w:left="720"/>
                        <w:jc w:val="center"/>
                      </w:pPr>
                      <w:bookmarkStart w:id="1" w:name="_GoBack"/>
                      <w:bookmarkEnd w:id="1"/>
                      <w:r>
                        <w:rPr>
                          <w:rFonts w:cstheme="minorHAnsi"/>
                          <w:b/>
                          <w:color w:val="FFFFFF" w:themeColor="background1"/>
                          <w:sz w:val="44"/>
                          <w:szCs w:val="44"/>
                        </w:rPr>
                        <w:t>Medical Statistics</w:t>
                      </w:r>
                    </w:p>
                  </w:txbxContent>
                </v:textbox>
                <w10:wrap anchorx="margin"/>
              </v:shape>
            </w:pict>
          </mc:Fallback>
        </mc:AlternateContent>
      </w: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7C17A7" w:rsidRPr="007C17A7" w:rsidRDefault="007C17A7" w:rsidP="00853E34">
      <w:pPr>
        <w:shd w:val="clear" w:color="auto" w:fill="FFFFFF" w:themeFill="background1"/>
        <w:spacing w:after="0" w:line="240" w:lineRule="auto"/>
        <w:jc w:val="center"/>
        <w:rPr>
          <w:rFonts w:ascii="Calibri" w:hAnsi="Calibri" w:cs="Calibri"/>
          <w:b/>
          <w:bCs/>
          <w:color w:val="365F91" w:themeColor="accent1" w:themeShade="BF"/>
          <w:sz w:val="24"/>
          <w:szCs w:val="24"/>
        </w:rPr>
      </w:pPr>
    </w:p>
    <w:p w:rsidR="00263D45" w:rsidRDefault="00263D45" w:rsidP="00FB6F29">
      <w:pPr>
        <w:shd w:val="clear" w:color="auto" w:fill="FFFFFF" w:themeFill="background1"/>
        <w:spacing w:after="0" w:line="240" w:lineRule="auto"/>
        <w:jc w:val="both"/>
        <w:rPr>
          <w:sz w:val="24"/>
          <w:szCs w:val="24"/>
        </w:rPr>
      </w:pPr>
    </w:p>
    <w:p w:rsidR="00FB6F29" w:rsidRPr="00FB6F29" w:rsidRDefault="00FB6F29" w:rsidP="00FB6F29">
      <w:pPr>
        <w:shd w:val="clear" w:color="auto" w:fill="FFFFFF" w:themeFill="background1"/>
        <w:spacing w:after="0" w:line="240" w:lineRule="auto"/>
        <w:jc w:val="both"/>
        <w:rPr>
          <w:sz w:val="24"/>
          <w:szCs w:val="24"/>
        </w:rPr>
      </w:pPr>
      <w:r w:rsidRPr="00FB6F29">
        <w:rPr>
          <w:sz w:val="24"/>
          <w:szCs w:val="24"/>
        </w:rPr>
        <w:t>National Center for Disease Control and Public Health has the leading role in the field of health information in Georgia. The Department of Medical Statistics is a part of the NCDC since 2003, main functions of which are: data collection from the medical establishments, data management (control, classification, validation), data analyses and data presentation through publications and a variety of materials, ensure databases management.</w:t>
      </w:r>
    </w:p>
    <w:p w:rsidR="00FB6F29" w:rsidRDefault="00FB6F29" w:rsidP="00FB6F29">
      <w:pPr>
        <w:shd w:val="clear" w:color="auto" w:fill="FFFFFF" w:themeFill="background1"/>
        <w:spacing w:after="0" w:line="240" w:lineRule="auto"/>
        <w:jc w:val="both"/>
        <w:rPr>
          <w:rFonts w:ascii="Sylfaen" w:hAnsi="Sylfaen"/>
          <w:b/>
          <w:bCs/>
          <w:color w:val="365F91" w:themeColor="accent1" w:themeShade="BF"/>
          <w:sz w:val="24"/>
          <w:szCs w:val="24"/>
        </w:rPr>
      </w:pPr>
    </w:p>
    <w:p w:rsidR="00FB6F29" w:rsidRPr="00D71BA3" w:rsidRDefault="00FB6F29" w:rsidP="00FB6F29">
      <w:pPr>
        <w:spacing w:after="120" w:line="240" w:lineRule="auto"/>
        <w:jc w:val="both"/>
        <w:rPr>
          <w:rFonts w:cstheme="minorHAnsi"/>
          <w:b/>
          <w:bCs/>
          <w:i/>
          <w:color w:val="365F91" w:themeColor="accent1" w:themeShade="BF"/>
          <w:sz w:val="28"/>
          <w:szCs w:val="28"/>
        </w:rPr>
      </w:pPr>
      <w:r w:rsidRPr="00D71BA3">
        <w:rPr>
          <w:rFonts w:cstheme="minorHAnsi"/>
          <w:b/>
          <w:bCs/>
          <w:i/>
          <w:color w:val="365F91" w:themeColor="accent1" w:themeShade="BF"/>
          <w:sz w:val="28"/>
          <w:szCs w:val="28"/>
        </w:rPr>
        <w:t>Key Findings</w:t>
      </w:r>
    </w:p>
    <w:p w:rsidR="00FB6F29" w:rsidRPr="00263D45" w:rsidRDefault="00FB6F29" w:rsidP="00FB6F29">
      <w:pPr>
        <w:jc w:val="both"/>
        <w:rPr>
          <w:sz w:val="24"/>
          <w:szCs w:val="24"/>
        </w:rPr>
      </w:pPr>
      <w:r w:rsidRPr="00263D45">
        <w:rPr>
          <w:noProof/>
          <w:sz w:val="24"/>
          <w:szCs w:val="24"/>
        </w:rPr>
        <w:drawing>
          <wp:anchor distT="0" distB="0" distL="114300" distR="114300" simplePos="0" relativeHeight="251665408" behindDoc="1" locked="0" layoutInCell="1" allowOverlap="1" wp14:anchorId="642FF07D" wp14:editId="1E29E1A6">
            <wp:simplePos x="0" y="0"/>
            <wp:positionH relativeFrom="margin">
              <wp:align>left</wp:align>
            </wp:positionH>
            <wp:positionV relativeFrom="paragraph">
              <wp:posOffset>684745</wp:posOffset>
            </wp:positionV>
            <wp:extent cx="3382645" cy="2015490"/>
            <wp:effectExtent l="0" t="0" r="8255" b="3810"/>
            <wp:wrapTight wrapText="bothSides">
              <wp:wrapPolygon edited="0">
                <wp:start x="0" y="0"/>
                <wp:lineTo x="0" y="21437"/>
                <wp:lineTo x="21531" y="21437"/>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8270" cy="2018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D45">
        <w:rPr>
          <w:sz w:val="24"/>
          <w:szCs w:val="24"/>
        </w:rPr>
        <w:t xml:space="preserve">Development of the health information systems (HIS) in the country is based on the principals of the modern healthcare practice, supported by electronic processes and communication (eHealth). Following these principals, in 2014, a new case-based </w:t>
      </w:r>
      <w:r w:rsidRPr="00263D45">
        <w:rPr>
          <w:b/>
          <w:i/>
          <w:sz w:val="24"/>
          <w:szCs w:val="24"/>
        </w:rPr>
        <w:t>electronic hospital discharge reporting system</w:t>
      </w:r>
      <w:r w:rsidRPr="00263D45">
        <w:rPr>
          <w:sz w:val="24"/>
          <w:szCs w:val="24"/>
        </w:rPr>
        <w:t xml:space="preserve"> was developed. Implementation of the system, enables a deeper data analysis and presentation, creating a basis for evidence-based decisions. Content of the records allows distribution of data by geographic location, diagnosis, hospitalization outcome, conducted surgeries and procedures, and personalized features (sex, age, education, etc.). Statisticians from all countrywide in-patient health institutions have been trained by the Medical Statistics Department staff of NCDC. </w:t>
      </w:r>
    </w:p>
    <w:p w:rsidR="00FB6F29" w:rsidRDefault="00FB6F29" w:rsidP="00FB6F29">
      <w:pPr>
        <w:spacing w:after="0" w:line="240" w:lineRule="auto"/>
        <w:jc w:val="both"/>
      </w:pPr>
    </w:p>
    <w:p w:rsidR="00FB6F29" w:rsidRPr="00263D45" w:rsidRDefault="00263D45" w:rsidP="00FB6F29">
      <w:pPr>
        <w:spacing w:after="0" w:line="240" w:lineRule="auto"/>
        <w:jc w:val="both"/>
        <w:rPr>
          <w:sz w:val="24"/>
          <w:szCs w:val="24"/>
        </w:rPr>
      </w:pPr>
      <w:r w:rsidRPr="00263D45">
        <w:rPr>
          <w:noProof/>
          <w:sz w:val="24"/>
          <w:szCs w:val="24"/>
        </w:rPr>
        <w:drawing>
          <wp:anchor distT="0" distB="0" distL="114300" distR="114300" simplePos="0" relativeHeight="251666432" behindDoc="1" locked="0" layoutInCell="1" allowOverlap="1" wp14:anchorId="47C268E8" wp14:editId="083F70B0">
            <wp:simplePos x="0" y="0"/>
            <wp:positionH relativeFrom="margin">
              <wp:posOffset>3280410</wp:posOffset>
            </wp:positionH>
            <wp:positionV relativeFrom="margin">
              <wp:posOffset>6299835</wp:posOffset>
            </wp:positionV>
            <wp:extent cx="3403600" cy="2252980"/>
            <wp:effectExtent l="0" t="0" r="6350" b="0"/>
            <wp:wrapTight wrapText="bothSides">
              <wp:wrapPolygon edited="0">
                <wp:start x="0" y="0"/>
                <wp:lineTo x="0" y="21369"/>
                <wp:lineTo x="21519" y="21369"/>
                <wp:lineTo x="215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600" cy="2252980"/>
                    </a:xfrm>
                    <a:prstGeom prst="rect">
                      <a:avLst/>
                    </a:prstGeom>
                  </pic:spPr>
                </pic:pic>
              </a:graphicData>
            </a:graphic>
            <wp14:sizeRelH relativeFrom="margin">
              <wp14:pctWidth>0</wp14:pctWidth>
            </wp14:sizeRelH>
            <wp14:sizeRelV relativeFrom="margin">
              <wp14:pctHeight>0</wp14:pctHeight>
            </wp14:sizeRelV>
          </wp:anchor>
        </w:drawing>
      </w:r>
      <w:r w:rsidR="00FB6F29" w:rsidRPr="00263D45">
        <w:rPr>
          <w:sz w:val="24"/>
          <w:szCs w:val="24"/>
        </w:rPr>
        <w:t xml:space="preserve">In 2016, a similar case-based </w:t>
      </w:r>
      <w:r w:rsidR="00FB6F29" w:rsidRPr="00263D45">
        <w:rPr>
          <w:b/>
          <w:i/>
          <w:sz w:val="24"/>
          <w:szCs w:val="24"/>
        </w:rPr>
        <w:t>electronic reporting system for primary health care</w:t>
      </w:r>
      <w:r w:rsidR="00FB6F29" w:rsidRPr="00263D45">
        <w:rPr>
          <w:sz w:val="24"/>
          <w:szCs w:val="24"/>
        </w:rPr>
        <w:t xml:space="preserve"> institutions was implemented throughout the country. The system also created a basis for a detailed data analysis (by gender, age, diagnosis, geographical location, etc.). Statisticians from all outpatient health institutions were trained by Medical Statistics Department staff. </w:t>
      </w:r>
    </w:p>
    <w:p w:rsidR="00FB6F29" w:rsidRPr="00263D45" w:rsidRDefault="00FB6F29" w:rsidP="00FB6F29">
      <w:pPr>
        <w:pStyle w:val="text"/>
        <w:shd w:val="clear" w:color="auto" w:fill="FFFFFF"/>
        <w:spacing w:before="0" w:beforeAutospacing="0" w:after="0" w:afterAutospacing="0"/>
        <w:textAlignment w:val="baseline"/>
        <w:rPr>
          <w:rFonts w:asciiTheme="minorHAnsi" w:eastAsiaTheme="minorHAnsi" w:hAnsiTheme="minorHAnsi" w:cstheme="minorBidi"/>
        </w:rPr>
      </w:pPr>
    </w:p>
    <w:p w:rsidR="00FB6F29" w:rsidRPr="00263D45" w:rsidRDefault="00FB6F29" w:rsidP="00FB6F29">
      <w:pPr>
        <w:pStyle w:val="text"/>
        <w:shd w:val="clear" w:color="auto" w:fill="FFFFFF"/>
        <w:spacing w:before="0" w:beforeAutospacing="0" w:after="0" w:afterAutospacing="0"/>
        <w:jc w:val="both"/>
        <w:textAlignment w:val="baseline"/>
        <w:rPr>
          <w:rFonts w:asciiTheme="minorHAnsi" w:eastAsiaTheme="minorHAnsi" w:hAnsiTheme="minorHAnsi" w:cstheme="minorBidi"/>
        </w:rPr>
      </w:pPr>
      <w:r w:rsidRPr="00263D45">
        <w:rPr>
          <w:rFonts w:asciiTheme="minorHAnsi" w:eastAsiaTheme="minorHAnsi" w:hAnsiTheme="minorHAnsi" w:cstheme="minorBidi"/>
        </w:rPr>
        <w:t xml:space="preserve">Georgian HIS is shifting from one rooted in regular data collection to one that focuses on better managing chronic disease conditions and improving registration of the overall health status of the population. Helping to fuel this transition is the emergence of new models of data collection - </w:t>
      </w:r>
      <w:r w:rsidRPr="00263D45">
        <w:rPr>
          <w:rFonts w:asciiTheme="minorHAnsi" w:eastAsiaTheme="minorHAnsi" w:hAnsiTheme="minorHAnsi" w:cstheme="minorBidi"/>
          <w:b/>
          <w:i/>
        </w:rPr>
        <w:t>registries</w:t>
      </w:r>
      <w:r w:rsidRPr="00263D45">
        <w:rPr>
          <w:rFonts w:asciiTheme="minorHAnsi" w:eastAsiaTheme="minorHAnsi" w:hAnsiTheme="minorHAnsi" w:cstheme="minorBidi"/>
        </w:rPr>
        <w:t>.</w:t>
      </w:r>
    </w:p>
    <w:p w:rsidR="00FB6F29" w:rsidRPr="00263D45" w:rsidRDefault="00FB6F29" w:rsidP="00FB6F29">
      <w:pPr>
        <w:spacing w:after="0" w:line="240" w:lineRule="auto"/>
        <w:jc w:val="both"/>
        <w:rPr>
          <w:sz w:val="24"/>
          <w:szCs w:val="24"/>
        </w:rPr>
      </w:pPr>
    </w:p>
    <w:p w:rsidR="00FB6F29" w:rsidRPr="00263D45" w:rsidRDefault="00FB6F29" w:rsidP="00FB6F29">
      <w:pPr>
        <w:spacing w:after="0" w:line="240" w:lineRule="auto"/>
        <w:jc w:val="both"/>
        <w:rPr>
          <w:noProof/>
          <w:sz w:val="24"/>
          <w:szCs w:val="24"/>
        </w:rPr>
      </w:pPr>
      <w:r w:rsidRPr="00263D45">
        <w:rPr>
          <w:sz w:val="24"/>
          <w:szCs w:val="24"/>
        </w:rPr>
        <w:lastRenderedPageBreak/>
        <w:t xml:space="preserve">In 2015, </w:t>
      </w:r>
      <w:r w:rsidRPr="00263D45">
        <w:rPr>
          <w:b/>
          <w:i/>
          <w:sz w:val="24"/>
          <w:szCs w:val="24"/>
        </w:rPr>
        <w:t>Population-based Cancer Registry</w:t>
      </w:r>
      <w:r w:rsidRPr="00263D45">
        <w:rPr>
          <w:sz w:val="24"/>
          <w:szCs w:val="24"/>
        </w:rPr>
        <w:t>, which is an organized system for collecting, storing, analyzing, interpreting and presenting the cancer data, was implemented. The Registry plays a significant role in terms of gathering qualitative data of cancer incidence and prevalence. Using this type of registry is important for cancer control programs’ assessment, for the defining and planning priority interventions, for cancer screening and for proper implementation other preventive measures, as well as for evaluation of the service effectiveness to determine the oncological patients’ medical care dynamic observation.</w:t>
      </w:r>
      <w:r w:rsidRPr="00263D45">
        <w:rPr>
          <w:noProof/>
          <w:sz w:val="24"/>
          <w:szCs w:val="24"/>
        </w:rPr>
        <w:t xml:space="preserve">  After the introduction of cancer registry, the registered incidence of malignant neoplasms almost doubled. </w:t>
      </w:r>
    </w:p>
    <w:p w:rsidR="00FB6F29" w:rsidRDefault="00263D45" w:rsidP="00FB6F29">
      <w:pPr>
        <w:shd w:val="clear" w:color="auto" w:fill="FFFFFF" w:themeFill="background1"/>
        <w:spacing w:after="0" w:line="240" w:lineRule="auto"/>
        <w:jc w:val="both"/>
      </w:pPr>
      <w:r>
        <w:rPr>
          <w:noProof/>
        </w:rPr>
        <w:drawing>
          <wp:anchor distT="0" distB="0" distL="114300" distR="114300" simplePos="0" relativeHeight="251667456" behindDoc="0" locked="0" layoutInCell="1" allowOverlap="1" wp14:anchorId="04D2D2B4" wp14:editId="26E9F0CD">
            <wp:simplePos x="0" y="0"/>
            <wp:positionH relativeFrom="column">
              <wp:posOffset>3058795</wp:posOffset>
            </wp:positionH>
            <wp:positionV relativeFrom="paragraph">
              <wp:posOffset>104775</wp:posOffset>
            </wp:positionV>
            <wp:extent cx="3624580" cy="2371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4580" cy="2371725"/>
                    </a:xfrm>
                    <a:prstGeom prst="rect">
                      <a:avLst/>
                    </a:prstGeom>
                  </pic:spPr>
                </pic:pic>
              </a:graphicData>
            </a:graphic>
            <wp14:sizeRelH relativeFrom="margin">
              <wp14:pctWidth>0</wp14:pctWidth>
            </wp14:sizeRelH>
            <wp14:sizeRelV relativeFrom="margin">
              <wp14:pctHeight>0</wp14:pctHeight>
            </wp14:sizeRelV>
          </wp:anchor>
        </w:drawing>
      </w:r>
    </w:p>
    <w:p w:rsidR="00FB6F29" w:rsidRPr="00263D45" w:rsidRDefault="00FB6F29" w:rsidP="00FB6F29">
      <w:pPr>
        <w:shd w:val="clear" w:color="auto" w:fill="FFFFFF" w:themeFill="background1"/>
        <w:spacing w:after="0" w:line="240" w:lineRule="auto"/>
        <w:jc w:val="both"/>
        <w:rPr>
          <w:rFonts w:ascii="Sylfaen" w:hAnsi="Sylfaen"/>
          <w:b/>
          <w:bCs/>
          <w:color w:val="365F91" w:themeColor="accent1" w:themeShade="BF"/>
          <w:sz w:val="24"/>
          <w:szCs w:val="24"/>
        </w:rPr>
      </w:pPr>
      <w:r w:rsidRPr="00263D45">
        <w:rPr>
          <w:sz w:val="24"/>
          <w:szCs w:val="24"/>
        </w:rPr>
        <w:t xml:space="preserve">Since Georgia introduced electronic data collection of births and deaths, coverage of the birth and death registration reached more than 95% in recent years. Although the large share of </w:t>
      </w:r>
      <w:r w:rsidRPr="00263D45">
        <w:rPr>
          <w:b/>
          <w:i/>
          <w:sz w:val="24"/>
          <w:szCs w:val="24"/>
        </w:rPr>
        <w:t>ill-defined causes</w:t>
      </w:r>
      <w:r w:rsidRPr="00263D45">
        <w:rPr>
          <w:sz w:val="24"/>
          <w:szCs w:val="24"/>
        </w:rPr>
        <w:t xml:space="preserve"> remains a serious problem. A decision to implement additional efforts to determine the underline cause of death was made to improve the situation. District public health centers were involved in the process and their staff was trained in implementing verbal autopsy technology. As a result, the share of ill-defined causes significantly reduced. </w:t>
      </w:r>
    </w:p>
    <w:p w:rsidR="00FB6F29" w:rsidRPr="00263D45" w:rsidRDefault="00FB6F29" w:rsidP="00FB6F29">
      <w:pPr>
        <w:spacing w:after="0" w:line="240" w:lineRule="auto"/>
        <w:jc w:val="both"/>
        <w:rPr>
          <w:sz w:val="24"/>
          <w:szCs w:val="24"/>
        </w:rPr>
      </w:pPr>
    </w:p>
    <w:p w:rsidR="00FB6F29" w:rsidRPr="00263D45" w:rsidRDefault="00FB6F29" w:rsidP="00FB6F29">
      <w:pPr>
        <w:spacing w:after="0" w:line="240" w:lineRule="auto"/>
        <w:jc w:val="both"/>
        <w:rPr>
          <w:sz w:val="24"/>
          <w:szCs w:val="24"/>
        </w:rPr>
      </w:pPr>
      <w:r w:rsidRPr="00263D45">
        <w:rPr>
          <w:sz w:val="24"/>
          <w:szCs w:val="24"/>
        </w:rPr>
        <w:t xml:space="preserve">Introduction of </w:t>
      </w:r>
      <w:r w:rsidRPr="00263D45">
        <w:rPr>
          <w:sz w:val="24"/>
          <w:szCs w:val="24"/>
          <w:lang w:val="x-none"/>
        </w:rPr>
        <w:t>electronic system for antenatal and obstetric services</w:t>
      </w:r>
      <w:r w:rsidRPr="00263D45">
        <w:rPr>
          <w:sz w:val="24"/>
          <w:szCs w:val="24"/>
        </w:rPr>
        <w:t>, so called “</w:t>
      </w:r>
      <w:r w:rsidRPr="00263D45">
        <w:rPr>
          <w:b/>
          <w:i/>
          <w:sz w:val="24"/>
          <w:szCs w:val="24"/>
        </w:rPr>
        <w:t>Georgian Birth Registry</w:t>
      </w:r>
      <w:r w:rsidRPr="00263D45">
        <w:rPr>
          <w:sz w:val="24"/>
          <w:szCs w:val="24"/>
        </w:rPr>
        <w:t>”</w:t>
      </w:r>
      <w:r w:rsidRPr="00263D45">
        <w:rPr>
          <w:sz w:val="24"/>
          <w:szCs w:val="24"/>
          <w:lang w:val="x-none"/>
        </w:rPr>
        <w:t>, which provides continuous monitoring of pregnant women from the first antenatal visit until childbirth</w:t>
      </w:r>
      <w:r w:rsidRPr="00263D45">
        <w:rPr>
          <w:sz w:val="24"/>
          <w:szCs w:val="24"/>
        </w:rPr>
        <w:t xml:space="preserve"> in 2016, was an important step forward. The system also registers data about the newborn’s health at birth. </w:t>
      </w:r>
    </w:p>
    <w:p w:rsidR="00FB6F29" w:rsidRDefault="00FB6F29" w:rsidP="00FB6F29">
      <w:pPr>
        <w:shd w:val="clear" w:color="auto" w:fill="FFFFFF" w:themeFill="background1"/>
        <w:spacing w:after="0" w:line="240" w:lineRule="auto"/>
        <w:jc w:val="both"/>
      </w:pPr>
      <w:r>
        <w:rPr>
          <w:noProof/>
        </w:rPr>
        <w:drawing>
          <wp:anchor distT="0" distB="0" distL="114300" distR="114300" simplePos="0" relativeHeight="251670528" behindDoc="1" locked="0" layoutInCell="1" allowOverlap="1" wp14:anchorId="77C79ECB" wp14:editId="4023C609">
            <wp:simplePos x="0" y="0"/>
            <wp:positionH relativeFrom="margin">
              <wp:posOffset>-275590</wp:posOffset>
            </wp:positionH>
            <wp:positionV relativeFrom="paragraph">
              <wp:posOffset>174625</wp:posOffset>
            </wp:positionV>
            <wp:extent cx="1901825" cy="2005330"/>
            <wp:effectExtent l="0" t="0" r="3175" b="0"/>
            <wp:wrapTight wrapText="bothSides">
              <wp:wrapPolygon edited="0">
                <wp:start x="0" y="0"/>
                <wp:lineTo x="0" y="21340"/>
                <wp:lineTo x="21420" y="21340"/>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1825" cy="2005330"/>
                    </a:xfrm>
                    <a:prstGeom prst="rect">
                      <a:avLst/>
                    </a:prstGeom>
                  </pic:spPr>
                </pic:pic>
              </a:graphicData>
            </a:graphic>
            <wp14:sizeRelH relativeFrom="margin">
              <wp14:pctWidth>0</wp14:pctWidth>
            </wp14:sizeRelH>
            <wp14:sizeRelV relativeFrom="margin">
              <wp14:pctHeight>0</wp14:pctHeight>
            </wp14:sizeRelV>
          </wp:anchor>
        </w:drawing>
      </w:r>
    </w:p>
    <w:p w:rsidR="00FB6F29" w:rsidRPr="00263D45" w:rsidRDefault="00FB6F29" w:rsidP="00FB6F29">
      <w:pPr>
        <w:spacing w:after="0" w:line="240" w:lineRule="auto"/>
        <w:jc w:val="both"/>
        <w:rPr>
          <w:sz w:val="24"/>
          <w:szCs w:val="24"/>
        </w:rPr>
      </w:pPr>
      <w:r w:rsidRPr="00263D45">
        <w:rPr>
          <w:sz w:val="24"/>
          <w:szCs w:val="24"/>
        </w:rPr>
        <w:t>A rapid development of the health information system in the country was supported by the World Health Organization, which plays an important role in this process. An important milestone of the collaboration was the implementation of the 10</w:t>
      </w:r>
      <w:r w:rsidRPr="00263D45">
        <w:rPr>
          <w:sz w:val="24"/>
          <w:szCs w:val="24"/>
          <w:vertAlign w:val="superscript"/>
        </w:rPr>
        <w:t>th</w:t>
      </w:r>
      <w:r w:rsidRPr="00263D45">
        <w:rPr>
          <w:sz w:val="24"/>
          <w:szCs w:val="24"/>
        </w:rPr>
        <w:t xml:space="preserve"> Revision of the </w:t>
      </w:r>
      <w:r w:rsidRPr="00263D45">
        <w:rPr>
          <w:b/>
          <w:i/>
          <w:sz w:val="24"/>
          <w:szCs w:val="24"/>
        </w:rPr>
        <w:t>International Statistical Classification of Diseases and Related Health Problems</w:t>
      </w:r>
      <w:r w:rsidRPr="00263D45">
        <w:rPr>
          <w:sz w:val="24"/>
          <w:szCs w:val="24"/>
        </w:rPr>
        <w:t xml:space="preserve"> throughout the whole country. A lot of cascade trainings for different target groups have been conducted to study the morbidity and mortality registration. The trainers’ potential has been developed at regional level. In addition, all materials are translated into Georgian language. NCDC translates published volumes of ICD-10 with updates and lists of changes.</w:t>
      </w:r>
    </w:p>
    <w:p w:rsidR="00FB6F29" w:rsidRPr="00263D45" w:rsidRDefault="00FB6F29" w:rsidP="00FB6F29">
      <w:pPr>
        <w:shd w:val="clear" w:color="auto" w:fill="FFFFFF" w:themeFill="background1"/>
        <w:jc w:val="both"/>
        <w:rPr>
          <w:sz w:val="24"/>
          <w:szCs w:val="24"/>
        </w:rPr>
      </w:pPr>
    </w:p>
    <w:p w:rsidR="00FB6F29" w:rsidRDefault="00FB6F29" w:rsidP="00FB6F29">
      <w:pPr>
        <w:shd w:val="clear" w:color="auto" w:fill="FFFFFF" w:themeFill="background1"/>
        <w:spacing w:after="0" w:line="240" w:lineRule="auto"/>
        <w:jc w:val="both"/>
      </w:pPr>
      <w:r w:rsidRPr="00263D45">
        <w:rPr>
          <w:noProof/>
          <w:sz w:val="24"/>
          <w:szCs w:val="24"/>
        </w:rPr>
        <w:drawing>
          <wp:anchor distT="0" distB="0" distL="114300" distR="114300" simplePos="0" relativeHeight="251669504" behindDoc="1" locked="0" layoutInCell="1" allowOverlap="1" wp14:anchorId="37711D83" wp14:editId="0986070E">
            <wp:simplePos x="0" y="0"/>
            <wp:positionH relativeFrom="margin">
              <wp:posOffset>4147185</wp:posOffset>
            </wp:positionH>
            <wp:positionV relativeFrom="paragraph">
              <wp:posOffset>66675</wp:posOffset>
            </wp:positionV>
            <wp:extent cx="2537460" cy="1781175"/>
            <wp:effectExtent l="0" t="0" r="0" b="9525"/>
            <wp:wrapTight wrapText="bothSides">
              <wp:wrapPolygon edited="0">
                <wp:start x="0" y="0"/>
                <wp:lineTo x="0" y="21484"/>
                <wp:lineTo x="21405" y="21484"/>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7460" cy="1781175"/>
                    </a:xfrm>
                    <a:prstGeom prst="rect">
                      <a:avLst/>
                    </a:prstGeom>
                  </pic:spPr>
                </pic:pic>
              </a:graphicData>
            </a:graphic>
            <wp14:sizeRelH relativeFrom="margin">
              <wp14:pctWidth>0</wp14:pctWidth>
            </wp14:sizeRelH>
            <wp14:sizeRelV relativeFrom="margin">
              <wp14:pctHeight>0</wp14:pctHeight>
            </wp14:sizeRelV>
          </wp:anchor>
        </w:drawing>
      </w:r>
      <w:r w:rsidRPr="00263D45">
        <w:rPr>
          <w:sz w:val="24"/>
          <w:szCs w:val="24"/>
        </w:rPr>
        <w:t xml:space="preserve">Georgia was the first country in the European region, having translated The World Health Organization’s </w:t>
      </w:r>
      <w:r w:rsidRPr="00263D45">
        <w:rPr>
          <w:b/>
          <w:i/>
          <w:sz w:val="24"/>
          <w:szCs w:val="24"/>
        </w:rPr>
        <w:t>Web-based interactive training package</w:t>
      </w:r>
      <w:r w:rsidRPr="00263D45">
        <w:rPr>
          <w:sz w:val="24"/>
          <w:szCs w:val="24"/>
        </w:rPr>
        <w:t xml:space="preserve"> for coding morbidity and mortality. In 2011-2012, it was translated into Georgian language and was uploaded on the Center’s web-site:</w:t>
      </w:r>
      <w:r>
        <w:t xml:space="preserve"> </w:t>
      </w:r>
    </w:p>
    <w:p w:rsidR="00FB6F29" w:rsidRDefault="00FB6F29" w:rsidP="00FB6F29">
      <w:pPr>
        <w:shd w:val="clear" w:color="auto" w:fill="FFFFFF" w:themeFill="background1"/>
        <w:spacing w:after="0" w:line="240" w:lineRule="auto"/>
        <w:jc w:val="both"/>
      </w:pPr>
      <w:hyperlink r:id="rId12" w:tgtFrame="_blank" w:history="1">
        <w:r>
          <w:rPr>
            <w:rStyle w:val="Hyperlink"/>
            <w:rFonts w:ascii="Arial" w:hAnsi="Arial"/>
            <w:color w:val="004061"/>
            <w:sz w:val="18"/>
            <w:szCs w:val="18"/>
            <w:shd w:val="clear" w:color="auto" w:fill="FFFFFF"/>
          </w:rPr>
          <w:t>http://apps.who.int/classifications/apps/icd/icd10training/</w:t>
        </w:r>
      </w:hyperlink>
      <w:r>
        <w:rPr>
          <w:rStyle w:val="Hyperlink"/>
          <w:rFonts w:ascii="Arial" w:hAnsi="Arial"/>
          <w:color w:val="004061"/>
          <w:sz w:val="18"/>
          <w:szCs w:val="18"/>
          <w:shd w:val="clear" w:color="auto" w:fill="FFFFFF"/>
        </w:rPr>
        <w:t>.</w:t>
      </w:r>
    </w:p>
    <w:p w:rsidR="00FB6F29" w:rsidRDefault="00FB6F29" w:rsidP="00FB6F29">
      <w:pPr>
        <w:shd w:val="clear" w:color="auto" w:fill="FFFFFF" w:themeFill="background1"/>
        <w:spacing w:after="0" w:line="240" w:lineRule="auto"/>
        <w:jc w:val="both"/>
      </w:pPr>
    </w:p>
    <w:p w:rsidR="00FB6F29" w:rsidRDefault="00FB6F29" w:rsidP="00FB6F29">
      <w:pPr>
        <w:shd w:val="clear" w:color="auto" w:fill="FFFFFF" w:themeFill="background1"/>
        <w:spacing w:after="0" w:line="240" w:lineRule="auto"/>
        <w:jc w:val="both"/>
      </w:pPr>
    </w:p>
    <w:p w:rsidR="00263D45" w:rsidRDefault="00FB6F29" w:rsidP="00FB6F29">
      <w:pPr>
        <w:spacing w:after="0" w:line="240" w:lineRule="auto"/>
        <w:jc w:val="both"/>
      </w:pPr>
      <w:r w:rsidRPr="00263D45">
        <w:rPr>
          <w:noProof/>
          <w:sz w:val="24"/>
          <w:szCs w:val="24"/>
        </w:rPr>
        <w:lastRenderedPageBreak/>
        <w:drawing>
          <wp:anchor distT="0" distB="0" distL="114300" distR="114300" simplePos="0" relativeHeight="251668480" behindDoc="1" locked="0" layoutInCell="1" allowOverlap="1" wp14:anchorId="75C95D1A" wp14:editId="4905B76A">
            <wp:simplePos x="0" y="0"/>
            <wp:positionH relativeFrom="margin">
              <wp:align>right</wp:align>
            </wp:positionH>
            <wp:positionV relativeFrom="paragraph">
              <wp:posOffset>1270</wp:posOffset>
            </wp:positionV>
            <wp:extent cx="1327150" cy="2073910"/>
            <wp:effectExtent l="0" t="0" r="6350" b="2540"/>
            <wp:wrapTight wrapText="bothSides">
              <wp:wrapPolygon edited="0">
                <wp:start x="0" y="0"/>
                <wp:lineTo x="0" y="21428"/>
                <wp:lineTo x="21393" y="21428"/>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27938" cy="2075691"/>
                    </a:xfrm>
                    <a:prstGeom prst="rect">
                      <a:avLst/>
                    </a:prstGeom>
                  </pic:spPr>
                </pic:pic>
              </a:graphicData>
            </a:graphic>
            <wp14:sizeRelH relativeFrom="margin">
              <wp14:pctWidth>0</wp14:pctWidth>
            </wp14:sizeRelH>
            <wp14:sizeRelV relativeFrom="margin">
              <wp14:pctHeight>0</wp14:pctHeight>
            </wp14:sizeRelV>
          </wp:anchor>
        </w:drawing>
      </w:r>
      <w:r w:rsidRPr="00263D45">
        <w:rPr>
          <w:sz w:val="24"/>
          <w:szCs w:val="24"/>
        </w:rPr>
        <w:t xml:space="preserve">Implementation of the unique </w:t>
      </w:r>
      <w:r w:rsidRPr="00263D45">
        <w:rPr>
          <w:b/>
          <w:i/>
          <w:sz w:val="24"/>
          <w:szCs w:val="24"/>
        </w:rPr>
        <w:t xml:space="preserve">classifications of health interventions </w:t>
      </w:r>
      <w:r w:rsidRPr="00263D45">
        <w:rPr>
          <w:sz w:val="24"/>
          <w:szCs w:val="24"/>
        </w:rPr>
        <w:t>and services was an important step for reinforcing the data standardization in Georgia. Classifications of outpatient and in-patient interventions, suitable for Georgia, have been chosen for adequately managing and registration of a great volume of data: NOMESCO Classification of Surgical Procedures (NCSP) for in-patient, and the International Classification of Primary Care (ICPC) for outpatient care. The classifications have been implemented since 2011. Classifications are available on-line:</w:t>
      </w:r>
      <w:r>
        <w:t xml:space="preserve"> </w:t>
      </w:r>
    </w:p>
    <w:p w:rsidR="00FB6F29" w:rsidRDefault="00FB6F29" w:rsidP="00FB6F29">
      <w:pPr>
        <w:spacing w:after="0" w:line="240" w:lineRule="auto"/>
        <w:jc w:val="both"/>
      </w:pPr>
      <w:hyperlink r:id="rId14" w:history="1">
        <w:r w:rsidRPr="00701EA6">
          <w:rPr>
            <w:rStyle w:val="Hyperlink"/>
          </w:rPr>
          <w:t>http://classifications.moh.gov.ge/Classifications/Pages/ViewICD10.aspx</w:t>
        </w:r>
      </w:hyperlink>
      <w:r>
        <w:rPr>
          <w:rStyle w:val="Hyperlink"/>
        </w:rPr>
        <w:t>.</w:t>
      </w:r>
    </w:p>
    <w:p w:rsidR="00FB6F29" w:rsidRDefault="00FB6F29" w:rsidP="00FB6F29">
      <w:pPr>
        <w:shd w:val="clear" w:color="auto" w:fill="FFFFFF" w:themeFill="background1"/>
        <w:spacing w:after="0" w:line="240" w:lineRule="auto"/>
        <w:jc w:val="both"/>
      </w:pPr>
    </w:p>
    <w:p w:rsidR="00FB6F29" w:rsidRPr="00263D45" w:rsidRDefault="00FB6F29" w:rsidP="00FB6F29">
      <w:pPr>
        <w:spacing w:after="160" w:line="259" w:lineRule="auto"/>
        <w:jc w:val="both"/>
        <w:rPr>
          <w:sz w:val="24"/>
          <w:szCs w:val="24"/>
        </w:rPr>
      </w:pPr>
      <w:r w:rsidRPr="00263D45">
        <w:rPr>
          <w:sz w:val="24"/>
          <w:szCs w:val="24"/>
        </w:rPr>
        <w:t>In 2013, a capacity building process in ICD10 implementation started. Trainings of trainers (</w:t>
      </w:r>
      <w:proofErr w:type="spellStart"/>
      <w:r w:rsidRPr="00263D45">
        <w:rPr>
          <w:sz w:val="24"/>
          <w:szCs w:val="24"/>
        </w:rPr>
        <w:t>ToT</w:t>
      </w:r>
      <w:proofErr w:type="spellEnd"/>
      <w:r w:rsidRPr="00263D45">
        <w:rPr>
          <w:sz w:val="24"/>
          <w:szCs w:val="24"/>
        </w:rPr>
        <w:t>) and following trainings of Public health (PH) specialists</w:t>
      </w:r>
      <w:r w:rsidRPr="00263D45">
        <w:rPr>
          <w:noProof/>
          <w:sz w:val="24"/>
          <w:szCs w:val="24"/>
        </w:rPr>
        <w:t xml:space="preserve"> </w:t>
      </w:r>
      <w:r w:rsidRPr="00263D45">
        <w:rPr>
          <w:sz w:val="24"/>
          <w:szCs w:val="24"/>
        </w:rPr>
        <w:t>in proper use of ICD10 were conducted countrywide.</w:t>
      </w:r>
      <w:r w:rsidRPr="00263D45">
        <w:rPr>
          <w:noProof/>
          <w:sz w:val="24"/>
          <w:szCs w:val="24"/>
        </w:rPr>
        <w:t xml:space="preserve"> </w:t>
      </w:r>
    </w:p>
    <w:p w:rsidR="00FB6F29" w:rsidRPr="00263D45" w:rsidRDefault="00FB6F29" w:rsidP="00FB6F29">
      <w:pPr>
        <w:shd w:val="clear" w:color="auto" w:fill="FFFFFF" w:themeFill="background1"/>
        <w:spacing w:after="0" w:line="240" w:lineRule="auto"/>
        <w:jc w:val="both"/>
        <w:rPr>
          <w:sz w:val="24"/>
          <w:szCs w:val="24"/>
        </w:rPr>
      </w:pPr>
      <w:r w:rsidRPr="00263D45">
        <w:rPr>
          <w:b/>
          <w:i/>
          <w:noProof/>
          <w:sz w:val="24"/>
          <w:szCs w:val="24"/>
        </w:rPr>
        <w:drawing>
          <wp:anchor distT="0" distB="0" distL="114300" distR="114300" simplePos="0" relativeHeight="251663360" behindDoc="1" locked="0" layoutInCell="1" allowOverlap="1" wp14:anchorId="7B5A38D8" wp14:editId="4F43A06B">
            <wp:simplePos x="0" y="0"/>
            <wp:positionH relativeFrom="margin">
              <wp:align>left</wp:align>
            </wp:positionH>
            <wp:positionV relativeFrom="paragraph">
              <wp:posOffset>4473</wp:posOffset>
            </wp:positionV>
            <wp:extent cx="1971675" cy="2282825"/>
            <wp:effectExtent l="0" t="0" r="9525" b="3175"/>
            <wp:wrapTight wrapText="bothSides">
              <wp:wrapPolygon edited="0">
                <wp:start x="0" y="0"/>
                <wp:lineTo x="0" y="21450"/>
                <wp:lineTo x="21496" y="21450"/>
                <wp:lineTo x="214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228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D45">
        <w:rPr>
          <w:b/>
          <w:i/>
          <w:sz w:val="24"/>
          <w:szCs w:val="24"/>
        </w:rPr>
        <w:t>Data popularization and presentation</w:t>
      </w:r>
      <w:r w:rsidRPr="00263D45">
        <w:rPr>
          <w:sz w:val="24"/>
          <w:szCs w:val="24"/>
        </w:rPr>
        <w:t xml:space="preserve"> are among the main goals of the Medical Statistics Department of NCDC. In 1996, the first statistical yearbook “Health Care in Georgia” was published. Since that time, this has been the annual publication. The statistical yearbook “Health Care in Georgia” represents the edition comprising the basic statistical indicators related to public health and health care resources of the country. The indicators provided by the yearbooks are calculated using the WHO recommended methodologies. The latter makes possible to compare the respective data from Georgia to the data from other parts of the world. Since 2012, an edition named “Highlights of health care” has been published annually. The edition is a shorter version of the statistical yearbook prepared faster and published earlier than the main publication.</w:t>
      </w:r>
    </w:p>
    <w:p w:rsidR="00FB6F29" w:rsidRPr="00263D45" w:rsidRDefault="00FB6F29" w:rsidP="00FB6F29">
      <w:pPr>
        <w:shd w:val="clear" w:color="auto" w:fill="FFFFFF" w:themeFill="background1"/>
        <w:spacing w:after="0" w:line="240" w:lineRule="auto"/>
        <w:jc w:val="both"/>
        <w:rPr>
          <w:sz w:val="24"/>
          <w:szCs w:val="24"/>
        </w:rPr>
      </w:pPr>
    </w:p>
    <w:p w:rsidR="00FB6F29" w:rsidRDefault="00FB6F29" w:rsidP="00FB6F29">
      <w:pPr>
        <w:shd w:val="clear" w:color="auto" w:fill="FFFFFF" w:themeFill="background1"/>
        <w:spacing w:after="0" w:line="240" w:lineRule="auto"/>
        <w:jc w:val="both"/>
      </w:pPr>
      <w:r w:rsidRPr="00263D45">
        <w:rPr>
          <w:sz w:val="24"/>
          <w:szCs w:val="24"/>
        </w:rPr>
        <w:t>Since 2008, statistical publications have been available on-line:</w:t>
      </w:r>
      <w:r>
        <w:t xml:space="preserve"> </w:t>
      </w:r>
      <w:hyperlink r:id="rId16" w:history="1">
        <w:r w:rsidRPr="00701EA6">
          <w:rPr>
            <w:rStyle w:val="Hyperlink"/>
          </w:rPr>
          <w:t>http://ncdc.ge/en-US/Statistics/DiseaseStatistics</w:t>
        </w:r>
      </w:hyperlink>
      <w:r>
        <w:t>.</w:t>
      </w:r>
    </w:p>
    <w:p w:rsidR="00FB6F29" w:rsidRDefault="00FB6F29" w:rsidP="00FB6F29">
      <w:pPr>
        <w:shd w:val="clear" w:color="auto" w:fill="FFFFFF" w:themeFill="background1"/>
        <w:spacing w:after="0" w:line="240" w:lineRule="auto"/>
        <w:jc w:val="both"/>
      </w:pPr>
    </w:p>
    <w:p w:rsidR="00FB6F29" w:rsidRPr="00D91AC6" w:rsidRDefault="00FB6F29" w:rsidP="00FB6F29">
      <w:pPr>
        <w:shd w:val="clear" w:color="auto" w:fill="FFFFFF" w:themeFill="background1"/>
        <w:spacing w:after="0" w:line="240" w:lineRule="auto"/>
        <w:jc w:val="both"/>
        <w:rPr>
          <w:rFonts w:ascii="Sylfaen" w:hAnsi="Sylfaen"/>
          <w:lang w:val="ka-GE"/>
        </w:rPr>
      </w:pPr>
    </w:p>
    <w:p w:rsidR="00FB6F29" w:rsidRPr="00D71BA3" w:rsidRDefault="00FB6F29" w:rsidP="00FB6F29">
      <w:pPr>
        <w:spacing w:after="120" w:line="240" w:lineRule="auto"/>
        <w:jc w:val="both"/>
        <w:rPr>
          <w:rFonts w:cstheme="minorHAnsi"/>
          <w:b/>
          <w:bCs/>
          <w:i/>
          <w:color w:val="365F91" w:themeColor="accent1" w:themeShade="BF"/>
          <w:sz w:val="28"/>
          <w:szCs w:val="28"/>
        </w:rPr>
      </w:pPr>
      <w:r w:rsidRPr="00D71BA3">
        <w:rPr>
          <w:rFonts w:cstheme="minorHAnsi"/>
          <w:i/>
          <w:noProof/>
          <w:sz w:val="28"/>
          <w:szCs w:val="28"/>
        </w:rPr>
        <w:drawing>
          <wp:anchor distT="0" distB="0" distL="114300" distR="114300" simplePos="0" relativeHeight="251671552" behindDoc="1" locked="0" layoutInCell="1" allowOverlap="1" wp14:anchorId="706DFCB7" wp14:editId="4684DC23">
            <wp:simplePos x="0" y="0"/>
            <wp:positionH relativeFrom="margin">
              <wp:posOffset>4831080</wp:posOffset>
            </wp:positionH>
            <wp:positionV relativeFrom="paragraph">
              <wp:posOffset>206375</wp:posOffset>
            </wp:positionV>
            <wp:extent cx="1851025" cy="1997710"/>
            <wp:effectExtent l="0" t="0" r="0" b="2540"/>
            <wp:wrapTight wrapText="bothSides">
              <wp:wrapPolygon edited="0">
                <wp:start x="0" y="0"/>
                <wp:lineTo x="0" y="21421"/>
                <wp:lineTo x="21341" y="21421"/>
                <wp:lineTo x="213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51025" cy="1997710"/>
                    </a:xfrm>
                    <a:prstGeom prst="rect">
                      <a:avLst/>
                    </a:prstGeom>
                  </pic:spPr>
                </pic:pic>
              </a:graphicData>
            </a:graphic>
            <wp14:sizeRelH relativeFrom="margin">
              <wp14:pctWidth>0</wp14:pctWidth>
            </wp14:sizeRelH>
            <wp14:sizeRelV relativeFrom="margin">
              <wp14:pctHeight>0</wp14:pctHeight>
            </wp14:sizeRelV>
          </wp:anchor>
        </w:drawing>
      </w:r>
      <w:r w:rsidRPr="00D71BA3">
        <w:rPr>
          <w:rFonts w:cstheme="minorHAnsi"/>
          <w:b/>
          <w:bCs/>
          <w:i/>
          <w:color w:val="365F91" w:themeColor="accent1" w:themeShade="BF"/>
          <w:sz w:val="28"/>
          <w:szCs w:val="28"/>
        </w:rPr>
        <w:t>Recent Key Achievements</w:t>
      </w:r>
    </w:p>
    <w:p w:rsidR="00FB6F29" w:rsidRPr="00263D45" w:rsidRDefault="00FB6F29" w:rsidP="00FB6F29">
      <w:pPr>
        <w:shd w:val="clear" w:color="auto" w:fill="FFFFFF"/>
        <w:spacing w:before="240" w:after="240" w:line="240" w:lineRule="auto"/>
        <w:jc w:val="both"/>
        <w:rPr>
          <w:noProof/>
          <w:sz w:val="24"/>
          <w:szCs w:val="24"/>
        </w:rPr>
      </w:pPr>
      <w:r w:rsidRPr="00263D45">
        <w:rPr>
          <w:sz w:val="24"/>
          <w:szCs w:val="24"/>
        </w:rPr>
        <w:t xml:space="preserve">Collaboration with the WHO continues to be the most fruitful and beneficial for the country. In 2017, </w:t>
      </w:r>
      <w:r w:rsidRPr="00263D45">
        <w:rPr>
          <w:b/>
          <w:i/>
          <w:sz w:val="24"/>
          <w:szCs w:val="24"/>
        </w:rPr>
        <w:t>“Georgia, Profile of health and well-being”</w:t>
      </w:r>
      <w:r w:rsidRPr="00263D45">
        <w:rPr>
          <w:sz w:val="24"/>
          <w:szCs w:val="24"/>
        </w:rPr>
        <w:t xml:space="preserve"> and shorter version </w:t>
      </w:r>
      <w:r w:rsidRPr="00263D45">
        <w:rPr>
          <w:b/>
          <w:i/>
          <w:sz w:val="24"/>
          <w:szCs w:val="24"/>
        </w:rPr>
        <w:t>“Georgia, Highlights on health and well-being”</w:t>
      </w:r>
      <w:r w:rsidRPr="00263D45">
        <w:rPr>
          <w:sz w:val="24"/>
          <w:szCs w:val="24"/>
        </w:rPr>
        <w:t xml:space="preserve"> were developed in collaboration with the WHO Regional Office for Europe. These publications give an overview of a country’s health status, describing data on mortality, morbidity and exposure to key risk factors along with trends over time. Georgia was one of the first among the Member States to develop these publications. The data in the report are drawn from the European Health for All database of the WHO Regional Office for Europe.</w:t>
      </w:r>
      <w:r w:rsidRPr="00263D45">
        <w:rPr>
          <w:noProof/>
          <w:sz w:val="24"/>
          <w:szCs w:val="24"/>
        </w:rPr>
        <w:t xml:space="preserve"> </w:t>
      </w:r>
    </w:p>
    <w:p w:rsidR="00FB6F29" w:rsidRPr="00263D45" w:rsidRDefault="00FB6F29" w:rsidP="00FB6F29">
      <w:pPr>
        <w:shd w:val="clear" w:color="auto" w:fill="FFFFFF"/>
        <w:spacing w:before="240" w:after="240" w:line="240" w:lineRule="auto"/>
        <w:jc w:val="both"/>
        <w:rPr>
          <w:sz w:val="24"/>
          <w:szCs w:val="24"/>
        </w:rPr>
      </w:pPr>
      <w:r w:rsidRPr="00263D45">
        <w:rPr>
          <w:sz w:val="24"/>
          <w:szCs w:val="24"/>
        </w:rPr>
        <w:t xml:space="preserve">In 2017, </w:t>
      </w:r>
      <w:r w:rsidRPr="00263D45">
        <w:rPr>
          <w:b/>
          <w:i/>
          <w:sz w:val="24"/>
          <w:szCs w:val="24"/>
        </w:rPr>
        <w:t>birth and death registration electronic system was transferred under the NCDC supervision</w:t>
      </w:r>
      <w:r w:rsidRPr="00263D45">
        <w:rPr>
          <w:sz w:val="24"/>
          <w:szCs w:val="24"/>
        </w:rPr>
        <w:t>.</w:t>
      </w:r>
      <w:r w:rsidRPr="00263D45">
        <w:rPr>
          <w:noProof/>
          <w:sz w:val="24"/>
          <w:szCs w:val="24"/>
        </w:rPr>
        <w:t xml:space="preserve"> </w:t>
      </w:r>
      <w:r w:rsidRPr="00263D45">
        <w:rPr>
          <w:sz w:val="24"/>
          <w:szCs w:val="24"/>
        </w:rPr>
        <w:t>After migration of the birth and death registration electronic modules to the NCDC, further measures to improve the data quality are taken. In 2017, capacity building process of improvement of identification of causes of death using Verbal Autopsy was continued. The district public health centers (63 PHC) are involved in the implementation of verbal autopsy and medical records revision. All involved staff was provided with trainings and appropriate instructions and materials.</w:t>
      </w:r>
    </w:p>
    <w:p w:rsidR="00FB6F29" w:rsidRPr="00263D45" w:rsidRDefault="00FB6F29" w:rsidP="00FB6F29">
      <w:pPr>
        <w:ind w:left="2520"/>
        <w:jc w:val="both"/>
        <w:rPr>
          <w:rFonts w:cstheme="minorHAnsi"/>
          <w:sz w:val="24"/>
          <w:szCs w:val="24"/>
        </w:rPr>
      </w:pPr>
      <w:r w:rsidRPr="00263D45">
        <w:rPr>
          <w:rFonts w:cstheme="minorHAnsi"/>
          <w:noProof/>
          <w:sz w:val="24"/>
          <w:szCs w:val="24"/>
        </w:rPr>
        <w:lastRenderedPageBreak/>
        <w:drawing>
          <wp:anchor distT="0" distB="0" distL="114300" distR="114300" simplePos="0" relativeHeight="251672576" behindDoc="1" locked="0" layoutInCell="1" allowOverlap="1" wp14:anchorId="71FDF4AB" wp14:editId="36A028AD">
            <wp:simplePos x="0" y="0"/>
            <wp:positionH relativeFrom="margin">
              <wp:posOffset>4801870</wp:posOffset>
            </wp:positionH>
            <wp:positionV relativeFrom="paragraph">
              <wp:posOffset>2569210</wp:posOffset>
            </wp:positionV>
            <wp:extent cx="1891030" cy="1238250"/>
            <wp:effectExtent l="0" t="0" r="0" b="0"/>
            <wp:wrapTight wrapText="bothSides">
              <wp:wrapPolygon edited="0">
                <wp:start x="0" y="0"/>
                <wp:lineTo x="0" y="21268"/>
                <wp:lineTo x="21324" y="21268"/>
                <wp:lineTo x="213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91030" cy="1238250"/>
                    </a:xfrm>
                    <a:prstGeom prst="rect">
                      <a:avLst/>
                    </a:prstGeom>
                  </pic:spPr>
                </pic:pic>
              </a:graphicData>
            </a:graphic>
            <wp14:sizeRelH relativeFrom="margin">
              <wp14:pctWidth>0</wp14:pctWidth>
            </wp14:sizeRelH>
            <wp14:sizeRelV relativeFrom="margin">
              <wp14:pctHeight>0</wp14:pctHeight>
            </wp14:sizeRelV>
          </wp:anchor>
        </w:drawing>
      </w:r>
      <w:r w:rsidRPr="00263D45">
        <w:rPr>
          <w:noProof/>
          <w:sz w:val="24"/>
          <w:szCs w:val="24"/>
        </w:rPr>
        <w:drawing>
          <wp:anchor distT="0" distB="0" distL="114300" distR="114300" simplePos="0" relativeHeight="251662336" behindDoc="1" locked="0" layoutInCell="1" allowOverlap="1" wp14:anchorId="394545B2" wp14:editId="318F9721">
            <wp:simplePos x="0" y="0"/>
            <wp:positionH relativeFrom="margin">
              <wp:posOffset>52705</wp:posOffset>
            </wp:positionH>
            <wp:positionV relativeFrom="paragraph">
              <wp:posOffset>6985</wp:posOffset>
            </wp:positionV>
            <wp:extent cx="1544955" cy="2240915"/>
            <wp:effectExtent l="0" t="0" r="0" b="6985"/>
            <wp:wrapTight wrapText="bothSides">
              <wp:wrapPolygon edited="0">
                <wp:start x="0" y="0"/>
                <wp:lineTo x="0" y="21484"/>
                <wp:lineTo x="21307" y="21484"/>
                <wp:lineTo x="213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4955" cy="2240915"/>
                    </a:xfrm>
                    <a:prstGeom prst="rect">
                      <a:avLst/>
                    </a:prstGeom>
                  </pic:spPr>
                </pic:pic>
              </a:graphicData>
            </a:graphic>
            <wp14:sizeRelH relativeFrom="margin">
              <wp14:pctWidth>0</wp14:pctWidth>
            </wp14:sizeRelH>
            <wp14:sizeRelV relativeFrom="margin">
              <wp14:pctHeight>0</wp14:pctHeight>
            </wp14:sizeRelV>
          </wp:anchor>
        </w:drawing>
      </w:r>
      <w:r w:rsidRPr="00263D45">
        <w:rPr>
          <w:rFonts w:cstheme="minorHAnsi"/>
          <w:sz w:val="24"/>
          <w:szCs w:val="24"/>
        </w:rPr>
        <w:t>International collaboration is essential for getting good statistics. Institute for Health Metrics and Evaluation (</w:t>
      </w:r>
      <w:r w:rsidRPr="00263D45">
        <w:rPr>
          <w:rFonts w:cstheme="minorHAnsi"/>
          <w:iCs/>
          <w:sz w:val="24"/>
          <w:szCs w:val="24"/>
        </w:rPr>
        <w:t xml:space="preserve">IHME) is a global </w:t>
      </w:r>
      <w:r w:rsidRPr="00263D45">
        <w:rPr>
          <w:rFonts w:cstheme="minorHAnsi"/>
          <w:sz w:val="24"/>
          <w:szCs w:val="24"/>
        </w:rPr>
        <w:t xml:space="preserve">research center at the University of Washington that provides independent, rigorous, and comparable measurement of the world’s most important health problems and evaluates the strategies used to address them. IHME and the NCDC aim at improving estimates of the burden of diseases, injuries, and risk factors for Georgia, using methods consistent to the overall </w:t>
      </w:r>
      <w:r w:rsidRPr="00263D45">
        <w:rPr>
          <w:rFonts w:cstheme="minorHAnsi"/>
          <w:b/>
          <w:i/>
          <w:sz w:val="24"/>
          <w:szCs w:val="24"/>
        </w:rPr>
        <w:t>Global Burden of Disease Study (GBD)</w:t>
      </w:r>
      <w:r w:rsidRPr="00263D45">
        <w:rPr>
          <w:rFonts w:cstheme="minorHAnsi"/>
          <w:sz w:val="24"/>
          <w:szCs w:val="24"/>
        </w:rPr>
        <w:t>, administered by IHME. For this to happen, the two institutions collaborate to share data, knowledge, and expertise. The collaboration produces estimates on the burden of diseases, injuries, and risk factors at the national and sub-national level. During 2015-2016, in six articles published in the Lancet the NCDC medical statistics staff has been a co-author.</w:t>
      </w:r>
    </w:p>
    <w:p w:rsidR="00FB6F29" w:rsidRDefault="00FB6F29" w:rsidP="00FB6F29">
      <w:pPr>
        <w:spacing w:after="160" w:line="259" w:lineRule="auto"/>
        <w:jc w:val="both"/>
        <w:rPr>
          <w:sz w:val="24"/>
          <w:szCs w:val="24"/>
        </w:rPr>
      </w:pPr>
      <w:r w:rsidRPr="00263D45">
        <w:rPr>
          <w:rFonts w:cstheme="minorHAnsi"/>
          <w:sz w:val="24"/>
          <w:szCs w:val="24"/>
        </w:rPr>
        <w:t xml:space="preserve">Georgia is a member of the </w:t>
      </w:r>
      <w:r w:rsidRPr="00263D45">
        <w:rPr>
          <w:rFonts w:cstheme="minorHAnsi"/>
          <w:b/>
          <w:i/>
          <w:sz w:val="24"/>
          <w:szCs w:val="24"/>
        </w:rPr>
        <w:t>European Health Information Initiative</w:t>
      </w:r>
      <w:r w:rsidRPr="00263D45">
        <w:rPr>
          <w:rFonts w:cstheme="minorHAnsi"/>
          <w:sz w:val="24"/>
          <w:szCs w:val="24"/>
        </w:rPr>
        <w:t xml:space="preserve"> (EHII), which is a WHO network committed to improving the</w:t>
      </w:r>
      <w:r w:rsidRPr="00263D45">
        <w:rPr>
          <w:sz w:val="24"/>
          <w:szCs w:val="24"/>
        </w:rPr>
        <w:t xml:space="preserve"> information that underpins health policies. It fosters international cooperation to support the exchange of expertise, build capacity and harmonize processes in data collection and reporting. The NCDC staff actively participates in conduction of regular steering committees. </w:t>
      </w:r>
    </w:p>
    <w:p w:rsidR="00FB6F29" w:rsidRPr="00263D45" w:rsidRDefault="00FB6F29" w:rsidP="00FB6F29">
      <w:pPr>
        <w:spacing w:after="120" w:line="240" w:lineRule="auto"/>
        <w:jc w:val="both"/>
        <w:rPr>
          <w:rFonts w:cstheme="minorHAnsi"/>
          <w:b/>
          <w:bCs/>
          <w:i/>
          <w:color w:val="365F91" w:themeColor="accent1" w:themeShade="BF"/>
          <w:sz w:val="28"/>
          <w:szCs w:val="28"/>
        </w:rPr>
      </w:pPr>
      <w:r w:rsidRPr="00263D45">
        <w:rPr>
          <w:rFonts w:cstheme="minorHAnsi"/>
          <w:b/>
          <w:bCs/>
          <w:i/>
          <w:color w:val="365F91" w:themeColor="accent1" w:themeShade="BF"/>
          <w:sz w:val="28"/>
          <w:szCs w:val="28"/>
        </w:rPr>
        <w:t>Challenges and Future Steps</w:t>
      </w:r>
    </w:p>
    <w:p w:rsidR="00FB6F29" w:rsidRPr="00263D45" w:rsidRDefault="00FB6F29" w:rsidP="00FB6F29">
      <w:pPr>
        <w:shd w:val="clear" w:color="auto" w:fill="FFFFFF" w:themeFill="background1"/>
        <w:spacing w:after="0" w:line="240" w:lineRule="auto"/>
        <w:jc w:val="both"/>
        <w:rPr>
          <w:sz w:val="24"/>
          <w:szCs w:val="24"/>
        </w:rPr>
      </w:pPr>
      <w:r w:rsidRPr="00263D45">
        <w:rPr>
          <w:noProof/>
          <w:sz w:val="24"/>
          <w:szCs w:val="24"/>
        </w:rPr>
        <w:drawing>
          <wp:anchor distT="0" distB="0" distL="114300" distR="114300" simplePos="0" relativeHeight="251664384" behindDoc="1" locked="0" layoutInCell="1" allowOverlap="1" wp14:anchorId="6CA5A22E" wp14:editId="294BACB5">
            <wp:simplePos x="0" y="0"/>
            <wp:positionH relativeFrom="margin">
              <wp:posOffset>4122420</wp:posOffset>
            </wp:positionH>
            <wp:positionV relativeFrom="paragraph">
              <wp:posOffset>59055</wp:posOffset>
            </wp:positionV>
            <wp:extent cx="2571750" cy="1906270"/>
            <wp:effectExtent l="0" t="0" r="0" b="0"/>
            <wp:wrapTight wrapText="bothSides">
              <wp:wrapPolygon edited="0">
                <wp:start x="0" y="0"/>
                <wp:lineTo x="0" y="21370"/>
                <wp:lineTo x="21440" y="21370"/>
                <wp:lineTo x="2144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71750" cy="1906270"/>
                    </a:xfrm>
                    <a:prstGeom prst="rect">
                      <a:avLst/>
                    </a:prstGeom>
                  </pic:spPr>
                </pic:pic>
              </a:graphicData>
            </a:graphic>
            <wp14:sizeRelH relativeFrom="margin">
              <wp14:pctWidth>0</wp14:pctWidth>
            </wp14:sizeRelH>
            <wp14:sizeRelV relativeFrom="margin">
              <wp14:pctHeight>0</wp14:pctHeight>
            </wp14:sizeRelV>
          </wp:anchor>
        </w:drawing>
      </w:r>
      <w:r w:rsidRPr="00263D45">
        <w:rPr>
          <w:sz w:val="24"/>
          <w:szCs w:val="24"/>
        </w:rPr>
        <w:t>Future development of the Health Information System (HIS) includes:</w:t>
      </w:r>
    </w:p>
    <w:p w:rsidR="00FB6F29" w:rsidRPr="00263D45" w:rsidRDefault="00FB6F29" w:rsidP="00FB6F29">
      <w:pPr>
        <w:numPr>
          <w:ilvl w:val="0"/>
          <w:numId w:val="42"/>
        </w:numPr>
        <w:spacing w:after="0" w:line="240" w:lineRule="auto"/>
        <w:rPr>
          <w:sz w:val="24"/>
          <w:szCs w:val="24"/>
        </w:rPr>
      </w:pPr>
      <w:r w:rsidRPr="00263D45">
        <w:rPr>
          <w:sz w:val="24"/>
          <w:szCs w:val="24"/>
        </w:rPr>
        <w:t>Full electronic data collection (including cancer registry, and annual forms).</w:t>
      </w:r>
    </w:p>
    <w:p w:rsidR="00FB6F29" w:rsidRPr="00263D45" w:rsidRDefault="00FB6F29" w:rsidP="00FB6F29">
      <w:pPr>
        <w:numPr>
          <w:ilvl w:val="0"/>
          <w:numId w:val="42"/>
        </w:numPr>
        <w:spacing w:after="0" w:line="240" w:lineRule="auto"/>
        <w:rPr>
          <w:sz w:val="24"/>
          <w:szCs w:val="24"/>
        </w:rPr>
      </w:pPr>
      <w:r w:rsidRPr="00263D45">
        <w:rPr>
          <w:sz w:val="24"/>
          <w:szCs w:val="24"/>
        </w:rPr>
        <w:t>Development and implementation of new registries.</w:t>
      </w:r>
    </w:p>
    <w:p w:rsidR="00FB6F29" w:rsidRPr="00263D45" w:rsidRDefault="00FB6F29" w:rsidP="00FB6F29">
      <w:pPr>
        <w:numPr>
          <w:ilvl w:val="0"/>
          <w:numId w:val="42"/>
        </w:numPr>
        <w:spacing w:after="0" w:line="240" w:lineRule="auto"/>
        <w:rPr>
          <w:sz w:val="24"/>
          <w:szCs w:val="24"/>
        </w:rPr>
      </w:pPr>
      <w:r w:rsidRPr="00263D45">
        <w:rPr>
          <w:sz w:val="24"/>
          <w:szCs w:val="24"/>
        </w:rPr>
        <w:t>Implementation of a new system for supervision of under-5 children.</w:t>
      </w:r>
    </w:p>
    <w:p w:rsidR="00FB6F29" w:rsidRPr="00263D45" w:rsidRDefault="00FB6F29" w:rsidP="00FB6F29">
      <w:pPr>
        <w:numPr>
          <w:ilvl w:val="0"/>
          <w:numId w:val="42"/>
        </w:numPr>
        <w:spacing w:after="0" w:line="240" w:lineRule="auto"/>
        <w:rPr>
          <w:sz w:val="24"/>
          <w:szCs w:val="24"/>
        </w:rPr>
      </w:pPr>
      <w:r w:rsidRPr="00263D45">
        <w:rPr>
          <w:sz w:val="24"/>
          <w:szCs w:val="24"/>
        </w:rPr>
        <w:t>Regular updating of implemented medical classifications.</w:t>
      </w:r>
    </w:p>
    <w:p w:rsidR="00FB6F29" w:rsidRPr="00263D45" w:rsidRDefault="00FB6F29" w:rsidP="00FB6F29">
      <w:pPr>
        <w:numPr>
          <w:ilvl w:val="0"/>
          <w:numId w:val="42"/>
        </w:numPr>
        <w:spacing w:after="0" w:line="240" w:lineRule="auto"/>
        <w:rPr>
          <w:sz w:val="24"/>
          <w:szCs w:val="24"/>
        </w:rPr>
      </w:pPr>
      <w:r w:rsidRPr="00263D45">
        <w:rPr>
          <w:sz w:val="24"/>
          <w:szCs w:val="24"/>
        </w:rPr>
        <w:t>Introducing of modern analytical tools and data presentation methods.</w:t>
      </w:r>
    </w:p>
    <w:p w:rsidR="00FB6F29" w:rsidRPr="00263D45" w:rsidRDefault="00FB6F29" w:rsidP="00FB6F29">
      <w:pPr>
        <w:numPr>
          <w:ilvl w:val="0"/>
          <w:numId w:val="42"/>
        </w:numPr>
        <w:spacing w:after="0" w:line="240" w:lineRule="auto"/>
        <w:rPr>
          <w:sz w:val="24"/>
          <w:szCs w:val="24"/>
        </w:rPr>
      </w:pPr>
      <w:r w:rsidRPr="00263D45">
        <w:rPr>
          <w:sz w:val="24"/>
          <w:szCs w:val="24"/>
        </w:rPr>
        <w:t xml:space="preserve">Data Quality improvement. </w:t>
      </w:r>
    </w:p>
    <w:p w:rsidR="00FB6F29" w:rsidRPr="00263D45" w:rsidRDefault="00FB6F29" w:rsidP="00FB6F29">
      <w:pPr>
        <w:numPr>
          <w:ilvl w:val="0"/>
          <w:numId w:val="42"/>
        </w:numPr>
        <w:spacing w:after="0" w:line="240" w:lineRule="auto"/>
        <w:rPr>
          <w:sz w:val="24"/>
          <w:szCs w:val="24"/>
        </w:rPr>
      </w:pPr>
      <w:r w:rsidRPr="00263D45">
        <w:rPr>
          <w:sz w:val="24"/>
          <w:szCs w:val="24"/>
        </w:rPr>
        <w:t>Strengthening Human Resources.</w:t>
      </w:r>
    </w:p>
    <w:p w:rsidR="00FB6F29" w:rsidRPr="00263D45" w:rsidRDefault="00FB6F29" w:rsidP="00FB6F29">
      <w:pPr>
        <w:numPr>
          <w:ilvl w:val="0"/>
          <w:numId w:val="42"/>
        </w:numPr>
        <w:spacing w:after="0" w:line="240" w:lineRule="auto"/>
        <w:rPr>
          <w:sz w:val="24"/>
          <w:szCs w:val="24"/>
        </w:rPr>
      </w:pPr>
      <w:r w:rsidRPr="00263D45">
        <w:rPr>
          <w:sz w:val="24"/>
          <w:szCs w:val="24"/>
        </w:rPr>
        <w:t>Continuous education of the involved health personnel.</w:t>
      </w:r>
    </w:p>
    <w:p w:rsidR="00FB6F29" w:rsidRPr="00263D45" w:rsidRDefault="00FB6F29" w:rsidP="00FB6F29">
      <w:pPr>
        <w:spacing w:line="240" w:lineRule="auto"/>
        <w:contextualSpacing/>
        <w:jc w:val="both"/>
        <w:rPr>
          <w:sz w:val="24"/>
          <w:szCs w:val="24"/>
        </w:rPr>
      </w:pPr>
    </w:p>
    <w:p w:rsidR="00FB6F29" w:rsidRPr="00263D45" w:rsidRDefault="00FB6F29" w:rsidP="00FB6F29">
      <w:pPr>
        <w:spacing w:line="240" w:lineRule="auto"/>
        <w:contextualSpacing/>
        <w:jc w:val="both"/>
        <w:rPr>
          <w:sz w:val="24"/>
          <w:szCs w:val="24"/>
        </w:rPr>
      </w:pPr>
      <w:r w:rsidRPr="00263D45">
        <w:rPr>
          <w:sz w:val="24"/>
          <w:szCs w:val="24"/>
        </w:rPr>
        <w:t>For further development of the HIS all types of assistance (financial, technical, and methodological) is needed.  For effective monitoring and quality evaluation of the implemented modules and registries is recommended to conduct surveys. For this a participation of international experts is necessary to implement a standard technology, data collection tools, and for representative sampling. Results of such surveys will give internationally recognized estimates of incidence and prevalence of diseases, specific groups of mortality (maternal, child, neonatal, etc.), and real distribution of causes of death (mortality structure).</w:t>
      </w:r>
    </w:p>
    <w:p w:rsidR="00263D45" w:rsidRPr="00EA39DE" w:rsidRDefault="00263D45" w:rsidP="00263D45">
      <w:pPr>
        <w:spacing w:after="120" w:line="240" w:lineRule="auto"/>
        <w:contextualSpacing/>
        <w:jc w:val="both"/>
        <w:rPr>
          <w:rFonts w:ascii="Calibri" w:hAnsi="Calibri" w:cs="Calibri"/>
          <w:color w:val="365F91" w:themeColor="accent1" w:themeShade="BF"/>
          <w:sz w:val="24"/>
          <w:szCs w:val="24"/>
        </w:rPr>
      </w:pPr>
      <w:r w:rsidRPr="00EA39DE">
        <w:rPr>
          <w:rFonts w:ascii="Calibri" w:hAnsi="Calibri" w:cs="Calibri"/>
          <w:color w:val="365F91" w:themeColor="accent1" w:themeShade="BF"/>
          <w:sz w:val="24"/>
          <w:szCs w:val="24"/>
        </w:rPr>
        <w:t>________________________________________________________________________________________</w:t>
      </w:r>
    </w:p>
    <w:tbl>
      <w:tblPr>
        <w:tblStyle w:val="TableGrid"/>
        <w:tblW w:w="1033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7"/>
        <w:gridCol w:w="4831"/>
      </w:tblGrid>
      <w:tr w:rsidR="00263D45" w:rsidRPr="00EA39DE" w:rsidTr="00603FA6">
        <w:trPr>
          <w:trHeight w:val="1802"/>
        </w:trPr>
        <w:tc>
          <w:tcPr>
            <w:tcW w:w="5507" w:type="dxa"/>
          </w:tcPr>
          <w:p w:rsidR="00263D45" w:rsidRPr="00EA39DE" w:rsidRDefault="00263D45" w:rsidP="00603FA6">
            <w:pPr>
              <w:spacing w:after="120"/>
              <w:contextualSpacing/>
              <w:jc w:val="center"/>
              <w:rPr>
                <w:rFonts w:ascii="Calibri" w:hAnsi="Calibri" w:cs="Calibri"/>
                <w:color w:val="365F91" w:themeColor="accent1" w:themeShade="BF"/>
                <w:sz w:val="20"/>
                <w:szCs w:val="20"/>
              </w:rPr>
            </w:pPr>
            <w:r w:rsidRPr="00EA39DE">
              <w:rPr>
                <w:rFonts w:asciiTheme="majorHAnsi" w:eastAsiaTheme="majorEastAsia" w:hAnsiTheme="majorHAnsi" w:cstheme="majorBidi"/>
                <w:bCs/>
                <w:noProof/>
                <w:color w:val="365F91" w:themeColor="accent1" w:themeShade="BF"/>
                <w:sz w:val="20"/>
                <w:szCs w:val="20"/>
              </w:rPr>
              <w:drawing>
                <wp:anchor distT="0" distB="0" distL="114300" distR="114300" simplePos="0" relativeHeight="251675648" behindDoc="0" locked="0" layoutInCell="1" allowOverlap="1" wp14:anchorId="4D7E5E48" wp14:editId="03F3C37B">
                  <wp:simplePos x="0" y="0"/>
                  <wp:positionH relativeFrom="column">
                    <wp:posOffset>1143635</wp:posOffset>
                  </wp:positionH>
                  <wp:positionV relativeFrom="paragraph">
                    <wp:posOffset>118745</wp:posOffset>
                  </wp:positionV>
                  <wp:extent cx="1133475" cy="448310"/>
                  <wp:effectExtent l="0" t="0" r="9525" b="8890"/>
                  <wp:wrapNone/>
                  <wp:docPr id="10" name="Picture 10" descr="F:\SCRC შეხვედრისთვის 7.11.2017\Briefs\New new briefs\MOH 1 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RC შეხვედრისთვის 7.11.2017\Briefs\New new briefs\MOH 1 Logo-E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448310"/>
                          </a:xfrm>
                          <a:prstGeom prst="rect">
                            <a:avLst/>
                          </a:prstGeom>
                          <a:noFill/>
                          <a:ln>
                            <a:noFill/>
                          </a:ln>
                        </pic:spPr>
                      </pic:pic>
                    </a:graphicData>
                  </a:graphic>
                </wp:anchor>
              </w:drawing>
            </w:r>
            <w:r w:rsidRPr="00EA39DE">
              <w:rPr>
                <w:rFonts w:ascii="Calibri" w:hAnsi="Calibri" w:cs="Calibri"/>
                <w:color w:val="365F91" w:themeColor="accent1" w:themeShade="BF"/>
                <w:sz w:val="20"/>
                <w:szCs w:val="20"/>
              </w:rPr>
              <w:t xml:space="preserve">     </w:t>
            </w:r>
          </w:p>
          <w:p w:rsidR="00263D45" w:rsidRPr="00EA39DE" w:rsidRDefault="00263D45" w:rsidP="00603FA6">
            <w:pPr>
              <w:spacing w:after="120"/>
              <w:contextualSpacing/>
              <w:jc w:val="center"/>
              <w:rPr>
                <w:rFonts w:ascii="Calibri" w:hAnsi="Calibri" w:cs="Calibri"/>
                <w:color w:val="365F91" w:themeColor="accent1" w:themeShade="BF"/>
                <w:sz w:val="20"/>
                <w:szCs w:val="20"/>
              </w:rPr>
            </w:pPr>
          </w:p>
          <w:p w:rsidR="00263D45" w:rsidRPr="00EA39DE" w:rsidRDefault="00263D45" w:rsidP="00603FA6">
            <w:pPr>
              <w:spacing w:after="120"/>
              <w:contextualSpacing/>
              <w:jc w:val="center"/>
              <w:rPr>
                <w:rFonts w:ascii="Calibri" w:hAnsi="Calibri" w:cs="Calibri"/>
                <w:color w:val="365F91" w:themeColor="accent1" w:themeShade="BF"/>
                <w:sz w:val="20"/>
                <w:szCs w:val="20"/>
              </w:rPr>
            </w:pPr>
          </w:p>
          <w:p w:rsidR="00263D45" w:rsidRPr="00EA39DE" w:rsidRDefault="00263D45" w:rsidP="00603FA6">
            <w:pPr>
              <w:spacing w:after="120"/>
              <w:contextualSpacing/>
              <w:jc w:val="center"/>
              <w:rPr>
                <w:rFonts w:ascii="Calibri" w:hAnsi="Calibri" w:cs="Calibri"/>
                <w:color w:val="365F91" w:themeColor="accent1" w:themeShade="BF"/>
                <w:sz w:val="20"/>
                <w:szCs w:val="20"/>
              </w:rPr>
            </w:pPr>
            <w:r w:rsidRPr="00EA39DE">
              <w:rPr>
                <w:rFonts w:ascii="Calibri" w:hAnsi="Calibri" w:cs="Calibri"/>
                <w:color w:val="365F91" w:themeColor="accent1" w:themeShade="BF"/>
                <w:sz w:val="20"/>
                <w:szCs w:val="20"/>
              </w:rPr>
              <w:t xml:space="preserve">    </w:t>
            </w:r>
          </w:p>
          <w:p w:rsidR="00263D45" w:rsidRPr="00EA39DE" w:rsidRDefault="00263D45" w:rsidP="00603FA6">
            <w:pPr>
              <w:pStyle w:val="Heading2"/>
              <w:ind w:left="-392"/>
              <w:jc w:val="center"/>
              <w:outlineLvl w:val="1"/>
              <w:rPr>
                <w:rFonts w:ascii="Calibri" w:hAnsi="Calibri" w:cs="Calibri"/>
                <w:b w:val="0"/>
                <w:bCs w:val="0"/>
                <w:i w:val="0"/>
                <w:color w:val="365F91" w:themeColor="accent1" w:themeShade="BF"/>
                <w:sz w:val="20"/>
                <w:szCs w:val="20"/>
              </w:rPr>
            </w:pPr>
            <w:r w:rsidRPr="00EA39DE">
              <w:rPr>
                <w:rFonts w:ascii="Calibri" w:hAnsi="Calibri" w:cs="Calibri"/>
                <w:b w:val="0"/>
                <w:i w:val="0"/>
                <w:color w:val="365F91" w:themeColor="accent1" w:themeShade="BF"/>
                <w:sz w:val="20"/>
                <w:szCs w:val="20"/>
              </w:rPr>
              <w:t xml:space="preserve">Ministry of </w:t>
            </w:r>
            <w:proofErr w:type="spellStart"/>
            <w:r w:rsidRPr="00EA39DE">
              <w:rPr>
                <w:rFonts w:ascii="Calibri" w:hAnsi="Calibri" w:cs="Calibri"/>
                <w:b w:val="0"/>
                <w:i w:val="0"/>
                <w:color w:val="365F91" w:themeColor="accent1" w:themeShade="BF"/>
                <w:sz w:val="20"/>
                <w:szCs w:val="20"/>
              </w:rPr>
              <w:t>Labour</w:t>
            </w:r>
            <w:proofErr w:type="spellEnd"/>
            <w:r w:rsidRPr="00EA39DE">
              <w:rPr>
                <w:rFonts w:ascii="Calibri" w:hAnsi="Calibri" w:cs="Calibri"/>
                <w:b w:val="0"/>
                <w:i w:val="0"/>
                <w:color w:val="365F91" w:themeColor="accent1" w:themeShade="BF"/>
                <w:sz w:val="20"/>
                <w:szCs w:val="20"/>
              </w:rPr>
              <w:t>, Health and Social Affairs of Georgia</w:t>
            </w:r>
          </w:p>
          <w:p w:rsidR="00263D45" w:rsidRPr="00EA39DE" w:rsidRDefault="00263D45" w:rsidP="00603FA6">
            <w:pPr>
              <w:spacing w:after="120"/>
              <w:ind w:left="-392"/>
              <w:contextualSpacing/>
              <w:jc w:val="center"/>
              <w:rPr>
                <w:rFonts w:ascii="Sylfaen" w:eastAsiaTheme="majorEastAsia" w:hAnsi="Sylfaen" w:cs="Calibri"/>
                <w:bCs/>
                <w:color w:val="365F91" w:themeColor="accent1" w:themeShade="BF"/>
                <w:sz w:val="20"/>
                <w:szCs w:val="20"/>
                <w:lang w:val="ka-GE"/>
              </w:rPr>
            </w:pPr>
            <w:r w:rsidRPr="00EA39DE">
              <w:rPr>
                <w:rFonts w:ascii="Calibri" w:eastAsiaTheme="majorEastAsia" w:hAnsi="Calibri" w:cs="Calibri"/>
                <w:bCs/>
                <w:color w:val="365F91" w:themeColor="accent1" w:themeShade="BF"/>
                <w:sz w:val="20"/>
                <w:szCs w:val="20"/>
              </w:rPr>
              <w:t>144, A. Tsereteli avenue. Tbilisi, Georgia, 0119</w:t>
            </w:r>
          </w:p>
          <w:p w:rsidR="00263D45" w:rsidRPr="00EA39DE" w:rsidRDefault="00263D45" w:rsidP="00603FA6">
            <w:pPr>
              <w:spacing w:after="120"/>
              <w:ind w:left="-392"/>
              <w:contextualSpacing/>
              <w:jc w:val="center"/>
              <w:rPr>
                <w:rFonts w:ascii="Calibri" w:hAnsi="Calibri" w:cs="Calibri"/>
                <w:color w:val="365F91" w:themeColor="accent1" w:themeShade="BF"/>
                <w:sz w:val="20"/>
                <w:szCs w:val="20"/>
              </w:rPr>
            </w:pPr>
            <w:r w:rsidRPr="00EA39DE">
              <w:rPr>
                <w:rFonts w:ascii="Calibri" w:eastAsiaTheme="majorEastAsia" w:hAnsi="Calibri" w:cs="Calibri"/>
                <w:bCs/>
                <w:color w:val="365F91" w:themeColor="accent1" w:themeShade="BF"/>
                <w:sz w:val="20"/>
                <w:szCs w:val="20"/>
              </w:rPr>
              <w:t>www.moh.gov.ge</w:t>
            </w:r>
          </w:p>
        </w:tc>
        <w:tc>
          <w:tcPr>
            <w:tcW w:w="4831" w:type="dxa"/>
          </w:tcPr>
          <w:p w:rsidR="00263D45" w:rsidRPr="00EA39DE" w:rsidRDefault="00263D45" w:rsidP="00603FA6">
            <w:pPr>
              <w:spacing w:after="120"/>
              <w:contextualSpacing/>
              <w:jc w:val="center"/>
              <w:rPr>
                <w:rFonts w:ascii="Calibri" w:eastAsiaTheme="majorEastAsia" w:hAnsi="Calibri" w:cs="Calibri"/>
                <w:bCs/>
                <w:color w:val="365F91" w:themeColor="accent1" w:themeShade="BF"/>
                <w:sz w:val="20"/>
                <w:szCs w:val="20"/>
              </w:rPr>
            </w:pPr>
            <w:r w:rsidRPr="00EA39DE">
              <w:rPr>
                <w:rFonts w:ascii="Calibri" w:eastAsiaTheme="majorEastAsia" w:hAnsi="Calibri" w:cs="Calibri"/>
                <w:bCs/>
                <w:noProof/>
                <w:color w:val="365F91" w:themeColor="accent1" w:themeShade="BF"/>
                <w:sz w:val="20"/>
                <w:szCs w:val="20"/>
              </w:rPr>
              <w:drawing>
                <wp:anchor distT="0" distB="0" distL="114300" distR="114300" simplePos="0" relativeHeight="251674624" behindDoc="0" locked="0" layoutInCell="1" allowOverlap="1" wp14:anchorId="399EF890" wp14:editId="22B26C9A">
                  <wp:simplePos x="0" y="0"/>
                  <wp:positionH relativeFrom="column">
                    <wp:posOffset>866140</wp:posOffset>
                  </wp:positionH>
                  <wp:positionV relativeFrom="paragraph">
                    <wp:posOffset>91440</wp:posOffset>
                  </wp:positionV>
                  <wp:extent cx="1457325" cy="46223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CDC gamchvirvale new.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57325" cy="4622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63D45" w:rsidRPr="00EA39DE" w:rsidRDefault="00263D45" w:rsidP="00603FA6">
            <w:pPr>
              <w:spacing w:after="120"/>
              <w:contextualSpacing/>
              <w:jc w:val="center"/>
              <w:rPr>
                <w:rFonts w:ascii="Calibri" w:eastAsiaTheme="majorEastAsia" w:hAnsi="Calibri" w:cs="Calibri"/>
                <w:bCs/>
                <w:color w:val="365F91" w:themeColor="accent1" w:themeShade="BF"/>
                <w:sz w:val="20"/>
                <w:szCs w:val="20"/>
              </w:rPr>
            </w:pPr>
          </w:p>
          <w:p w:rsidR="00263D45" w:rsidRPr="00EA39DE" w:rsidRDefault="00263D45" w:rsidP="00603FA6">
            <w:pPr>
              <w:spacing w:after="120"/>
              <w:contextualSpacing/>
              <w:jc w:val="center"/>
              <w:rPr>
                <w:rFonts w:ascii="Calibri" w:eastAsiaTheme="majorEastAsia" w:hAnsi="Calibri" w:cs="Calibri"/>
                <w:bCs/>
                <w:color w:val="365F91" w:themeColor="accent1" w:themeShade="BF"/>
                <w:sz w:val="20"/>
                <w:szCs w:val="20"/>
              </w:rPr>
            </w:pPr>
          </w:p>
          <w:p w:rsidR="00263D45" w:rsidRPr="00EA39DE" w:rsidRDefault="00263D45" w:rsidP="00603FA6">
            <w:pPr>
              <w:spacing w:after="120"/>
              <w:contextualSpacing/>
              <w:jc w:val="center"/>
              <w:rPr>
                <w:rFonts w:ascii="Calibri" w:eastAsiaTheme="majorEastAsia" w:hAnsi="Calibri" w:cs="Calibri"/>
                <w:bCs/>
                <w:color w:val="365F91" w:themeColor="accent1" w:themeShade="BF"/>
                <w:sz w:val="20"/>
                <w:szCs w:val="20"/>
              </w:rPr>
            </w:pPr>
            <w:r w:rsidRPr="00EA39DE">
              <w:rPr>
                <w:rFonts w:ascii="Calibri" w:eastAsiaTheme="majorEastAsia" w:hAnsi="Calibri" w:cs="Calibri"/>
                <w:bCs/>
                <w:color w:val="365F91" w:themeColor="accent1" w:themeShade="BF"/>
                <w:sz w:val="20"/>
                <w:szCs w:val="20"/>
              </w:rPr>
              <w:t xml:space="preserve"> </w:t>
            </w:r>
          </w:p>
          <w:p w:rsidR="00263D45" w:rsidRPr="00EA39DE" w:rsidRDefault="00263D45" w:rsidP="00603FA6">
            <w:pPr>
              <w:pStyle w:val="Heading2"/>
              <w:outlineLvl w:val="1"/>
              <w:rPr>
                <w:rFonts w:ascii="Calibri" w:hAnsi="Calibri" w:cs="Calibri"/>
                <w:b w:val="0"/>
                <w:bCs w:val="0"/>
                <w:i w:val="0"/>
                <w:color w:val="365F91" w:themeColor="accent1" w:themeShade="BF"/>
                <w:sz w:val="20"/>
                <w:szCs w:val="20"/>
              </w:rPr>
            </w:pPr>
            <w:r w:rsidRPr="00EA39DE">
              <w:rPr>
                <w:rFonts w:ascii="Calibri" w:hAnsi="Calibri" w:cs="Calibri"/>
                <w:b w:val="0"/>
                <w:i w:val="0"/>
                <w:color w:val="365F91" w:themeColor="accent1" w:themeShade="BF"/>
                <w:sz w:val="20"/>
                <w:szCs w:val="20"/>
              </w:rPr>
              <w:t>National Center for Disease Control and Public Health</w:t>
            </w:r>
          </w:p>
          <w:p w:rsidR="00263D45" w:rsidRPr="00EA39DE" w:rsidRDefault="00263D45" w:rsidP="00603FA6">
            <w:pPr>
              <w:pStyle w:val="Heading2"/>
              <w:jc w:val="center"/>
              <w:outlineLvl w:val="1"/>
              <w:rPr>
                <w:rFonts w:ascii="Calibri" w:hAnsi="Calibri" w:cs="Calibri"/>
                <w:b w:val="0"/>
                <w:bCs w:val="0"/>
                <w:i w:val="0"/>
                <w:color w:val="365F91" w:themeColor="accent1" w:themeShade="BF"/>
                <w:sz w:val="20"/>
                <w:szCs w:val="20"/>
                <w:lang w:val="ka-GE"/>
              </w:rPr>
            </w:pPr>
            <w:r w:rsidRPr="00EA39DE">
              <w:rPr>
                <w:rFonts w:ascii="Calibri" w:hAnsi="Calibri" w:cs="Calibri"/>
                <w:b w:val="0"/>
                <w:i w:val="0"/>
                <w:color w:val="365F91" w:themeColor="accent1" w:themeShade="BF"/>
                <w:sz w:val="20"/>
                <w:szCs w:val="20"/>
              </w:rPr>
              <w:t xml:space="preserve">9, M. </w:t>
            </w:r>
            <w:proofErr w:type="spellStart"/>
            <w:r w:rsidRPr="00EA39DE">
              <w:rPr>
                <w:rFonts w:ascii="Calibri" w:hAnsi="Calibri" w:cs="Calibri"/>
                <w:b w:val="0"/>
                <w:i w:val="0"/>
                <w:color w:val="365F91" w:themeColor="accent1" w:themeShade="BF"/>
                <w:sz w:val="20"/>
                <w:szCs w:val="20"/>
              </w:rPr>
              <w:t>Asatiani</w:t>
            </w:r>
            <w:proofErr w:type="spellEnd"/>
            <w:r w:rsidRPr="00EA39DE">
              <w:rPr>
                <w:rFonts w:ascii="Calibri" w:hAnsi="Calibri" w:cs="Calibri"/>
                <w:b w:val="0"/>
                <w:i w:val="0"/>
                <w:color w:val="365F91" w:themeColor="accent1" w:themeShade="BF"/>
                <w:sz w:val="20"/>
                <w:szCs w:val="20"/>
              </w:rPr>
              <w:t xml:space="preserve"> </w:t>
            </w:r>
            <w:proofErr w:type="gramStart"/>
            <w:r w:rsidRPr="00EA39DE">
              <w:rPr>
                <w:rFonts w:ascii="Calibri" w:hAnsi="Calibri" w:cs="Calibri"/>
                <w:b w:val="0"/>
                <w:i w:val="0"/>
                <w:color w:val="365F91" w:themeColor="accent1" w:themeShade="BF"/>
                <w:sz w:val="20"/>
                <w:szCs w:val="20"/>
              </w:rPr>
              <w:t>street</w:t>
            </w:r>
            <w:proofErr w:type="gramEnd"/>
            <w:r w:rsidRPr="00EA39DE">
              <w:rPr>
                <w:rFonts w:ascii="Calibri" w:hAnsi="Calibri" w:cs="Calibri"/>
                <w:b w:val="0"/>
                <w:i w:val="0"/>
                <w:color w:val="365F91" w:themeColor="accent1" w:themeShade="BF"/>
                <w:sz w:val="20"/>
                <w:szCs w:val="20"/>
                <w:lang w:val="ka-GE"/>
              </w:rPr>
              <w:t>.</w:t>
            </w:r>
            <w:r w:rsidRPr="00EA39DE">
              <w:rPr>
                <w:rFonts w:ascii="Calibri" w:hAnsi="Calibri" w:cs="Calibri"/>
                <w:b w:val="0"/>
                <w:i w:val="0"/>
                <w:color w:val="365F91" w:themeColor="accent1" w:themeShade="BF"/>
                <w:sz w:val="20"/>
                <w:szCs w:val="20"/>
              </w:rPr>
              <w:t xml:space="preserve"> Tbilisi, Georgia,</w:t>
            </w:r>
            <w:r w:rsidRPr="00EA39DE">
              <w:rPr>
                <w:rFonts w:ascii="Calibri" w:hAnsi="Calibri" w:cs="Calibri"/>
                <w:b w:val="0"/>
                <w:i w:val="0"/>
                <w:color w:val="365F91" w:themeColor="accent1" w:themeShade="BF"/>
                <w:sz w:val="20"/>
                <w:szCs w:val="20"/>
                <w:lang w:val="ka-GE"/>
              </w:rPr>
              <w:t xml:space="preserve"> 0177</w:t>
            </w:r>
          </w:p>
          <w:p w:rsidR="00263D45" w:rsidRPr="00EA39DE" w:rsidRDefault="00263D45" w:rsidP="00603FA6">
            <w:pPr>
              <w:spacing w:after="120"/>
              <w:contextualSpacing/>
              <w:jc w:val="center"/>
              <w:rPr>
                <w:rFonts w:ascii="Calibri" w:hAnsi="Calibri" w:cs="Calibri"/>
                <w:color w:val="365F91" w:themeColor="accent1" w:themeShade="BF"/>
                <w:sz w:val="20"/>
                <w:szCs w:val="20"/>
              </w:rPr>
            </w:pPr>
            <w:r w:rsidRPr="00EA39DE">
              <w:rPr>
                <w:rFonts w:ascii="Calibri" w:hAnsi="Calibri" w:cs="Calibri"/>
                <w:color w:val="365F91" w:themeColor="accent1" w:themeShade="BF"/>
                <w:sz w:val="20"/>
                <w:szCs w:val="20"/>
              </w:rPr>
              <w:t>www.ncdc.ge</w:t>
            </w:r>
          </w:p>
        </w:tc>
      </w:tr>
    </w:tbl>
    <w:p w:rsidR="00D72EB2" w:rsidRPr="007C17A7" w:rsidRDefault="00D72EB2" w:rsidP="00FB6F29">
      <w:pPr>
        <w:spacing w:before="120" w:after="120"/>
        <w:jc w:val="both"/>
        <w:rPr>
          <w:rFonts w:ascii="Calibri" w:hAnsi="Calibri" w:cs="Calibri"/>
          <w:b/>
          <w:bCs/>
          <w:sz w:val="24"/>
          <w:szCs w:val="24"/>
        </w:rPr>
      </w:pPr>
    </w:p>
    <w:sectPr w:rsidR="00D72EB2" w:rsidRPr="007C17A7" w:rsidSect="00FB6F29">
      <w:pgSz w:w="12240" w:h="15840"/>
      <w:pgMar w:top="709" w:right="850" w:bottom="28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4775"/>
    <w:multiLevelType w:val="hybridMultilevel"/>
    <w:tmpl w:val="9EE64D3E"/>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42C3C"/>
    <w:multiLevelType w:val="hybridMultilevel"/>
    <w:tmpl w:val="7926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50E8A"/>
    <w:multiLevelType w:val="hybridMultilevel"/>
    <w:tmpl w:val="0838BBB2"/>
    <w:lvl w:ilvl="0" w:tplc="0AA227C4">
      <w:start w:val="1"/>
      <w:numFmt w:val="bullet"/>
      <w:lvlText w:val="o"/>
      <w:lvlJc w:val="left"/>
      <w:pPr>
        <w:tabs>
          <w:tab w:val="num" w:pos="720"/>
        </w:tabs>
        <w:ind w:left="720" w:hanging="360"/>
      </w:pPr>
      <w:rPr>
        <w:rFonts w:ascii="Courier New" w:hAnsi="Courier New" w:hint="default"/>
      </w:rPr>
    </w:lvl>
    <w:lvl w:ilvl="1" w:tplc="04F0DC72">
      <w:start w:val="1"/>
      <w:numFmt w:val="bullet"/>
      <w:lvlText w:val="o"/>
      <w:lvlJc w:val="left"/>
      <w:pPr>
        <w:tabs>
          <w:tab w:val="num" w:pos="1440"/>
        </w:tabs>
        <w:ind w:left="1440" w:hanging="360"/>
      </w:pPr>
      <w:rPr>
        <w:rFonts w:ascii="Courier New" w:hAnsi="Courier New" w:hint="default"/>
      </w:rPr>
    </w:lvl>
    <w:lvl w:ilvl="2" w:tplc="90C084EC" w:tentative="1">
      <w:start w:val="1"/>
      <w:numFmt w:val="bullet"/>
      <w:lvlText w:val="o"/>
      <w:lvlJc w:val="left"/>
      <w:pPr>
        <w:tabs>
          <w:tab w:val="num" w:pos="2160"/>
        </w:tabs>
        <w:ind w:left="2160" w:hanging="360"/>
      </w:pPr>
      <w:rPr>
        <w:rFonts w:ascii="Courier New" w:hAnsi="Courier New" w:hint="default"/>
      </w:rPr>
    </w:lvl>
    <w:lvl w:ilvl="3" w:tplc="B5E4695A" w:tentative="1">
      <w:start w:val="1"/>
      <w:numFmt w:val="bullet"/>
      <w:lvlText w:val="o"/>
      <w:lvlJc w:val="left"/>
      <w:pPr>
        <w:tabs>
          <w:tab w:val="num" w:pos="2880"/>
        </w:tabs>
        <w:ind w:left="2880" w:hanging="360"/>
      </w:pPr>
      <w:rPr>
        <w:rFonts w:ascii="Courier New" w:hAnsi="Courier New" w:hint="default"/>
      </w:rPr>
    </w:lvl>
    <w:lvl w:ilvl="4" w:tplc="08CCF9F4" w:tentative="1">
      <w:start w:val="1"/>
      <w:numFmt w:val="bullet"/>
      <w:lvlText w:val="o"/>
      <w:lvlJc w:val="left"/>
      <w:pPr>
        <w:tabs>
          <w:tab w:val="num" w:pos="3600"/>
        </w:tabs>
        <w:ind w:left="3600" w:hanging="360"/>
      </w:pPr>
      <w:rPr>
        <w:rFonts w:ascii="Courier New" w:hAnsi="Courier New" w:hint="default"/>
      </w:rPr>
    </w:lvl>
    <w:lvl w:ilvl="5" w:tplc="B94404DA" w:tentative="1">
      <w:start w:val="1"/>
      <w:numFmt w:val="bullet"/>
      <w:lvlText w:val="o"/>
      <w:lvlJc w:val="left"/>
      <w:pPr>
        <w:tabs>
          <w:tab w:val="num" w:pos="4320"/>
        </w:tabs>
        <w:ind w:left="4320" w:hanging="360"/>
      </w:pPr>
      <w:rPr>
        <w:rFonts w:ascii="Courier New" w:hAnsi="Courier New" w:hint="default"/>
      </w:rPr>
    </w:lvl>
    <w:lvl w:ilvl="6" w:tplc="801AE1E2" w:tentative="1">
      <w:start w:val="1"/>
      <w:numFmt w:val="bullet"/>
      <w:lvlText w:val="o"/>
      <w:lvlJc w:val="left"/>
      <w:pPr>
        <w:tabs>
          <w:tab w:val="num" w:pos="5040"/>
        </w:tabs>
        <w:ind w:left="5040" w:hanging="360"/>
      </w:pPr>
      <w:rPr>
        <w:rFonts w:ascii="Courier New" w:hAnsi="Courier New" w:hint="default"/>
      </w:rPr>
    </w:lvl>
    <w:lvl w:ilvl="7" w:tplc="18560854" w:tentative="1">
      <w:start w:val="1"/>
      <w:numFmt w:val="bullet"/>
      <w:lvlText w:val="o"/>
      <w:lvlJc w:val="left"/>
      <w:pPr>
        <w:tabs>
          <w:tab w:val="num" w:pos="5760"/>
        </w:tabs>
        <w:ind w:left="5760" w:hanging="360"/>
      </w:pPr>
      <w:rPr>
        <w:rFonts w:ascii="Courier New" w:hAnsi="Courier New" w:hint="default"/>
      </w:rPr>
    </w:lvl>
    <w:lvl w:ilvl="8" w:tplc="C31A510E"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FEC7673"/>
    <w:multiLevelType w:val="hybridMultilevel"/>
    <w:tmpl w:val="B8725CEA"/>
    <w:lvl w:ilvl="0" w:tplc="E5AC8108">
      <w:start w:val="1"/>
      <w:numFmt w:val="bullet"/>
      <w:lvlText w:val="•"/>
      <w:lvlJc w:val="left"/>
      <w:pPr>
        <w:tabs>
          <w:tab w:val="num" w:pos="720"/>
        </w:tabs>
        <w:ind w:left="720" w:hanging="360"/>
      </w:pPr>
      <w:rPr>
        <w:rFonts w:ascii="Arial" w:hAnsi="Arial" w:hint="default"/>
      </w:rPr>
    </w:lvl>
    <w:lvl w:ilvl="1" w:tplc="A384A0BA" w:tentative="1">
      <w:start w:val="1"/>
      <w:numFmt w:val="bullet"/>
      <w:lvlText w:val="•"/>
      <w:lvlJc w:val="left"/>
      <w:pPr>
        <w:tabs>
          <w:tab w:val="num" w:pos="1440"/>
        </w:tabs>
        <w:ind w:left="1440" w:hanging="360"/>
      </w:pPr>
      <w:rPr>
        <w:rFonts w:ascii="Arial" w:hAnsi="Arial" w:hint="default"/>
      </w:rPr>
    </w:lvl>
    <w:lvl w:ilvl="2" w:tplc="A8F40686" w:tentative="1">
      <w:start w:val="1"/>
      <w:numFmt w:val="bullet"/>
      <w:lvlText w:val="•"/>
      <w:lvlJc w:val="left"/>
      <w:pPr>
        <w:tabs>
          <w:tab w:val="num" w:pos="2160"/>
        </w:tabs>
        <w:ind w:left="2160" w:hanging="360"/>
      </w:pPr>
      <w:rPr>
        <w:rFonts w:ascii="Arial" w:hAnsi="Arial" w:hint="default"/>
      </w:rPr>
    </w:lvl>
    <w:lvl w:ilvl="3" w:tplc="7E3C4746" w:tentative="1">
      <w:start w:val="1"/>
      <w:numFmt w:val="bullet"/>
      <w:lvlText w:val="•"/>
      <w:lvlJc w:val="left"/>
      <w:pPr>
        <w:tabs>
          <w:tab w:val="num" w:pos="2880"/>
        </w:tabs>
        <w:ind w:left="2880" w:hanging="360"/>
      </w:pPr>
      <w:rPr>
        <w:rFonts w:ascii="Arial" w:hAnsi="Arial" w:hint="default"/>
      </w:rPr>
    </w:lvl>
    <w:lvl w:ilvl="4" w:tplc="9B7E9A2A" w:tentative="1">
      <w:start w:val="1"/>
      <w:numFmt w:val="bullet"/>
      <w:lvlText w:val="•"/>
      <w:lvlJc w:val="left"/>
      <w:pPr>
        <w:tabs>
          <w:tab w:val="num" w:pos="3600"/>
        </w:tabs>
        <w:ind w:left="3600" w:hanging="360"/>
      </w:pPr>
      <w:rPr>
        <w:rFonts w:ascii="Arial" w:hAnsi="Arial" w:hint="default"/>
      </w:rPr>
    </w:lvl>
    <w:lvl w:ilvl="5" w:tplc="B2388102" w:tentative="1">
      <w:start w:val="1"/>
      <w:numFmt w:val="bullet"/>
      <w:lvlText w:val="•"/>
      <w:lvlJc w:val="left"/>
      <w:pPr>
        <w:tabs>
          <w:tab w:val="num" w:pos="4320"/>
        </w:tabs>
        <w:ind w:left="4320" w:hanging="360"/>
      </w:pPr>
      <w:rPr>
        <w:rFonts w:ascii="Arial" w:hAnsi="Arial" w:hint="default"/>
      </w:rPr>
    </w:lvl>
    <w:lvl w:ilvl="6" w:tplc="C108D386" w:tentative="1">
      <w:start w:val="1"/>
      <w:numFmt w:val="bullet"/>
      <w:lvlText w:val="•"/>
      <w:lvlJc w:val="left"/>
      <w:pPr>
        <w:tabs>
          <w:tab w:val="num" w:pos="5040"/>
        </w:tabs>
        <w:ind w:left="5040" w:hanging="360"/>
      </w:pPr>
      <w:rPr>
        <w:rFonts w:ascii="Arial" w:hAnsi="Arial" w:hint="default"/>
      </w:rPr>
    </w:lvl>
    <w:lvl w:ilvl="7" w:tplc="4ACCD33C" w:tentative="1">
      <w:start w:val="1"/>
      <w:numFmt w:val="bullet"/>
      <w:lvlText w:val="•"/>
      <w:lvlJc w:val="left"/>
      <w:pPr>
        <w:tabs>
          <w:tab w:val="num" w:pos="5760"/>
        </w:tabs>
        <w:ind w:left="5760" w:hanging="360"/>
      </w:pPr>
      <w:rPr>
        <w:rFonts w:ascii="Arial" w:hAnsi="Arial" w:hint="default"/>
      </w:rPr>
    </w:lvl>
    <w:lvl w:ilvl="8" w:tplc="53AC58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AE22FF"/>
    <w:multiLevelType w:val="hybridMultilevel"/>
    <w:tmpl w:val="8A58B76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1159A"/>
    <w:multiLevelType w:val="hybridMultilevel"/>
    <w:tmpl w:val="F5B6F67A"/>
    <w:lvl w:ilvl="0" w:tplc="5EFC5E34">
      <w:start w:val="1"/>
      <w:numFmt w:val="bullet"/>
      <w:lvlText w:val="•"/>
      <w:lvlJc w:val="left"/>
      <w:pPr>
        <w:tabs>
          <w:tab w:val="num" w:pos="720"/>
        </w:tabs>
        <w:ind w:left="720" w:hanging="360"/>
      </w:pPr>
      <w:rPr>
        <w:rFonts w:ascii="Arial" w:hAnsi="Arial" w:hint="default"/>
      </w:rPr>
    </w:lvl>
    <w:lvl w:ilvl="1" w:tplc="438CA8A2" w:tentative="1">
      <w:start w:val="1"/>
      <w:numFmt w:val="bullet"/>
      <w:lvlText w:val="•"/>
      <w:lvlJc w:val="left"/>
      <w:pPr>
        <w:tabs>
          <w:tab w:val="num" w:pos="1440"/>
        </w:tabs>
        <w:ind w:left="1440" w:hanging="360"/>
      </w:pPr>
      <w:rPr>
        <w:rFonts w:ascii="Arial" w:hAnsi="Arial" w:hint="default"/>
      </w:rPr>
    </w:lvl>
    <w:lvl w:ilvl="2" w:tplc="F740E2D0" w:tentative="1">
      <w:start w:val="1"/>
      <w:numFmt w:val="bullet"/>
      <w:lvlText w:val="•"/>
      <w:lvlJc w:val="left"/>
      <w:pPr>
        <w:tabs>
          <w:tab w:val="num" w:pos="2160"/>
        </w:tabs>
        <w:ind w:left="2160" w:hanging="360"/>
      </w:pPr>
      <w:rPr>
        <w:rFonts w:ascii="Arial" w:hAnsi="Arial" w:hint="default"/>
      </w:rPr>
    </w:lvl>
    <w:lvl w:ilvl="3" w:tplc="D338A886" w:tentative="1">
      <w:start w:val="1"/>
      <w:numFmt w:val="bullet"/>
      <w:lvlText w:val="•"/>
      <w:lvlJc w:val="left"/>
      <w:pPr>
        <w:tabs>
          <w:tab w:val="num" w:pos="2880"/>
        </w:tabs>
        <w:ind w:left="2880" w:hanging="360"/>
      </w:pPr>
      <w:rPr>
        <w:rFonts w:ascii="Arial" w:hAnsi="Arial" w:hint="default"/>
      </w:rPr>
    </w:lvl>
    <w:lvl w:ilvl="4" w:tplc="CAD26718" w:tentative="1">
      <w:start w:val="1"/>
      <w:numFmt w:val="bullet"/>
      <w:lvlText w:val="•"/>
      <w:lvlJc w:val="left"/>
      <w:pPr>
        <w:tabs>
          <w:tab w:val="num" w:pos="3600"/>
        </w:tabs>
        <w:ind w:left="3600" w:hanging="360"/>
      </w:pPr>
      <w:rPr>
        <w:rFonts w:ascii="Arial" w:hAnsi="Arial" w:hint="default"/>
      </w:rPr>
    </w:lvl>
    <w:lvl w:ilvl="5" w:tplc="A2DE9A14" w:tentative="1">
      <w:start w:val="1"/>
      <w:numFmt w:val="bullet"/>
      <w:lvlText w:val="•"/>
      <w:lvlJc w:val="left"/>
      <w:pPr>
        <w:tabs>
          <w:tab w:val="num" w:pos="4320"/>
        </w:tabs>
        <w:ind w:left="4320" w:hanging="360"/>
      </w:pPr>
      <w:rPr>
        <w:rFonts w:ascii="Arial" w:hAnsi="Arial" w:hint="default"/>
      </w:rPr>
    </w:lvl>
    <w:lvl w:ilvl="6" w:tplc="5CB4BC84" w:tentative="1">
      <w:start w:val="1"/>
      <w:numFmt w:val="bullet"/>
      <w:lvlText w:val="•"/>
      <w:lvlJc w:val="left"/>
      <w:pPr>
        <w:tabs>
          <w:tab w:val="num" w:pos="5040"/>
        </w:tabs>
        <w:ind w:left="5040" w:hanging="360"/>
      </w:pPr>
      <w:rPr>
        <w:rFonts w:ascii="Arial" w:hAnsi="Arial" w:hint="default"/>
      </w:rPr>
    </w:lvl>
    <w:lvl w:ilvl="7" w:tplc="C6B47F6C" w:tentative="1">
      <w:start w:val="1"/>
      <w:numFmt w:val="bullet"/>
      <w:lvlText w:val="•"/>
      <w:lvlJc w:val="left"/>
      <w:pPr>
        <w:tabs>
          <w:tab w:val="num" w:pos="5760"/>
        </w:tabs>
        <w:ind w:left="5760" w:hanging="360"/>
      </w:pPr>
      <w:rPr>
        <w:rFonts w:ascii="Arial" w:hAnsi="Arial" w:hint="default"/>
      </w:rPr>
    </w:lvl>
    <w:lvl w:ilvl="8" w:tplc="D750C0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7D1DAF"/>
    <w:multiLevelType w:val="hybridMultilevel"/>
    <w:tmpl w:val="17E89B84"/>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F0B1B"/>
    <w:multiLevelType w:val="multilevel"/>
    <w:tmpl w:val="77A209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8B211AD"/>
    <w:multiLevelType w:val="hybridMultilevel"/>
    <w:tmpl w:val="B500640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B753E"/>
    <w:multiLevelType w:val="multilevel"/>
    <w:tmpl w:val="2632A9C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15:restartNumberingAfterBreak="0">
    <w:nsid w:val="22E15C81"/>
    <w:multiLevelType w:val="hybridMultilevel"/>
    <w:tmpl w:val="29C25990"/>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47DA6"/>
    <w:multiLevelType w:val="multilevel"/>
    <w:tmpl w:val="23D614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ECB7017"/>
    <w:multiLevelType w:val="hybridMultilevel"/>
    <w:tmpl w:val="D16E0826"/>
    <w:lvl w:ilvl="0" w:tplc="F7507D1C">
      <w:start w:val="1"/>
      <w:numFmt w:val="bullet"/>
      <w:lvlText w:val="o"/>
      <w:lvlJc w:val="left"/>
      <w:pPr>
        <w:tabs>
          <w:tab w:val="num" w:pos="720"/>
        </w:tabs>
        <w:ind w:left="720" w:hanging="360"/>
      </w:pPr>
      <w:rPr>
        <w:rFonts w:ascii="Courier New" w:hAnsi="Courier New" w:hint="default"/>
      </w:rPr>
    </w:lvl>
    <w:lvl w:ilvl="1" w:tplc="FF7004A0" w:tentative="1">
      <w:start w:val="1"/>
      <w:numFmt w:val="bullet"/>
      <w:lvlText w:val="o"/>
      <w:lvlJc w:val="left"/>
      <w:pPr>
        <w:tabs>
          <w:tab w:val="num" w:pos="1440"/>
        </w:tabs>
        <w:ind w:left="1440" w:hanging="360"/>
      </w:pPr>
      <w:rPr>
        <w:rFonts w:ascii="Courier New" w:hAnsi="Courier New" w:hint="default"/>
      </w:rPr>
    </w:lvl>
    <w:lvl w:ilvl="2" w:tplc="B61CD46C" w:tentative="1">
      <w:start w:val="1"/>
      <w:numFmt w:val="bullet"/>
      <w:lvlText w:val="o"/>
      <w:lvlJc w:val="left"/>
      <w:pPr>
        <w:tabs>
          <w:tab w:val="num" w:pos="2160"/>
        </w:tabs>
        <w:ind w:left="2160" w:hanging="360"/>
      </w:pPr>
      <w:rPr>
        <w:rFonts w:ascii="Courier New" w:hAnsi="Courier New" w:hint="default"/>
      </w:rPr>
    </w:lvl>
    <w:lvl w:ilvl="3" w:tplc="E05CADB2" w:tentative="1">
      <w:start w:val="1"/>
      <w:numFmt w:val="bullet"/>
      <w:lvlText w:val="o"/>
      <w:lvlJc w:val="left"/>
      <w:pPr>
        <w:tabs>
          <w:tab w:val="num" w:pos="2880"/>
        </w:tabs>
        <w:ind w:left="2880" w:hanging="360"/>
      </w:pPr>
      <w:rPr>
        <w:rFonts w:ascii="Courier New" w:hAnsi="Courier New" w:hint="default"/>
      </w:rPr>
    </w:lvl>
    <w:lvl w:ilvl="4" w:tplc="171CD662" w:tentative="1">
      <w:start w:val="1"/>
      <w:numFmt w:val="bullet"/>
      <w:lvlText w:val="o"/>
      <w:lvlJc w:val="left"/>
      <w:pPr>
        <w:tabs>
          <w:tab w:val="num" w:pos="3600"/>
        </w:tabs>
        <w:ind w:left="3600" w:hanging="360"/>
      </w:pPr>
      <w:rPr>
        <w:rFonts w:ascii="Courier New" w:hAnsi="Courier New" w:hint="default"/>
      </w:rPr>
    </w:lvl>
    <w:lvl w:ilvl="5" w:tplc="0AF0FFB0" w:tentative="1">
      <w:start w:val="1"/>
      <w:numFmt w:val="bullet"/>
      <w:lvlText w:val="o"/>
      <w:lvlJc w:val="left"/>
      <w:pPr>
        <w:tabs>
          <w:tab w:val="num" w:pos="4320"/>
        </w:tabs>
        <w:ind w:left="4320" w:hanging="360"/>
      </w:pPr>
      <w:rPr>
        <w:rFonts w:ascii="Courier New" w:hAnsi="Courier New" w:hint="default"/>
      </w:rPr>
    </w:lvl>
    <w:lvl w:ilvl="6" w:tplc="A9FA7436" w:tentative="1">
      <w:start w:val="1"/>
      <w:numFmt w:val="bullet"/>
      <w:lvlText w:val="o"/>
      <w:lvlJc w:val="left"/>
      <w:pPr>
        <w:tabs>
          <w:tab w:val="num" w:pos="5040"/>
        </w:tabs>
        <w:ind w:left="5040" w:hanging="360"/>
      </w:pPr>
      <w:rPr>
        <w:rFonts w:ascii="Courier New" w:hAnsi="Courier New" w:hint="default"/>
      </w:rPr>
    </w:lvl>
    <w:lvl w:ilvl="7" w:tplc="AE348418" w:tentative="1">
      <w:start w:val="1"/>
      <w:numFmt w:val="bullet"/>
      <w:lvlText w:val="o"/>
      <w:lvlJc w:val="left"/>
      <w:pPr>
        <w:tabs>
          <w:tab w:val="num" w:pos="5760"/>
        </w:tabs>
        <w:ind w:left="5760" w:hanging="360"/>
      </w:pPr>
      <w:rPr>
        <w:rFonts w:ascii="Courier New" w:hAnsi="Courier New" w:hint="default"/>
      </w:rPr>
    </w:lvl>
    <w:lvl w:ilvl="8" w:tplc="2A3477E0" w:tentative="1">
      <w:start w:val="1"/>
      <w:numFmt w:val="bullet"/>
      <w:lvlText w:val="o"/>
      <w:lvlJc w:val="left"/>
      <w:pPr>
        <w:tabs>
          <w:tab w:val="num" w:pos="6480"/>
        </w:tabs>
        <w:ind w:left="6480" w:hanging="360"/>
      </w:pPr>
      <w:rPr>
        <w:rFonts w:ascii="Courier New" w:hAnsi="Courier New" w:hint="default"/>
      </w:rPr>
    </w:lvl>
  </w:abstractNum>
  <w:abstractNum w:abstractNumId="13" w15:restartNumberingAfterBreak="0">
    <w:nsid w:val="2F593553"/>
    <w:multiLevelType w:val="hybridMultilevel"/>
    <w:tmpl w:val="02D2B314"/>
    <w:lvl w:ilvl="0" w:tplc="B164C976">
      <w:start w:val="1"/>
      <w:numFmt w:val="bullet"/>
      <w:lvlText w:val="o"/>
      <w:lvlJc w:val="left"/>
      <w:pPr>
        <w:tabs>
          <w:tab w:val="num" w:pos="720"/>
        </w:tabs>
        <w:ind w:left="720" w:hanging="360"/>
      </w:pPr>
      <w:rPr>
        <w:rFonts w:ascii="Courier New" w:hAnsi="Courier New" w:hint="default"/>
      </w:rPr>
    </w:lvl>
    <w:lvl w:ilvl="1" w:tplc="57EEB3C2" w:tentative="1">
      <w:start w:val="1"/>
      <w:numFmt w:val="bullet"/>
      <w:lvlText w:val="o"/>
      <w:lvlJc w:val="left"/>
      <w:pPr>
        <w:tabs>
          <w:tab w:val="num" w:pos="1440"/>
        </w:tabs>
        <w:ind w:left="1440" w:hanging="360"/>
      </w:pPr>
      <w:rPr>
        <w:rFonts w:ascii="Courier New" w:hAnsi="Courier New" w:hint="default"/>
      </w:rPr>
    </w:lvl>
    <w:lvl w:ilvl="2" w:tplc="ACC0DC28" w:tentative="1">
      <w:start w:val="1"/>
      <w:numFmt w:val="bullet"/>
      <w:lvlText w:val="o"/>
      <w:lvlJc w:val="left"/>
      <w:pPr>
        <w:tabs>
          <w:tab w:val="num" w:pos="2160"/>
        </w:tabs>
        <w:ind w:left="2160" w:hanging="360"/>
      </w:pPr>
      <w:rPr>
        <w:rFonts w:ascii="Courier New" w:hAnsi="Courier New" w:hint="default"/>
      </w:rPr>
    </w:lvl>
    <w:lvl w:ilvl="3" w:tplc="77CC610A" w:tentative="1">
      <w:start w:val="1"/>
      <w:numFmt w:val="bullet"/>
      <w:lvlText w:val="o"/>
      <w:lvlJc w:val="left"/>
      <w:pPr>
        <w:tabs>
          <w:tab w:val="num" w:pos="2880"/>
        </w:tabs>
        <w:ind w:left="2880" w:hanging="360"/>
      </w:pPr>
      <w:rPr>
        <w:rFonts w:ascii="Courier New" w:hAnsi="Courier New" w:hint="default"/>
      </w:rPr>
    </w:lvl>
    <w:lvl w:ilvl="4" w:tplc="583415E0" w:tentative="1">
      <w:start w:val="1"/>
      <w:numFmt w:val="bullet"/>
      <w:lvlText w:val="o"/>
      <w:lvlJc w:val="left"/>
      <w:pPr>
        <w:tabs>
          <w:tab w:val="num" w:pos="3600"/>
        </w:tabs>
        <w:ind w:left="3600" w:hanging="360"/>
      </w:pPr>
      <w:rPr>
        <w:rFonts w:ascii="Courier New" w:hAnsi="Courier New" w:hint="default"/>
      </w:rPr>
    </w:lvl>
    <w:lvl w:ilvl="5" w:tplc="97566B8E" w:tentative="1">
      <w:start w:val="1"/>
      <w:numFmt w:val="bullet"/>
      <w:lvlText w:val="o"/>
      <w:lvlJc w:val="left"/>
      <w:pPr>
        <w:tabs>
          <w:tab w:val="num" w:pos="4320"/>
        </w:tabs>
        <w:ind w:left="4320" w:hanging="360"/>
      </w:pPr>
      <w:rPr>
        <w:rFonts w:ascii="Courier New" w:hAnsi="Courier New" w:hint="default"/>
      </w:rPr>
    </w:lvl>
    <w:lvl w:ilvl="6" w:tplc="AC2CC5C4" w:tentative="1">
      <w:start w:val="1"/>
      <w:numFmt w:val="bullet"/>
      <w:lvlText w:val="o"/>
      <w:lvlJc w:val="left"/>
      <w:pPr>
        <w:tabs>
          <w:tab w:val="num" w:pos="5040"/>
        </w:tabs>
        <w:ind w:left="5040" w:hanging="360"/>
      </w:pPr>
      <w:rPr>
        <w:rFonts w:ascii="Courier New" w:hAnsi="Courier New" w:hint="default"/>
      </w:rPr>
    </w:lvl>
    <w:lvl w:ilvl="7" w:tplc="6D96AB96" w:tentative="1">
      <w:start w:val="1"/>
      <w:numFmt w:val="bullet"/>
      <w:lvlText w:val="o"/>
      <w:lvlJc w:val="left"/>
      <w:pPr>
        <w:tabs>
          <w:tab w:val="num" w:pos="5760"/>
        </w:tabs>
        <w:ind w:left="5760" w:hanging="360"/>
      </w:pPr>
      <w:rPr>
        <w:rFonts w:ascii="Courier New" w:hAnsi="Courier New" w:hint="default"/>
      </w:rPr>
    </w:lvl>
    <w:lvl w:ilvl="8" w:tplc="46AA6C7E"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32884ADF"/>
    <w:multiLevelType w:val="hybridMultilevel"/>
    <w:tmpl w:val="34760C46"/>
    <w:lvl w:ilvl="0" w:tplc="5D781A24">
      <w:start w:val="1"/>
      <w:numFmt w:val="bullet"/>
      <w:lvlText w:val="•"/>
      <w:lvlJc w:val="left"/>
      <w:pPr>
        <w:tabs>
          <w:tab w:val="num" w:pos="720"/>
        </w:tabs>
        <w:ind w:left="720" w:hanging="360"/>
      </w:pPr>
      <w:rPr>
        <w:rFonts w:ascii="Arial" w:hAnsi="Arial" w:hint="default"/>
      </w:rPr>
    </w:lvl>
    <w:lvl w:ilvl="1" w:tplc="59FC754E" w:tentative="1">
      <w:start w:val="1"/>
      <w:numFmt w:val="bullet"/>
      <w:lvlText w:val="•"/>
      <w:lvlJc w:val="left"/>
      <w:pPr>
        <w:tabs>
          <w:tab w:val="num" w:pos="1440"/>
        </w:tabs>
        <w:ind w:left="1440" w:hanging="360"/>
      </w:pPr>
      <w:rPr>
        <w:rFonts w:ascii="Arial" w:hAnsi="Arial" w:hint="default"/>
      </w:rPr>
    </w:lvl>
    <w:lvl w:ilvl="2" w:tplc="A9468476" w:tentative="1">
      <w:start w:val="1"/>
      <w:numFmt w:val="bullet"/>
      <w:lvlText w:val="•"/>
      <w:lvlJc w:val="left"/>
      <w:pPr>
        <w:tabs>
          <w:tab w:val="num" w:pos="2160"/>
        </w:tabs>
        <w:ind w:left="2160" w:hanging="360"/>
      </w:pPr>
      <w:rPr>
        <w:rFonts w:ascii="Arial" w:hAnsi="Arial" w:hint="default"/>
      </w:rPr>
    </w:lvl>
    <w:lvl w:ilvl="3" w:tplc="4054529C" w:tentative="1">
      <w:start w:val="1"/>
      <w:numFmt w:val="bullet"/>
      <w:lvlText w:val="•"/>
      <w:lvlJc w:val="left"/>
      <w:pPr>
        <w:tabs>
          <w:tab w:val="num" w:pos="2880"/>
        </w:tabs>
        <w:ind w:left="2880" w:hanging="360"/>
      </w:pPr>
      <w:rPr>
        <w:rFonts w:ascii="Arial" w:hAnsi="Arial" w:hint="default"/>
      </w:rPr>
    </w:lvl>
    <w:lvl w:ilvl="4" w:tplc="AD2010AC" w:tentative="1">
      <w:start w:val="1"/>
      <w:numFmt w:val="bullet"/>
      <w:lvlText w:val="•"/>
      <w:lvlJc w:val="left"/>
      <w:pPr>
        <w:tabs>
          <w:tab w:val="num" w:pos="3600"/>
        </w:tabs>
        <w:ind w:left="3600" w:hanging="360"/>
      </w:pPr>
      <w:rPr>
        <w:rFonts w:ascii="Arial" w:hAnsi="Arial" w:hint="default"/>
      </w:rPr>
    </w:lvl>
    <w:lvl w:ilvl="5" w:tplc="0F7C8024" w:tentative="1">
      <w:start w:val="1"/>
      <w:numFmt w:val="bullet"/>
      <w:lvlText w:val="•"/>
      <w:lvlJc w:val="left"/>
      <w:pPr>
        <w:tabs>
          <w:tab w:val="num" w:pos="4320"/>
        </w:tabs>
        <w:ind w:left="4320" w:hanging="360"/>
      </w:pPr>
      <w:rPr>
        <w:rFonts w:ascii="Arial" w:hAnsi="Arial" w:hint="default"/>
      </w:rPr>
    </w:lvl>
    <w:lvl w:ilvl="6" w:tplc="58F66AA4" w:tentative="1">
      <w:start w:val="1"/>
      <w:numFmt w:val="bullet"/>
      <w:lvlText w:val="•"/>
      <w:lvlJc w:val="left"/>
      <w:pPr>
        <w:tabs>
          <w:tab w:val="num" w:pos="5040"/>
        </w:tabs>
        <w:ind w:left="5040" w:hanging="360"/>
      </w:pPr>
      <w:rPr>
        <w:rFonts w:ascii="Arial" w:hAnsi="Arial" w:hint="default"/>
      </w:rPr>
    </w:lvl>
    <w:lvl w:ilvl="7" w:tplc="6C5A3F92" w:tentative="1">
      <w:start w:val="1"/>
      <w:numFmt w:val="bullet"/>
      <w:lvlText w:val="•"/>
      <w:lvlJc w:val="left"/>
      <w:pPr>
        <w:tabs>
          <w:tab w:val="num" w:pos="5760"/>
        </w:tabs>
        <w:ind w:left="5760" w:hanging="360"/>
      </w:pPr>
      <w:rPr>
        <w:rFonts w:ascii="Arial" w:hAnsi="Arial" w:hint="default"/>
      </w:rPr>
    </w:lvl>
    <w:lvl w:ilvl="8" w:tplc="24FAED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E40F5D"/>
    <w:multiLevelType w:val="hybridMultilevel"/>
    <w:tmpl w:val="2D6CF516"/>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F413F"/>
    <w:multiLevelType w:val="hybridMultilevel"/>
    <w:tmpl w:val="8D5EEA7A"/>
    <w:lvl w:ilvl="0" w:tplc="823A6A34">
      <w:start w:val="1"/>
      <w:numFmt w:val="bullet"/>
      <w:lvlText w:val="-"/>
      <w:lvlJc w:val="left"/>
      <w:pPr>
        <w:ind w:left="720" w:hanging="360"/>
      </w:pPr>
      <w:rPr>
        <w:rFonts w:ascii="Times New Roman" w:hAnsi="Times New Roman" w:cs="Times New Roman"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714F2"/>
    <w:multiLevelType w:val="multilevel"/>
    <w:tmpl w:val="62049586"/>
    <w:lvl w:ilvl="0">
      <w:start w:val="1"/>
      <w:numFmt w:val="bullet"/>
      <w:lvlText w:val="o"/>
      <w:lvlJc w:val="left"/>
      <w:pPr>
        <w:ind w:left="1080" w:firstLine="720"/>
      </w:pPr>
      <w:rPr>
        <w:rFonts w:ascii="Arial" w:eastAsia="Arial" w:hAnsi="Arial" w:cs="Arial"/>
      </w:rPr>
    </w:lvl>
    <w:lvl w:ilvl="1">
      <w:start w:val="1"/>
      <w:numFmt w:val="bullet"/>
      <w:lvlText w:val="•"/>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8" w15:restartNumberingAfterBreak="0">
    <w:nsid w:val="3A424059"/>
    <w:multiLevelType w:val="multilevel"/>
    <w:tmpl w:val="AD621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DCA23B9"/>
    <w:multiLevelType w:val="hybridMultilevel"/>
    <w:tmpl w:val="480EC7BA"/>
    <w:lvl w:ilvl="0" w:tplc="9840693E">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81588"/>
    <w:multiLevelType w:val="multilevel"/>
    <w:tmpl w:val="825C74BE"/>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43485CDA"/>
    <w:multiLevelType w:val="hybridMultilevel"/>
    <w:tmpl w:val="C8F2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C3092"/>
    <w:multiLevelType w:val="hybridMultilevel"/>
    <w:tmpl w:val="0278F3D6"/>
    <w:lvl w:ilvl="0" w:tplc="F7B68ECC">
      <w:start w:val="1"/>
      <w:numFmt w:val="bullet"/>
      <w:lvlText w:val="-"/>
      <w:lvlJc w:val="left"/>
      <w:pPr>
        <w:tabs>
          <w:tab w:val="num" w:pos="720"/>
        </w:tabs>
        <w:ind w:left="720" w:hanging="360"/>
      </w:pPr>
      <w:rPr>
        <w:rFonts w:ascii="Times New Roman" w:hAnsi="Times New Roman" w:hint="default"/>
      </w:rPr>
    </w:lvl>
    <w:lvl w:ilvl="1" w:tplc="B6A8CB3C" w:tentative="1">
      <w:start w:val="1"/>
      <w:numFmt w:val="bullet"/>
      <w:lvlText w:val="-"/>
      <w:lvlJc w:val="left"/>
      <w:pPr>
        <w:tabs>
          <w:tab w:val="num" w:pos="1440"/>
        </w:tabs>
        <w:ind w:left="1440" w:hanging="360"/>
      </w:pPr>
      <w:rPr>
        <w:rFonts w:ascii="Times New Roman" w:hAnsi="Times New Roman" w:hint="default"/>
      </w:rPr>
    </w:lvl>
    <w:lvl w:ilvl="2" w:tplc="4F2EE860" w:tentative="1">
      <w:start w:val="1"/>
      <w:numFmt w:val="bullet"/>
      <w:lvlText w:val="-"/>
      <w:lvlJc w:val="left"/>
      <w:pPr>
        <w:tabs>
          <w:tab w:val="num" w:pos="2160"/>
        </w:tabs>
        <w:ind w:left="2160" w:hanging="360"/>
      </w:pPr>
      <w:rPr>
        <w:rFonts w:ascii="Times New Roman" w:hAnsi="Times New Roman" w:hint="default"/>
      </w:rPr>
    </w:lvl>
    <w:lvl w:ilvl="3" w:tplc="588A358A" w:tentative="1">
      <w:start w:val="1"/>
      <w:numFmt w:val="bullet"/>
      <w:lvlText w:val="-"/>
      <w:lvlJc w:val="left"/>
      <w:pPr>
        <w:tabs>
          <w:tab w:val="num" w:pos="2880"/>
        </w:tabs>
        <w:ind w:left="2880" w:hanging="360"/>
      </w:pPr>
      <w:rPr>
        <w:rFonts w:ascii="Times New Roman" w:hAnsi="Times New Roman" w:hint="default"/>
      </w:rPr>
    </w:lvl>
    <w:lvl w:ilvl="4" w:tplc="5C9C3D70" w:tentative="1">
      <w:start w:val="1"/>
      <w:numFmt w:val="bullet"/>
      <w:lvlText w:val="-"/>
      <w:lvlJc w:val="left"/>
      <w:pPr>
        <w:tabs>
          <w:tab w:val="num" w:pos="3600"/>
        </w:tabs>
        <w:ind w:left="3600" w:hanging="360"/>
      </w:pPr>
      <w:rPr>
        <w:rFonts w:ascii="Times New Roman" w:hAnsi="Times New Roman" w:hint="default"/>
      </w:rPr>
    </w:lvl>
    <w:lvl w:ilvl="5" w:tplc="3FD40A18" w:tentative="1">
      <w:start w:val="1"/>
      <w:numFmt w:val="bullet"/>
      <w:lvlText w:val="-"/>
      <w:lvlJc w:val="left"/>
      <w:pPr>
        <w:tabs>
          <w:tab w:val="num" w:pos="4320"/>
        </w:tabs>
        <w:ind w:left="4320" w:hanging="360"/>
      </w:pPr>
      <w:rPr>
        <w:rFonts w:ascii="Times New Roman" w:hAnsi="Times New Roman" w:hint="default"/>
      </w:rPr>
    </w:lvl>
    <w:lvl w:ilvl="6" w:tplc="8C82E2A8" w:tentative="1">
      <w:start w:val="1"/>
      <w:numFmt w:val="bullet"/>
      <w:lvlText w:val="-"/>
      <w:lvlJc w:val="left"/>
      <w:pPr>
        <w:tabs>
          <w:tab w:val="num" w:pos="5040"/>
        </w:tabs>
        <w:ind w:left="5040" w:hanging="360"/>
      </w:pPr>
      <w:rPr>
        <w:rFonts w:ascii="Times New Roman" w:hAnsi="Times New Roman" w:hint="default"/>
      </w:rPr>
    </w:lvl>
    <w:lvl w:ilvl="7" w:tplc="D4A6A646" w:tentative="1">
      <w:start w:val="1"/>
      <w:numFmt w:val="bullet"/>
      <w:lvlText w:val="-"/>
      <w:lvlJc w:val="left"/>
      <w:pPr>
        <w:tabs>
          <w:tab w:val="num" w:pos="5760"/>
        </w:tabs>
        <w:ind w:left="5760" w:hanging="360"/>
      </w:pPr>
      <w:rPr>
        <w:rFonts w:ascii="Times New Roman" w:hAnsi="Times New Roman" w:hint="default"/>
      </w:rPr>
    </w:lvl>
    <w:lvl w:ilvl="8" w:tplc="4DAC14B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8535344"/>
    <w:multiLevelType w:val="hybridMultilevel"/>
    <w:tmpl w:val="20EC7B50"/>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0531C"/>
    <w:multiLevelType w:val="hybridMultilevel"/>
    <w:tmpl w:val="4B66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E0FD1"/>
    <w:multiLevelType w:val="hybridMultilevel"/>
    <w:tmpl w:val="43520008"/>
    <w:lvl w:ilvl="0" w:tplc="A7BA0940">
      <w:start w:val="1"/>
      <w:numFmt w:val="bullet"/>
      <w:lvlText w:val="o"/>
      <w:lvlJc w:val="left"/>
      <w:pPr>
        <w:tabs>
          <w:tab w:val="num" w:pos="720"/>
        </w:tabs>
        <w:ind w:left="720" w:hanging="360"/>
      </w:pPr>
      <w:rPr>
        <w:rFonts w:ascii="Courier New" w:hAnsi="Courier New" w:hint="default"/>
      </w:rPr>
    </w:lvl>
    <w:lvl w:ilvl="1" w:tplc="7242CC10">
      <w:start w:val="1"/>
      <w:numFmt w:val="decimal"/>
      <w:lvlText w:val="%2."/>
      <w:lvlJc w:val="left"/>
      <w:pPr>
        <w:tabs>
          <w:tab w:val="num" w:pos="1440"/>
        </w:tabs>
        <w:ind w:left="1440" w:hanging="360"/>
      </w:pPr>
      <w:rPr>
        <w:rFonts w:asciiTheme="minorHAnsi" w:eastAsiaTheme="minorHAnsi" w:hAnsiTheme="minorHAnsi" w:cstheme="minorHAnsi"/>
      </w:rPr>
    </w:lvl>
    <w:lvl w:ilvl="2" w:tplc="576C479A" w:tentative="1">
      <w:start w:val="1"/>
      <w:numFmt w:val="bullet"/>
      <w:lvlText w:val="o"/>
      <w:lvlJc w:val="left"/>
      <w:pPr>
        <w:tabs>
          <w:tab w:val="num" w:pos="2160"/>
        </w:tabs>
        <w:ind w:left="2160" w:hanging="360"/>
      </w:pPr>
      <w:rPr>
        <w:rFonts w:ascii="Courier New" w:hAnsi="Courier New" w:hint="default"/>
      </w:rPr>
    </w:lvl>
    <w:lvl w:ilvl="3" w:tplc="4DD2D212" w:tentative="1">
      <w:start w:val="1"/>
      <w:numFmt w:val="bullet"/>
      <w:lvlText w:val="o"/>
      <w:lvlJc w:val="left"/>
      <w:pPr>
        <w:tabs>
          <w:tab w:val="num" w:pos="2880"/>
        </w:tabs>
        <w:ind w:left="2880" w:hanging="360"/>
      </w:pPr>
      <w:rPr>
        <w:rFonts w:ascii="Courier New" w:hAnsi="Courier New" w:hint="default"/>
      </w:rPr>
    </w:lvl>
    <w:lvl w:ilvl="4" w:tplc="9036E26A" w:tentative="1">
      <w:start w:val="1"/>
      <w:numFmt w:val="bullet"/>
      <w:lvlText w:val="o"/>
      <w:lvlJc w:val="left"/>
      <w:pPr>
        <w:tabs>
          <w:tab w:val="num" w:pos="3600"/>
        </w:tabs>
        <w:ind w:left="3600" w:hanging="360"/>
      </w:pPr>
      <w:rPr>
        <w:rFonts w:ascii="Courier New" w:hAnsi="Courier New" w:hint="default"/>
      </w:rPr>
    </w:lvl>
    <w:lvl w:ilvl="5" w:tplc="7B3AC08C" w:tentative="1">
      <w:start w:val="1"/>
      <w:numFmt w:val="bullet"/>
      <w:lvlText w:val="o"/>
      <w:lvlJc w:val="left"/>
      <w:pPr>
        <w:tabs>
          <w:tab w:val="num" w:pos="4320"/>
        </w:tabs>
        <w:ind w:left="4320" w:hanging="360"/>
      </w:pPr>
      <w:rPr>
        <w:rFonts w:ascii="Courier New" w:hAnsi="Courier New" w:hint="default"/>
      </w:rPr>
    </w:lvl>
    <w:lvl w:ilvl="6" w:tplc="5CFC831E" w:tentative="1">
      <w:start w:val="1"/>
      <w:numFmt w:val="bullet"/>
      <w:lvlText w:val="o"/>
      <w:lvlJc w:val="left"/>
      <w:pPr>
        <w:tabs>
          <w:tab w:val="num" w:pos="5040"/>
        </w:tabs>
        <w:ind w:left="5040" w:hanging="360"/>
      </w:pPr>
      <w:rPr>
        <w:rFonts w:ascii="Courier New" w:hAnsi="Courier New" w:hint="default"/>
      </w:rPr>
    </w:lvl>
    <w:lvl w:ilvl="7" w:tplc="AAF2774A" w:tentative="1">
      <w:start w:val="1"/>
      <w:numFmt w:val="bullet"/>
      <w:lvlText w:val="o"/>
      <w:lvlJc w:val="left"/>
      <w:pPr>
        <w:tabs>
          <w:tab w:val="num" w:pos="5760"/>
        </w:tabs>
        <w:ind w:left="5760" w:hanging="360"/>
      </w:pPr>
      <w:rPr>
        <w:rFonts w:ascii="Courier New" w:hAnsi="Courier New" w:hint="default"/>
      </w:rPr>
    </w:lvl>
    <w:lvl w:ilvl="8" w:tplc="B89233AE"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E640CC5"/>
    <w:multiLevelType w:val="hybridMultilevel"/>
    <w:tmpl w:val="22C2D8B0"/>
    <w:lvl w:ilvl="0" w:tplc="59429970">
      <w:start w:val="1"/>
      <w:numFmt w:val="bullet"/>
      <w:lvlText w:val="o"/>
      <w:lvlJc w:val="left"/>
      <w:pPr>
        <w:tabs>
          <w:tab w:val="num" w:pos="720"/>
        </w:tabs>
        <w:ind w:left="720" w:hanging="360"/>
      </w:pPr>
      <w:rPr>
        <w:rFonts w:ascii="Courier New" w:hAnsi="Courier New" w:hint="default"/>
      </w:rPr>
    </w:lvl>
    <w:lvl w:ilvl="1" w:tplc="CF6AB8EA">
      <w:start w:val="1"/>
      <w:numFmt w:val="bullet"/>
      <w:lvlText w:val="o"/>
      <w:lvlJc w:val="left"/>
      <w:pPr>
        <w:tabs>
          <w:tab w:val="num" w:pos="1440"/>
        </w:tabs>
        <w:ind w:left="1440" w:hanging="360"/>
      </w:pPr>
      <w:rPr>
        <w:rFonts w:ascii="Courier New" w:hAnsi="Courier New" w:hint="default"/>
      </w:rPr>
    </w:lvl>
    <w:lvl w:ilvl="2" w:tplc="90DA769E" w:tentative="1">
      <w:start w:val="1"/>
      <w:numFmt w:val="bullet"/>
      <w:lvlText w:val="o"/>
      <w:lvlJc w:val="left"/>
      <w:pPr>
        <w:tabs>
          <w:tab w:val="num" w:pos="2160"/>
        </w:tabs>
        <w:ind w:left="2160" w:hanging="360"/>
      </w:pPr>
      <w:rPr>
        <w:rFonts w:ascii="Courier New" w:hAnsi="Courier New" w:hint="default"/>
      </w:rPr>
    </w:lvl>
    <w:lvl w:ilvl="3" w:tplc="1AB04940" w:tentative="1">
      <w:start w:val="1"/>
      <w:numFmt w:val="bullet"/>
      <w:lvlText w:val="o"/>
      <w:lvlJc w:val="left"/>
      <w:pPr>
        <w:tabs>
          <w:tab w:val="num" w:pos="2880"/>
        </w:tabs>
        <w:ind w:left="2880" w:hanging="360"/>
      </w:pPr>
      <w:rPr>
        <w:rFonts w:ascii="Courier New" w:hAnsi="Courier New" w:hint="default"/>
      </w:rPr>
    </w:lvl>
    <w:lvl w:ilvl="4" w:tplc="905CA2C2" w:tentative="1">
      <w:start w:val="1"/>
      <w:numFmt w:val="bullet"/>
      <w:lvlText w:val="o"/>
      <w:lvlJc w:val="left"/>
      <w:pPr>
        <w:tabs>
          <w:tab w:val="num" w:pos="3600"/>
        </w:tabs>
        <w:ind w:left="3600" w:hanging="360"/>
      </w:pPr>
      <w:rPr>
        <w:rFonts w:ascii="Courier New" w:hAnsi="Courier New" w:hint="default"/>
      </w:rPr>
    </w:lvl>
    <w:lvl w:ilvl="5" w:tplc="66E6FAB2" w:tentative="1">
      <w:start w:val="1"/>
      <w:numFmt w:val="bullet"/>
      <w:lvlText w:val="o"/>
      <w:lvlJc w:val="left"/>
      <w:pPr>
        <w:tabs>
          <w:tab w:val="num" w:pos="4320"/>
        </w:tabs>
        <w:ind w:left="4320" w:hanging="360"/>
      </w:pPr>
      <w:rPr>
        <w:rFonts w:ascii="Courier New" w:hAnsi="Courier New" w:hint="default"/>
      </w:rPr>
    </w:lvl>
    <w:lvl w:ilvl="6" w:tplc="27203EAE" w:tentative="1">
      <w:start w:val="1"/>
      <w:numFmt w:val="bullet"/>
      <w:lvlText w:val="o"/>
      <w:lvlJc w:val="left"/>
      <w:pPr>
        <w:tabs>
          <w:tab w:val="num" w:pos="5040"/>
        </w:tabs>
        <w:ind w:left="5040" w:hanging="360"/>
      </w:pPr>
      <w:rPr>
        <w:rFonts w:ascii="Courier New" w:hAnsi="Courier New" w:hint="default"/>
      </w:rPr>
    </w:lvl>
    <w:lvl w:ilvl="7" w:tplc="194E2A52" w:tentative="1">
      <w:start w:val="1"/>
      <w:numFmt w:val="bullet"/>
      <w:lvlText w:val="o"/>
      <w:lvlJc w:val="left"/>
      <w:pPr>
        <w:tabs>
          <w:tab w:val="num" w:pos="5760"/>
        </w:tabs>
        <w:ind w:left="5760" w:hanging="360"/>
      </w:pPr>
      <w:rPr>
        <w:rFonts w:ascii="Courier New" w:hAnsi="Courier New" w:hint="default"/>
      </w:rPr>
    </w:lvl>
    <w:lvl w:ilvl="8" w:tplc="D77C409C"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4FF231D3"/>
    <w:multiLevelType w:val="multilevel"/>
    <w:tmpl w:val="3420FA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00061DD"/>
    <w:multiLevelType w:val="hybridMultilevel"/>
    <w:tmpl w:val="544C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F63EFF"/>
    <w:multiLevelType w:val="multilevel"/>
    <w:tmpl w:val="E1340DA2"/>
    <w:lvl w:ilvl="0">
      <w:start w:val="1"/>
      <w:numFmt w:val="bullet"/>
      <w:lvlText w:val="o"/>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5B48286E"/>
    <w:multiLevelType w:val="hybridMultilevel"/>
    <w:tmpl w:val="88EC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126A1"/>
    <w:multiLevelType w:val="multilevel"/>
    <w:tmpl w:val="3BD250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60F437C9"/>
    <w:multiLevelType w:val="hybridMultilevel"/>
    <w:tmpl w:val="AE8843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FF428E"/>
    <w:multiLevelType w:val="hybridMultilevel"/>
    <w:tmpl w:val="C5304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C705D3"/>
    <w:multiLevelType w:val="hybridMultilevel"/>
    <w:tmpl w:val="82068466"/>
    <w:lvl w:ilvl="0" w:tplc="24645970">
      <w:numFmt w:val="bullet"/>
      <w:lvlText w:val="-"/>
      <w:lvlJc w:val="left"/>
      <w:pPr>
        <w:ind w:left="420" w:hanging="360"/>
      </w:pPr>
      <w:rPr>
        <w:rFonts w:ascii="Sylfaen" w:eastAsiaTheme="minorHAnsi" w:hAnsi="Sylfaen" w:cstheme="minorBidi" w:hint="default"/>
      </w:rPr>
    </w:lvl>
    <w:lvl w:ilvl="1" w:tplc="04370003" w:tentative="1">
      <w:start w:val="1"/>
      <w:numFmt w:val="bullet"/>
      <w:lvlText w:val="o"/>
      <w:lvlJc w:val="left"/>
      <w:pPr>
        <w:ind w:left="1140" w:hanging="360"/>
      </w:pPr>
      <w:rPr>
        <w:rFonts w:ascii="Courier New" w:hAnsi="Courier New" w:hint="default"/>
      </w:rPr>
    </w:lvl>
    <w:lvl w:ilvl="2" w:tplc="04370005" w:tentative="1">
      <w:start w:val="1"/>
      <w:numFmt w:val="bullet"/>
      <w:lvlText w:val=""/>
      <w:lvlJc w:val="left"/>
      <w:pPr>
        <w:ind w:left="1860" w:hanging="360"/>
      </w:pPr>
      <w:rPr>
        <w:rFonts w:ascii="Wingdings" w:hAnsi="Wingdings" w:hint="default"/>
      </w:rPr>
    </w:lvl>
    <w:lvl w:ilvl="3" w:tplc="04370001" w:tentative="1">
      <w:start w:val="1"/>
      <w:numFmt w:val="bullet"/>
      <w:lvlText w:val=""/>
      <w:lvlJc w:val="left"/>
      <w:pPr>
        <w:ind w:left="2580" w:hanging="360"/>
      </w:pPr>
      <w:rPr>
        <w:rFonts w:ascii="Symbol" w:hAnsi="Symbol" w:hint="default"/>
      </w:rPr>
    </w:lvl>
    <w:lvl w:ilvl="4" w:tplc="04370003" w:tentative="1">
      <w:start w:val="1"/>
      <w:numFmt w:val="bullet"/>
      <w:lvlText w:val="o"/>
      <w:lvlJc w:val="left"/>
      <w:pPr>
        <w:ind w:left="3300" w:hanging="360"/>
      </w:pPr>
      <w:rPr>
        <w:rFonts w:ascii="Courier New" w:hAnsi="Courier New" w:hint="default"/>
      </w:rPr>
    </w:lvl>
    <w:lvl w:ilvl="5" w:tplc="04370005" w:tentative="1">
      <w:start w:val="1"/>
      <w:numFmt w:val="bullet"/>
      <w:lvlText w:val=""/>
      <w:lvlJc w:val="left"/>
      <w:pPr>
        <w:ind w:left="4020" w:hanging="360"/>
      </w:pPr>
      <w:rPr>
        <w:rFonts w:ascii="Wingdings" w:hAnsi="Wingdings" w:hint="default"/>
      </w:rPr>
    </w:lvl>
    <w:lvl w:ilvl="6" w:tplc="04370001" w:tentative="1">
      <w:start w:val="1"/>
      <w:numFmt w:val="bullet"/>
      <w:lvlText w:val=""/>
      <w:lvlJc w:val="left"/>
      <w:pPr>
        <w:ind w:left="4740" w:hanging="360"/>
      </w:pPr>
      <w:rPr>
        <w:rFonts w:ascii="Symbol" w:hAnsi="Symbol" w:hint="default"/>
      </w:rPr>
    </w:lvl>
    <w:lvl w:ilvl="7" w:tplc="04370003" w:tentative="1">
      <w:start w:val="1"/>
      <w:numFmt w:val="bullet"/>
      <w:lvlText w:val="o"/>
      <w:lvlJc w:val="left"/>
      <w:pPr>
        <w:ind w:left="5460" w:hanging="360"/>
      </w:pPr>
      <w:rPr>
        <w:rFonts w:ascii="Courier New" w:hAnsi="Courier New" w:hint="default"/>
      </w:rPr>
    </w:lvl>
    <w:lvl w:ilvl="8" w:tplc="04370005" w:tentative="1">
      <w:start w:val="1"/>
      <w:numFmt w:val="bullet"/>
      <w:lvlText w:val=""/>
      <w:lvlJc w:val="left"/>
      <w:pPr>
        <w:ind w:left="6180" w:hanging="360"/>
      </w:pPr>
      <w:rPr>
        <w:rFonts w:ascii="Wingdings" w:hAnsi="Wingdings" w:hint="default"/>
      </w:rPr>
    </w:lvl>
  </w:abstractNum>
  <w:abstractNum w:abstractNumId="35" w15:restartNumberingAfterBreak="0">
    <w:nsid w:val="686A6D91"/>
    <w:multiLevelType w:val="hybridMultilevel"/>
    <w:tmpl w:val="4AB21BF0"/>
    <w:lvl w:ilvl="0" w:tplc="3A66CF48">
      <w:start w:val="1"/>
      <w:numFmt w:val="bullet"/>
      <w:lvlText w:val="•"/>
      <w:lvlJc w:val="left"/>
      <w:pPr>
        <w:tabs>
          <w:tab w:val="num" w:pos="720"/>
        </w:tabs>
        <w:ind w:left="720" w:hanging="360"/>
      </w:pPr>
      <w:rPr>
        <w:rFonts w:ascii="Arial" w:hAnsi="Arial" w:hint="default"/>
      </w:rPr>
    </w:lvl>
    <w:lvl w:ilvl="1" w:tplc="A0C404AE" w:tentative="1">
      <w:start w:val="1"/>
      <w:numFmt w:val="bullet"/>
      <w:lvlText w:val="•"/>
      <w:lvlJc w:val="left"/>
      <w:pPr>
        <w:tabs>
          <w:tab w:val="num" w:pos="1440"/>
        </w:tabs>
        <w:ind w:left="1440" w:hanging="360"/>
      </w:pPr>
      <w:rPr>
        <w:rFonts w:ascii="Arial" w:hAnsi="Arial" w:hint="default"/>
      </w:rPr>
    </w:lvl>
    <w:lvl w:ilvl="2" w:tplc="CACEBF92" w:tentative="1">
      <w:start w:val="1"/>
      <w:numFmt w:val="bullet"/>
      <w:lvlText w:val="•"/>
      <w:lvlJc w:val="left"/>
      <w:pPr>
        <w:tabs>
          <w:tab w:val="num" w:pos="2160"/>
        </w:tabs>
        <w:ind w:left="2160" w:hanging="360"/>
      </w:pPr>
      <w:rPr>
        <w:rFonts w:ascii="Arial" w:hAnsi="Arial" w:hint="default"/>
      </w:rPr>
    </w:lvl>
    <w:lvl w:ilvl="3" w:tplc="F1CE362C" w:tentative="1">
      <w:start w:val="1"/>
      <w:numFmt w:val="bullet"/>
      <w:lvlText w:val="•"/>
      <w:lvlJc w:val="left"/>
      <w:pPr>
        <w:tabs>
          <w:tab w:val="num" w:pos="2880"/>
        </w:tabs>
        <w:ind w:left="2880" w:hanging="360"/>
      </w:pPr>
      <w:rPr>
        <w:rFonts w:ascii="Arial" w:hAnsi="Arial" w:hint="default"/>
      </w:rPr>
    </w:lvl>
    <w:lvl w:ilvl="4" w:tplc="B5923BD6" w:tentative="1">
      <w:start w:val="1"/>
      <w:numFmt w:val="bullet"/>
      <w:lvlText w:val="•"/>
      <w:lvlJc w:val="left"/>
      <w:pPr>
        <w:tabs>
          <w:tab w:val="num" w:pos="3600"/>
        </w:tabs>
        <w:ind w:left="3600" w:hanging="360"/>
      </w:pPr>
      <w:rPr>
        <w:rFonts w:ascii="Arial" w:hAnsi="Arial" w:hint="default"/>
      </w:rPr>
    </w:lvl>
    <w:lvl w:ilvl="5" w:tplc="0FB26DC4" w:tentative="1">
      <w:start w:val="1"/>
      <w:numFmt w:val="bullet"/>
      <w:lvlText w:val="•"/>
      <w:lvlJc w:val="left"/>
      <w:pPr>
        <w:tabs>
          <w:tab w:val="num" w:pos="4320"/>
        </w:tabs>
        <w:ind w:left="4320" w:hanging="360"/>
      </w:pPr>
      <w:rPr>
        <w:rFonts w:ascii="Arial" w:hAnsi="Arial" w:hint="default"/>
      </w:rPr>
    </w:lvl>
    <w:lvl w:ilvl="6" w:tplc="5AA873AE" w:tentative="1">
      <w:start w:val="1"/>
      <w:numFmt w:val="bullet"/>
      <w:lvlText w:val="•"/>
      <w:lvlJc w:val="left"/>
      <w:pPr>
        <w:tabs>
          <w:tab w:val="num" w:pos="5040"/>
        </w:tabs>
        <w:ind w:left="5040" w:hanging="360"/>
      </w:pPr>
      <w:rPr>
        <w:rFonts w:ascii="Arial" w:hAnsi="Arial" w:hint="default"/>
      </w:rPr>
    </w:lvl>
    <w:lvl w:ilvl="7" w:tplc="5DD63718" w:tentative="1">
      <w:start w:val="1"/>
      <w:numFmt w:val="bullet"/>
      <w:lvlText w:val="•"/>
      <w:lvlJc w:val="left"/>
      <w:pPr>
        <w:tabs>
          <w:tab w:val="num" w:pos="5760"/>
        </w:tabs>
        <w:ind w:left="5760" w:hanging="360"/>
      </w:pPr>
      <w:rPr>
        <w:rFonts w:ascii="Arial" w:hAnsi="Arial" w:hint="default"/>
      </w:rPr>
    </w:lvl>
    <w:lvl w:ilvl="8" w:tplc="EC66C06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7751AD"/>
    <w:multiLevelType w:val="hybridMultilevel"/>
    <w:tmpl w:val="270C66B8"/>
    <w:lvl w:ilvl="0" w:tplc="1222F246">
      <w:start w:val="1"/>
      <w:numFmt w:val="bullet"/>
      <w:lvlText w:val="•"/>
      <w:lvlJc w:val="left"/>
      <w:pPr>
        <w:tabs>
          <w:tab w:val="num" w:pos="360"/>
        </w:tabs>
        <w:ind w:left="360" w:hanging="360"/>
      </w:pPr>
      <w:rPr>
        <w:rFonts w:ascii="Times New Roman" w:hAnsi="Times New Roman" w:hint="default"/>
      </w:rPr>
    </w:lvl>
    <w:lvl w:ilvl="1" w:tplc="2EA25DDA" w:tentative="1">
      <w:start w:val="1"/>
      <w:numFmt w:val="bullet"/>
      <w:lvlText w:val="•"/>
      <w:lvlJc w:val="left"/>
      <w:pPr>
        <w:tabs>
          <w:tab w:val="num" w:pos="1080"/>
        </w:tabs>
        <w:ind w:left="1080" w:hanging="360"/>
      </w:pPr>
      <w:rPr>
        <w:rFonts w:ascii="Times New Roman" w:hAnsi="Times New Roman" w:hint="default"/>
      </w:rPr>
    </w:lvl>
    <w:lvl w:ilvl="2" w:tplc="CFA80F80" w:tentative="1">
      <w:start w:val="1"/>
      <w:numFmt w:val="bullet"/>
      <w:lvlText w:val="•"/>
      <w:lvlJc w:val="left"/>
      <w:pPr>
        <w:tabs>
          <w:tab w:val="num" w:pos="1800"/>
        </w:tabs>
        <w:ind w:left="1800" w:hanging="360"/>
      </w:pPr>
      <w:rPr>
        <w:rFonts w:ascii="Times New Roman" w:hAnsi="Times New Roman" w:hint="default"/>
      </w:rPr>
    </w:lvl>
    <w:lvl w:ilvl="3" w:tplc="2800E1EC" w:tentative="1">
      <w:start w:val="1"/>
      <w:numFmt w:val="bullet"/>
      <w:lvlText w:val="•"/>
      <w:lvlJc w:val="left"/>
      <w:pPr>
        <w:tabs>
          <w:tab w:val="num" w:pos="2520"/>
        </w:tabs>
        <w:ind w:left="2520" w:hanging="360"/>
      </w:pPr>
      <w:rPr>
        <w:rFonts w:ascii="Times New Roman" w:hAnsi="Times New Roman" w:hint="default"/>
      </w:rPr>
    </w:lvl>
    <w:lvl w:ilvl="4" w:tplc="ADFAFF0C" w:tentative="1">
      <w:start w:val="1"/>
      <w:numFmt w:val="bullet"/>
      <w:lvlText w:val="•"/>
      <w:lvlJc w:val="left"/>
      <w:pPr>
        <w:tabs>
          <w:tab w:val="num" w:pos="3240"/>
        </w:tabs>
        <w:ind w:left="3240" w:hanging="360"/>
      </w:pPr>
      <w:rPr>
        <w:rFonts w:ascii="Times New Roman" w:hAnsi="Times New Roman" w:hint="default"/>
      </w:rPr>
    </w:lvl>
    <w:lvl w:ilvl="5" w:tplc="3AD0BA5E" w:tentative="1">
      <w:start w:val="1"/>
      <w:numFmt w:val="bullet"/>
      <w:lvlText w:val="•"/>
      <w:lvlJc w:val="left"/>
      <w:pPr>
        <w:tabs>
          <w:tab w:val="num" w:pos="3960"/>
        </w:tabs>
        <w:ind w:left="3960" w:hanging="360"/>
      </w:pPr>
      <w:rPr>
        <w:rFonts w:ascii="Times New Roman" w:hAnsi="Times New Roman" w:hint="default"/>
      </w:rPr>
    </w:lvl>
    <w:lvl w:ilvl="6" w:tplc="41A02320" w:tentative="1">
      <w:start w:val="1"/>
      <w:numFmt w:val="bullet"/>
      <w:lvlText w:val="•"/>
      <w:lvlJc w:val="left"/>
      <w:pPr>
        <w:tabs>
          <w:tab w:val="num" w:pos="4680"/>
        </w:tabs>
        <w:ind w:left="4680" w:hanging="360"/>
      </w:pPr>
      <w:rPr>
        <w:rFonts w:ascii="Times New Roman" w:hAnsi="Times New Roman" w:hint="default"/>
      </w:rPr>
    </w:lvl>
    <w:lvl w:ilvl="7" w:tplc="EA369726" w:tentative="1">
      <w:start w:val="1"/>
      <w:numFmt w:val="bullet"/>
      <w:lvlText w:val="•"/>
      <w:lvlJc w:val="left"/>
      <w:pPr>
        <w:tabs>
          <w:tab w:val="num" w:pos="5400"/>
        </w:tabs>
        <w:ind w:left="5400" w:hanging="360"/>
      </w:pPr>
      <w:rPr>
        <w:rFonts w:ascii="Times New Roman" w:hAnsi="Times New Roman" w:hint="default"/>
      </w:rPr>
    </w:lvl>
    <w:lvl w:ilvl="8" w:tplc="09FEC40C"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B1C6E10"/>
    <w:multiLevelType w:val="hybridMultilevel"/>
    <w:tmpl w:val="5220E4F2"/>
    <w:lvl w:ilvl="0" w:tplc="FFFFFFFF">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A0096"/>
    <w:multiLevelType w:val="hybridMultilevel"/>
    <w:tmpl w:val="6C8A836A"/>
    <w:lvl w:ilvl="0" w:tplc="24645970">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154542"/>
    <w:multiLevelType w:val="multilevel"/>
    <w:tmpl w:val="CD7221CE"/>
    <w:lvl w:ilvl="0">
      <w:start w:val="1"/>
      <w:numFmt w:val="bullet"/>
      <w:lvlText w:val=""/>
      <w:lvlJc w:val="left"/>
      <w:pPr>
        <w:ind w:left="720" w:firstLine="360"/>
      </w:pPr>
      <w:rPr>
        <w:rFonts w:ascii="Symbol" w:hAnsi="Symbol" w:hint="default"/>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78C907F2"/>
    <w:multiLevelType w:val="hybridMultilevel"/>
    <w:tmpl w:val="DC9AA866"/>
    <w:lvl w:ilvl="0" w:tplc="FFFFFFFF">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0451E6"/>
    <w:multiLevelType w:val="hybridMultilevel"/>
    <w:tmpl w:val="BFAA652E"/>
    <w:lvl w:ilvl="0" w:tplc="24426FD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18"/>
  </w:num>
  <w:num w:numId="3">
    <w:abstractNumId w:val="31"/>
  </w:num>
  <w:num w:numId="4">
    <w:abstractNumId w:val="27"/>
  </w:num>
  <w:num w:numId="5">
    <w:abstractNumId w:val="20"/>
  </w:num>
  <w:num w:numId="6">
    <w:abstractNumId w:val="9"/>
  </w:num>
  <w:num w:numId="7">
    <w:abstractNumId w:val="29"/>
  </w:num>
  <w:num w:numId="8">
    <w:abstractNumId w:val="17"/>
  </w:num>
  <w:num w:numId="9">
    <w:abstractNumId w:val="7"/>
  </w:num>
  <w:num w:numId="10">
    <w:abstractNumId w:val="39"/>
  </w:num>
  <w:num w:numId="11">
    <w:abstractNumId w:val="11"/>
  </w:num>
  <w:num w:numId="12">
    <w:abstractNumId w:val="3"/>
  </w:num>
  <w:num w:numId="13">
    <w:abstractNumId w:val="16"/>
  </w:num>
  <w:num w:numId="14">
    <w:abstractNumId w:val="23"/>
  </w:num>
  <w:num w:numId="15">
    <w:abstractNumId w:val="8"/>
  </w:num>
  <w:num w:numId="16">
    <w:abstractNumId w:val="32"/>
  </w:num>
  <w:num w:numId="17">
    <w:abstractNumId w:val="34"/>
  </w:num>
  <w:num w:numId="18">
    <w:abstractNumId w:val="33"/>
  </w:num>
  <w:num w:numId="19">
    <w:abstractNumId w:val="38"/>
  </w:num>
  <w:num w:numId="20">
    <w:abstractNumId w:val="22"/>
  </w:num>
  <w:num w:numId="21">
    <w:abstractNumId w:val="40"/>
  </w:num>
  <w:num w:numId="22">
    <w:abstractNumId w:val="35"/>
  </w:num>
  <w:num w:numId="23">
    <w:abstractNumId w:val="5"/>
  </w:num>
  <w:num w:numId="24">
    <w:abstractNumId w:val="14"/>
  </w:num>
  <w:num w:numId="25">
    <w:abstractNumId w:val="37"/>
  </w:num>
  <w:num w:numId="26">
    <w:abstractNumId w:val="26"/>
  </w:num>
  <w:num w:numId="27">
    <w:abstractNumId w:val="2"/>
  </w:num>
  <w:num w:numId="28">
    <w:abstractNumId w:val="12"/>
  </w:num>
  <w:num w:numId="29">
    <w:abstractNumId w:val="13"/>
  </w:num>
  <w:num w:numId="30">
    <w:abstractNumId w:val="25"/>
  </w:num>
  <w:num w:numId="31">
    <w:abstractNumId w:val="6"/>
  </w:num>
  <w:num w:numId="32">
    <w:abstractNumId w:val="41"/>
  </w:num>
  <w:num w:numId="33">
    <w:abstractNumId w:val="30"/>
  </w:num>
  <w:num w:numId="34">
    <w:abstractNumId w:val="28"/>
  </w:num>
  <w:num w:numId="35">
    <w:abstractNumId w:val="24"/>
  </w:num>
  <w:num w:numId="36">
    <w:abstractNumId w:val="0"/>
  </w:num>
  <w:num w:numId="37">
    <w:abstractNumId w:val="19"/>
  </w:num>
  <w:num w:numId="38">
    <w:abstractNumId w:val="10"/>
  </w:num>
  <w:num w:numId="39">
    <w:abstractNumId w:val="4"/>
  </w:num>
  <w:num w:numId="40">
    <w:abstractNumId w:val="15"/>
  </w:num>
  <w:num w:numId="41">
    <w:abstractNumId w:val="21"/>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CD"/>
    <w:rsid w:val="0000292E"/>
    <w:rsid w:val="000039A3"/>
    <w:rsid w:val="00016B01"/>
    <w:rsid w:val="00031DCD"/>
    <w:rsid w:val="00033336"/>
    <w:rsid w:val="00044869"/>
    <w:rsid w:val="000510A7"/>
    <w:rsid w:val="00055201"/>
    <w:rsid w:val="000557DA"/>
    <w:rsid w:val="00072345"/>
    <w:rsid w:val="000949D3"/>
    <w:rsid w:val="00094C07"/>
    <w:rsid w:val="000B290E"/>
    <w:rsid w:val="000B74CA"/>
    <w:rsid w:val="000C4C9D"/>
    <w:rsid w:val="000E51B4"/>
    <w:rsid w:val="00107966"/>
    <w:rsid w:val="00112B40"/>
    <w:rsid w:val="00123A73"/>
    <w:rsid w:val="0012404C"/>
    <w:rsid w:val="00126245"/>
    <w:rsid w:val="0012710C"/>
    <w:rsid w:val="001366E5"/>
    <w:rsid w:val="001374C0"/>
    <w:rsid w:val="001579FE"/>
    <w:rsid w:val="00157D56"/>
    <w:rsid w:val="00184A75"/>
    <w:rsid w:val="00184AD7"/>
    <w:rsid w:val="00187A2D"/>
    <w:rsid w:val="0019199B"/>
    <w:rsid w:val="001A5B22"/>
    <w:rsid w:val="001B6080"/>
    <w:rsid w:val="001B64CB"/>
    <w:rsid w:val="001D623A"/>
    <w:rsid w:val="001D7017"/>
    <w:rsid w:val="001F010E"/>
    <w:rsid w:val="00204E29"/>
    <w:rsid w:val="0020724B"/>
    <w:rsid w:val="00210F2B"/>
    <w:rsid w:val="00212690"/>
    <w:rsid w:val="00223522"/>
    <w:rsid w:val="00227346"/>
    <w:rsid w:val="0024034F"/>
    <w:rsid w:val="00241BAC"/>
    <w:rsid w:val="002430DE"/>
    <w:rsid w:val="002472CD"/>
    <w:rsid w:val="002530C2"/>
    <w:rsid w:val="002548AE"/>
    <w:rsid w:val="00256BC5"/>
    <w:rsid w:val="00263D45"/>
    <w:rsid w:val="002800FC"/>
    <w:rsid w:val="00282A31"/>
    <w:rsid w:val="00283F31"/>
    <w:rsid w:val="002939B4"/>
    <w:rsid w:val="0029701A"/>
    <w:rsid w:val="002D644C"/>
    <w:rsid w:val="002E51DE"/>
    <w:rsid w:val="002F0776"/>
    <w:rsid w:val="003063CD"/>
    <w:rsid w:val="00306FF8"/>
    <w:rsid w:val="00311E8E"/>
    <w:rsid w:val="00312CF3"/>
    <w:rsid w:val="003372EF"/>
    <w:rsid w:val="00340473"/>
    <w:rsid w:val="0034346A"/>
    <w:rsid w:val="00351A5F"/>
    <w:rsid w:val="00353940"/>
    <w:rsid w:val="00356B78"/>
    <w:rsid w:val="00356F32"/>
    <w:rsid w:val="00360339"/>
    <w:rsid w:val="00371754"/>
    <w:rsid w:val="00383826"/>
    <w:rsid w:val="0038775C"/>
    <w:rsid w:val="00390E57"/>
    <w:rsid w:val="00395423"/>
    <w:rsid w:val="003B2BFE"/>
    <w:rsid w:val="003C7A05"/>
    <w:rsid w:val="003D5B12"/>
    <w:rsid w:val="003E0DBF"/>
    <w:rsid w:val="003F1BFC"/>
    <w:rsid w:val="003F487D"/>
    <w:rsid w:val="004039F4"/>
    <w:rsid w:val="004326E5"/>
    <w:rsid w:val="00435D37"/>
    <w:rsid w:val="004446B0"/>
    <w:rsid w:val="004639E5"/>
    <w:rsid w:val="004728C2"/>
    <w:rsid w:val="004B69C4"/>
    <w:rsid w:val="004B6C03"/>
    <w:rsid w:val="004C1B73"/>
    <w:rsid w:val="004D22C3"/>
    <w:rsid w:val="004D2E14"/>
    <w:rsid w:val="004D630A"/>
    <w:rsid w:val="004E4CFC"/>
    <w:rsid w:val="004F3FAE"/>
    <w:rsid w:val="00504E7D"/>
    <w:rsid w:val="00507728"/>
    <w:rsid w:val="0051596D"/>
    <w:rsid w:val="00520C73"/>
    <w:rsid w:val="005220A6"/>
    <w:rsid w:val="005238DA"/>
    <w:rsid w:val="00525CA5"/>
    <w:rsid w:val="00536846"/>
    <w:rsid w:val="00536CB0"/>
    <w:rsid w:val="0055575F"/>
    <w:rsid w:val="0056359E"/>
    <w:rsid w:val="005639C8"/>
    <w:rsid w:val="00566891"/>
    <w:rsid w:val="00567A7E"/>
    <w:rsid w:val="00567EC7"/>
    <w:rsid w:val="0058400E"/>
    <w:rsid w:val="00587619"/>
    <w:rsid w:val="005A34F4"/>
    <w:rsid w:val="005B0BEC"/>
    <w:rsid w:val="005B4CBA"/>
    <w:rsid w:val="005C4C14"/>
    <w:rsid w:val="005C4E5E"/>
    <w:rsid w:val="005E1B55"/>
    <w:rsid w:val="005F129B"/>
    <w:rsid w:val="005F3625"/>
    <w:rsid w:val="005F508E"/>
    <w:rsid w:val="0060162C"/>
    <w:rsid w:val="00607312"/>
    <w:rsid w:val="0061420E"/>
    <w:rsid w:val="00624442"/>
    <w:rsid w:val="006369EE"/>
    <w:rsid w:val="006433AD"/>
    <w:rsid w:val="00657B84"/>
    <w:rsid w:val="006613BD"/>
    <w:rsid w:val="00667D34"/>
    <w:rsid w:val="00683D97"/>
    <w:rsid w:val="006857A1"/>
    <w:rsid w:val="006B0FD6"/>
    <w:rsid w:val="006B473C"/>
    <w:rsid w:val="00700842"/>
    <w:rsid w:val="00717BD5"/>
    <w:rsid w:val="00721226"/>
    <w:rsid w:val="007316EA"/>
    <w:rsid w:val="007329DB"/>
    <w:rsid w:val="0074442B"/>
    <w:rsid w:val="007477A4"/>
    <w:rsid w:val="00751958"/>
    <w:rsid w:val="00752829"/>
    <w:rsid w:val="007629DA"/>
    <w:rsid w:val="00767C6F"/>
    <w:rsid w:val="00780955"/>
    <w:rsid w:val="007B33FE"/>
    <w:rsid w:val="007B5DDB"/>
    <w:rsid w:val="007C17A7"/>
    <w:rsid w:val="007C55BF"/>
    <w:rsid w:val="007D0C57"/>
    <w:rsid w:val="007E0B08"/>
    <w:rsid w:val="007E4B9C"/>
    <w:rsid w:val="007F46AD"/>
    <w:rsid w:val="007F65B7"/>
    <w:rsid w:val="008001BE"/>
    <w:rsid w:val="00811D09"/>
    <w:rsid w:val="0081264B"/>
    <w:rsid w:val="00815F3F"/>
    <w:rsid w:val="00817A95"/>
    <w:rsid w:val="00822D33"/>
    <w:rsid w:val="0082360C"/>
    <w:rsid w:val="00827C8C"/>
    <w:rsid w:val="00832DC0"/>
    <w:rsid w:val="00834D5E"/>
    <w:rsid w:val="00840126"/>
    <w:rsid w:val="00853E34"/>
    <w:rsid w:val="008570D3"/>
    <w:rsid w:val="00860E6F"/>
    <w:rsid w:val="00864473"/>
    <w:rsid w:val="008723B4"/>
    <w:rsid w:val="00887D4E"/>
    <w:rsid w:val="008A2237"/>
    <w:rsid w:val="008A262F"/>
    <w:rsid w:val="008A45F4"/>
    <w:rsid w:val="008C4F16"/>
    <w:rsid w:val="008C6327"/>
    <w:rsid w:val="00901601"/>
    <w:rsid w:val="009078A0"/>
    <w:rsid w:val="00921BFA"/>
    <w:rsid w:val="00923187"/>
    <w:rsid w:val="00950D3D"/>
    <w:rsid w:val="00974150"/>
    <w:rsid w:val="0098043E"/>
    <w:rsid w:val="0098738C"/>
    <w:rsid w:val="00991553"/>
    <w:rsid w:val="00995174"/>
    <w:rsid w:val="009A615E"/>
    <w:rsid w:val="009B12EC"/>
    <w:rsid w:val="009B56F7"/>
    <w:rsid w:val="009B6680"/>
    <w:rsid w:val="009C6D72"/>
    <w:rsid w:val="009D453A"/>
    <w:rsid w:val="009D6984"/>
    <w:rsid w:val="009E066E"/>
    <w:rsid w:val="009E60D5"/>
    <w:rsid w:val="009E613B"/>
    <w:rsid w:val="009F0834"/>
    <w:rsid w:val="009F2DBD"/>
    <w:rsid w:val="00A03423"/>
    <w:rsid w:val="00A20206"/>
    <w:rsid w:val="00A265D9"/>
    <w:rsid w:val="00A32FA1"/>
    <w:rsid w:val="00A40338"/>
    <w:rsid w:val="00A53861"/>
    <w:rsid w:val="00A56BB0"/>
    <w:rsid w:val="00A67373"/>
    <w:rsid w:val="00A87586"/>
    <w:rsid w:val="00A90983"/>
    <w:rsid w:val="00AA067A"/>
    <w:rsid w:val="00AA4DEA"/>
    <w:rsid w:val="00AB5C6F"/>
    <w:rsid w:val="00AB7B78"/>
    <w:rsid w:val="00AD112A"/>
    <w:rsid w:val="00AD27BA"/>
    <w:rsid w:val="00AE0CD0"/>
    <w:rsid w:val="00AF7298"/>
    <w:rsid w:val="00B0321E"/>
    <w:rsid w:val="00B07245"/>
    <w:rsid w:val="00B10534"/>
    <w:rsid w:val="00B10E0A"/>
    <w:rsid w:val="00B15D6E"/>
    <w:rsid w:val="00B311F2"/>
    <w:rsid w:val="00B5118A"/>
    <w:rsid w:val="00B528F5"/>
    <w:rsid w:val="00B567CD"/>
    <w:rsid w:val="00B71C65"/>
    <w:rsid w:val="00B77C05"/>
    <w:rsid w:val="00BA3552"/>
    <w:rsid w:val="00BA500F"/>
    <w:rsid w:val="00BC1C91"/>
    <w:rsid w:val="00BE7D66"/>
    <w:rsid w:val="00BF0F64"/>
    <w:rsid w:val="00BF6263"/>
    <w:rsid w:val="00C0323C"/>
    <w:rsid w:val="00C03394"/>
    <w:rsid w:val="00C1321C"/>
    <w:rsid w:val="00C17689"/>
    <w:rsid w:val="00C2622E"/>
    <w:rsid w:val="00C340D1"/>
    <w:rsid w:val="00C45161"/>
    <w:rsid w:val="00C457B7"/>
    <w:rsid w:val="00C52C34"/>
    <w:rsid w:val="00C52EC4"/>
    <w:rsid w:val="00C60052"/>
    <w:rsid w:val="00C74B74"/>
    <w:rsid w:val="00C824C0"/>
    <w:rsid w:val="00C829C7"/>
    <w:rsid w:val="00C9028C"/>
    <w:rsid w:val="00CB6EAF"/>
    <w:rsid w:val="00CC0614"/>
    <w:rsid w:val="00CD13CB"/>
    <w:rsid w:val="00CD35EA"/>
    <w:rsid w:val="00CE3565"/>
    <w:rsid w:val="00CE3BE1"/>
    <w:rsid w:val="00CF3AB1"/>
    <w:rsid w:val="00CF4CA6"/>
    <w:rsid w:val="00D109F1"/>
    <w:rsid w:val="00D17173"/>
    <w:rsid w:val="00D21782"/>
    <w:rsid w:val="00D60EA0"/>
    <w:rsid w:val="00D72EB2"/>
    <w:rsid w:val="00D76616"/>
    <w:rsid w:val="00D8176E"/>
    <w:rsid w:val="00D833CF"/>
    <w:rsid w:val="00D83AEB"/>
    <w:rsid w:val="00D86A5B"/>
    <w:rsid w:val="00D90850"/>
    <w:rsid w:val="00D93BF2"/>
    <w:rsid w:val="00DA269C"/>
    <w:rsid w:val="00DB0FAF"/>
    <w:rsid w:val="00DC0DA0"/>
    <w:rsid w:val="00DD4298"/>
    <w:rsid w:val="00DE7190"/>
    <w:rsid w:val="00DF0621"/>
    <w:rsid w:val="00DF2532"/>
    <w:rsid w:val="00E05CD3"/>
    <w:rsid w:val="00E353BE"/>
    <w:rsid w:val="00E37D14"/>
    <w:rsid w:val="00E47758"/>
    <w:rsid w:val="00E51845"/>
    <w:rsid w:val="00E522B7"/>
    <w:rsid w:val="00E6295F"/>
    <w:rsid w:val="00E66938"/>
    <w:rsid w:val="00E92327"/>
    <w:rsid w:val="00E94E92"/>
    <w:rsid w:val="00EB153D"/>
    <w:rsid w:val="00EB359C"/>
    <w:rsid w:val="00EB7B58"/>
    <w:rsid w:val="00EC5F70"/>
    <w:rsid w:val="00ED7BD0"/>
    <w:rsid w:val="00EF51CB"/>
    <w:rsid w:val="00F03B9A"/>
    <w:rsid w:val="00F06BA4"/>
    <w:rsid w:val="00F16A69"/>
    <w:rsid w:val="00F24787"/>
    <w:rsid w:val="00F3438B"/>
    <w:rsid w:val="00F34459"/>
    <w:rsid w:val="00F3663E"/>
    <w:rsid w:val="00F406AE"/>
    <w:rsid w:val="00F47320"/>
    <w:rsid w:val="00F473DB"/>
    <w:rsid w:val="00F56480"/>
    <w:rsid w:val="00F73FA2"/>
    <w:rsid w:val="00F9426F"/>
    <w:rsid w:val="00FA1043"/>
    <w:rsid w:val="00FB225E"/>
    <w:rsid w:val="00FB6F29"/>
    <w:rsid w:val="00FB7915"/>
    <w:rsid w:val="00FE3399"/>
    <w:rsid w:val="00FF0078"/>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2CB30B-C4BC-407C-A53D-89F603D11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80"/>
  </w:style>
  <w:style w:type="paragraph" w:styleId="Heading2">
    <w:name w:val="heading 2"/>
    <w:basedOn w:val="Normal"/>
    <w:link w:val="Heading2Char"/>
    <w:uiPriority w:val="1"/>
    <w:qFormat/>
    <w:rsid w:val="00B311F2"/>
    <w:pPr>
      <w:widowControl w:val="0"/>
      <w:spacing w:after="0" w:line="240" w:lineRule="auto"/>
      <w:ind w:left="100"/>
      <w:outlineLvl w:val="1"/>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13CB"/>
    <w:pPr>
      <w:spacing w:after="0" w:line="240" w:lineRule="auto"/>
      <w:ind w:left="720"/>
      <w:contextualSpacing/>
    </w:pPr>
    <w:rPr>
      <w:rFonts w:ascii="Sylfaen" w:hAnsi="Sylfaen" w:cs="Times New Roman"/>
    </w:rPr>
  </w:style>
  <w:style w:type="table" w:styleId="TableGrid">
    <w:name w:val="Table Grid"/>
    <w:basedOn w:val="TableNormal"/>
    <w:uiPriority w:val="59"/>
    <w:rsid w:val="00F5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D14"/>
    <w:rPr>
      <w:sz w:val="16"/>
      <w:szCs w:val="16"/>
    </w:rPr>
  </w:style>
  <w:style w:type="paragraph" w:styleId="CommentText">
    <w:name w:val="annotation text"/>
    <w:basedOn w:val="Normal"/>
    <w:link w:val="CommentTextChar"/>
    <w:uiPriority w:val="99"/>
    <w:semiHidden/>
    <w:unhideWhenUsed/>
    <w:rsid w:val="00E37D14"/>
    <w:pPr>
      <w:spacing w:line="240" w:lineRule="auto"/>
    </w:pPr>
    <w:rPr>
      <w:sz w:val="20"/>
      <w:szCs w:val="20"/>
    </w:rPr>
  </w:style>
  <w:style w:type="character" w:customStyle="1" w:styleId="CommentTextChar">
    <w:name w:val="Comment Text Char"/>
    <w:basedOn w:val="DefaultParagraphFont"/>
    <w:link w:val="CommentText"/>
    <w:uiPriority w:val="99"/>
    <w:semiHidden/>
    <w:rsid w:val="00E37D14"/>
    <w:rPr>
      <w:sz w:val="20"/>
      <w:szCs w:val="20"/>
    </w:rPr>
  </w:style>
  <w:style w:type="paragraph" w:styleId="CommentSubject">
    <w:name w:val="annotation subject"/>
    <w:basedOn w:val="CommentText"/>
    <w:next w:val="CommentText"/>
    <w:link w:val="CommentSubjectChar"/>
    <w:uiPriority w:val="99"/>
    <w:semiHidden/>
    <w:unhideWhenUsed/>
    <w:rsid w:val="00E37D14"/>
    <w:rPr>
      <w:b/>
      <w:bCs/>
    </w:rPr>
  </w:style>
  <w:style w:type="character" w:customStyle="1" w:styleId="CommentSubjectChar">
    <w:name w:val="Comment Subject Char"/>
    <w:basedOn w:val="CommentTextChar"/>
    <w:link w:val="CommentSubject"/>
    <w:uiPriority w:val="99"/>
    <w:semiHidden/>
    <w:rsid w:val="00E37D14"/>
    <w:rPr>
      <w:b/>
      <w:bCs/>
      <w:sz w:val="20"/>
      <w:szCs w:val="20"/>
    </w:rPr>
  </w:style>
  <w:style w:type="paragraph" w:styleId="BalloonText">
    <w:name w:val="Balloon Text"/>
    <w:basedOn w:val="Normal"/>
    <w:link w:val="BalloonTextChar"/>
    <w:uiPriority w:val="99"/>
    <w:semiHidden/>
    <w:unhideWhenUsed/>
    <w:rsid w:val="00E37D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D14"/>
    <w:rPr>
      <w:rFonts w:ascii="Segoe UI" w:hAnsi="Segoe UI" w:cs="Segoe UI"/>
      <w:sz w:val="18"/>
      <w:szCs w:val="18"/>
    </w:rPr>
  </w:style>
  <w:style w:type="paragraph" w:styleId="NormalWeb">
    <w:name w:val="Normal (Web)"/>
    <w:basedOn w:val="Normal"/>
    <w:uiPriority w:val="99"/>
    <w:semiHidden/>
    <w:unhideWhenUsed/>
    <w:rsid w:val="00860E6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B6EAF"/>
    <w:pPr>
      <w:spacing w:after="0" w:line="240" w:lineRule="auto"/>
    </w:pPr>
  </w:style>
  <w:style w:type="character" w:customStyle="1" w:styleId="Heading2Char">
    <w:name w:val="Heading 2 Char"/>
    <w:basedOn w:val="DefaultParagraphFont"/>
    <w:link w:val="Heading2"/>
    <w:uiPriority w:val="1"/>
    <w:rsid w:val="00B311F2"/>
    <w:rPr>
      <w:rFonts w:ascii="Times New Roman" w:eastAsia="Times New Roman" w:hAnsi="Times New Roman"/>
      <w:b/>
      <w:bCs/>
      <w:i/>
      <w:sz w:val="24"/>
      <w:szCs w:val="24"/>
    </w:rPr>
  </w:style>
  <w:style w:type="character" w:styleId="Hyperlink">
    <w:name w:val="Hyperlink"/>
    <w:basedOn w:val="DefaultParagraphFont"/>
    <w:uiPriority w:val="99"/>
    <w:unhideWhenUsed/>
    <w:rsid w:val="00FB6F29"/>
    <w:rPr>
      <w:color w:val="0000FF"/>
      <w:u w:val="single"/>
    </w:rPr>
  </w:style>
  <w:style w:type="paragraph" w:customStyle="1" w:styleId="text">
    <w:name w:val="text"/>
    <w:basedOn w:val="Normal"/>
    <w:rsid w:val="00FB6F2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55936">
      <w:bodyDiv w:val="1"/>
      <w:marLeft w:val="0"/>
      <w:marRight w:val="0"/>
      <w:marTop w:val="0"/>
      <w:marBottom w:val="0"/>
      <w:divBdr>
        <w:top w:val="none" w:sz="0" w:space="0" w:color="auto"/>
        <w:left w:val="none" w:sz="0" w:space="0" w:color="auto"/>
        <w:bottom w:val="none" w:sz="0" w:space="0" w:color="auto"/>
        <w:right w:val="none" w:sz="0" w:space="0" w:color="auto"/>
      </w:divBdr>
    </w:div>
    <w:div w:id="1026515654">
      <w:bodyDiv w:val="1"/>
      <w:marLeft w:val="0"/>
      <w:marRight w:val="0"/>
      <w:marTop w:val="0"/>
      <w:marBottom w:val="0"/>
      <w:divBdr>
        <w:top w:val="none" w:sz="0" w:space="0" w:color="auto"/>
        <w:left w:val="none" w:sz="0" w:space="0" w:color="auto"/>
        <w:bottom w:val="none" w:sz="0" w:space="0" w:color="auto"/>
        <w:right w:val="none" w:sz="0" w:space="0" w:color="auto"/>
      </w:divBdr>
    </w:div>
    <w:div w:id="1104301688">
      <w:bodyDiv w:val="1"/>
      <w:marLeft w:val="0"/>
      <w:marRight w:val="0"/>
      <w:marTop w:val="0"/>
      <w:marBottom w:val="0"/>
      <w:divBdr>
        <w:top w:val="none" w:sz="0" w:space="0" w:color="auto"/>
        <w:left w:val="none" w:sz="0" w:space="0" w:color="auto"/>
        <w:bottom w:val="none" w:sz="0" w:space="0" w:color="auto"/>
        <w:right w:val="none" w:sz="0" w:space="0" w:color="auto"/>
      </w:divBdr>
    </w:div>
    <w:div w:id="1304388670">
      <w:bodyDiv w:val="1"/>
      <w:marLeft w:val="0"/>
      <w:marRight w:val="0"/>
      <w:marTop w:val="0"/>
      <w:marBottom w:val="0"/>
      <w:divBdr>
        <w:top w:val="none" w:sz="0" w:space="0" w:color="auto"/>
        <w:left w:val="none" w:sz="0" w:space="0" w:color="auto"/>
        <w:bottom w:val="none" w:sz="0" w:space="0" w:color="auto"/>
        <w:right w:val="none" w:sz="0" w:space="0" w:color="auto"/>
      </w:divBdr>
    </w:div>
    <w:div w:id="1346782817">
      <w:bodyDiv w:val="1"/>
      <w:marLeft w:val="0"/>
      <w:marRight w:val="0"/>
      <w:marTop w:val="0"/>
      <w:marBottom w:val="0"/>
      <w:divBdr>
        <w:top w:val="none" w:sz="0" w:space="0" w:color="auto"/>
        <w:left w:val="none" w:sz="0" w:space="0" w:color="auto"/>
        <w:bottom w:val="none" w:sz="0" w:space="0" w:color="auto"/>
        <w:right w:val="none" w:sz="0" w:space="0" w:color="auto"/>
      </w:divBdr>
    </w:div>
    <w:div w:id="1439452236">
      <w:bodyDiv w:val="1"/>
      <w:marLeft w:val="0"/>
      <w:marRight w:val="0"/>
      <w:marTop w:val="0"/>
      <w:marBottom w:val="0"/>
      <w:divBdr>
        <w:top w:val="none" w:sz="0" w:space="0" w:color="auto"/>
        <w:left w:val="none" w:sz="0" w:space="0" w:color="auto"/>
        <w:bottom w:val="none" w:sz="0" w:space="0" w:color="auto"/>
        <w:right w:val="none" w:sz="0" w:space="0" w:color="auto"/>
      </w:divBdr>
      <w:divsChild>
        <w:div w:id="23141581">
          <w:marLeft w:val="360"/>
          <w:marRight w:val="0"/>
          <w:marTop w:val="200"/>
          <w:marBottom w:val="0"/>
          <w:divBdr>
            <w:top w:val="none" w:sz="0" w:space="0" w:color="auto"/>
            <w:left w:val="none" w:sz="0" w:space="0" w:color="auto"/>
            <w:bottom w:val="none" w:sz="0" w:space="0" w:color="auto"/>
            <w:right w:val="none" w:sz="0" w:space="0" w:color="auto"/>
          </w:divBdr>
        </w:div>
        <w:div w:id="216010564">
          <w:marLeft w:val="360"/>
          <w:marRight w:val="0"/>
          <w:marTop w:val="200"/>
          <w:marBottom w:val="0"/>
          <w:divBdr>
            <w:top w:val="none" w:sz="0" w:space="0" w:color="auto"/>
            <w:left w:val="none" w:sz="0" w:space="0" w:color="auto"/>
            <w:bottom w:val="none" w:sz="0" w:space="0" w:color="auto"/>
            <w:right w:val="none" w:sz="0" w:space="0" w:color="auto"/>
          </w:divBdr>
        </w:div>
        <w:div w:id="289630662">
          <w:marLeft w:val="360"/>
          <w:marRight w:val="0"/>
          <w:marTop w:val="200"/>
          <w:marBottom w:val="0"/>
          <w:divBdr>
            <w:top w:val="none" w:sz="0" w:space="0" w:color="auto"/>
            <w:left w:val="none" w:sz="0" w:space="0" w:color="auto"/>
            <w:bottom w:val="none" w:sz="0" w:space="0" w:color="auto"/>
            <w:right w:val="none" w:sz="0" w:space="0" w:color="auto"/>
          </w:divBdr>
        </w:div>
        <w:div w:id="918175544">
          <w:marLeft w:val="360"/>
          <w:marRight w:val="0"/>
          <w:marTop w:val="200"/>
          <w:marBottom w:val="0"/>
          <w:divBdr>
            <w:top w:val="none" w:sz="0" w:space="0" w:color="auto"/>
            <w:left w:val="none" w:sz="0" w:space="0" w:color="auto"/>
            <w:bottom w:val="none" w:sz="0" w:space="0" w:color="auto"/>
            <w:right w:val="none" w:sz="0" w:space="0" w:color="auto"/>
          </w:divBdr>
        </w:div>
        <w:div w:id="1735811192">
          <w:marLeft w:val="360"/>
          <w:marRight w:val="0"/>
          <w:marTop w:val="200"/>
          <w:marBottom w:val="0"/>
          <w:divBdr>
            <w:top w:val="none" w:sz="0" w:space="0" w:color="auto"/>
            <w:left w:val="none" w:sz="0" w:space="0" w:color="auto"/>
            <w:bottom w:val="none" w:sz="0" w:space="0" w:color="auto"/>
            <w:right w:val="none" w:sz="0" w:space="0" w:color="auto"/>
          </w:divBdr>
        </w:div>
      </w:divsChild>
    </w:div>
    <w:div w:id="1484543030">
      <w:bodyDiv w:val="1"/>
      <w:marLeft w:val="0"/>
      <w:marRight w:val="0"/>
      <w:marTop w:val="0"/>
      <w:marBottom w:val="0"/>
      <w:divBdr>
        <w:top w:val="none" w:sz="0" w:space="0" w:color="auto"/>
        <w:left w:val="none" w:sz="0" w:space="0" w:color="auto"/>
        <w:bottom w:val="none" w:sz="0" w:space="0" w:color="auto"/>
        <w:right w:val="none" w:sz="0" w:space="0" w:color="auto"/>
      </w:divBdr>
      <w:divsChild>
        <w:div w:id="622883794">
          <w:marLeft w:val="360"/>
          <w:marRight w:val="0"/>
          <w:marTop w:val="120"/>
          <w:marBottom w:val="0"/>
          <w:divBdr>
            <w:top w:val="none" w:sz="0" w:space="0" w:color="auto"/>
            <w:left w:val="none" w:sz="0" w:space="0" w:color="auto"/>
            <w:bottom w:val="none" w:sz="0" w:space="0" w:color="auto"/>
            <w:right w:val="none" w:sz="0" w:space="0" w:color="auto"/>
          </w:divBdr>
        </w:div>
        <w:div w:id="1527332652">
          <w:marLeft w:val="360"/>
          <w:marRight w:val="0"/>
          <w:marTop w:val="200"/>
          <w:marBottom w:val="0"/>
          <w:divBdr>
            <w:top w:val="none" w:sz="0" w:space="0" w:color="auto"/>
            <w:left w:val="none" w:sz="0" w:space="0" w:color="auto"/>
            <w:bottom w:val="none" w:sz="0" w:space="0" w:color="auto"/>
            <w:right w:val="none" w:sz="0" w:space="0" w:color="auto"/>
          </w:divBdr>
        </w:div>
      </w:divsChild>
    </w:div>
    <w:div w:id="1548298621">
      <w:bodyDiv w:val="1"/>
      <w:marLeft w:val="0"/>
      <w:marRight w:val="0"/>
      <w:marTop w:val="0"/>
      <w:marBottom w:val="0"/>
      <w:divBdr>
        <w:top w:val="none" w:sz="0" w:space="0" w:color="auto"/>
        <w:left w:val="none" w:sz="0" w:space="0" w:color="auto"/>
        <w:bottom w:val="none" w:sz="0" w:space="0" w:color="auto"/>
        <w:right w:val="none" w:sz="0" w:space="0" w:color="auto"/>
      </w:divBdr>
      <w:divsChild>
        <w:div w:id="864562441">
          <w:marLeft w:val="360"/>
          <w:marRight w:val="0"/>
          <w:marTop w:val="0"/>
          <w:marBottom w:val="0"/>
          <w:divBdr>
            <w:top w:val="none" w:sz="0" w:space="0" w:color="auto"/>
            <w:left w:val="none" w:sz="0" w:space="0" w:color="auto"/>
            <w:bottom w:val="none" w:sz="0" w:space="0" w:color="auto"/>
            <w:right w:val="none" w:sz="0" w:space="0" w:color="auto"/>
          </w:divBdr>
        </w:div>
        <w:div w:id="1083339249">
          <w:marLeft w:val="360"/>
          <w:marRight w:val="0"/>
          <w:marTop w:val="0"/>
          <w:marBottom w:val="0"/>
          <w:divBdr>
            <w:top w:val="none" w:sz="0" w:space="0" w:color="auto"/>
            <w:left w:val="none" w:sz="0" w:space="0" w:color="auto"/>
            <w:bottom w:val="none" w:sz="0" w:space="0" w:color="auto"/>
            <w:right w:val="none" w:sz="0" w:space="0" w:color="auto"/>
          </w:divBdr>
        </w:div>
        <w:div w:id="1125082248">
          <w:marLeft w:val="360"/>
          <w:marRight w:val="0"/>
          <w:marTop w:val="0"/>
          <w:marBottom w:val="0"/>
          <w:divBdr>
            <w:top w:val="none" w:sz="0" w:space="0" w:color="auto"/>
            <w:left w:val="none" w:sz="0" w:space="0" w:color="auto"/>
            <w:bottom w:val="none" w:sz="0" w:space="0" w:color="auto"/>
            <w:right w:val="none" w:sz="0" w:space="0" w:color="auto"/>
          </w:divBdr>
        </w:div>
        <w:div w:id="1273630243">
          <w:marLeft w:val="360"/>
          <w:marRight w:val="0"/>
          <w:marTop w:val="0"/>
          <w:marBottom w:val="0"/>
          <w:divBdr>
            <w:top w:val="none" w:sz="0" w:space="0" w:color="auto"/>
            <w:left w:val="none" w:sz="0" w:space="0" w:color="auto"/>
            <w:bottom w:val="none" w:sz="0" w:space="0" w:color="auto"/>
            <w:right w:val="none" w:sz="0" w:space="0" w:color="auto"/>
          </w:divBdr>
        </w:div>
        <w:div w:id="1446728629">
          <w:marLeft w:val="360"/>
          <w:marRight w:val="0"/>
          <w:marTop w:val="0"/>
          <w:marBottom w:val="0"/>
          <w:divBdr>
            <w:top w:val="none" w:sz="0" w:space="0" w:color="auto"/>
            <w:left w:val="none" w:sz="0" w:space="0" w:color="auto"/>
            <w:bottom w:val="none" w:sz="0" w:space="0" w:color="auto"/>
            <w:right w:val="none" w:sz="0" w:space="0" w:color="auto"/>
          </w:divBdr>
        </w:div>
        <w:div w:id="1780101155">
          <w:marLeft w:val="360"/>
          <w:marRight w:val="0"/>
          <w:marTop w:val="0"/>
          <w:marBottom w:val="0"/>
          <w:divBdr>
            <w:top w:val="none" w:sz="0" w:space="0" w:color="auto"/>
            <w:left w:val="none" w:sz="0" w:space="0" w:color="auto"/>
            <w:bottom w:val="none" w:sz="0" w:space="0" w:color="auto"/>
            <w:right w:val="none" w:sz="0" w:space="0" w:color="auto"/>
          </w:divBdr>
        </w:div>
      </w:divsChild>
    </w:div>
    <w:div w:id="1570580889">
      <w:bodyDiv w:val="1"/>
      <w:marLeft w:val="0"/>
      <w:marRight w:val="0"/>
      <w:marTop w:val="0"/>
      <w:marBottom w:val="0"/>
      <w:divBdr>
        <w:top w:val="none" w:sz="0" w:space="0" w:color="auto"/>
        <w:left w:val="none" w:sz="0" w:space="0" w:color="auto"/>
        <w:bottom w:val="none" w:sz="0" w:space="0" w:color="auto"/>
        <w:right w:val="none" w:sz="0" w:space="0" w:color="auto"/>
      </w:divBdr>
    </w:div>
    <w:div w:id="1590844202">
      <w:bodyDiv w:val="1"/>
      <w:marLeft w:val="0"/>
      <w:marRight w:val="0"/>
      <w:marTop w:val="0"/>
      <w:marBottom w:val="0"/>
      <w:divBdr>
        <w:top w:val="none" w:sz="0" w:space="0" w:color="auto"/>
        <w:left w:val="none" w:sz="0" w:space="0" w:color="auto"/>
        <w:bottom w:val="none" w:sz="0" w:space="0" w:color="auto"/>
        <w:right w:val="none" w:sz="0" w:space="0" w:color="auto"/>
      </w:divBdr>
    </w:div>
    <w:div w:id="1814759380">
      <w:bodyDiv w:val="1"/>
      <w:marLeft w:val="0"/>
      <w:marRight w:val="0"/>
      <w:marTop w:val="0"/>
      <w:marBottom w:val="0"/>
      <w:divBdr>
        <w:top w:val="none" w:sz="0" w:space="0" w:color="auto"/>
        <w:left w:val="none" w:sz="0" w:space="0" w:color="auto"/>
        <w:bottom w:val="none" w:sz="0" w:space="0" w:color="auto"/>
        <w:right w:val="none" w:sz="0" w:space="0" w:color="auto"/>
      </w:divBdr>
      <w:divsChild>
        <w:div w:id="217208614">
          <w:marLeft w:val="720"/>
          <w:marRight w:val="0"/>
          <w:marTop w:val="0"/>
          <w:marBottom w:val="0"/>
          <w:divBdr>
            <w:top w:val="none" w:sz="0" w:space="0" w:color="auto"/>
            <w:left w:val="none" w:sz="0" w:space="0" w:color="auto"/>
            <w:bottom w:val="none" w:sz="0" w:space="0" w:color="auto"/>
            <w:right w:val="none" w:sz="0" w:space="0" w:color="auto"/>
          </w:divBdr>
        </w:div>
        <w:div w:id="454257739">
          <w:marLeft w:val="720"/>
          <w:marRight w:val="0"/>
          <w:marTop w:val="0"/>
          <w:marBottom w:val="0"/>
          <w:divBdr>
            <w:top w:val="none" w:sz="0" w:space="0" w:color="auto"/>
            <w:left w:val="none" w:sz="0" w:space="0" w:color="auto"/>
            <w:bottom w:val="none" w:sz="0" w:space="0" w:color="auto"/>
            <w:right w:val="none" w:sz="0" w:space="0" w:color="auto"/>
          </w:divBdr>
        </w:div>
        <w:div w:id="1246961807">
          <w:marLeft w:val="720"/>
          <w:marRight w:val="0"/>
          <w:marTop w:val="0"/>
          <w:marBottom w:val="0"/>
          <w:divBdr>
            <w:top w:val="none" w:sz="0" w:space="0" w:color="auto"/>
            <w:left w:val="none" w:sz="0" w:space="0" w:color="auto"/>
            <w:bottom w:val="none" w:sz="0" w:space="0" w:color="auto"/>
            <w:right w:val="none" w:sz="0" w:space="0" w:color="auto"/>
          </w:divBdr>
        </w:div>
        <w:div w:id="1473131666">
          <w:marLeft w:val="720"/>
          <w:marRight w:val="0"/>
          <w:marTop w:val="0"/>
          <w:marBottom w:val="0"/>
          <w:divBdr>
            <w:top w:val="none" w:sz="0" w:space="0" w:color="auto"/>
            <w:left w:val="none" w:sz="0" w:space="0" w:color="auto"/>
            <w:bottom w:val="none" w:sz="0" w:space="0" w:color="auto"/>
            <w:right w:val="none" w:sz="0" w:space="0" w:color="auto"/>
          </w:divBdr>
        </w:div>
        <w:div w:id="1517621731">
          <w:marLeft w:val="720"/>
          <w:marRight w:val="0"/>
          <w:marTop w:val="0"/>
          <w:marBottom w:val="0"/>
          <w:divBdr>
            <w:top w:val="none" w:sz="0" w:space="0" w:color="auto"/>
            <w:left w:val="none" w:sz="0" w:space="0" w:color="auto"/>
            <w:bottom w:val="none" w:sz="0" w:space="0" w:color="auto"/>
            <w:right w:val="none" w:sz="0" w:space="0" w:color="auto"/>
          </w:divBdr>
        </w:div>
        <w:div w:id="1677221120">
          <w:marLeft w:val="720"/>
          <w:marRight w:val="0"/>
          <w:marTop w:val="0"/>
          <w:marBottom w:val="0"/>
          <w:divBdr>
            <w:top w:val="none" w:sz="0" w:space="0" w:color="auto"/>
            <w:left w:val="none" w:sz="0" w:space="0" w:color="auto"/>
            <w:bottom w:val="none" w:sz="0" w:space="0" w:color="auto"/>
            <w:right w:val="none" w:sz="0" w:space="0" w:color="auto"/>
          </w:divBdr>
        </w:div>
        <w:div w:id="1896159746">
          <w:marLeft w:val="720"/>
          <w:marRight w:val="0"/>
          <w:marTop w:val="0"/>
          <w:marBottom w:val="0"/>
          <w:divBdr>
            <w:top w:val="none" w:sz="0" w:space="0" w:color="auto"/>
            <w:left w:val="none" w:sz="0" w:space="0" w:color="auto"/>
            <w:bottom w:val="none" w:sz="0" w:space="0" w:color="auto"/>
            <w:right w:val="none" w:sz="0" w:space="0" w:color="auto"/>
          </w:divBdr>
        </w:div>
        <w:div w:id="1975330229">
          <w:marLeft w:val="720"/>
          <w:marRight w:val="0"/>
          <w:marTop w:val="0"/>
          <w:marBottom w:val="0"/>
          <w:divBdr>
            <w:top w:val="none" w:sz="0" w:space="0" w:color="auto"/>
            <w:left w:val="none" w:sz="0" w:space="0" w:color="auto"/>
            <w:bottom w:val="none" w:sz="0" w:space="0" w:color="auto"/>
            <w:right w:val="none" w:sz="0" w:space="0" w:color="auto"/>
          </w:divBdr>
        </w:div>
        <w:div w:id="1995835393">
          <w:marLeft w:val="720"/>
          <w:marRight w:val="0"/>
          <w:marTop w:val="0"/>
          <w:marBottom w:val="0"/>
          <w:divBdr>
            <w:top w:val="none" w:sz="0" w:space="0" w:color="auto"/>
            <w:left w:val="none" w:sz="0" w:space="0" w:color="auto"/>
            <w:bottom w:val="none" w:sz="0" w:space="0" w:color="auto"/>
            <w:right w:val="none" w:sz="0" w:space="0" w:color="auto"/>
          </w:divBdr>
        </w:div>
      </w:divsChild>
    </w:div>
    <w:div w:id="1898781807">
      <w:bodyDiv w:val="1"/>
      <w:marLeft w:val="0"/>
      <w:marRight w:val="0"/>
      <w:marTop w:val="0"/>
      <w:marBottom w:val="0"/>
      <w:divBdr>
        <w:top w:val="none" w:sz="0" w:space="0" w:color="auto"/>
        <w:left w:val="none" w:sz="0" w:space="0" w:color="auto"/>
        <w:bottom w:val="none" w:sz="0" w:space="0" w:color="auto"/>
        <w:right w:val="none" w:sz="0" w:space="0" w:color="auto"/>
      </w:divBdr>
      <w:divsChild>
        <w:div w:id="328675948">
          <w:marLeft w:val="360"/>
          <w:marRight w:val="0"/>
          <w:marTop w:val="200"/>
          <w:marBottom w:val="0"/>
          <w:divBdr>
            <w:top w:val="none" w:sz="0" w:space="0" w:color="auto"/>
            <w:left w:val="none" w:sz="0" w:space="0" w:color="auto"/>
            <w:bottom w:val="none" w:sz="0" w:space="0" w:color="auto"/>
            <w:right w:val="none" w:sz="0" w:space="0" w:color="auto"/>
          </w:divBdr>
        </w:div>
        <w:div w:id="349528936">
          <w:marLeft w:val="360"/>
          <w:marRight w:val="0"/>
          <w:marTop w:val="200"/>
          <w:marBottom w:val="0"/>
          <w:divBdr>
            <w:top w:val="none" w:sz="0" w:space="0" w:color="auto"/>
            <w:left w:val="none" w:sz="0" w:space="0" w:color="auto"/>
            <w:bottom w:val="none" w:sz="0" w:space="0" w:color="auto"/>
            <w:right w:val="none" w:sz="0" w:space="0" w:color="auto"/>
          </w:divBdr>
        </w:div>
        <w:div w:id="1081176099">
          <w:marLeft w:val="360"/>
          <w:marRight w:val="0"/>
          <w:marTop w:val="200"/>
          <w:marBottom w:val="0"/>
          <w:divBdr>
            <w:top w:val="none" w:sz="0" w:space="0" w:color="auto"/>
            <w:left w:val="none" w:sz="0" w:space="0" w:color="auto"/>
            <w:bottom w:val="none" w:sz="0" w:space="0" w:color="auto"/>
            <w:right w:val="none" w:sz="0" w:space="0" w:color="auto"/>
          </w:divBdr>
        </w:div>
        <w:div w:id="1893998730">
          <w:marLeft w:val="360"/>
          <w:marRight w:val="0"/>
          <w:marTop w:val="200"/>
          <w:marBottom w:val="0"/>
          <w:divBdr>
            <w:top w:val="none" w:sz="0" w:space="0" w:color="auto"/>
            <w:left w:val="none" w:sz="0" w:space="0" w:color="auto"/>
            <w:bottom w:val="none" w:sz="0" w:space="0" w:color="auto"/>
            <w:right w:val="none" w:sz="0" w:space="0" w:color="auto"/>
          </w:divBdr>
        </w:div>
      </w:divsChild>
    </w:div>
    <w:div w:id="210036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hyperlink" Target="http://apps.who.int/classifications/apps/icd/icd10training/"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ncdc.ge/en-US/Statistics/DiseaseStatistics"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classifications.moh.gov.ge/Classifications/Pages/ViewICD10.aspx"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1608</Words>
  <Characters>9172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Nana Kavtaradze</cp:lastModifiedBy>
  <cp:revision>2</cp:revision>
  <cp:lastPrinted>2017-11-23T09:30:00Z</cp:lastPrinted>
  <dcterms:created xsi:type="dcterms:W3CDTF">2017-11-23T14:18:00Z</dcterms:created>
  <dcterms:modified xsi:type="dcterms:W3CDTF">2017-11-23T14:18:00Z</dcterms:modified>
</cp:coreProperties>
</file>