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D1CD5C" w14:textId="660629F8" w:rsidR="007E594C" w:rsidRDefault="00E22374" w:rsidP="007E594C">
      <w:pPr>
        <w:widowControl w:val="0"/>
        <w:autoSpaceDE w:val="0"/>
        <w:autoSpaceDN w:val="0"/>
        <w:adjustRightInd w:val="0"/>
        <w:spacing w:before="170" w:after="0" w:line="276" w:lineRule="auto"/>
        <w:jc w:val="center"/>
        <w:textAlignment w:val="center"/>
        <w:rPr>
          <w:rFonts w:asciiTheme="majorHAnsi" w:hAnsiTheme="majorHAnsi" w:cstheme="majorHAnsi"/>
          <w:b/>
          <w:color w:val="1F4E79" w:themeColor="accent1" w:themeShade="80"/>
          <w:sz w:val="24"/>
          <w:szCs w:val="24"/>
          <w:lang w:val="en-GB"/>
        </w:rPr>
      </w:pPr>
      <w:r w:rsidRPr="00624570">
        <w:rPr>
          <w:rFonts w:ascii="Calibri" w:eastAsiaTheme="majorEastAsia" w:hAnsi="Calibri" w:cs="Calibri"/>
          <w:b/>
          <w:bCs/>
          <w:i/>
          <w:noProof/>
          <w:color w:val="2E74B5" w:themeColor="accent1" w:themeShade="BF"/>
        </w:rPr>
        <w:drawing>
          <wp:anchor distT="0" distB="0" distL="114300" distR="114300" simplePos="0" relativeHeight="251719168" behindDoc="0" locked="0" layoutInCell="1" allowOverlap="1" wp14:anchorId="03BF1110" wp14:editId="1769AC3B">
            <wp:simplePos x="0" y="0"/>
            <wp:positionH relativeFrom="column">
              <wp:posOffset>4797024</wp:posOffset>
            </wp:positionH>
            <wp:positionV relativeFrom="paragraph">
              <wp:posOffset>-95250</wp:posOffset>
            </wp:positionV>
            <wp:extent cx="1504950" cy="6116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NCDC gamchvirvale new.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4950" cy="6116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17120" behindDoc="0" locked="0" layoutInCell="1" allowOverlap="1" wp14:anchorId="5F6592DA" wp14:editId="29C1B9DC">
                <wp:simplePos x="0" y="0"/>
                <wp:positionH relativeFrom="column">
                  <wp:posOffset>4283888</wp:posOffset>
                </wp:positionH>
                <wp:positionV relativeFrom="paragraph">
                  <wp:posOffset>-209093</wp:posOffset>
                </wp:positionV>
                <wp:extent cx="1828800" cy="724205"/>
                <wp:effectExtent l="0" t="0" r="0" b="0"/>
                <wp:wrapNone/>
                <wp:docPr id="6" name="Text Box 6"/>
                <wp:cNvGraphicFramePr/>
                <a:graphic xmlns:a="http://schemas.openxmlformats.org/drawingml/2006/main">
                  <a:graphicData uri="http://schemas.microsoft.com/office/word/2010/wordprocessingShape">
                    <wps:wsp>
                      <wps:cNvSpPr txBox="1"/>
                      <wps:spPr>
                        <a:xfrm>
                          <a:off x="0" y="0"/>
                          <a:ext cx="1828800" cy="7242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C51F5A8" w14:textId="223D76E5" w:rsidR="00E22374" w:rsidRDefault="00E22374" w:rsidP="00E223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F6592DA" id="_x0000_t202" coordsize="21600,21600" o:spt="202" path="m,l,21600r21600,l21600,xe">
                <v:stroke joinstyle="miter"/>
                <v:path gradientshapeok="t" o:connecttype="rect"/>
              </v:shapetype>
              <v:shape id="Text Box 6" o:spid="_x0000_s1026" type="#_x0000_t202" style="position:absolute;left:0;text-align:left;margin-left:337.3pt;margin-top:-16.45pt;width:2in;height:57pt;z-index:251717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" fillcolor="white [3201]" stroked="f" strokeweight=".5pt">
                <v:textbox>
                  <w:txbxContent>
                    <w:p w14:paraId="7C51F5A8" w14:textId="223D76E5" w:rsidR="00E22374" w:rsidRDefault="00E22374" w:rsidP="00E22374"/>
                  </w:txbxContent>
                </v:textbox>
              </v:shape>
            </w:pict>
          </mc:Fallback>
        </mc:AlternateContent>
      </w:r>
      <w:r w:rsidR="00184C8E">
        <w:rPr>
          <w:noProof/>
        </w:rPr>
        <mc:AlternateContent>
          <mc:Choice Requires="wps">
            <w:drawing>
              <wp:anchor distT="0" distB="0" distL="114300" distR="114300" simplePos="0" relativeHeight="251715072" behindDoc="0" locked="0" layoutInCell="1" allowOverlap="1" wp14:anchorId="19E7AE0E" wp14:editId="3924D9D1">
                <wp:simplePos x="0" y="0"/>
                <wp:positionH relativeFrom="column">
                  <wp:posOffset>2056206</wp:posOffset>
                </wp:positionH>
                <wp:positionV relativeFrom="paragraph">
                  <wp:posOffset>-63271</wp:posOffset>
                </wp:positionV>
                <wp:extent cx="1828800" cy="724205"/>
                <wp:effectExtent l="0" t="0" r="0" b="0"/>
                <wp:wrapNone/>
                <wp:docPr id="4" name="Text Box 4"/>
                <wp:cNvGraphicFramePr/>
                <a:graphic xmlns:a="http://schemas.openxmlformats.org/drawingml/2006/main">
                  <a:graphicData uri="http://schemas.microsoft.com/office/word/2010/wordprocessingShape">
                    <wps:wsp>
                      <wps:cNvSpPr txBox="1"/>
                      <wps:spPr>
                        <a:xfrm>
                          <a:off x="0" y="0"/>
                          <a:ext cx="1828800" cy="7242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B140C09" w14:textId="0CF91BAC" w:rsidR="00184C8E" w:rsidRDefault="00E22374" w:rsidP="00184C8E">
                            <w:r>
                              <w:rPr>
                                <w:noProof/>
                              </w:rPr>
                              <w:drawing>
                                <wp:inline distT="0" distB="0" distL="0" distR="0" wp14:anchorId="4BA7407E" wp14:editId="6F02C8D6">
                                  <wp:extent cx="1639570" cy="588645"/>
                                  <wp:effectExtent l="0" t="0" r="0" b="1905"/>
                                  <wp:docPr id="13" name="Picture 13" descr="Image result for GFAT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GFATM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39570" cy="58864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9E7AE0E" id="Text Box 4" o:spid="_x0000_s1027" type="#_x0000_t202" style="position:absolute;left:0;text-align:left;margin-left:161.9pt;margin-top:-5pt;width:2in;height:57pt;z-index:251715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" fillcolor="white [3201]" stroked="f" strokeweight=".5pt">
                <v:textbox>
                  <w:txbxContent>
                    <w:p w14:paraId="6B140C09" w14:textId="0CF91BAC" w:rsidR="00184C8E" w:rsidRDefault="00E22374" w:rsidP="00184C8E">
                      <w:r>
                        <w:rPr>
                          <w:noProof/>
                          <w:lang w:val="ka-GE" w:eastAsia="ka-GE"/>
                        </w:rPr>
                        <w:drawing>
                          <wp:inline distT="0" distB="0" distL="0" distR="0" wp14:anchorId="4BA7407E" wp14:editId="6F02C8D6">
                            <wp:extent cx="1639570" cy="588645"/>
                            <wp:effectExtent l="0" t="0" r="0" b="1905"/>
                            <wp:docPr id="13" name="Picture 13" descr="Image result for GFAT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GFATM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39570" cy="588645"/>
                                    </a:xfrm>
                                    <a:prstGeom prst="rect">
                                      <a:avLst/>
                                    </a:prstGeom>
                                    <a:noFill/>
                                    <a:ln>
                                      <a:noFill/>
                                    </a:ln>
                                  </pic:spPr>
                                </pic:pic>
                              </a:graphicData>
                            </a:graphic>
                          </wp:inline>
                        </w:drawing>
                      </w:r>
                    </w:p>
                  </w:txbxContent>
                </v:textbox>
              </v:shape>
            </w:pict>
          </mc:Fallback>
        </mc:AlternateContent>
      </w:r>
      <w:r w:rsidR="00184C8E">
        <w:rPr>
          <w:noProof/>
        </w:rPr>
        <mc:AlternateContent>
          <mc:Choice Requires="wps">
            <w:drawing>
              <wp:anchor distT="0" distB="0" distL="114300" distR="114300" simplePos="0" relativeHeight="251713024" behindDoc="0" locked="0" layoutInCell="1" allowOverlap="1" wp14:anchorId="0BD0318D" wp14:editId="165F8685">
                <wp:simplePos x="0" y="0"/>
                <wp:positionH relativeFrom="column">
                  <wp:posOffset>-77953</wp:posOffset>
                </wp:positionH>
                <wp:positionV relativeFrom="paragraph">
                  <wp:posOffset>-61722</wp:posOffset>
                </wp:positionV>
                <wp:extent cx="1828800" cy="724205"/>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7242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7910A7" w14:textId="0029B08B" w:rsidR="00184C8E" w:rsidRPr="00E22374" w:rsidRDefault="00184C8E">
                            <w:pPr>
                              <w:rPr>
                                <w:color w:val="FFFFFF" w:themeColor="background1"/>
                                <w14:textFill>
                                  <w14:noFill/>
                                </w14:textFill>
                              </w:rPr>
                            </w:pPr>
                            <w:r w:rsidRPr="00E22374">
                              <w:rPr>
                                <w:noProof/>
                                <w:color w:val="FFFFFF" w:themeColor="background1"/>
                                <w14:textFill>
                                  <w14:noFill/>
                                </w14:textFill>
                              </w:rPr>
                              <w:drawing>
                                <wp:inline distT="0" distB="0" distL="0" distR="0" wp14:anchorId="5A666A55" wp14:editId="260A34AB">
                                  <wp:extent cx="1584325" cy="626110"/>
                                  <wp:effectExtent l="0" t="0" r="0" b="2540"/>
                                  <wp:docPr id="8" name="Picture 8" descr="F:\SCRC შეხვედრისთვის 7.11.2017\Briefs\New new briefs\MOH 1 Logo-ENG.jpg"/>
                                  <wp:cNvGraphicFramePr/>
                                  <a:graphic xmlns:a="http://schemas.openxmlformats.org/drawingml/2006/main">
                                    <a:graphicData uri="http://schemas.openxmlformats.org/drawingml/2006/picture">
                                      <pic:pic xmlns:pic="http://schemas.openxmlformats.org/drawingml/2006/picture">
                                        <pic:nvPicPr>
                                          <pic:cNvPr id="8" name="Picture 8" descr="F:\SCRC შეხვედრისთვის 7.11.2017\Briefs\New new briefs\MOH 1 Logo-ENG.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4325" cy="62611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BD0318D" id="Text Box 3" o:spid="_x0000_s1028" type="#_x0000_t202" style="position:absolute;left:0;text-align:left;margin-left:-6.15pt;margin-top:-4.85pt;width:2in;height:57pt;z-index:251713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" filled="f" stroked="f" strokeweight=".5pt">
                <v:textbox>
                  <w:txbxContent>
                    <w:p w14:paraId="357910A7" w14:textId="0029B08B" w:rsidR="00184C8E" w:rsidRPr="00E22374" w:rsidRDefault="00184C8E">
                      <w:pPr>
                        <w:rPr>
                          <w:color w:val="FFFFFF" w:themeColor="background1"/>
                          <w14:textFill>
                            <w14:noFill/>
                          </w14:textFill>
                        </w:rPr>
                      </w:pPr>
                      <w:r w:rsidRPr="00E22374">
                        <w:rPr>
                          <w:noProof/>
                          <w:color w:val="FFFFFF" w:themeColor="background1"/>
                          <w:lang w:val="ka-GE" w:eastAsia="ka-GE"/>
                          <w14:textFill>
                            <w14:noFill/>
                          </w14:textFill>
                        </w:rPr>
                        <w:drawing>
                          <wp:inline distT="0" distB="0" distL="0" distR="0" wp14:anchorId="5A666A55" wp14:editId="260A34AB">
                            <wp:extent cx="1584325" cy="626110"/>
                            <wp:effectExtent l="0" t="0" r="0" b="2540"/>
                            <wp:docPr id="8" name="Picture 8" descr="F:\SCRC შეხვედრისთვის 7.11.2017\Briefs\New new briefs\MOH 1 Logo-ENG.jpg"/>
                            <wp:cNvGraphicFramePr/>
                            <a:graphic xmlns:a="http://schemas.openxmlformats.org/drawingml/2006/main">
                              <a:graphicData uri="http://schemas.openxmlformats.org/drawingml/2006/picture">
                                <pic:pic xmlns:pic="http://schemas.openxmlformats.org/drawingml/2006/picture">
                                  <pic:nvPicPr>
                                    <pic:cNvPr id="8" name="Picture 8" descr="F:\SCRC შეხვედრისთვის 7.11.2017\Briefs\New new briefs\MOH 1 Logo-ENG.jpg"/>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84325" cy="626110"/>
                                    </a:xfrm>
                                    <a:prstGeom prst="rect">
                                      <a:avLst/>
                                    </a:prstGeom>
                                    <a:noFill/>
                                    <a:ln>
                                      <a:noFill/>
                                    </a:ln>
                                  </pic:spPr>
                                </pic:pic>
                              </a:graphicData>
                            </a:graphic>
                          </wp:inline>
                        </w:drawing>
                      </w:r>
                    </w:p>
                  </w:txbxContent>
                </v:textbox>
              </v:shape>
            </w:pict>
          </mc:Fallback>
        </mc:AlternateContent>
      </w:r>
    </w:p>
    <w:p w14:paraId="1FE2D4DF" w14:textId="123067AE" w:rsidR="00E22374" w:rsidRDefault="00E22374" w:rsidP="00E22374">
      <w:pPr>
        <w:pStyle w:val="Heading2"/>
        <w:jc w:val="right"/>
        <w:rPr>
          <w:rFonts w:ascii="Calibri" w:eastAsiaTheme="majorEastAsia" w:hAnsi="Calibri" w:cs="Calibri"/>
          <w:bCs w:val="0"/>
          <w:i w:val="0"/>
          <w:color w:val="2E74B5" w:themeColor="accent1" w:themeShade="BF"/>
          <w:sz w:val="36"/>
          <w:szCs w:val="36"/>
        </w:rPr>
      </w:pPr>
    </w:p>
    <w:p w14:paraId="79CFD8BB" w14:textId="3516B95E" w:rsidR="005F3CCB" w:rsidRPr="00E22374" w:rsidRDefault="00E22374" w:rsidP="00E22374">
      <w:pPr>
        <w:pStyle w:val="Heading2"/>
        <w:jc w:val="right"/>
        <w:rPr>
          <w:rFonts w:ascii="Calibri" w:eastAsiaTheme="majorEastAsia" w:hAnsi="Calibri" w:cs="Calibri"/>
          <w:bCs w:val="0"/>
          <w:i w:val="0"/>
          <w:color w:val="2E74B5" w:themeColor="accent1" w:themeShade="BF"/>
          <w:sz w:val="32"/>
          <w:szCs w:val="32"/>
        </w:rPr>
      </w:pPr>
      <w:r>
        <w:rPr>
          <w:noProof/>
        </w:rPr>
        <mc:AlternateContent>
          <mc:Choice Requires="wps">
            <w:drawing>
              <wp:anchor distT="0" distB="0" distL="114300" distR="114300" simplePos="0" relativeHeight="251688448" behindDoc="0" locked="0" layoutInCell="1" allowOverlap="1" wp14:anchorId="4BC606E1" wp14:editId="0D2D0343">
                <wp:simplePos x="0" y="0"/>
                <wp:positionH relativeFrom="column">
                  <wp:posOffset>173050</wp:posOffset>
                </wp:positionH>
                <wp:positionV relativeFrom="paragraph">
                  <wp:posOffset>362305</wp:posOffset>
                </wp:positionV>
                <wp:extent cx="6134100" cy="1828800"/>
                <wp:effectExtent l="0" t="0" r="19050" b="14605"/>
                <wp:wrapSquare wrapText="bothSides"/>
                <wp:docPr id="12" name="Text Box 12"/>
                <wp:cNvGraphicFramePr/>
                <a:graphic xmlns:a="http://schemas.openxmlformats.org/drawingml/2006/main">
                  <a:graphicData uri="http://schemas.microsoft.com/office/word/2010/wordprocessingShape">
                    <wps:wsp>
                      <wps:cNvSpPr txBox="1"/>
                      <wps:spPr>
                        <a:xfrm>
                          <a:off x="0" y="0"/>
                          <a:ext cx="6134100" cy="1828800"/>
                        </a:xfrm>
                        <a:prstGeom prst="rect">
                          <a:avLst/>
                        </a:prstGeom>
                        <a:solidFill>
                          <a:schemeClr val="accent1">
                            <a:lumMod val="75000"/>
                          </a:schemeClr>
                        </a:solidFill>
                        <a:ln w="6350">
                          <a:solidFill>
                            <a:prstClr val="black"/>
                          </a:solidFill>
                        </a:ln>
                        <a:effectLst/>
                      </wps:spPr>
                      <wps:txbx>
                        <w:txbxContent>
                          <w:p w14:paraId="244B1F50" w14:textId="72688D10" w:rsidR="009046A8" w:rsidRPr="00B111C1" w:rsidRDefault="009046A8" w:rsidP="00E22374">
                            <w:pPr>
                              <w:spacing w:after="200" w:line="240" w:lineRule="auto"/>
                              <w:jc w:val="center"/>
                              <w:rPr>
                                <w:rFonts w:ascii="Arial" w:hAnsi="Arial" w:cs="Arial"/>
                                <w:b/>
                                <w:color w:val="FFFFFF" w:themeColor="background1"/>
                                <w:sz w:val="44"/>
                                <w:szCs w:val="44"/>
                              </w:rPr>
                            </w:pPr>
                            <w:r w:rsidRPr="00B111C1">
                              <w:rPr>
                                <w:rFonts w:ascii="Arial" w:hAnsi="Arial" w:cs="Arial"/>
                                <w:b/>
                                <w:color w:val="FFFFFF" w:themeColor="background1"/>
                                <w:sz w:val="44"/>
                                <w:szCs w:val="44"/>
                              </w:rPr>
                              <w:t>Global Fund to Fight AIDS, TB and Malaria (GFATM) Programs in Georgia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BC606E1" id="_x0000_t202" coordsize="21600,21600" o:spt="202" path="m,l,21600r21600,l21600,xe">
                <v:stroke joinstyle="miter"/>
                <v:path gradientshapeok="t" o:connecttype="rect"/>
              </v:shapetype>
              <v:shape id="Text Box 12" o:spid="_x0000_s1029" type="#_x0000_t202" style="position:absolute;left:0;text-align:left;margin-left:13.65pt;margin-top:28.55pt;width:483pt;height:2in;z-index:251688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" fillcolor="#2e74b5 [2404]" strokeweight=".5pt">
                <v:textbox style="mso-fit-shape-to-text:t">
                  <w:txbxContent>
                    <w:p w14:paraId="244B1F50" w14:textId="72688D10" w:rsidR="009046A8" w:rsidRPr="00B111C1" w:rsidRDefault="009046A8" w:rsidP="00E22374">
                      <w:pPr>
                        <w:spacing w:after="200" w:line="240" w:lineRule="auto"/>
                        <w:jc w:val="center"/>
                        <w:rPr>
                          <w:rFonts w:ascii="Arial" w:hAnsi="Arial" w:cs="Arial"/>
                          <w:b/>
                          <w:color w:val="FFFFFF" w:themeColor="background1"/>
                          <w:sz w:val="44"/>
                          <w:szCs w:val="44"/>
                        </w:rPr>
                      </w:pPr>
                      <w:r w:rsidRPr="00B111C1">
                        <w:rPr>
                          <w:rFonts w:ascii="Arial" w:hAnsi="Arial" w:cs="Arial"/>
                          <w:b/>
                          <w:color w:val="FFFFFF" w:themeColor="background1"/>
                          <w:sz w:val="44"/>
                          <w:szCs w:val="44"/>
                        </w:rPr>
                        <w:t>Global Fund to Fight AIDS, TB and Malaria (GFATM) Programs in Georgia</w:t>
                      </w:r>
                    </w:p>
                  </w:txbxContent>
                </v:textbox>
                <w10:wrap type="square"/>
              </v:shape>
            </w:pict>
          </mc:Fallback>
        </mc:AlternateContent>
      </w:r>
      <w:r w:rsidRPr="00F7073F">
        <w:rPr>
          <w:rFonts w:ascii="Calibri" w:eastAsiaTheme="majorEastAsia" w:hAnsi="Calibri" w:cs="Calibri"/>
          <w:bCs w:val="0"/>
          <w:i w:val="0"/>
          <w:color w:val="2E74B5" w:themeColor="accent1" w:themeShade="BF"/>
          <w:sz w:val="36"/>
          <w:szCs w:val="36"/>
        </w:rPr>
        <w:t>GEO</w:t>
      </w:r>
      <w:bookmarkStart w:id="0" w:name="_GoBack"/>
      <w:bookmarkEnd w:id="0"/>
      <w:r w:rsidRPr="00F7073F">
        <w:rPr>
          <w:rFonts w:ascii="Calibri" w:eastAsiaTheme="majorEastAsia" w:hAnsi="Calibri" w:cs="Calibri"/>
          <w:bCs w:val="0"/>
          <w:i w:val="0"/>
          <w:color w:val="2E74B5" w:themeColor="accent1" w:themeShade="BF"/>
          <w:sz w:val="36"/>
          <w:szCs w:val="36"/>
        </w:rPr>
        <w:t>RGIA</w:t>
      </w:r>
      <w:r w:rsidRPr="00F7073F">
        <w:rPr>
          <w:rFonts w:ascii="Calibri" w:eastAsiaTheme="majorEastAsia" w:hAnsi="Calibri" w:cs="Calibri"/>
          <w:bCs w:val="0"/>
          <w:color w:val="2E74B5" w:themeColor="accent1" w:themeShade="BF"/>
          <w:sz w:val="32"/>
          <w:szCs w:val="32"/>
        </w:rPr>
        <w:t xml:space="preserve"> </w:t>
      </w:r>
      <w:r w:rsidRPr="00F7073F">
        <w:rPr>
          <w:rFonts w:ascii="Calibri" w:eastAsiaTheme="majorEastAsia" w:hAnsi="Calibri" w:cs="Calibri"/>
          <w:bCs w:val="0"/>
          <w:color w:val="2E74B5" w:themeColor="accent1" w:themeShade="BF"/>
          <w:sz w:val="36"/>
          <w:szCs w:val="36"/>
        </w:rPr>
        <w:t>Brief</w:t>
      </w:r>
    </w:p>
    <w:p w14:paraId="0616C89C" w14:textId="7E797F5C" w:rsidR="006B7FA3" w:rsidRDefault="004E1272" w:rsidP="006B7FA3">
      <w:pPr>
        <w:widowControl w:val="0"/>
        <w:autoSpaceDE w:val="0"/>
        <w:autoSpaceDN w:val="0"/>
        <w:adjustRightInd w:val="0"/>
        <w:spacing w:before="170" w:after="0" w:line="276" w:lineRule="auto"/>
        <w:jc w:val="both"/>
        <w:textAlignment w:val="center"/>
        <w:rPr>
          <w:rFonts w:asciiTheme="majorHAnsi" w:hAnsiTheme="majorHAnsi" w:cstheme="majorHAnsi"/>
          <w:color w:val="000000" w:themeColor="text1"/>
          <w:sz w:val="24"/>
          <w:szCs w:val="24"/>
        </w:rPr>
      </w:pPr>
      <w:r w:rsidRPr="009523CB">
        <w:rPr>
          <w:rFonts w:asciiTheme="majorHAnsi" w:hAnsiTheme="majorHAnsi" w:cstheme="majorHAnsi"/>
          <w:color w:val="000000" w:themeColor="text1"/>
          <w:sz w:val="24"/>
          <w:szCs w:val="24"/>
          <w:lang w:val="ka-GE"/>
        </w:rPr>
        <w:t>Georgia is implementing GFTAM supported programs since 2003 when the first request for funding was ap</w:t>
      </w:r>
      <w:r w:rsidR="00E22374">
        <w:rPr>
          <w:rFonts w:asciiTheme="majorHAnsi" w:hAnsiTheme="majorHAnsi" w:cstheme="majorHAnsi"/>
          <w:color w:val="000000" w:themeColor="text1"/>
          <w:sz w:val="24"/>
          <w:szCs w:val="24"/>
          <w:lang w:val="ka-GE"/>
        </w:rPr>
        <w:t xml:space="preserve">proved for HIV Program. Since then, </w:t>
      </w:r>
      <w:r w:rsidRPr="009523CB">
        <w:rPr>
          <w:rFonts w:asciiTheme="majorHAnsi" w:hAnsiTheme="majorHAnsi" w:cstheme="majorHAnsi"/>
          <w:color w:val="000000" w:themeColor="text1"/>
          <w:sz w:val="24"/>
          <w:szCs w:val="24"/>
          <w:lang w:val="ka-GE"/>
        </w:rPr>
        <w:t xml:space="preserve">the country has received </w:t>
      </w:r>
      <w:r w:rsidR="0060796B">
        <w:rPr>
          <w:rFonts w:asciiTheme="majorHAnsi" w:hAnsiTheme="majorHAnsi" w:cstheme="majorHAnsi"/>
          <w:color w:val="000000" w:themeColor="text1"/>
          <w:sz w:val="24"/>
          <w:szCs w:val="24"/>
          <w:lang w:val="ka-GE"/>
        </w:rPr>
        <w:t>over 119,2</w:t>
      </w:r>
      <w:r w:rsidRPr="009523CB">
        <w:rPr>
          <w:rFonts w:asciiTheme="majorHAnsi" w:hAnsiTheme="majorHAnsi" w:cstheme="majorHAnsi"/>
          <w:color w:val="000000" w:themeColor="text1"/>
          <w:sz w:val="24"/>
          <w:szCs w:val="24"/>
          <w:lang w:val="ka-GE"/>
        </w:rPr>
        <w:t xml:space="preserve"> million USD investment support for implementation of HIV, TB and Malaria programs</w:t>
      </w:r>
      <w:r w:rsidR="0060796B">
        <w:rPr>
          <w:rFonts w:asciiTheme="majorHAnsi" w:hAnsiTheme="majorHAnsi" w:cstheme="majorHAnsi"/>
          <w:color w:val="000000" w:themeColor="text1"/>
          <w:sz w:val="24"/>
          <w:szCs w:val="24"/>
          <w:lang w:val="ka-GE"/>
        </w:rPr>
        <w:t xml:space="preserve"> (74.</w:t>
      </w:r>
      <w:r w:rsidR="0060796B">
        <w:rPr>
          <w:rFonts w:asciiTheme="majorHAnsi" w:hAnsiTheme="majorHAnsi" w:cstheme="majorHAnsi"/>
          <w:color w:val="000000" w:themeColor="text1"/>
          <w:sz w:val="24"/>
          <w:szCs w:val="24"/>
          <w:lang w:val="en-GB"/>
        </w:rPr>
        <w:t>1</w:t>
      </w:r>
      <w:r w:rsidRPr="009523CB">
        <w:rPr>
          <w:rFonts w:asciiTheme="majorHAnsi" w:hAnsiTheme="majorHAnsi" w:cstheme="majorHAnsi"/>
          <w:color w:val="000000" w:themeColor="text1"/>
          <w:sz w:val="24"/>
          <w:szCs w:val="24"/>
          <w:lang w:val="ka-GE"/>
        </w:rPr>
        <w:t xml:space="preserve"> million for HIV Program, 41,9 million for TB and 3,5 million for malaria Program)</w:t>
      </w:r>
      <w:r w:rsidRPr="009523CB">
        <w:rPr>
          <w:rFonts w:asciiTheme="majorHAnsi" w:hAnsiTheme="majorHAnsi" w:cstheme="majorHAnsi"/>
          <w:color w:val="000000" w:themeColor="text1"/>
          <w:sz w:val="24"/>
          <w:szCs w:val="24"/>
          <w:lang w:val="en-GB"/>
        </w:rPr>
        <w:t xml:space="preserve">. The GFTAM support was instrumental for elimination of malaria (no local case of malaria </w:t>
      </w:r>
      <w:r w:rsidR="00E22374">
        <w:rPr>
          <w:rFonts w:asciiTheme="majorHAnsi" w:hAnsiTheme="majorHAnsi" w:cstheme="majorHAnsi"/>
          <w:color w:val="000000" w:themeColor="text1"/>
          <w:sz w:val="24"/>
          <w:szCs w:val="24"/>
          <w:lang w:val="en-GB"/>
        </w:rPr>
        <w:t>has been</w:t>
      </w:r>
      <w:r w:rsidRPr="009523CB">
        <w:rPr>
          <w:rFonts w:asciiTheme="majorHAnsi" w:hAnsiTheme="majorHAnsi" w:cstheme="majorHAnsi"/>
          <w:color w:val="000000" w:themeColor="text1"/>
          <w:sz w:val="24"/>
          <w:szCs w:val="24"/>
          <w:lang w:val="en-GB"/>
        </w:rPr>
        <w:t xml:space="preserve"> detected since 2010) and for development and implementation of effective HIV and TB responses allowing the country to avoid the wide scale epidemics. Only with GFATM support Georgia was able to start the </w:t>
      </w:r>
      <w:r w:rsidR="009523CB" w:rsidRPr="009523CB">
        <w:rPr>
          <w:rFonts w:asciiTheme="majorHAnsi" w:hAnsiTheme="majorHAnsi" w:cstheme="majorHAnsi"/>
          <w:color w:val="000000" w:themeColor="text1"/>
          <w:sz w:val="24"/>
          <w:szCs w:val="24"/>
          <w:lang w:val="en-GB"/>
        </w:rPr>
        <w:t>lifesaving</w:t>
      </w:r>
      <w:r w:rsidRPr="009523CB">
        <w:rPr>
          <w:rFonts w:asciiTheme="majorHAnsi" w:hAnsiTheme="majorHAnsi" w:cstheme="majorHAnsi"/>
          <w:color w:val="000000" w:themeColor="text1"/>
          <w:sz w:val="24"/>
          <w:szCs w:val="24"/>
          <w:lang w:val="en-GB"/>
        </w:rPr>
        <w:t xml:space="preserve"> antiretroviral treatment for PLHIV and implement effective anti-TB </w:t>
      </w:r>
      <w:r w:rsidR="009523CB" w:rsidRPr="009523CB">
        <w:rPr>
          <w:rFonts w:asciiTheme="majorHAnsi" w:hAnsiTheme="majorHAnsi" w:cstheme="majorHAnsi"/>
          <w:color w:val="000000" w:themeColor="text1"/>
          <w:sz w:val="24"/>
          <w:szCs w:val="24"/>
          <w:lang w:val="en-GB"/>
        </w:rPr>
        <w:t>treatment for both,</w:t>
      </w:r>
      <w:r w:rsidR="00453778">
        <w:rPr>
          <w:rFonts w:asciiTheme="majorHAnsi" w:hAnsiTheme="majorHAnsi" w:cstheme="majorHAnsi"/>
          <w:color w:val="000000" w:themeColor="text1"/>
          <w:sz w:val="24"/>
          <w:szCs w:val="24"/>
          <w:lang w:val="en-GB"/>
        </w:rPr>
        <w:t xml:space="preserve"> sensitive and MDR TB patients. </w:t>
      </w:r>
      <w:r w:rsidR="006B7FA3">
        <w:rPr>
          <w:rFonts w:asciiTheme="majorHAnsi" w:hAnsiTheme="majorHAnsi" w:cstheme="majorHAnsi"/>
          <w:color w:val="000000" w:themeColor="text1"/>
          <w:sz w:val="24"/>
          <w:szCs w:val="24"/>
        </w:rPr>
        <w:t>By the end October this year 4018 (3317 FL and 701 SL</w:t>
      </w:r>
      <w:r w:rsidR="005F03B7">
        <w:rPr>
          <w:rFonts w:asciiTheme="majorHAnsi" w:hAnsiTheme="majorHAnsi" w:cstheme="majorHAnsi"/>
          <w:color w:val="000000" w:themeColor="text1"/>
          <w:sz w:val="24"/>
          <w:szCs w:val="24"/>
        </w:rPr>
        <w:t xml:space="preserve"> regimens</w:t>
      </w:r>
      <w:r w:rsidR="006B7FA3">
        <w:rPr>
          <w:rFonts w:asciiTheme="majorHAnsi" w:hAnsiTheme="majorHAnsi" w:cstheme="majorHAnsi"/>
          <w:color w:val="000000" w:themeColor="text1"/>
          <w:sz w:val="24"/>
          <w:szCs w:val="24"/>
        </w:rPr>
        <w:t>)</w:t>
      </w:r>
      <w:r w:rsidR="006B7FA3" w:rsidRPr="006B7FA3">
        <w:rPr>
          <w:rFonts w:asciiTheme="majorHAnsi" w:hAnsiTheme="majorHAnsi" w:cstheme="majorHAnsi"/>
          <w:color w:val="000000" w:themeColor="text1"/>
          <w:sz w:val="24"/>
          <w:szCs w:val="24"/>
        </w:rPr>
        <w:t xml:space="preserve"> patients were on ART and more than 20,000 patients received anti TB treatment with the support of the GF.  </w:t>
      </w:r>
    </w:p>
    <w:p w14:paraId="03A339DF" w14:textId="77777777" w:rsidR="0060796B" w:rsidRDefault="0060796B" w:rsidP="006B7FA3">
      <w:pPr>
        <w:widowControl w:val="0"/>
        <w:autoSpaceDE w:val="0"/>
        <w:autoSpaceDN w:val="0"/>
        <w:adjustRightInd w:val="0"/>
        <w:spacing w:before="170" w:after="0" w:line="276" w:lineRule="auto"/>
        <w:jc w:val="both"/>
        <w:textAlignment w:val="center"/>
        <w:rPr>
          <w:rFonts w:asciiTheme="majorHAnsi" w:hAnsiTheme="majorHAnsi" w:cstheme="majorHAnsi"/>
          <w:color w:val="000000" w:themeColor="text1"/>
          <w:sz w:val="24"/>
          <w:szCs w:val="24"/>
        </w:rPr>
      </w:pPr>
    </w:p>
    <w:tbl>
      <w:tblPr>
        <w:tblStyle w:val="TableGrid"/>
        <w:tblW w:w="0" w:type="auto"/>
        <w:tblInd w:w="534" w:type="dxa"/>
        <w:tblLook w:val="04A0" w:firstRow="1" w:lastRow="0" w:firstColumn="1" w:lastColumn="0" w:noHBand="0" w:noVBand="1"/>
      </w:tblPr>
      <w:tblGrid>
        <w:gridCol w:w="1517"/>
        <w:gridCol w:w="2476"/>
        <w:gridCol w:w="2476"/>
        <w:gridCol w:w="2477"/>
      </w:tblGrid>
      <w:tr w:rsidR="0060796B" w:rsidRPr="0060796B" w14:paraId="09D58746" w14:textId="77777777" w:rsidTr="00525A9E">
        <w:tc>
          <w:tcPr>
            <w:tcW w:w="1517" w:type="dxa"/>
            <w:shd w:val="clear" w:color="auto" w:fill="DEEAF6" w:themeFill="accent1" w:themeFillTint="33"/>
          </w:tcPr>
          <w:p w14:paraId="58D47A55" w14:textId="4AB62B64" w:rsidR="0060796B" w:rsidRPr="0060796B" w:rsidRDefault="0060796B" w:rsidP="0060796B">
            <w:pPr>
              <w:widowControl w:val="0"/>
              <w:autoSpaceDE w:val="0"/>
              <w:autoSpaceDN w:val="0"/>
              <w:adjustRightInd w:val="0"/>
              <w:spacing w:before="170" w:line="276" w:lineRule="auto"/>
              <w:jc w:val="center"/>
              <w:textAlignment w:val="center"/>
              <w:rPr>
                <w:rFonts w:asciiTheme="majorHAnsi" w:hAnsiTheme="majorHAnsi" w:cstheme="majorHAnsi"/>
                <w:b/>
                <w:color w:val="000000" w:themeColor="text1"/>
                <w:sz w:val="24"/>
                <w:szCs w:val="24"/>
              </w:rPr>
            </w:pPr>
            <w:r w:rsidRPr="0060796B">
              <w:rPr>
                <w:rFonts w:asciiTheme="majorHAnsi" w:hAnsiTheme="majorHAnsi" w:cstheme="majorHAnsi"/>
                <w:b/>
                <w:color w:val="000000" w:themeColor="text1"/>
                <w:sz w:val="24"/>
                <w:szCs w:val="24"/>
              </w:rPr>
              <w:t>Components</w:t>
            </w:r>
          </w:p>
        </w:tc>
        <w:tc>
          <w:tcPr>
            <w:tcW w:w="2476" w:type="dxa"/>
            <w:shd w:val="clear" w:color="auto" w:fill="DEEAF6" w:themeFill="accent1" w:themeFillTint="33"/>
            <w:vAlign w:val="center"/>
          </w:tcPr>
          <w:p w14:paraId="6A660065" w14:textId="34B54907" w:rsidR="0060796B" w:rsidRPr="0060796B" w:rsidRDefault="0060796B" w:rsidP="0060796B">
            <w:pPr>
              <w:widowControl w:val="0"/>
              <w:autoSpaceDE w:val="0"/>
              <w:autoSpaceDN w:val="0"/>
              <w:adjustRightInd w:val="0"/>
              <w:spacing w:before="170" w:line="276" w:lineRule="auto"/>
              <w:jc w:val="center"/>
              <w:textAlignment w:val="center"/>
              <w:rPr>
                <w:rFonts w:asciiTheme="majorHAnsi" w:hAnsiTheme="majorHAnsi" w:cstheme="majorHAnsi"/>
                <w:b/>
                <w:color w:val="000000" w:themeColor="text1"/>
                <w:sz w:val="24"/>
                <w:szCs w:val="24"/>
              </w:rPr>
            </w:pPr>
            <w:r w:rsidRPr="0060796B">
              <w:rPr>
                <w:rFonts w:asciiTheme="majorHAnsi" w:hAnsiTheme="majorHAnsi" w:cstheme="majorHAnsi"/>
                <w:b/>
                <w:color w:val="222222"/>
              </w:rPr>
              <w:t>Signed</w:t>
            </w:r>
          </w:p>
        </w:tc>
        <w:tc>
          <w:tcPr>
            <w:tcW w:w="2476" w:type="dxa"/>
            <w:shd w:val="clear" w:color="auto" w:fill="DEEAF6" w:themeFill="accent1" w:themeFillTint="33"/>
            <w:vAlign w:val="center"/>
          </w:tcPr>
          <w:p w14:paraId="662A03A6" w14:textId="29BF5581" w:rsidR="0060796B" w:rsidRPr="0060796B" w:rsidRDefault="0060796B" w:rsidP="0060796B">
            <w:pPr>
              <w:widowControl w:val="0"/>
              <w:autoSpaceDE w:val="0"/>
              <w:autoSpaceDN w:val="0"/>
              <w:adjustRightInd w:val="0"/>
              <w:spacing w:before="170" w:line="276" w:lineRule="auto"/>
              <w:jc w:val="center"/>
              <w:textAlignment w:val="center"/>
              <w:rPr>
                <w:rFonts w:asciiTheme="majorHAnsi" w:hAnsiTheme="majorHAnsi" w:cstheme="majorHAnsi"/>
                <w:b/>
                <w:color w:val="000000" w:themeColor="text1"/>
                <w:sz w:val="24"/>
                <w:szCs w:val="24"/>
              </w:rPr>
            </w:pPr>
            <w:r w:rsidRPr="0060796B">
              <w:rPr>
                <w:rFonts w:asciiTheme="majorHAnsi" w:hAnsiTheme="majorHAnsi" w:cstheme="majorHAnsi"/>
                <w:b/>
                <w:color w:val="222222"/>
              </w:rPr>
              <w:t>Committed</w:t>
            </w:r>
          </w:p>
        </w:tc>
        <w:tc>
          <w:tcPr>
            <w:tcW w:w="2477" w:type="dxa"/>
            <w:shd w:val="clear" w:color="auto" w:fill="DEEAF6" w:themeFill="accent1" w:themeFillTint="33"/>
            <w:vAlign w:val="center"/>
          </w:tcPr>
          <w:p w14:paraId="74DAD2CA" w14:textId="2C40060A" w:rsidR="0060796B" w:rsidRPr="0060796B" w:rsidRDefault="0060796B" w:rsidP="0060796B">
            <w:pPr>
              <w:widowControl w:val="0"/>
              <w:autoSpaceDE w:val="0"/>
              <w:autoSpaceDN w:val="0"/>
              <w:adjustRightInd w:val="0"/>
              <w:spacing w:before="170" w:line="276" w:lineRule="auto"/>
              <w:jc w:val="center"/>
              <w:textAlignment w:val="center"/>
              <w:rPr>
                <w:rFonts w:asciiTheme="majorHAnsi" w:hAnsiTheme="majorHAnsi" w:cstheme="majorHAnsi"/>
                <w:b/>
                <w:color w:val="000000" w:themeColor="text1"/>
                <w:sz w:val="24"/>
                <w:szCs w:val="24"/>
              </w:rPr>
            </w:pPr>
            <w:r w:rsidRPr="0060796B">
              <w:rPr>
                <w:rFonts w:asciiTheme="majorHAnsi" w:hAnsiTheme="majorHAnsi" w:cstheme="majorHAnsi"/>
                <w:b/>
                <w:color w:val="222222"/>
              </w:rPr>
              <w:t>Disbursed</w:t>
            </w:r>
          </w:p>
        </w:tc>
      </w:tr>
      <w:tr w:rsidR="0060796B" w:rsidRPr="0060796B" w14:paraId="1723E821" w14:textId="77777777" w:rsidTr="00525A9E">
        <w:tc>
          <w:tcPr>
            <w:tcW w:w="1517" w:type="dxa"/>
            <w:shd w:val="clear" w:color="auto" w:fill="BDD6EE" w:themeFill="accent1" w:themeFillTint="66"/>
          </w:tcPr>
          <w:p w14:paraId="5FB32D85" w14:textId="49AB6F66" w:rsidR="0060796B" w:rsidRPr="0060796B" w:rsidRDefault="0060796B" w:rsidP="0060796B">
            <w:pPr>
              <w:widowControl w:val="0"/>
              <w:autoSpaceDE w:val="0"/>
              <w:autoSpaceDN w:val="0"/>
              <w:adjustRightInd w:val="0"/>
              <w:spacing w:before="170" w:line="276" w:lineRule="auto"/>
              <w:jc w:val="center"/>
              <w:textAlignment w:val="center"/>
              <w:rPr>
                <w:rFonts w:asciiTheme="majorHAnsi" w:hAnsiTheme="majorHAnsi" w:cstheme="majorHAnsi"/>
                <w:b/>
                <w:color w:val="000000" w:themeColor="text1"/>
                <w:sz w:val="24"/>
                <w:szCs w:val="24"/>
              </w:rPr>
            </w:pPr>
            <w:r w:rsidRPr="0060796B">
              <w:rPr>
                <w:rFonts w:asciiTheme="majorHAnsi" w:hAnsiTheme="majorHAnsi" w:cstheme="majorHAnsi"/>
                <w:b/>
                <w:color w:val="000000" w:themeColor="text1"/>
                <w:sz w:val="24"/>
                <w:szCs w:val="24"/>
              </w:rPr>
              <w:t>HIV</w:t>
            </w:r>
          </w:p>
        </w:tc>
        <w:tc>
          <w:tcPr>
            <w:tcW w:w="2476" w:type="dxa"/>
            <w:shd w:val="clear" w:color="auto" w:fill="BDD6EE" w:themeFill="accent1" w:themeFillTint="66"/>
            <w:vAlign w:val="center"/>
          </w:tcPr>
          <w:p w14:paraId="77E61DC8" w14:textId="04A42647" w:rsidR="0060796B" w:rsidRPr="0060796B" w:rsidRDefault="0060796B" w:rsidP="0060796B">
            <w:pPr>
              <w:widowControl w:val="0"/>
              <w:autoSpaceDE w:val="0"/>
              <w:autoSpaceDN w:val="0"/>
              <w:adjustRightInd w:val="0"/>
              <w:spacing w:before="170" w:line="276" w:lineRule="auto"/>
              <w:jc w:val="center"/>
              <w:textAlignment w:val="center"/>
              <w:rPr>
                <w:rFonts w:asciiTheme="majorHAnsi" w:hAnsiTheme="majorHAnsi" w:cstheme="majorHAnsi"/>
                <w:b/>
                <w:color w:val="000000" w:themeColor="text1"/>
                <w:sz w:val="24"/>
                <w:szCs w:val="24"/>
              </w:rPr>
            </w:pPr>
            <w:r w:rsidRPr="0060796B">
              <w:rPr>
                <w:rFonts w:asciiTheme="majorHAnsi" w:hAnsiTheme="majorHAnsi" w:cstheme="majorHAnsi"/>
                <w:b/>
                <w:color w:val="636465"/>
              </w:rPr>
              <w:t>US$84,351,026</w:t>
            </w:r>
          </w:p>
        </w:tc>
        <w:tc>
          <w:tcPr>
            <w:tcW w:w="2476" w:type="dxa"/>
            <w:shd w:val="clear" w:color="auto" w:fill="BDD6EE" w:themeFill="accent1" w:themeFillTint="66"/>
            <w:vAlign w:val="center"/>
          </w:tcPr>
          <w:p w14:paraId="52117306" w14:textId="285D257F" w:rsidR="0060796B" w:rsidRPr="0060796B" w:rsidRDefault="0060796B" w:rsidP="0060796B">
            <w:pPr>
              <w:widowControl w:val="0"/>
              <w:autoSpaceDE w:val="0"/>
              <w:autoSpaceDN w:val="0"/>
              <w:adjustRightInd w:val="0"/>
              <w:spacing w:before="170" w:line="276" w:lineRule="auto"/>
              <w:jc w:val="center"/>
              <w:textAlignment w:val="center"/>
              <w:rPr>
                <w:rFonts w:asciiTheme="majorHAnsi" w:hAnsiTheme="majorHAnsi" w:cstheme="majorHAnsi"/>
                <w:b/>
                <w:color w:val="000000" w:themeColor="text1"/>
                <w:sz w:val="24"/>
                <w:szCs w:val="24"/>
              </w:rPr>
            </w:pPr>
            <w:r w:rsidRPr="0060796B">
              <w:rPr>
                <w:rFonts w:asciiTheme="majorHAnsi" w:hAnsiTheme="majorHAnsi" w:cstheme="majorHAnsi"/>
                <w:b/>
                <w:color w:val="636465"/>
              </w:rPr>
              <w:t>US$78,187,522</w:t>
            </w:r>
          </w:p>
        </w:tc>
        <w:tc>
          <w:tcPr>
            <w:tcW w:w="2477" w:type="dxa"/>
            <w:shd w:val="clear" w:color="auto" w:fill="BDD6EE" w:themeFill="accent1" w:themeFillTint="66"/>
            <w:vAlign w:val="center"/>
          </w:tcPr>
          <w:p w14:paraId="02768047" w14:textId="1874395A" w:rsidR="0060796B" w:rsidRPr="0060796B" w:rsidRDefault="0060796B" w:rsidP="0060796B">
            <w:pPr>
              <w:widowControl w:val="0"/>
              <w:autoSpaceDE w:val="0"/>
              <w:autoSpaceDN w:val="0"/>
              <w:adjustRightInd w:val="0"/>
              <w:spacing w:before="170" w:line="276" w:lineRule="auto"/>
              <w:jc w:val="center"/>
              <w:textAlignment w:val="center"/>
              <w:rPr>
                <w:rFonts w:asciiTheme="majorHAnsi" w:hAnsiTheme="majorHAnsi" w:cstheme="majorHAnsi"/>
                <w:b/>
                <w:color w:val="000000" w:themeColor="text1"/>
                <w:sz w:val="24"/>
                <w:szCs w:val="24"/>
              </w:rPr>
            </w:pPr>
            <w:r w:rsidRPr="0060796B">
              <w:rPr>
                <w:rFonts w:asciiTheme="majorHAnsi" w:hAnsiTheme="majorHAnsi" w:cstheme="majorHAnsi"/>
                <w:b/>
                <w:color w:val="636465"/>
              </w:rPr>
              <w:t>US$74,066,047</w:t>
            </w:r>
          </w:p>
        </w:tc>
      </w:tr>
      <w:tr w:rsidR="0060796B" w:rsidRPr="0060796B" w14:paraId="07EBE816" w14:textId="77777777" w:rsidTr="00525A9E">
        <w:tc>
          <w:tcPr>
            <w:tcW w:w="1517" w:type="dxa"/>
            <w:shd w:val="clear" w:color="auto" w:fill="DEEAF6" w:themeFill="accent1" w:themeFillTint="33"/>
          </w:tcPr>
          <w:p w14:paraId="578D06A4" w14:textId="50DD6E40" w:rsidR="0060796B" w:rsidRPr="0060796B" w:rsidRDefault="0060796B" w:rsidP="0060796B">
            <w:pPr>
              <w:widowControl w:val="0"/>
              <w:autoSpaceDE w:val="0"/>
              <w:autoSpaceDN w:val="0"/>
              <w:adjustRightInd w:val="0"/>
              <w:spacing w:before="170" w:line="276" w:lineRule="auto"/>
              <w:jc w:val="center"/>
              <w:textAlignment w:val="center"/>
              <w:rPr>
                <w:rFonts w:asciiTheme="majorHAnsi" w:hAnsiTheme="majorHAnsi" w:cstheme="majorHAnsi"/>
                <w:b/>
                <w:color w:val="000000" w:themeColor="text1"/>
                <w:sz w:val="24"/>
                <w:szCs w:val="24"/>
              </w:rPr>
            </w:pPr>
            <w:r w:rsidRPr="0060796B">
              <w:rPr>
                <w:rFonts w:asciiTheme="majorHAnsi" w:hAnsiTheme="majorHAnsi" w:cstheme="majorHAnsi"/>
                <w:b/>
                <w:color w:val="000000" w:themeColor="text1"/>
                <w:sz w:val="24"/>
                <w:szCs w:val="24"/>
              </w:rPr>
              <w:t>TB</w:t>
            </w:r>
          </w:p>
        </w:tc>
        <w:tc>
          <w:tcPr>
            <w:tcW w:w="2476" w:type="dxa"/>
            <w:shd w:val="clear" w:color="auto" w:fill="DEEAF6" w:themeFill="accent1" w:themeFillTint="33"/>
            <w:vAlign w:val="center"/>
          </w:tcPr>
          <w:p w14:paraId="5844AB73" w14:textId="63796A60" w:rsidR="0060796B" w:rsidRPr="0060796B" w:rsidRDefault="0060796B" w:rsidP="0060796B">
            <w:pPr>
              <w:widowControl w:val="0"/>
              <w:autoSpaceDE w:val="0"/>
              <w:autoSpaceDN w:val="0"/>
              <w:adjustRightInd w:val="0"/>
              <w:spacing w:before="170" w:line="276" w:lineRule="auto"/>
              <w:jc w:val="center"/>
              <w:textAlignment w:val="center"/>
              <w:rPr>
                <w:rFonts w:asciiTheme="majorHAnsi" w:hAnsiTheme="majorHAnsi" w:cstheme="majorHAnsi"/>
                <w:b/>
                <w:color w:val="000000" w:themeColor="text1"/>
                <w:sz w:val="24"/>
                <w:szCs w:val="24"/>
              </w:rPr>
            </w:pPr>
            <w:r w:rsidRPr="0060796B">
              <w:rPr>
                <w:rFonts w:asciiTheme="majorHAnsi" w:hAnsiTheme="majorHAnsi" w:cstheme="majorHAnsi"/>
                <w:b/>
                <w:color w:val="636465"/>
              </w:rPr>
              <w:t>US$50,585,396</w:t>
            </w:r>
          </w:p>
        </w:tc>
        <w:tc>
          <w:tcPr>
            <w:tcW w:w="2476" w:type="dxa"/>
            <w:shd w:val="clear" w:color="auto" w:fill="DEEAF6" w:themeFill="accent1" w:themeFillTint="33"/>
            <w:vAlign w:val="center"/>
          </w:tcPr>
          <w:p w14:paraId="5D724DDE" w14:textId="43F2DABD" w:rsidR="0060796B" w:rsidRPr="0060796B" w:rsidRDefault="0060796B" w:rsidP="0060796B">
            <w:pPr>
              <w:widowControl w:val="0"/>
              <w:autoSpaceDE w:val="0"/>
              <w:autoSpaceDN w:val="0"/>
              <w:adjustRightInd w:val="0"/>
              <w:spacing w:before="170" w:line="276" w:lineRule="auto"/>
              <w:jc w:val="center"/>
              <w:textAlignment w:val="center"/>
              <w:rPr>
                <w:rFonts w:asciiTheme="majorHAnsi" w:hAnsiTheme="majorHAnsi" w:cstheme="majorHAnsi"/>
                <w:b/>
                <w:color w:val="000000" w:themeColor="text1"/>
                <w:sz w:val="24"/>
                <w:szCs w:val="24"/>
              </w:rPr>
            </w:pPr>
            <w:r w:rsidRPr="0060796B">
              <w:rPr>
                <w:rFonts w:asciiTheme="majorHAnsi" w:hAnsiTheme="majorHAnsi" w:cstheme="majorHAnsi"/>
                <w:b/>
                <w:color w:val="636465"/>
              </w:rPr>
              <w:t>US$46,354,378</w:t>
            </w:r>
          </w:p>
        </w:tc>
        <w:tc>
          <w:tcPr>
            <w:tcW w:w="2477" w:type="dxa"/>
            <w:shd w:val="clear" w:color="auto" w:fill="DEEAF6" w:themeFill="accent1" w:themeFillTint="33"/>
            <w:vAlign w:val="center"/>
          </w:tcPr>
          <w:p w14:paraId="0522177E" w14:textId="56BE53C9" w:rsidR="0060796B" w:rsidRPr="0060796B" w:rsidRDefault="0060796B" w:rsidP="0060796B">
            <w:pPr>
              <w:widowControl w:val="0"/>
              <w:autoSpaceDE w:val="0"/>
              <w:autoSpaceDN w:val="0"/>
              <w:adjustRightInd w:val="0"/>
              <w:spacing w:before="170" w:line="276" w:lineRule="auto"/>
              <w:jc w:val="center"/>
              <w:textAlignment w:val="center"/>
              <w:rPr>
                <w:rFonts w:asciiTheme="majorHAnsi" w:hAnsiTheme="majorHAnsi" w:cstheme="majorHAnsi"/>
                <w:b/>
                <w:color w:val="000000" w:themeColor="text1"/>
                <w:sz w:val="24"/>
                <w:szCs w:val="24"/>
              </w:rPr>
            </w:pPr>
            <w:r w:rsidRPr="0060796B">
              <w:rPr>
                <w:rFonts w:asciiTheme="majorHAnsi" w:hAnsiTheme="majorHAnsi" w:cstheme="majorHAnsi"/>
                <w:b/>
                <w:color w:val="636465"/>
              </w:rPr>
              <w:t>US$41,889,518</w:t>
            </w:r>
          </w:p>
        </w:tc>
      </w:tr>
      <w:tr w:rsidR="0060796B" w:rsidRPr="0060796B" w14:paraId="3155CAC6" w14:textId="77777777" w:rsidTr="00525A9E">
        <w:tc>
          <w:tcPr>
            <w:tcW w:w="1517" w:type="dxa"/>
            <w:shd w:val="clear" w:color="auto" w:fill="BDD6EE" w:themeFill="accent1" w:themeFillTint="66"/>
          </w:tcPr>
          <w:p w14:paraId="00334706" w14:textId="55F484FA" w:rsidR="0060796B" w:rsidRPr="0060796B" w:rsidRDefault="0060796B" w:rsidP="0060796B">
            <w:pPr>
              <w:widowControl w:val="0"/>
              <w:autoSpaceDE w:val="0"/>
              <w:autoSpaceDN w:val="0"/>
              <w:adjustRightInd w:val="0"/>
              <w:spacing w:before="170" w:line="276" w:lineRule="auto"/>
              <w:jc w:val="center"/>
              <w:textAlignment w:val="center"/>
              <w:rPr>
                <w:rFonts w:asciiTheme="majorHAnsi" w:hAnsiTheme="majorHAnsi" w:cstheme="majorHAnsi"/>
                <w:b/>
                <w:color w:val="000000" w:themeColor="text1"/>
                <w:sz w:val="24"/>
                <w:szCs w:val="24"/>
              </w:rPr>
            </w:pPr>
            <w:r w:rsidRPr="0060796B">
              <w:rPr>
                <w:rFonts w:asciiTheme="majorHAnsi" w:hAnsiTheme="majorHAnsi" w:cstheme="majorHAnsi"/>
                <w:b/>
                <w:color w:val="000000" w:themeColor="text1"/>
                <w:sz w:val="24"/>
                <w:szCs w:val="24"/>
              </w:rPr>
              <w:t>Malaria</w:t>
            </w:r>
          </w:p>
        </w:tc>
        <w:tc>
          <w:tcPr>
            <w:tcW w:w="2476" w:type="dxa"/>
            <w:shd w:val="clear" w:color="auto" w:fill="BDD6EE" w:themeFill="accent1" w:themeFillTint="66"/>
            <w:vAlign w:val="center"/>
          </w:tcPr>
          <w:p w14:paraId="4A38590B" w14:textId="6836C8C0" w:rsidR="0060796B" w:rsidRPr="0060796B" w:rsidRDefault="0060796B" w:rsidP="0060796B">
            <w:pPr>
              <w:widowControl w:val="0"/>
              <w:autoSpaceDE w:val="0"/>
              <w:autoSpaceDN w:val="0"/>
              <w:adjustRightInd w:val="0"/>
              <w:spacing w:before="170" w:line="276" w:lineRule="auto"/>
              <w:jc w:val="center"/>
              <w:textAlignment w:val="center"/>
              <w:rPr>
                <w:rFonts w:asciiTheme="majorHAnsi" w:hAnsiTheme="majorHAnsi" w:cstheme="majorHAnsi"/>
                <w:b/>
                <w:color w:val="000000" w:themeColor="text1"/>
                <w:sz w:val="24"/>
                <w:szCs w:val="24"/>
              </w:rPr>
            </w:pPr>
            <w:r w:rsidRPr="0060796B">
              <w:rPr>
                <w:rFonts w:asciiTheme="majorHAnsi" w:hAnsiTheme="majorHAnsi" w:cstheme="majorHAnsi"/>
                <w:b/>
                <w:color w:val="636465"/>
              </w:rPr>
              <w:t>US$3,500,710</w:t>
            </w:r>
          </w:p>
        </w:tc>
        <w:tc>
          <w:tcPr>
            <w:tcW w:w="2476" w:type="dxa"/>
            <w:shd w:val="clear" w:color="auto" w:fill="BDD6EE" w:themeFill="accent1" w:themeFillTint="66"/>
            <w:vAlign w:val="center"/>
          </w:tcPr>
          <w:p w14:paraId="6EBCC6BF" w14:textId="18C056F4" w:rsidR="0060796B" w:rsidRPr="0060796B" w:rsidRDefault="0060796B" w:rsidP="0060796B">
            <w:pPr>
              <w:widowControl w:val="0"/>
              <w:autoSpaceDE w:val="0"/>
              <w:autoSpaceDN w:val="0"/>
              <w:adjustRightInd w:val="0"/>
              <w:spacing w:before="170" w:line="276" w:lineRule="auto"/>
              <w:jc w:val="center"/>
              <w:textAlignment w:val="center"/>
              <w:rPr>
                <w:rFonts w:asciiTheme="majorHAnsi" w:hAnsiTheme="majorHAnsi" w:cstheme="majorHAnsi"/>
                <w:b/>
                <w:color w:val="000000" w:themeColor="text1"/>
                <w:sz w:val="24"/>
                <w:szCs w:val="24"/>
              </w:rPr>
            </w:pPr>
            <w:r w:rsidRPr="0060796B">
              <w:rPr>
                <w:rFonts w:asciiTheme="majorHAnsi" w:hAnsiTheme="majorHAnsi" w:cstheme="majorHAnsi"/>
                <w:b/>
                <w:color w:val="636465"/>
              </w:rPr>
              <w:t>US$3,500,710</w:t>
            </w:r>
          </w:p>
        </w:tc>
        <w:tc>
          <w:tcPr>
            <w:tcW w:w="2477" w:type="dxa"/>
            <w:shd w:val="clear" w:color="auto" w:fill="BDD6EE" w:themeFill="accent1" w:themeFillTint="66"/>
            <w:vAlign w:val="center"/>
          </w:tcPr>
          <w:p w14:paraId="5B218E1D" w14:textId="25D48304" w:rsidR="0060796B" w:rsidRPr="0060796B" w:rsidRDefault="0060796B" w:rsidP="0060796B">
            <w:pPr>
              <w:widowControl w:val="0"/>
              <w:autoSpaceDE w:val="0"/>
              <w:autoSpaceDN w:val="0"/>
              <w:adjustRightInd w:val="0"/>
              <w:spacing w:before="170" w:line="276" w:lineRule="auto"/>
              <w:jc w:val="center"/>
              <w:textAlignment w:val="center"/>
              <w:rPr>
                <w:rFonts w:asciiTheme="majorHAnsi" w:hAnsiTheme="majorHAnsi" w:cstheme="majorHAnsi"/>
                <w:b/>
                <w:color w:val="000000" w:themeColor="text1"/>
                <w:sz w:val="24"/>
                <w:szCs w:val="24"/>
              </w:rPr>
            </w:pPr>
            <w:r w:rsidRPr="0060796B">
              <w:rPr>
                <w:rFonts w:asciiTheme="majorHAnsi" w:hAnsiTheme="majorHAnsi" w:cstheme="majorHAnsi"/>
                <w:b/>
                <w:color w:val="636465"/>
              </w:rPr>
              <w:t>US$3,500,710</w:t>
            </w:r>
          </w:p>
        </w:tc>
      </w:tr>
      <w:tr w:rsidR="0060796B" w:rsidRPr="0060796B" w14:paraId="64BD5A5B" w14:textId="77777777" w:rsidTr="00525A9E">
        <w:tc>
          <w:tcPr>
            <w:tcW w:w="1517" w:type="dxa"/>
            <w:shd w:val="clear" w:color="auto" w:fill="DEEAF6" w:themeFill="accent1" w:themeFillTint="33"/>
          </w:tcPr>
          <w:p w14:paraId="5B452F5F" w14:textId="528CFDD3" w:rsidR="0060796B" w:rsidRPr="0060796B" w:rsidRDefault="0060796B" w:rsidP="0060796B">
            <w:pPr>
              <w:widowControl w:val="0"/>
              <w:autoSpaceDE w:val="0"/>
              <w:autoSpaceDN w:val="0"/>
              <w:adjustRightInd w:val="0"/>
              <w:spacing w:before="170" w:line="276" w:lineRule="auto"/>
              <w:jc w:val="center"/>
              <w:textAlignment w:val="center"/>
              <w:rPr>
                <w:rFonts w:asciiTheme="majorHAnsi" w:hAnsiTheme="majorHAnsi" w:cstheme="majorHAnsi"/>
                <w:b/>
                <w:color w:val="000000" w:themeColor="text1"/>
                <w:sz w:val="24"/>
                <w:szCs w:val="24"/>
              </w:rPr>
            </w:pPr>
            <w:r w:rsidRPr="0060796B">
              <w:rPr>
                <w:rFonts w:asciiTheme="majorHAnsi" w:hAnsiTheme="majorHAnsi" w:cstheme="majorHAnsi"/>
                <w:b/>
                <w:color w:val="000000" w:themeColor="text1"/>
                <w:sz w:val="24"/>
                <w:szCs w:val="24"/>
              </w:rPr>
              <w:t>TOTAL</w:t>
            </w:r>
          </w:p>
        </w:tc>
        <w:tc>
          <w:tcPr>
            <w:tcW w:w="2476" w:type="dxa"/>
            <w:shd w:val="clear" w:color="auto" w:fill="DEEAF6" w:themeFill="accent1" w:themeFillTint="33"/>
            <w:vAlign w:val="center"/>
          </w:tcPr>
          <w:p w14:paraId="0837295B" w14:textId="21F1DF20" w:rsidR="0060796B" w:rsidRPr="0060796B" w:rsidRDefault="0060796B" w:rsidP="0060796B">
            <w:pPr>
              <w:widowControl w:val="0"/>
              <w:autoSpaceDE w:val="0"/>
              <w:autoSpaceDN w:val="0"/>
              <w:adjustRightInd w:val="0"/>
              <w:spacing w:before="170" w:line="276" w:lineRule="auto"/>
              <w:jc w:val="center"/>
              <w:textAlignment w:val="center"/>
              <w:rPr>
                <w:rFonts w:asciiTheme="majorHAnsi" w:hAnsiTheme="majorHAnsi" w:cstheme="majorHAnsi"/>
                <w:b/>
                <w:color w:val="000000" w:themeColor="text1"/>
                <w:sz w:val="24"/>
                <w:szCs w:val="24"/>
              </w:rPr>
            </w:pPr>
            <w:r w:rsidRPr="0060796B">
              <w:rPr>
                <w:rFonts w:asciiTheme="majorHAnsi" w:hAnsiTheme="majorHAnsi" w:cstheme="majorHAnsi"/>
                <w:b/>
                <w:color w:val="636465"/>
              </w:rPr>
              <w:t>US$138,437,132</w:t>
            </w:r>
          </w:p>
        </w:tc>
        <w:tc>
          <w:tcPr>
            <w:tcW w:w="2476" w:type="dxa"/>
            <w:shd w:val="clear" w:color="auto" w:fill="DEEAF6" w:themeFill="accent1" w:themeFillTint="33"/>
            <w:vAlign w:val="center"/>
          </w:tcPr>
          <w:p w14:paraId="473A335E" w14:textId="57098D6A" w:rsidR="0060796B" w:rsidRPr="0060796B" w:rsidRDefault="0060796B" w:rsidP="0060796B">
            <w:pPr>
              <w:widowControl w:val="0"/>
              <w:autoSpaceDE w:val="0"/>
              <w:autoSpaceDN w:val="0"/>
              <w:adjustRightInd w:val="0"/>
              <w:spacing w:before="170" w:line="276" w:lineRule="auto"/>
              <w:jc w:val="center"/>
              <w:textAlignment w:val="center"/>
              <w:rPr>
                <w:rFonts w:asciiTheme="majorHAnsi" w:hAnsiTheme="majorHAnsi" w:cstheme="majorHAnsi"/>
                <w:b/>
                <w:color w:val="000000" w:themeColor="text1"/>
                <w:sz w:val="24"/>
                <w:szCs w:val="24"/>
              </w:rPr>
            </w:pPr>
            <w:r w:rsidRPr="0060796B">
              <w:rPr>
                <w:rFonts w:asciiTheme="majorHAnsi" w:hAnsiTheme="majorHAnsi" w:cstheme="majorHAnsi"/>
                <w:b/>
                <w:color w:val="636465"/>
              </w:rPr>
              <w:t>US$128,042,610</w:t>
            </w:r>
          </w:p>
        </w:tc>
        <w:tc>
          <w:tcPr>
            <w:tcW w:w="2477" w:type="dxa"/>
            <w:shd w:val="clear" w:color="auto" w:fill="DEEAF6" w:themeFill="accent1" w:themeFillTint="33"/>
            <w:vAlign w:val="center"/>
          </w:tcPr>
          <w:p w14:paraId="1ED1768A" w14:textId="24830918" w:rsidR="0060796B" w:rsidRPr="0060796B" w:rsidRDefault="0060796B" w:rsidP="0060796B">
            <w:pPr>
              <w:widowControl w:val="0"/>
              <w:autoSpaceDE w:val="0"/>
              <w:autoSpaceDN w:val="0"/>
              <w:adjustRightInd w:val="0"/>
              <w:spacing w:before="170" w:line="276" w:lineRule="auto"/>
              <w:jc w:val="center"/>
              <w:textAlignment w:val="center"/>
              <w:rPr>
                <w:rFonts w:asciiTheme="majorHAnsi" w:hAnsiTheme="majorHAnsi" w:cstheme="majorHAnsi"/>
                <w:b/>
                <w:color w:val="000000" w:themeColor="text1"/>
                <w:sz w:val="24"/>
                <w:szCs w:val="24"/>
              </w:rPr>
            </w:pPr>
            <w:r w:rsidRPr="0060796B">
              <w:rPr>
                <w:rFonts w:asciiTheme="majorHAnsi" w:hAnsiTheme="majorHAnsi" w:cstheme="majorHAnsi"/>
                <w:b/>
                <w:color w:val="636465"/>
              </w:rPr>
              <w:t>US$119,456,275</w:t>
            </w:r>
          </w:p>
        </w:tc>
      </w:tr>
    </w:tbl>
    <w:p w14:paraId="5B6532A7" w14:textId="77777777" w:rsidR="0060796B" w:rsidRPr="006B7FA3" w:rsidRDefault="0060796B" w:rsidP="006B7FA3">
      <w:pPr>
        <w:widowControl w:val="0"/>
        <w:autoSpaceDE w:val="0"/>
        <w:autoSpaceDN w:val="0"/>
        <w:adjustRightInd w:val="0"/>
        <w:spacing w:before="170" w:after="0" w:line="276" w:lineRule="auto"/>
        <w:jc w:val="both"/>
        <w:textAlignment w:val="center"/>
        <w:rPr>
          <w:rFonts w:asciiTheme="majorHAnsi" w:hAnsiTheme="majorHAnsi" w:cstheme="majorHAnsi"/>
          <w:color w:val="000000" w:themeColor="text1"/>
          <w:sz w:val="24"/>
          <w:szCs w:val="24"/>
        </w:rPr>
      </w:pPr>
    </w:p>
    <w:p w14:paraId="4E6917C1" w14:textId="65333A87" w:rsidR="005F3CCB" w:rsidRPr="006660AC" w:rsidRDefault="005F3CCB" w:rsidP="009523CB">
      <w:pPr>
        <w:widowControl w:val="0"/>
        <w:autoSpaceDE w:val="0"/>
        <w:autoSpaceDN w:val="0"/>
        <w:adjustRightInd w:val="0"/>
        <w:spacing w:before="170" w:after="0" w:line="276" w:lineRule="auto"/>
        <w:jc w:val="both"/>
        <w:textAlignment w:val="center"/>
        <w:rPr>
          <w:rFonts w:asciiTheme="majorHAnsi" w:hAnsiTheme="majorHAnsi" w:cstheme="majorHAnsi"/>
          <w:b/>
          <w:color w:val="1F4E79" w:themeColor="accent1" w:themeShade="80"/>
          <w:sz w:val="24"/>
          <w:szCs w:val="24"/>
          <w:lang w:val="en-GB"/>
        </w:rPr>
      </w:pPr>
      <w:r w:rsidRPr="006660AC">
        <w:rPr>
          <w:rFonts w:asciiTheme="majorHAnsi" w:hAnsiTheme="majorHAnsi" w:cstheme="majorHAnsi"/>
          <w:b/>
          <w:color w:val="1F4E79" w:themeColor="accent1" w:themeShade="80"/>
          <w:sz w:val="24"/>
          <w:szCs w:val="24"/>
          <w:lang w:val="en-GB"/>
        </w:rPr>
        <w:t xml:space="preserve">Programmatic Achievements </w:t>
      </w:r>
    </w:p>
    <w:p w14:paraId="62B36350" w14:textId="5CAFC6B3" w:rsidR="00453778" w:rsidRDefault="00453778" w:rsidP="009523CB">
      <w:pPr>
        <w:widowControl w:val="0"/>
        <w:autoSpaceDE w:val="0"/>
        <w:autoSpaceDN w:val="0"/>
        <w:adjustRightInd w:val="0"/>
        <w:spacing w:before="170" w:after="0" w:line="276" w:lineRule="auto"/>
        <w:jc w:val="both"/>
        <w:textAlignment w:val="center"/>
        <w:rPr>
          <w:rFonts w:asciiTheme="majorHAnsi" w:hAnsiTheme="majorHAnsi" w:cstheme="majorHAnsi"/>
          <w:color w:val="000000" w:themeColor="text1"/>
          <w:sz w:val="24"/>
          <w:szCs w:val="24"/>
          <w:lang w:val="en-GB"/>
        </w:rPr>
      </w:pPr>
      <w:r>
        <w:rPr>
          <w:rFonts w:asciiTheme="majorHAnsi" w:hAnsiTheme="majorHAnsi" w:cstheme="majorHAnsi"/>
          <w:color w:val="000000" w:themeColor="text1"/>
          <w:sz w:val="24"/>
          <w:szCs w:val="24"/>
          <w:lang w:val="en-GB"/>
        </w:rPr>
        <w:t xml:space="preserve">Since 2005 the universal access to ART is guaranteed for all PLHIV living in Georgia including patients living in Abkhazia (conflict zone). The Georgian ART Program is recognised as one of the best in EECA region due to high coverage, good retention data and high quality of the services provided to PLHIV countrywide.  Georgia has moved to implementation of the WHO Treat All strategy as early as in December, 2015 offering ART to all registered PLHIV despite their CD4 count. </w:t>
      </w:r>
    </w:p>
    <w:p w14:paraId="7918DE0B" w14:textId="0C387E22" w:rsidR="00453778" w:rsidRDefault="00453778" w:rsidP="009523CB">
      <w:pPr>
        <w:widowControl w:val="0"/>
        <w:autoSpaceDE w:val="0"/>
        <w:autoSpaceDN w:val="0"/>
        <w:adjustRightInd w:val="0"/>
        <w:spacing w:before="170" w:after="0" w:line="276" w:lineRule="auto"/>
        <w:jc w:val="both"/>
        <w:textAlignment w:val="center"/>
        <w:rPr>
          <w:rFonts w:asciiTheme="majorHAnsi" w:hAnsiTheme="majorHAnsi" w:cstheme="majorHAnsi"/>
          <w:color w:val="000000" w:themeColor="text1"/>
          <w:sz w:val="24"/>
          <w:szCs w:val="24"/>
          <w:lang w:val="en-GB"/>
        </w:rPr>
      </w:pPr>
      <w:r>
        <w:rPr>
          <w:rFonts w:asciiTheme="majorHAnsi" w:hAnsiTheme="majorHAnsi" w:cstheme="majorHAnsi"/>
          <w:color w:val="000000" w:themeColor="text1"/>
          <w:sz w:val="24"/>
          <w:szCs w:val="24"/>
          <w:lang w:val="en-GB"/>
        </w:rPr>
        <w:t xml:space="preserve">Georgia was one of the first also to start OST program in the region in 2005, including two long term methadone detoxification programs in prisons. </w:t>
      </w:r>
    </w:p>
    <w:p w14:paraId="2C3898A4" w14:textId="3B79FBCD" w:rsidR="004E1272" w:rsidRDefault="00453778" w:rsidP="009523CB">
      <w:pPr>
        <w:widowControl w:val="0"/>
        <w:autoSpaceDE w:val="0"/>
        <w:autoSpaceDN w:val="0"/>
        <w:adjustRightInd w:val="0"/>
        <w:spacing w:before="170" w:after="0" w:line="276" w:lineRule="auto"/>
        <w:jc w:val="both"/>
        <w:textAlignment w:val="center"/>
        <w:rPr>
          <w:rFonts w:asciiTheme="majorHAnsi" w:hAnsiTheme="majorHAnsi" w:cstheme="majorHAnsi"/>
          <w:color w:val="000000" w:themeColor="text1"/>
          <w:sz w:val="24"/>
          <w:szCs w:val="24"/>
          <w:lang w:val="en-GB"/>
        </w:rPr>
      </w:pPr>
      <w:r>
        <w:rPr>
          <w:rFonts w:asciiTheme="majorHAnsi" w:hAnsiTheme="majorHAnsi" w:cstheme="majorHAnsi"/>
          <w:color w:val="000000" w:themeColor="text1"/>
          <w:sz w:val="24"/>
          <w:szCs w:val="24"/>
          <w:lang w:val="en-GB"/>
        </w:rPr>
        <w:lastRenderedPageBreak/>
        <w:t xml:space="preserve">With GFATM support the country was able to largely scale up </w:t>
      </w:r>
      <w:r w:rsidR="008543F1">
        <w:rPr>
          <w:rFonts w:asciiTheme="majorHAnsi" w:hAnsiTheme="majorHAnsi" w:cstheme="majorHAnsi"/>
          <w:color w:val="000000" w:themeColor="text1"/>
          <w:sz w:val="24"/>
          <w:szCs w:val="24"/>
          <w:lang w:val="en-GB"/>
        </w:rPr>
        <w:t xml:space="preserve">the </w:t>
      </w:r>
      <w:r>
        <w:rPr>
          <w:rFonts w:asciiTheme="majorHAnsi" w:hAnsiTheme="majorHAnsi" w:cstheme="majorHAnsi"/>
          <w:color w:val="000000" w:themeColor="text1"/>
          <w:sz w:val="24"/>
          <w:szCs w:val="24"/>
          <w:lang w:val="en-GB"/>
        </w:rPr>
        <w:t>Needle and Syringe Program coverage through operation of 14 drop-in Centres and 8 mobi</w:t>
      </w:r>
      <w:r w:rsidR="007E594C">
        <w:rPr>
          <w:rFonts w:asciiTheme="majorHAnsi" w:hAnsiTheme="majorHAnsi" w:cstheme="majorHAnsi"/>
          <w:color w:val="000000" w:themeColor="text1"/>
          <w:sz w:val="24"/>
          <w:szCs w:val="24"/>
          <w:lang w:val="en-GB"/>
        </w:rPr>
        <w:t>le ambulatories covering up to 5</w:t>
      </w:r>
      <w:r>
        <w:rPr>
          <w:rFonts w:asciiTheme="majorHAnsi" w:hAnsiTheme="majorHAnsi" w:cstheme="majorHAnsi"/>
          <w:color w:val="000000" w:themeColor="text1"/>
          <w:sz w:val="24"/>
          <w:szCs w:val="24"/>
          <w:lang w:val="en-GB"/>
        </w:rPr>
        <w:t>5 cities of Georgia. FSWs and MSM have access to HIV prevention and HCT services in 5 the most affected cities of the country through intensive outreach work and community resource centers. Also, from September 2017 Georgia the first in the region has started a pilot PrEP among MSM community with a plan to expand the program geographically and in</w:t>
      </w:r>
      <w:r w:rsidR="00687468">
        <w:rPr>
          <w:rFonts w:asciiTheme="majorHAnsi" w:hAnsiTheme="majorHAnsi" w:cstheme="majorHAnsi"/>
          <w:color w:val="000000" w:themeColor="text1"/>
          <w:sz w:val="24"/>
          <w:szCs w:val="24"/>
          <w:lang w:val="en-GB"/>
        </w:rPr>
        <w:t>volve other KAPs in the future.</w:t>
      </w:r>
    </w:p>
    <w:p w14:paraId="079E7E44" w14:textId="51BDBA7E" w:rsidR="00687468" w:rsidRDefault="00687468" w:rsidP="009523CB">
      <w:pPr>
        <w:widowControl w:val="0"/>
        <w:autoSpaceDE w:val="0"/>
        <w:autoSpaceDN w:val="0"/>
        <w:adjustRightInd w:val="0"/>
        <w:spacing w:before="170" w:after="0" w:line="276" w:lineRule="auto"/>
        <w:jc w:val="both"/>
        <w:textAlignment w:val="center"/>
        <w:rPr>
          <w:rFonts w:asciiTheme="majorHAnsi" w:hAnsiTheme="majorHAnsi" w:cstheme="majorHAnsi"/>
          <w:color w:val="000000" w:themeColor="text1"/>
          <w:sz w:val="24"/>
          <w:szCs w:val="24"/>
          <w:lang w:val="en-GB"/>
        </w:rPr>
      </w:pPr>
      <w:r>
        <w:rPr>
          <w:rFonts w:asciiTheme="majorHAnsi" w:hAnsiTheme="majorHAnsi" w:cstheme="majorHAnsi"/>
          <w:noProof/>
          <w:color w:val="000000" w:themeColor="text1"/>
          <w:sz w:val="24"/>
          <w:szCs w:val="24"/>
        </w:rPr>
        <mc:AlternateContent>
          <mc:Choice Requires="wps">
            <w:drawing>
              <wp:anchor distT="0" distB="0" distL="114300" distR="114300" simplePos="0" relativeHeight="251725312" behindDoc="0" locked="0" layoutInCell="1" allowOverlap="1" wp14:anchorId="43A4ABBD" wp14:editId="3BD987C0">
                <wp:simplePos x="0" y="0"/>
                <wp:positionH relativeFrom="column">
                  <wp:posOffset>-93980</wp:posOffset>
                </wp:positionH>
                <wp:positionV relativeFrom="paragraph">
                  <wp:posOffset>71180</wp:posOffset>
                </wp:positionV>
                <wp:extent cx="2380891" cy="1578610"/>
                <wp:effectExtent l="0" t="0" r="635" b="2540"/>
                <wp:wrapNone/>
                <wp:docPr id="18" name="Text Box 18"/>
                <wp:cNvGraphicFramePr/>
                <a:graphic xmlns:a="http://schemas.openxmlformats.org/drawingml/2006/main">
                  <a:graphicData uri="http://schemas.microsoft.com/office/word/2010/wordprocessingShape">
                    <wps:wsp>
                      <wps:cNvSpPr txBox="1"/>
                      <wps:spPr>
                        <a:xfrm>
                          <a:off x="0" y="0"/>
                          <a:ext cx="2380891" cy="15786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830715F" w14:textId="77777777" w:rsidR="00687468" w:rsidRDefault="00687468" w:rsidP="00687468">
                            <w:pPr>
                              <w:widowControl w:val="0"/>
                              <w:autoSpaceDE w:val="0"/>
                              <w:autoSpaceDN w:val="0"/>
                              <w:adjustRightInd w:val="0"/>
                              <w:spacing w:after="0" w:line="276" w:lineRule="auto"/>
                              <w:jc w:val="both"/>
                              <w:textAlignment w:val="center"/>
                              <w:rPr>
                                <w:rFonts w:asciiTheme="majorHAnsi" w:hAnsiTheme="majorHAnsi" w:cstheme="majorHAnsi"/>
                                <w:color w:val="000000" w:themeColor="text1"/>
                                <w:sz w:val="24"/>
                                <w:szCs w:val="24"/>
                                <w:lang w:val="en-GB"/>
                              </w:rPr>
                            </w:pPr>
                            <w:r>
                              <w:rPr>
                                <w:rFonts w:asciiTheme="majorHAnsi" w:hAnsiTheme="majorHAnsi" w:cstheme="majorHAnsi"/>
                                <w:color w:val="000000" w:themeColor="text1"/>
                                <w:sz w:val="24"/>
                                <w:szCs w:val="24"/>
                                <w:lang w:val="en-GB"/>
                              </w:rPr>
                              <w:t xml:space="preserve">The main challenge of the HIV Program is low HIV case detection rate and the late diagnosis of PLHIV which needs acceleration of HCT services among KAPs that is largely supported through the GFATM HIV Program. </w:t>
                            </w:r>
                          </w:p>
                          <w:p w14:paraId="4B35F2AE" w14:textId="77777777" w:rsidR="00687468" w:rsidRPr="00687468" w:rsidRDefault="00687468">
                            <w:pP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A4ABBD" id="Text Box 18" o:spid="_x0000_s1030" type="#_x0000_t202" style="position:absolute;left:0;text-align:left;margin-left:-7.4pt;margin-top:5.6pt;width:187.45pt;height:124.3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" fillcolor="white [3201]" stroked="f" strokeweight=".5pt">
                <v:textbox>
                  <w:txbxContent>
                    <w:p w14:paraId="3830715F" w14:textId="77777777" w:rsidR="00687468" w:rsidRDefault="00687468" w:rsidP="00687468">
                      <w:pPr>
                        <w:widowControl w:val="0"/>
                        <w:autoSpaceDE w:val="0"/>
                        <w:autoSpaceDN w:val="0"/>
                        <w:adjustRightInd w:val="0"/>
                        <w:spacing w:after="0" w:line="276" w:lineRule="auto"/>
                        <w:jc w:val="both"/>
                        <w:textAlignment w:val="center"/>
                        <w:rPr>
                          <w:rFonts w:asciiTheme="majorHAnsi" w:hAnsiTheme="majorHAnsi" w:cstheme="majorHAnsi"/>
                          <w:color w:val="000000" w:themeColor="text1"/>
                          <w:sz w:val="24"/>
                          <w:szCs w:val="24"/>
                          <w:lang w:val="en-GB"/>
                        </w:rPr>
                      </w:pPr>
                      <w:r>
                        <w:rPr>
                          <w:rFonts w:asciiTheme="majorHAnsi" w:hAnsiTheme="majorHAnsi" w:cstheme="majorHAnsi"/>
                          <w:color w:val="000000" w:themeColor="text1"/>
                          <w:sz w:val="24"/>
                          <w:szCs w:val="24"/>
                          <w:lang w:val="en-GB"/>
                        </w:rPr>
                        <w:t xml:space="preserve">The main challenge of the HIV Program is low HIV case detection rate and the late diagnosis of PLHIV which needs acceleration of HCT services among KAPs that is largely supported through the GFATM HIV Program. </w:t>
                      </w:r>
                    </w:p>
                    <w:p w14:paraId="4B35F2AE" w14:textId="77777777" w:rsidR="00687468" w:rsidRPr="00687468" w:rsidRDefault="00687468">
                      <w:pPr>
                        <w:rPr>
                          <w:lang w:val="en-GB"/>
                        </w:rPr>
                      </w:pPr>
                    </w:p>
                  </w:txbxContent>
                </v:textbox>
              </v:shape>
            </w:pict>
          </mc:Fallback>
        </mc:AlternateContent>
      </w:r>
      <w:r>
        <w:rPr>
          <w:rFonts w:asciiTheme="majorHAnsi" w:hAnsiTheme="majorHAnsi" w:cstheme="majorHAnsi"/>
          <w:noProof/>
          <w:color w:val="000000" w:themeColor="text1"/>
          <w:sz w:val="24"/>
          <w:szCs w:val="24"/>
        </w:rPr>
        <mc:AlternateContent>
          <mc:Choice Requires="wps">
            <w:drawing>
              <wp:anchor distT="0" distB="0" distL="114300" distR="114300" simplePos="0" relativeHeight="251724288" behindDoc="0" locked="0" layoutInCell="1" allowOverlap="1" wp14:anchorId="45507155" wp14:editId="0779DD2D">
                <wp:simplePos x="0" y="0"/>
                <wp:positionH relativeFrom="column">
                  <wp:posOffset>2260971</wp:posOffset>
                </wp:positionH>
                <wp:positionV relativeFrom="paragraph">
                  <wp:posOffset>10160</wp:posOffset>
                </wp:positionV>
                <wp:extent cx="4873625" cy="1578610"/>
                <wp:effectExtent l="0" t="0" r="3175" b="2540"/>
                <wp:wrapNone/>
                <wp:docPr id="15" name="Text Box 15"/>
                <wp:cNvGraphicFramePr/>
                <a:graphic xmlns:a="http://schemas.openxmlformats.org/drawingml/2006/main">
                  <a:graphicData uri="http://schemas.microsoft.com/office/word/2010/wordprocessingShape">
                    <wps:wsp>
                      <wps:cNvSpPr txBox="1"/>
                      <wps:spPr>
                        <a:xfrm>
                          <a:off x="0" y="0"/>
                          <a:ext cx="4873625" cy="15786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226A263" w14:textId="7B63397E" w:rsidR="005F07C2" w:rsidRDefault="005F07C2">
                            <w:r w:rsidRPr="005F07C2">
                              <w:rPr>
                                <w:noProof/>
                              </w:rPr>
                              <w:drawing>
                                <wp:inline distT="0" distB="0" distL="0" distR="0" wp14:anchorId="3CF0ED21" wp14:editId="1E94B6A3">
                                  <wp:extent cx="1933065" cy="1449237"/>
                                  <wp:effectExtent l="0" t="0" r="0" b="0"/>
                                  <wp:docPr id="17" name="Content Placeholder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Grp="1"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63516" cy="1472067"/>
                                          </a:xfrm>
                                          <a:prstGeom prst="rect">
                                            <a:avLst/>
                                          </a:prstGeom>
                                        </pic:spPr>
                                      </pic:pic>
                                    </a:graphicData>
                                  </a:graphic>
                                </wp:inline>
                              </w:drawing>
                            </w:r>
                            <w:r w:rsidRPr="005F07C2">
                              <w:rPr>
                                <w:noProof/>
                                <w:lang w:val="ka-GE" w:eastAsia="ka-GE"/>
                              </w:rPr>
                              <w:t xml:space="preserve"> </w:t>
                            </w:r>
                            <w:r w:rsidRPr="005F07C2">
                              <w:rPr>
                                <w:noProof/>
                              </w:rPr>
                              <w:drawing>
                                <wp:inline distT="0" distB="0" distL="0" distR="0" wp14:anchorId="57A46FB7" wp14:editId="03B7E1B3">
                                  <wp:extent cx="2171185" cy="1447285"/>
                                  <wp:effectExtent l="0" t="0" r="635" b="635"/>
                                  <wp:docPr id="8196" name="Picture 4" descr="https://fbcdn-photos-d-a.akamaihd.net/hphotos-ak-xpf1/v/t1.0-0/p206x206/12072562_916584518429479_1190816452042485257_n.jpg?oh=1f6280e80cb8aa2af262200377e0beea&amp;oe=56D8C394&amp;__gda__=1459089705_0fb22162489177e4991ae850387c9e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6" name="Picture 4" descr="https://fbcdn-photos-d-a.akamaihd.net/hphotos-ak-xpf1/v/t1.0-0/p206x206/12072562_916584518429479_1190816452042485257_n.jpg?oh=1f6280e80cb8aa2af262200377e0beea&amp;oe=56D8C394&amp;__gda__=1459089705_0fb22162489177e4991ae850387c9e6b"/>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81260" cy="1454001"/>
                                          </a:xfrm>
                                          <a:prstGeom prst="rect">
                                            <a:avLst/>
                                          </a:prstGeom>
                                          <a:noFill/>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507155" id="Text Box 15" o:spid="_x0000_s1031" type="#_x0000_t202" style="position:absolute;left:0;text-align:left;margin-left:178.05pt;margin-top:.8pt;width:383.75pt;height:124.3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" fillcolor="white [3201]" stroked="f" strokeweight=".5pt">
                <v:textbox>
                  <w:txbxContent>
                    <w:p w14:paraId="7226A263" w14:textId="7B63397E" w:rsidR="005F07C2" w:rsidRDefault="005F07C2">
                      <w:r w:rsidRPr="005F07C2">
                        <w:rPr>
                          <w:noProof/>
                          <w:lang w:val="ka-GE" w:eastAsia="ka-GE"/>
                        </w:rPr>
                        <w:drawing>
                          <wp:inline distT="0" distB="0" distL="0" distR="0" wp14:anchorId="3CF0ED21" wp14:editId="1E94B6A3">
                            <wp:extent cx="1933065" cy="1449237"/>
                            <wp:effectExtent l="0" t="0" r="0" b="0"/>
                            <wp:docPr id="17" name="Content Placeholder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Grp="1"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63516" cy="1472067"/>
                                    </a:xfrm>
                                    <a:prstGeom prst="rect">
                                      <a:avLst/>
                                    </a:prstGeom>
                                  </pic:spPr>
                                </pic:pic>
                              </a:graphicData>
                            </a:graphic>
                          </wp:inline>
                        </w:drawing>
                      </w:r>
                      <w:r w:rsidRPr="005F07C2">
                        <w:rPr>
                          <w:noProof/>
                          <w:lang w:val="ka-GE" w:eastAsia="ka-GE"/>
                        </w:rPr>
                        <w:t xml:space="preserve"> </w:t>
                      </w:r>
                      <w:r w:rsidRPr="005F07C2">
                        <w:rPr>
                          <w:lang w:val="ka-GE"/>
                        </w:rPr>
                        <w:drawing>
                          <wp:inline distT="0" distB="0" distL="0" distR="0" wp14:anchorId="57A46FB7" wp14:editId="03B7E1B3">
                            <wp:extent cx="2171185" cy="1447285"/>
                            <wp:effectExtent l="0" t="0" r="635" b="635"/>
                            <wp:docPr id="8196" name="Picture 4" descr="https://fbcdn-photos-d-a.akamaihd.net/hphotos-ak-xpf1/v/t1.0-0/p206x206/12072562_916584518429479_1190816452042485257_n.jpg?oh=1f6280e80cb8aa2af262200377e0beea&amp;oe=56D8C394&amp;__gda__=1459089705_0fb22162489177e4991ae850387c9e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6" name="Picture 4" descr="https://fbcdn-photos-d-a.akamaihd.net/hphotos-ak-xpf1/v/t1.0-0/p206x206/12072562_916584518429479_1190816452042485257_n.jpg?oh=1f6280e80cb8aa2af262200377e0beea&amp;oe=56D8C394&amp;__gda__=1459089705_0fb22162489177e4991ae850387c9e6b"/>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81260" cy="1454001"/>
                                    </a:xfrm>
                                    <a:prstGeom prst="rect">
                                      <a:avLst/>
                                    </a:prstGeom>
                                    <a:noFill/>
                                    <a:extLst/>
                                  </pic:spPr>
                                </pic:pic>
                              </a:graphicData>
                            </a:graphic>
                          </wp:inline>
                        </w:drawing>
                      </w:r>
                    </w:p>
                  </w:txbxContent>
                </v:textbox>
              </v:shape>
            </w:pict>
          </mc:Fallback>
        </mc:AlternateContent>
      </w:r>
    </w:p>
    <w:p w14:paraId="6046F028" w14:textId="377E360D" w:rsidR="00687468" w:rsidRDefault="00687468" w:rsidP="009523CB">
      <w:pPr>
        <w:widowControl w:val="0"/>
        <w:autoSpaceDE w:val="0"/>
        <w:autoSpaceDN w:val="0"/>
        <w:adjustRightInd w:val="0"/>
        <w:spacing w:before="170" w:after="0" w:line="276" w:lineRule="auto"/>
        <w:jc w:val="both"/>
        <w:textAlignment w:val="center"/>
        <w:rPr>
          <w:rFonts w:asciiTheme="majorHAnsi" w:hAnsiTheme="majorHAnsi" w:cstheme="majorHAnsi"/>
          <w:color w:val="000000" w:themeColor="text1"/>
          <w:sz w:val="24"/>
          <w:szCs w:val="24"/>
          <w:lang w:val="en-GB"/>
        </w:rPr>
      </w:pPr>
    </w:p>
    <w:p w14:paraId="43665967" w14:textId="77777777" w:rsidR="00687468" w:rsidRDefault="00687468" w:rsidP="009523CB">
      <w:pPr>
        <w:widowControl w:val="0"/>
        <w:autoSpaceDE w:val="0"/>
        <w:autoSpaceDN w:val="0"/>
        <w:adjustRightInd w:val="0"/>
        <w:spacing w:before="170" w:after="0" w:line="276" w:lineRule="auto"/>
        <w:jc w:val="both"/>
        <w:textAlignment w:val="center"/>
        <w:rPr>
          <w:rFonts w:asciiTheme="majorHAnsi" w:hAnsiTheme="majorHAnsi" w:cstheme="majorHAnsi"/>
          <w:color w:val="000000" w:themeColor="text1"/>
          <w:sz w:val="24"/>
          <w:szCs w:val="24"/>
          <w:lang w:val="en-GB"/>
        </w:rPr>
      </w:pPr>
    </w:p>
    <w:p w14:paraId="488089E0" w14:textId="5B10766A" w:rsidR="00687468" w:rsidRDefault="00687468" w:rsidP="009523CB">
      <w:pPr>
        <w:widowControl w:val="0"/>
        <w:autoSpaceDE w:val="0"/>
        <w:autoSpaceDN w:val="0"/>
        <w:adjustRightInd w:val="0"/>
        <w:spacing w:before="170" w:after="0" w:line="276" w:lineRule="auto"/>
        <w:jc w:val="both"/>
        <w:textAlignment w:val="center"/>
        <w:rPr>
          <w:rFonts w:asciiTheme="majorHAnsi" w:hAnsiTheme="majorHAnsi" w:cstheme="majorHAnsi"/>
          <w:color w:val="000000" w:themeColor="text1"/>
          <w:sz w:val="24"/>
          <w:szCs w:val="24"/>
          <w:lang w:val="en-GB"/>
        </w:rPr>
      </w:pPr>
    </w:p>
    <w:p w14:paraId="044F08E4" w14:textId="77777777" w:rsidR="00687468" w:rsidRDefault="00687468" w:rsidP="005F3CCB">
      <w:pPr>
        <w:widowControl w:val="0"/>
        <w:autoSpaceDE w:val="0"/>
        <w:autoSpaceDN w:val="0"/>
        <w:adjustRightInd w:val="0"/>
        <w:spacing w:before="170" w:after="0" w:line="276" w:lineRule="auto"/>
        <w:jc w:val="both"/>
        <w:textAlignment w:val="center"/>
        <w:rPr>
          <w:rFonts w:asciiTheme="majorHAnsi" w:hAnsiTheme="majorHAnsi" w:cstheme="majorHAnsi"/>
          <w:color w:val="000000" w:themeColor="text1"/>
          <w:sz w:val="24"/>
          <w:szCs w:val="24"/>
          <w:lang w:val="en-GB"/>
        </w:rPr>
      </w:pPr>
    </w:p>
    <w:p w14:paraId="7AB7C345" w14:textId="2CABE4FB" w:rsidR="005F3CCB" w:rsidRDefault="006B7FA3" w:rsidP="005F3CCB">
      <w:pPr>
        <w:widowControl w:val="0"/>
        <w:autoSpaceDE w:val="0"/>
        <w:autoSpaceDN w:val="0"/>
        <w:adjustRightInd w:val="0"/>
        <w:spacing w:before="170" w:after="0" w:line="276" w:lineRule="auto"/>
        <w:jc w:val="both"/>
        <w:textAlignment w:val="center"/>
        <w:rPr>
          <w:rFonts w:asciiTheme="majorHAnsi" w:hAnsiTheme="majorHAnsi" w:cstheme="majorHAnsi"/>
          <w:color w:val="000000" w:themeColor="text1"/>
          <w:sz w:val="24"/>
          <w:szCs w:val="24"/>
        </w:rPr>
      </w:pPr>
      <w:r w:rsidRPr="006B7FA3">
        <w:rPr>
          <w:rFonts w:asciiTheme="majorHAnsi" w:hAnsiTheme="majorHAnsi" w:cstheme="majorHAnsi"/>
          <w:color w:val="000000" w:themeColor="text1"/>
          <w:sz w:val="24"/>
          <w:szCs w:val="24"/>
        </w:rPr>
        <w:t>The Georgian national TB program has achieved remarkable successes in the uptake and implementation of contemporary international strategies and guidance in TB control. Visible improvements have been documented during the recent years in relation to TB burden, proven by the decreasing number of TB cases and TB rates.  The universal access is ensured to diagnosis and treatment of all forms of TB, including M/XDR-TB. The use of novel rapid diagnostic methods for TB and DR-TB, as well as that of newly developed drugs is being scaled up. As of July, 2017, overall 370 patients were enrolled in New Treatment Regimens, in parallel active drug safety monitoring system was introduced</w:t>
      </w:r>
      <w:r w:rsidR="005F03B7">
        <w:rPr>
          <w:rFonts w:asciiTheme="majorHAnsi" w:hAnsiTheme="majorHAnsi" w:cstheme="majorHAnsi"/>
          <w:color w:val="000000" w:themeColor="text1"/>
          <w:sz w:val="24"/>
          <w:szCs w:val="24"/>
        </w:rPr>
        <w:t xml:space="preserve">. </w:t>
      </w:r>
      <w:r w:rsidR="00E477EE">
        <w:rPr>
          <w:rFonts w:asciiTheme="majorHAnsi" w:hAnsiTheme="majorHAnsi" w:cstheme="majorHAnsi"/>
          <w:color w:val="000000" w:themeColor="text1"/>
          <w:sz w:val="24"/>
          <w:szCs w:val="24"/>
        </w:rPr>
        <w:t>In order to improve geographical access for out-patient treatment</w:t>
      </w:r>
      <w:r w:rsidR="005F3CCB">
        <w:rPr>
          <w:rFonts w:asciiTheme="majorHAnsi" w:hAnsiTheme="majorHAnsi" w:cstheme="majorHAnsi"/>
          <w:color w:val="000000" w:themeColor="text1"/>
          <w:sz w:val="24"/>
          <w:szCs w:val="24"/>
        </w:rPr>
        <w:t xml:space="preserve"> </w:t>
      </w:r>
      <w:r w:rsidR="005F3CCB" w:rsidRPr="005F3CCB">
        <w:rPr>
          <w:rFonts w:asciiTheme="majorHAnsi" w:hAnsiTheme="majorHAnsi" w:cstheme="majorHAnsi"/>
          <w:color w:val="000000" w:themeColor="text1"/>
          <w:sz w:val="24"/>
          <w:szCs w:val="24"/>
        </w:rPr>
        <w:t xml:space="preserve">the Video Observed Therapy (VOT) </w:t>
      </w:r>
      <w:r w:rsidR="005F3CCB">
        <w:rPr>
          <w:rFonts w:asciiTheme="majorHAnsi" w:hAnsiTheme="majorHAnsi" w:cstheme="majorHAnsi"/>
          <w:color w:val="000000" w:themeColor="text1"/>
          <w:sz w:val="24"/>
          <w:szCs w:val="24"/>
        </w:rPr>
        <w:t xml:space="preserve">pilot program was initiated </w:t>
      </w:r>
      <w:r w:rsidR="005F3CCB" w:rsidRPr="005F3CCB">
        <w:rPr>
          <w:rFonts w:asciiTheme="majorHAnsi" w:hAnsiTheme="majorHAnsi" w:cstheme="majorHAnsi"/>
          <w:color w:val="000000" w:themeColor="text1"/>
          <w:sz w:val="24"/>
          <w:szCs w:val="24"/>
        </w:rPr>
        <w:t>in the capital</w:t>
      </w:r>
      <w:r w:rsidR="00E477EE">
        <w:rPr>
          <w:rFonts w:asciiTheme="majorHAnsi" w:hAnsiTheme="majorHAnsi" w:cstheme="majorHAnsi"/>
          <w:color w:val="000000" w:themeColor="text1"/>
          <w:sz w:val="24"/>
          <w:szCs w:val="24"/>
        </w:rPr>
        <w:t xml:space="preserve"> city</w:t>
      </w:r>
      <w:r w:rsidR="005F3CCB">
        <w:rPr>
          <w:rFonts w:asciiTheme="majorHAnsi" w:hAnsiTheme="majorHAnsi" w:cstheme="majorHAnsi"/>
          <w:color w:val="000000" w:themeColor="text1"/>
          <w:sz w:val="24"/>
          <w:szCs w:val="24"/>
        </w:rPr>
        <w:t xml:space="preserve">. </w:t>
      </w:r>
    </w:p>
    <w:p w14:paraId="21F0F4ED" w14:textId="77777777" w:rsidR="00AC2CE7" w:rsidRDefault="00AC2CE7" w:rsidP="00687468">
      <w:pPr>
        <w:widowControl w:val="0"/>
        <w:autoSpaceDE w:val="0"/>
        <w:autoSpaceDN w:val="0"/>
        <w:adjustRightInd w:val="0"/>
        <w:spacing w:after="0" w:line="276" w:lineRule="auto"/>
        <w:jc w:val="both"/>
        <w:textAlignment w:val="center"/>
        <w:rPr>
          <w:rFonts w:asciiTheme="majorHAnsi" w:hAnsiTheme="majorHAnsi" w:cstheme="majorHAnsi"/>
          <w:color w:val="000000" w:themeColor="text1"/>
          <w:sz w:val="24"/>
          <w:szCs w:val="24"/>
        </w:rPr>
      </w:pPr>
    </w:p>
    <w:p w14:paraId="5A7030A5" w14:textId="77777777" w:rsidR="00687468" w:rsidRDefault="00687468" w:rsidP="00687468">
      <w:pPr>
        <w:widowControl w:val="0"/>
        <w:autoSpaceDE w:val="0"/>
        <w:autoSpaceDN w:val="0"/>
        <w:adjustRightInd w:val="0"/>
        <w:spacing w:after="0" w:line="276" w:lineRule="auto"/>
        <w:jc w:val="both"/>
        <w:textAlignment w:val="center"/>
        <w:rPr>
          <w:rFonts w:asciiTheme="majorHAnsi" w:hAnsiTheme="majorHAnsi" w:cstheme="majorHAnsi"/>
          <w:color w:val="000000" w:themeColor="text1"/>
          <w:sz w:val="24"/>
          <w:szCs w:val="24"/>
        </w:rPr>
      </w:pPr>
      <w:r w:rsidRPr="00C2077B">
        <w:rPr>
          <w:rFonts w:asciiTheme="majorHAnsi" w:hAnsiTheme="majorHAnsi" w:cstheme="majorHAnsi"/>
          <w:color w:val="000000" w:themeColor="text1"/>
          <w:sz w:val="24"/>
          <w:szCs w:val="24"/>
        </w:rPr>
        <w:t>Georgia is one of the countries supported by the Tuberculosis Regional Eastern Europe and Central Asia Project (TB-REP) that aims the strengthening health systems for effective tuberculosis and drug-resistant tuberculosis control. Georgia supports the framework articulated in the blueprint, “a people-centered model of TB care” developed by the TB-REP project.</w:t>
      </w:r>
    </w:p>
    <w:p w14:paraId="33F0EBE9" w14:textId="77777777" w:rsidR="00AC2CE7" w:rsidRDefault="00AC2CE7" w:rsidP="00687468">
      <w:pPr>
        <w:widowControl w:val="0"/>
        <w:autoSpaceDE w:val="0"/>
        <w:autoSpaceDN w:val="0"/>
        <w:adjustRightInd w:val="0"/>
        <w:spacing w:after="0" w:line="276" w:lineRule="auto"/>
        <w:jc w:val="both"/>
        <w:textAlignment w:val="center"/>
        <w:rPr>
          <w:rFonts w:asciiTheme="majorHAnsi" w:hAnsiTheme="majorHAnsi" w:cstheme="majorHAnsi"/>
          <w:color w:val="000000" w:themeColor="text1"/>
          <w:sz w:val="24"/>
          <w:szCs w:val="24"/>
        </w:rPr>
      </w:pPr>
    </w:p>
    <w:p w14:paraId="2E62875B" w14:textId="1D072101" w:rsidR="00C2077B" w:rsidRDefault="005F3CCB" w:rsidP="00687468">
      <w:pPr>
        <w:widowControl w:val="0"/>
        <w:autoSpaceDE w:val="0"/>
        <w:autoSpaceDN w:val="0"/>
        <w:adjustRightInd w:val="0"/>
        <w:spacing w:after="0" w:line="276" w:lineRule="auto"/>
        <w:jc w:val="both"/>
        <w:textAlignment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The hepatitis C elimination program has created a unique momentum for scale up of detection of HIV</w:t>
      </w:r>
      <w:r w:rsidR="007E594C">
        <w:rPr>
          <w:rFonts w:asciiTheme="majorHAnsi" w:hAnsiTheme="majorHAnsi" w:cstheme="majorHAnsi"/>
          <w:color w:val="000000" w:themeColor="text1"/>
          <w:sz w:val="24"/>
          <w:szCs w:val="24"/>
        </w:rPr>
        <w:t>, HCV</w:t>
      </w:r>
      <w:r>
        <w:rPr>
          <w:rFonts w:asciiTheme="majorHAnsi" w:hAnsiTheme="majorHAnsi" w:cstheme="majorHAnsi"/>
          <w:color w:val="000000" w:themeColor="text1"/>
          <w:sz w:val="24"/>
          <w:szCs w:val="24"/>
        </w:rPr>
        <w:t xml:space="preserve"> and TB cases in Georgia.  </w:t>
      </w:r>
      <w:r w:rsidR="00C2077B" w:rsidRPr="00C2077B">
        <w:rPr>
          <w:rFonts w:asciiTheme="majorHAnsi" w:hAnsiTheme="majorHAnsi" w:cstheme="majorHAnsi"/>
          <w:color w:val="000000" w:themeColor="text1"/>
          <w:sz w:val="24"/>
          <w:szCs w:val="24"/>
        </w:rPr>
        <w:t xml:space="preserve">This year </w:t>
      </w:r>
      <w:r w:rsidR="00C2077B">
        <w:rPr>
          <w:rFonts w:asciiTheme="majorHAnsi" w:hAnsiTheme="majorHAnsi" w:cstheme="majorHAnsi"/>
          <w:color w:val="000000" w:themeColor="text1"/>
          <w:sz w:val="24"/>
          <w:szCs w:val="24"/>
        </w:rPr>
        <w:t xml:space="preserve">with GFATM support Georgia has started a novel </w:t>
      </w:r>
      <w:r w:rsidR="00C2077B" w:rsidRPr="00C2077B">
        <w:rPr>
          <w:rFonts w:asciiTheme="majorHAnsi" w:hAnsiTheme="majorHAnsi" w:cstheme="majorHAnsi"/>
          <w:color w:val="000000" w:themeColor="text1"/>
          <w:sz w:val="24"/>
          <w:szCs w:val="24"/>
        </w:rPr>
        <w:t>pilot project in one of the regions of Georgia (Samegrelo</w:t>
      </w:r>
      <w:r w:rsidR="008543F1">
        <w:rPr>
          <w:rFonts w:asciiTheme="majorHAnsi" w:hAnsiTheme="majorHAnsi" w:cstheme="majorHAnsi"/>
          <w:color w:val="000000" w:themeColor="text1"/>
          <w:sz w:val="24"/>
          <w:szCs w:val="24"/>
        </w:rPr>
        <w:t>-Zemo Svaneti</w:t>
      </w:r>
      <w:r w:rsidR="00C2077B" w:rsidRPr="00C2077B">
        <w:rPr>
          <w:rFonts w:asciiTheme="majorHAnsi" w:hAnsiTheme="majorHAnsi" w:cstheme="majorHAnsi"/>
          <w:color w:val="000000" w:themeColor="text1"/>
          <w:sz w:val="24"/>
          <w:szCs w:val="24"/>
        </w:rPr>
        <w:t>) to test the potential integration of HIV, TB and HCV screening services at the regional level with the increasing role of primary care</w:t>
      </w:r>
      <w:r w:rsidR="008543F1">
        <w:rPr>
          <w:rFonts w:asciiTheme="majorHAnsi" w:hAnsiTheme="majorHAnsi" w:cstheme="majorHAnsi"/>
          <w:color w:val="000000" w:themeColor="text1"/>
          <w:sz w:val="24"/>
          <w:szCs w:val="24"/>
        </w:rPr>
        <w:t xml:space="preserve"> (ambulatory centers and family doctors)</w:t>
      </w:r>
      <w:r w:rsidR="00C2077B" w:rsidRPr="00C2077B">
        <w:rPr>
          <w:rFonts w:asciiTheme="majorHAnsi" w:hAnsiTheme="majorHAnsi" w:cstheme="majorHAnsi"/>
          <w:color w:val="000000" w:themeColor="text1"/>
          <w:sz w:val="24"/>
          <w:szCs w:val="24"/>
        </w:rPr>
        <w:t xml:space="preserve"> in the detection and management of a</w:t>
      </w:r>
      <w:r w:rsidR="00C2077B">
        <w:rPr>
          <w:rFonts w:asciiTheme="majorHAnsi" w:hAnsiTheme="majorHAnsi" w:cstheme="majorHAnsi"/>
          <w:color w:val="000000" w:themeColor="text1"/>
          <w:sz w:val="24"/>
          <w:szCs w:val="24"/>
        </w:rPr>
        <w:t>ll three diseases</w:t>
      </w:r>
      <w:r w:rsidR="008543F1">
        <w:rPr>
          <w:rFonts w:asciiTheme="majorHAnsi" w:hAnsiTheme="majorHAnsi" w:cstheme="majorHAnsi"/>
          <w:color w:val="000000" w:themeColor="text1"/>
          <w:sz w:val="24"/>
          <w:szCs w:val="24"/>
        </w:rPr>
        <w:t xml:space="preserve"> under the “one umbrella”</w:t>
      </w:r>
      <w:r w:rsidR="00C2077B">
        <w:rPr>
          <w:rFonts w:asciiTheme="majorHAnsi" w:hAnsiTheme="majorHAnsi" w:cstheme="majorHAnsi"/>
          <w:color w:val="000000" w:themeColor="text1"/>
          <w:sz w:val="24"/>
          <w:szCs w:val="24"/>
        </w:rPr>
        <w:t>. The regional steering committee will advocate and lead the imple</w:t>
      </w:r>
      <w:r w:rsidR="008543F1">
        <w:rPr>
          <w:rFonts w:asciiTheme="majorHAnsi" w:hAnsiTheme="majorHAnsi" w:cstheme="majorHAnsi"/>
          <w:color w:val="000000" w:themeColor="text1"/>
          <w:sz w:val="24"/>
          <w:szCs w:val="24"/>
        </w:rPr>
        <w:t>mentation of the program with support of the</w:t>
      </w:r>
      <w:r w:rsidR="00C2077B">
        <w:rPr>
          <w:rFonts w:asciiTheme="majorHAnsi" w:hAnsiTheme="majorHAnsi" w:cstheme="majorHAnsi"/>
          <w:color w:val="000000" w:themeColor="text1"/>
          <w:sz w:val="24"/>
          <w:szCs w:val="24"/>
        </w:rPr>
        <w:t xml:space="preserve"> </w:t>
      </w:r>
      <w:r w:rsidR="008543F1">
        <w:rPr>
          <w:rFonts w:asciiTheme="majorHAnsi" w:hAnsiTheme="majorHAnsi" w:cstheme="majorHAnsi"/>
          <w:color w:val="000000" w:themeColor="text1"/>
          <w:sz w:val="24"/>
          <w:szCs w:val="24"/>
        </w:rPr>
        <w:t>M</w:t>
      </w:r>
      <w:r w:rsidR="00E477EE">
        <w:rPr>
          <w:rFonts w:asciiTheme="majorHAnsi" w:hAnsiTheme="majorHAnsi" w:cstheme="majorHAnsi"/>
          <w:color w:val="000000" w:themeColor="text1"/>
          <w:sz w:val="24"/>
          <w:szCs w:val="24"/>
        </w:rPr>
        <w:t>o</w:t>
      </w:r>
      <w:r w:rsidR="008543F1">
        <w:rPr>
          <w:rFonts w:asciiTheme="majorHAnsi" w:hAnsiTheme="majorHAnsi" w:cstheme="majorHAnsi"/>
          <w:color w:val="000000" w:themeColor="text1"/>
          <w:sz w:val="24"/>
          <w:szCs w:val="24"/>
        </w:rPr>
        <w:t xml:space="preserve">LHSA of Georgia, </w:t>
      </w:r>
      <w:r w:rsidR="00C2077B">
        <w:rPr>
          <w:rFonts w:asciiTheme="majorHAnsi" w:hAnsiTheme="majorHAnsi" w:cstheme="majorHAnsi"/>
          <w:color w:val="000000" w:themeColor="text1"/>
          <w:sz w:val="24"/>
          <w:szCs w:val="24"/>
        </w:rPr>
        <w:t>NCDC</w:t>
      </w:r>
      <w:r w:rsidR="008543F1">
        <w:rPr>
          <w:rFonts w:asciiTheme="majorHAnsi" w:hAnsiTheme="majorHAnsi" w:cstheme="majorHAnsi"/>
          <w:color w:val="000000" w:themeColor="text1"/>
          <w:sz w:val="24"/>
          <w:szCs w:val="24"/>
        </w:rPr>
        <w:t xml:space="preserve"> and National TB and AIDS Centers</w:t>
      </w:r>
      <w:r w:rsidR="00C2077B">
        <w:rPr>
          <w:rFonts w:asciiTheme="majorHAnsi" w:hAnsiTheme="majorHAnsi" w:cstheme="majorHAnsi"/>
          <w:color w:val="000000" w:themeColor="text1"/>
          <w:sz w:val="24"/>
          <w:szCs w:val="24"/>
        </w:rPr>
        <w:t xml:space="preserve">. </w:t>
      </w:r>
      <w:r>
        <w:rPr>
          <w:rFonts w:asciiTheme="majorHAnsi" w:hAnsiTheme="majorHAnsi" w:cstheme="majorHAnsi"/>
          <w:color w:val="000000" w:themeColor="text1"/>
          <w:sz w:val="24"/>
          <w:szCs w:val="24"/>
        </w:rPr>
        <w:t>Based on</w:t>
      </w:r>
      <w:r w:rsidR="00E477EE">
        <w:rPr>
          <w:rFonts w:asciiTheme="majorHAnsi" w:hAnsiTheme="majorHAnsi" w:cstheme="majorHAnsi"/>
          <w:color w:val="000000" w:themeColor="text1"/>
          <w:sz w:val="24"/>
          <w:szCs w:val="24"/>
        </w:rPr>
        <w:t xml:space="preserve"> the results coming from</w:t>
      </w:r>
      <w:r>
        <w:rPr>
          <w:rFonts w:asciiTheme="majorHAnsi" w:hAnsiTheme="majorHAnsi" w:cstheme="majorHAnsi"/>
          <w:color w:val="000000" w:themeColor="text1"/>
          <w:sz w:val="24"/>
          <w:szCs w:val="24"/>
        </w:rPr>
        <w:t xml:space="preserve"> the pilot</w:t>
      </w:r>
      <w:r w:rsidR="00E477EE">
        <w:rPr>
          <w:rFonts w:asciiTheme="majorHAnsi" w:hAnsiTheme="majorHAnsi" w:cstheme="majorHAnsi"/>
          <w:color w:val="000000" w:themeColor="text1"/>
          <w:sz w:val="24"/>
          <w:szCs w:val="24"/>
        </w:rPr>
        <w:t xml:space="preserve"> project,</w:t>
      </w:r>
      <w:r>
        <w:rPr>
          <w:rFonts w:asciiTheme="majorHAnsi" w:hAnsiTheme="majorHAnsi" w:cstheme="majorHAnsi"/>
          <w:color w:val="000000" w:themeColor="text1"/>
          <w:sz w:val="24"/>
          <w:szCs w:val="24"/>
        </w:rPr>
        <w:t xml:space="preserve"> </w:t>
      </w:r>
      <w:r w:rsidR="00E477EE">
        <w:rPr>
          <w:rFonts w:asciiTheme="majorHAnsi" w:hAnsiTheme="majorHAnsi" w:cstheme="majorHAnsi"/>
          <w:color w:val="000000" w:themeColor="text1"/>
          <w:sz w:val="24"/>
          <w:szCs w:val="24"/>
        </w:rPr>
        <w:t xml:space="preserve">later </w:t>
      </w:r>
      <w:r>
        <w:rPr>
          <w:rFonts w:asciiTheme="majorHAnsi" w:hAnsiTheme="majorHAnsi" w:cstheme="majorHAnsi"/>
          <w:color w:val="000000" w:themeColor="text1"/>
          <w:sz w:val="24"/>
          <w:szCs w:val="24"/>
        </w:rPr>
        <w:t xml:space="preserve">the program </w:t>
      </w:r>
      <w:r w:rsidR="00E477EE">
        <w:rPr>
          <w:rFonts w:asciiTheme="majorHAnsi" w:hAnsiTheme="majorHAnsi" w:cstheme="majorHAnsi"/>
          <w:color w:val="000000" w:themeColor="text1"/>
          <w:sz w:val="24"/>
          <w:szCs w:val="24"/>
        </w:rPr>
        <w:t>might</w:t>
      </w:r>
      <w:r>
        <w:rPr>
          <w:rFonts w:asciiTheme="majorHAnsi" w:hAnsiTheme="majorHAnsi" w:cstheme="majorHAnsi"/>
          <w:color w:val="000000" w:themeColor="text1"/>
          <w:sz w:val="24"/>
          <w:szCs w:val="24"/>
        </w:rPr>
        <w:t xml:space="preserve"> be expanded to ot</w:t>
      </w:r>
      <w:r w:rsidR="00E477EE">
        <w:rPr>
          <w:rFonts w:asciiTheme="majorHAnsi" w:hAnsiTheme="majorHAnsi" w:cstheme="majorHAnsi"/>
          <w:color w:val="000000" w:themeColor="text1"/>
          <w:sz w:val="24"/>
          <w:szCs w:val="24"/>
        </w:rPr>
        <w:t>her regions of the country</w:t>
      </w:r>
      <w:r>
        <w:rPr>
          <w:rFonts w:asciiTheme="majorHAnsi" w:hAnsiTheme="majorHAnsi" w:cstheme="majorHAnsi"/>
          <w:color w:val="000000" w:themeColor="text1"/>
          <w:sz w:val="24"/>
          <w:szCs w:val="24"/>
        </w:rPr>
        <w:t xml:space="preserve">. </w:t>
      </w:r>
    </w:p>
    <w:p w14:paraId="6F0240A2" w14:textId="77777777" w:rsidR="005F07C2" w:rsidRDefault="00E477EE" w:rsidP="008859CF">
      <w:pPr>
        <w:widowControl w:val="0"/>
        <w:autoSpaceDE w:val="0"/>
        <w:autoSpaceDN w:val="0"/>
        <w:adjustRightInd w:val="0"/>
        <w:spacing w:before="170" w:after="0" w:line="276" w:lineRule="auto"/>
        <w:jc w:val="both"/>
        <w:textAlignment w:val="center"/>
        <w:rPr>
          <w:rFonts w:asciiTheme="majorHAnsi" w:hAnsiTheme="majorHAnsi" w:cstheme="majorHAnsi"/>
          <w:color w:val="000000" w:themeColor="text1"/>
          <w:sz w:val="24"/>
          <w:szCs w:val="24"/>
        </w:rPr>
      </w:pPr>
      <w:r w:rsidRPr="00E477EE">
        <w:rPr>
          <w:rFonts w:asciiTheme="majorHAnsi" w:hAnsiTheme="majorHAnsi" w:cstheme="majorHAnsi"/>
          <w:color w:val="000000" w:themeColor="text1"/>
          <w:sz w:val="24"/>
          <w:szCs w:val="24"/>
        </w:rPr>
        <w:t>Within the GFATM TB program Georgia is starting implementation of Zero TB Initiative in Adjara region of Georgia</w:t>
      </w:r>
      <w:r>
        <w:rPr>
          <w:rFonts w:asciiTheme="majorHAnsi" w:hAnsiTheme="majorHAnsi" w:cstheme="majorHAnsi"/>
          <w:color w:val="000000" w:themeColor="text1"/>
          <w:sz w:val="24"/>
          <w:szCs w:val="24"/>
        </w:rPr>
        <w:t xml:space="preserve">. This initiative is by the Stop </w:t>
      </w:r>
      <w:r w:rsidRPr="00E477EE">
        <w:rPr>
          <w:rFonts w:asciiTheme="majorHAnsi" w:hAnsiTheme="majorHAnsi" w:cstheme="majorHAnsi"/>
          <w:color w:val="000000" w:themeColor="text1"/>
          <w:sz w:val="24"/>
          <w:szCs w:val="24"/>
        </w:rPr>
        <w:t>T</w:t>
      </w:r>
      <w:r>
        <w:rPr>
          <w:rFonts w:asciiTheme="majorHAnsi" w:hAnsiTheme="majorHAnsi" w:cstheme="majorHAnsi"/>
          <w:color w:val="000000" w:themeColor="text1"/>
          <w:sz w:val="24"/>
          <w:szCs w:val="24"/>
        </w:rPr>
        <w:t xml:space="preserve">B partnership </w:t>
      </w:r>
      <w:r w:rsidR="005F07C2">
        <w:rPr>
          <w:rFonts w:asciiTheme="majorHAnsi" w:hAnsiTheme="majorHAnsi" w:cstheme="majorHAnsi"/>
          <w:color w:val="000000" w:themeColor="text1"/>
          <w:sz w:val="24"/>
          <w:szCs w:val="24"/>
        </w:rPr>
        <w:t xml:space="preserve">and </w:t>
      </w:r>
      <w:r>
        <w:rPr>
          <w:rFonts w:asciiTheme="majorHAnsi" w:hAnsiTheme="majorHAnsi" w:cstheme="majorHAnsi"/>
          <w:color w:val="000000" w:themeColor="text1"/>
          <w:sz w:val="24"/>
          <w:szCs w:val="24"/>
        </w:rPr>
        <w:t>t</w:t>
      </w:r>
      <w:r w:rsidRPr="00E477EE">
        <w:rPr>
          <w:rFonts w:asciiTheme="majorHAnsi" w:hAnsiTheme="majorHAnsi" w:cstheme="majorHAnsi"/>
          <w:color w:val="000000" w:themeColor="text1"/>
          <w:sz w:val="24"/>
          <w:szCs w:val="24"/>
        </w:rPr>
        <w:t xml:space="preserve">he purpose of the initiative is to create ‘islands </w:t>
      </w:r>
      <w:r w:rsidRPr="00E477EE">
        <w:rPr>
          <w:rFonts w:asciiTheme="majorHAnsi" w:hAnsiTheme="majorHAnsi" w:cstheme="majorHAnsi"/>
          <w:color w:val="000000" w:themeColor="text1"/>
          <w:sz w:val="24"/>
          <w:szCs w:val="24"/>
        </w:rPr>
        <w:lastRenderedPageBreak/>
        <w:t>of elimination’ that will contribute to lowering rates of TB</w:t>
      </w:r>
      <w:r w:rsidR="005F07C2">
        <w:rPr>
          <w:rFonts w:asciiTheme="majorHAnsi" w:hAnsiTheme="majorHAnsi" w:cstheme="majorHAnsi"/>
          <w:color w:val="000000" w:themeColor="text1"/>
          <w:sz w:val="24"/>
          <w:szCs w:val="24"/>
        </w:rPr>
        <w:t xml:space="preserve"> through s</w:t>
      </w:r>
      <w:r w:rsidR="005F07C2" w:rsidRPr="005F07C2">
        <w:rPr>
          <w:rFonts w:asciiTheme="majorHAnsi" w:hAnsiTheme="majorHAnsi" w:cstheme="majorHAnsi"/>
          <w:color w:val="000000" w:themeColor="text1"/>
          <w:sz w:val="24"/>
          <w:szCs w:val="24"/>
        </w:rPr>
        <w:t>upporting a coalition of the local government, businesses, and civil society</w:t>
      </w:r>
      <w:r w:rsidRPr="00E477EE">
        <w:rPr>
          <w:rFonts w:asciiTheme="majorHAnsi" w:hAnsiTheme="majorHAnsi" w:cstheme="majorHAnsi"/>
          <w:color w:val="000000" w:themeColor="text1"/>
          <w:sz w:val="24"/>
          <w:szCs w:val="24"/>
        </w:rPr>
        <w:t xml:space="preserve">. </w:t>
      </w:r>
      <w:r w:rsidR="005F07C2">
        <w:rPr>
          <w:rFonts w:asciiTheme="majorHAnsi" w:hAnsiTheme="majorHAnsi" w:cstheme="majorHAnsi"/>
          <w:color w:val="000000" w:themeColor="text1"/>
          <w:sz w:val="24"/>
          <w:szCs w:val="24"/>
        </w:rPr>
        <w:t>The specific objectives of the project in Adjara region are:  to strengthen</w:t>
      </w:r>
      <w:r w:rsidRPr="00E477EE">
        <w:rPr>
          <w:rFonts w:asciiTheme="majorHAnsi" w:hAnsiTheme="majorHAnsi" w:cstheme="majorHAnsi"/>
          <w:color w:val="000000" w:themeColor="text1"/>
          <w:sz w:val="24"/>
          <w:szCs w:val="24"/>
        </w:rPr>
        <w:t xml:space="preserve"> TB case detection / ‘finding the missing TB cases’</w:t>
      </w:r>
      <w:r w:rsidR="005F07C2">
        <w:rPr>
          <w:rFonts w:asciiTheme="majorHAnsi" w:hAnsiTheme="majorHAnsi" w:cstheme="majorHAnsi"/>
          <w:color w:val="000000" w:themeColor="text1"/>
          <w:sz w:val="24"/>
          <w:szCs w:val="24"/>
        </w:rPr>
        <w:t>; Improve</w:t>
      </w:r>
      <w:r w:rsidRPr="005F07C2">
        <w:rPr>
          <w:rFonts w:asciiTheme="majorHAnsi" w:hAnsiTheme="majorHAnsi" w:cstheme="majorHAnsi"/>
          <w:color w:val="000000" w:themeColor="text1"/>
          <w:sz w:val="24"/>
          <w:szCs w:val="24"/>
        </w:rPr>
        <w:t xml:space="preserve"> patient outcomes through comprehensive TB case management </w:t>
      </w:r>
      <w:r w:rsidR="005F07C2">
        <w:rPr>
          <w:rFonts w:asciiTheme="majorHAnsi" w:hAnsiTheme="majorHAnsi" w:cstheme="majorHAnsi"/>
          <w:color w:val="000000" w:themeColor="text1"/>
          <w:sz w:val="24"/>
          <w:szCs w:val="24"/>
        </w:rPr>
        <w:t xml:space="preserve"> and a</w:t>
      </w:r>
      <w:r w:rsidRPr="005F07C2">
        <w:rPr>
          <w:rFonts w:asciiTheme="majorHAnsi" w:hAnsiTheme="majorHAnsi" w:cstheme="majorHAnsi"/>
          <w:color w:val="000000" w:themeColor="text1"/>
          <w:sz w:val="24"/>
          <w:szCs w:val="24"/>
        </w:rPr>
        <w:t>ddressing the special needs of mobile populations through cross-border activities</w:t>
      </w:r>
      <w:r w:rsidR="005F07C2">
        <w:rPr>
          <w:rFonts w:asciiTheme="majorHAnsi" w:hAnsiTheme="majorHAnsi" w:cstheme="majorHAnsi"/>
          <w:color w:val="000000" w:themeColor="text1"/>
          <w:sz w:val="24"/>
          <w:szCs w:val="24"/>
        </w:rPr>
        <w:t xml:space="preserve">. </w:t>
      </w:r>
    </w:p>
    <w:p w14:paraId="40BE26BF" w14:textId="44766E2E" w:rsidR="008859CF" w:rsidRPr="005F07C2" w:rsidRDefault="008859CF" w:rsidP="008859CF">
      <w:pPr>
        <w:widowControl w:val="0"/>
        <w:autoSpaceDE w:val="0"/>
        <w:autoSpaceDN w:val="0"/>
        <w:adjustRightInd w:val="0"/>
        <w:spacing w:before="170" w:after="0" w:line="276" w:lineRule="auto"/>
        <w:jc w:val="both"/>
        <w:textAlignment w:val="center"/>
        <w:rPr>
          <w:rFonts w:asciiTheme="majorHAnsi" w:hAnsiTheme="majorHAnsi" w:cstheme="majorHAnsi"/>
          <w:color w:val="000000" w:themeColor="text1"/>
          <w:sz w:val="24"/>
          <w:szCs w:val="24"/>
        </w:rPr>
      </w:pPr>
      <w:r w:rsidRPr="006660AC">
        <w:rPr>
          <w:rFonts w:asciiTheme="majorHAnsi" w:hAnsiTheme="majorHAnsi" w:cstheme="majorHAnsi"/>
          <w:b/>
          <w:color w:val="1F4E79" w:themeColor="accent1" w:themeShade="80"/>
          <w:sz w:val="24"/>
          <w:szCs w:val="24"/>
        </w:rPr>
        <w:t>Sustainability of the GF grant programs in Georgia</w:t>
      </w:r>
    </w:p>
    <w:p w14:paraId="0FDA431E" w14:textId="0BD2BDC0" w:rsidR="009F4576" w:rsidRDefault="005F3CCB" w:rsidP="005F3CCB">
      <w:pPr>
        <w:widowControl w:val="0"/>
        <w:autoSpaceDE w:val="0"/>
        <w:autoSpaceDN w:val="0"/>
        <w:adjustRightInd w:val="0"/>
        <w:spacing w:before="170" w:after="0" w:line="276" w:lineRule="auto"/>
        <w:jc w:val="both"/>
        <w:textAlignment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Since </w:t>
      </w:r>
      <w:r w:rsidRPr="006B7FA3">
        <w:rPr>
          <w:rFonts w:asciiTheme="majorHAnsi" w:hAnsiTheme="majorHAnsi" w:cstheme="majorHAnsi"/>
          <w:color w:val="000000" w:themeColor="text1"/>
          <w:sz w:val="24"/>
          <w:szCs w:val="24"/>
        </w:rPr>
        <w:t xml:space="preserve">2016 Georgia </w:t>
      </w:r>
      <w:r>
        <w:rPr>
          <w:rFonts w:asciiTheme="majorHAnsi" w:hAnsiTheme="majorHAnsi" w:cstheme="majorHAnsi"/>
          <w:color w:val="000000" w:themeColor="text1"/>
          <w:sz w:val="24"/>
          <w:szCs w:val="24"/>
        </w:rPr>
        <w:t>is implementing the New Funding Model grants (</w:t>
      </w:r>
      <w:r w:rsidRPr="006B7FA3">
        <w:rPr>
          <w:rFonts w:asciiTheme="majorHAnsi" w:hAnsiTheme="majorHAnsi" w:cstheme="majorHAnsi"/>
          <w:color w:val="000000" w:themeColor="text1"/>
          <w:sz w:val="24"/>
          <w:szCs w:val="24"/>
        </w:rPr>
        <w:t>18,4 million</w:t>
      </w:r>
      <w:r>
        <w:rPr>
          <w:rFonts w:asciiTheme="majorHAnsi" w:hAnsiTheme="majorHAnsi" w:cstheme="majorHAnsi"/>
          <w:color w:val="000000" w:themeColor="text1"/>
          <w:sz w:val="24"/>
          <w:szCs w:val="24"/>
        </w:rPr>
        <w:t xml:space="preserve"> USD for HIV and 11,9 million for TB)</w:t>
      </w:r>
      <w:r w:rsidR="009F4576">
        <w:rPr>
          <w:rFonts w:asciiTheme="majorHAnsi" w:hAnsiTheme="majorHAnsi" w:cstheme="majorHAnsi"/>
          <w:color w:val="000000" w:themeColor="text1"/>
          <w:sz w:val="24"/>
          <w:szCs w:val="24"/>
        </w:rPr>
        <w:t xml:space="preserve"> for which the Government has fully met the co-funding requirements. For both the HIV and TB programs the Government’s share of funding for the last three years has exceed 60% of the total funding for the Programs. </w:t>
      </w:r>
    </w:p>
    <w:p w14:paraId="36BAB9A5" w14:textId="42FA3289" w:rsidR="005F3CCB" w:rsidRDefault="00207EB1" w:rsidP="005F3CCB">
      <w:pPr>
        <w:widowControl w:val="0"/>
        <w:autoSpaceDE w:val="0"/>
        <w:autoSpaceDN w:val="0"/>
        <w:adjustRightInd w:val="0"/>
        <w:spacing w:before="170" w:after="0" w:line="276" w:lineRule="auto"/>
        <w:jc w:val="both"/>
        <w:textAlignment w:val="center"/>
        <w:rPr>
          <w:rFonts w:asciiTheme="majorHAnsi" w:hAnsiTheme="majorHAnsi" w:cstheme="majorHAnsi"/>
          <w:color w:val="000000" w:themeColor="text1"/>
          <w:sz w:val="24"/>
          <w:szCs w:val="24"/>
        </w:rPr>
      </w:pPr>
      <w:r>
        <w:rPr>
          <w:noProof/>
        </w:rPr>
        <w:drawing>
          <wp:anchor distT="0" distB="0" distL="114300" distR="114300" simplePos="0" relativeHeight="251680256" behindDoc="0" locked="0" layoutInCell="1" allowOverlap="1" wp14:anchorId="632577BB" wp14:editId="53475326">
            <wp:simplePos x="0" y="0"/>
            <wp:positionH relativeFrom="column">
              <wp:posOffset>-257809</wp:posOffset>
            </wp:positionH>
            <wp:positionV relativeFrom="paragraph">
              <wp:posOffset>125095</wp:posOffset>
            </wp:positionV>
            <wp:extent cx="6210300" cy="2638425"/>
            <wp:effectExtent l="0" t="0" r="0" b="0"/>
            <wp:wrapNone/>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14:paraId="2EC63479" w14:textId="31D0E383" w:rsidR="009F4576" w:rsidRDefault="009F4576" w:rsidP="00207EB1">
      <w:pPr>
        <w:widowControl w:val="0"/>
        <w:autoSpaceDE w:val="0"/>
        <w:autoSpaceDN w:val="0"/>
        <w:adjustRightInd w:val="0"/>
        <w:spacing w:before="170" w:after="0" w:line="276" w:lineRule="auto"/>
        <w:ind w:left="-851"/>
        <w:jc w:val="both"/>
        <w:textAlignment w:val="center"/>
        <w:rPr>
          <w:rFonts w:asciiTheme="majorHAnsi" w:hAnsiTheme="majorHAnsi" w:cstheme="majorHAnsi"/>
          <w:color w:val="000000" w:themeColor="text1"/>
          <w:sz w:val="24"/>
          <w:szCs w:val="24"/>
        </w:rPr>
      </w:pPr>
    </w:p>
    <w:p w14:paraId="520690B4" w14:textId="4849AE32" w:rsidR="006660AC" w:rsidRDefault="006660AC" w:rsidP="005F3CCB">
      <w:pPr>
        <w:widowControl w:val="0"/>
        <w:autoSpaceDE w:val="0"/>
        <w:autoSpaceDN w:val="0"/>
        <w:adjustRightInd w:val="0"/>
        <w:spacing w:before="170" w:after="0" w:line="276" w:lineRule="auto"/>
        <w:jc w:val="both"/>
        <w:textAlignment w:val="center"/>
        <w:rPr>
          <w:rFonts w:asciiTheme="majorHAnsi" w:hAnsiTheme="majorHAnsi" w:cstheme="majorHAnsi"/>
          <w:color w:val="000000" w:themeColor="text1"/>
          <w:sz w:val="24"/>
          <w:szCs w:val="24"/>
        </w:rPr>
      </w:pPr>
    </w:p>
    <w:p w14:paraId="60EA1D89" w14:textId="24E2DFBE" w:rsidR="006660AC" w:rsidRDefault="006660AC" w:rsidP="005F3CCB">
      <w:pPr>
        <w:widowControl w:val="0"/>
        <w:autoSpaceDE w:val="0"/>
        <w:autoSpaceDN w:val="0"/>
        <w:adjustRightInd w:val="0"/>
        <w:spacing w:before="170" w:after="0" w:line="276" w:lineRule="auto"/>
        <w:jc w:val="both"/>
        <w:textAlignment w:val="center"/>
        <w:rPr>
          <w:rFonts w:asciiTheme="majorHAnsi" w:hAnsiTheme="majorHAnsi" w:cstheme="majorHAnsi"/>
          <w:color w:val="000000" w:themeColor="text1"/>
          <w:sz w:val="24"/>
          <w:szCs w:val="24"/>
        </w:rPr>
      </w:pPr>
    </w:p>
    <w:p w14:paraId="107BE9F0" w14:textId="6BC1980F" w:rsidR="006660AC" w:rsidRDefault="006660AC" w:rsidP="005F3CCB">
      <w:pPr>
        <w:widowControl w:val="0"/>
        <w:autoSpaceDE w:val="0"/>
        <w:autoSpaceDN w:val="0"/>
        <w:adjustRightInd w:val="0"/>
        <w:spacing w:before="170" w:after="0" w:line="276" w:lineRule="auto"/>
        <w:jc w:val="both"/>
        <w:textAlignment w:val="center"/>
        <w:rPr>
          <w:rFonts w:asciiTheme="majorHAnsi" w:hAnsiTheme="majorHAnsi" w:cstheme="majorHAnsi"/>
          <w:color w:val="000000" w:themeColor="text1"/>
          <w:sz w:val="24"/>
          <w:szCs w:val="24"/>
        </w:rPr>
      </w:pPr>
    </w:p>
    <w:p w14:paraId="7CCA5581" w14:textId="11C28337" w:rsidR="006660AC" w:rsidRDefault="006660AC" w:rsidP="005F3CCB">
      <w:pPr>
        <w:widowControl w:val="0"/>
        <w:autoSpaceDE w:val="0"/>
        <w:autoSpaceDN w:val="0"/>
        <w:adjustRightInd w:val="0"/>
        <w:spacing w:before="170" w:after="0" w:line="276" w:lineRule="auto"/>
        <w:jc w:val="both"/>
        <w:textAlignment w:val="center"/>
        <w:rPr>
          <w:rFonts w:asciiTheme="majorHAnsi" w:hAnsiTheme="majorHAnsi" w:cstheme="majorHAnsi"/>
          <w:color w:val="000000" w:themeColor="text1"/>
          <w:sz w:val="24"/>
          <w:szCs w:val="24"/>
        </w:rPr>
      </w:pPr>
    </w:p>
    <w:p w14:paraId="793F3457" w14:textId="3751FFE8" w:rsidR="006660AC" w:rsidRDefault="006660AC" w:rsidP="005F3CCB">
      <w:pPr>
        <w:widowControl w:val="0"/>
        <w:autoSpaceDE w:val="0"/>
        <w:autoSpaceDN w:val="0"/>
        <w:adjustRightInd w:val="0"/>
        <w:spacing w:before="170" w:after="0" w:line="276" w:lineRule="auto"/>
        <w:jc w:val="both"/>
        <w:textAlignment w:val="center"/>
        <w:rPr>
          <w:rFonts w:asciiTheme="majorHAnsi" w:hAnsiTheme="majorHAnsi" w:cstheme="majorHAnsi"/>
          <w:color w:val="000000" w:themeColor="text1"/>
          <w:sz w:val="24"/>
          <w:szCs w:val="24"/>
        </w:rPr>
      </w:pPr>
    </w:p>
    <w:p w14:paraId="08C7DED3" w14:textId="7FC65B65" w:rsidR="006660AC" w:rsidRDefault="00B111C1" w:rsidP="00207EB1">
      <w:pPr>
        <w:widowControl w:val="0"/>
        <w:tabs>
          <w:tab w:val="left" w:pos="2040"/>
        </w:tabs>
        <w:autoSpaceDE w:val="0"/>
        <w:autoSpaceDN w:val="0"/>
        <w:adjustRightInd w:val="0"/>
        <w:spacing w:before="170" w:after="0" w:line="276" w:lineRule="auto"/>
        <w:jc w:val="both"/>
        <w:textAlignment w:val="center"/>
        <w:rPr>
          <w:rFonts w:asciiTheme="majorHAnsi" w:hAnsiTheme="majorHAnsi" w:cstheme="majorHAnsi"/>
          <w:color w:val="000000" w:themeColor="text1"/>
          <w:sz w:val="24"/>
          <w:szCs w:val="24"/>
        </w:rPr>
      </w:pPr>
      <w:r>
        <w:rPr>
          <w:noProof/>
        </w:rPr>
        <w:drawing>
          <wp:anchor distT="0" distB="0" distL="114300" distR="114300" simplePos="0" relativeHeight="251712000" behindDoc="1" locked="0" layoutInCell="1" allowOverlap="1" wp14:anchorId="7EC355D3" wp14:editId="7F89D106">
            <wp:simplePos x="0" y="0"/>
            <wp:positionH relativeFrom="column">
              <wp:posOffset>104140</wp:posOffset>
            </wp:positionH>
            <wp:positionV relativeFrom="paragraph">
              <wp:posOffset>509905</wp:posOffset>
            </wp:positionV>
            <wp:extent cx="6036310" cy="3486150"/>
            <wp:effectExtent l="0" t="0" r="2540" b="0"/>
            <wp:wrapTight wrapText="bothSides">
              <wp:wrapPolygon edited="0">
                <wp:start x="0" y="0"/>
                <wp:lineTo x="0" y="21482"/>
                <wp:lineTo x="21541" y="21482"/>
                <wp:lineTo x="21541" y="0"/>
                <wp:lineTo x="0" y="0"/>
              </wp:wrapPolygon>
            </wp:wrapTight>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r w:rsidR="00207EB1">
        <w:rPr>
          <w:rFonts w:asciiTheme="majorHAnsi" w:hAnsiTheme="majorHAnsi" w:cstheme="majorHAnsi"/>
          <w:color w:val="000000" w:themeColor="text1"/>
          <w:sz w:val="24"/>
          <w:szCs w:val="24"/>
        </w:rPr>
        <w:tab/>
      </w:r>
    </w:p>
    <w:p w14:paraId="76BC09CF" w14:textId="2E048DF2" w:rsidR="006660AC" w:rsidRDefault="006660AC" w:rsidP="005F3CCB">
      <w:pPr>
        <w:widowControl w:val="0"/>
        <w:autoSpaceDE w:val="0"/>
        <w:autoSpaceDN w:val="0"/>
        <w:adjustRightInd w:val="0"/>
        <w:spacing w:before="170" w:after="0" w:line="276" w:lineRule="auto"/>
        <w:jc w:val="both"/>
        <w:textAlignment w:val="center"/>
        <w:rPr>
          <w:rFonts w:asciiTheme="majorHAnsi" w:hAnsiTheme="majorHAnsi" w:cstheme="majorHAnsi"/>
          <w:color w:val="000000" w:themeColor="text1"/>
          <w:sz w:val="24"/>
          <w:szCs w:val="24"/>
        </w:rPr>
      </w:pPr>
    </w:p>
    <w:p w14:paraId="3470CAF4" w14:textId="6EBA3B04" w:rsidR="005F3CCB" w:rsidRPr="006B7FA3" w:rsidRDefault="005F3CCB" w:rsidP="005F3CCB">
      <w:pPr>
        <w:widowControl w:val="0"/>
        <w:autoSpaceDE w:val="0"/>
        <w:autoSpaceDN w:val="0"/>
        <w:adjustRightInd w:val="0"/>
        <w:spacing w:before="170" w:after="0" w:line="276" w:lineRule="auto"/>
        <w:jc w:val="both"/>
        <w:textAlignment w:val="center"/>
        <w:rPr>
          <w:rFonts w:asciiTheme="majorHAnsi" w:hAnsiTheme="majorHAnsi" w:cstheme="majorHAnsi"/>
          <w:color w:val="000000" w:themeColor="text1"/>
          <w:sz w:val="24"/>
          <w:szCs w:val="24"/>
        </w:rPr>
      </w:pPr>
      <w:r w:rsidRPr="006B7FA3">
        <w:rPr>
          <w:rFonts w:asciiTheme="majorHAnsi" w:hAnsiTheme="majorHAnsi" w:cstheme="majorHAnsi"/>
          <w:color w:val="000000" w:themeColor="text1"/>
          <w:sz w:val="24"/>
          <w:szCs w:val="24"/>
        </w:rPr>
        <w:t xml:space="preserve">For the next funding period the Country is eligible for 15.8 million additional funding, which is twice less than the current Grants amounts. </w:t>
      </w:r>
      <w:r>
        <w:rPr>
          <w:rFonts w:asciiTheme="majorHAnsi" w:hAnsiTheme="majorHAnsi" w:cstheme="majorHAnsi"/>
          <w:color w:val="000000" w:themeColor="text1"/>
          <w:sz w:val="24"/>
          <w:szCs w:val="24"/>
        </w:rPr>
        <w:t xml:space="preserve">The country aims to submit the </w:t>
      </w:r>
      <w:r w:rsidRPr="006B7FA3">
        <w:rPr>
          <w:rFonts w:asciiTheme="majorHAnsi" w:hAnsiTheme="majorHAnsi" w:cstheme="majorHAnsi"/>
          <w:color w:val="000000" w:themeColor="text1"/>
          <w:sz w:val="24"/>
          <w:szCs w:val="24"/>
        </w:rPr>
        <w:t xml:space="preserve">continuation funding requests for both programs </w:t>
      </w:r>
      <w:r>
        <w:rPr>
          <w:rFonts w:asciiTheme="majorHAnsi" w:hAnsiTheme="majorHAnsi" w:cstheme="majorHAnsi"/>
          <w:color w:val="000000" w:themeColor="text1"/>
          <w:sz w:val="24"/>
          <w:szCs w:val="24"/>
        </w:rPr>
        <w:t xml:space="preserve">during </w:t>
      </w:r>
      <w:r w:rsidR="00D17D22">
        <w:rPr>
          <w:rFonts w:asciiTheme="majorHAnsi" w:hAnsiTheme="majorHAnsi" w:cstheme="majorHAnsi"/>
          <w:color w:val="000000" w:themeColor="text1"/>
          <w:sz w:val="24"/>
          <w:szCs w:val="24"/>
        </w:rPr>
        <w:t xml:space="preserve">August’s </w:t>
      </w:r>
      <w:r>
        <w:rPr>
          <w:rFonts w:asciiTheme="majorHAnsi" w:hAnsiTheme="majorHAnsi" w:cstheme="majorHAnsi"/>
          <w:color w:val="000000" w:themeColor="text1"/>
          <w:sz w:val="24"/>
          <w:szCs w:val="24"/>
        </w:rPr>
        <w:t xml:space="preserve">window </w:t>
      </w:r>
      <w:r w:rsidR="00D17D22">
        <w:rPr>
          <w:rFonts w:asciiTheme="majorHAnsi" w:hAnsiTheme="majorHAnsi" w:cstheme="majorHAnsi"/>
          <w:color w:val="000000" w:themeColor="text1"/>
          <w:sz w:val="24"/>
          <w:szCs w:val="24"/>
        </w:rPr>
        <w:t xml:space="preserve">of 2018 </w:t>
      </w:r>
      <w:r w:rsidRPr="006B7FA3">
        <w:rPr>
          <w:rFonts w:asciiTheme="majorHAnsi" w:hAnsiTheme="majorHAnsi" w:cstheme="majorHAnsi"/>
          <w:color w:val="000000" w:themeColor="text1"/>
          <w:sz w:val="24"/>
          <w:szCs w:val="24"/>
        </w:rPr>
        <w:t xml:space="preserve">to cover the programs needs till end of 2022. </w:t>
      </w:r>
    </w:p>
    <w:p w14:paraId="50B6A62B" w14:textId="023BA607" w:rsidR="0060796B" w:rsidRPr="006B7FA3" w:rsidRDefault="0060796B" w:rsidP="0060796B">
      <w:pPr>
        <w:widowControl w:val="0"/>
        <w:autoSpaceDE w:val="0"/>
        <w:autoSpaceDN w:val="0"/>
        <w:adjustRightInd w:val="0"/>
        <w:spacing w:before="170" w:after="0" w:line="276" w:lineRule="auto"/>
        <w:jc w:val="both"/>
        <w:textAlignment w:val="center"/>
        <w:rPr>
          <w:rFonts w:asciiTheme="majorHAnsi" w:hAnsiTheme="majorHAnsi" w:cstheme="majorHAnsi"/>
          <w:color w:val="000000" w:themeColor="text1"/>
          <w:sz w:val="24"/>
          <w:szCs w:val="24"/>
        </w:rPr>
      </w:pPr>
      <w:r w:rsidRPr="006B7FA3">
        <w:rPr>
          <w:rFonts w:asciiTheme="majorHAnsi" w:hAnsiTheme="majorHAnsi" w:cstheme="majorHAnsi"/>
          <w:color w:val="000000" w:themeColor="text1"/>
          <w:sz w:val="24"/>
          <w:szCs w:val="24"/>
        </w:rPr>
        <w:t xml:space="preserve">The Georgian Sustainability and Transition </w:t>
      </w:r>
      <w:r>
        <w:rPr>
          <w:rFonts w:asciiTheme="majorHAnsi" w:hAnsiTheme="majorHAnsi" w:cstheme="majorHAnsi"/>
          <w:color w:val="000000" w:themeColor="text1"/>
          <w:sz w:val="24"/>
          <w:szCs w:val="24"/>
        </w:rPr>
        <w:t xml:space="preserve">Plan (STP) was developed </w:t>
      </w:r>
      <w:r w:rsidRPr="006B7FA3">
        <w:rPr>
          <w:rFonts w:asciiTheme="majorHAnsi" w:hAnsiTheme="majorHAnsi" w:cstheme="majorHAnsi"/>
          <w:color w:val="000000" w:themeColor="text1"/>
          <w:sz w:val="24"/>
          <w:szCs w:val="24"/>
        </w:rPr>
        <w:t xml:space="preserve">for the period of 2017-2019 that addresses </w:t>
      </w:r>
      <w:r w:rsidR="009F4576">
        <w:rPr>
          <w:rFonts w:asciiTheme="majorHAnsi" w:hAnsiTheme="majorHAnsi" w:cstheme="majorHAnsi"/>
          <w:color w:val="000000" w:themeColor="text1"/>
          <w:sz w:val="24"/>
          <w:szCs w:val="24"/>
        </w:rPr>
        <w:t xml:space="preserve">the immediate and short-term </w:t>
      </w:r>
      <w:r w:rsidRPr="006B7FA3">
        <w:rPr>
          <w:rFonts w:asciiTheme="majorHAnsi" w:hAnsiTheme="majorHAnsi" w:cstheme="majorHAnsi"/>
          <w:color w:val="000000" w:themeColor="text1"/>
          <w:sz w:val="24"/>
          <w:szCs w:val="24"/>
        </w:rPr>
        <w:t xml:space="preserve">key challenges </w:t>
      </w:r>
      <w:r w:rsidR="009F4576">
        <w:rPr>
          <w:rFonts w:asciiTheme="majorHAnsi" w:hAnsiTheme="majorHAnsi" w:cstheme="majorHAnsi"/>
          <w:color w:val="000000" w:themeColor="text1"/>
          <w:sz w:val="24"/>
          <w:szCs w:val="24"/>
        </w:rPr>
        <w:t xml:space="preserve">of the transitioning of the GFATM programs. </w:t>
      </w:r>
    </w:p>
    <w:p w14:paraId="59E13BD6" w14:textId="1FA58496" w:rsidR="008859CF" w:rsidRPr="006B7FA3" w:rsidRDefault="008859CF" w:rsidP="008859CF">
      <w:pPr>
        <w:widowControl w:val="0"/>
        <w:autoSpaceDE w:val="0"/>
        <w:autoSpaceDN w:val="0"/>
        <w:adjustRightInd w:val="0"/>
        <w:spacing w:before="170" w:after="0" w:line="276" w:lineRule="auto"/>
        <w:jc w:val="both"/>
        <w:textAlignment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As </w:t>
      </w:r>
      <w:r w:rsidRPr="006B7FA3">
        <w:rPr>
          <w:rFonts w:asciiTheme="majorHAnsi" w:hAnsiTheme="majorHAnsi" w:cstheme="majorHAnsi"/>
          <w:color w:val="000000" w:themeColor="text1"/>
          <w:sz w:val="24"/>
          <w:szCs w:val="24"/>
        </w:rPr>
        <w:t>GF support to Georgia is decreasing considerably (by 50%) for the next three year funding cycle the Gov</w:t>
      </w:r>
      <w:r>
        <w:rPr>
          <w:rFonts w:asciiTheme="majorHAnsi" w:hAnsiTheme="majorHAnsi" w:cstheme="majorHAnsi"/>
          <w:color w:val="000000" w:themeColor="text1"/>
          <w:sz w:val="24"/>
          <w:szCs w:val="24"/>
        </w:rPr>
        <w:t>ernment</w:t>
      </w:r>
      <w:r w:rsidRPr="006B7FA3">
        <w:rPr>
          <w:rFonts w:asciiTheme="majorHAnsi" w:hAnsiTheme="majorHAnsi" w:cstheme="majorHAnsi"/>
          <w:color w:val="000000" w:themeColor="text1"/>
          <w:sz w:val="24"/>
          <w:szCs w:val="24"/>
        </w:rPr>
        <w:t xml:space="preserve"> of Georgia needs to mobilize substantial additional internal resources in health care for scaling up of programs in response to the growing epidemics. </w:t>
      </w:r>
    </w:p>
    <w:p w14:paraId="06685E96" w14:textId="77777777" w:rsidR="009F4576" w:rsidRDefault="009F4576" w:rsidP="008859CF">
      <w:pPr>
        <w:widowControl w:val="0"/>
        <w:autoSpaceDE w:val="0"/>
        <w:autoSpaceDN w:val="0"/>
        <w:adjustRightInd w:val="0"/>
        <w:spacing w:before="170" w:after="0" w:line="276" w:lineRule="auto"/>
        <w:jc w:val="both"/>
        <w:textAlignment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Starting from 2015 the </w:t>
      </w:r>
      <w:r w:rsidR="008859CF" w:rsidRPr="006B7FA3">
        <w:rPr>
          <w:rFonts w:asciiTheme="majorHAnsi" w:hAnsiTheme="majorHAnsi" w:cstheme="majorHAnsi"/>
          <w:color w:val="000000" w:themeColor="text1"/>
          <w:sz w:val="24"/>
          <w:szCs w:val="24"/>
        </w:rPr>
        <w:t xml:space="preserve">Government </w:t>
      </w:r>
      <w:r>
        <w:rPr>
          <w:rFonts w:asciiTheme="majorHAnsi" w:hAnsiTheme="majorHAnsi" w:cstheme="majorHAnsi"/>
          <w:color w:val="000000" w:themeColor="text1"/>
          <w:sz w:val="24"/>
          <w:szCs w:val="24"/>
        </w:rPr>
        <w:t xml:space="preserve">of Georgia </w:t>
      </w:r>
      <w:r w:rsidR="008859CF" w:rsidRPr="006B7FA3">
        <w:rPr>
          <w:rFonts w:asciiTheme="majorHAnsi" w:hAnsiTheme="majorHAnsi" w:cstheme="majorHAnsi"/>
          <w:color w:val="000000" w:themeColor="text1"/>
          <w:sz w:val="24"/>
          <w:szCs w:val="24"/>
        </w:rPr>
        <w:t>is paying for the first line ARV</w:t>
      </w:r>
      <w:r w:rsidR="0060796B">
        <w:rPr>
          <w:rFonts w:asciiTheme="majorHAnsi" w:hAnsiTheme="majorHAnsi" w:cstheme="majorHAnsi"/>
          <w:color w:val="000000" w:themeColor="text1"/>
          <w:sz w:val="24"/>
          <w:szCs w:val="24"/>
        </w:rPr>
        <w:t xml:space="preserve"> and anti- TB medicines</w:t>
      </w:r>
      <w:r w:rsidR="008859CF" w:rsidRPr="006B7FA3">
        <w:rPr>
          <w:rFonts w:asciiTheme="majorHAnsi" w:hAnsiTheme="majorHAnsi" w:cstheme="majorHAnsi"/>
          <w:color w:val="000000" w:themeColor="text1"/>
          <w:sz w:val="24"/>
          <w:szCs w:val="24"/>
        </w:rPr>
        <w:t xml:space="preserve">. This year 25% of Second Line medicines </w:t>
      </w:r>
      <w:r w:rsidR="0060796B">
        <w:rPr>
          <w:rFonts w:asciiTheme="majorHAnsi" w:hAnsiTheme="majorHAnsi" w:cstheme="majorHAnsi"/>
          <w:color w:val="000000" w:themeColor="text1"/>
          <w:sz w:val="24"/>
          <w:szCs w:val="24"/>
        </w:rPr>
        <w:t xml:space="preserve">will be procured </w:t>
      </w:r>
      <w:r w:rsidR="008859CF" w:rsidRPr="006B7FA3">
        <w:rPr>
          <w:rFonts w:asciiTheme="majorHAnsi" w:hAnsiTheme="majorHAnsi" w:cstheme="majorHAnsi"/>
          <w:color w:val="000000" w:themeColor="text1"/>
          <w:sz w:val="24"/>
          <w:szCs w:val="24"/>
        </w:rPr>
        <w:t xml:space="preserve">with </w:t>
      </w:r>
      <w:r w:rsidR="0060796B">
        <w:rPr>
          <w:rFonts w:asciiTheme="majorHAnsi" w:hAnsiTheme="majorHAnsi" w:cstheme="majorHAnsi"/>
          <w:color w:val="000000" w:themeColor="text1"/>
          <w:sz w:val="24"/>
          <w:szCs w:val="24"/>
        </w:rPr>
        <w:t xml:space="preserve">the </w:t>
      </w:r>
      <w:r w:rsidR="008859CF" w:rsidRPr="006B7FA3">
        <w:rPr>
          <w:rFonts w:asciiTheme="majorHAnsi" w:hAnsiTheme="majorHAnsi" w:cstheme="majorHAnsi"/>
          <w:color w:val="000000" w:themeColor="text1"/>
          <w:sz w:val="24"/>
          <w:szCs w:val="24"/>
        </w:rPr>
        <w:t>State Funds</w:t>
      </w:r>
      <w:r w:rsidR="0060796B">
        <w:rPr>
          <w:rFonts w:asciiTheme="majorHAnsi" w:hAnsiTheme="majorHAnsi" w:cstheme="majorHAnsi"/>
          <w:color w:val="000000" w:themeColor="text1"/>
          <w:sz w:val="24"/>
          <w:szCs w:val="24"/>
        </w:rPr>
        <w:t xml:space="preserve"> as well</w:t>
      </w:r>
      <w:r w:rsidR="008859CF" w:rsidRPr="006B7FA3">
        <w:rPr>
          <w:rFonts w:asciiTheme="majorHAnsi" w:hAnsiTheme="majorHAnsi" w:cstheme="majorHAnsi"/>
          <w:color w:val="000000" w:themeColor="text1"/>
          <w:sz w:val="24"/>
          <w:szCs w:val="24"/>
        </w:rPr>
        <w:t xml:space="preserve">. </w:t>
      </w:r>
      <w:r w:rsidR="008859CF">
        <w:rPr>
          <w:rFonts w:asciiTheme="majorHAnsi" w:hAnsiTheme="majorHAnsi" w:cstheme="majorHAnsi"/>
          <w:color w:val="000000" w:themeColor="text1"/>
          <w:sz w:val="24"/>
          <w:szCs w:val="24"/>
        </w:rPr>
        <w:t>From July 2017 the OST Prog</w:t>
      </w:r>
      <w:r>
        <w:rPr>
          <w:rFonts w:asciiTheme="majorHAnsi" w:hAnsiTheme="majorHAnsi" w:cstheme="majorHAnsi"/>
          <w:color w:val="000000" w:themeColor="text1"/>
          <w:sz w:val="24"/>
          <w:szCs w:val="24"/>
        </w:rPr>
        <w:t>r</w:t>
      </w:r>
      <w:r w:rsidR="008859CF">
        <w:rPr>
          <w:rFonts w:asciiTheme="majorHAnsi" w:hAnsiTheme="majorHAnsi" w:cstheme="majorHAnsi"/>
          <w:color w:val="000000" w:themeColor="text1"/>
          <w:sz w:val="24"/>
          <w:szCs w:val="24"/>
        </w:rPr>
        <w:t xml:space="preserve">am was </w:t>
      </w:r>
      <w:r w:rsidR="008859CF" w:rsidRPr="006B7FA3">
        <w:rPr>
          <w:rFonts w:asciiTheme="majorHAnsi" w:hAnsiTheme="majorHAnsi" w:cstheme="majorHAnsi"/>
          <w:color w:val="000000" w:themeColor="text1"/>
          <w:sz w:val="24"/>
          <w:szCs w:val="24"/>
        </w:rPr>
        <w:t xml:space="preserve">fully transitioned </w:t>
      </w:r>
      <w:r w:rsidR="008859CF">
        <w:rPr>
          <w:rFonts w:asciiTheme="majorHAnsi" w:hAnsiTheme="majorHAnsi" w:cstheme="majorHAnsi"/>
          <w:color w:val="000000" w:themeColor="text1"/>
          <w:sz w:val="24"/>
          <w:szCs w:val="24"/>
        </w:rPr>
        <w:t xml:space="preserve">to the </w:t>
      </w:r>
      <w:r w:rsidR="008859CF" w:rsidRPr="006B7FA3">
        <w:rPr>
          <w:rFonts w:asciiTheme="majorHAnsi" w:hAnsiTheme="majorHAnsi" w:cstheme="majorHAnsi"/>
          <w:color w:val="000000" w:themeColor="text1"/>
          <w:sz w:val="24"/>
          <w:szCs w:val="24"/>
        </w:rPr>
        <w:t xml:space="preserve">state </w:t>
      </w:r>
      <w:r w:rsidR="0060796B">
        <w:rPr>
          <w:rFonts w:asciiTheme="majorHAnsi" w:hAnsiTheme="majorHAnsi" w:cstheme="majorHAnsi"/>
          <w:color w:val="000000" w:themeColor="text1"/>
          <w:sz w:val="24"/>
          <w:szCs w:val="24"/>
        </w:rPr>
        <w:t xml:space="preserve">funding, and not only that, but the state has abolished the co-payment scheme for OST Program and all PWIDs enrolled have now free of charge access to methadone treatment. </w:t>
      </w:r>
    </w:p>
    <w:p w14:paraId="05C26C09" w14:textId="709D8984" w:rsidR="008859CF" w:rsidRPr="006B7FA3" w:rsidRDefault="008859CF" w:rsidP="008859CF">
      <w:pPr>
        <w:widowControl w:val="0"/>
        <w:autoSpaceDE w:val="0"/>
        <w:autoSpaceDN w:val="0"/>
        <w:adjustRightInd w:val="0"/>
        <w:spacing w:before="170" w:after="0" w:line="276" w:lineRule="auto"/>
        <w:jc w:val="both"/>
        <w:textAlignment w:val="center"/>
        <w:rPr>
          <w:rFonts w:asciiTheme="majorHAnsi" w:hAnsiTheme="majorHAnsi" w:cstheme="majorHAnsi"/>
          <w:color w:val="000000" w:themeColor="text1"/>
          <w:sz w:val="24"/>
          <w:szCs w:val="24"/>
        </w:rPr>
      </w:pPr>
      <w:r w:rsidRPr="006B7FA3">
        <w:rPr>
          <w:rFonts w:asciiTheme="majorHAnsi" w:hAnsiTheme="majorHAnsi" w:cstheme="majorHAnsi"/>
          <w:color w:val="000000" w:themeColor="text1"/>
          <w:sz w:val="24"/>
          <w:szCs w:val="24"/>
        </w:rPr>
        <w:t xml:space="preserve">During the coming two years the country will increasingly take responsibility of procurement of diagnostic test-systems, including the viral load and CD4 testing. It is expected that a substantial portion of the products needed for the universal coverage of the diagnosis and treatment of TB in Georgia will be covered through the state funds by 2019. It worth mentioning that procurement of first and second line drugs </w:t>
      </w:r>
      <w:r w:rsidR="009F4576">
        <w:rPr>
          <w:rFonts w:asciiTheme="majorHAnsi" w:hAnsiTheme="majorHAnsi" w:cstheme="majorHAnsi"/>
          <w:color w:val="000000" w:themeColor="text1"/>
          <w:sz w:val="24"/>
          <w:szCs w:val="24"/>
        </w:rPr>
        <w:t xml:space="preserve">through the state funds is </w:t>
      </w:r>
      <w:r w:rsidRPr="006B7FA3">
        <w:rPr>
          <w:rFonts w:asciiTheme="majorHAnsi" w:hAnsiTheme="majorHAnsi" w:cstheme="majorHAnsi"/>
          <w:color w:val="000000" w:themeColor="text1"/>
          <w:sz w:val="24"/>
          <w:szCs w:val="24"/>
        </w:rPr>
        <w:t xml:space="preserve">done using the </w:t>
      </w:r>
      <w:r w:rsidR="0060796B">
        <w:rPr>
          <w:rFonts w:asciiTheme="majorHAnsi" w:hAnsiTheme="majorHAnsi" w:cstheme="majorHAnsi"/>
          <w:color w:val="000000" w:themeColor="text1"/>
          <w:sz w:val="24"/>
          <w:szCs w:val="24"/>
        </w:rPr>
        <w:t xml:space="preserve">Pooled Procurement Mechanism of the GFATM and </w:t>
      </w:r>
      <w:r w:rsidRPr="006B7FA3">
        <w:rPr>
          <w:rFonts w:asciiTheme="majorHAnsi" w:hAnsiTheme="majorHAnsi" w:cstheme="majorHAnsi"/>
          <w:color w:val="000000" w:themeColor="text1"/>
          <w:sz w:val="24"/>
          <w:szCs w:val="24"/>
        </w:rPr>
        <w:t>GDF, ensuring the same high quality products from both</w:t>
      </w:r>
      <w:r w:rsidR="0060796B">
        <w:rPr>
          <w:rFonts w:asciiTheme="majorHAnsi" w:hAnsiTheme="majorHAnsi" w:cstheme="majorHAnsi"/>
          <w:color w:val="000000" w:themeColor="text1"/>
          <w:sz w:val="24"/>
          <w:szCs w:val="24"/>
        </w:rPr>
        <w:t>, the GFATM and the State</w:t>
      </w:r>
      <w:r w:rsidRPr="006B7FA3">
        <w:rPr>
          <w:rFonts w:asciiTheme="majorHAnsi" w:hAnsiTheme="majorHAnsi" w:cstheme="majorHAnsi"/>
          <w:color w:val="000000" w:themeColor="text1"/>
          <w:sz w:val="24"/>
          <w:szCs w:val="24"/>
        </w:rPr>
        <w:t xml:space="preserve"> funding channels.</w:t>
      </w:r>
    </w:p>
    <w:p w14:paraId="7E49E3AF" w14:textId="2D59A83E" w:rsidR="008859CF" w:rsidRPr="0060796B" w:rsidRDefault="008859CF" w:rsidP="006B7FA3">
      <w:pPr>
        <w:widowControl w:val="0"/>
        <w:autoSpaceDE w:val="0"/>
        <w:autoSpaceDN w:val="0"/>
        <w:adjustRightInd w:val="0"/>
        <w:spacing w:before="170" w:after="0" w:line="276" w:lineRule="auto"/>
        <w:jc w:val="both"/>
        <w:textAlignment w:val="center"/>
        <w:rPr>
          <w:rFonts w:asciiTheme="majorHAnsi" w:hAnsiTheme="majorHAnsi" w:cstheme="majorHAnsi"/>
          <w:color w:val="000000" w:themeColor="text1"/>
          <w:sz w:val="24"/>
          <w:szCs w:val="24"/>
        </w:rPr>
      </w:pPr>
      <w:r w:rsidRPr="006B7FA3">
        <w:rPr>
          <w:rFonts w:asciiTheme="majorHAnsi" w:hAnsiTheme="majorHAnsi" w:cstheme="majorHAnsi"/>
          <w:color w:val="000000" w:themeColor="text1"/>
          <w:sz w:val="24"/>
          <w:szCs w:val="24"/>
        </w:rPr>
        <w:t xml:space="preserve">Sustainability of HIV prevention programs remains especially critical. </w:t>
      </w:r>
      <w:r w:rsidR="0060796B">
        <w:rPr>
          <w:rFonts w:asciiTheme="majorHAnsi" w:hAnsiTheme="majorHAnsi" w:cstheme="majorHAnsi"/>
          <w:color w:val="000000" w:themeColor="text1"/>
          <w:sz w:val="24"/>
          <w:szCs w:val="24"/>
        </w:rPr>
        <w:t>T</w:t>
      </w:r>
      <w:r w:rsidRPr="006B7FA3">
        <w:rPr>
          <w:rFonts w:asciiTheme="majorHAnsi" w:hAnsiTheme="majorHAnsi" w:cstheme="majorHAnsi"/>
          <w:color w:val="000000" w:themeColor="text1"/>
          <w:sz w:val="24"/>
          <w:szCs w:val="24"/>
        </w:rPr>
        <w:t xml:space="preserve">he State will need to start investing in HIV prevention programs from 2020. With support of </w:t>
      </w:r>
      <w:r w:rsidR="00AC2CE7">
        <w:rPr>
          <w:rFonts w:asciiTheme="majorHAnsi" w:hAnsiTheme="majorHAnsi" w:cstheme="majorHAnsi"/>
          <w:color w:val="000000" w:themeColor="text1"/>
          <w:sz w:val="24"/>
          <w:szCs w:val="24"/>
        </w:rPr>
        <w:t xml:space="preserve">the GFATM, </w:t>
      </w:r>
      <w:r w:rsidRPr="006B7FA3">
        <w:rPr>
          <w:rFonts w:asciiTheme="majorHAnsi" w:hAnsiTheme="majorHAnsi" w:cstheme="majorHAnsi"/>
          <w:color w:val="000000" w:themeColor="text1"/>
          <w:sz w:val="24"/>
          <w:szCs w:val="24"/>
        </w:rPr>
        <w:t xml:space="preserve">EHRN and </w:t>
      </w:r>
      <w:r w:rsidR="0060796B">
        <w:rPr>
          <w:rFonts w:asciiTheme="majorHAnsi" w:hAnsiTheme="majorHAnsi" w:cstheme="majorHAnsi"/>
          <w:color w:val="000000" w:themeColor="text1"/>
          <w:sz w:val="24"/>
          <w:szCs w:val="24"/>
        </w:rPr>
        <w:t xml:space="preserve">UNFPA initial step for preparation of the transition was made with </w:t>
      </w:r>
      <w:r w:rsidRPr="006B7FA3">
        <w:rPr>
          <w:rFonts w:asciiTheme="majorHAnsi" w:hAnsiTheme="majorHAnsi" w:cstheme="majorHAnsi"/>
          <w:color w:val="000000" w:themeColor="text1"/>
          <w:sz w:val="24"/>
          <w:szCs w:val="24"/>
        </w:rPr>
        <w:t xml:space="preserve">development of the National NSP, OST standards as well as prevention intervention standards for FSWs and MSM with </w:t>
      </w:r>
      <w:r w:rsidR="0060796B">
        <w:rPr>
          <w:rFonts w:asciiTheme="majorHAnsi" w:hAnsiTheme="majorHAnsi" w:cstheme="majorHAnsi"/>
          <w:color w:val="000000" w:themeColor="text1"/>
          <w:sz w:val="24"/>
          <w:szCs w:val="24"/>
        </w:rPr>
        <w:t>relevant co</w:t>
      </w:r>
      <w:r w:rsidR="009F4576">
        <w:rPr>
          <w:rFonts w:asciiTheme="majorHAnsi" w:hAnsiTheme="majorHAnsi" w:cstheme="majorHAnsi"/>
          <w:color w:val="000000" w:themeColor="text1"/>
          <w:sz w:val="24"/>
          <w:szCs w:val="24"/>
        </w:rPr>
        <w:t xml:space="preserve">sting that will allow the Government to make an informed decision regarding the funding of the particular components of the HIV Prevention Programs. </w:t>
      </w:r>
    </w:p>
    <w:p w14:paraId="5B698040" w14:textId="2339A5DF" w:rsidR="008859CF" w:rsidRDefault="00207EB1" w:rsidP="006B7FA3">
      <w:pPr>
        <w:widowControl w:val="0"/>
        <w:autoSpaceDE w:val="0"/>
        <w:autoSpaceDN w:val="0"/>
        <w:adjustRightInd w:val="0"/>
        <w:spacing w:before="170" w:after="0" w:line="276" w:lineRule="auto"/>
        <w:jc w:val="both"/>
        <w:textAlignment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The success of the STP implementation will largely depend of the external TA that the Country will be able to mobil</w:t>
      </w:r>
      <w:r w:rsidR="005F07C2">
        <w:rPr>
          <w:rFonts w:asciiTheme="majorHAnsi" w:hAnsiTheme="majorHAnsi" w:cstheme="majorHAnsi"/>
          <w:color w:val="000000" w:themeColor="text1"/>
          <w:sz w:val="24"/>
          <w:szCs w:val="24"/>
        </w:rPr>
        <w:t>iz</w:t>
      </w:r>
      <w:r>
        <w:rPr>
          <w:rFonts w:asciiTheme="majorHAnsi" w:hAnsiTheme="majorHAnsi" w:cstheme="majorHAnsi"/>
          <w:color w:val="000000" w:themeColor="text1"/>
          <w:sz w:val="24"/>
          <w:szCs w:val="24"/>
        </w:rPr>
        <w:t xml:space="preserve">e. With this regard the support of WHO and other technical partners will be critical for development of relevant strategic documents and testing the novel interventions recommended by the international technical advisory groups. </w:t>
      </w:r>
    </w:p>
    <w:p w14:paraId="7CBC4DDF" w14:textId="16086130" w:rsidR="00E22374" w:rsidRPr="00EA39DE" w:rsidRDefault="00E22374" w:rsidP="00E22374">
      <w:pPr>
        <w:spacing w:after="120" w:line="240" w:lineRule="auto"/>
        <w:contextualSpacing/>
        <w:jc w:val="both"/>
        <w:rPr>
          <w:rFonts w:ascii="Calibri" w:hAnsi="Calibri" w:cs="Calibri"/>
          <w:color w:val="2E74B5" w:themeColor="accent1" w:themeShade="BF"/>
          <w:sz w:val="24"/>
          <w:szCs w:val="24"/>
        </w:rPr>
      </w:pPr>
      <w:r w:rsidRPr="00EA39DE">
        <w:rPr>
          <w:rFonts w:ascii="Calibri" w:hAnsi="Calibri" w:cs="Calibri"/>
          <w:color w:val="2E74B5" w:themeColor="accent1" w:themeShade="BF"/>
          <w:sz w:val="24"/>
          <w:szCs w:val="24"/>
        </w:rPr>
        <w:t>_________________________________________________________________________________</w:t>
      </w:r>
    </w:p>
    <w:tbl>
      <w:tblPr>
        <w:tblStyle w:val="TableGrid"/>
        <w:tblW w:w="10338"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7"/>
        <w:gridCol w:w="4831"/>
      </w:tblGrid>
      <w:tr w:rsidR="00E22374" w:rsidRPr="00EA39DE" w14:paraId="1BC4D7E7" w14:textId="77777777" w:rsidTr="00E22374">
        <w:trPr>
          <w:trHeight w:val="1802"/>
        </w:trPr>
        <w:tc>
          <w:tcPr>
            <w:tcW w:w="5507" w:type="dxa"/>
          </w:tcPr>
          <w:p w14:paraId="5F045A52" w14:textId="77777777" w:rsidR="00E22374" w:rsidRPr="00EA39DE" w:rsidRDefault="00E22374" w:rsidP="00CB5FD8">
            <w:pPr>
              <w:spacing w:after="120"/>
              <w:contextualSpacing/>
              <w:jc w:val="center"/>
              <w:rPr>
                <w:rFonts w:ascii="Calibri" w:hAnsi="Calibri" w:cs="Calibri"/>
                <w:color w:val="2E74B5" w:themeColor="accent1" w:themeShade="BF"/>
                <w:sz w:val="20"/>
                <w:szCs w:val="20"/>
              </w:rPr>
            </w:pPr>
            <w:r w:rsidRPr="00EA39DE">
              <w:rPr>
                <w:rFonts w:asciiTheme="majorHAnsi" w:eastAsiaTheme="majorEastAsia" w:hAnsiTheme="majorHAnsi" w:cstheme="majorBidi"/>
                <w:bCs/>
                <w:noProof/>
                <w:color w:val="2E74B5" w:themeColor="accent1" w:themeShade="BF"/>
                <w:sz w:val="20"/>
                <w:szCs w:val="20"/>
              </w:rPr>
              <w:drawing>
                <wp:anchor distT="0" distB="0" distL="114300" distR="114300" simplePos="0" relativeHeight="251722240" behindDoc="0" locked="0" layoutInCell="1" allowOverlap="1" wp14:anchorId="699B84F8" wp14:editId="0E4905F3">
                  <wp:simplePos x="0" y="0"/>
                  <wp:positionH relativeFrom="column">
                    <wp:posOffset>1143635</wp:posOffset>
                  </wp:positionH>
                  <wp:positionV relativeFrom="paragraph">
                    <wp:posOffset>118745</wp:posOffset>
                  </wp:positionV>
                  <wp:extent cx="1133475" cy="448310"/>
                  <wp:effectExtent l="0" t="0" r="9525" b="8890"/>
                  <wp:wrapNone/>
                  <wp:docPr id="10" name="Picture 10" descr="F:\SCRC შეხვედრისთვის 7.11.2017\Briefs\New new briefs\MOH 1 Logo-E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CRC შეხვედრისთვის 7.11.2017\Briefs\New new briefs\MOH 1 Logo-ENG.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33475" cy="448310"/>
                          </a:xfrm>
                          <a:prstGeom prst="rect">
                            <a:avLst/>
                          </a:prstGeom>
                          <a:noFill/>
                          <a:ln>
                            <a:noFill/>
                          </a:ln>
                        </pic:spPr>
                      </pic:pic>
                    </a:graphicData>
                  </a:graphic>
                </wp:anchor>
              </w:drawing>
            </w:r>
            <w:r w:rsidRPr="00EA39DE">
              <w:rPr>
                <w:rFonts w:ascii="Calibri" w:hAnsi="Calibri" w:cs="Calibri"/>
                <w:color w:val="2E74B5" w:themeColor="accent1" w:themeShade="BF"/>
                <w:sz w:val="20"/>
                <w:szCs w:val="20"/>
              </w:rPr>
              <w:t xml:space="preserve">     </w:t>
            </w:r>
          </w:p>
          <w:p w14:paraId="4509F4CC" w14:textId="77777777" w:rsidR="00E22374" w:rsidRPr="00EA39DE" w:rsidRDefault="00E22374" w:rsidP="00CB5FD8">
            <w:pPr>
              <w:spacing w:after="120"/>
              <w:contextualSpacing/>
              <w:jc w:val="center"/>
              <w:rPr>
                <w:rFonts w:ascii="Calibri" w:hAnsi="Calibri" w:cs="Calibri"/>
                <w:color w:val="2E74B5" w:themeColor="accent1" w:themeShade="BF"/>
                <w:sz w:val="20"/>
                <w:szCs w:val="20"/>
              </w:rPr>
            </w:pPr>
          </w:p>
          <w:p w14:paraId="2A011D5D" w14:textId="77777777" w:rsidR="00E22374" w:rsidRPr="00EA39DE" w:rsidRDefault="00E22374" w:rsidP="00CB5FD8">
            <w:pPr>
              <w:spacing w:after="120"/>
              <w:contextualSpacing/>
              <w:jc w:val="center"/>
              <w:rPr>
                <w:rFonts w:ascii="Calibri" w:hAnsi="Calibri" w:cs="Calibri"/>
                <w:color w:val="2E74B5" w:themeColor="accent1" w:themeShade="BF"/>
                <w:sz w:val="20"/>
                <w:szCs w:val="20"/>
              </w:rPr>
            </w:pPr>
          </w:p>
          <w:p w14:paraId="07D037CE" w14:textId="77777777" w:rsidR="00E22374" w:rsidRPr="00EA39DE" w:rsidRDefault="00E22374" w:rsidP="00CB5FD8">
            <w:pPr>
              <w:spacing w:after="120"/>
              <w:contextualSpacing/>
              <w:jc w:val="center"/>
              <w:rPr>
                <w:rFonts w:ascii="Calibri" w:hAnsi="Calibri" w:cs="Calibri"/>
                <w:color w:val="2E74B5" w:themeColor="accent1" w:themeShade="BF"/>
                <w:sz w:val="20"/>
                <w:szCs w:val="20"/>
              </w:rPr>
            </w:pPr>
            <w:r w:rsidRPr="00EA39DE">
              <w:rPr>
                <w:rFonts w:ascii="Calibri" w:hAnsi="Calibri" w:cs="Calibri"/>
                <w:color w:val="2E74B5" w:themeColor="accent1" w:themeShade="BF"/>
                <w:sz w:val="20"/>
                <w:szCs w:val="20"/>
              </w:rPr>
              <w:t xml:space="preserve">    </w:t>
            </w:r>
          </w:p>
          <w:p w14:paraId="59F98418" w14:textId="77777777" w:rsidR="00E22374" w:rsidRPr="00EA39DE" w:rsidRDefault="00E22374" w:rsidP="00CB5FD8">
            <w:pPr>
              <w:pStyle w:val="Heading2"/>
              <w:ind w:left="-392"/>
              <w:jc w:val="center"/>
              <w:outlineLvl w:val="1"/>
              <w:rPr>
                <w:rFonts w:ascii="Calibri" w:hAnsi="Calibri" w:cs="Calibri"/>
                <w:b w:val="0"/>
                <w:bCs w:val="0"/>
                <w:i w:val="0"/>
                <w:color w:val="2E74B5" w:themeColor="accent1" w:themeShade="BF"/>
                <w:sz w:val="20"/>
                <w:szCs w:val="20"/>
              </w:rPr>
            </w:pPr>
            <w:r w:rsidRPr="00EA39DE">
              <w:rPr>
                <w:rFonts w:ascii="Calibri" w:hAnsi="Calibri" w:cs="Calibri"/>
                <w:b w:val="0"/>
                <w:i w:val="0"/>
                <w:color w:val="2E74B5" w:themeColor="accent1" w:themeShade="BF"/>
                <w:sz w:val="20"/>
                <w:szCs w:val="20"/>
              </w:rPr>
              <w:t>Ministry of Labour, Health and Social Affairs of Georgia</w:t>
            </w:r>
          </w:p>
          <w:p w14:paraId="544D77A4" w14:textId="77777777" w:rsidR="00E22374" w:rsidRPr="00EA39DE" w:rsidRDefault="00E22374" w:rsidP="00CB5FD8">
            <w:pPr>
              <w:spacing w:after="120"/>
              <w:ind w:left="-392"/>
              <w:contextualSpacing/>
              <w:jc w:val="center"/>
              <w:rPr>
                <w:rFonts w:ascii="Sylfaen" w:eastAsiaTheme="majorEastAsia" w:hAnsi="Sylfaen" w:cs="Calibri"/>
                <w:bCs/>
                <w:color w:val="2E74B5" w:themeColor="accent1" w:themeShade="BF"/>
                <w:sz w:val="20"/>
                <w:szCs w:val="20"/>
                <w:lang w:val="ka-GE"/>
              </w:rPr>
            </w:pPr>
            <w:r w:rsidRPr="00EA39DE">
              <w:rPr>
                <w:rFonts w:ascii="Calibri" w:eastAsiaTheme="majorEastAsia" w:hAnsi="Calibri" w:cs="Calibri"/>
                <w:bCs/>
                <w:color w:val="2E74B5" w:themeColor="accent1" w:themeShade="BF"/>
                <w:sz w:val="20"/>
                <w:szCs w:val="20"/>
              </w:rPr>
              <w:t>144, A. Tsereteli avenue. Tbilisi, Georgia, 0119</w:t>
            </w:r>
          </w:p>
          <w:p w14:paraId="3AF3B023" w14:textId="77777777" w:rsidR="00E22374" w:rsidRPr="00EA39DE" w:rsidRDefault="00E22374" w:rsidP="00CB5FD8">
            <w:pPr>
              <w:spacing w:after="120"/>
              <w:ind w:left="-392"/>
              <w:contextualSpacing/>
              <w:jc w:val="center"/>
              <w:rPr>
                <w:rFonts w:ascii="Calibri" w:hAnsi="Calibri" w:cs="Calibri"/>
                <w:color w:val="2E74B5" w:themeColor="accent1" w:themeShade="BF"/>
                <w:sz w:val="20"/>
                <w:szCs w:val="20"/>
              </w:rPr>
            </w:pPr>
            <w:r w:rsidRPr="00EA39DE">
              <w:rPr>
                <w:rFonts w:ascii="Calibri" w:eastAsiaTheme="majorEastAsia" w:hAnsi="Calibri" w:cs="Calibri"/>
                <w:bCs/>
                <w:color w:val="2E74B5" w:themeColor="accent1" w:themeShade="BF"/>
                <w:sz w:val="20"/>
                <w:szCs w:val="20"/>
              </w:rPr>
              <w:t>www.moh.gov.ge</w:t>
            </w:r>
          </w:p>
        </w:tc>
        <w:tc>
          <w:tcPr>
            <w:tcW w:w="4831" w:type="dxa"/>
          </w:tcPr>
          <w:p w14:paraId="31B8F539" w14:textId="77777777" w:rsidR="00E22374" w:rsidRPr="00EA39DE" w:rsidRDefault="00E22374" w:rsidP="00CB5FD8">
            <w:pPr>
              <w:spacing w:after="120"/>
              <w:contextualSpacing/>
              <w:jc w:val="center"/>
              <w:rPr>
                <w:rFonts w:ascii="Calibri" w:eastAsiaTheme="majorEastAsia" w:hAnsi="Calibri" w:cs="Calibri"/>
                <w:bCs/>
                <w:color w:val="2E74B5" w:themeColor="accent1" w:themeShade="BF"/>
                <w:sz w:val="20"/>
                <w:szCs w:val="20"/>
              </w:rPr>
            </w:pPr>
            <w:r w:rsidRPr="00EA39DE">
              <w:rPr>
                <w:rFonts w:ascii="Calibri" w:eastAsiaTheme="majorEastAsia" w:hAnsi="Calibri" w:cs="Calibri"/>
                <w:bCs/>
                <w:noProof/>
                <w:color w:val="2E74B5" w:themeColor="accent1" w:themeShade="BF"/>
                <w:sz w:val="20"/>
                <w:szCs w:val="20"/>
              </w:rPr>
              <w:drawing>
                <wp:anchor distT="0" distB="0" distL="114300" distR="114300" simplePos="0" relativeHeight="251721216" behindDoc="0" locked="0" layoutInCell="1" allowOverlap="1" wp14:anchorId="2275E550" wp14:editId="1FEB0415">
                  <wp:simplePos x="0" y="0"/>
                  <wp:positionH relativeFrom="column">
                    <wp:posOffset>866140</wp:posOffset>
                  </wp:positionH>
                  <wp:positionV relativeFrom="paragraph">
                    <wp:posOffset>91440</wp:posOffset>
                  </wp:positionV>
                  <wp:extent cx="1457325" cy="462233"/>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NCDC gamchvirvale new.png"/>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1457325" cy="46223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1FA462A0" w14:textId="77777777" w:rsidR="00E22374" w:rsidRPr="00EA39DE" w:rsidRDefault="00E22374" w:rsidP="00CB5FD8">
            <w:pPr>
              <w:spacing w:after="120"/>
              <w:contextualSpacing/>
              <w:jc w:val="center"/>
              <w:rPr>
                <w:rFonts w:ascii="Calibri" w:eastAsiaTheme="majorEastAsia" w:hAnsi="Calibri" w:cs="Calibri"/>
                <w:bCs/>
                <w:color w:val="2E74B5" w:themeColor="accent1" w:themeShade="BF"/>
                <w:sz w:val="20"/>
                <w:szCs w:val="20"/>
              </w:rPr>
            </w:pPr>
          </w:p>
          <w:p w14:paraId="00686294" w14:textId="77777777" w:rsidR="00E22374" w:rsidRPr="00EA39DE" w:rsidRDefault="00E22374" w:rsidP="00CB5FD8">
            <w:pPr>
              <w:spacing w:after="120"/>
              <w:contextualSpacing/>
              <w:jc w:val="center"/>
              <w:rPr>
                <w:rFonts w:ascii="Calibri" w:eastAsiaTheme="majorEastAsia" w:hAnsi="Calibri" w:cs="Calibri"/>
                <w:bCs/>
                <w:color w:val="2E74B5" w:themeColor="accent1" w:themeShade="BF"/>
                <w:sz w:val="20"/>
                <w:szCs w:val="20"/>
              </w:rPr>
            </w:pPr>
          </w:p>
          <w:p w14:paraId="3F9A820F" w14:textId="77777777" w:rsidR="00E22374" w:rsidRPr="00EA39DE" w:rsidRDefault="00E22374" w:rsidP="00CB5FD8">
            <w:pPr>
              <w:spacing w:after="120"/>
              <w:contextualSpacing/>
              <w:jc w:val="center"/>
              <w:rPr>
                <w:rFonts w:ascii="Calibri" w:eastAsiaTheme="majorEastAsia" w:hAnsi="Calibri" w:cs="Calibri"/>
                <w:bCs/>
                <w:color w:val="2E74B5" w:themeColor="accent1" w:themeShade="BF"/>
                <w:sz w:val="20"/>
                <w:szCs w:val="20"/>
              </w:rPr>
            </w:pPr>
            <w:r w:rsidRPr="00EA39DE">
              <w:rPr>
                <w:rFonts w:ascii="Calibri" w:eastAsiaTheme="majorEastAsia" w:hAnsi="Calibri" w:cs="Calibri"/>
                <w:bCs/>
                <w:color w:val="2E74B5" w:themeColor="accent1" w:themeShade="BF"/>
                <w:sz w:val="20"/>
                <w:szCs w:val="20"/>
              </w:rPr>
              <w:t xml:space="preserve"> </w:t>
            </w:r>
          </w:p>
          <w:p w14:paraId="257C5F6E" w14:textId="77777777" w:rsidR="00E22374" w:rsidRPr="00EA39DE" w:rsidRDefault="00E22374" w:rsidP="00CB5FD8">
            <w:pPr>
              <w:pStyle w:val="Heading2"/>
              <w:outlineLvl w:val="1"/>
              <w:rPr>
                <w:rFonts w:ascii="Calibri" w:hAnsi="Calibri" w:cs="Calibri"/>
                <w:b w:val="0"/>
                <w:bCs w:val="0"/>
                <w:i w:val="0"/>
                <w:color w:val="2E74B5" w:themeColor="accent1" w:themeShade="BF"/>
                <w:sz w:val="20"/>
                <w:szCs w:val="20"/>
              </w:rPr>
            </w:pPr>
            <w:r w:rsidRPr="00EA39DE">
              <w:rPr>
                <w:rFonts w:ascii="Calibri" w:hAnsi="Calibri" w:cs="Calibri"/>
                <w:b w:val="0"/>
                <w:i w:val="0"/>
                <w:color w:val="2E74B5" w:themeColor="accent1" w:themeShade="BF"/>
                <w:sz w:val="20"/>
                <w:szCs w:val="20"/>
              </w:rPr>
              <w:t>National Center for Disease Control and Public Health</w:t>
            </w:r>
          </w:p>
          <w:p w14:paraId="2F65C8FE" w14:textId="77777777" w:rsidR="00E22374" w:rsidRPr="00EA39DE" w:rsidRDefault="00E22374" w:rsidP="00CB5FD8">
            <w:pPr>
              <w:pStyle w:val="Heading2"/>
              <w:jc w:val="center"/>
              <w:outlineLvl w:val="1"/>
              <w:rPr>
                <w:rFonts w:ascii="Calibri" w:hAnsi="Calibri" w:cs="Calibri"/>
                <w:b w:val="0"/>
                <w:bCs w:val="0"/>
                <w:i w:val="0"/>
                <w:color w:val="2E74B5" w:themeColor="accent1" w:themeShade="BF"/>
                <w:sz w:val="20"/>
                <w:szCs w:val="20"/>
                <w:lang w:val="ka-GE"/>
              </w:rPr>
            </w:pPr>
            <w:r w:rsidRPr="00EA39DE">
              <w:rPr>
                <w:rFonts w:ascii="Calibri" w:hAnsi="Calibri" w:cs="Calibri"/>
                <w:b w:val="0"/>
                <w:i w:val="0"/>
                <w:color w:val="2E74B5" w:themeColor="accent1" w:themeShade="BF"/>
                <w:sz w:val="20"/>
                <w:szCs w:val="20"/>
              </w:rPr>
              <w:t>9, M. Asatiani street</w:t>
            </w:r>
            <w:r w:rsidRPr="00EA39DE">
              <w:rPr>
                <w:rFonts w:ascii="Calibri" w:hAnsi="Calibri" w:cs="Calibri"/>
                <w:b w:val="0"/>
                <w:i w:val="0"/>
                <w:color w:val="2E74B5" w:themeColor="accent1" w:themeShade="BF"/>
                <w:sz w:val="20"/>
                <w:szCs w:val="20"/>
                <w:lang w:val="ka-GE"/>
              </w:rPr>
              <w:t>.</w:t>
            </w:r>
            <w:r w:rsidRPr="00EA39DE">
              <w:rPr>
                <w:rFonts w:ascii="Calibri" w:hAnsi="Calibri" w:cs="Calibri"/>
                <w:b w:val="0"/>
                <w:i w:val="0"/>
                <w:color w:val="2E74B5" w:themeColor="accent1" w:themeShade="BF"/>
                <w:sz w:val="20"/>
                <w:szCs w:val="20"/>
              </w:rPr>
              <w:t xml:space="preserve"> Tbilisi, Georgia,</w:t>
            </w:r>
            <w:r w:rsidRPr="00EA39DE">
              <w:rPr>
                <w:rFonts w:ascii="Calibri" w:hAnsi="Calibri" w:cs="Calibri"/>
                <w:b w:val="0"/>
                <w:i w:val="0"/>
                <w:color w:val="2E74B5" w:themeColor="accent1" w:themeShade="BF"/>
                <w:sz w:val="20"/>
                <w:szCs w:val="20"/>
                <w:lang w:val="ka-GE"/>
              </w:rPr>
              <w:t xml:space="preserve"> 0177</w:t>
            </w:r>
          </w:p>
          <w:p w14:paraId="6EDC7D6E" w14:textId="77777777" w:rsidR="00E22374" w:rsidRPr="00EA39DE" w:rsidRDefault="00E22374" w:rsidP="00CB5FD8">
            <w:pPr>
              <w:spacing w:after="120"/>
              <w:contextualSpacing/>
              <w:jc w:val="center"/>
              <w:rPr>
                <w:rFonts w:ascii="Calibri" w:hAnsi="Calibri" w:cs="Calibri"/>
                <w:color w:val="2E74B5" w:themeColor="accent1" w:themeShade="BF"/>
                <w:sz w:val="20"/>
                <w:szCs w:val="20"/>
              </w:rPr>
            </w:pPr>
            <w:r w:rsidRPr="00EA39DE">
              <w:rPr>
                <w:rFonts w:ascii="Calibri" w:hAnsi="Calibri" w:cs="Calibri"/>
                <w:color w:val="2E74B5" w:themeColor="accent1" w:themeShade="BF"/>
                <w:sz w:val="20"/>
                <w:szCs w:val="20"/>
              </w:rPr>
              <w:t>www.ncdc.ge</w:t>
            </w:r>
          </w:p>
        </w:tc>
      </w:tr>
    </w:tbl>
    <w:p w14:paraId="3494F90C" w14:textId="77777777" w:rsidR="0096247E" w:rsidRPr="0096247E" w:rsidRDefault="0096247E" w:rsidP="008318B0">
      <w:pPr>
        <w:pStyle w:val="ListParagraph"/>
        <w:spacing w:after="200" w:line="240" w:lineRule="auto"/>
        <w:jc w:val="both"/>
        <w:rPr>
          <w:rFonts w:cs="Calibri"/>
          <w:b/>
          <w:sz w:val="20"/>
          <w:szCs w:val="20"/>
          <w:lang w:val="en-US"/>
        </w:rPr>
      </w:pPr>
    </w:p>
    <w:sectPr w:rsidR="0096247E" w:rsidRPr="0096247E" w:rsidSect="00E22374">
      <w:pgSz w:w="12240" w:h="15840"/>
      <w:pgMar w:top="1134" w:right="850" w:bottom="1134" w:left="12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17F7A2" w14:textId="77777777" w:rsidR="00783073" w:rsidRDefault="00783073" w:rsidP="00184C8E">
      <w:pPr>
        <w:spacing w:after="0" w:line="240" w:lineRule="auto"/>
      </w:pPr>
      <w:r>
        <w:separator/>
      </w:r>
    </w:p>
  </w:endnote>
  <w:endnote w:type="continuationSeparator" w:id="0">
    <w:p w14:paraId="1FAF9104" w14:textId="77777777" w:rsidR="00783073" w:rsidRDefault="00783073" w:rsidP="00184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ED48E4" w14:textId="77777777" w:rsidR="00783073" w:rsidRDefault="00783073" w:rsidP="00184C8E">
      <w:pPr>
        <w:spacing w:after="0" w:line="240" w:lineRule="auto"/>
      </w:pPr>
      <w:r>
        <w:separator/>
      </w:r>
    </w:p>
  </w:footnote>
  <w:footnote w:type="continuationSeparator" w:id="0">
    <w:p w14:paraId="2E8A085D" w14:textId="77777777" w:rsidR="00783073" w:rsidRDefault="00783073" w:rsidP="00184C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2E4CDB"/>
    <w:multiLevelType w:val="hybridMultilevel"/>
    <w:tmpl w:val="808270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3CF69F8"/>
    <w:multiLevelType w:val="hybridMultilevel"/>
    <w:tmpl w:val="00DAEFAA"/>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6F74D5"/>
    <w:multiLevelType w:val="hybridMultilevel"/>
    <w:tmpl w:val="C1E86B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C00BD0"/>
    <w:multiLevelType w:val="hybridMultilevel"/>
    <w:tmpl w:val="00DAEFAA"/>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9530C9"/>
    <w:multiLevelType w:val="multilevel"/>
    <w:tmpl w:val="9E92D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7B217A"/>
    <w:multiLevelType w:val="hybridMultilevel"/>
    <w:tmpl w:val="FE1E5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0B1CC9"/>
    <w:multiLevelType w:val="hybridMultilevel"/>
    <w:tmpl w:val="A4A4C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393822"/>
    <w:multiLevelType w:val="hybridMultilevel"/>
    <w:tmpl w:val="43C0AA9A"/>
    <w:lvl w:ilvl="0" w:tplc="04090001">
      <w:start w:val="1"/>
      <w:numFmt w:val="bullet"/>
      <w:lvlText w:val=""/>
      <w:lvlJc w:val="left"/>
      <w:pPr>
        <w:ind w:left="720" w:hanging="360"/>
      </w:pPr>
      <w:rPr>
        <w:rFonts w:ascii="Symbol" w:hAnsi="Symbol" w:hint="default"/>
      </w:rPr>
    </w:lvl>
    <w:lvl w:ilvl="1" w:tplc="6568DAB8">
      <w:numFmt w:val="bullet"/>
      <w:lvlText w:val="·"/>
      <w:lvlJc w:val="left"/>
      <w:pPr>
        <w:ind w:left="1545" w:hanging="465"/>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400CFB"/>
    <w:multiLevelType w:val="hybridMultilevel"/>
    <w:tmpl w:val="7A322DC0"/>
    <w:lvl w:ilvl="0" w:tplc="0437000F">
      <w:start w:val="1"/>
      <w:numFmt w:val="decimal"/>
      <w:lvlText w:val="%1."/>
      <w:lvlJc w:val="left"/>
      <w:pPr>
        <w:ind w:left="720" w:hanging="360"/>
      </w:pPr>
    </w:lvl>
    <w:lvl w:ilvl="1" w:tplc="04370019">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9" w15:restartNumberingAfterBreak="0">
    <w:nsid w:val="70A52F72"/>
    <w:multiLevelType w:val="hybridMultilevel"/>
    <w:tmpl w:val="2A22E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F20553"/>
    <w:multiLevelType w:val="hybridMultilevel"/>
    <w:tmpl w:val="ED20693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8"/>
  </w:num>
  <w:num w:numId="2">
    <w:abstractNumId w:val="1"/>
  </w:num>
  <w:num w:numId="3">
    <w:abstractNumId w:val="6"/>
  </w:num>
  <w:num w:numId="4">
    <w:abstractNumId w:val="4"/>
  </w:num>
  <w:num w:numId="5">
    <w:abstractNumId w:val="10"/>
  </w:num>
  <w:num w:numId="6">
    <w:abstractNumId w:val="3"/>
  </w:num>
  <w:num w:numId="7">
    <w:abstractNumId w:val="7"/>
  </w:num>
  <w:num w:numId="8">
    <w:abstractNumId w:val="9"/>
  </w:num>
  <w:num w:numId="9">
    <w:abstractNumId w:val="0"/>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98A"/>
    <w:rsid w:val="000061E4"/>
    <w:rsid w:val="00017CB3"/>
    <w:rsid w:val="00033F30"/>
    <w:rsid w:val="000510A1"/>
    <w:rsid w:val="00052C43"/>
    <w:rsid w:val="00092805"/>
    <w:rsid w:val="00097CBE"/>
    <w:rsid w:val="000A3A3C"/>
    <w:rsid w:val="000B2D0D"/>
    <w:rsid w:val="00131102"/>
    <w:rsid w:val="0017543B"/>
    <w:rsid w:val="00184C8E"/>
    <w:rsid w:val="00191412"/>
    <w:rsid w:val="001A0622"/>
    <w:rsid w:val="001B4F03"/>
    <w:rsid w:val="001B7AB5"/>
    <w:rsid w:val="00207EB1"/>
    <w:rsid w:val="00220842"/>
    <w:rsid w:val="00234E5F"/>
    <w:rsid w:val="002456AF"/>
    <w:rsid w:val="00266137"/>
    <w:rsid w:val="0027124A"/>
    <w:rsid w:val="002908AE"/>
    <w:rsid w:val="002959BB"/>
    <w:rsid w:val="002B702E"/>
    <w:rsid w:val="00330C81"/>
    <w:rsid w:val="00340E76"/>
    <w:rsid w:val="0034598E"/>
    <w:rsid w:val="00346045"/>
    <w:rsid w:val="00360AA7"/>
    <w:rsid w:val="00364717"/>
    <w:rsid w:val="003715E4"/>
    <w:rsid w:val="003857BB"/>
    <w:rsid w:val="003A0AAF"/>
    <w:rsid w:val="003A1618"/>
    <w:rsid w:val="003C7860"/>
    <w:rsid w:val="004127DD"/>
    <w:rsid w:val="004158D5"/>
    <w:rsid w:val="00421F9D"/>
    <w:rsid w:val="004354FE"/>
    <w:rsid w:val="00436A0D"/>
    <w:rsid w:val="00453778"/>
    <w:rsid w:val="00480170"/>
    <w:rsid w:val="00481816"/>
    <w:rsid w:val="004905F7"/>
    <w:rsid w:val="004D2DFD"/>
    <w:rsid w:val="004E1272"/>
    <w:rsid w:val="004F3B34"/>
    <w:rsid w:val="005239D0"/>
    <w:rsid w:val="00525A9E"/>
    <w:rsid w:val="0054098A"/>
    <w:rsid w:val="00547961"/>
    <w:rsid w:val="005A58FE"/>
    <w:rsid w:val="005D7B7E"/>
    <w:rsid w:val="005E31C9"/>
    <w:rsid w:val="005F03B7"/>
    <w:rsid w:val="005F07C2"/>
    <w:rsid w:val="005F3CCB"/>
    <w:rsid w:val="005F6DC0"/>
    <w:rsid w:val="00600266"/>
    <w:rsid w:val="00603A96"/>
    <w:rsid w:val="00606573"/>
    <w:rsid w:val="0060796B"/>
    <w:rsid w:val="006653C8"/>
    <w:rsid w:val="006660AC"/>
    <w:rsid w:val="00681C4A"/>
    <w:rsid w:val="00687468"/>
    <w:rsid w:val="006942B6"/>
    <w:rsid w:val="006B7FA3"/>
    <w:rsid w:val="006D6850"/>
    <w:rsid w:val="006D764A"/>
    <w:rsid w:val="006F5193"/>
    <w:rsid w:val="00705B16"/>
    <w:rsid w:val="00710D43"/>
    <w:rsid w:val="00755CD1"/>
    <w:rsid w:val="00783073"/>
    <w:rsid w:val="0078754A"/>
    <w:rsid w:val="007E594C"/>
    <w:rsid w:val="00806230"/>
    <w:rsid w:val="00806F7B"/>
    <w:rsid w:val="00821F6B"/>
    <w:rsid w:val="008318B0"/>
    <w:rsid w:val="008543F1"/>
    <w:rsid w:val="008552A3"/>
    <w:rsid w:val="008653F9"/>
    <w:rsid w:val="008859CF"/>
    <w:rsid w:val="008B3384"/>
    <w:rsid w:val="008B7A96"/>
    <w:rsid w:val="009046A8"/>
    <w:rsid w:val="00912DA8"/>
    <w:rsid w:val="00915E68"/>
    <w:rsid w:val="00917849"/>
    <w:rsid w:val="0092540F"/>
    <w:rsid w:val="00930385"/>
    <w:rsid w:val="009523CB"/>
    <w:rsid w:val="00961E0F"/>
    <w:rsid w:val="0096247E"/>
    <w:rsid w:val="009C44D1"/>
    <w:rsid w:val="009D7D76"/>
    <w:rsid w:val="009F4576"/>
    <w:rsid w:val="00A35548"/>
    <w:rsid w:val="00A63C1F"/>
    <w:rsid w:val="00AB7757"/>
    <w:rsid w:val="00AC2CE7"/>
    <w:rsid w:val="00B111C1"/>
    <w:rsid w:val="00B40EE5"/>
    <w:rsid w:val="00B512F8"/>
    <w:rsid w:val="00C11F1C"/>
    <w:rsid w:val="00C2077B"/>
    <w:rsid w:val="00C26139"/>
    <w:rsid w:val="00C66FBE"/>
    <w:rsid w:val="00C8119A"/>
    <w:rsid w:val="00C93CA3"/>
    <w:rsid w:val="00CB53B3"/>
    <w:rsid w:val="00CC3012"/>
    <w:rsid w:val="00CE60C2"/>
    <w:rsid w:val="00CF69DA"/>
    <w:rsid w:val="00D02F4E"/>
    <w:rsid w:val="00D06A03"/>
    <w:rsid w:val="00D17D22"/>
    <w:rsid w:val="00D324D7"/>
    <w:rsid w:val="00D84203"/>
    <w:rsid w:val="00D85967"/>
    <w:rsid w:val="00D91A63"/>
    <w:rsid w:val="00DC1246"/>
    <w:rsid w:val="00E1432B"/>
    <w:rsid w:val="00E22374"/>
    <w:rsid w:val="00E477EE"/>
    <w:rsid w:val="00E572B0"/>
    <w:rsid w:val="00E77117"/>
    <w:rsid w:val="00E96236"/>
    <w:rsid w:val="00EB0F2F"/>
    <w:rsid w:val="00EC73D4"/>
    <w:rsid w:val="00F04A36"/>
    <w:rsid w:val="00F407DE"/>
    <w:rsid w:val="00F443D0"/>
    <w:rsid w:val="00F576A9"/>
    <w:rsid w:val="00F725EC"/>
    <w:rsid w:val="00F83382"/>
    <w:rsid w:val="00F92148"/>
    <w:rsid w:val="00FA06E1"/>
    <w:rsid w:val="00FC1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286D25"/>
  <w15:docId w15:val="{944EA30B-48AE-4E74-A8E3-B0ECE2B20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1"/>
    <w:qFormat/>
    <w:rsid w:val="00E22374"/>
    <w:pPr>
      <w:widowControl w:val="0"/>
      <w:spacing w:after="0" w:line="240" w:lineRule="auto"/>
      <w:ind w:left="100"/>
      <w:outlineLvl w:val="1"/>
    </w:pPr>
    <w:rPr>
      <w:rFonts w:ascii="Times New Roman" w:eastAsia="Times New Roman" w:hAnsi="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098A"/>
    <w:pPr>
      <w:ind w:left="720"/>
      <w:contextualSpacing/>
    </w:pPr>
    <w:rPr>
      <w:lang w:val="ka-GE"/>
    </w:rPr>
  </w:style>
  <w:style w:type="paragraph" w:styleId="BalloonText">
    <w:name w:val="Balloon Text"/>
    <w:basedOn w:val="Normal"/>
    <w:link w:val="BalloonTextChar"/>
    <w:uiPriority w:val="99"/>
    <w:semiHidden/>
    <w:unhideWhenUsed/>
    <w:rsid w:val="002908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08AE"/>
    <w:rPr>
      <w:rFonts w:ascii="Segoe UI" w:hAnsi="Segoe UI" w:cs="Segoe UI"/>
      <w:sz w:val="18"/>
      <w:szCs w:val="18"/>
    </w:rPr>
  </w:style>
  <w:style w:type="character" w:styleId="Hyperlink">
    <w:name w:val="Hyperlink"/>
    <w:basedOn w:val="DefaultParagraphFont"/>
    <w:uiPriority w:val="99"/>
    <w:semiHidden/>
    <w:unhideWhenUsed/>
    <w:rsid w:val="003A0AAF"/>
    <w:rPr>
      <w:color w:val="0000FF"/>
      <w:u w:val="single"/>
    </w:rPr>
  </w:style>
  <w:style w:type="paragraph" w:styleId="NormalWeb">
    <w:name w:val="Normal (Web)"/>
    <w:basedOn w:val="Normal"/>
    <w:uiPriority w:val="99"/>
    <w:unhideWhenUsed/>
    <w:rsid w:val="003A0AAF"/>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0B2D0D"/>
    <w:pPr>
      <w:spacing w:after="0" w:line="240" w:lineRule="auto"/>
    </w:pPr>
  </w:style>
  <w:style w:type="character" w:styleId="CommentReference">
    <w:name w:val="annotation reference"/>
    <w:basedOn w:val="DefaultParagraphFont"/>
    <w:uiPriority w:val="99"/>
    <w:semiHidden/>
    <w:unhideWhenUsed/>
    <w:rsid w:val="00421F9D"/>
    <w:rPr>
      <w:sz w:val="16"/>
      <w:szCs w:val="16"/>
    </w:rPr>
  </w:style>
  <w:style w:type="paragraph" w:styleId="CommentText">
    <w:name w:val="annotation text"/>
    <w:basedOn w:val="Normal"/>
    <w:link w:val="CommentTextChar"/>
    <w:uiPriority w:val="99"/>
    <w:semiHidden/>
    <w:unhideWhenUsed/>
    <w:rsid w:val="00421F9D"/>
    <w:pPr>
      <w:spacing w:line="240" w:lineRule="auto"/>
    </w:pPr>
    <w:rPr>
      <w:sz w:val="20"/>
      <w:szCs w:val="20"/>
    </w:rPr>
  </w:style>
  <w:style w:type="character" w:customStyle="1" w:styleId="CommentTextChar">
    <w:name w:val="Comment Text Char"/>
    <w:basedOn w:val="DefaultParagraphFont"/>
    <w:link w:val="CommentText"/>
    <w:uiPriority w:val="99"/>
    <w:semiHidden/>
    <w:rsid w:val="00421F9D"/>
    <w:rPr>
      <w:sz w:val="20"/>
      <w:szCs w:val="20"/>
    </w:rPr>
  </w:style>
  <w:style w:type="paragraph" w:styleId="CommentSubject">
    <w:name w:val="annotation subject"/>
    <w:basedOn w:val="CommentText"/>
    <w:next w:val="CommentText"/>
    <w:link w:val="CommentSubjectChar"/>
    <w:uiPriority w:val="99"/>
    <w:semiHidden/>
    <w:unhideWhenUsed/>
    <w:rsid w:val="00421F9D"/>
    <w:rPr>
      <w:b/>
      <w:bCs/>
    </w:rPr>
  </w:style>
  <w:style w:type="character" w:customStyle="1" w:styleId="CommentSubjectChar">
    <w:name w:val="Comment Subject Char"/>
    <w:basedOn w:val="CommentTextChar"/>
    <w:link w:val="CommentSubject"/>
    <w:uiPriority w:val="99"/>
    <w:semiHidden/>
    <w:rsid w:val="00421F9D"/>
    <w:rPr>
      <w:b/>
      <w:bCs/>
      <w:sz w:val="20"/>
      <w:szCs w:val="20"/>
    </w:rPr>
  </w:style>
  <w:style w:type="paragraph" w:customStyle="1" w:styleId="m6142019911275026903msonospacing">
    <w:name w:val="m_6142019911275026903msonospacing"/>
    <w:basedOn w:val="Normal"/>
    <w:rsid w:val="00017C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8518987852082130518msolistparagraph">
    <w:name w:val="m_-8518987852082130518msolistparagraph"/>
    <w:basedOn w:val="Normal"/>
    <w:rsid w:val="00266137"/>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079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84C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4C8E"/>
  </w:style>
  <w:style w:type="paragraph" w:styleId="Footer">
    <w:name w:val="footer"/>
    <w:basedOn w:val="Normal"/>
    <w:link w:val="FooterChar"/>
    <w:uiPriority w:val="99"/>
    <w:unhideWhenUsed/>
    <w:rsid w:val="00184C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4C8E"/>
  </w:style>
  <w:style w:type="character" w:customStyle="1" w:styleId="Heading2Char">
    <w:name w:val="Heading 2 Char"/>
    <w:basedOn w:val="DefaultParagraphFont"/>
    <w:link w:val="Heading2"/>
    <w:uiPriority w:val="1"/>
    <w:rsid w:val="00E22374"/>
    <w:rPr>
      <w:rFonts w:ascii="Times New Roman" w:eastAsia="Times New Roman" w:hAnsi="Times New Roman"/>
      <w:b/>
      <w:bCs/>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211849">
      <w:bodyDiv w:val="1"/>
      <w:marLeft w:val="0"/>
      <w:marRight w:val="0"/>
      <w:marTop w:val="0"/>
      <w:marBottom w:val="0"/>
      <w:divBdr>
        <w:top w:val="none" w:sz="0" w:space="0" w:color="auto"/>
        <w:left w:val="none" w:sz="0" w:space="0" w:color="auto"/>
        <w:bottom w:val="none" w:sz="0" w:space="0" w:color="auto"/>
        <w:right w:val="none" w:sz="0" w:space="0" w:color="auto"/>
      </w:divBdr>
      <w:divsChild>
        <w:div w:id="1994604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500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710405">
      <w:bodyDiv w:val="1"/>
      <w:marLeft w:val="0"/>
      <w:marRight w:val="0"/>
      <w:marTop w:val="0"/>
      <w:marBottom w:val="0"/>
      <w:divBdr>
        <w:top w:val="none" w:sz="0" w:space="0" w:color="auto"/>
        <w:left w:val="none" w:sz="0" w:space="0" w:color="auto"/>
        <w:bottom w:val="none" w:sz="0" w:space="0" w:color="auto"/>
        <w:right w:val="none" w:sz="0" w:space="0" w:color="auto"/>
      </w:divBdr>
    </w:div>
    <w:div w:id="953175139">
      <w:bodyDiv w:val="1"/>
      <w:marLeft w:val="0"/>
      <w:marRight w:val="0"/>
      <w:marTop w:val="0"/>
      <w:marBottom w:val="0"/>
      <w:divBdr>
        <w:top w:val="none" w:sz="0" w:space="0" w:color="auto"/>
        <w:left w:val="none" w:sz="0" w:space="0" w:color="auto"/>
        <w:bottom w:val="none" w:sz="0" w:space="0" w:color="auto"/>
        <w:right w:val="none" w:sz="0" w:space="0" w:color="auto"/>
      </w:divBdr>
      <w:divsChild>
        <w:div w:id="987052001">
          <w:marLeft w:val="0"/>
          <w:marRight w:val="0"/>
          <w:marTop w:val="0"/>
          <w:marBottom w:val="0"/>
          <w:divBdr>
            <w:top w:val="none" w:sz="0" w:space="0" w:color="auto"/>
            <w:left w:val="none" w:sz="0" w:space="0" w:color="auto"/>
            <w:bottom w:val="none" w:sz="0" w:space="0" w:color="auto"/>
            <w:right w:val="none" w:sz="0" w:space="0" w:color="auto"/>
          </w:divBdr>
          <w:divsChild>
            <w:div w:id="1962809159">
              <w:marLeft w:val="0"/>
              <w:marRight w:val="0"/>
              <w:marTop w:val="0"/>
              <w:marBottom w:val="0"/>
              <w:divBdr>
                <w:top w:val="none" w:sz="0" w:space="0" w:color="auto"/>
                <w:left w:val="none" w:sz="0" w:space="0" w:color="auto"/>
                <w:bottom w:val="none" w:sz="0" w:space="0" w:color="auto"/>
                <w:right w:val="none" w:sz="0" w:space="0" w:color="auto"/>
              </w:divBdr>
            </w:div>
            <w:div w:id="39177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607363">
      <w:bodyDiv w:val="1"/>
      <w:marLeft w:val="0"/>
      <w:marRight w:val="0"/>
      <w:marTop w:val="0"/>
      <w:marBottom w:val="0"/>
      <w:divBdr>
        <w:top w:val="none" w:sz="0" w:space="0" w:color="auto"/>
        <w:left w:val="none" w:sz="0" w:space="0" w:color="auto"/>
        <w:bottom w:val="none" w:sz="0" w:space="0" w:color="auto"/>
        <w:right w:val="none" w:sz="0" w:space="0" w:color="auto"/>
      </w:divBdr>
    </w:div>
    <w:div w:id="1272400575">
      <w:bodyDiv w:val="1"/>
      <w:marLeft w:val="0"/>
      <w:marRight w:val="0"/>
      <w:marTop w:val="0"/>
      <w:marBottom w:val="0"/>
      <w:divBdr>
        <w:top w:val="none" w:sz="0" w:space="0" w:color="auto"/>
        <w:left w:val="none" w:sz="0" w:space="0" w:color="auto"/>
        <w:bottom w:val="none" w:sz="0" w:space="0" w:color="auto"/>
        <w:right w:val="none" w:sz="0" w:space="0" w:color="auto"/>
      </w:divBdr>
      <w:divsChild>
        <w:div w:id="14714410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25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270957">
      <w:bodyDiv w:val="1"/>
      <w:marLeft w:val="0"/>
      <w:marRight w:val="0"/>
      <w:marTop w:val="0"/>
      <w:marBottom w:val="0"/>
      <w:divBdr>
        <w:top w:val="none" w:sz="0" w:space="0" w:color="auto"/>
        <w:left w:val="none" w:sz="0" w:space="0" w:color="auto"/>
        <w:bottom w:val="none" w:sz="0" w:space="0" w:color="auto"/>
        <w:right w:val="none" w:sz="0" w:space="0" w:color="auto"/>
      </w:divBdr>
    </w:div>
    <w:div w:id="1868714611">
      <w:bodyDiv w:val="1"/>
      <w:marLeft w:val="0"/>
      <w:marRight w:val="0"/>
      <w:marTop w:val="0"/>
      <w:marBottom w:val="0"/>
      <w:divBdr>
        <w:top w:val="none" w:sz="0" w:space="0" w:color="auto"/>
        <w:left w:val="none" w:sz="0" w:space="0" w:color="auto"/>
        <w:bottom w:val="none" w:sz="0" w:space="0" w:color="auto"/>
        <w:right w:val="none" w:sz="0" w:space="0" w:color="auto"/>
      </w:divBdr>
      <w:divsChild>
        <w:div w:id="45764122">
          <w:marLeft w:val="-225"/>
          <w:marRight w:val="-225"/>
          <w:marTop w:val="0"/>
          <w:marBottom w:val="0"/>
          <w:divBdr>
            <w:top w:val="none" w:sz="0" w:space="0" w:color="auto"/>
            <w:left w:val="none" w:sz="0" w:space="0" w:color="auto"/>
            <w:bottom w:val="none" w:sz="0" w:space="0" w:color="auto"/>
            <w:right w:val="none" w:sz="0" w:space="0" w:color="auto"/>
          </w:divBdr>
          <w:divsChild>
            <w:div w:id="1428769349">
              <w:marLeft w:val="0"/>
              <w:marRight w:val="0"/>
              <w:marTop w:val="0"/>
              <w:marBottom w:val="0"/>
              <w:divBdr>
                <w:top w:val="none" w:sz="0" w:space="0" w:color="auto"/>
                <w:left w:val="none" w:sz="0" w:space="0" w:color="auto"/>
                <w:bottom w:val="none" w:sz="0" w:space="0" w:color="auto"/>
                <w:right w:val="none" w:sz="0" w:space="0" w:color="auto"/>
              </w:divBdr>
            </w:div>
            <w:div w:id="1967813917">
              <w:marLeft w:val="0"/>
              <w:marRight w:val="0"/>
              <w:marTop w:val="0"/>
              <w:marBottom w:val="0"/>
              <w:divBdr>
                <w:top w:val="none" w:sz="0" w:space="0" w:color="auto"/>
                <w:left w:val="none" w:sz="0" w:space="0" w:color="auto"/>
                <w:bottom w:val="none" w:sz="0" w:space="0" w:color="auto"/>
                <w:right w:val="none" w:sz="0" w:space="0" w:color="auto"/>
              </w:divBdr>
            </w:div>
          </w:divsChild>
        </w:div>
        <w:div w:id="1601525028">
          <w:marLeft w:val="0"/>
          <w:marRight w:val="0"/>
          <w:marTop w:val="0"/>
          <w:marBottom w:val="0"/>
          <w:divBdr>
            <w:top w:val="none" w:sz="0" w:space="0" w:color="auto"/>
            <w:left w:val="none" w:sz="0" w:space="0" w:color="auto"/>
            <w:bottom w:val="none" w:sz="0" w:space="0" w:color="auto"/>
            <w:right w:val="none" w:sz="0" w:space="0" w:color="auto"/>
          </w:divBdr>
          <w:divsChild>
            <w:div w:id="1685201878">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0.jpeg"/><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image" Target="media/image50.jpe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40.jpeg"/><Relationship Id="rId10" Type="http://schemas.openxmlformats.org/officeDocument/2006/relationships/image" Target="media/image20.jpeg"/><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Natia\AppData\Local\Microsoft\Windows\INetCache\Content.Outlook\YXCUICGU\Copy%20of%20GEO%20Govt%20co-financing%20for%20TB%20and%20HIV%202014-2018%20v01%20%20(2)%20(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HIV program financing </a:t>
            </a:r>
          </a:p>
        </c:rich>
      </c:tx>
      <c:layout>
        <c:manualLayout>
          <c:xMode val="edge"/>
          <c:yMode val="edge"/>
          <c:x val="0.29317345605771883"/>
          <c:y val="3.1746031746031744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3545219861215978"/>
          <c:y val="0.13119054562624116"/>
          <c:w val="0.6119924735435468"/>
          <c:h val="0.39139024288630586"/>
        </c:manualLayout>
      </c:layout>
      <c:barChart>
        <c:barDir val="col"/>
        <c:grouping val="clustered"/>
        <c:varyColors val="0"/>
        <c:ser>
          <c:idx val="0"/>
          <c:order val="0"/>
          <c:tx>
            <c:strRef>
              <c:f>'[Copy of GEO Govt co-financing for TB and HIV 2014-2018 v01  (2) (2).xlsx]Sheet1'!$B$30</c:f>
              <c:strCache>
                <c:ptCount val="1"/>
                <c:pt idx="0">
                  <c:v>Government expenditure, USD million</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'[Copy of GEO Govt co-financing for TB and HIV 2014-2018 v01  (2) (2).xlsx]Sheet1'!$C$29:$F$29</c:f>
              <c:strCache>
                <c:ptCount val="4"/>
                <c:pt idx="0">
                  <c:v>2014</c:v>
                </c:pt>
                <c:pt idx="1">
                  <c:v>2015</c:v>
                </c:pt>
                <c:pt idx="2">
                  <c:v>2016</c:v>
                </c:pt>
                <c:pt idx="3">
                  <c:v>Average 3 years (2014-2016)</c:v>
                </c:pt>
              </c:strCache>
            </c:strRef>
          </c:cat>
          <c:val>
            <c:numRef>
              <c:f>'[Copy of GEO Govt co-financing for TB and HIV 2014-2018 v01  (2) (2).xlsx]Sheet1'!$C$30:$F$30</c:f>
              <c:numCache>
                <c:formatCode>#,##0</c:formatCode>
                <c:ptCount val="4"/>
                <c:pt idx="0">
                  <c:v>8166782</c:v>
                </c:pt>
                <c:pt idx="1">
                  <c:v>8753885</c:v>
                </c:pt>
                <c:pt idx="2">
                  <c:v>12854448</c:v>
                </c:pt>
                <c:pt idx="3">
                  <c:v>9925038.333333334</c:v>
                </c:pt>
              </c:numCache>
            </c:numRef>
          </c:val>
        </c:ser>
        <c:ser>
          <c:idx val="1"/>
          <c:order val="1"/>
          <c:tx>
            <c:strRef>
              <c:f>'[Copy of GEO Govt co-financing for TB and HIV 2014-2018 v01  (2) (2).xlsx]Sheet1'!$B$31</c:f>
              <c:strCache>
                <c:ptCount val="1"/>
                <c:pt idx="0">
                  <c:v>TGF expenditure, USD million</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'[Copy of GEO Govt co-financing for TB and HIV 2014-2018 v01  (2) (2).xlsx]Sheet1'!$C$29:$F$29</c:f>
              <c:strCache>
                <c:ptCount val="4"/>
                <c:pt idx="0">
                  <c:v>2014</c:v>
                </c:pt>
                <c:pt idx="1">
                  <c:v>2015</c:v>
                </c:pt>
                <c:pt idx="2">
                  <c:v>2016</c:v>
                </c:pt>
                <c:pt idx="3">
                  <c:v>Average 3 years (2014-2016)</c:v>
                </c:pt>
              </c:strCache>
            </c:strRef>
          </c:cat>
          <c:val>
            <c:numRef>
              <c:f>'[Copy of GEO Govt co-financing for TB and HIV 2014-2018 v01  (2) (2).xlsx]Sheet1'!$C$31:$F$31</c:f>
              <c:numCache>
                <c:formatCode>#,##0</c:formatCode>
                <c:ptCount val="4"/>
                <c:pt idx="0">
                  <c:v>5870246</c:v>
                </c:pt>
                <c:pt idx="1">
                  <c:v>6676737</c:v>
                </c:pt>
                <c:pt idx="2">
                  <c:v>4790004</c:v>
                </c:pt>
                <c:pt idx="3">
                  <c:v>5778995.666666667</c:v>
                </c:pt>
              </c:numCache>
            </c:numRef>
          </c:val>
        </c:ser>
        <c:dLbls>
          <c:showLegendKey val="0"/>
          <c:showVal val="0"/>
          <c:showCatName val="0"/>
          <c:showSerName val="0"/>
          <c:showPercent val="0"/>
          <c:showBubbleSize val="0"/>
        </c:dLbls>
        <c:gapWidth val="269"/>
        <c:axId val="-1811888800"/>
        <c:axId val="-1811893152"/>
      </c:barChart>
      <c:lineChart>
        <c:grouping val="standard"/>
        <c:varyColors val="0"/>
        <c:ser>
          <c:idx val="2"/>
          <c:order val="2"/>
          <c:tx>
            <c:strRef>
              <c:f>'[Copy of GEO Govt co-financing for TB and HIV 2014-2018 v01  (2) (2).xlsx]Sheet1'!$B$32</c:f>
              <c:strCache>
                <c:ptCount val="1"/>
                <c:pt idx="0">
                  <c:v>Total, USD million</c:v>
                </c:pt>
              </c:strCache>
            </c:strRef>
          </c:tx>
          <c:spPr>
            <a:ln w="34925" cap="rnd">
              <a:solidFill>
                <a:schemeClr val="accent3"/>
              </a:solidFill>
              <a:round/>
            </a:ln>
            <a:effectLst>
              <a:outerShdw blurRad="57150" dist="19050" dir="5400000" algn="ctr" rotWithShape="0">
                <a:srgbClr val="000000">
                  <a:alpha val="63000"/>
                </a:srgbClr>
              </a:outerShdw>
            </a:effectLst>
          </c:spPr>
          <c:marker>
            <c:symbol val="circle"/>
            <c:size val="6"/>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w="9525">
                <a:solidFill>
                  <a:schemeClr val="accent3"/>
                </a:solidFill>
                <a:round/>
              </a:ln>
              <a:effectLst>
                <a:outerShdw blurRad="57150" dist="19050" dir="5400000" algn="ctr" rotWithShape="0">
                  <a:srgbClr val="000000">
                    <a:alpha val="63000"/>
                  </a:srgbClr>
                </a:outerShdw>
              </a:effectLst>
            </c:spPr>
          </c:marker>
          <c:cat>
            <c:strRef>
              <c:f>'[Copy of GEO Govt co-financing for TB and HIV 2014-2018 v01  (2) (2).xlsx]Sheet1'!$C$29:$F$29</c:f>
              <c:strCache>
                <c:ptCount val="4"/>
                <c:pt idx="0">
                  <c:v>2014</c:v>
                </c:pt>
                <c:pt idx="1">
                  <c:v>2015</c:v>
                </c:pt>
                <c:pt idx="2">
                  <c:v>2016</c:v>
                </c:pt>
                <c:pt idx="3">
                  <c:v>Average 3 years (2014-2016)</c:v>
                </c:pt>
              </c:strCache>
            </c:strRef>
          </c:cat>
          <c:val>
            <c:numRef>
              <c:f>'[Copy of GEO Govt co-financing for TB and HIV 2014-2018 v01  (2) (2).xlsx]Sheet1'!$C$32:$F$32</c:f>
              <c:numCache>
                <c:formatCode>#,##0</c:formatCode>
                <c:ptCount val="4"/>
                <c:pt idx="0">
                  <c:v>14037028</c:v>
                </c:pt>
                <c:pt idx="1">
                  <c:v>15430622</c:v>
                </c:pt>
                <c:pt idx="2">
                  <c:v>17644452</c:v>
                </c:pt>
                <c:pt idx="3">
                  <c:v>15704034</c:v>
                </c:pt>
              </c:numCache>
            </c:numRef>
          </c:val>
          <c:smooth val="0"/>
        </c:ser>
        <c:dLbls>
          <c:showLegendKey val="0"/>
          <c:showVal val="0"/>
          <c:showCatName val="0"/>
          <c:showSerName val="0"/>
          <c:showPercent val="0"/>
          <c:showBubbleSize val="0"/>
        </c:dLbls>
        <c:marker val="1"/>
        <c:smooth val="0"/>
        <c:axId val="-1811888800"/>
        <c:axId val="-1811893152"/>
      </c:lineChart>
      <c:catAx>
        <c:axId val="-1811888800"/>
        <c:scaling>
          <c:orientation val="minMax"/>
        </c:scaling>
        <c:delete val="0"/>
        <c:axPos val="b"/>
        <c:numFmt formatCode="General" sourceLinked="0"/>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11893152"/>
        <c:crosses val="autoZero"/>
        <c:auto val="1"/>
        <c:lblAlgn val="ctr"/>
        <c:lblOffset val="100"/>
        <c:noMultiLvlLbl val="0"/>
      </c:catAx>
      <c:valAx>
        <c:axId val="-18118931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a:t>Total program expenditure</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1188880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Financing for TB programs </a:t>
            </a:r>
          </a:p>
        </c:rich>
      </c:tx>
      <c:layout>
        <c:manualLayout>
          <c:xMode val="edge"/>
          <c:yMode val="edge"/>
          <c:x val="0.42547106364179721"/>
          <c:y val="3.2085561497326207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31873644660396833"/>
          <c:y val="0.13647786430011166"/>
          <c:w val="0.64760060368006278"/>
          <c:h val="0.43176106784994417"/>
        </c:manualLayout>
      </c:layout>
      <c:barChart>
        <c:barDir val="col"/>
        <c:grouping val="clustered"/>
        <c:varyColors val="0"/>
        <c:ser>
          <c:idx val="0"/>
          <c:order val="0"/>
          <c:tx>
            <c:strRef>
              <c:f>'[Copy of GEO Govt co-financing for TB and HIV 2014-2018 v01  (2) (2).xlsx]Sheet1'!$B$24</c:f>
              <c:strCache>
                <c:ptCount val="1"/>
                <c:pt idx="0">
                  <c:v>Government expenditure, USD million</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'[Copy of GEO Govt co-financing for TB and HIV 2014-2018 v01  (2) (2).xlsx]Sheet1'!$C$23:$F$23</c:f>
              <c:strCache>
                <c:ptCount val="4"/>
                <c:pt idx="0">
                  <c:v>2014</c:v>
                </c:pt>
                <c:pt idx="1">
                  <c:v>2015</c:v>
                </c:pt>
                <c:pt idx="2">
                  <c:v>2016</c:v>
                </c:pt>
                <c:pt idx="3">
                  <c:v>Average 3 years (2014-2016)</c:v>
                </c:pt>
              </c:strCache>
            </c:strRef>
          </c:cat>
          <c:val>
            <c:numRef>
              <c:f>'[Copy of GEO Govt co-financing for TB and HIV 2014-2018 v01  (2) (2).xlsx]Sheet1'!$C$24:$F$24</c:f>
              <c:numCache>
                <c:formatCode>#,##0</c:formatCode>
                <c:ptCount val="4"/>
                <c:pt idx="0">
                  <c:v>8980010</c:v>
                </c:pt>
                <c:pt idx="1">
                  <c:v>6290627</c:v>
                </c:pt>
                <c:pt idx="2">
                  <c:v>6426761</c:v>
                </c:pt>
                <c:pt idx="3">
                  <c:v>7232466</c:v>
                </c:pt>
              </c:numCache>
            </c:numRef>
          </c:val>
        </c:ser>
        <c:ser>
          <c:idx val="1"/>
          <c:order val="1"/>
          <c:tx>
            <c:strRef>
              <c:f>'[Copy of GEO Govt co-financing for TB and HIV 2014-2018 v01  (2) (2).xlsx]Sheet1'!$B$25</c:f>
              <c:strCache>
                <c:ptCount val="1"/>
                <c:pt idx="0">
                  <c:v>TGF expenditure, USD million</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'[Copy of GEO Govt co-financing for TB and HIV 2014-2018 v01  (2) (2).xlsx]Sheet1'!$C$23:$F$23</c:f>
              <c:strCache>
                <c:ptCount val="4"/>
                <c:pt idx="0">
                  <c:v>2014</c:v>
                </c:pt>
                <c:pt idx="1">
                  <c:v>2015</c:v>
                </c:pt>
                <c:pt idx="2">
                  <c:v>2016</c:v>
                </c:pt>
                <c:pt idx="3">
                  <c:v>Average 3 years (2014-2016)</c:v>
                </c:pt>
              </c:strCache>
            </c:strRef>
          </c:cat>
          <c:val>
            <c:numRef>
              <c:f>'[Copy of GEO Govt co-financing for TB and HIV 2014-2018 v01  (2) (2).xlsx]Sheet1'!$C$25:$F$25</c:f>
              <c:numCache>
                <c:formatCode>#,##0</c:formatCode>
                <c:ptCount val="4"/>
                <c:pt idx="0">
                  <c:v>5210719</c:v>
                </c:pt>
                <c:pt idx="1">
                  <c:v>1568939</c:v>
                </c:pt>
                <c:pt idx="2">
                  <c:v>2924564</c:v>
                </c:pt>
                <c:pt idx="3">
                  <c:v>3234740.6666666665</c:v>
                </c:pt>
              </c:numCache>
            </c:numRef>
          </c:val>
        </c:ser>
        <c:dLbls>
          <c:showLegendKey val="0"/>
          <c:showVal val="0"/>
          <c:showCatName val="0"/>
          <c:showSerName val="0"/>
          <c:showPercent val="0"/>
          <c:showBubbleSize val="0"/>
        </c:dLbls>
        <c:gapWidth val="247"/>
        <c:axId val="-1820939200"/>
        <c:axId val="-1820936480"/>
      </c:barChart>
      <c:lineChart>
        <c:grouping val="standard"/>
        <c:varyColors val="0"/>
        <c:ser>
          <c:idx val="2"/>
          <c:order val="2"/>
          <c:tx>
            <c:strRef>
              <c:f>'[Copy of GEO Govt co-financing for TB and HIV 2014-2018 v01  (2) (2).xlsx]Sheet1'!$B$26</c:f>
              <c:strCache>
                <c:ptCount val="1"/>
                <c:pt idx="0">
                  <c:v>Total, USD million</c:v>
                </c:pt>
              </c:strCache>
            </c:strRef>
          </c:tx>
          <c:spPr>
            <a:ln w="34925" cap="rnd">
              <a:solidFill>
                <a:schemeClr val="accent3"/>
              </a:solidFill>
              <a:round/>
            </a:ln>
            <a:effectLst>
              <a:outerShdw blurRad="57150" dist="19050" dir="5400000" algn="ctr" rotWithShape="0">
                <a:srgbClr val="000000">
                  <a:alpha val="63000"/>
                </a:srgbClr>
              </a:outerShdw>
            </a:effectLst>
          </c:spPr>
          <c:marker>
            <c:symbol val="none"/>
          </c:marker>
          <c:cat>
            <c:strRef>
              <c:f>'[Copy of GEO Govt co-financing for TB and HIV 2014-2018 v01  (2) (2).xlsx]Sheet1'!$C$23:$F$23</c:f>
              <c:strCache>
                <c:ptCount val="4"/>
                <c:pt idx="0">
                  <c:v>2014</c:v>
                </c:pt>
                <c:pt idx="1">
                  <c:v>2015</c:v>
                </c:pt>
                <c:pt idx="2">
                  <c:v>2016</c:v>
                </c:pt>
                <c:pt idx="3">
                  <c:v>Average 3 years (2014-2016)</c:v>
                </c:pt>
              </c:strCache>
            </c:strRef>
          </c:cat>
          <c:val>
            <c:numRef>
              <c:f>'[Copy of GEO Govt co-financing for TB and HIV 2014-2018 v01  (2) (2).xlsx]Sheet1'!$C$26:$F$26</c:f>
              <c:numCache>
                <c:formatCode>#,##0</c:formatCode>
                <c:ptCount val="4"/>
                <c:pt idx="0">
                  <c:v>14190729</c:v>
                </c:pt>
                <c:pt idx="1">
                  <c:v>7859566</c:v>
                </c:pt>
                <c:pt idx="2">
                  <c:v>9351325</c:v>
                </c:pt>
                <c:pt idx="3">
                  <c:v>10467206.666666666</c:v>
                </c:pt>
              </c:numCache>
            </c:numRef>
          </c:val>
          <c:smooth val="0"/>
        </c:ser>
        <c:dLbls>
          <c:showLegendKey val="0"/>
          <c:showVal val="0"/>
          <c:showCatName val="0"/>
          <c:showSerName val="0"/>
          <c:showPercent val="0"/>
          <c:showBubbleSize val="0"/>
        </c:dLbls>
        <c:marker val="1"/>
        <c:smooth val="0"/>
        <c:axId val="-1820939200"/>
        <c:axId val="-1820936480"/>
      </c:lineChart>
      <c:catAx>
        <c:axId val="-1820939200"/>
        <c:scaling>
          <c:orientation val="minMax"/>
        </c:scaling>
        <c:delete val="0"/>
        <c:axPos val="b"/>
        <c:numFmt formatCode="General" sourceLinked="0"/>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20936480"/>
        <c:crosses val="autoZero"/>
        <c:auto val="1"/>
        <c:lblAlgn val="ctr"/>
        <c:lblOffset val="100"/>
        <c:noMultiLvlLbl val="0"/>
      </c:catAx>
      <c:valAx>
        <c:axId val="-18209364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a:t>Total Program expenditures</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2093920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5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5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2F224-2A6A-4525-AE96-4C43516FA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1265</Words>
  <Characters>7211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Nana Kavtaradze</cp:lastModifiedBy>
  <cp:revision>5</cp:revision>
  <cp:lastPrinted>2017-11-02T09:34:00Z</cp:lastPrinted>
  <dcterms:created xsi:type="dcterms:W3CDTF">2017-11-27T15:08:00Z</dcterms:created>
  <dcterms:modified xsi:type="dcterms:W3CDTF">2017-11-27T15:28:00Z</dcterms:modified>
</cp:coreProperties>
</file>