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BA7" w:rsidRPr="007C17A7" w:rsidRDefault="00BB2BA7" w:rsidP="00BB2BA7">
      <w:pPr>
        <w:shd w:val="clear" w:color="auto" w:fill="FFFFFF" w:themeFill="background1"/>
        <w:spacing w:after="0" w:line="240" w:lineRule="auto"/>
        <w:rPr>
          <w:rFonts w:ascii="Calibri" w:hAnsi="Calibri" w:cs="Calibri"/>
          <w:b/>
          <w:bCs/>
          <w:sz w:val="24"/>
          <w:szCs w:val="24"/>
        </w:rPr>
      </w:pPr>
      <w:r w:rsidRPr="00624570">
        <w:rPr>
          <w:rFonts w:ascii="Calibri" w:eastAsiaTheme="majorEastAsia" w:hAnsi="Calibri" w:cs="Calibri"/>
          <w:b/>
          <w:bCs/>
          <w:i/>
          <w:noProof/>
          <w:color w:val="2E74B5" w:themeColor="accent1" w:themeShade="BF"/>
        </w:rPr>
        <w:drawing>
          <wp:anchor distT="0" distB="0" distL="114300" distR="114300" simplePos="0" relativeHeight="251664384" behindDoc="0" locked="0" layoutInCell="1" allowOverlap="1" wp14:anchorId="2D1F3BC2" wp14:editId="22445ADE">
            <wp:simplePos x="0" y="0"/>
            <wp:positionH relativeFrom="column">
              <wp:posOffset>5174615</wp:posOffset>
            </wp:positionH>
            <wp:positionV relativeFrom="paragraph">
              <wp:posOffset>-270510</wp:posOffset>
            </wp:positionV>
            <wp:extent cx="1504950" cy="611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CDC gamchvirvale new.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504950" cy="61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24570">
        <w:rPr>
          <w:rFonts w:asciiTheme="majorHAnsi" w:eastAsiaTheme="majorEastAsia" w:hAnsiTheme="majorHAnsi" w:cstheme="majorBidi"/>
          <w:b/>
          <w:bCs/>
          <w:i/>
          <w:noProof/>
          <w:color w:val="2E74B5" w:themeColor="accent1" w:themeShade="BF"/>
          <w:sz w:val="26"/>
          <w:szCs w:val="26"/>
        </w:rPr>
        <w:drawing>
          <wp:anchor distT="0" distB="0" distL="114300" distR="114300" simplePos="0" relativeHeight="251663360" behindDoc="0" locked="0" layoutInCell="1" allowOverlap="1" wp14:anchorId="335EC4E0" wp14:editId="55B39120">
            <wp:simplePos x="0" y="0"/>
            <wp:positionH relativeFrom="column">
              <wp:posOffset>107315</wp:posOffset>
            </wp:positionH>
            <wp:positionV relativeFrom="paragraph">
              <wp:posOffset>-288643</wp:posOffset>
            </wp:positionV>
            <wp:extent cx="1600200" cy="632813"/>
            <wp:effectExtent l="0" t="0" r="0" b="0"/>
            <wp:wrapNone/>
            <wp:docPr id="8" name="Picture 8" descr="F:\SCRC შეხვედრისთვის 7.11.2017\Briefs\New new briefs\MOH 1 Logo-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RC შეხვედრისთვის 7.11.2017\Briefs\New new briefs\MOH 1 Logo-EN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7351" cy="64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B2BA7" w:rsidRDefault="00BB2BA7" w:rsidP="00BB2BA7">
      <w:pPr>
        <w:pStyle w:val="Heading2"/>
        <w:rPr>
          <w:rFonts w:ascii="Calibri" w:eastAsiaTheme="majorEastAsia" w:hAnsi="Calibri" w:cs="Calibri"/>
          <w:b w:val="0"/>
          <w:bCs w:val="0"/>
          <w:i w:val="0"/>
          <w:color w:val="2E74B5" w:themeColor="accent1" w:themeShade="BF"/>
        </w:rPr>
      </w:pPr>
      <w:r>
        <w:rPr>
          <w:rFonts w:ascii="Calibri" w:eastAsiaTheme="minorEastAsia" w:hAnsi="Calibri" w:cs="Calibri"/>
        </w:rPr>
        <w:t xml:space="preserve">     </w:t>
      </w:r>
      <w:r w:rsidRPr="00624570">
        <w:rPr>
          <w:rFonts w:ascii="Calibri" w:eastAsiaTheme="majorEastAsia" w:hAnsi="Calibri" w:cs="Calibri"/>
          <w:b w:val="0"/>
          <w:bCs w:val="0"/>
          <w:i w:val="0"/>
          <w:color w:val="2E74B5" w:themeColor="accent1" w:themeShade="BF"/>
        </w:rPr>
        <w:t xml:space="preserve"> </w:t>
      </w:r>
      <w:r w:rsidRPr="00624570">
        <w:rPr>
          <w:rFonts w:ascii="Calibri" w:eastAsiaTheme="majorEastAsia" w:hAnsi="Calibri" w:cs="Calibri"/>
          <w:b w:val="0"/>
          <w:bCs w:val="0"/>
          <w:i w:val="0"/>
          <w:color w:val="2E74B5" w:themeColor="accent1" w:themeShade="BF"/>
          <w:lang w:val="ka-GE"/>
        </w:rPr>
        <w:t xml:space="preserve"> </w:t>
      </w:r>
      <w:r w:rsidRPr="00624570">
        <w:rPr>
          <w:rFonts w:ascii="Calibri" w:eastAsiaTheme="majorEastAsia" w:hAnsi="Calibri" w:cs="Calibri"/>
          <w:b w:val="0"/>
          <w:bCs w:val="0"/>
          <w:i w:val="0"/>
          <w:color w:val="2E74B5" w:themeColor="accent1" w:themeShade="BF"/>
        </w:rPr>
        <w:t xml:space="preserve">  </w:t>
      </w:r>
      <w:r>
        <w:rPr>
          <w:rFonts w:ascii="Calibri" w:eastAsiaTheme="majorEastAsia" w:hAnsi="Calibri" w:cs="Calibri"/>
          <w:b w:val="0"/>
          <w:bCs w:val="0"/>
          <w:i w:val="0"/>
          <w:color w:val="2E74B5" w:themeColor="accent1" w:themeShade="BF"/>
        </w:rPr>
        <w:t xml:space="preserve">      </w:t>
      </w:r>
      <w:r w:rsidRPr="00624570">
        <w:rPr>
          <w:rFonts w:ascii="Calibri" w:eastAsiaTheme="majorEastAsia" w:hAnsi="Calibri" w:cs="Calibri"/>
          <w:b w:val="0"/>
          <w:bCs w:val="0"/>
          <w:i w:val="0"/>
          <w:color w:val="2E74B5" w:themeColor="accent1" w:themeShade="BF"/>
        </w:rPr>
        <w:t xml:space="preserve">  </w:t>
      </w:r>
      <w:r w:rsidRPr="00624570">
        <w:rPr>
          <w:rFonts w:ascii="Calibri" w:eastAsiaTheme="majorEastAsia" w:hAnsi="Calibri" w:cs="Calibri"/>
          <w:b w:val="0"/>
          <w:bCs w:val="0"/>
          <w:i w:val="0"/>
          <w:color w:val="2E74B5" w:themeColor="accent1" w:themeShade="BF"/>
          <w:lang w:val="ka-GE"/>
        </w:rPr>
        <w:t xml:space="preserve">          </w:t>
      </w:r>
      <w:r w:rsidRPr="00624570">
        <w:rPr>
          <w:rFonts w:asciiTheme="minorHAnsi" w:eastAsiaTheme="majorEastAsia" w:hAnsiTheme="minorHAnsi" w:cs="Calibri"/>
          <w:b w:val="0"/>
          <w:bCs w:val="0"/>
          <w:i w:val="0"/>
          <w:color w:val="2E74B5" w:themeColor="accent1" w:themeShade="BF"/>
          <w:lang w:val="ka-GE"/>
        </w:rPr>
        <w:tab/>
      </w:r>
      <w:r>
        <w:rPr>
          <w:rFonts w:asciiTheme="minorHAnsi" w:eastAsiaTheme="majorEastAsia" w:hAnsiTheme="minorHAnsi" w:cs="Calibri"/>
          <w:b w:val="0"/>
          <w:bCs w:val="0"/>
          <w:i w:val="0"/>
          <w:color w:val="2E74B5" w:themeColor="accent1" w:themeShade="BF"/>
        </w:rPr>
        <w:t xml:space="preserve">                   </w:t>
      </w:r>
      <w:r w:rsidRPr="00624570">
        <w:rPr>
          <w:rFonts w:asciiTheme="minorHAnsi" w:eastAsiaTheme="majorEastAsia" w:hAnsiTheme="minorHAnsi" w:cs="Calibri"/>
          <w:b w:val="0"/>
          <w:bCs w:val="0"/>
          <w:i w:val="0"/>
          <w:color w:val="2E74B5" w:themeColor="accent1" w:themeShade="BF"/>
          <w:lang w:val="ka-GE"/>
        </w:rPr>
        <w:tab/>
      </w:r>
      <w:r>
        <w:rPr>
          <w:rFonts w:asciiTheme="minorHAnsi" w:eastAsiaTheme="majorEastAsia" w:hAnsiTheme="minorHAnsi" w:cs="Calibri"/>
          <w:b w:val="0"/>
          <w:bCs w:val="0"/>
          <w:i w:val="0"/>
          <w:color w:val="2E74B5" w:themeColor="accent1" w:themeShade="BF"/>
        </w:rPr>
        <w:t xml:space="preserve">                 </w:t>
      </w:r>
      <w:r w:rsidRPr="00624570">
        <w:rPr>
          <w:rFonts w:ascii="Calibri" w:eastAsiaTheme="majorEastAsia" w:hAnsi="Calibri" w:cs="Calibri"/>
          <w:b w:val="0"/>
          <w:bCs w:val="0"/>
          <w:i w:val="0"/>
          <w:color w:val="2E74B5" w:themeColor="accent1" w:themeShade="BF"/>
          <w:lang w:val="ka-GE"/>
        </w:rPr>
        <w:t xml:space="preserve">  </w:t>
      </w:r>
      <w:r w:rsidRPr="00624570">
        <w:rPr>
          <w:rFonts w:ascii="Calibri" w:eastAsiaTheme="majorEastAsia" w:hAnsi="Calibri" w:cs="Calibri"/>
          <w:b w:val="0"/>
          <w:bCs w:val="0"/>
          <w:i w:val="0"/>
          <w:color w:val="2E74B5" w:themeColor="accent1" w:themeShade="BF"/>
        </w:rPr>
        <w:t xml:space="preserve">   </w:t>
      </w:r>
    </w:p>
    <w:p w:rsidR="00BB2BA7" w:rsidRDefault="00BB2BA7" w:rsidP="00BB2BA7">
      <w:pPr>
        <w:pStyle w:val="Heading2"/>
        <w:jc w:val="right"/>
        <w:rPr>
          <w:rFonts w:ascii="Calibri" w:eastAsiaTheme="majorEastAsia" w:hAnsi="Calibri" w:cs="Calibri"/>
          <w:bCs w:val="0"/>
          <w:i w:val="0"/>
          <w:color w:val="1F4E79" w:themeColor="accent1" w:themeShade="80"/>
          <w:sz w:val="36"/>
          <w:szCs w:val="36"/>
        </w:rPr>
      </w:pPr>
    </w:p>
    <w:p w:rsidR="00BB2BA7" w:rsidRPr="00BB2BA7" w:rsidRDefault="00BB2BA7" w:rsidP="00BB2BA7">
      <w:pPr>
        <w:pStyle w:val="Heading2"/>
        <w:jc w:val="right"/>
        <w:rPr>
          <w:rFonts w:ascii="Calibri" w:eastAsiaTheme="majorEastAsia" w:hAnsi="Calibri" w:cs="Calibri"/>
          <w:bCs w:val="0"/>
          <w:i w:val="0"/>
          <w:color w:val="2E74B5" w:themeColor="accent1" w:themeShade="BF"/>
          <w:sz w:val="32"/>
          <w:szCs w:val="32"/>
        </w:rPr>
      </w:pPr>
      <w:r w:rsidRPr="00BB2BA7">
        <w:rPr>
          <w:rFonts w:ascii="Calibri" w:eastAsiaTheme="majorEastAsia" w:hAnsi="Calibri" w:cs="Calibri"/>
          <w:bCs w:val="0"/>
          <w:i w:val="0"/>
          <w:color w:val="2E74B5" w:themeColor="accent1" w:themeShade="BF"/>
          <w:sz w:val="36"/>
          <w:szCs w:val="36"/>
        </w:rPr>
        <w:t>GEORGIA</w:t>
      </w:r>
      <w:r w:rsidRPr="00BB2BA7">
        <w:rPr>
          <w:rFonts w:ascii="Calibri" w:eastAsiaTheme="majorEastAsia" w:hAnsi="Calibri" w:cs="Calibri"/>
          <w:bCs w:val="0"/>
          <w:color w:val="2E74B5" w:themeColor="accent1" w:themeShade="BF"/>
          <w:sz w:val="32"/>
          <w:szCs w:val="32"/>
        </w:rPr>
        <w:t xml:space="preserve"> </w:t>
      </w:r>
      <w:r w:rsidRPr="00BB2BA7">
        <w:rPr>
          <w:rFonts w:ascii="Calibri" w:eastAsiaTheme="majorEastAsia" w:hAnsi="Calibri" w:cs="Calibri"/>
          <w:bCs w:val="0"/>
          <w:color w:val="2E74B5" w:themeColor="accent1" w:themeShade="BF"/>
          <w:sz w:val="36"/>
          <w:szCs w:val="36"/>
        </w:rPr>
        <w:t>Brief</w:t>
      </w:r>
    </w:p>
    <w:p w:rsidR="00BB2BA7" w:rsidRPr="007C17A7" w:rsidRDefault="00BB2BA7" w:rsidP="00BB2BA7">
      <w:pPr>
        <w:shd w:val="clear" w:color="auto" w:fill="FFFFFF" w:themeFill="background1"/>
        <w:spacing w:after="0" w:line="240" w:lineRule="auto"/>
        <w:rPr>
          <w:rFonts w:ascii="Calibri" w:hAnsi="Calibri" w:cs="Calibri"/>
          <w:b/>
          <w:bCs/>
          <w:sz w:val="24"/>
          <w:szCs w:val="24"/>
        </w:rPr>
      </w:pPr>
      <w:r w:rsidRPr="007C17A7">
        <w:rPr>
          <w:rFonts w:ascii="Calibri" w:hAnsi="Calibri" w:cs="Calibri"/>
          <w:b/>
          <w:bCs/>
          <w:noProof/>
          <w:sz w:val="24"/>
          <w:szCs w:val="24"/>
        </w:rPr>
        <mc:AlternateContent>
          <mc:Choice Requires="wps">
            <w:drawing>
              <wp:anchor distT="0" distB="0" distL="114300" distR="114300" simplePos="0" relativeHeight="251662336" behindDoc="0" locked="0" layoutInCell="1" allowOverlap="1" wp14:anchorId="64D36AF7" wp14:editId="1DBB669D">
                <wp:simplePos x="0" y="0"/>
                <wp:positionH relativeFrom="margin">
                  <wp:align>right</wp:align>
                </wp:positionH>
                <wp:positionV relativeFrom="paragraph">
                  <wp:posOffset>26035</wp:posOffset>
                </wp:positionV>
                <wp:extent cx="6667500" cy="790575"/>
                <wp:effectExtent l="0" t="0" r="19050" b="28575"/>
                <wp:wrapNone/>
                <wp:docPr id="12" name="Round Single Corner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0" cy="790575"/>
                        </a:xfrm>
                        <a:prstGeom prst="round1Rect">
                          <a:avLst>
                            <a:gd name="adj" fmla="val 0"/>
                          </a:avLst>
                        </a:prstGeom>
                        <a:solidFill>
                          <a:srgbClr val="4F81BD"/>
                        </a:solidFill>
                        <a:ln w="25400" cap="flat" cmpd="sng" algn="ctr">
                          <a:solidFill>
                            <a:srgbClr val="4F81BD">
                              <a:shade val="50000"/>
                            </a:srgbClr>
                          </a:solidFill>
                          <a:prstDash val="solid"/>
                        </a:ln>
                        <a:effectLst/>
                      </wps:spPr>
                      <wps:txbx>
                        <w:txbxContent>
                          <w:p w:rsidR="00BB2BA7" w:rsidRDefault="00BB2BA7" w:rsidP="00BB2BA7">
                            <w:pPr>
                              <w:spacing w:after="120" w:line="240" w:lineRule="auto"/>
                              <w:jc w:val="center"/>
                            </w:pPr>
                            <w:r w:rsidRPr="00A12185">
                              <w:rPr>
                                <w:b/>
                                <w:color w:val="FFFFFF" w:themeColor="background1"/>
                                <w:sz w:val="44"/>
                                <w:szCs w:val="44"/>
                              </w:rPr>
                              <w:t>Tobacco Control in Georgia</w:t>
                            </w:r>
                            <w:r>
                              <w:rPr>
                                <w:b/>
                                <w:color w:val="FFFFFF" w:themeColor="background1"/>
                                <w:sz w:val="44"/>
                                <w:szCs w:val="4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36AF7" id="Round Single Corner Rectangle 12" o:spid="_x0000_s1026" style="position:absolute;margin-left:473.8pt;margin-top:2.05pt;width:525pt;height:62.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6667500,790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" adj="-11796480,,5400" path="m,l6667500,r,l6667500,790575,,790575,,xe" fillcolor="#4f81bd" strokecolor="#385d8a" strokeweight="2pt">
                <v:stroke joinstyle="miter"/>
                <v:formulas/>
                <v:path arrowok="t" o:connecttype="custom" o:connectlocs="0,0;6667500,0;6667500,0;6667500,790575;0,790575;0,0" o:connectangles="0,0,0,0,0,0" textboxrect="0,0,6667500,790575"/>
                <v:textbox>
                  <w:txbxContent>
                    <w:p w:rsidR="00BB2BA7" w:rsidRDefault="00BB2BA7" w:rsidP="00BB2BA7">
                      <w:pPr>
                        <w:spacing w:after="120" w:line="240" w:lineRule="auto"/>
                        <w:jc w:val="center"/>
                      </w:pPr>
                      <w:r w:rsidRPr="00A12185">
                        <w:rPr>
                          <w:b/>
                          <w:color w:val="FFFFFF" w:themeColor="background1"/>
                          <w:sz w:val="44"/>
                          <w:szCs w:val="44"/>
                        </w:rPr>
                        <w:t>Tobacco Control in Georgia</w:t>
                      </w:r>
                      <w:r>
                        <w:rPr>
                          <w:b/>
                          <w:color w:val="FFFFFF" w:themeColor="background1"/>
                          <w:sz w:val="44"/>
                          <w:szCs w:val="44"/>
                        </w:rPr>
                        <w:t xml:space="preserve"> </w:t>
                      </w:r>
                    </w:p>
                  </w:txbxContent>
                </v:textbox>
                <w10:wrap anchorx="margin"/>
              </v:shape>
            </w:pict>
          </mc:Fallback>
        </mc:AlternateContent>
      </w:r>
    </w:p>
    <w:p w:rsidR="002F276E" w:rsidRPr="00891E52" w:rsidRDefault="002F276E" w:rsidP="002F276E">
      <w:pPr>
        <w:spacing w:after="120" w:line="240" w:lineRule="auto"/>
        <w:jc w:val="both"/>
        <w:rPr>
          <w:sz w:val="24"/>
          <w:szCs w:val="24"/>
        </w:rPr>
      </w:pPr>
      <w:r w:rsidRPr="00891E52">
        <w:rPr>
          <w:sz w:val="24"/>
          <w:szCs w:val="24"/>
        </w:rPr>
        <w:t xml:space="preserve">Georgia is a party to the WHO Framework Convention on Tobacco Control since 2006 and, thus, is committed to implement comprehensive tobacco control measures, including some of the time-bound WHO FCTC articles, the implementation deadline of which has been already breached. </w:t>
      </w:r>
    </w:p>
    <w:p w:rsidR="00BB2BA7" w:rsidRDefault="00BB2BA7" w:rsidP="002F276E">
      <w:pPr>
        <w:spacing w:after="120" w:line="240" w:lineRule="auto"/>
        <w:jc w:val="both"/>
        <w:rPr>
          <w:sz w:val="24"/>
          <w:szCs w:val="24"/>
        </w:rPr>
      </w:pPr>
    </w:p>
    <w:p w:rsidR="002F276E" w:rsidRPr="00891E52" w:rsidRDefault="002F276E" w:rsidP="002F276E">
      <w:pPr>
        <w:spacing w:after="120" w:line="240" w:lineRule="auto"/>
        <w:jc w:val="both"/>
        <w:rPr>
          <w:sz w:val="24"/>
          <w:szCs w:val="24"/>
        </w:rPr>
      </w:pPr>
      <w:r w:rsidRPr="00891E52">
        <w:rPr>
          <w:sz w:val="24"/>
          <w:szCs w:val="24"/>
        </w:rPr>
        <w:t xml:space="preserve">Tobacco control is an important aspect for Georgia’s EU integration process. One of the obligations under the EU Association Agreement signed in 2014, is effective implementation of the international agreements in the field of health, that are recognized by the parties, namely, the International Health Regulations and the WHO FCTC. </w:t>
      </w:r>
    </w:p>
    <w:p w:rsidR="00F56023" w:rsidRPr="00891E52" w:rsidRDefault="00F56023" w:rsidP="00BD50ED">
      <w:pPr>
        <w:spacing w:after="120" w:line="240" w:lineRule="auto"/>
        <w:jc w:val="both"/>
        <w:rPr>
          <w:sz w:val="24"/>
          <w:szCs w:val="24"/>
        </w:rPr>
      </w:pPr>
      <w:r w:rsidRPr="00891E52">
        <w:rPr>
          <w:sz w:val="24"/>
          <w:szCs w:val="24"/>
        </w:rPr>
        <w:t xml:space="preserve">Georgia has one of the highest smoking prevalence among the countries of World Health Organization European Region.  According to the STEPS </w:t>
      </w:r>
      <w:r w:rsidR="00BD50ED" w:rsidRPr="00891E52">
        <w:rPr>
          <w:sz w:val="24"/>
          <w:szCs w:val="24"/>
        </w:rPr>
        <w:t xml:space="preserve">2010 and </w:t>
      </w:r>
      <w:r w:rsidRPr="00891E52">
        <w:rPr>
          <w:sz w:val="24"/>
          <w:szCs w:val="24"/>
        </w:rPr>
        <w:t xml:space="preserve">2016 results </w:t>
      </w:r>
      <w:r w:rsidR="00BD50ED" w:rsidRPr="00891E52">
        <w:rPr>
          <w:sz w:val="24"/>
          <w:szCs w:val="24"/>
        </w:rPr>
        <w:t xml:space="preserve">smoking prevalence has increasing trend; </w:t>
      </w:r>
      <w:r w:rsidRPr="00891E52">
        <w:rPr>
          <w:sz w:val="24"/>
          <w:szCs w:val="24"/>
        </w:rPr>
        <w:t xml:space="preserve">33% of Georgian adult population are current smokers; among them about 57% are men and 7% are women. </w:t>
      </w:r>
      <w:r w:rsidR="00BD50ED" w:rsidRPr="00891E52">
        <w:rPr>
          <w:sz w:val="24"/>
          <w:szCs w:val="24"/>
        </w:rPr>
        <w:t>According to the urine cotinine test the real prevalence of female smoking in Georgia is 12.2%.</w:t>
      </w:r>
    </w:p>
    <w:p w:rsidR="00F56023" w:rsidRPr="00BD50ED" w:rsidRDefault="00DE7140" w:rsidP="00BD50ED">
      <w:pPr>
        <w:spacing w:after="120" w:line="240" w:lineRule="auto"/>
        <w:jc w:val="center"/>
      </w:pPr>
      <w:r w:rsidRPr="00BD50ED">
        <w:rPr>
          <w:noProof/>
        </w:rPr>
        <mc:AlternateContent>
          <mc:Choice Requires="wps">
            <w:drawing>
              <wp:anchor distT="0" distB="0" distL="114300" distR="114300" simplePos="0" relativeHeight="251659264" behindDoc="0" locked="0" layoutInCell="1" allowOverlap="1">
                <wp:simplePos x="0" y="0"/>
                <wp:positionH relativeFrom="column">
                  <wp:posOffset>4438650</wp:posOffset>
                </wp:positionH>
                <wp:positionV relativeFrom="paragraph">
                  <wp:posOffset>1596390</wp:posOffset>
                </wp:positionV>
                <wp:extent cx="76200" cy="66675"/>
                <wp:effectExtent l="0" t="0" r="19050" b="28575"/>
                <wp:wrapNone/>
                <wp:docPr id="2" name="Flowchart: Connector 2"/>
                <wp:cNvGraphicFramePr/>
                <a:graphic xmlns:a="http://schemas.openxmlformats.org/drawingml/2006/main">
                  <a:graphicData uri="http://schemas.microsoft.com/office/word/2010/wordprocessingShape">
                    <wps:wsp>
                      <wps:cNvSpPr/>
                      <wps:spPr>
                        <a:xfrm>
                          <a:off x="0" y="0"/>
                          <a:ext cx="76200" cy="66675"/>
                        </a:xfrm>
                        <a:prstGeom prst="flowChartConnector">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A3A10"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 o:spid="_x0000_s1026" type="#_x0000_t120" style="position:absolute;margin-left:349.5pt;margin-top:125.7pt;width:6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" fillcolor="#c00000" strokecolor="#c00000" strokeweight="1pt">
                <v:stroke joinstyle="miter"/>
              </v:shape>
            </w:pict>
          </mc:Fallback>
        </mc:AlternateContent>
      </w:r>
      <w:r w:rsidRPr="00BD50ED">
        <w:rPr>
          <w:noProof/>
        </w:rPr>
        <mc:AlternateContent>
          <mc:Choice Requires="wps">
            <w:drawing>
              <wp:anchor distT="0" distB="0" distL="114300" distR="114300" simplePos="0" relativeHeight="251660288" behindDoc="0" locked="0" layoutInCell="1" allowOverlap="1">
                <wp:simplePos x="0" y="0"/>
                <wp:positionH relativeFrom="column">
                  <wp:posOffset>4514850</wp:posOffset>
                </wp:positionH>
                <wp:positionV relativeFrom="paragraph">
                  <wp:posOffset>1415415</wp:posOffset>
                </wp:positionV>
                <wp:extent cx="257175" cy="161925"/>
                <wp:effectExtent l="38100" t="0" r="28575" b="47625"/>
                <wp:wrapNone/>
                <wp:docPr id="3" name="Straight Arrow Connector 3"/>
                <wp:cNvGraphicFramePr/>
                <a:graphic xmlns:a="http://schemas.openxmlformats.org/drawingml/2006/main">
                  <a:graphicData uri="http://schemas.microsoft.com/office/word/2010/wordprocessingShape">
                    <wps:wsp>
                      <wps:cNvCnPr/>
                      <wps:spPr>
                        <a:xfrm flipH="1">
                          <a:off x="0" y="0"/>
                          <a:ext cx="257175" cy="1619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59B860C" id="_x0000_t32" coordsize="21600,21600" o:spt="32" o:oned="t" path="m,l21600,21600e" filled="f">
                <v:path arrowok="t" fillok="f" o:connecttype="none"/>
                <o:lock v:ext="edit" shapetype="t"/>
              </v:shapetype>
              <v:shape id="Straight Arrow Connector 3" o:spid="_x0000_s1026" type="#_x0000_t32" style="position:absolute;margin-left:355.5pt;margin-top:111.45pt;width:20.25pt;height:12.7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" strokecolor="black [3213]" strokeweight=".5pt">
                <v:stroke endarrow="block" joinstyle="miter"/>
              </v:shape>
            </w:pict>
          </mc:Fallback>
        </mc:AlternateContent>
      </w:r>
      <w:r w:rsidR="002C7756" w:rsidRPr="00BD50ED">
        <w:rPr>
          <w:noProof/>
        </w:rPr>
        <w:drawing>
          <wp:inline distT="0" distB="0" distL="0" distR="0" wp14:anchorId="3861BDD9" wp14:editId="26D0A3AD">
            <wp:extent cx="4572000" cy="25527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0" w:name="_GoBack"/>
      <w:bookmarkEnd w:id="0"/>
    </w:p>
    <w:p w:rsidR="00F56023" w:rsidRPr="00BD50ED" w:rsidRDefault="00BD50ED" w:rsidP="00BD50ED">
      <w:pPr>
        <w:spacing w:after="120" w:line="240" w:lineRule="auto"/>
        <w:jc w:val="both"/>
      </w:pPr>
      <w:r w:rsidRPr="00BD50ED">
        <w:t>*results of cotinine testing</w:t>
      </w:r>
      <w:r w:rsidR="00D27E6B">
        <w:t>; STEPS 2017</w:t>
      </w:r>
    </w:p>
    <w:p w:rsidR="00BD50ED" w:rsidRPr="00891E52" w:rsidRDefault="00F56023" w:rsidP="00BD50ED">
      <w:pPr>
        <w:spacing w:after="120" w:line="240" w:lineRule="auto"/>
        <w:jc w:val="both"/>
        <w:rPr>
          <w:sz w:val="24"/>
          <w:szCs w:val="24"/>
        </w:rPr>
      </w:pPr>
      <w:r w:rsidRPr="00891E52">
        <w:rPr>
          <w:sz w:val="24"/>
          <w:szCs w:val="24"/>
        </w:rPr>
        <w:t xml:space="preserve">There are approximately 1.1 million tobacco users of whom about 40% want to stop. Cigarette smoking is almost the exclusive form of smoking tobacco; use of smokeless tobacco is very low and does not have any significant public health impact at the moment. </w:t>
      </w:r>
    </w:p>
    <w:p w:rsidR="00891E52" w:rsidRPr="00891E52" w:rsidRDefault="00BD50ED" w:rsidP="00BD50ED">
      <w:pPr>
        <w:spacing w:after="120" w:line="240" w:lineRule="auto"/>
        <w:jc w:val="both"/>
        <w:rPr>
          <w:sz w:val="24"/>
          <w:szCs w:val="24"/>
        </w:rPr>
      </w:pPr>
      <w:r w:rsidRPr="00891E52">
        <w:rPr>
          <w:sz w:val="24"/>
          <w:szCs w:val="24"/>
        </w:rPr>
        <w:t>According to the Global Youth Tobacco Surveys (GYTS 2014-2017) smoking</w:t>
      </w:r>
      <w:r w:rsidR="00B51860" w:rsidRPr="00891E52">
        <w:rPr>
          <w:sz w:val="24"/>
          <w:szCs w:val="24"/>
        </w:rPr>
        <w:t xml:space="preserve"> prevalence is also increasing</w:t>
      </w:r>
      <w:r w:rsidRPr="00891E52">
        <w:rPr>
          <w:sz w:val="24"/>
          <w:szCs w:val="24"/>
        </w:rPr>
        <w:t xml:space="preserve"> among 13-15 year </w:t>
      </w:r>
      <w:r w:rsidR="00F56023" w:rsidRPr="00891E52">
        <w:rPr>
          <w:sz w:val="24"/>
          <w:szCs w:val="24"/>
        </w:rPr>
        <w:t>olds</w:t>
      </w:r>
      <w:r w:rsidR="00B51860" w:rsidRPr="00891E52">
        <w:rPr>
          <w:sz w:val="24"/>
          <w:szCs w:val="24"/>
        </w:rPr>
        <w:t xml:space="preserve">; GYTS 2017 shows that </w:t>
      </w:r>
      <w:r w:rsidR="00F56023" w:rsidRPr="00891E52">
        <w:rPr>
          <w:sz w:val="24"/>
          <w:szCs w:val="24"/>
        </w:rPr>
        <w:t xml:space="preserve">12% </w:t>
      </w:r>
      <w:r w:rsidR="00B51860" w:rsidRPr="00891E52">
        <w:rPr>
          <w:sz w:val="24"/>
          <w:szCs w:val="24"/>
        </w:rPr>
        <w:t xml:space="preserve">of 13-15 years teenagers </w:t>
      </w:r>
      <w:r w:rsidR="00F56023" w:rsidRPr="00891E52">
        <w:rPr>
          <w:sz w:val="24"/>
          <w:szCs w:val="24"/>
        </w:rPr>
        <w:t xml:space="preserve">consume tobacco (17% boys, 8% girls), in 60% of smokers tried to stop last year.  </w:t>
      </w:r>
    </w:p>
    <w:tbl>
      <w:tblPr>
        <w:tblStyle w:val="TableGrid"/>
        <w:tblpPr w:vertAnchor="text" w:horzAnchor="margin" w:tblpY="248"/>
        <w:tblOverlap w:val="never"/>
        <w:tblW w:w="5490" w:type="dxa"/>
        <w:tblInd w:w="0" w:type="dxa"/>
        <w:tblCellMar>
          <w:top w:w="80" w:type="dxa"/>
          <w:left w:w="108" w:type="dxa"/>
          <w:right w:w="115" w:type="dxa"/>
        </w:tblCellMar>
        <w:tblLook w:val="04A0" w:firstRow="1" w:lastRow="0" w:firstColumn="1" w:lastColumn="0" w:noHBand="0" w:noVBand="1"/>
      </w:tblPr>
      <w:tblGrid>
        <w:gridCol w:w="5490"/>
      </w:tblGrid>
      <w:tr w:rsidR="002F276E" w:rsidTr="00926342">
        <w:tc>
          <w:tcPr>
            <w:tcW w:w="5490" w:type="dxa"/>
            <w:shd w:val="clear" w:color="auto" w:fill="1F4E79" w:themeFill="accent1" w:themeFillShade="80"/>
            <w:hideMark/>
          </w:tcPr>
          <w:p w:rsidR="002F276E" w:rsidRDefault="002F276E" w:rsidP="002F276E">
            <w:r>
              <w:rPr>
                <w:rFonts w:ascii="Cambria" w:eastAsia="Cambria" w:hAnsi="Cambria" w:cs="Cambria"/>
                <w:b/>
                <w:color w:val="FFFFFF"/>
                <w:sz w:val="24"/>
              </w:rPr>
              <w:t xml:space="preserve">TOBACCO USE </w:t>
            </w:r>
          </w:p>
        </w:tc>
      </w:tr>
      <w:tr w:rsidR="002F276E" w:rsidTr="00926342">
        <w:tc>
          <w:tcPr>
            <w:tcW w:w="5490" w:type="dxa"/>
            <w:shd w:val="clear" w:color="auto" w:fill="DEEAF6" w:themeFill="accent1" w:themeFillTint="33"/>
            <w:vAlign w:val="bottom"/>
            <w:hideMark/>
          </w:tcPr>
          <w:p w:rsidR="002F276E" w:rsidRDefault="002F276E" w:rsidP="002F276E">
            <w:pPr>
              <w:numPr>
                <w:ilvl w:val="0"/>
                <w:numId w:val="3"/>
              </w:numPr>
              <w:spacing w:after="96" w:line="237" w:lineRule="auto"/>
              <w:ind w:hanging="360"/>
            </w:pPr>
            <w:r>
              <w:rPr>
                <w:rFonts w:ascii="Cambria" w:eastAsia="Cambria" w:hAnsi="Cambria" w:cs="Cambria"/>
                <w:sz w:val="20"/>
              </w:rPr>
              <w:t xml:space="preserve">15.4% of students, 20.6% of boys, and 9.6% of girls currently used any tobacco products. </w:t>
            </w:r>
          </w:p>
          <w:p w:rsidR="002F276E" w:rsidRDefault="002F276E" w:rsidP="002F276E">
            <w:pPr>
              <w:numPr>
                <w:ilvl w:val="0"/>
                <w:numId w:val="3"/>
              </w:numPr>
              <w:spacing w:after="96" w:line="237" w:lineRule="auto"/>
              <w:ind w:hanging="360"/>
            </w:pPr>
            <w:r>
              <w:rPr>
                <w:rFonts w:ascii="Cambria" w:eastAsia="Cambria" w:hAnsi="Cambria" w:cs="Cambria"/>
                <w:sz w:val="20"/>
              </w:rPr>
              <w:t xml:space="preserve">12.6% of students, 16.9% of boys, and 7.6% of girls currently smoked tobacco. </w:t>
            </w:r>
          </w:p>
          <w:p w:rsidR="002F276E" w:rsidRDefault="002F276E" w:rsidP="002F276E">
            <w:pPr>
              <w:numPr>
                <w:ilvl w:val="0"/>
                <w:numId w:val="3"/>
              </w:numPr>
              <w:spacing w:after="96" w:line="237" w:lineRule="auto"/>
              <w:ind w:hanging="360"/>
            </w:pPr>
            <w:r>
              <w:rPr>
                <w:rFonts w:ascii="Cambria" w:eastAsia="Cambria" w:hAnsi="Cambria" w:cs="Cambria"/>
                <w:sz w:val="20"/>
              </w:rPr>
              <w:t xml:space="preserve">8.4% of students, 12.3% of boys, and 4.4% of girls currently smoked cigarettes. </w:t>
            </w:r>
          </w:p>
          <w:p w:rsidR="002F276E" w:rsidRDefault="002F276E" w:rsidP="002F276E">
            <w:pPr>
              <w:numPr>
                <w:ilvl w:val="0"/>
                <w:numId w:val="3"/>
              </w:numPr>
              <w:spacing w:line="276" w:lineRule="auto"/>
              <w:ind w:hanging="360"/>
            </w:pPr>
            <w:r>
              <w:rPr>
                <w:rFonts w:ascii="Cambria" w:eastAsia="Cambria" w:hAnsi="Cambria" w:cs="Cambria"/>
                <w:sz w:val="20"/>
              </w:rPr>
              <w:t xml:space="preserve">4.4% of students, 5.0% of boys, and 3.2% of girls currently used smokeless tobacco. </w:t>
            </w:r>
          </w:p>
        </w:tc>
      </w:tr>
    </w:tbl>
    <w:p w:rsidR="00BD50ED" w:rsidRDefault="00BD50ED" w:rsidP="00BD50ED">
      <w:pPr>
        <w:spacing w:after="120" w:line="240" w:lineRule="auto"/>
        <w:jc w:val="both"/>
      </w:pPr>
    </w:p>
    <w:tbl>
      <w:tblPr>
        <w:tblStyle w:val="TableGrid"/>
        <w:tblpPr w:vertAnchor="text" w:horzAnchor="margin" w:tblpXSpec="right" w:tblpY="-80"/>
        <w:tblOverlap w:val="never"/>
        <w:tblW w:w="4920" w:type="dxa"/>
        <w:tblInd w:w="0" w:type="dxa"/>
        <w:tblCellMar>
          <w:top w:w="80" w:type="dxa"/>
          <w:left w:w="108" w:type="dxa"/>
          <w:right w:w="115" w:type="dxa"/>
        </w:tblCellMar>
        <w:tblLook w:val="04A0" w:firstRow="1" w:lastRow="0" w:firstColumn="1" w:lastColumn="0" w:noHBand="0" w:noVBand="1"/>
      </w:tblPr>
      <w:tblGrid>
        <w:gridCol w:w="4920"/>
      </w:tblGrid>
      <w:tr w:rsidR="002F276E" w:rsidTr="00926342">
        <w:trPr>
          <w:trHeight w:val="335"/>
        </w:trPr>
        <w:tc>
          <w:tcPr>
            <w:tcW w:w="4920" w:type="dxa"/>
            <w:shd w:val="clear" w:color="auto" w:fill="1F4E79" w:themeFill="accent1" w:themeFillShade="80"/>
            <w:hideMark/>
          </w:tcPr>
          <w:p w:rsidR="002F276E" w:rsidRDefault="002F276E" w:rsidP="002F276E">
            <w:r>
              <w:rPr>
                <w:rFonts w:ascii="Cambria" w:eastAsia="Cambria" w:hAnsi="Cambria" w:cs="Cambria"/>
                <w:b/>
                <w:color w:val="FFFFFF"/>
                <w:sz w:val="24"/>
              </w:rPr>
              <w:t xml:space="preserve">SECONDHAND SMOKE </w:t>
            </w:r>
          </w:p>
        </w:tc>
      </w:tr>
      <w:tr w:rsidR="002F276E" w:rsidTr="00926342">
        <w:trPr>
          <w:trHeight w:val="1305"/>
        </w:trPr>
        <w:tc>
          <w:tcPr>
            <w:tcW w:w="4920" w:type="dxa"/>
            <w:shd w:val="clear" w:color="auto" w:fill="DEEAF6" w:themeFill="accent1" w:themeFillTint="33"/>
            <w:vAlign w:val="bottom"/>
            <w:hideMark/>
          </w:tcPr>
          <w:p w:rsidR="002F276E" w:rsidRDefault="002F276E" w:rsidP="002F276E">
            <w:pPr>
              <w:numPr>
                <w:ilvl w:val="0"/>
                <w:numId w:val="4"/>
              </w:numPr>
              <w:spacing w:after="96" w:line="237" w:lineRule="auto"/>
              <w:ind w:hanging="360"/>
            </w:pPr>
            <w:r>
              <w:rPr>
                <w:rFonts w:ascii="Cambria" w:eastAsia="Cambria" w:hAnsi="Cambria" w:cs="Cambria"/>
                <w:sz w:val="20"/>
              </w:rPr>
              <w:t xml:space="preserve">43.2% of students were exposed to tobacco smoke at home. </w:t>
            </w:r>
          </w:p>
          <w:p w:rsidR="002F276E" w:rsidRDefault="002F276E" w:rsidP="002F276E">
            <w:pPr>
              <w:numPr>
                <w:ilvl w:val="0"/>
                <w:numId w:val="4"/>
              </w:numPr>
              <w:spacing w:line="276" w:lineRule="auto"/>
              <w:ind w:hanging="360"/>
            </w:pPr>
            <w:r>
              <w:rPr>
                <w:rFonts w:ascii="Cambria" w:eastAsia="Cambria" w:hAnsi="Cambria" w:cs="Cambria"/>
                <w:sz w:val="20"/>
              </w:rPr>
              <w:t xml:space="preserve">58.6% of students were exposed to tobacco smoke inside enclosed public places. </w:t>
            </w:r>
          </w:p>
        </w:tc>
      </w:tr>
    </w:tbl>
    <w:tbl>
      <w:tblPr>
        <w:tblStyle w:val="TableGrid"/>
        <w:tblpPr w:vertAnchor="text" w:horzAnchor="margin" w:tblpXSpec="right" w:tblpY="552"/>
        <w:tblOverlap w:val="never"/>
        <w:tblW w:w="4845" w:type="dxa"/>
        <w:tblInd w:w="0" w:type="dxa"/>
        <w:shd w:val="clear" w:color="auto" w:fill="DEEAF6" w:themeFill="accent1" w:themeFillTint="33"/>
        <w:tblCellMar>
          <w:top w:w="80" w:type="dxa"/>
          <w:left w:w="108" w:type="dxa"/>
          <w:right w:w="115" w:type="dxa"/>
        </w:tblCellMar>
        <w:tblLook w:val="04A0" w:firstRow="1" w:lastRow="0" w:firstColumn="1" w:lastColumn="0" w:noHBand="0" w:noVBand="1"/>
      </w:tblPr>
      <w:tblGrid>
        <w:gridCol w:w="4845"/>
      </w:tblGrid>
      <w:tr w:rsidR="003A51D4" w:rsidTr="00926342">
        <w:trPr>
          <w:trHeight w:val="313"/>
        </w:trPr>
        <w:tc>
          <w:tcPr>
            <w:tcW w:w="4845" w:type="dxa"/>
            <w:shd w:val="clear" w:color="auto" w:fill="1F4E79" w:themeFill="accent1" w:themeFillShade="80"/>
            <w:hideMark/>
          </w:tcPr>
          <w:p w:rsidR="003A51D4" w:rsidRDefault="003A51D4" w:rsidP="003A51D4">
            <w:r>
              <w:rPr>
                <w:rFonts w:ascii="Cambria" w:eastAsia="Cambria" w:hAnsi="Cambria" w:cs="Cambria"/>
                <w:b/>
                <w:color w:val="FFFFFF"/>
                <w:sz w:val="24"/>
              </w:rPr>
              <w:t xml:space="preserve">ELECTRONIC CIGARETTES  </w:t>
            </w:r>
          </w:p>
        </w:tc>
      </w:tr>
      <w:tr w:rsidR="003A51D4" w:rsidTr="00891E52">
        <w:trPr>
          <w:trHeight w:val="343"/>
        </w:trPr>
        <w:tc>
          <w:tcPr>
            <w:tcW w:w="4845" w:type="dxa"/>
            <w:shd w:val="clear" w:color="auto" w:fill="DEEAF6" w:themeFill="accent1" w:themeFillTint="33"/>
            <w:vAlign w:val="bottom"/>
            <w:hideMark/>
          </w:tcPr>
          <w:p w:rsidR="003A51D4" w:rsidRPr="007C7AE3" w:rsidRDefault="003A51D4" w:rsidP="007C7AE3">
            <w:pPr>
              <w:pStyle w:val="ListParagraph"/>
              <w:numPr>
                <w:ilvl w:val="0"/>
                <w:numId w:val="5"/>
              </w:numPr>
              <w:ind w:left="342" w:hanging="342"/>
            </w:pPr>
            <w:r w:rsidRPr="007C7AE3">
              <w:rPr>
                <w:rFonts w:ascii="Cambria" w:eastAsia="Cambria" w:hAnsi="Cambria" w:cs="Cambria"/>
                <w:sz w:val="20"/>
                <w:shd w:val="clear" w:color="auto" w:fill="DEEAF6" w:themeFill="accent1" w:themeFillTint="33"/>
              </w:rPr>
              <w:t>13.2% of students, 17.3% of boys, and 7.7% of girls currently used electronic cigarettes.</w:t>
            </w:r>
            <w:r w:rsidRPr="007C7AE3">
              <w:rPr>
                <w:rFonts w:ascii="Cambria" w:eastAsia="Cambria" w:hAnsi="Cambria" w:cs="Cambria"/>
                <w:sz w:val="20"/>
              </w:rPr>
              <w:t xml:space="preserve">  </w:t>
            </w:r>
          </w:p>
        </w:tc>
      </w:tr>
    </w:tbl>
    <w:p w:rsidR="002F276E" w:rsidRDefault="002F276E" w:rsidP="002F276E">
      <w:pPr>
        <w:spacing w:after="120" w:line="240" w:lineRule="auto"/>
        <w:jc w:val="center"/>
      </w:pPr>
      <w:r>
        <w:rPr>
          <w:noProof/>
        </w:rPr>
        <w:lastRenderedPageBreak/>
        <w:drawing>
          <wp:inline distT="0" distB="0" distL="0" distR="0" wp14:anchorId="395CFEB3" wp14:editId="0DA67779">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F276E" w:rsidRDefault="00D27E6B" w:rsidP="00BD50ED">
      <w:pPr>
        <w:spacing w:after="120" w:line="240" w:lineRule="auto"/>
        <w:jc w:val="both"/>
      </w:pPr>
      <w:r>
        <w:t>European School Survey Project on Alcohol and Other Drugs (ESPAD)</w:t>
      </w:r>
      <w:r w:rsidR="00F56023" w:rsidRPr="00BD50ED">
        <w:t xml:space="preserve"> survey conducted in 16 years old adolescents showed higher figures of current smoking (26% in boys, 9% in girls, 18% overall.)  </w:t>
      </w:r>
    </w:p>
    <w:p w:rsidR="002F276E" w:rsidRDefault="002F276E" w:rsidP="002F276E">
      <w:pPr>
        <w:spacing w:after="120" w:line="240" w:lineRule="auto"/>
        <w:jc w:val="center"/>
      </w:pPr>
      <w:r>
        <w:rPr>
          <w:noProof/>
        </w:rPr>
        <w:drawing>
          <wp:inline distT="0" distB="0" distL="0" distR="0" wp14:anchorId="076881BA" wp14:editId="34F9B8C4">
            <wp:extent cx="4572000"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56023" w:rsidRPr="00891E52" w:rsidRDefault="00F56023" w:rsidP="00BD50ED">
      <w:pPr>
        <w:spacing w:after="120" w:line="240" w:lineRule="auto"/>
        <w:jc w:val="both"/>
        <w:rPr>
          <w:sz w:val="24"/>
          <w:szCs w:val="24"/>
        </w:rPr>
      </w:pPr>
      <w:r w:rsidRPr="00891E52">
        <w:rPr>
          <w:sz w:val="24"/>
          <w:szCs w:val="24"/>
        </w:rPr>
        <w:t xml:space="preserve">Cigarette smoking alone kills 8000 to 11 000 </w:t>
      </w:r>
      <w:r w:rsidR="002F276E" w:rsidRPr="00891E52">
        <w:rPr>
          <w:sz w:val="24"/>
          <w:szCs w:val="24"/>
        </w:rPr>
        <w:t xml:space="preserve">(22% of all death cases) </w:t>
      </w:r>
      <w:r w:rsidRPr="00891E52">
        <w:rPr>
          <w:sz w:val="24"/>
          <w:szCs w:val="24"/>
        </w:rPr>
        <w:t>people per year in Georgia, and is a leading cause of cardiovascular disease, cancer and respiratory disease.</w:t>
      </w:r>
    </w:p>
    <w:p w:rsidR="00926342" w:rsidRPr="00891E52" w:rsidRDefault="00926342" w:rsidP="00BD50ED">
      <w:pPr>
        <w:spacing w:after="120" w:line="240" w:lineRule="auto"/>
        <w:jc w:val="both"/>
        <w:rPr>
          <w:b/>
          <w:color w:val="000000" w:themeColor="text1"/>
          <w:sz w:val="24"/>
          <w:szCs w:val="24"/>
          <w:shd w:val="clear" w:color="auto" w:fill="FFFFFF"/>
        </w:rPr>
      </w:pPr>
    </w:p>
    <w:p w:rsidR="00F56023" w:rsidRPr="00891E52" w:rsidRDefault="00926342" w:rsidP="00BD50ED">
      <w:pPr>
        <w:spacing w:after="120" w:line="240" w:lineRule="auto"/>
        <w:jc w:val="both"/>
        <w:rPr>
          <w:b/>
          <w:i/>
          <w:color w:val="2E74B5" w:themeColor="accent1" w:themeShade="BF"/>
          <w:sz w:val="28"/>
          <w:szCs w:val="28"/>
        </w:rPr>
      </w:pPr>
      <w:r w:rsidRPr="00891E52">
        <w:rPr>
          <w:b/>
          <w:i/>
          <w:color w:val="2E74B5" w:themeColor="accent1" w:themeShade="BF"/>
          <w:sz w:val="28"/>
          <w:szCs w:val="28"/>
          <w:shd w:val="clear" w:color="auto" w:fill="FFFFFF"/>
        </w:rPr>
        <w:t xml:space="preserve">Key </w:t>
      </w:r>
      <w:r w:rsidR="00891E52">
        <w:rPr>
          <w:b/>
          <w:i/>
          <w:color w:val="2E74B5" w:themeColor="accent1" w:themeShade="BF"/>
          <w:sz w:val="28"/>
          <w:szCs w:val="28"/>
          <w:shd w:val="clear" w:color="auto" w:fill="FFFFFF"/>
        </w:rPr>
        <w:t>A</w:t>
      </w:r>
      <w:r w:rsidRPr="00891E52">
        <w:rPr>
          <w:b/>
          <w:i/>
          <w:color w:val="2E74B5" w:themeColor="accent1" w:themeShade="BF"/>
          <w:sz w:val="28"/>
          <w:szCs w:val="28"/>
          <w:shd w:val="clear" w:color="auto" w:fill="FFFFFF"/>
        </w:rPr>
        <w:t>chievements </w:t>
      </w:r>
    </w:p>
    <w:p w:rsidR="00F56023" w:rsidRPr="00891E52" w:rsidRDefault="00F56023" w:rsidP="00BD50ED">
      <w:pPr>
        <w:spacing w:after="120" w:line="240" w:lineRule="auto"/>
        <w:jc w:val="both"/>
        <w:rPr>
          <w:sz w:val="24"/>
          <w:szCs w:val="24"/>
        </w:rPr>
      </w:pPr>
      <w:r w:rsidRPr="00891E52">
        <w:rPr>
          <w:sz w:val="24"/>
          <w:szCs w:val="24"/>
        </w:rPr>
        <w:t>In 2013 in order to address the devastating health and economic burden of the growing tobacco epidemic in the country, the Government of Georgia created the State Tobacco Control Committee. The Committee is chaired by the Prime Minister of Georgia. The goal of the Committee was to develop and advocate new tobacco control policies, which is in line with the World Health Organization (WHO) Framework Convention on Tobacco Control (FCTC) and with the standards of the European Union. As a result of the work of the Committee National Tobacco Control National Strategy Committee (Government Decree #196, 2013), a 5 year Action Plan (Government Decree #304, 2013) and amendments to 5 related laws in March 2013 were prepared and approved by the Government of Georgia.</w:t>
      </w:r>
    </w:p>
    <w:p w:rsidR="00AE4D9F" w:rsidRPr="00891E52" w:rsidRDefault="00AE4D9F" w:rsidP="00AE4D9F">
      <w:pPr>
        <w:spacing w:after="120" w:line="240" w:lineRule="auto"/>
        <w:jc w:val="both"/>
        <w:rPr>
          <w:sz w:val="24"/>
          <w:szCs w:val="24"/>
        </w:rPr>
      </w:pPr>
      <w:r w:rsidRPr="00891E52">
        <w:rPr>
          <w:sz w:val="24"/>
          <w:szCs w:val="24"/>
        </w:rPr>
        <w:t xml:space="preserve">Georgia has undergone the WHO FCTC Joint Needs Assessment Mission in 2013. As a result, the comprehensive set of recommendations was produced. The latter was followed with post-needs assessment assistance provided to the country based on the immediate needs. </w:t>
      </w:r>
    </w:p>
    <w:p w:rsidR="003A51D4" w:rsidRPr="00891E52" w:rsidRDefault="003A51D4" w:rsidP="005B3D4E">
      <w:pPr>
        <w:spacing w:after="120"/>
        <w:jc w:val="both"/>
        <w:rPr>
          <w:sz w:val="24"/>
          <w:szCs w:val="24"/>
        </w:rPr>
      </w:pPr>
      <w:r w:rsidRPr="00891E52">
        <w:rPr>
          <w:sz w:val="24"/>
          <w:szCs w:val="24"/>
        </w:rPr>
        <w:t xml:space="preserve">On May 30, 2017 the amendments to the Tobacco Control bills have been adopted by the Parliament and signed by the President of Georgia. </w:t>
      </w:r>
      <w:r w:rsidR="005B3D4E" w:rsidRPr="00891E52">
        <w:rPr>
          <w:rFonts w:eastAsia="Calibri" w:cs="Calibri"/>
          <w:noProof/>
          <w:color w:val="000000"/>
          <w:sz w:val="24"/>
          <w:szCs w:val="24"/>
          <w:lang w:val="ka-GE"/>
        </w:rPr>
        <w:t xml:space="preserve">Amendments were made </w:t>
      </w:r>
      <w:r w:rsidR="005B3D4E" w:rsidRPr="00891E52">
        <w:rPr>
          <w:rFonts w:eastAsia="Calibri" w:cs="Calibri"/>
          <w:noProof/>
          <w:color w:val="000000"/>
          <w:sz w:val="24"/>
          <w:szCs w:val="24"/>
        </w:rPr>
        <w:t>i</w:t>
      </w:r>
      <w:r w:rsidR="005B3D4E" w:rsidRPr="00891E52">
        <w:rPr>
          <w:rFonts w:eastAsia="Calibri" w:cs="Calibri"/>
          <w:noProof/>
          <w:color w:val="000000"/>
          <w:sz w:val="24"/>
          <w:szCs w:val="24"/>
          <w:lang w:val="ka-GE"/>
        </w:rPr>
        <w:t>n the following laws</w:t>
      </w:r>
      <w:r w:rsidR="005B3D4E" w:rsidRPr="00891E52">
        <w:rPr>
          <w:rFonts w:eastAsia="Calibri" w:cs="Calibri"/>
          <w:noProof/>
          <w:color w:val="000000"/>
          <w:sz w:val="24"/>
          <w:szCs w:val="24"/>
        </w:rPr>
        <w:t xml:space="preserve"> of Georgia: </w:t>
      </w:r>
      <w:r w:rsidR="005B3D4E" w:rsidRPr="00891E52">
        <w:rPr>
          <w:rFonts w:eastAsia="Calibri" w:cs="Calibri"/>
          <w:noProof/>
          <w:color w:val="000000"/>
          <w:sz w:val="24"/>
          <w:szCs w:val="24"/>
          <w:lang w:val="ka-GE"/>
        </w:rPr>
        <w:t>"</w:t>
      </w:r>
      <w:r w:rsidR="005B3D4E" w:rsidRPr="00891E52">
        <w:rPr>
          <w:rFonts w:eastAsia="Calibri" w:cs="Calibri"/>
          <w:noProof/>
          <w:color w:val="000000"/>
          <w:sz w:val="24"/>
          <w:szCs w:val="24"/>
        </w:rPr>
        <w:t xml:space="preserve">On </w:t>
      </w:r>
      <w:r w:rsidR="005B3D4E" w:rsidRPr="00891E52">
        <w:rPr>
          <w:rFonts w:eastAsia="Calibri" w:cs="Calibri"/>
          <w:noProof/>
          <w:color w:val="000000"/>
          <w:sz w:val="24"/>
          <w:szCs w:val="24"/>
          <w:lang w:val="ka-GE"/>
        </w:rPr>
        <w:t xml:space="preserve">Tobacco </w:t>
      </w:r>
      <w:r w:rsidR="005B3D4E" w:rsidRPr="00891E52">
        <w:rPr>
          <w:rFonts w:eastAsia="Calibri" w:cs="Calibri"/>
          <w:noProof/>
          <w:color w:val="000000"/>
          <w:sz w:val="24"/>
          <w:szCs w:val="24"/>
          <w:lang w:val="ka-GE"/>
        </w:rPr>
        <w:lastRenderedPageBreak/>
        <w:t>Control", "On Advertising", "</w:t>
      </w:r>
      <w:r w:rsidR="005B3D4E" w:rsidRPr="00891E52">
        <w:rPr>
          <w:rFonts w:eastAsia="Calibri" w:cs="Calibri"/>
          <w:noProof/>
          <w:color w:val="000000"/>
          <w:sz w:val="24"/>
          <w:szCs w:val="24"/>
        </w:rPr>
        <w:t>O</w:t>
      </w:r>
      <w:r w:rsidR="005B3D4E" w:rsidRPr="00891E52">
        <w:rPr>
          <w:rFonts w:cs="Arial"/>
          <w:sz w:val="24"/>
          <w:szCs w:val="24"/>
        </w:rPr>
        <w:t xml:space="preserve">n </w:t>
      </w:r>
      <w:r w:rsidR="00F36F4F" w:rsidRPr="00891E52">
        <w:rPr>
          <w:rFonts w:cs="Arial"/>
          <w:bCs/>
          <w:sz w:val="24"/>
          <w:szCs w:val="24"/>
          <w:shd w:val="clear" w:color="auto" w:fill="FFFFFF"/>
        </w:rPr>
        <w:t>Organizing</w:t>
      </w:r>
      <w:r w:rsidR="005B3D4E" w:rsidRPr="00891E52">
        <w:rPr>
          <w:rFonts w:cs="Arial"/>
          <w:bCs/>
          <w:sz w:val="24"/>
          <w:szCs w:val="24"/>
          <w:shd w:val="clear" w:color="auto" w:fill="FFFFFF"/>
        </w:rPr>
        <w:t xml:space="preserve"> Lotteries, Games of Chance and Other Prize Games</w:t>
      </w:r>
      <w:r w:rsidR="005B3D4E" w:rsidRPr="00891E52">
        <w:rPr>
          <w:rFonts w:eastAsia="Calibri" w:cs="Arial"/>
          <w:noProof/>
          <w:color w:val="000000"/>
          <w:sz w:val="24"/>
          <w:szCs w:val="24"/>
          <w:lang w:val="ka-GE"/>
        </w:rPr>
        <w:t>", "</w:t>
      </w:r>
      <w:r w:rsidR="005B3D4E" w:rsidRPr="00891E52">
        <w:rPr>
          <w:rFonts w:eastAsia="Calibri" w:cs="Arial"/>
          <w:noProof/>
          <w:color w:val="000000"/>
          <w:sz w:val="24"/>
          <w:szCs w:val="24"/>
        </w:rPr>
        <w:t xml:space="preserve">On </w:t>
      </w:r>
      <w:r w:rsidR="005B3D4E" w:rsidRPr="00891E52">
        <w:rPr>
          <w:rFonts w:eastAsia="Calibri" w:cs="Arial"/>
          <w:noProof/>
          <w:color w:val="000000"/>
          <w:sz w:val="24"/>
          <w:szCs w:val="24"/>
          <w:lang w:val="ka-GE"/>
        </w:rPr>
        <w:t>Broadcasting"</w:t>
      </w:r>
      <w:r w:rsidR="005B3D4E" w:rsidRPr="00891E52">
        <w:rPr>
          <w:rFonts w:eastAsia="Calibri" w:cs="Arial"/>
          <w:noProof/>
          <w:color w:val="000000"/>
          <w:sz w:val="24"/>
          <w:szCs w:val="24"/>
        </w:rPr>
        <w:t xml:space="preserve"> and in </w:t>
      </w:r>
      <w:r w:rsidR="005B3D4E" w:rsidRPr="00891E52">
        <w:rPr>
          <w:rFonts w:cs="Arial"/>
          <w:sz w:val="24"/>
          <w:szCs w:val="24"/>
        </w:rPr>
        <w:t>the Administrative Offenses Code of Georgia</w:t>
      </w:r>
      <w:r w:rsidR="005B3D4E" w:rsidRPr="00891E52">
        <w:rPr>
          <w:rFonts w:eastAsia="Calibri" w:cs="Arial"/>
          <w:noProof/>
          <w:color w:val="000000"/>
          <w:sz w:val="24"/>
          <w:szCs w:val="24"/>
        </w:rPr>
        <w:t xml:space="preserve">. </w:t>
      </w:r>
    </w:p>
    <w:tbl>
      <w:tblPr>
        <w:tblStyle w:val="TableGrid"/>
        <w:tblpPr w:vertAnchor="text" w:horzAnchor="margin" w:tblpY="248"/>
        <w:tblOverlap w:val="never"/>
        <w:tblW w:w="10530" w:type="dxa"/>
        <w:tblInd w:w="0" w:type="dxa"/>
        <w:tblCellMar>
          <w:top w:w="80" w:type="dxa"/>
          <w:left w:w="108" w:type="dxa"/>
          <w:right w:w="115" w:type="dxa"/>
        </w:tblCellMar>
        <w:tblLook w:val="04A0" w:firstRow="1" w:lastRow="0" w:firstColumn="1" w:lastColumn="0" w:noHBand="0" w:noVBand="1"/>
      </w:tblPr>
      <w:tblGrid>
        <w:gridCol w:w="10530"/>
      </w:tblGrid>
      <w:tr w:rsidR="003A51D4" w:rsidRPr="003A51D4" w:rsidTr="00926342">
        <w:tc>
          <w:tcPr>
            <w:tcW w:w="10530" w:type="dxa"/>
            <w:shd w:val="clear" w:color="auto" w:fill="1F4E79" w:themeFill="accent1" w:themeFillShade="80"/>
            <w:hideMark/>
          </w:tcPr>
          <w:p w:rsidR="003A51D4" w:rsidRPr="005B3D4E" w:rsidRDefault="005B3D4E" w:rsidP="00BF6260">
            <w:pPr>
              <w:rPr>
                <w:b/>
                <w:sz w:val="20"/>
                <w:szCs w:val="20"/>
              </w:rPr>
            </w:pPr>
            <w:r w:rsidRPr="005B3D4E">
              <w:rPr>
                <w:b/>
                <w:color w:val="FFFFFF" w:themeColor="background1"/>
              </w:rPr>
              <w:t>Important issues of tobacco control regulations</w:t>
            </w:r>
          </w:p>
        </w:tc>
      </w:tr>
      <w:tr w:rsidR="003A51D4" w:rsidRPr="003A51D4" w:rsidTr="00926342">
        <w:tc>
          <w:tcPr>
            <w:tcW w:w="10530" w:type="dxa"/>
            <w:shd w:val="clear" w:color="auto" w:fill="DEEAF6" w:themeFill="accent1" w:themeFillTint="33"/>
            <w:vAlign w:val="bottom"/>
            <w:hideMark/>
          </w:tcPr>
          <w:p w:rsidR="003A51D4" w:rsidRPr="003A51D4" w:rsidRDefault="003A51D4" w:rsidP="003A51D4">
            <w:pPr>
              <w:pStyle w:val="ListParagraph"/>
              <w:numPr>
                <w:ilvl w:val="0"/>
                <w:numId w:val="3"/>
              </w:numPr>
              <w:spacing w:after="120"/>
              <w:ind w:hanging="360"/>
              <w:jc w:val="both"/>
              <w:rPr>
                <w:sz w:val="20"/>
                <w:szCs w:val="20"/>
              </w:rPr>
            </w:pPr>
            <w:r w:rsidRPr="003A51D4">
              <w:rPr>
                <w:b/>
                <w:sz w:val="20"/>
                <w:szCs w:val="20"/>
              </w:rPr>
              <w:t>Ban of smoking</w:t>
            </w:r>
            <w:r w:rsidRPr="003A51D4">
              <w:rPr>
                <w:sz w:val="20"/>
                <w:szCs w:val="20"/>
              </w:rPr>
              <w:t xml:space="preserve"> (including e-cigarettes and hookah) in all public transport and buildings, except of private homes, prisons, casinos and taxis. Ban of smoking on open areas of educational, health facilities and mass activities of youth. Violation is not only smoking but also presence of smoke, butt, ashes and hookah within building.  </w:t>
            </w:r>
            <w:r w:rsidRPr="003A51D4">
              <w:rPr>
                <w:b/>
                <w:sz w:val="20"/>
                <w:szCs w:val="20"/>
              </w:rPr>
              <w:t>Ban of smoking in enclosed public places enters into force from May 2018</w:t>
            </w:r>
            <w:r w:rsidRPr="003A51D4">
              <w:rPr>
                <w:sz w:val="20"/>
                <w:szCs w:val="20"/>
              </w:rPr>
              <w:t xml:space="preserve"> </w:t>
            </w:r>
          </w:p>
          <w:p w:rsidR="003A51D4" w:rsidRPr="003A51D4" w:rsidRDefault="003A51D4" w:rsidP="003A51D4">
            <w:pPr>
              <w:pStyle w:val="ListParagraph"/>
              <w:numPr>
                <w:ilvl w:val="0"/>
                <w:numId w:val="3"/>
              </w:numPr>
              <w:spacing w:after="120"/>
              <w:ind w:hanging="360"/>
              <w:jc w:val="both"/>
              <w:rPr>
                <w:sz w:val="20"/>
                <w:szCs w:val="20"/>
              </w:rPr>
            </w:pPr>
            <w:r w:rsidRPr="003A51D4">
              <w:rPr>
                <w:b/>
                <w:sz w:val="20"/>
                <w:szCs w:val="20"/>
              </w:rPr>
              <w:t xml:space="preserve">Ban of all forms of advertisement, sponsorship and promotion </w:t>
            </w:r>
            <w:r w:rsidRPr="003A51D4">
              <w:rPr>
                <w:sz w:val="20"/>
                <w:szCs w:val="20"/>
              </w:rPr>
              <w:t xml:space="preserve">of tobacco, its accessories and devices for its use, including ban of display at points of sales and restriction of demonstration of smoking in movies and massive performances. </w:t>
            </w:r>
            <w:r w:rsidRPr="003A51D4">
              <w:rPr>
                <w:b/>
                <w:sz w:val="20"/>
                <w:szCs w:val="20"/>
              </w:rPr>
              <w:t>Part of regulations enters into force from May 2018</w:t>
            </w:r>
          </w:p>
          <w:p w:rsidR="003A51D4" w:rsidRPr="00AE4D9F" w:rsidRDefault="003A51D4" w:rsidP="003A51D4">
            <w:pPr>
              <w:pStyle w:val="ListParagraph"/>
              <w:numPr>
                <w:ilvl w:val="0"/>
                <w:numId w:val="3"/>
              </w:numPr>
              <w:spacing w:after="120"/>
              <w:ind w:hanging="360"/>
              <w:jc w:val="both"/>
              <w:rPr>
                <w:sz w:val="20"/>
                <w:szCs w:val="20"/>
              </w:rPr>
            </w:pPr>
            <w:r w:rsidRPr="003A51D4">
              <w:rPr>
                <w:sz w:val="20"/>
              </w:rPr>
              <w:t xml:space="preserve">Increasing </w:t>
            </w:r>
            <w:r w:rsidRPr="003A51D4">
              <w:rPr>
                <w:b/>
                <w:sz w:val="20"/>
              </w:rPr>
              <w:t>size of health warnings to 65%</w:t>
            </w:r>
            <w:r w:rsidRPr="003A51D4">
              <w:rPr>
                <w:sz w:val="20"/>
              </w:rPr>
              <w:t xml:space="preserve"> and obligatory pictorial warnings on front side of the packages of smoking tobacco</w:t>
            </w:r>
          </w:p>
          <w:p w:rsidR="00AE4D9F" w:rsidRPr="003A51D4" w:rsidRDefault="00AE4D9F" w:rsidP="003A51D4">
            <w:pPr>
              <w:pStyle w:val="ListParagraph"/>
              <w:numPr>
                <w:ilvl w:val="0"/>
                <w:numId w:val="3"/>
              </w:numPr>
              <w:spacing w:after="120"/>
              <w:ind w:hanging="360"/>
              <w:jc w:val="both"/>
              <w:rPr>
                <w:sz w:val="20"/>
                <w:szCs w:val="20"/>
              </w:rPr>
            </w:pPr>
            <w:r w:rsidRPr="00AE4D9F">
              <w:rPr>
                <w:sz w:val="20"/>
              </w:rPr>
              <w:t xml:space="preserve">Introducing </w:t>
            </w:r>
            <w:r w:rsidRPr="00AE4D9F">
              <w:rPr>
                <w:b/>
                <w:sz w:val="20"/>
              </w:rPr>
              <w:t>standardized cigarette packaging (plain packaging)</w:t>
            </w:r>
            <w:r>
              <w:rPr>
                <w:sz w:val="20"/>
              </w:rPr>
              <w:t>. E</w:t>
            </w:r>
            <w:r w:rsidRPr="00AE4D9F">
              <w:rPr>
                <w:sz w:val="20"/>
              </w:rPr>
              <w:t xml:space="preserve">nters into force </w:t>
            </w:r>
            <w:r w:rsidRPr="00AE4D9F">
              <w:rPr>
                <w:b/>
                <w:sz w:val="20"/>
              </w:rPr>
              <w:t>from January 2022</w:t>
            </w:r>
          </w:p>
          <w:p w:rsidR="003A51D4" w:rsidRPr="003A51D4" w:rsidRDefault="003A51D4" w:rsidP="003A51D4">
            <w:pPr>
              <w:pStyle w:val="ListParagraph"/>
              <w:numPr>
                <w:ilvl w:val="0"/>
                <w:numId w:val="3"/>
              </w:numPr>
              <w:spacing w:after="120"/>
              <w:ind w:hanging="360"/>
              <w:jc w:val="both"/>
              <w:rPr>
                <w:sz w:val="20"/>
                <w:szCs w:val="20"/>
              </w:rPr>
            </w:pPr>
            <w:r w:rsidRPr="003A51D4">
              <w:rPr>
                <w:b/>
                <w:sz w:val="20"/>
              </w:rPr>
              <w:t>Ban of direct or indirect participation of industry</w:t>
            </w:r>
            <w:r w:rsidRPr="003A51D4">
              <w:rPr>
                <w:sz w:val="20"/>
              </w:rPr>
              <w:t xml:space="preserve"> in decision making on health issues</w:t>
            </w:r>
          </w:p>
          <w:p w:rsidR="003A51D4" w:rsidRPr="003A51D4" w:rsidRDefault="003A51D4" w:rsidP="003A51D4">
            <w:pPr>
              <w:pStyle w:val="ListParagraph"/>
              <w:numPr>
                <w:ilvl w:val="0"/>
                <w:numId w:val="3"/>
              </w:numPr>
              <w:spacing w:after="120"/>
              <w:ind w:hanging="360"/>
              <w:jc w:val="both"/>
              <w:rPr>
                <w:sz w:val="20"/>
                <w:szCs w:val="20"/>
              </w:rPr>
            </w:pPr>
            <w:r w:rsidRPr="003A51D4">
              <w:rPr>
                <w:b/>
                <w:sz w:val="20"/>
              </w:rPr>
              <w:t>Ban of "drive tobacco</w:t>
            </w:r>
            <w:r w:rsidRPr="003A51D4">
              <w:rPr>
                <w:sz w:val="20"/>
              </w:rPr>
              <w:t>"</w:t>
            </w:r>
          </w:p>
          <w:p w:rsidR="003A51D4" w:rsidRPr="003A51D4" w:rsidRDefault="003A51D4" w:rsidP="00F808C5">
            <w:pPr>
              <w:pStyle w:val="ListParagraph"/>
              <w:numPr>
                <w:ilvl w:val="0"/>
                <w:numId w:val="3"/>
              </w:numPr>
              <w:spacing w:after="120"/>
              <w:ind w:hanging="360"/>
              <w:jc w:val="both"/>
              <w:rPr>
                <w:sz w:val="20"/>
                <w:szCs w:val="20"/>
              </w:rPr>
            </w:pPr>
            <w:r w:rsidRPr="003A51D4">
              <w:rPr>
                <w:b/>
                <w:sz w:val="20"/>
              </w:rPr>
              <w:t>Updated model of administration of the law</w:t>
            </w:r>
            <w:r w:rsidR="00F808C5">
              <w:rPr>
                <w:sz w:val="20"/>
              </w:rPr>
              <w:t xml:space="preserve"> -</w:t>
            </w:r>
            <w:r w:rsidRPr="003A51D4">
              <w:rPr>
                <w:sz w:val="20"/>
              </w:rPr>
              <w:t xml:space="preserve"> burden of responsibility </w:t>
            </w:r>
            <w:r w:rsidR="00F808C5" w:rsidRPr="003A51D4">
              <w:rPr>
                <w:sz w:val="20"/>
              </w:rPr>
              <w:t>for smoking ban</w:t>
            </w:r>
            <w:r w:rsidR="00F808C5">
              <w:rPr>
                <w:sz w:val="20"/>
              </w:rPr>
              <w:t xml:space="preserve"> on</w:t>
            </w:r>
            <w:r w:rsidRPr="003A51D4">
              <w:rPr>
                <w:sz w:val="20"/>
              </w:rPr>
              <w:t xml:space="preserve"> organizations and its owners, increasing amount of fines for viola</w:t>
            </w:r>
            <w:r w:rsidR="00F808C5">
              <w:rPr>
                <w:sz w:val="20"/>
              </w:rPr>
              <w:t>tions, no court decision needed</w:t>
            </w:r>
          </w:p>
        </w:tc>
      </w:tr>
    </w:tbl>
    <w:p w:rsidR="003A51D4" w:rsidRDefault="003A51D4" w:rsidP="003A51D4">
      <w:pPr>
        <w:spacing w:after="120" w:line="240" w:lineRule="auto"/>
        <w:jc w:val="both"/>
      </w:pPr>
    </w:p>
    <w:p w:rsidR="00F56023" w:rsidRPr="00891E52" w:rsidRDefault="00F56023" w:rsidP="00BD50ED">
      <w:pPr>
        <w:spacing w:after="120" w:line="240" w:lineRule="auto"/>
        <w:jc w:val="both"/>
        <w:rPr>
          <w:sz w:val="24"/>
          <w:szCs w:val="24"/>
        </w:rPr>
      </w:pPr>
      <w:r w:rsidRPr="00891E52">
        <w:rPr>
          <w:sz w:val="24"/>
          <w:szCs w:val="24"/>
        </w:rPr>
        <w:t>The National Center for Disease Control and Public Health (NCDC) is implementing the State Program on Health Promotion, the largest component of which is tobacco control, includin</w:t>
      </w:r>
      <w:r w:rsidR="003A51D4" w:rsidRPr="00891E52">
        <w:rPr>
          <w:sz w:val="24"/>
          <w:szCs w:val="24"/>
        </w:rPr>
        <w:t xml:space="preserve">g media campaign, training of </w:t>
      </w:r>
      <w:proofErr w:type="spellStart"/>
      <w:r w:rsidR="003A51D4" w:rsidRPr="00891E52">
        <w:rPr>
          <w:sz w:val="24"/>
          <w:szCs w:val="24"/>
        </w:rPr>
        <w:t>Q</w:t>
      </w:r>
      <w:r w:rsidRPr="00891E52">
        <w:rPr>
          <w:sz w:val="24"/>
          <w:szCs w:val="24"/>
        </w:rPr>
        <w:t>uitline</w:t>
      </w:r>
      <w:proofErr w:type="spellEnd"/>
      <w:r w:rsidRPr="00891E52">
        <w:rPr>
          <w:sz w:val="24"/>
          <w:szCs w:val="24"/>
        </w:rPr>
        <w:t xml:space="preserve"> staff and PHC providers, monitoring of enforcement of smoke-free legislation in public premises, developing a tobacco cessation mobile application and school educational materials. In order to meet all the objectives of</w:t>
      </w:r>
      <w:r w:rsidR="003A51D4" w:rsidRPr="00891E52">
        <w:rPr>
          <w:sz w:val="24"/>
          <w:szCs w:val="24"/>
        </w:rPr>
        <w:t xml:space="preserve"> the tobacco control component,</w:t>
      </w:r>
      <w:r w:rsidRPr="00891E52">
        <w:rPr>
          <w:sz w:val="24"/>
          <w:szCs w:val="24"/>
        </w:rPr>
        <w:t xml:space="preserve"> of the state program needs to be increased according to National Action Plan. </w:t>
      </w:r>
    </w:p>
    <w:p w:rsidR="00F56023" w:rsidRPr="00891E52" w:rsidRDefault="00F56023" w:rsidP="00BD50ED">
      <w:pPr>
        <w:spacing w:after="120" w:line="240" w:lineRule="auto"/>
        <w:jc w:val="both"/>
        <w:rPr>
          <w:sz w:val="24"/>
          <w:szCs w:val="24"/>
        </w:rPr>
      </w:pPr>
      <w:r w:rsidRPr="00891E52">
        <w:rPr>
          <w:sz w:val="24"/>
          <w:szCs w:val="24"/>
        </w:rPr>
        <w:t xml:space="preserve">With the support of the WHO FCTC Secretariat and the International Union against Tuberculosis and Lung Diseases (The Union), Georgia initiated training of PHC staff in handling brief tobacco cessation interventions in-line with the WHO methodologies. The said effort was further supported by the WHO European Regional Office and these trainings are now expanded throughout the country. NCDC is a main partner of Georgian Respiratory Association who is implementing a Pfizer Independent Grants Project to fully address implementation gap of the article 14 of the WHO FCTC. </w:t>
      </w:r>
    </w:p>
    <w:p w:rsidR="00891E52" w:rsidRDefault="00F56023" w:rsidP="00891E52">
      <w:pPr>
        <w:spacing w:after="120" w:line="240" w:lineRule="auto"/>
        <w:jc w:val="both"/>
        <w:rPr>
          <w:sz w:val="24"/>
          <w:szCs w:val="24"/>
        </w:rPr>
      </w:pPr>
      <w:r w:rsidRPr="00891E52">
        <w:rPr>
          <w:sz w:val="24"/>
          <w:szCs w:val="24"/>
        </w:rPr>
        <w:t>With the support of the Union and within the scope of the Bloomberg Philanthropies Grant the NCDC in close collaboration with the Ministry of Finance implemented a project targeting at development of a supportive environment for a tobacco tax increase in the country; and the comprehensive, country-specific and evidence based tobacco products taxation policy document was elaborated and shared with all interested stakeholders to reach consensus on adoption of policy document.</w:t>
      </w:r>
      <w:r w:rsidR="00891E52" w:rsidRPr="00891E52">
        <w:rPr>
          <w:sz w:val="24"/>
          <w:szCs w:val="24"/>
        </w:rPr>
        <w:t xml:space="preserve"> </w:t>
      </w:r>
    </w:p>
    <w:p w:rsidR="00891E52" w:rsidRPr="00891E52" w:rsidRDefault="00891E52" w:rsidP="00891E52">
      <w:pPr>
        <w:spacing w:after="120" w:line="240" w:lineRule="auto"/>
        <w:jc w:val="both"/>
        <w:rPr>
          <w:sz w:val="24"/>
          <w:szCs w:val="24"/>
        </w:rPr>
      </w:pPr>
      <w:r w:rsidRPr="00891E52">
        <w:rPr>
          <w:sz w:val="24"/>
          <w:szCs w:val="24"/>
        </w:rPr>
        <w:t xml:space="preserve">The project “Supporting endorsement and enforcement of strengthened legislation on tobacco demand reduction in Georgia in order to meet WHO FCTC requirements” aims to focus its efforts on continuing collaboration with decision makers to facilitate and enhance implementation of WHO FCTC articles. </w:t>
      </w:r>
    </w:p>
    <w:p w:rsidR="00891E52" w:rsidRPr="00891E52" w:rsidRDefault="00891E52" w:rsidP="00891E52">
      <w:pPr>
        <w:spacing w:after="120" w:line="240" w:lineRule="auto"/>
        <w:jc w:val="both"/>
        <w:rPr>
          <w:sz w:val="24"/>
          <w:szCs w:val="24"/>
        </w:rPr>
      </w:pPr>
      <w:r w:rsidRPr="00891E52">
        <w:rPr>
          <w:sz w:val="24"/>
          <w:szCs w:val="24"/>
        </w:rPr>
        <w:t xml:space="preserve">With the support of the Union, North America ‘Tobacco Victims’ Media Campaign” was implemented including production and placement of Public Service Announcements (PSAs) and outdoor posters. </w:t>
      </w:r>
    </w:p>
    <w:p w:rsidR="00AE4D9F" w:rsidRDefault="00AE4D9F" w:rsidP="00926342">
      <w:pPr>
        <w:spacing w:after="120" w:line="240" w:lineRule="auto"/>
        <w:jc w:val="center"/>
      </w:pPr>
      <w:r w:rsidRPr="00AE4D9F">
        <w:rPr>
          <w:noProof/>
        </w:rPr>
        <w:drawing>
          <wp:inline distT="0" distB="0" distL="0" distR="0" wp14:anchorId="2F8A9587" wp14:editId="7297344E">
            <wp:extent cx="1295197" cy="1850390"/>
            <wp:effectExtent l="0" t="0" r="635"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9185" cy="1856088"/>
                    </a:xfrm>
                    <a:prstGeom prst="rect">
                      <a:avLst/>
                    </a:prstGeom>
                  </pic:spPr>
                </pic:pic>
              </a:graphicData>
            </a:graphic>
          </wp:inline>
        </w:drawing>
      </w:r>
      <w:r w:rsidR="00BB2BA7">
        <w:rPr>
          <w:noProof/>
        </w:rPr>
        <w:t xml:space="preserve"> </w:t>
      </w:r>
      <w:r w:rsidR="00BB2BA7">
        <w:t xml:space="preserve"> </w:t>
      </w:r>
      <w:r w:rsidR="00BB2BA7" w:rsidRPr="00AE4D9F">
        <w:rPr>
          <w:noProof/>
        </w:rPr>
        <w:drawing>
          <wp:inline distT="0" distB="0" distL="0" distR="0" wp14:anchorId="53DA1DA7" wp14:editId="71B07AF6">
            <wp:extent cx="1304925" cy="1845093"/>
            <wp:effectExtent l="0" t="0" r="0" b="3175"/>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04925" cy="1845093"/>
                    </a:xfrm>
                    <a:prstGeom prst="rect">
                      <a:avLst/>
                    </a:prstGeom>
                  </pic:spPr>
                </pic:pic>
              </a:graphicData>
            </a:graphic>
          </wp:inline>
        </w:drawing>
      </w:r>
      <w:r w:rsidR="00BB2BA7">
        <w:t xml:space="preserve">          </w:t>
      </w:r>
      <w:r w:rsidR="00BB2BA7" w:rsidRPr="00D27E6B">
        <w:rPr>
          <w:noProof/>
        </w:rPr>
        <w:drawing>
          <wp:inline distT="0" distB="0" distL="0" distR="0" wp14:anchorId="0DFB3CE4" wp14:editId="7A5BB70A">
            <wp:extent cx="2196465" cy="1438275"/>
            <wp:effectExtent l="285750" t="190500" r="299085" b="371475"/>
            <wp:docPr id="2050" name="Picture 2" descr="C:\Users\User\Desktop\PROGRAMS\TOBACCO Project\EXHIBITION PARLIEAMENT\selected photo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C:\Users\User\Desktop\PROGRAMS\TOBACCO Project\EXHIBITION PARLIEAMENT\selected photos\8.jpg"/>
                    <pic:cNvPicPr>
                      <a:picLocks noChangeAspect="1" noChangeArrowheads="1"/>
                    </pic:cNvPicPr>
                  </pic:nvPicPr>
                  <pic:blipFill>
                    <a:blip r:embed="rId13" cstate="print"/>
                    <a:srcRect/>
                    <a:stretch>
                      <a:fillRect/>
                    </a:stretch>
                  </pic:blipFill>
                  <pic:spPr bwMode="auto">
                    <a:xfrm>
                      <a:off x="0" y="0"/>
                      <a:ext cx="2196465" cy="1438275"/>
                    </a:xfrm>
                    <a:prstGeom prst="rect">
                      <a:avLst/>
                    </a:prstGeom>
                    <a:noFill/>
                    <a:effectLst>
                      <a:outerShdw blurRad="254000" dist="38100" dir="5400000" sx="106000" sy="106000" algn="t" rotWithShape="0">
                        <a:prstClr val="black">
                          <a:alpha val="55000"/>
                        </a:prstClr>
                      </a:outerShdw>
                    </a:effectLst>
                  </pic:spPr>
                </pic:pic>
              </a:graphicData>
            </a:graphic>
          </wp:inline>
        </w:drawing>
      </w:r>
    </w:p>
    <w:p w:rsidR="00AE4D9F" w:rsidRDefault="00D27E6B" w:rsidP="00926342">
      <w:pPr>
        <w:spacing w:after="120" w:line="240" w:lineRule="auto"/>
        <w:jc w:val="center"/>
      </w:pPr>
      <w:r w:rsidRPr="00D27E6B">
        <w:rPr>
          <w:noProof/>
        </w:rPr>
        <w:lastRenderedPageBreak/>
        <w:drawing>
          <wp:inline distT="0" distB="0" distL="0" distR="0" wp14:anchorId="54B0946E" wp14:editId="153B34DA">
            <wp:extent cx="2082126" cy="1371600"/>
            <wp:effectExtent l="266700" t="190500" r="299720" b="361950"/>
            <wp:docPr id="2053" name="Picture 5" descr="C:\Users\User\Desktop\PROGRAMS\TOBACCO Project\EXHIBITION PARLIEAMENT\selected photo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descr="C:\Users\User\Desktop\PROGRAMS\TOBACCO Project\EXHIBITION PARLIEAMENT\selected photos\6.jpg"/>
                    <pic:cNvPicPr>
                      <a:picLocks noChangeAspect="1" noChangeArrowheads="1"/>
                    </pic:cNvPicPr>
                  </pic:nvPicPr>
                  <pic:blipFill>
                    <a:blip r:embed="rId14" cstate="print"/>
                    <a:srcRect/>
                    <a:stretch>
                      <a:fillRect/>
                    </a:stretch>
                  </pic:blipFill>
                  <pic:spPr bwMode="auto">
                    <a:xfrm>
                      <a:off x="0" y="0"/>
                      <a:ext cx="2082126" cy="1371600"/>
                    </a:xfrm>
                    <a:prstGeom prst="rect">
                      <a:avLst/>
                    </a:prstGeom>
                    <a:noFill/>
                    <a:effectLst>
                      <a:outerShdw blurRad="254000" dist="38100" dir="5400000" sx="106000" sy="106000" algn="t" rotWithShape="0">
                        <a:prstClr val="black">
                          <a:alpha val="55000"/>
                        </a:prstClr>
                      </a:outerShdw>
                    </a:effectLst>
                  </pic:spPr>
                </pic:pic>
              </a:graphicData>
            </a:graphic>
          </wp:inline>
        </w:drawing>
      </w:r>
      <w:r w:rsidRPr="00D27E6B">
        <w:rPr>
          <w:noProof/>
        </w:rPr>
        <w:drawing>
          <wp:inline distT="0" distB="0" distL="0" distR="0" wp14:anchorId="2F58361A" wp14:editId="66203E43">
            <wp:extent cx="2033588" cy="1355725"/>
            <wp:effectExtent l="266700" t="190500" r="309880" b="358775"/>
            <wp:docPr id="2057" name="Picture 9" descr="C:\Users\User\Desktop\PROGRAMS\TOBACCO Project\EXHIBITION PARLIEAMENT\selected photos\uTxari sigarets 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 name="Picture 9" descr="C:\Users\User\Desktop\PROGRAMS\TOBACCO Project\EXHIBITION PARLIEAMENT\selected photos\uTxari sigarets ara.jpg"/>
                    <pic:cNvPicPr>
                      <a:picLocks noChangeAspect="1" noChangeArrowheads="1"/>
                    </pic:cNvPicPr>
                  </pic:nvPicPr>
                  <pic:blipFill>
                    <a:blip r:embed="rId15" cstate="print"/>
                    <a:srcRect/>
                    <a:stretch>
                      <a:fillRect/>
                    </a:stretch>
                  </pic:blipFill>
                  <pic:spPr bwMode="auto">
                    <a:xfrm>
                      <a:off x="0" y="0"/>
                      <a:ext cx="2039326" cy="1359550"/>
                    </a:xfrm>
                    <a:prstGeom prst="rect">
                      <a:avLst/>
                    </a:prstGeom>
                    <a:noFill/>
                    <a:effectLst>
                      <a:outerShdw blurRad="254000" dist="38100" dir="5400000" sx="106000" sy="106000" algn="t" rotWithShape="0">
                        <a:prstClr val="black">
                          <a:alpha val="55000"/>
                        </a:prstClr>
                      </a:outerShdw>
                    </a:effectLst>
                  </pic:spPr>
                </pic:pic>
              </a:graphicData>
            </a:graphic>
          </wp:inline>
        </w:drawing>
      </w:r>
    </w:p>
    <w:p w:rsidR="00926342" w:rsidRPr="00891E52" w:rsidRDefault="00F56023" w:rsidP="00BD50ED">
      <w:pPr>
        <w:spacing w:after="120" w:line="240" w:lineRule="auto"/>
        <w:jc w:val="both"/>
        <w:rPr>
          <w:sz w:val="24"/>
          <w:szCs w:val="24"/>
        </w:rPr>
      </w:pPr>
      <w:r w:rsidRPr="00891E52">
        <w:rPr>
          <w:sz w:val="24"/>
          <w:szCs w:val="24"/>
        </w:rPr>
        <w:t>Georgia has been selected as a FCTC2030 project Partner Party among other 14 countries. This project is a new initiative of the WHO FCTC Secretariat to directly help countries to scale up tobacco control measures. Georgia is the only country being selected from the European region. One of the selection criteria was the motivation of the country to advance tobacco control and demonstration of some significant achievements in this regard.</w:t>
      </w:r>
    </w:p>
    <w:p w:rsidR="00926342" w:rsidRPr="00891E52" w:rsidRDefault="00926342" w:rsidP="00BD50ED">
      <w:pPr>
        <w:spacing w:after="120" w:line="240" w:lineRule="auto"/>
        <w:jc w:val="both"/>
        <w:rPr>
          <w:b/>
          <w:i/>
          <w:color w:val="2E74B5" w:themeColor="accent1" w:themeShade="BF"/>
          <w:sz w:val="28"/>
          <w:szCs w:val="28"/>
        </w:rPr>
      </w:pPr>
      <w:r w:rsidRPr="00891E52">
        <w:rPr>
          <w:b/>
          <w:i/>
          <w:color w:val="2E74B5" w:themeColor="accent1" w:themeShade="BF"/>
          <w:sz w:val="28"/>
          <w:szCs w:val="28"/>
          <w:shd w:val="clear" w:color="auto" w:fill="FFFFFF"/>
        </w:rPr>
        <w:t xml:space="preserve">Challenges </w:t>
      </w:r>
    </w:p>
    <w:p w:rsidR="00926342" w:rsidRPr="00891E52" w:rsidRDefault="00926342" w:rsidP="00926342">
      <w:pPr>
        <w:spacing w:after="120" w:line="240" w:lineRule="auto"/>
        <w:jc w:val="both"/>
        <w:rPr>
          <w:sz w:val="24"/>
          <w:szCs w:val="24"/>
        </w:rPr>
      </w:pPr>
      <w:r w:rsidRPr="00891E52">
        <w:rPr>
          <w:sz w:val="24"/>
          <w:szCs w:val="24"/>
        </w:rPr>
        <w:t xml:space="preserve">Despite the efforts of strives of the Georgian Government to combat the wide-spread tobacco epidemics in the country, almost one third of adult population in Georgia are active smokers and tobacco industry interference in law implementation remains a big challenge. </w:t>
      </w:r>
    </w:p>
    <w:p w:rsidR="00926342" w:rsidRPr="00891E52" w:rsidRDefault="00926342" w:rsidP="00926342">
      <w:pPr>
        <w:spacing w:after="120" w:line="240" w:lineRule="auto"/>
        <w:jc w:val="both"/>
        <w:rPr>
          <w:sz w:val="24"/>
          <w:szCs w:val="24"/>
        </w:rPr>
      </w:pPr>
      <w:r w:rsidRPr="00891E52">
        <w:rPr>
          <w:sz w:val="24"/>
          <w:szCs w:val="24"/>
        </w:rPr>
        <w:t>Given this situation, some of the vitally important tobacco control policies are being prioritized among which are:</w:t>
      </w:r>
    </w:p>
    <w:p w:rsidR="00926342" w:rsidRPr="00891E52" w:rsidRDefault="00926342" w:rsidP="00926342">
      <w:pPr>
        <w:pStyle w:val="ListParagraph"/>
        <w:numPr>
          <w:ilvl w:val="0"/>
          <w:numId w:val="1"/>
        </w:numPr>
        <w:spacing w:after="120" w:line="240" w:lineRule="auto"/>
        <w:jc w:val="both"/>
        <w:rPr>
          <w:sz w:val="24"/>
          <w:szCs w:val="24"/>
        </w:rPr>
      </w:pPr>
      <w:r w:rsidRPr="00891E52">
        <w:rPr>
          <w:sz w:val="24"/>
          <w:szCs w:val="24"/>
        </w:rPr>
        <w:t>Implementation of FCTC Article 5 obligations</w:t>
      </w:r>
    </w:p>
    <w:p w:rsidR="00926342" w:rsidRPr="00891E52" w:rsidRDefault="00926342" w:rsidP="00926342">
      <w:pPr>
        <w:pStyle w:val="ListParagraph"/>
        <w:numPr>
          <w:ilvl w:val="0"/>
          <w:numId w:val="1"/>
        </w:numPr>
        <w:spacing w:after="120" w:line="240" w:lineRule="auto"/>
        <w:jc w:val="both"/>
        <w:rPr>
          <w:sz w:val="24"/>
          <w:szCs w:val="24"/>
        </w:rPr>
      </w:pPr>
      <w:r w:rsidRPr="00891E52">
        <w:rPr>
          <w:sz w:val="24"/>
          <w:szCs w:val="24"/>
        </w:rPr>
        <w:t xml:space="preserve">Strengthening implementation of </w:t>
      </w:r>
      <w:proofErr w:type="spellStart"/>
      <w:r w:rsidRPr="00891E52">
        <w:rPr>
          <w:sz w:val="24"/>
          <w:szCs w:val="24"/>
        </w:rPr>
        <w:t>timebound</w:t>
      </w:r>
      <w:proofErr w:type="spellEnd"/>
      <w:r w:rsidRPr="00891E52">
        <w:rPr>
          <w:sz w:val="24"/>
          <w:szCs w:val="24"/>
        </w:rPr>
        <w:t xml:space="preserve"> articles of the WHO FCTC</w:t>
      </w:r>
    </w:p>
    <w:p w:rsidR="00926342" w:rsidRPr="00891E52" w:rsidRDefault="00926342" w:rsidP="00926342">
      <w:pPr>
        <w:pStyle w:val="ListParagraph"/>
        <w:numPr>
          <w:ilvl w:val="1"/>
          <w:numId w:val="1"/>
        </w:numPr>
        <w:spacing w:after="120" w:line="240" w:lineRule="auto"/>
        <w:jc w:val="both"/>
        <w:rPr>
          <w:sz w:val="24"/>
          <w:szCs w:val="24"/>
        </w:rPr>
      </w:pPr>
      <w:r w:rsidRPr="00891E52">
        <w:rPr>
          <w:sz w:val="24"/>
          <w:szCs w:val="24"/>
        </w:rPr>
        <w:t>Total ban of smoking in all enclosed public/work places and specific outdoor areas designated for youth and hazardous materials</w:t>
      </w:r>
    </w:p>
    <w:p w:rsidR="00926342" w:rsidRPr="00891E52" w:rsidRDefault="00926342" w:rsidP="00926342">
      <w:pPr>
        <w:pStyle w:val="ListParagraph"/>
        <w:numPr>
          <w:ilvl w:val="1"/>
          <w:numId w:val="1"/>
        </w:numPr>
        <w:spacing w:after="120" w:line="240" w:lineRule="auto"/>
        <w:jc w:val="both"/>
        <w:rPr>
          <w:sz w:val="24"/>
          <w:szCs w:val="24"/>
        </w:rPr>
      </w:pPr>
      <w:r w:rsidRPr="00891E52">
        <w:rPr>
          <w:sz w:val="24"/>
          <w:szCs w:val="24"/>
        </w:rPr>
        <w:t>Total ban of tobacco advertisement, sponsorship and promotion</w:t>
      </w:r>
    </w:p>
    <w:p w:rsidR="00926342" w:rsidRPr="00891E52" w:rsidRDefault="00926342" w:rsidP="00926342">
      <w:pPr>
        <w:pStyle w:val="ListParagraph"/>
        <w:numPr>
          <w:ilvl w:val="1"/>
          <w:numId w:val="1"/>
        </w:numPr>
        <w:spacing w:after="120" w:line="240" w:lineRule="auto"/>
        <w:jc w:val="both"/>
        <w:rPr>
          <w:sz w:val="24"/>
          <w:szCs w:val="24"/>
        </w:rPr>
      </w:pPr>
      <w:r w:rsidRPr="00891E52">
        <w:rPr>
          <w:sz w:val="24"/>
          <w:szCs w:val="24"/>
        </w:rPr>
        <w:t>At least 65% of pictorial health warnings on the surface of tobacco packages</w:t>
      </w:r>
    </w:p>
    <w:p w:rsidR="00926342" w:rsidRPr="00891E52" w:rsidRDefault="00926342" w:rsidP="00926342">
      <w:pPr>
        <w:pStyle w:val="ListParagraph"/>
        <w:numPr>
          <w:ilvl w:val="0"/>
          <w:numId w:val="1"/>
        </w:numPr>
        <w:spacing w:after="120" w:line="240" w:lineRule="auto"/>
        <w:jc w:val="both"/>
        <w:rPr>
          <w:sz w:val="24"/>
          <w:szCs w:val="24"/>
        </w:rPr>
      </w:pPr>
      <w:r w:rsidRPr="00891E52">
        <w:rPr>
          <w:sz w:val="24"/>
          <w:szCs w:val="24"/>
        </w:rPr>
        <w:t>Strengthening tobacco control law enforcement/administration</w:t>
      </w:r>
    </w:p>
    <w:p w:rsidR="00926342" w:rsidRPr="00891E52" w:rsidRDefault="00926342" w:rsidP="0034484E">
      <w:pPr>
        <w:pStyle w:val="ListParagraph"/>
        <w:numPr>
          <w:ilvl w:val="0"/>
          <w:numId w:val="1"/>
        </w:numPr>
        <w:spacing w:after="120" w:line="240" w:lineRule="auto"/>
        <w:jc w:val="both"/>
        <w:rPr>
          <w:b/>
          <w:sz w:val="24"/>
          <w:szCs w:val="24"/>
        </w:rPr>
      </w:pPr>
      <w:r w:rsidRPr="00891E52">
        <w:rPr>
          <w:sz w:val="24"/>
          <w:szCs w:val="24"/>
        </w:rPr>
        <w:t>Strengthening of tobacco taxation</w:t>
      </w:r>
    </w:p>
    <w:p w:rsidR="00926342" w:rsidRDefault="00926342" w:rsidP="00BD50ED">
      <w:pPr>
        <w:spacing w:after="120" w:line="240" w:lineRule="auto"/>
        <w:jc w:val="both"/>
        <w:rPr>
          <w:bCs/>
          <w:sz w:val="24"/>
          <w:szCs w:val="24"/>
        </w:rPr>
      </w:pPr>
      <w:r w:rsidRPr="00891E52">
        <w:rPr>
          <w:sz w:val="24"/>
          <w:szCs w:val="24"/>
        </w:rPr>
        <w:t xml:space="preserve">Abovementioned tobacco control measures will contribute to full implementation of the WHO Framework Convention on Tobacco Control, thus also advancing the achievement of SDG targets related to tobacco control. There are opportunities for Georgia such as the High level political commitment, National focal point of tobacco control within </w:t>
      </w:r>
      <w:proofErr w:type="spellStart"/>
      <w:r w:rsidRPr="00891E52">
        <w:rPr>
          <w:sz w:val="24"/>
          <w:szCs w:val="24"/>
        </w:rPr>
        <w:t>MoLHSA</w:t>
      </w:r>
      <w:proofErr w:type="spellEnd"/>
      <w:r w:rsidRPr="00891E52">
        <w:rPr>
          <w:sz w:val="24"/>
          <w:szCs w:val="24"/>
        </w:rPr>
        <w:t xml:space="preserve">, high level public support, active CSOs and strong legislative measures. However, the findings of the needs assessment for the implementation of WHO FCTC in Georgia indicate that the tobacco control activities need to be further strengthened and </w:t>
      </w:r>
      <w:r w:rsidRPr="00891E52">
        <w:rPr>
          <w:bCs/>
          <w:sz w:val="24"/>
          <w:szCs w:val="24"/>
        </w:rPr>
        <w:t>existing Tobacco Control National Strategy and Action Plan need to be properly revised and implemented.</w:t>
      </w:r>
    </w:p>
    <w:p w:rsidR="00BB2BA7" w:rsidRDefault="00BB2BA7" w:rsidP="00BD50ED">
      <w:pPr>
        <w:spacing w:after="120" w:line="240" w:lineRule="auto"/>
        <w:jc w:val="both"/>
        <w:rPr>
          <w:bCs/>
          <w:sz w:val="24"/>
          <w:szCs w:val="24"/>
        </w:rPr>
      </w:pPr>
    </w:p>
    <w:p w:rsidR="00BB2BA7" w:rsidRDefault="00BB2BA7" w:rsidP="00BD50ED">
      <w:pPr>
        <w:spacing w:after="120" w:line="240" w:lineRule="auto"/>
        <w:jc w:val="both"/>
        <w:rPr>
          <w:bCs/>
          <w:sz w:val="24"/>
          <w:szCs w:val="24"/>
        </w:rPr>
      </w:pPr>
    </w:p>
    <w:p w:rsidR="00BB2BA7" w:rsidRDefault="00BB2BA7" w:rsidP="00BD50ED">
      <w:pPr>
        <w:spacing w:after="120" w:line="240" w:lineRule="auto"/>
        <w:jc w:val="both"/>
        <w:rPr>
          <w:bCs/>
          <w:sz w:val="24"/>
          <w:szCs w:val="24"/>
        </w:rPr>
      </w:pPr>
    </w:p>
    <w:p w:rsidR="00BB2BA7" w:rsidRPr="00EA39DE" w:rsidRDefault="00BB2BA7" w:rsidP="00BB2BA7">
      <w:pPr>
        <w:spacing w:after="120" w:line="240" w:lineRule="auto"/>
        <w:contextualSpacing/>
        <w:jc w:val="both"/>
        <w:rPr>
          <w:rFonts w:ascii="Calibri" w:hAnsi="Calibri" w:cs="Calibri"/>
          <w:color w:val="2E74B5" w:themeColor="accent1" w:themeShade="BF"/>
          <w:sz w:val="24"/>
          <w:szCs w:val="24"/>
        </w:rPr>
      </w:pPr>
      <w:r w:rsidRPr="00EA39DE">
        <w:rPr>
          <w:rFonts w:ascii="Calibri" w:hAnsi="Calibri" w:cs="Calibri"/>
          <w:color w:val="2E74B5" w:themeColor="accent1" w:themeShade="BF"/>
          <w:sz w:val="24"/>
          <w:szCs w:val="24"/>
        </w:rPr>
        <w:t>________________________________________________________</w:t>
      </w:r>
      <w:r>
        <w:rPr>
          <w:rFonts w:ascii="Calibri" w:hAnsi="Calibri" w:cs="Calibri"/>
          <w:color w:val="2E74B5" w:themeColor="accent1" w:themeShade="BF"/>
          <w:sz w:val="24"/>
          <w:szCs w:val="24"/>
        </w:rPr>
        <w:t>_______________________________</w:t>
      </w:r>
    </w:p>
    <w:tbl>
      <w:tblPr>
        <w:tblStyle w:val="TableGrid0"/>
        <w:tblW w:w="1033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7"/>
        <w:gridCol w:w="4831"/>
      </w:tblGrid>
      <w:tr w:rsidR="00BB2BA7" w:rsidRPr="00EA39DE" w:rsidTr="00603FA6">
        <w:trPr>
          <w:trHeight w:val="1802"/>
        </w:trPr>
        <w:tc>
          <w:tcPr>
            <w:tcW w:w="5507" w:type="dxa"/>
          </w:tcPr>
          <w:p w:rsidR="00BB2BA7" w:rsidRPr="00EA39DE" w:rsidRDefault="00BB2BA7" w:rsidP="00603FA6">
            <w:pPr>
              <w:spacing w:after="120"/>
              <w:contextualSpacing/>
              <w:jc w:val="center"/>
              <w:rPr>
                <w:rFonts w:ascii="Calibri" w:hAnsi="Calibri" w:cs="Calibri"/>
                <w:color w:val="2E74B5" w:themeColor="accent1" w:themeShade="BF"/>
                <w:sz w:val="20"/>
                <w:szCs w:val="20"/>
              </w:rPr>
            </w:pPr>
            <w:r w:rsidRPr="00EA39DE">
              <w:rPr>
                <w:rFonts w:asciiTheme="majorHAnsi" w:eastAsiaTheme="majorEastAsia" w:hAnsiTheme="majorHAnsi" w:cstheme="majorBidi"/>
                <w:bCs/>
                <w:noProof/>
                <w:color w:val="2E74B5" w:themeColor="accent1" w:themeShade="BF"/>
                <w:sz w:val="20"/>
                <w:szCs w:val="20"/>
              </w:rPr>
              <w:drawing>
                <wp:anchor distT="0" distB="0" distL="114300" distR="114300" simplePos="0" relativeHeight="251667456" behindDoc="0" locked="0" layoutInCell="1" allowOverlap="1" wp14:anchorId="5A1F71DD" wp14:editId="0360062D">
                  <wp:simplePos x="0" y="0"/>
                  <wp:positionH relativeFrom="column">
                    <wp:posOffset>1143635</wp:posOffset>
                  </wp:positionH>
                  <wp:positionV relativeFrom="paragraph">
                    <wp:posOffset>118745</wp:posOffset>
                  </wp:positionV>
                  <wp:extent cx="1133475" cy="448310"/>
                  <wp:effectExtent l="0" t="0" r="9525" b="8890"/>
                  <wp:wrapNone/>
                  <wp:docPr id="6" name="Picture 6" descr="F:\SCRC შეხვედრისთვის 7.11.2017\Briefs\New new briefs\MOH 1 Logo-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RC შეხვედრისთვის 7.11.2017\Briefs\New new briefs\MOH 1 Logo-ENG.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33475" cy="448310"/>
                          </a:xfrm>
                          <a:prstGeom prst="rect">
                            <a:avLst/>
                          </a:prstGeom>
                          <a:noFill/>
                          <a:ln>
                            <a:noFill/>
                          </a:ln>
                        </pic:spPr>
                      </pic:pic>
                    </a:graphicData>
                  </a:graphic>
                </wp:anchor>
              </w:drawing>
            </w:r>
            <w:r w:rsidRPr="00EA39DE">
              <w:rPr>
                <w:rFonts w:ascii="Calibri" w:hAnsi="Calibri" w:cs="Calibri"/>
                <w:color w:val="2E74B5" w:themeColor="accent1" w:themeShade="BF"/>
                <w:sz w:val="20"/>
                <w:szCs w:val="20"/>
              </w:rPr>
              <w:t xml:space="preserve">     </w:t>
            </w:r>
          </w:p>
          <w:p w:rsidR="00BB2BA7" w:rsidRPr="00EA39DE" w:rsidRDefault="00BB2BA7" w:rsidP="00603FA6">
            <w:pPr>
              <w:spacing w:after="120"/>
              <w:contextualSpacing/>
              <w:jc w:val="center"/>
              <w:rPr>
                <w:rFonts w:ascii="Calibri" w:hAnsi="Calibri" w:cs="Calibri"/>
                <w:color w:val="2E74B5" w:themeColor="accent1" w:themeShade="BF"/>
                <w:sz w:val="20"/>
                <w:szCs w:val="20"/>
              </w:rPr>
            </w:pPr>
          </w:p>
          <w:p w:rsidR="00BB2BA7" w:rsidRPr="00EA39DE" w:rsidRDefault="00BB2BA7" w:rsidP="00603FA6">
            <w:pPr>
              <w:spacing w:after="120"/>
              <w:contextualSpacing/>
              <w:jc w:val="center"/>
              <w:rPr>
                <w:rFonts w:ascii="Calibri" w:hAnsi="Calibri" w:cs="Calibri"/>
                <w:color w:val="2E74B5" w:themeColor="accent1" w:themeShade="BF"/>
                <w:sz w:val="20"/>
                <w:szCs w:val="20"/>
              </w:rPr>
            </w:pPr>
          </w:p>
          <w:p w:rsidR="00BB2BA7" w:rsidRPr="00EA39DE" w:rsidRDefault="00BB2BA7" w:rsidP="00603FA6">
            <w:pPr>
              <w:spacing w:after="120"/>
              <w:contextualSpacing/>
              <w:jc w:val="center"/>
              <w:rPr>
                <w:rFonts w:ascii="Calibri" w:hAnsi="Calibri" w:cs="Calibri"/>
                <w:color w:val="2E74B5" w:themeColor="accent1" w:themeShade="BF"/>
                <w:sz w:val="20"/>
                <w:szCs w:val="20"/>
              </w:rPr>
            </w:pPr>
            <w:r w:rsidRPr="00EA39DE">
              <w:rPr>
                <w:rFonts w:ascii="Calibri" w:hAnsi="Calibri" w:cs="Calibri"/>
                <w:color w:val="2E74B5" w:themeColor="accent1" w:themeShade="BF"/>
                <w:sz w:val="20"/>
                <w:szCs w:val="20"/>
              </w:rPr>
              <w:t xml:space="preserve">    </w:t>
            </w:r>
          </w:p>
          <w:p w:rsidR="00BB2BA7" w:rsidRPr="00EA39DE" w:rsidRDefault="00BB2BA7" w:rsidP="00603FA6">
            <w:pPr>
              <w:pStyle w:val="Heading2"/>
              <w:ind w:left="-392"/>
              <w:jc w:val="center"/>
              <w:outlineLvl w:val="1"/>
              <w:rPr>
                <w:rFonts w:ascii="Calibri" w:hAnsi="Calibri" w:cs="Calibri"/>
                <w:b w:val="0"/>
                <w:bCs w:val="0"/>
                <w:i w:val="0"/>
                <w:color w:val="2E74B5" w:themeColor="accent1" w:themeShade="BF"/>
                <w:sz w:val="20"/>
                <w:szCs w:val="20"/>
              </w:rPr>
            </w:pPr>
            <w:r w:rsidRPr="00EA39DE">
              <w:rPr>
                <w:rFonts w:ascii="Calibri" w:hAnsi="Calibri" w:cs="Calibri"/>
                <w:b w:val="0"/>
                <w:i w:val="0"/>
                <w:color w:val="2E74B5" w:themeColor="accent1" w:themeShade="BF"/>
                <w:sz w:val="20"/>
                <w:szCs w:val="20"/>
              </w:rPr>
              <w:t xml:space="preserve">Ministry of </w:t>
            </w:r>
            <w:proofErr w:type="spellStart"/>
            <w:r w:rsidRPr="00EA39DE">
              <w:rPr>
                <w:rFonts w:ascii="Calibri" w:hAnsi="Calibri" w:cs="Calibri"/>
                <w:b w:val="0"/>
                <w:i w:val="0"/>
                <w:color w:val="2E74B5" w:themeColor="accent1" w:themeShade="BF"/>
                <w:sz w:val="20"/>
                <w:szCs w:val="20"/>
              </w:rPr>
              <w:t>Labour</w:t>
            </w:r>
            <w:proofErr w:type="spellEnd"/>
            <w:r w:rsidRPr="00EA39DE">
              <w:rPr>
                <w:rFonts w:ascii="Calibri" w:hAnsi="Calibri" w:cs="Calibri"/>
                <w:b w:val="0"/>
                <w:i w:val="0"/>
                <w:color w:val="2E74B5" w:themeColor="accent1" w:themeShade="BF"/>
                <w:sz w:val="20"/>
                <w:szCs w:val="20"/>
              </w:rPr>
              <w:t>, Health and Social Affairs of Georgia</w:t>
            </w:r>
          </w:p>
          <w:p w:rsidR="00BB2BA7" w:rsidRPr="00EA39DE" w:rsidRDefault="00BB2BA7" w:rsidP="00603FA6">
            <w:pPr>
              <w:spacing w:after="120"/>
              <w:ind w:left="-392"/>
              <w:contextualSpacing/>
              <w:jc w:val="center"/>
              <w:rPr>
                <w:rFonts w:ascii="Sylfaen" w:eastAsiaTheme="majorEastAsia" w:hAnsi="Sylfaen" w:cs="Calibri"/>
                <w:bCs/>
                <w:color w:val="2E74B5" w:themeColor="accent1" w:themeShade="BF"/>
                <w:sz w:val="20"/>
                <w:szCs w:val="20"/>
                <w:lang w:val="ka-GE"/>
              </w:rPr>
            </w:pPr>
            <w:r w:rsidRPr="00EA39DE">
              <w:rPr>
                <w:rFonts w:ascii="Calibri" w:eastAsiaTheme="majorEastAsia" w:hAnsi="Calibri" w:cs="Calibri"/>
                <w:bCs/>
                <w:color w:val="2E74B5" w:themeColor="accent1" w:themeShade="BF"/>
                <w:sz w:val="20"/>
                <w:szCs w:val="20"/>
              </w:rPr>
              <w:t>144, A. Tsereteli avenue. Tbilisi, Georgia, 0119</w:t>
            </w:r>
          </w:p>
          <w:p w:rsidR="00BB2BA7" w:rsidRPr="00EA39DE" w:rsidRDefault="00BB2BA7" w:rsidP="00603FA6">
            <w:pPr>
              <w:spacing w:after="120"/>
              <w:ind w:left="-392"/>
              <w:contextualSpacing/>
              <w:jc w:val="center"/>
              <w:rPr>
                <w:rFonts w:ascii="Calibri" w:hAnsi="Calibri" w:cs="Calibri"/>
                <w:color w:val="2E74B5" w:themeColor="accent1" w:themeShade="BF"/>
                <w:sz w:val="20"/>
                <w:szCs w:val="20"/>
              </w:rPr>
            </w:pPr>
            <w:r w:rsidRPr="00EA39DE">
              <w:rPr>
                <w:rFonts w:ascii="Calibri" w:eastAsiaTheme="majorEastAsia" w:hAnsi="Calibri" w:cs="Calibri"/>
                <w:bCs/>
                <w:color w:val="2E74B5" w:themeColor="accent1" w:themeShade="BF"/>
                <w:sz w:val="20"/>
                <w:szCs w:val="20"/>
              </w:rPr>
              <w:t>www.moh.gov.ge</w:t>
            </w:r>
          </w:p>
        </w:tc>
        <w:tc>
          <w:tcPr>
            <w:tcW w:w="4831" w:type="dxa"/>
          </w:tcPr>
          <w:p w:rsidR="00BB2BA7" w:rsidRPr="00EA39DE" w:rsidRDefault="00BB2BA7" w:rsidP="00603FA6">
            <w:pPr>
              <w:spacing w:after="120"/>
              <w:contextualSpacing/>
              <w:jc w:val="center"/>
              <w:rPr>
                <w:rFonts w:ascii="Calibri" w:eastAsiaTheme="majorEastAsia" w:hAnsi="Calibri" w:cs="Calibri"/>
                <w:bCs/>
                <w:color w:val="2E74B5" w:themeColor="accent1" w:themeShade="BF"/>
                <w:sz w:val="20"/>
                <w:szCs w:val="20"/>
              </w:rPr>
            </w:pPr>
            <w:r w:rsidRPr="00EA39DE">
              <w:rPr>
                <w:rFonts w:ascii="Calibri" w:eastAsiaTheme="majorEastAsia" w:hAnsi="Calibri" w:cs="Calibri"/>
                <w:bCs/>
                <w:noProof/>
                <w:color w:val="2E74B5" w:themeColor="accent1" w:themeShade="BF"/>
                <w:sz w:val="20"/>
                <w:szCs w:val="20"/>
              </w:rPr>
              <w:drawing>
                <wp:anchor distT="0" distB="0" distL="114300" distR="114300" simplePos="0" relativeHeight="251666432" behindDoc="0" locked="0" layoutInCell="1" allowOverlap="1" wp14:anchorId="15D9AC7D" wp14:editId="5ABAFD78">
                  <wp:simplePos x="0" y="0"/>
                  <wp:positionH relativeFrom="column">
                    <wp:posOffset>866140</wp:posOffset>
                  </wp:positionH>
                  <wp:positionV relativeFrom="paragraph">
                    <wp:posOffset>91440</wp:posOffset>
                  </wp:positionV>
                  <wp:extent cx="1457325" cy="462233"/>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CDC gamchvirvale new.p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457325" cy="46223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B2BA7" w:rsidRPr="00EA39DE" w:rsidRDefault="00BB2BA7" w:rsidP="00603FA6">
            <w:pPr>
              <w:spacing w:after="120"/>
              <w:contextualSpacing/>
              <w:jc w:val="center"/>
              <w:rPr>
                <w:rFonts w:ascii="Calibri" w:eastAsiaTheme="majorEastAsia" w:hAnsi="Calibri" w:cs="Calibri"/>
                <w:bCs/>
                <w:color w:val="2E74B5" w:themeColor="accent1" w:themeShade="BF"/>
                <w:sz w:val="20"/>
                <w:szCs w:val="20"/>
              </w:rPr>
            </w:pPr>
          </w:p>
          <w:p w:rsidR="00BB2BA7" w:rsidRPr="00EA39DE" w:rsidRDefault="00BB2BA7" w:rsidP="00603FA6">
            <w:pPr>
              <w:spacing w:after="120"/>
              <w:contextualSpacing/>
              <w:jc w:val="center"/>
              <w:rPr>
                <w:rFonts w:ascii="Calibri" w:eastAsiaTheme="majorEastAsia" w:hAnsi="Calibri" w:cs="Calibri"/>
                <w:bCs/>
                <w:color w:val="2E74B5" w:themeColor="accent1" w:themeShade="BF"/>
                <w:sz w:val="20"/>
                <w:szCs w:val="20"/>
              </w:rPr>
            </w:pPr>
          </w:p>
          <w:p w:rsidR="00BB2BA7" w:rsidRPr="00EA39DE" w:rsidRDefault="00BB2BA7" w:rsidP="00603FA6">
            <w:pPr>
              <w:spacing w:after="120"/>
              <w:contextualSpacing/>
              <w:jc w:val="center"/>
              <w:rPr>
                <w:rFonts w:ascii="Calibri" w:eastAsiaTheme="majorEastAsia" w:hAnsi="Calibri" w:cs="Calibri"/>
                <w:bCs/>
                <w:color w:val="2E74B5" w:themeColor="accent1" w:themeShade="BF"/>
                <w:sz w:val="20"/>
                <w:szCs w:val="20"/>
              </w:rPr>
            </w:pPr>
            <w:r w:rsidRPr="00EA39DE">
              <w:rPr>
                <w:rFonts w:ascii="Calibri" w:eastAsiaTheme="majorEastAsia" w:hAnsi="Calibri" w:cs="Calibri"/>
                <w:bCs/>
                <w:color w:val="2E74B5" w:themeColor="accent1" w:themeShade="BF"/>
                <w:sz w:val="20"/>
                <w:szCs w:val="20"/>
              </w:rPr>
              <w:t xml:space="preserve"> </w:t>
            </w:r>
          </w:p>
          <w:p w:rsidR="00BB2BA7" w:rsidRPr="00EA39DE" w:rsidRDefault="00BB2BA7" w:rsidP="00603FA6">
            <w:pPr>
              <w:pStyle w:val="Heading2"/>
              <w:outlineLvl w:val="1"/>
              <w:rPr>
                <w:rFonts w:ascii="Calibri" w:hAnsi="Calibri" w:cs="Calibri"/>
                <w:b w:val="0"/>
                <w:bCs w:val="0"/>
                <w:i w:val="0"/>
                <w:color w:val="2E74B5" w:themeColor="accent1" w:themeShade="BF"/>
                <w:sz w:val="20"/>
                <w:szCs w:val="20"/>
              </w:rPr>
            </w:pPr>
            <w:r w:rsidRPr="00EA39DE">
              <w:rPr>
                <w:rFonts w:ascii="Calibri" w:hAnsi="Calibri" w:cs="Calibri"/>
                <w:b w:val="0"/>
                <w:i w:val="0"/>
                <w:color w:val="2E74B5" w:themeColor="accent1" w:themeShade="BF"/>
                <w:sz w:val="20"/>
                <w:szCs w:val="20"/>
              </w:rPr>
              <w:t>National Center for Disease Control and Public Health</w:t>
            </w:r>
          </w:p>
          <w:p w:rsidR="00BB2BA7" w:rsidRPr="00EA39DE" w:rsidRDefault="00BB2BA7" w:rsidP="00603FA6">
            <w:pPr>
              <w:pStyle w:val="Heading2"/>
              <w:jc w:val="center"/>
              <w:outlineLvl w:val="1"/>
              <w:rPr>
                <w:rFonts w:ascii="Calibri" w:hAnsi="Calibri" w:cs="Calibri"/>
                <w:b w:val="0"/>
                <w:bCs w:val="0"/>
                <w:i w:val="0"/>
                <w:color w:val="2E74B5" w:themeColor="accent1" w:themeShade="BF"/>
                <w:sz w:val="20"/>
                <w:szCs w:val="20"/>
                <w:lang w:val="ka-GE"/>
              </w:rPr>
            </w:pPr>
            <w:r w:rsidRPr="00EA39DE">
              <w:rPr>
                <w:rFonts w:ascii="Calibri" w:hAnsi="Calibri" w:cs="Calibri"/>
                <w:b w:val="0"/>
                <w:i w:val="0"/>
                <w:color w:val="2E74B5" w:themeColor="accent1" w:themeShade="BF"/>
                <w:sz w:val="20"/>
                <w:szCs w:val="20"/>
              </w:rPr>
              <w:t xml:space="preserve">9, M. </w:t>
            </w:r>
            <w:proofErr w:type="spellStart"/>
            <w:r w:rsidRPr="00EA39DE">
              <w:rPr>
                <w:rFonts w:ascii="Calibri" w:hAnsi="Calibri" w:cs="Calibri"/>
                <w:b w:val="0"/>
                <w:i w:val="0"/>
                <w:color w:val="2E74B5" w:themeColor="accent1" w:themeShade="BF"/>
                <w:sz w:val="20"/>
                <w:szCs w:val="20"/>
              </w:rPr>
              <w:t>Asatiani</w:t>
            </w:r>
            <w:proofErr w:type="spellEnd"/>
            <w:r w:rsidRPr="00EA39DE">
              <w:rPr>
                <w:rFonts w:ascii="Calibri" w:hAnsi="Calibri" w:cs="Calibri"/>
                <w:b w:val="0"/>
                <w:i w:val="0"/>
                <w:color w:val="2E74B5" w:themeColor="accent1" w:themeShade="BF"/>
                <w:sz w:val="20"/>
                <w:szCs w:val="20"/>
              </w:rPr>
              <w:t xml:space="preserve"> </w:t>
            </w:r>
            <w:proofErr w:type="gramStart"/>
            <w:r w:rsidRPr="00EA39DE">
              <w:rPr>
                <w:rFonts w:ascii="Calibri" w:hAnsi="Calibri" w:cs="Calibri"/>
                <w:b w:val="0"/>
                <w:i w:val="0"/>
                <w:color w:val="2E74B5" w:themeColor="accent1" w:themeShade="BF"/>
                <w:sz w:val="20"/>
                <w:szCs w:val="20"/>
              </w:rPr>
              <w:t>street</w:t>
            </w:r>
            <w:proofErr w:type="gramEnd"/>
            <w:r w:rsidRPr="00EA39DE">
              <w:rPr>
                <w:rFonts w:ascii="Calibri" w:hAnsi="Calibri" w:cs="Calibri"/>
                <w:b w:val="0"/>
                <w:i w:val="0"/>
                <w:color w:val="2E74B5" w:themeColor="accent1" w:themeShade="BF"/>
                <w:sz w:val="20"/>
                <w:szCs w:val="20"/>
                <w:lang w:val="ka-GE"/>
              </w:rPr>
              <w:t>.</w:t>
            </w:r>
            <w:r w:rsidRPr="00EA39DE">
              <w:rPr>
                <w:rFonts w:ascii="Calibri" w:hAnsi="Calibri" w:cs="Calibri"/>
                <w:b w:val="0"/>
                <w:i w:val="0"/>
                <w:color w:val="2E74B5" w:themeColor="accent1" w:themeShade="BF"/>
                <w:sz w:val="20"/>
                <w:szCs w:val="20"/>
              </w:rPr>
              <w:t xml:space="preserve"> Tbilisi, Georgia,</w:t>
            </w:r>
            <w:r w:rsidRPr="00EA39DE">
              <w:rPr>
                <w:rFonts w:ascii="Calibri" w:hAnsi="Calibri" w:cs="Calibri"/>
                <w:b w:val="0"/>
                <w:i w:val="0"/>
                <w:color w:val="2E74B5" w:themeColor="accent1" w:themeShade="BF"/>
                <w:sz w:val="20"/>
                <w:szCs w:val="20"/>
                <w:lang w:val="ka-GE"/>
              </w:rPr>
              <w:t xml:space="preserve"> 0177</w:t>
            </w:r>
          </w:p>
          <w:p w:rsidR="00BB2BA7" w:rsidRPr="00EA39DE" w:rsidRDefault="00BB2BA7" w:rsidP="00603FA6">
            <w:pPr>
              <w:spacing w:after="120"/>
              <w:contextualSpacing/>
              <w:jc w:val="center"/>
              <w:rPr>
                <w:rFonts w:ascii="Calibri" w:hAnsi="Calibri" w:cs="Calibri"/>
                <w:color w:val="2E74B5" w:themeColor="accent1" w:themeShade="BF"/>
                <w:sz w:val="20"/>
                <w:szCs w:val="20"/>
              </w:rPr>
            </w:pPr>
            <w:r w:rsidRPr="00EA39DE">
              <w:rPr>
                <w:rFonts w:ascii="Calibri" w:hAnsi="Calibri" w:cs="Calibri"/>
                <w:color w:val="2E74B5" w:themeColor="accent1" w:themeShade="BF"/>
                <w:sz w:val="20"/>
                <w:szCs w:val="20"/>
              </w:rPr>
              <w:t>www.ncdc.ge</w:t>
            </w:r>
          </w:p>
        </w:tc>
      </w:tr>
    </w:tbl>
    <w:p w:rsidR="00BB2BA7" w:rsidRDefault="00BB2BA7" w:rsidP="00BD50ED">
      <w:pPr>
        <w:spacing w:after="120" w:line="240" w:lineRule="auto"/>
        <w:jc w:val="both"/>
        <w:rPr>
          <w:bCs/>
          <w:sz w:val="24"/>
          <w:szCs w:val="24"/>
        </w:rPr>
      </w:pPr>
    </w:p>
    <w:sectPr w:rsidR="00BB2BA7" w:rsidSect="00926342">
      <w:pgSz w:w="11906" w:h="16838"/>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2B9F"/>
    <w:multiLevelType w:val="hybridMultilevel"/>
    <w:tmpl w:val="402427A8"/>
    <w:lvl w:ilvl="0" w:tplc="B1D49806">
      <w:start w:val="1"/>
      <w:numFmt w:val="bullet"/>
      <w:lvlText w:val="•"/>
      <w:lvlJc w:val="left"/>
      <w:pPr>
        <w:ind w:left="36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1" w:tplc="BD32D212">
      <w:start w:val="1"/>
      <w:numFmt w:val="bullet"/>
      <w:lvlText w:val="o"/>
      <w:lvlJc w:val="left"/>
      <w:pPr>
        <w:ind w:left="108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2" w:tplc="7CFC58D6">
      <w:start w:val="1"/>
      <w:numFmt w:val="bullet"/>
      <w:lvlText w:val="▪"/>
      <w:lvlJc w:val="left"/>
      <w:pPr>
        <w:ind w:left="180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3" w:tplc="A330FCE2">
      <w:start w:val="1"/>
      <w:numFmt w:val="bullet"/>
      <w:lvlText w:val="•"/>
      <w:lvlJc w:val="left"/>
      <w:pPr>
        <w:ind w:left="252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4" w:tplc="1BA4CFA6">
      <w:start w:val="1"/>
      <w:numFmt w:val="bullet"/>
      <w:lvlText w:val="o"/>
      <w:lvlJc w:val="left"/>
      <w:pPr>
        <w:ind w:left="324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5" w:tplc="AB485D3E">
      <w:start w:val="1"/>
      <w:numFmt w:val="bullet"/>
      <w:lvlText w:val="▪"/>
      <w:lvlJc w:val="left"/>
      <w:pPr>
        <w:ind w:left="396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6" w:tplc="9C06121C">
      <w:start w:val="1"/>
      <w:numFmt w:val="bullet"/>
      <w:lvlText w:val="•"/>
      <w:lvlJc w:val="left"/>
      <w:pPr>
        <w:ind w:left="468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7" w:tplc="2C26162A">
      <w:start w:val="1"/>
      <w:numFmt w:val="bullet"/>
      <w:lvlText w:val="o"/>
      <w:lvlJc w:val="left"/>
      <w:pPr>
        <w:ind w:left="540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8" w:tplc="C700EE4A">
      <w:start w:val="1"/>
      <w:numFmt w:val="bullet"/>
      <w:lvlText w:val="▪"/>
      <w:lvlJc w:val="left"/>
      <w:pPr>
        <w:ind w:left="612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abstractNum>
  <w:abstractNum w:abstractNumId="1" w15:restartNumberingAfterBreak="0">
    <w:nsid w:val="2CEE59CD"/>
    <w:multiLevelType w:val="hybridMultilevel"/>
    <w:tmpl w:val="8710FF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A42707"/>
    <w:multiLevelType w:val="hybridMultilevel"/>
    <w:tmpl w:val="D3BED614"/>
    <w:lvl w:ilvl="0" w:tplc="5F06DFB2">
      <w:start w:val="1"/>
      <w:numFmt w:val="bullet"/>
      <w:lvlText w:val="•"/>
      <w:lvlJc w:val="left"/>
      <w:pPr>
        <w:ind w:left="36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1" w:tplc="5E8202B2">
      <w:start w:val="1"/>
      <w:numFmt w:val="bullet"/>
      <w:lvlText w:val="o"/>
      <w:lvlJc w:val="left"/>
      <w:pPr>
        <w:ind w:left="108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2" w:tplc="C3845A9E">
      <w:start w:val="1"/>
      <w:numFmt w:val="bullet"/>
      <w:lvlText w:val="▪"/>
      <w:lvlJc w:val="left"/>
      <w:pPr>
        <w:ind w:left="180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3" w:tplc="F8F455FC">
      <w:start w:val="1"/>
      <w:numFmt w:val="bullet"/>
      <w:lvlText w:val="•"/>
      <w:lvlJc w:val="left"/>
      <w:pPr>
        <w:ind w:left="252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4" w:tplc="3B50C470">
      <w:start w:val="1"/>
      <w:numFmt w:val="bullet"/>
      <w:lvlText w:val="o"/>
      <w:lvlJc w:val="left"/>
      <w:pPr>
        <w:ind w:left="324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5" w:tplc="874E5C76">
      <w:start w:val="1"/>
      <w:numFmt w:val="bullet"/>
      <w:lvlText w:val="▪"/>
      <w:lvlJc w:val="left"/>
      <w:pPr>
        <w:ind w:left="396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6" w:tplc="A8429DEC">
      <w:start w:val="1"/>
      <w:numFmt w:val="bullet"/>
      <w:lvlText w:val="•"/>
      <w:lvlJc w:val="left"/>
      <w:pPr>
        <w:ind w:left="468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7" w:tplc="D8C45342">
      <w:start w:val="1"/>
      <w:numFmt w:val="bullet"/>
      <w:lvlText w:val="o"/>
      <w:lvlJc w:val="left"/>
      <w:pPr>
        <w:ind w:left="540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8" w:tplc="9B882ADC">
      <w:start w:val="1"/>
      <w:numFmt w:val="bullet"/>
      <w:lvlText w:val="▪"/>
      <w:lvlJc w:val="left"/>
      <w:pPr>
        <w:ind w:left="612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abstractNum>
  <w:abstractNum w:abstractNumId="3" w15:restartNumberingAfterBreak="0">
    <w:nsid w:val="3A7A2274"/>
    <w:multiLevelType w:val="hybridMultilevel"/>
    <w:tmpl w:val="D9AE8EB6"/>
    <w:lvl w:ilvl="0" w:tplc="B1D49806">
      <w:start w:val="1"/>
      <w:numFmt w:val="bullet"/>
      <w:lvlText w:val="•"/>
      <w:lvlJc w:val="left"/>
      <w:pPr>
        <w:ind w:left="720" w:hanging="360"/>
      </w:pPr>
      <w:rPr>
        <w:rFonts w:ascii="Arial" w:eastAsia="Arial" w:hAnsi="Arial" w:cs="Arial" w:hint="default"/>
        <w:b w:val="0"/>
        <w:i w:val="0"/>
        <w:strike w:val="0"/>
        <w:dstrike w:val="0"/>
        <w:color w:val="000000"/>
        <w:sz w:val="20"/>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E85702"/>
    <w:multiLevelType w:val="hybridMultilevel"/>
    <w:tmpl w:val="C93A5D54"/>
    <w:lvl w:ilvl="0" w:tplc="78246BCC">
      <w:numFmt w:val="bullet"/>
      <w:lvlText w:val="•"/>
      <w:lvlJc w:val="left"/>
      <w:pPr>
        <w:ind w:left="72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023"/>
    <w:rsid w:val="002C7756"/>
    <w:rsid w:val="002F276E"/>
    <w:rsid w:val="003A51D4"/>
    <w:rsid w:val="004D3F22"/>
    <w:rsid w:val="005B3D4E"/>
    <w:rsid w:val="005B651A"/>
    <w:rsid w:val="006415E8"/>
    <w:rsid w:val="007C7AE3"/>
    <w:rsid w:val="00891E52"/>
    <w:rsid w:val="00926342"/>
    <w:rsid w:val="00A12185"/>
    <w:rsid w:val="00AE4D9F"/>
    <w:rsid w:val="00AF6A4B"/>
    <w:rsid w:val="00B51860"/>
    <w:rsid w:val="00BB2BA7"/>
    <w:rsid w:val="00BD50ED"/>
    <w:rsid w:val="00BF373D"/>
    <w:rsid w:val="00D27E6B"/>
    <w:rsid w:val="00DE7140"/>
    <w:rsid w:val="00EB085A"/>
    <w:rsid w:val="00EF3F3E"/>
    <w:rsid w:val="00F36F4F"/>
    <w:rsid w:val="00F56023"/>
    <w:rsid w:val="00F80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3ED49-6853-459D-828D-66D3B556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023"/>
  </w:style>
  <w:style w:type="paragraph" w:styleId="Heading2">
    <w:name w:val="heading 2"/>
    <w:basedOn w:val="Normal"/>
    <w:link w:val="Heading2Char"/>
    <w:uiPriority w:val="1"/>
    <w:qFormat/>
    <w:rsid w:val="00891E52"/>
    <w:pPr>
      <w:widowControl w:val="0"/>
      <w:spacing w:after="0" w:line="240" w:lineRule="auto"/>
      <w:ind w:left="10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023"/>
    <w:pPr>
      <w:ind w:left="720"/>
      <w:contextualSpacing/>
    </w:pPr>
  </w:style>
  <w:style w:type="table" w:customStyle="1" w:styleId="TableGrid">
    <w:name w:val="TableGrid"/>
    <w:rsid w:val="002F276E"/>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1"/>
    <w:rsid w:val="00891E52"/>
    <w:rPr>
      <w:rFonts w:ascii="Times New Roman" w:eastAsia="Times New Roman" w:hAnsi="Times New Roman"/>
      <w:b/>
      <w:bCs/>
      <w:i/>
      <w:sz w:val="24"/>
      <w:szCs w:val="24"/>
    </w:rPr>
  </w:style>
  <w:style w:type="table" w:styleId="TableGrid0">
    <w:name w:val="Table Grid"/>
    <w:basedOn w:val="TableNormal"/>
    <w:uiPriority w:val="59"/>
    <w:rsid w:val="00BB2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96425">
      <w:bodyDiv w:val="1"/>
      <w:marLeft w:val="0"/>
      <w:marRight w:val="0"/>
      <w:marTop w:val="0"/>
      <w:marBottom w:val="0"/>
      <w:divBdr>
        <w:top w:val="none" w:sz="0" w:space="0" w:color="auto"/>
        <w:left w:val="none" w:sz="0" w:space="0" w:color="auto"/>
        <w:bottom w:val="none" w:sz="0" w:space="0" w:color="auto"/>
        <w:right w:val="none" w:sz="0" w:space="0" w:color="auto"/>
      </w:divBdr>
    </w:div>
    <w:div w:id="1156259550">
      <w:bodyDiv w:val="1"/>
      <w:marLeft w:val="0"/>
      <w:marRight w:val="0"/>
      <w:marTop w:val="0"/>
      <w:marBottom w:val="0"/>
      <w:divBdr>
        <w:top w:val="none" w:sz="0" w:space="0" w:color="auto"/>
        <w:left w:val="none" w:sz="0" w:space="0" w:color="auto"/>
        <w:bottom w:val="none" w:sz="0" w:space="0" w:color="auto"/>
        <w:right w:val="none" w:sz="0" w:space="0" w:color="auto"/>
      </w:divBdr>
    </w:div>
    <w:div w:id="1297952923">
      <w:bodyDiv w:val="1"/>
      <w:marLeft w:val="0"/>
      <w:marRight w:val="0"/>
      <w:marTop w:val="0"/>
      <w:marBottom w:val="0"/>
      <w:divBdr>
        <w:top w:val="none" w:sz="0" w:space="0" w:color="auto"/>
        <w:left w:val="none" w:sz="0" w:space="0" w:color="auto"/>
        <w:bottom w:val="none" w:sz="0" w:space="0" w:color="auto"/>
        <w:right w:val="none" w:sz="0" w:space="0" w:color="auto"/>
      </w:divBdr>
    </w:div>
    <w:div w:id="1693072494">
      <w:bodyDiv w:val="1"/>
      <w:marLeft w:val="0"/>
      <w:marRight w:val="0"/>
      <w:marTop w:val="0"/>
      <w:marBottom w:val="0"/>
      <w:divBdr>
        <w:top w:val="none" w:sz="0" w:space="0" w:color="auto"/>
        <w:left w:val="none" w:sz="0" w:space="0" w:color="auto"/>
        <w:bottom w:val="none" w:sz="0" w:space="0" w:color="auto"/>
        <w:right w:val="none" w:sz="0" w:space="0" w:color="auto"/>
      </w:divBdr>
    </w:div>
    <w:div w:id="193482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6.jpe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0" i="0" u="none" strike="noStrike" baseline="0">
                <a:effectLst/>
              </a:rPr>
              <a:t>Current tobacco use % STEPS 2010-2016</a:t>
            </a:r>
            <a:endParaRPr lang="en-US" sz="1100"/>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Male</c:v>
                </c:pt>
              </c:strCache>
            </c:strRef>
          </c:tx>
          <c:spPr>
            <a:ln w="28575" cap="rnd">
              <a:solidFill>
                <a:schemeClr val="accent5">
                  <a:shade val="65000"/>
                </a:schemeClr>
              </a:solidFill>
              <a:round/>
            </a:ln>
            <a:effectLst/>
          </c:spPr>
          <c:marker>
            <c:symbol val="circle"/>
            <c:size val="5"/>
            <c:spPr>
              <a:solidFill>
                <a:schemeClr val="accent5">
                  <a:shade val="65000"/>
                </a:schemeClr>
              </a:solidFill>
              <a:ln w="9525">
                <a:solidFill>
                  <a:schemeClr val="accent5">
                    <a:shade val="65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STEPS 2010</c:v>
                </c:pt>
                <c:pt idx="1">
                  <c:v>STEPS 2016</c:v>
                </c:pt>
              </c:strCache>
            </c:strRef>
          </c:cat>
          <c:val>
            <c:numRef>
              <c:f>Sheet1!$B$2:$B$3</c:f>
              <c:numCache>
                <c:formatCode>0.0%</c:formatCode>
                <c:ptCount val="2"/>
                <c:pt idx="0">
                  <c:v>0.55500000000000005</c:v>
                </c:pt>
                <c:pt idx="1">
                  <c:v>0.56999999999999995</c:v>
                </c:pt>
              </c:numCache>
            </c:numRef>
          </c:val>
          <c:smooth val="0"/>
        </c:ser>
        <c:ser>
          <c:idx val="1"/>
          <c:order val="1"/>
          <c:tx>
            <c:strRef>
              <c:f>Sheet1!$C$1</c:f>
              <c:strCache>
                <c:ptCount val="1"/>
                <c:pt idx="0">
                  <c:v>Female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1"/>
              <c:layout>
                <c:manualLayout>
                  <c:x val="-3.9236657917761297E-3"/>
                  <c:y val="3.01272236803732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STEPS 2010</c:v>
                </c:pt>
                <c:pt idx="1">
                  <c:v>STEPS 2016</c:v>
                </c:pt>
              </c:strCache>
            </c:strRef>
          </c:cat>
          <c:val>
            <c:numRef>
              <c:f>Sheet1!$C$2:$C$3</c:f>
              <c:numCache>
                <c:formatCode>0.0%</c:formatCode>
                <c:ptCount val="2"/>
                <c:pt idx="0">
                  <c:v>4.8000000000000001E-2</c:v>
                </c:pt>
                <c:pt idx="1">
                  <c:v>7.0999999999999994E-2</c:v>
                </c:pt>
              </c:numCache>
            </c:numRef>
          </c:val>
          <c:smooth val="0"/>
        </c:ser>
        <c:ser>
          <c:idx val="2"/>
          <c:order val="2"/>
          <c:tx>
            <c:strRef>
              <c:f>Sheet1!$D$1</c:f>
              <c:strCache>
                <c:ptCount val="1"/>
                <c:pt idx="0">
                  <c:v>Total</c:v>
                </c:pt>
              </c:strCache>
            </c:strRef>
          </c:tx>
          <c:spPr>
            <a:ln w="28575" cap="rnd">
              <a:solidFill>
                <a:schemeClr val="accent5">
                  <a:tint val="65000"/>
                </a:schemeClr>
              </a:solidFill>
              <a:round/>
            </a:ln>
            <a:effectLst/>
          </c:spPr>
          <c:marker>
            <c:symbol val="circle"/>
            <c:size val="5"/>
            <c:spPr>
              <a:solidFill>
                <a:schemeClr val="accent5">
                  <a:tint val="65000"/>
                </a:schemeClr>
              </a:solidFill>
              <a:ln w="9525">
                <a:solidFill>
                  <a:schemeClr val="accent5">
                    <a:tint val="65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STEPS 2010</c:v>
                </c:pt>
                <c:pt idx="1">
                  <c:v>STEPS 2016</c:v>
                </c:pt>
              </c:strCache>
            </c:strRef>
          </c:cat>
          <c:val>
            <c:numRef>
              <c:f>Sheet1!$D$2:$D$3</c:f>
              <c:numCache>
                <c:formatCode>0.0%</c:formatCode>
                <c:ptCount val="2"/>
                <c:pt idx="0">
                  <c:v>0.30299999999999999</c:v>
                </c:pt>
                <c:pt idx="1">
                  <c:v>0.33700000000000002</c:v>
                </c:pt>
              </c:numCache>
            </c:numRef>
          </c:val>
          <c:smooth val="0"/>
        </c:ser>
        <c:dLbls>
          <c:dLblPos val="t"/>
          <c:showLegendKey val="0"/>
          <c:showVal val="1"/>
          <c:showCatName val="0"/>
          <c:showSerName val="0"/>
          <c:showPercent val="0"/>
          <c:showBubbleSize val="0"/>
        </c:dLbls>
        <c:marker val="1"/>
        <c:smooth val="0"/>
        <c:axId val="1917362400"/>
        <c:axId val="1917354784"/>
      </c:lineChart>
      <c:catAx>
        <c:axId val="1917362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7354784"/>
        <c:crosses val="autoZero"/>
        <c:auto val="1"/>
        <c:lblAlgn val="ctr"/>
        <c:lblOffset val="100"/>
        <c:noMultiLvlLbl val="0"/>
      </c:catAx>
      <c:valAx>
        <c:axId val="19173547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7362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0" i="0" u="none" strike="noStrike" baseline="0">
                <a:effectLst>
                  <a:outerShdw blurRad="38100" dist="38100" dir="2700000" algn="tl" rotWithShape="0">
                    <a:srgbClr val="000000">
                      <a:alpha val="43000"/>
                    </a:srgbClr>
                  </a:outerShdw>
                </a:effectLst>
              </a:rPr>
              <a:t>Current tobacco use % in 13-15 years old youth; GYTS 2014-2017</a:t>
            </a:r>
            <a:endParaRPr lang="en-US" sz="1100" b="0"/>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Sheet3!$B$1</c:f>
              <c:strCache>
                <c:ptCount val="1"/>
                <c:pt idx="0">
                  <c:v>Male</c:v>
                </c:pt>
              </c:strCache>
            </c:strRef>
          </c:tx>
          <c:spPr>
            <a:ln w="28575" cap="rnd">
              <a:solidFill>
                <a:schemeClr val="accent5">
                  <a:shade val="65000"/>
                </a:schemeClr>
              </a:solidFill>
              <a:round/>
            </a:ln>
            <a:effectLst/>
          </c:spPr>
          <c:marker>
            <c:symbol val="circle"/>
            <c:size val="5"/>
            <c:spPr>
              <a:solidFill>
                <a:schemeClr val="accent5">
                  <a:shade val="65000"/>
                </a:schemeClr>
              </a:solidFill>
              <a:ln w="9525">
                <a:solidFill>
                  <a:schemeClr val="accent5">
                    <a:shade val="65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Sheet3!$A$2:$A$3</c:f>
              <c:strCache>
                <c:ptCount val="2"/>
                <c:pt idx="0">
                  <c:v>GYTS 2014</c:v>
                </c:pt>
                <c:pt idx="1">
                  <c:v>GYTS 2017</c:v>
                </c:pt>
              </c:strCache>
            </c:strRef>
          </c:cat>
          <c:val>
            <c:numRef>
              <c:f>Sheet3!$B$2:$B$3</c:f>
              <c:numCache>
                <c:formatCode>0.0%</c:formatCode>
                <c:ptCount val="2"/>
                <c:pt idx="0">
                  <c:v>9.9000000000000005E-2</c:v>
                </c:pt>
                <c:pt idx="1">
                  <c:v>0.123</c:v>
                </c:pt>
              </c:numCache>
            </c:numRef>
          </c:val>
          <c:smooth val="0"/>
        </c:ser>
        <c:ser>
          <c:idx val="1"/>
          <c:order val="1"/>
          <c:tx>
            <c:strRef>
              <c:f>Sheet3!$C$1</c:f>
              <c:strCache>
                <c:ptCount val="1"/>
                <c:pt idx="0">
                  <c:v>Female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Sheet3!$A$2:$A$3</c:f>
              <c:strCache>
                <c:ptCount val="2"/>
                <c:pt idx="0">
                  <c:v>GYTS 2014</c:v>
                </c:pt>
                <c:pt idx="1">
                  <c:v>GYTS 2017</c:v>
                </c:pt>
              </c:strCache>
            </c:strRef>
          </c:cat>
          <c:val>
            <c:numRef>
              <c:f>Sheet3!$C$2:$C$3</c:f>
              <c:numCache>
                <c:formatCode>0.0%</c:formatCode>
                <c:ptCount val="2"/>
                <c:pt idx="0">
                  <c:v>3.7999999999999999E-2</c:v>
                </c:pt>
                <c:pt idx="1">
                  <c:v>4.3999999999999997E-2</c:v>
                </c:pt>
              </c:numCache>
            </c:numRef>
          </c:val>
          <c:smooth val="0"/>
        </c:ser>
        <c:ser>
          <c:idx val="2"/>
          <c:order val="2"/>
          <c:tx>
            <c:strRef>
              <c:f>Sheet3!$D$1</c:f>
              <c:strCache>
                <c:ptCount val="1"/>
                <c:pt idx="0">
                  <c:v>Total</c:v>
                </c:pt>
              </c:strCache>
            </c:strRef>
          </c:tx>
          <c:spPr>
            <a:ln w="28575" cap="rnd">
              <a:solidFill>
                <a:schemeClr val="accent5">
                  <a:tint val="65000"/>
                </a:schemeClr>
              </a:solidFill>
              <a:round/>
            </a:ln>
            <a:effectLst/>
          </c:spPr>
          <c:marker>
            <c:symbol val="circle"/>
            <c:size val="5"/>
            <c:spPr>
              <a:solidFill>
                <a:schemeClr val="accent5">
                  <a:tint val="65000"/>
                </a:schemeClr>
              </a:solidFill>
              <a:ln w="9525">
                <a:solidFill>
                  <a:schemeClr val="accent5">
                    <a:tint val="65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Sheet3!$A$2:$A$3</c:f>
              <c:strCache>
                <c:ptCount val="2"/>
                <c:pt idx="0">
                  <c:v>GYTS 2014</c:v>
                </c:pt>
                <c:pt idx="1">
                  <c:v>GYTS 2017</c:v>
                </c:pt>
              </c:strCache>
            </c:strRef>
          </c:cat>
          <c:val>
            <c:numRef>
              <c:f>Sheet3!$D$2:$D$3</c:f>
              <c:numCache>
                <c:formatCode>0.0%</c:formatCode>
                <c:ptCount val="2"/>
                <c:pt idx="0">
                  <c:v>7.0000000000000007E-2</c:v>
                </c:pt>
                <c:pt idx="1">
                  <c:v>8.4000000000000005E-2</c:v>
                </c:pt>
              </c:numCache>
            </c:numRef>
          </c:val>
          <c:smooth val="0"/>
        </c:ser>
        <c:dLbls>
          <c:dLblPos val="t"/>
          <c:showLegendKey val="0"/>
          <c:showVal val="1"/>
          <c:showCatName val="0"/>
          <c:showSerName val="0"/>
          <c:showPercent val="0"/>
          <c:showBubbleSize val="0"/>
        </c:dLbls>
        <c:marker val="1"/>
        <c:smooth val="0"/>
        <c:axId val="1917359136"/>
        <c:axId val="1917355872"/>
      </c:lineChart>
      <c:catAx>
        <c:axId val="1917359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7355872"/>
        <c:crosses val="autoZero"/>
        <c:auto val="1"/>
        <c:lblAlgn val="ctr"/>
        <c:lblOffset val="100"/>
        <c:noMultiLvlLbl val="0"/>
      </c:catAx>
      <c:valAx>
        <c:axId val="19173558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7359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100" b="0" i="0" u="none" strike="noStrike" kern="1200" spc="0" baseline="0">
                <a:solidFill>
                  <a:schemeClr val="tx1">
                    <a:lumMod val="95000"/>
                    <a:lumOff val="5000"/>
                  </a:schemeClr>
                </a:solidFill>
                <a:latin typeface="Calibri" panose="020F0502020204030204" pitchFamily="34" charset="0"/>
                <a:ea typeface="+mn-ea"/>
                <a:cs typeface="+mn-cs"/>
              </a:defRPr>
            </a:pPr>
            <a:r>
              <a:rPr lang="en-US" sz="1100" b="0" i="0" u="none" strike="noStrike" baseline="0">
                <a:solidFill>
                  <a:schemeClr val="tx1">
                    <a:lumMod val="95000"/>
                    <a:lumOff val="5000"/>
                  </a:schemeClr>
                </a:solidFill>
                <a:effectLst>
                  <a:outerShdw blurRad="38100" dist="38100" dir="2700000" algn="tl" rotWithShape="0">
                    <a:srgbClr val="000000">
                      <a:alpha val="43000"/>
                    </a:srgbClr>
                  </a:outerShdw>
                </a:effectLst>
                <a:latin typeface="Calibri" panose="020F0502020204030204" pitchFamily="34" charset="0"/>
              </a:rPr>
              <a:t>Current tobacco use % in 16</a:t>
            </a:r>
            <a:r>
              <a:rPr lang="ka-GE" sz="1100" b="0" i="0" u="none" strike="noStrike" baseline="0">
                <a:solidFill>
                  <a:schemeClr val="tx1">
                    <a:lumMod val="95000"/>
                    <a:lumOff val="5000"/>
                  </a:schemeClr>
                </a:solidFill>
                <a:effectLst>
                  <a:outerShdw blurRad="38100" dist="38100" dir="2700000" algn="tl" rotWithShape="0">
                    <a:srgbClr val="000000">
                      <a:alpha val="43000"/>
                    </a:srgbClr>
                  </a:outerShdw>
                </a:effectLst>
              </a:rPr>
              <a:t> </a:t>
            </a:r>
            <a:r>
              <a:rPr lang="en-US" sz="1100" b="0" i="0" u="none" strike="noStrike" baseline="0">
                <a:solidFill>
                  <a:schemeClr val="tx1">
                    <a:lumMod val="95000"/>
                    <a:lumOff val="5000"/>
                  </a:schemeClr>
                </a:solidFill>
                <a:effectLst>
                  <a:outerShdw blurRad="38100" dist="38100" dir="2700000" algn="tl" rotWithShape="0">
                    <a:srgbClr val="000000">
                      <a:alpha val="43000"/>
                    </a:srgbClr>
                  </a:outerShdw>
                </a:effectLst>
                <a:latin typeface="Calibri" panose="020F0502020204030204" pitchFamily="34" charset="0"/>
              </a:rPr>
              <a:t>year old youth;</a:t>
            </a:r>
            <a:r>
              <a:rPr lang="ka-GE" sz="1100" b="0" i="0" u="none" strike="noStrike" baseline="0">
                <a:solidFill>
                  <a:schemeClr val="tx1">
                    <a:lumMod val="95000"/>
                    <a:lumOff val="5000"/>
                  </a:schemeClr>
                </a:solidFill>
                <a:effectLst>
                  <a:outerShdw blurRad="38100" dist="38100" dir="2700000" algn="tl" rotWithShape="0">
                    <a:srgbClr val="000000">
                      <a:alpha val="43000"/>
                    </a:srgbClr>
                  </a:outerShdw>
                </a:effectLst>
              </a:rPr>
              <a:t> </a:t>
            </a:r>
            <a:r>
              <a:rPr lang="en-US" sz="1100" b="0" baseline="0">
                <a:solidFill>
                  <a:schemeClr val="tx1">
                    <a:lumMod val="95000"/>
                    <a:lumOff val="5000"/>
                  </a:schemeClr>
                </a:solidFill>
                <a:latin typeface="Calibri" panose="020F0502020204030204" pitchFamily="34" charset="0"/>
              </a:rPr>
              <a:t>ESPAD 2015</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95000"/>
                  <a:lumOff val="5000"/>
                </a:schemeClr>
              </a:solidFill>
              <a:latin typeface="Calibri" panose="020F0502020204030204" pitchFamily="34" charset="0"/>
              <a:ea typeface="+mn-ea"/>
              <a:cs typeface="+mn-cs"/>
            </a:defRPr>
          </a:pPr>
          <a:endParaRPr lang="en-US"/>
        </a:p>
      </c:txPr>
    </c:title>
    <c:autoTitleDeleted val="0"/>
    <c:plotArea>
      <c:layout/>
      <c:barChart>
        <c:barDir val="col"/>
        <c:grouping val="clustered"/>
        <c:varyColors val="0"/>
        <c:ser>
          <c:idx val="0"/>
          <c:order val="0"/>
          <c:tx>
            <c:strRef>
              <c:f>Sheet3!$A$9</c:f>
              <c:strCache>
                <c:ptCount val="1"/>
                <c:pt idx="0">
                  <c:v>ESPAD 2015</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Sheet3!$B$8:$D$8</c:f>
              <c:strCache>
                <c:ptCount val="3"/>
                <c:pt idx="0">
                  <c:v>Male</c:v>
                </c:pt>
                <c:pt idx="1">
                  <c:v>Female</c:v>
                </c:pt>
                <c:pt idx="2">
                  <c:v>Total</c:v>
                </c:pt>
              </c:strCache>
            </c:strRef>
          </c:cat>
          <c:val>
            <c:numRef>
              <c:f>Sheet3!$B$9:$D$9</c:f>
              <c:numCache>
                <c:formatCode>0%</c:formatCode>
                <c:ptCount val="3"/>
                <c:pt idx="0">
                  <c:v>0.26</c:v>
                </c:pt>
                <c:pt idx="1">
                  <c:v>0.09</c:v>
                </c:pt>
                <c:pt idx="2">
                  <c:v>0.18</c:v>
                </c:pt>
              </c:numCache>
            </c:numRef>
          </c:val>
        </c:ser>
        <c:dLbls>
          <c:dLblPos val="outEnd"/>
          <c:showLegendKey val="0"/>
          <c:showVal val="1"/>
          <c:showCatName val="0"/>
          <c:showSerName val="0"/>
          <c:showPercent val="0"/>
          <c:showBubbleSize val="0"/>
        </c:dLbls>
        <c:gapWidth val="99"/>
        <c:overlap val="-9"/>
        <c:axId val="1917350432"/>
        <c:axId val="1917357504"/>
      </c:barChart>
      <c:catAx>
        <c:axId val="1917350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7357504"/>
        <c:crosses val="autoZero"/>
        <c:auto val="1"/>
        <c:lblAlgn val="ctr"/>
        <c:lblOffset val="100"/>
        <c:noMultiLvlLbl val="0"/>
      </c:catAx>
      <c:valAx>
        <c:axId val="19173575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7350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0.79463</cdr:x>
      <cdr:y>0.5</cdr:y>
    </cdr:from>
    <cdr:to>
      <cdr:x>0.91875</cdr:x>
      <cdr:y>0.59072</cdr:y>
    </cdr:to>
    <cdr:sp macro="" textlink="">
      <cdr:nvSpPr>
        <cdr:cNvPr id="2" name="TextBox 4"/>
        <cdr:cNvSpPr txBox="1"/>
      </cdr:nvSpPr>
      <cdr:spPr>
        <a:xfrm xmlns:a="http://schemas.openxmlformats.org/drawingml/2006/main">
          <a:off x="3633042" y="1371599"/>
          <a:ext cx="567483" cy="248851"/>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xmlns:a="http://schemas.openxmlformats.org/drawingml/2006/main">
          <a:r>
            <a:rPr lang="en-US" sz="1000" b="0" dirty="0" smtClean="0">
              <a:solidFill>
                <a:schemeClr val="tx1">
                  <a:lumMod val="95000"/>
                  <a:lumOff val="5000"/>
                </a:schemeClr>
              </a:solidFill>
            </a:rPr>
            <a:t>12.2%*</a:t>
          </a:r>
          <a:endParaRPr lang="en-US" sz="1000" b="0" dirty="0">
            <a:solidFill>
              <a:schemeClr val="tx1">
                <a:lumMod val="95000"/>
                <a:lumOff val="5000"/>
              </a:schemeClr>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AC844-BEC8-49C5-BA13-4DAA0544E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1464</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Sturua</dc:creator>
  <cp:keywords/>
  <dc:description/>
  <cp:lastModifiedBy>Nana Kavtaradze</cp:lastModifiedBy>
  <cp:revision>3</cp:revision>
  <dcterms:created xsi:type="dcterms:W3CDTF">2017-11-23T14:29:00Z</dcterms:created>
  <dcterms:modified xsi:type="dcterms:W3CDTF">2017-11-26T14:17:00Z</dcterms:modified>
</cp:coreProperties>
</file>