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AF" w:rsidRDefault="00BC31AF" w:rsidP="007C7C4A">
      <w:pPr>
        <w:spacing w:after="120" w:line="240" w:lineRule="auto"/>
        <w:contextualSpacing/>
        <w:jc w:val="both"/>
        <w:rPr>
          <w:rFonts w:cstheme="minorHAnsi"/>
          <w:b/>
          <w:color w:val="000000" w:themeColor="text1"/>
        </w:rPr>
      </w:pPr>
    </w:p>
    <w:p w:rsidR="00695EBC" w:rsidRDefault="00DD0D0D" w:rsidP="00695EBC">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2336" behindDoc="0" locked="0" layoutInCell="1" allowOverlap="1" wp14:anchorId="00D5F44F" wp14:editId="2B0A1ED1">
            <wp:simplePos x="0" y="0"/>
            <wp:positionH relativeFrom="column">
              <wp:posOffset>5307965</wp:posOffset>
            </wp:positionH>
            <wp:positionV relativeFrom="paragraph">
              <wp:posOffset>100965</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5EBC" w:rsidRDefault="00DD0D0D" w:rsidP="00695EBC">
      <w:pPr>
        <w:shd w:val="clear" w:color="auto" w:fill="FFFFFF" w:themeFill="background1"/>
        <w:spacing w:after="0" w:line="240" w:lineRule="auto"/>
        <w:rPr>
          <w:rFonts w:ascii="Calibri" w:hAnsi="Calibri" w:cs="Calibri"/>
          <w:b/>
          <w:bCs/>
          <w:sz w:val="24"/>
          <w:szCs w:val="24"/>
        </w:rPr>
      </w:pPr>
      <w:r>
        <w:rPr>
          <w:rFonts w:ascii="Calibri" w:hAnsi="Calibri" w:cs="Calibri"/>
          <w:b/>
          <w:bCs/>
          <w:sz w:val="24"/>
          <w:szCs w:val="24"/>
        </w:rPr>
        <w:t xml:space="preserve"> </w:t>
      </w:r>
    </w:p>
    <w:p w:rsidR="00695EBC" w:rsidRPr="007C17A7" w:rsidRDefault="00695EBC" w:rsidP="00695EBC">
      <w:pPr>
        <w:shd w:val="clear" w:color="auto" w:fill="FFFFFF" w:themeFill="background1"/>
        <w:spacing w:after="0" w:line="240" w:lineRule="auto"/>
        <w:rPr>
          <w:rFonts w:ascii="Calibri" w:hAnsi="Calibri" w:cs="Calibri"/>
          <w:b/>
          <w:bCs/>
          <w:sz w:val="24"/>
          <w:szCs w:val="24"/>
        </w:rPr>
      </w:pP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61312" behindDoc="0" locked="0" layoutInCell="1" allowOverlap="1" wp14:anchorId="3E4D0088" wp14:editId="2B1A471F">
            <wp:simplePos x="0" y="0"/>
            <wp:positionH relativeFrom="column">
              <wp:posOffset>107315</wp:posOffset>
            </wp:positionH>
            <wp:positionV relativeFrom="paragraph">
              <wp:posOffset>-288643</wp:posOffset>
            </wp:positionV>
            <wp:extent cx="1600200" cy="632813"/>
            <wp:effectExtent l="0" t="0" r="0" b="0"/>
            <wp:wrapNone/>
            <wp:docPr id="5" name="Picture 5"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EBC" w:rsidRPr="00695EBC" w:rsidRDefault="00695EBC" w:rsidP="0019223B">
      <w:pPr>
        <w:pStyle w:val="Heading2"/>
        <w:rPr>
          <w:sz w:val="24"/>
          <w:szCs w:val="24"/>
        </w:rPr>
      </w:pPr>
    </w:p>
    <w:p w:rsidR="0019223B" w:rsidRPr="0019223B" w:rsidRDefault="0019223B" w:rsidP="0019223B">
      <w:pPr>
        <w:pStyle w:val="Heading2"/>
        <w:rPr>
          <w:bCs/>
          <w:i/>
          <w:sz w:val="32"/>
          <w:szCs w:val="32"/>
        </w:rPr>
      </w:pPr>
      <w:r w:rsidRPr="00BC31AF">
        <w:rPr>
          <w:b w:val="0"/>
          <w:bCs/>
          <w:noProof/>
          <w:sz w:val="24"/>
          <w:szCs w:val="24"/>
        </w:rPr>
        <mc:AlternateContent>
          <mc:Choice Requires="wps">
            <w:drawing>
              <wp:anchor distT="0" distB="0" distL="114300" distR="114300" simplePos="0" relativeHeight="251659264" behindDoc="0" locked="0" layoutInCell="1" allowOverlap="1" wp14:anchorId="4333728B" wp14:editId="27BE211B">
                <wp:simplePos x="0" y="0"/>
                <wp:positionH relativeFrom="margin">
                  <wp:posOffset>66675</wp:posOffset>
                </wp:positionH>
                <wp:positionV relativeFrom="paragraph">
                  <wp:posOffset>297815</wp:posOffset>
                </wp:positionV>
                <wp:extent cx="6838950" cy="866775"/>
                <wp:effectExtent l="0" t="0" r="19050" b="28575"/>
                <wp:wrapNone/>
                <wp:docPr id="2" name="Round Single Corner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8667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6953A0" w:rsidRDefault="00BC31AF" w:rsidP="006953A0">
                            <w:pPr>
                              <w:spacing w:after="120" w:line="240" w:lineRule="auto"/>
                              <w:contextualSpacing/>
                              <w:jc w:val="center"/>
                              <w:rPr>
                                <w:rFonts w:cstheme="minorHAnsi"/>
                                <w:b/>
                                <w:color w:val="FFFFFF" w:themeColor="background1"/>
                                <w:sz w:val="44"/>
                                <w:szCs w:val="44"/>
                              </w:rPr>
                            </w:pPr>
                            <w:r w:rsidRPr="00BC31AF">
                              <w:rPr>
                                <w:rFonts w:cstheme="minorHAnsi"/>
                                <w:b/>
                                <w:color w:val="FFFFFF" w:themeColor="background1"/>
                                <w:sz w:val="44"/>
                                <w:szCs w:val="44"/>
                              </w:rPr>
                              <w:t>Universal Salt Iodization in Georgia</w:t>
                            </w:r>
                          </w:p>
                          <w:p w:rsidR="00BC31AF" w:rsidRPr="006D3731" w:rsidRDefault="00BC31AF" w:rsidP="006953A0">
                            <w:pPr>
                              <w:spacing w:after="120" w:line="240" w:lineRule="auto"/>
                              <w:contextualSpacing/>
                              <w:jc w:val="center"/>
                              <w:rPr>
                                <w:rFonts w:cstheme="minorHAnsi"/>
                                <w:b/>
                                <w:color w:val="FFFFFF" w:themeColor="background1"/>
                                <w:sz w:val="40"/>
                                <w:szCs w:val="40"/>
                              </w:rPr>
                            </w:pPr>
                            <w:r w:rsidRPr="006D3731">
                              <w:rPr>
                                <w:rFonts w:cstheme="minorHAnsi"/>
                                <w:b/>
                                <w:color w:val="FFFFFF" w:themeColor="background1"/>
                                <w:sz w:val="40"/>
                                <w:szCs w:val="40"/>
                              </w:rPr>
                              <w:t>Success Story</w:t>
                            </w:r>
                          </w:p>
                          <w:p w:rsidR="00BC31AF" w:rsidRDefault="00BC31AF" w:rsidP="00BC31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33728B" id="Round Single Corner Rectangle 2" o:spid="_x0000_s1026" style="position:absolute;left:0;text-align:left;margin-left:5.25pt;margin-top:23.45pt;width:538.5pt;height:6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8389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nIogIAAGEFAAAOAAAAZHJzL2Uyb0RvYy54bWysVEtvGjEQvlfqf7B8bxYoEIKyRBREVQkl&#10;UUiV8+C12W39qm3YTX59x96FkDanqntYzXje3zyubxolyYE7Xxmd0/5FjxKumSkqvcvp98fVpwkl&#10;PoAuQBrNc/rMPb2ZffxwXdspH5jSyII7gk60n9Y2p2UIdpplnpVcgb8wlmsUCuMUBGTdLisc1Ohd&#10;yWzQ642z2rjCOsO49/i6bIV0lvwLwVm4E8LzQGROMbeQ/i79t/Gfza5hunNgy4p1acA/ZKGg0hj0&#10;5GoJAcjeVX+5UhVzxhsRLphRmRGiYjzVgNX0e39UsynB8lQLguPtCSb//9yy28O9I1WR0wElGhS2&#10;6MHsdUE2iKbkZGGcxgY9IJCQHgYRstr6KVpu7L2LRXu7NuynR0H2RhIZ3+k0wqmoiyWTJuH/fMKf&#10;N4EwfBxPPk+uRtgmhrLJeHx5OYrRMpgera3z4Ss3ikQipy6m2o/JJfDhsPYhdaHoaoHiByVCSezp&#10;ASRJ/UZ3nSJSR4epDCOrYlVJmRi32y6kI2iW0+Fq0v+y7HLx52pSkxqxGw17MW3ACRYSApLKIqZe&#10;7ygBucPVYMGlHN9Y+3eCpOAlFLwNPerhd4zcqidE3viJVSzBl61JEnUmUkd/PG0CgnNsUduV2J/Q&#10;bJuuo1tTPOMwONNuibdsVaHjNfhwDw4hxBJx1cMd/oQ0WLfpKEpK417ee4/6OK0opaTGNUNMfu3B&#10;cUrkN41zfNUfDuNeJmY4uhwg484l23OJ3quFwX708ahYlsioH+SRFM6oJ7wI8xgVRaAZxm7R75hF&#10;aNcfbwrj83lSw120ENZ6Y1l0HiGLkD42T+BsN2sBp/TWHFeym6F2Ol91o6U2830wojqB3eLaLQfu&#10;cepfd3PioTjnk9brZZz9BgAA//8DAFBLAwQUAAYACAAAACEAv9HqQOEAAAAKAQAADwAAAGRycy9k&#10;b3ducmV2LnhtbEyPzU7DMBCE70i8g7VIXFBrF0pJQ5wKEEgVVEgNv0c3XpKIeB3Fbhvenu0Jbjs7&#10;o9lvs8XgWrHDPjSeNEzGCgRS6W1DlYbXl4dRAiJEQ9a0nlDDDwZY5MdHmUmt39Mad0WsBJdQSI2G&#10;OsYulTKUNToTxr5DYu/L985Eln0lbW/2XO5aea7UTDrTEF+oTYd3NZbfxdZpsE929WwK+Xj7vvxc&#10;f5zdT0qav2l9ejLcXIOIOMS/MBzwGR1yZtr4LdkgWtbqkpMaprM5iIOvkivebHhKLqYg80z+fyH/&#10;BQAA//8DAFBLAQItABQABgAIAAAAIQC2gziS/gAAAOEBAAATAAAAAAAAAAAAAAAAAAAAAABbQ29u&#10;dGVudF9UeXBlc10ueG1sUEsBAi0AFAAGAAgAAAAhADj9If/WAAAAlAEAAAsAAAAAAAAAAAAAAAAA&#10;LwEAAF9yZWxzLy5yZWxzUEsBAi0AFAAGAAgAAAAhAPmjiciiAgAAYQUAAA4AAAAAAAAAAAAAAAAA&#10;LgIAAGRycy9lMm9Eb2MueG1sUEsBAi0AFAAGAAgAAAAhAL/R6kDhAAAACgEAAA8AAAAAAAAAAAAA&#10;AAAA/AQAAGRycy9kb3ducmV2LnhtbFBLBQYAAAAABAAEAPMAAAAKBgAAAAA=&#10;" adj="-11796480,,5400" path="m,l6838950,r,l6838950,866775,,866775,,xe" fillcolor="#4f81bd" strokecolor="#385d8a" strokeweight="2pt">
                <v:stroke joinstyle="miter"/>
                <v:formulas/>
                <v:path arrowok="t" o:connecttype="custom" o:connectlocs="0,0;6838950,0;6838950,0;6838950,866775;0,866775;0,0" o:connectangles="0,0,0,0,0,0" textboxrect="0,0,6838950,866775"/>
                <v:textbox>
                  <w:txbxContent>
                    <w:p w:rsidR="006953A0" w:rsidRDefault="00BC31AF" w:rsidP="006953A0">
                      <w:pPr>
                        <w:spacing w:after="120" w:line="240" w:lineRule="auto"/>
                        <w:contextualSpacing/>
                        <w:jc w:val="center"/>
                        <w:rPr>
                          <w:rFonts w:cstheme="minorHAnsi"/>
                          <w:b/>
                          <w:color w:val="FFFFFF" w:themeColor="background1"/>
                          <w:sz w:val="44"/>
                          <w:szCs w:val="44"/>
                        </w:rPr>
                      </w:pPr>
                      <w:r w:rsidRPr="00BC31AF">
                        <w:rPr>
                          <w:rFonts w:cstheme="minorHAnsi"/>
                          <w:b/>
                          <w:color w:val="FFFFFF" w:themeColor="background1"/>
                          <w:sz w:val="44"/>
                          <w:szCs w:val="44"/>
                        </w:rPr>
                        <w:t>Universal Salt Iodization in Georgia</w:t>
                      </w:r>
                    </w:p>
                    <w:p w:rsidR="00BC31AF" w:rsidRPr="006D3731" w:rsidRDefault="00BC31AF" w:rsidP="006953A0">
                      <w:pPr>
                        <w:spacing w:after="120" w:line="240" w:lineRule="auto"/>
                        <w:contextualSpacing/>
                        <w:jc w:val="center"/>
                        <w:rPr>
                          <w:rFonts w:cstheme="minorHAnsi"/>
                          <w:b/>
                          <w:color w:val="FFFFFF" w:themeColor="background1"/>
                          <w:sz w:val="40"/>
                          <w:szCs w:val="40"/>
                        </w:rPr>
                      </w:pPr>
                      <w:r w:rsidRPr="006D3731">
                        <w:rPr>
                          <w:rFonts w:cstheme="minorHAnsi"/>
                          <w:b/>
                          <w:color w:val="FFFFFF" w:themeColor="background1"/>
                          <w:sz w:val="40"/>
                          <w:szCs w:val="40"/>
                        </w:rPr>
                        <w:t>Success Story</w:t>
                      </w:r>
                    </w:p>
                    <w:p w:rsidR="00BC31AF" w:rsidRDefault="00BC31AF" w:rsidP="00BC31AF"/>
                  </w:txbxContent>
                </v:textbox>
                <w10:wrap anchorx="margin"/>
              </v:shape>
            </w:pict>
          </mc:Fallback>
        </mc:AlternateContent>
      </w:r>
      <w:r w:rsidRPr="0019223B">
        <w:t>GEORGIA</w:t>
      </w:r>
      <w:r w:rsidRPr="0019223B">
        <w:rPr>
          <w:sz w:val="32"/>
          <w:szCs w:val="32"/>
        </w:rPr>
        <w:t xml:space="preserve"> </w:t>
      </w:r>
      <w:r w:rsidRPr="0019223B">
        <w:rPr>
          <w:i/>
        </w:rPr>
        <w:t>Brief</w:t>
      </w:r>
    </w:p>
    <w:p w:rsidR="00BC31AF" w:rsidRPr="00BC31AF" w:rsidRDefault="00BC31AF" w:rsidP="00BC31AF">
      <w:pPr>
        <w:shd w:val="clear" w:color="auto" w:fill="FFFFFF" w:themeFill="background1"/>
        <w:spacing w:after="0" w:line="240" w:lineRule="auto"/>
        <w:rPr>
          <w:rFonts w:ascii="Calibri" w:hAnsi="Calibri" w:cs="Calibri"/>
          <w:b/>
          <w:bCs/>
          <w:sz w:val="24"/>
          <w:szCs w:val="24"/>
        </w:rPr>
      </w:pPr>
    </w:p>
    <w:p w:rsidR="00BC31AF" w:rsidRPr="00BC31AF" w:rsidRDefault="00BC31AF" w:rsidP="00BC31AF">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BC31AF" w:rsidRPr="00BC31AF" w:rsidRDefault="00BC31AF" w:rsidP="00BC31AF">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BC31AF" w:rsidRDefault="00BC31AF" w:rsidP="007C7C4A">
      <w:pPr>
        <w:spacing w:after="120" w:line="240" w:lineRule="auto"/>
        <w:contextualSpacing/>
        <w:jc w:val="both"/>
        <w:rPr>
          <w:rFonts w:cstheme="minorHAnsi"/>
          <w:b/>
          <w:color w:val="000000" w:themeColor="text1"/>
        </w:rPr>
      </w:pPr>
    </w:p>
    <w:p w:rsidR="00BC31AF" w:rsidRDefault="00BC31AF" w:rsidP="007C7C4A">
      <w:pPr>
        <w:spacing w:after="120" w:line="240" w:lineRule="auto"/>
        <w:contextualSpacing/>
        <w:jc w:val="both"/>
        <w:rPr>
          <w:rFonts w:cstheme="minorHAnsi"/>
          <w:b/>
          <w:color w:val="000000" w:themeColor="text1"/>
        </w:rPr>
      </w:pPr>
    </w:p>
    <w:p w:rsidR="0047197E" w:rsidRPr="0011505B" w:rsidRDefault="0047197E" w:rsidP="00223539">
      <w:pPr>
        <w:autoSpaceDE w:val="0"/>
        <w:autoSpaceDN w:val="0"/>
        <w:adjustRightInd w:val="0"/>
        <w:spacing w:after="120" w:line="240" w:lineRule="auto"/>
        <w:ind w:left="90"/>
        <w:jc w:val="both"/>
        <w:rPr>
          <w:color w:val="000000"/>
          <w:sz w:val="24"/>
          <w:szCs w:val="24"/>
        </w:rPr>
      </w:pPr>
      <w:r w:rsidRPr="0011505B">
        <w:rPr>
          <w:color w:val="000000"/>
          <w:sz w:val="24"/>
          <w:szCs w:val="24"/>
        </w:rPr>
        <w:t xml:space="preserve">Iodine deficiency has been identified as a global public health problem and as the main cause of preventable mental retardation, with over a billion people at risk worldwide. </w:t>
      </w:r>
    </w:p>
    <w:p w:rsidR="00EB22BB" w:rsidRPr="0011505B" w:rsidRDefault="00EB22BB" w:rsidP="00223539">
      <w:pPr>
        <w:spacing w:after="120" w:line="240" w:lineRule="auto"/>
        <w:ind w:left="90"/>
        <w:jc w:val="both"/>
        <w:rPr>
          <w:rFonts w:eastAsia="Times New Roman" w:cs="Times New Roman"/>
          <w:sz w:val="24"/>
          <w:szCs w:val="24"/>
        </w:rPr>
      </w:pPr>
      <w:r w:rsidRPr="0011505B">
        <w:rPr>
          <w:rFonts w:eastAsia="Times New Roman" w:cs="Times New Roman"/>
          <w:sz w:val="24"/>
          <w:szCs w:val="24"/>
        </w:rPr>
        <w:t xml:space="preserve">Iodine deficiency disorders are endemic in Georgia. They are caused by low iodine levels in water and soil and, therefore, in locally produced food products. In 1990, with the onset of the socio-economic crisis in Georgia, the system of iodized salt import and distribution was completely disrupted. The effects were soon apparent. A survey conducted in 1998 showed various degrees of iodine deficiency in 55-58% of the population. </w:t>
      </w:r>
    </w:p>
    <w:p w:rsidR="007C7C4A" w:rsidRPr="0011505B" w:rsidRDefault="0047197E" w:rsidP="00223539">
      <w:pPr>
        <w:spacing w:after="120" w:line="240" w:lineRule="auto"/>
        <w:ind w:left="90"/>
        <w:jc w:val="both"/>
        <w:rPr>
          <w:color w:val="000000"/>
          <w:sz w:val="24"/>
          <w:szCs w:val="24"/>
        </w:rPr>
      </w:pPr>
      <w:r w:rsidRPr="0011505B">
        <w:rPr>
          <w:rStyle w:val="Strong"/>
          <w:b w:val="0"/>
          <w:sz w:val="24"/>
          <w:szCs w:val="24"/>
        </w:rPr>
        <w:t xml:space="preserve">The most effective method of eliminating ID disorders (IDD) is promoting the widespread consumption of adequately iodized salt </w:t>
      </w:r>
      <w:r w:rsidRPr="0011505B">
        <w:rPr>
          <w:color w:val="000000"/>
          <w:sz w:val="24"/>
          <w:szCs w:val="24"/>
        </w:rPr>
        <w:t xml:space="preserve">with the target of more than 90% of households consuming adequately iodized salt. </w:t>
      </w:r>
    </w:p>
    <w:p w:rsidR="007C7C4A" w:rsidRPr="0011505B" w:rsidRDefault="007C7C4A" w:rsidP="00223539">
      <w:pPr>
        <w:spacing w:after="120" w:line="240" w:lineRule="auto"/>
        <w:ind w:left="90"/>
        <w:jc w:val="both"/>
        <w:rPr>
          <w:sz w:val="24"/>
          <w:szCs w:val="24"/>
        </w:rPr>
      </w:pPr>
      <w:r w:rsidRPr="0011505B">
        <w:rPr>
          <w:sz w:val="24"/>
          <w:szCs w:val="24"/>
        </w:rPr>
        <w:t xml:space="preserve">In 2005 </w:t>
      </w:r>
      <w:r w:rsidR="00EB22BB" w:rsidRPr="0011505B">
        <w:rPr>
          <w:rFonts w:eastAsia="Times New Roman" w:cs="Times New Roman"/>
          <w:sz w:val="24"/>
          <w:szCs w:val="24"/>
        </w:rPr>
        <w:t>the new law</w:t>
      </w:r>
      <w:r w:rsidRPr="0011505B">
        <w:rPr>
          <w:sz w:val="24"/>
          <w:szCs w:val="24"/>
        </w:rPr>
        <w:t xml:space="preserve"> </w:t>
      </w:r>
      <w:r w:rsidR="000017F5" w:rsidRPr="0011505B">
        <w:rPr>
          <w:sz w:val="24"/>
          <w:szCs w:val="24"/>
        </w:rPr>
        <w:t xml:space="preserve">on </w:t>
      </w:r>
      <w:r w:rsidR="00EB22BB" w:rsidRPr="0011505B">
        <w:rPr>
          <w:rFonts w:eastAsia="Times New Roman" w:cs="Times New Roman"/>
          <w:sz w:val="24"/>
          <w:szCs w:val="24"/>
        </w:rPr>
        <w:t xml:space="preserve">“Prevention of Disorders Caused by Iodine, Micronutrients and Vitamins Deficiency” </w:t>
      </w:r>
      <w:r w:rsidRPr="0011505B">
        <w:rPr>
          <w:sz w:val="24"/>
          <w:szCs w:val="24"/>
        </w:rPr>
        <w:t xml:space="preserve">was adopted by the Georgian Parliament mandating universal salt iodization (USI) - to ban the import and trade of non-iodized salt. </w:t>
      </w:r>
      <w:r w:rsidR="00EB22BB" w:rsidRPr="0011505B">
        <w:rPr>
          <w:rFonts w:eastAsia="Times New Roman" w:cs="Times New Roman"/>
          <w:sz w:val="24"/>
          <w:szCs w:val="24"/>
        </w:rPr>
        <w:t xml:space="preserve">The law is the result of joint efforts by the Government of Georgia and UNICEF. </w:t>
      </w:r>
      <w:r w:rsidRPr="0011505B">
        <w:rPr>
          <w:sz w:val="24"/>
          <w:szCs w:val="24"/>
        </w:rPr>
        <w:t>The salt standard of 40</w:t>
      </w:r>
      <w:r w:rsidRPr="0011505B">
        <w:rPr>
          <w:rFonts w:cstheme="minorHAnsi"/>
          <w:sz w:val="24"/>
          <w:szCs w:val="24"/>
        </w:rPr>
        <w:t>±</w:t>
      </w:r>
      <w:r w:rsidRPr="0011505B">
        <w:rPr>
          <w:sz w:val="24"/>
          <w:szCs w:val="24"/>
        </w:rPr>
        <w:t>15mg iodine/kg salt was set.</w:t>
      </w:r>
    </w:p>
    <w:p w:rsidR="0016709A" w:rsidRPr="0011505B" w:rsidRDefault="0016709A" w:rsidP="00223539">
      <w:pPr>
        <w:autoSpaceDE w:val="0"/>
        <w:autoSpaceDN w:val="0"/>
        <w:adjustRightInd w:val="0"/>
        <w:spacing w:after="0" w:line="240" w:lineRule="auto"/>
        <w:ind w:left="90"/>
        <w:jc w:val="both"/>
        <w:rPr>
          <w:color w:val="000000"/>
          <w:sz w:val="24"/>
          <w:szCs w:val="24"/>
        </w:rPr>
      </w:pPr>
      <w:r w:rsidRPr="0011505B">
        <w:rPr>
          <w:color w:val="000000"/>
          <w:sz w:val="24"/>
          <w:szCs w:val="24"/>
        </w:rPr>
        <w:t>To provide information on coverage of population with iodized salt in Georgia nationwide, and on adequacy of iodine content in salt on the household level though quantitative measurement of iodine concentration in salt, to determine status of iodine nutrition of the population in Georgia nationwide by measuring UIC</w:t>
      </w:r>
      <w:r w:rsidRPr="0011505B">
        <w:rPr>
          <w:sz w:val="24"/>
          <w:szCs w:val="24"/>
        </w:rPr>
        <w:t xml:space="preserve"> and total body weight</w:t>
      </w:r>
      <w:r w:rsidRPr="0011505B">
        <w:rPr>
          <w:color w:val="FF0000"/>
          <w:sz w:val="24"/>
          <w:szCs w:val="24"/>
        </w:rPr>
        <w:t xml:space="preserve"> </w:t>
      </w:r>
      <w:r w:rsidRPr="0011505B">
        <w:rPr>
          <w:color w:val="000000"/>
          <w:sz w:val="24"/>
          <w:szCs w:val="24"/>
        </w:rPr>
        <w:t>in school aged children (SAC), to assess status of iodine nutrition in pregnant women (PW) by collecting urine samples on the 1</w:t>
      </w:r>
      <w:r w:rsidRPr="0011505B">
        <w:rPr>
          <w:color w:val="000000"/>
          <w:sz w:val="24"/>
          <w:szCs w:val="24"/>
          <w:vertAlign w:val="superscript"/>
        </w:rPr>
        <w:t>st</w:t>
      </w:r>
      <w:r w:rsidRPr="0011505B">
        <w:rPr>
          <w:color w:val="000000"/>
          <w:sz w:val="24"/>
          <w:szCs w:val="24"/>
        </w:rPr>
        <w:t xml:space="preserve"> trimester of pregnancy in clinics nationwide and measuring UIC, to develop recommendations for revision of present normative values of iodine in salt, as well approaches to use of iodine nutritional supplements among SAC and PW the national survey of iodized salt use and status of iodine nutrition has been conducted by the NCDC in collaboration with the UNICEF-Georgia.</w:t>
      </w: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16709A" w:rsidRPr="00DA497B" w:rsidTr="00773918">
        <w:tc>
          <w:tcPr>
            <w:tcW w:w="10800" w:type="dxa"/>
            <w:shd w:val="clear" w:color="auto" w:fill="244061" w:themeFill="accent1" w:themeFillShade="80"/>
            <w:hideMark/>
          </w:tcPr>
          <w:p w:rsidR="0016709A" w:rsidRPr="00DA497B" w:rsidRDefault="0016709A" w:rsidP="00773918">
            <w:pPr>
              <w:rPr>
                <w:szCs w:val="20"/>
              </w:rPr>
            </w:pPr>
            <w:r w:rsidRPr="00DA497B">
              <w:rPr>
                <w:b/>
                <w:color w:val="FFFFFF" w:themeColor="background1"/>
                <w:szCs w:val="20"/>
              </w:rPr>
              <w:t>Results</w:t>
            </w:r>
          </w:p>
        </w:tc>
      </w:tr>
      <w:tr w:rsidR="0016709A" w:rsidRPr="00DA497B" w:rsidTr="00773918">
        <w:tc>
          <w:tcPr>
            <w:tcW w:w="10800" w:type="dxa"/>
            <w:shd w:val="clear" w:color="auto" w:fill="DBE5F1" w:themeFill="accent1" w:themeFillTint="33"/>
            <w:vAlign w:val="bottom"/>
            <w:hideMark/>
          </w:tcPr>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 xml:space="preserve">Over 90% of households in Georgia consume adequately iodized salt both in General and Mountain stratum. </w:t>
            </w:r>
          </w:p>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Quality of iodized salt was remarkably good for all major brands of salt imported from various countries.</w:t>
            </w:r>
          </w:p>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Adjusted median UIC in SAC nationwide (298</w:t>
            </w:r>
            <w:r w:rsidRPr="0011505B">
              <w:rPr>
                <w:rFonts w:cstheme="minorHAnsi"/>
                <w:sz w:val="24"/>
                <w:szCs w:val="24"/>
              </w:rPr>
              <w:t>µ</w:t>
            </w:r>
            <w:r w:rsidRPr="0011505B">
              <w:rPr>
                <w:sz w:val="24"/>
                <w:szCs w:val="24"/>
              </w:rPr>
              <w:t>g/L) was within the range (100-299</w:t>
            </w:r>
            <w:r w:rsidRPr="0011505B">
              <w:rPr>
                <w:rFonts w:cstheme="minorHAnsi"/>
                <w:sz w:val="24"/>
                <w:szCs w:val="24"/>
              </w:rPr>
              <w:t>µ</w:t>
            </w:r>
            <w:r w:rsidRPr="0011505B">
              <w:rPr>
                <w:sz w:val="24"/>
                <w:szCs w:val="24"/>
              </w:rPr>
              <w:t>g/L) for optimum iodine nutrition of population, albeit close to the upper limit.</w:t>
            </w:r>
          </w:p>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 xml:space="preserve">Median UIC findings in all the SAC groups are clearly above the threshold for population iodine deficiency. </w:t>
            </w:r>
          </w:p>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Percent UIC values less than 100</w:t>
            </w:r>
            <w:r w:rsidRPr="0011505B">
              <w:rPr>
                <w:rFonts w:cstheme="minorHAnsi"/>
                <w:sz w:val="24"/>
                <w:szCs w:val="24"/>
              </w:rPr>
              <w:t>µ</w:t>
            </w:r>
            <w:r w:rsidRPr="0011505B">
              <w:rPr>
                <w:sz w:val="24"/>
                <w:szCs w:val="24"/>
              </w:rPr>
              <w:t>g/L in the 3 groups were 0.6%, 2.2% and 3.1% of SAC in urban, rural and mountainous areas, respectively.</w:t>
            </w:r>
          </w:p>
          <w:p w:rsidR="0016709A" w:rsidRPr="0011505B" w:rsidRDefault="0016709A" w:rsidP="00773918">
            <w:pPr>
              <w:pStyle w:val="ListParagraph"/>
              <w:numPr>
                <w:ilvl w:val="0"/>
                <w:numId w:val="22"/>
              </w:numPr>
              <w:spacing w:after="120"/>
              <w:ind w:hanging="288"/>
              <w:jc w:val="both"/>
              <w:rPr>
                <w:sz w:val="24"/>
                <w:szCs w:val="24"/>
              </w:rPr>
            </w:pPr>
            <w:r w:rsidRPr="0011505B">
              <w:rPr>
                <w:sz w:val="24"/>
                <w:szCs w:val="24"/>
              </w:rPr>
              <w:t>The median iodine intake estimate in SAC was 227</w:t>
            </w:r>
            <w:r w:rsidRPr="0011505B">
              <w:rPr>
                <w:rFonts w:cstheme="minorHAnsi"/>
                <w:sz w:val="24"/>
                <w:szCs w:val="24"/>
              </w:rPr>
              <w:t>µ</w:t>
            </w:r>
            <w:r w:rsidRPr="0011505B">
              <w:rPr>
                <w:sz w:val="24"/>
                <w:szCs w:val="24"/>
              </w:rPr>
              <w:t xml:space="preserve">g/day. The analysis shows that the iodine intake of Mountain SAC is lower by 19% than of SAC in the General stratum. </w:t>
            </w:r>
          </w:p>
          <w:p w:rsidR="0016709A" w:rsidRPr="00DA497B" w:rsidRDefault="0016709A" w:rsidP="00773918">
            <w:pPr>
              <w:pStyle w:val="ListParagraph"/>
              <w:numPr>
                <w:ilvl w:val="0"/>
                <w:numId w:val="22"/>
              </w:numPr>
              <w:spacing w:after="120"/>
              <w:ind w:hanging="288"/>
              <w:jc w:val="both"/>
              <w:rPr>
                <w:szCs w:val="20"/>
              </w:rPr>
            </w:pPr>
            <w:r w:rsidRPr="0011505B">
              <w:rPr>
                <w:sz w:val="24"/>
                <w:szCs w:val="24"/>
              </w:rPr>
              <w:t>The median UIC in the 634 PW was 211</w:t>
            </w:r>
            <w:r w:rsidRPr="0011505B">
              <w:rPr>
                <w:rFonts w:cstheme="minorHAnsi"/>
                <w:sz w:val="24"/>
                <w:szCs w:val="24"/>
              </w:rPr>
              <w:t>µ</w:t>
            </w:r>
            <w:r w:rsidRPr="0011505B">
              <w:rPr>
                <w:sz w:val="24"/>
                <w:szCs w:val="24"/>
              </w:rPr>
              <w:t>g/L. This finding suggests optimal iodine status of PW in Georgia as the level is conveniently in the middle of the normative 150-250</w:t>
            </w:r>
            <w:r w:rsidRPr="0011505B">
              <w:rPr>
                <w:rFonts w:cstheme="minorHAnsi"/>
                <w:sz w:val="24"/>
                <w:szCs w:val="24"/>
              </w:rPr>
              <w:t>µ</w:t>
            </w:r>
            <w:r w:rsidRPr="0011505B">
              <w:rPr>
                <w:sz w:val="24"/>
                <w:szCs w:val="24"/>
              </w:rPr>
              <w:t>g/L range.</w:t>
            </w:r>
          </w:p>
        </w:tc>
      </w:tr>
    </w:tbl>
    <w:p w:rsidR="005E0AF9" w:rsidRDefault="005E0AF9" w:rsidP="00A32D7E">
      <w:pPr>
        <w:pStyle w:val="ListParagraph"/>
        <w:spacing w:after="0" w:line="240" w:lineRule="auto"/>
        <w:jc w:val="center"/>
      </w:pPr>
      <w:r w:rsidRPr="005E0AF9">
        <w:rPr>
          <w:noProof/>
        </w:rPr>
        <w:lastRenderedPageBreak/>
        <w:drawing>
          <wp:inline distT="0" distB="0" distL="0" distR="0" wp14:anchorId="4D8D4D03" wp14:editId="6AE95246">
            <wp:extent cx="4905375" cy="27051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0AF9" w:rsidRDefault="005E0AF9" w:rsidP="009C4E11">
      <w:pPr>
        <w:pStyle w:val="ListParagraph"/>
        <w:spacing w:after="0" w:line="240" w:lineRule="auto"/>
        <w:jc w:val="both"/>
      </w:pPr>
    </w:p>
    <w:p w:rsidR="00A32D7E" w:rsidRDefault="00A32D7E" w:rsidP="009C4E11">
      <w:pPr>
        <w:pStyle w:val="ListParagraph"/>
        <w:spacing w:after="0" w:line="240" w:lineRule="auto"/>
        <w:jc w:val="both"/>
      </w:pPr>
    </w:p>
    <w:p w:rsidR="00A32D7E" w:rsidRDefault="00A32D7E" w:rsidP="009C4E11">
      <w:pPr>
        <w:pStyle w:val="ListParagraph"/>
        <w:spacing w:after="0" w:line="240" w:lineRule="auto"/>
        <w:jc w:val="both"/>
      </w:pPr>
    </w:p>
    <w:p w:rsidR="00A32D7E" w:rsidRDefault="001942BA" w:rsidP="00A32D7E">
      <w:pPr>
        <w:pStyle w:val="ListParagraph"/>
        <w:spacing w:after="0" w:line="240" w:lineRule="auto"/>
        <w:jc w:val="center"/>
      </w:pPr>
      <w:r>
        <w:rPr>
          <w:noProof/>
        </w:rPr>
        <w:drawing>
          <wp:inline distT="0" distB="0" distL="0" distR="0" wp14:anchorId="75CC5D76" wp14:editId="4C24F84D">
            <wp:extent cx="5394960" cy="2533650"/>
            <wp:effectExtent l="0" t="0" r="152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2D7E" w:rsidRDefault="00A32D7E" w:rsidP="009C4E11">
      <w:pPr>
        <w:pStyle w:val="ListParagraph"/>
        <w:spacing w:after="0" w:line="240" w:lineRule="auto"/>
        <w:jc w:val="both"/>
      </w:pPr>
    </w:p>
    <w:p w:rsidR="00A32D7E" w:rsidRDefault="00A32D7E" w:rsidP="009C4E11">
      <w:pPr>
        <w:pStyle w:val="ListParagraph"/>
        <w:spacing w:after="0" w:line="240" w:lineRule="auto"/>
        <w:jc w:val="both"/>
      </w:pPr>
    </w:p>
    <w:p w:rsidR="00A32D7E" w:rsidRDefault="00A32D7E" w:rsidP="009C4E11">
      <w:pPr>
        <w:pStyle w:val="ListParagraph"/>
        <w:spacing w:after="0" w:line="240" w:lineRule="auto"/>
        <w:jc w:val="both"/>
      </w:pPr>
    </w:p>
    <w:p w:rsidR="00A32D7E" w:rsidRDefault="0027065F" w:rsidP="0027065F">
      <w:pPr>
        <w:pStyle w:val="ListParagraph"/>
        <w:spacing w:after="0" w:line="240" w:lineRule="auto"/>
        <w:jc w:val="center"/>
      </w:pPr>
      <w:r>
        <w:rPr>
          <w:noProof/>
        </w:rPr>
        <w:drawing>
          <wp:inline distT="0" distB="0" distL="0" distR="0" wp14:anchorId="7446A8B9" wp14:editId="5058BC7B">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065F" w:rsidRDefault="0027065F" w:rsidP="0027065F">
      <w:pPr>
        <w:pStyle w:val="ListParagraph"/>
        <w:spacing w:after="0" w:line="240" w:lineRule="auto"/>
        <w:jc w:val="center"/>
      </w:pPr>
    </w:p>
    <w:p w:rsidR="0027065F" w:rsidRDefault="0027065F" w:rsidP="0027065F">
      <w:pPr>
        <w:pStyle w:val="ListParagraph"/>
        <w:spacing w:after="0" w:line="240" w:lineRule="auto"/>
        <w:jc w:val="center"/>
      </w:pPr>
    </w:p>
    <w:p w:rsidR="0027065F" w:rsidRDefault="0027065F" w:rsidP="0027065F">
      <w:pPr>
        <w:pStyle w:val="ListParagraph"/>
        <w:spacing w:after="0" w:line="240" w:lineRule="auto"/>
        <w:jc w:val="center"/>
      </w:pPr>
      <w:r w:rsidRPr="00C44323">
        <w:rPr>
          <w:noProof/>
        </w:rPr>
        <w:drawing>
          <wp:inline distT="0" distB="0" distL="0" distR="0" wp14:anchorId="144CB32A" wp14:editId="5D820EB9">
            <wp:extent cx="4563110" cy="2543175"/>
            <wp:effectExtent l="0" t="0" r="889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6821" cy="2550817"/>
                    </a:xfrm>
                    <a:prstGeom prst="rect">
                      <a:avLst/>
                    </a:prstGeom>
                    <a:noFill/>
                  </pic:spPr>
                </pic:pic>
              </a:graphicData>
            </a:graphic>
          </wp:inline>
        </w:drawing>
      </w:r>
    </w:p>
    <w:p w:rsidR="00A32D7E" w:rsidRDefault="00A32D7E" w:rsidP="009C4E11">
      <w:pPr>
        <w:pStyle w:val="ListParagraph"/>
        <w:spacing w:after="0" w:line="240" w:lineRule="auto"/>
        <w:jc w:val="both"/>
      </w:pPr>
    </w:p>
    <w:p w:rsidR="005E0AF9" w:rsidRDefault="005E0AF9" w:rsidP="009C4E11">
      <w:pPr>
        <w:pStyle w:val="ListParagraph"/>
        <w:spacing w:after="0" w:line="240" w:lineRule="auto"/>
        <w:jc w:val="both"/>
      </w:pPr>
    </w:p>
    <w:p w:rsidR="0027065F" w:rsidRDefault="00F148C1" w:rsidP="00F148C1">
      <w:pPr>
        <w:pStyle w:val="ListParagraph"/>
        <w:spacing w:after="0" w:line="240" w:lineRule="auto"/>
        <w:jc w:val="center"/>
      </w:pPr>
      <w:r>
        <w:rPr>
          <w:noProof/>
        </w:rPr>
        <w:drawing>
          <wp:inline distT="0" distB="0" distL="0" distR="0" wp14:anchorId="5A669E3A" wp14:editId="4429E725">
            <wp:extent cx="4572000" cy="28289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065F" w:rsidRDefault="0027065F" w:rsidP="009C4E11">
      <w:pPr>
        <w:pStyle w:val="ListParagraph"/>
        <w:spacing w:after="0" w:line="240" w:lineRule="auto"/>
        <w:jc w:val="both"/>
      </w:pPr>
    </w:p>
    <w:p w:rsidR="0027065F" w:rsidRDefault="00F148C1" w:rsidP="00F148C1">
      <w:pPr>
        <w:pStyle w:val="ListParagraph"/>
        <w:spacing w:after="0" w:line="240" w:lineRule="auto"/>
        <w:jc w:val="center"/>
      </w:pPr>
      <w:r w:rsidRPr="00EF5EE0">
        <w:rPr>
          <w:noProof/>
        </w:rPr>
        <w:drawing>
          <wp:inline distT="0" distB="0" distL="0" distR="0" wp14:anchorId="538DD6E4" wp14:editId="0379CC7D">
            <wp:extent cx="4591050" cy="28842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7212" cy="2894383"/>
                    </a:xfrm>
                    <a:prstGeom prst="rect">
                      <a:avLst/>
                    </a:prstGeom>
                    <a:noFill/>
                  </pic:spPr>
                </pic:pic>
              </a:graphicData>
            </a:graphic>
          </wp:inline>
        </w:drawing>
      </w:r>
    </w:p>
    <w:p w:rsidR="00AF5D30" w:rsidRPr="0011505B" w:rsidRDefault="00AF5D30" w:rsidP="00F70F0E">
      <w:pPr>
        <w:pStyle w:val="ListParagraph"/>
        <w:spacing w:after="0" w:line="240" w:lineRule="auto"/>
        <w:ind w:left="420"/>
        <w:jc w:val="both"/>
        <w:rPr>
          <w:b/>
          <w:sz w:val="24"/>
          <w:szCs w:val="24"/>
        </w:rPr>
      </w:pP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AF5D30" w:rsidRPr="0011505B" w:rsidTr="00773918">
        <w:tc>
          <w:tcPr>
            <w:tcW w:w="10800" w:type="dxa"/>
            <w:shd w:val="clear" w:color="auto" w:fill="244061" w:themeFill="accent1" w:themeFillShade="80"/>
            <w:hideMark/>
          </w:tcPr>
          <w:p w:rsidR="00AF5D30" w:rsidRPr="0011505B" w:rsidRDefault="00AF5D30" w:rsidP="00A10B3D">
            <w:pPr>
              <w:jc w:val="both"/>
              <w:rPr>
                <w:b/>
                <w:sz w:val="24"/>
                <w:szCs w:val="24"/>
              </w:rPr>
            </w:pPr>
            <w:r w:rsidRPr="0011505B">
              <w:rPr>
                <w:b/>
                <w:sz w:val="24"/>
                <w:szCs w:val="24"/>
              </w:rPr>
              <w:t xml:space="preserve">Conclusions </w:t>
            </w:r>
          </w:p>
        </w:tc>
      </w:tr>
      <w:tr w:rsidR="00AF5D30" w:rsidRPr="0011505B" w:rsidTr="00773918">
        <w:tc>
          <w:tcPr>
            <w:tcW w:w="10800" w:type="dxa"/>
            <w:shd w:val="clear" w:color="auto" w:fill="DBE5F1" w:themeFill="accent1" w:themeFillTint="33"/>
            <w:vAlign w:val="bottom"/>
            <w:hideMark/>
          </w:tcPr>
          <w:p w:rsidR="00AF5D30" w:rsidRPr="0011505B" w:rsidRDefault="00AF5D30" w:rsidP="00AF5D30">
            <w:pPr>
              <w:pStyle w:val="ListParagraph"/>
              <w:numPr>
                <w:ilvl w:val="0"/>
                <w:numId w:val="35"/>
              </w:numPr>
              <w:ind w:left="342" w:hanging="270"/>
              <w:jc w:val="both"/>
              <w:rPr>
                <w:b/>
                <w:sz w:val="24"/>
                <w:szCs w:val="24"/>
              </w:rPr>
            </w:pPr>
            <w:r w:rsidRPr="0011505B">
              <w:rPr>
                <w:b/>
                <w:sz w:val="24"/>
                <w:szCs w:val="24"/>
              </w:rPr>
              <w:t xml:space="preserve">The results of the survey confirmed that Georgia has a sustained, effective USI program with more than 90% coverage of the population with quality iodized salt. </w:t>
            </w:r>
          </w:p>
          <w:p w:rsidR="00AF5D30" w:rsidRPr="0011505B" w:rsidRDefault="00AF5D30" w:rsidP="00AF5D30">
            <w:pPr>
              <w:pStyle w:val="ListParagraph"/>
              <w:numPr>
                <w:ilvl w:val="0"/>
                <w:numId w:val="35"/>
              </w:numPr>
              <w:ind w:left="342" w:hanging="270"/>
              <w:jc w:val="both"/>
              <w:rPr>
                <w:b/>
                <w:sz w:val="24"/>
                <w:szCs w:val="24"/>
              </w:rPr>
            </w:pPr>
            <w:r w:rsidRPr="0011505B">
              <w:rPr>
                <w:b/>
                <w:sz w:val="24"/>
                <w:szCs w:val="24"/>
              </w:rPr>
              <w:t>Optimal iodine nutrition status has been achieved and sustained for the general population (based on assessments of SAC) and PW.</w:t>
            </w:r>
          </w:p>
          <w:p w:rsidR="00A10B3D" w:rsidRPr="0011505B" w:rsidRDefault="00A10B3D" w:rsidP="00A10B3D">
            <w:pPr>
              <w:pStyle w:val="ListParagraph"/>
              <w:numPr>
                <w:ilvl w:val="0"/>
                <w:numId w:val="35"/>
              </w:numPr>
              <w:ind w:left="342" w:hanging="270"/>
              <w:jc w:val="both"/>
              <w:rPr>
                <w:sz w:val="24"/>
                <w:szCs w:val="24"/>
              </w:rPr>
            </w:pPr>
            <w:r w:rsidRPr="0011505B">
              <w:rPr>
                <w:sz w:val="24"/>
                <w:szCs w:val="24"/>
              </w:rPr>
              <w:t xml:space="preserve">While median UIC in SAC countrywide is close to upper limit, there is no urgent need to alter or reduce current normative levels of salt iodization (40±15mg/kg). </w:t>
            </w:r>
          </w:p>
          <w:p w:rsidR="00A10B3D" w:rsidRPr="0011505B" w:rsidRDefault="00A10B3D" w:rsidP="00A10B3D">
            <w:pPr>
              <w:pStyle w:val="ListParagraph"/>
              <w:numPr>
                <w:ilvl w:val="0"/>
                <w:numId w:val="35"/>
              </w:numPr>
              <w:ind w:left="342" w:hanging="270"/>
              <w:jc w:val="both"/>
              <w:rPr>
                <w:sz w:val="24"/>
                <w:szCs w:val="24"/>
              </w:rPr>
            </w:pPr>
            <w:r w:rsidRPr="0011505B">
              <w:rPr>
                <w:sz w:val="24"/>
                <w:szCs w:val="24"/>
              </w:rPr>
              <w:t xml:space="preserve">Analysis of iodine intakes in SAC showed no evidence of excess iodine consumption in any group (urban, rural, mountain). </w:t>
            </w:r>
          </w:p>
          <w:p w:rsidR="00AF5D30" w:rsidRPr="0011505B" w:rsidRDefault="00A10B3D" w:rsidP="00A10B3D">
            <w:pPr>
              <w:pStyle w:val="ListParagraph"/>
              <w:numPr>
                <w:ilvl w:val="0"/>
                <w:numId w:val="35"/>
              </w:numPr>
              <w:ind w:left="342" w:hanging="270"/>
              <w:jc w:val="both"/>
              <w:rPr>
                <w:sz w:val="24"/>
                <w:szCs w:val="24"/>
              </w:rPr>
            </w:pPr>
            <w:r w:rsidRPr="0011505B">
              <w:rPr>
                <w:sz w:val="24"/>
                <w:szCs w:val="24"/>
              </w:rPr>
              <w:t>Iodine nutrition in PW is perfectly normal with median UIC (211</w:t>
            </w:r>
            <w:r w:rsidRPr="0011505B">
              <w:rPr>
                <w:rFonts w:cstheme="minorHAnsi"/>
                <w:sz w:val="24"/>
                <w:szCs w:val="24"/>
              </w:rPr>
              <w:t>µ</w:t>
            </w:r>
            <w:r w:rsidRPr="0011505B">
              <w:rPr>
                <w:sz w:val="24"/>
                <w:szCs w:val="24"/>
              </w:rPr>
              <w:t>g/L) conveniently in the middle of recommended values.</w:t>
            </w:r>
          </w:p>
        </w:tc>
      </w:tr>
    </w:tbl>
    <w:p w:rsidR="00AF5D30" w:rsidRDefault="00AF5D30" w:rsidP="00F70F0E">
      <w:pPr>
        <w:pStyle w:val="ListParagraph"/>
        <w:spacing w:after="0" w:line="240" w:lineRule="auto"/>
        <w:ind w:left="420"/>
        <w:jc w:val="both"/>
        <w:rPr>
          <w:b/>
        </w:rPr>
      </w:pP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AF5D30" w:rsidTr="00773918">
        <w:tc>
          <w:tcPr>
            <w:tcW w:w="10800" w:type="dxa"/>
            <w:shd w:val="clear" w:color="auto" w:fill="244061" w:themeFill="accent1" w:themeFillShade="80"/>
            <w:hideMark/>
          </w:tcPr>
          <w:p w:rsidR="00AF5D30" w:rsidRPr="0011505B" w:rsidRDefault="00AF5D30" w:rsidP="00773918">
            <w:pPr>
              <w:jc w:val="both"/>
              <w:rPr>
                <w:b/>
                <w:sz w:val="24"/>
                <w:szCs w:val="24"/>
              </w:rPr>
            </w:pPr>
            <w:r w:rsidRPr="0011505B">
              <w:rPr>
                <w:b/>
                <w:sz w:val="24"/>
                <w:szCs w:val="24"/>
              </w:rPr>
              <w:t>Recommendations</w:t>
            </w:r>
          </w:p>
        </w:tc>
      </w:tr>
      <w:tr w:rsidR="00AF5D30" w:rsidRPr="00AC0403" w:rsidTr="00773918">
        <w:tc>
          <w:tcPr>
            <w:tcW w:w="10800" w:type="dxa"/>
            <w:shd w:val="clear" w:color="auto" w:fill="DBE5F1" w:themeFill="accent1" w:themeFillTint="33"/>
            <w:vAlign w:val="bottom"/>
            <w:hideMark/>
          </w:tcPr>
          <w:p w:rsidR="00AF5D30" w:rsidRPr="0011505B" w:rsidRDefault="00AF5D30" w:rsidP="00773918">
            <w:pPr>
              <w:pStyle w:val="ListParagraph"/>
              <w:numPr>
                <w:ilvl w:val="0"/>
                <w:numId w:val="35"/>
              </w:numPr>
              <w:ind w:left="342" w:hanging="270"/>
              <w:jc w:val="both"/>
              <w:rPr>
                <w:sz w:val="24"/>
                <w:szCs w:val="24"/>
              </w:rPr>
            </w:pPr>
            <w:r w:rsidRPr="0011505B">
              <w:rPr>
                <w:sz w:val="24"/>
                <w:szCs w:val="24"/>
              </w:rPr>
              <w:t xml:space="preserve">Monitoring of iodine nutrition of population, coverage and quality of iodized salt should be continued and strengthened. </w:t>
            </w:r>
          </w:p>
          <w:p w:rsidR="009C4E11" w:rsidRPr="0011505B" w:rsidRDefault="00AF5D30" w:rsidP="009C4E11">
            <w:pPr>
              <w:pStyle w:val="ListParagraph"/>
              <w:numPr>
                <w:ilvl w:val="0"/>
                <w:numId w:val="35"/>
              </w:numPr>
              <w:ind w:left="342" w:hanging="270"/>
              <w:jc w:val="both"/>
              <w:rPr>
                <w:sz w:val="24"/>
                <w:szCs w:val="24"/>
              </w:rPr>
            </w:pPr>
            <w:r w:rsidRPr="0011505B">
              <w:rPr>
                <w:sz w:val="24"/>
                <w:szCs w:val="24"/>
              </w:rPr>
              <w:t>GNMSS (Georgia Nutrition Monitoring and Surveillance System) should continue to monitor iodine nutrition as well as status of other micronutrients on annual basis.</w:t>
            </w:r>
          </w:p>
          <w:p w:rsidR="00AF5D30" w:rsidRPr="0011505B" w:rsidRDefault="009C4E11" w:rsidP="009C4E11">
            <w:pPr>
              <w:pStyle w:val="ListParagraph"/>
              <w:numPr>
                <w:ilvl w:val="0"/>
                <w:numId w:val="35"/>
              </w:numPr>
              <w:ind w:left="342" w:hanging="270"/>
              <w:jc w:val="both"/>
              <w:rPr>
                <w:b/>
                <w:sz w:val="24"/>
                <w:szCs w:val="24"/>
              </w:rPr>
            </w:pPr>
            <w:r w:rsidRPr="0011505B">
              <w:rPr>
                <w:b/>
                <w:sz w:val="24"/>
                <w:szCs w:val="24"/>
              </w:rPr>
              <w:t xml:space="preserve">Health professionals (endocrinologists, OBG, pediatricians, general practitioner, etc.) should be discouraged to recommend iodine supplement to PW and SAC without strong suspicion of inadequate iodine intake (such as veganism or extremely low salt consumption for medical or behavioral reasons). </w:t>
            </w:r>
          </w:p>
          <w:p w:rsidR="009C4E11" w:rsidRPr="00AC0403" w:rsidRDefault="00A10B3D" w:rsidP="009C4E11">
            <w:pPr>
              <w:pStyle w:val="ListParagraph"/>
              <w:numPr>
                <w:ilvl w:val="0"/>
                <w:numId w:val="35"/>
              </w:numPr>
              <w:ind w:left="342" w:hanging="270"/>
              <w:jc w:val="both"/>
            </w:pPr>
            <w:r w:rsidRPr="0011505B">
              <w:rPr>
                <w:b/>
                <w:sz w:val="24"/>
                <w:szCs w:val="24"/>
              </w:rPr>
              <w:t>Further monitoring of iodized salt use and iodine nutrition is recommended to assure permanent IDD elimination and optimal iodine nutrition in Georgia.</w:t>
            </w:r>
          </w:p>
        </w:tc>
      </w:tr>
    </w:tbl>
    <w:p w:rsidR="00AF5D30" w:rsidRPr="00AC0403" w:rsidRDefault="00AF5D30" w:rsidP="00F70F0E">
      <w:pPr>
        <w:pStyle w:val="ListParagraph"/>
        <w:spacing w:after="0" w:line="240" w:lineRule="auto"/>
        <w:ind w:left="420"/>
        <w:jc w:val="both"/>
        <w:rPr>
          <w:b/>
        </w:rPr>
      </w:pPr>
    </w:p>
    <w:p w:rsidR="00AF5D30" w:rsidRDefault="00AF5D30" w:rsidP="00F70F0E">
      <w:pPr>
        <w:pStyle w:val="ListParagraph"/>
        <w:spacing w:after="0" w:line="240" w:lineRule="auto"/>
        <w:ind w:left="420"/>
        <w:jc w:val="both"/>
        <w:rPr>
          <w:b/>
        </w:rPr>
      </w:pPr>
    </w:p>
    <w:p w:rsidR="00AF5D30" w:rsidRDefault="00AF5D30"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695EBC" w:rsidRDefault="00695EBC"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695EBC" w:rsidRDefault="00695EBC" w:rsidP="00F70F0E">
      <w:pPr>
        <w:pStyle w:val="ListParagraph"/>
        <w:spacing w:after="0" w:line="240" w:lineRule="auto"/>
        <w:ind w:left="420"/>
        <w:jc w:val="both"/>
        <w:rPr>
          <w:b/>
        </w:rPr>
      </w:pPr>
    </w:p>
    <w:p w:rsidR="00695EBC" w:rsidRDefault="00695EBC" w:rsidP="00F70F0E">
      <w:pPr>
        <w:pStyle w:val="ListParagraph"/>
        <w:spacing w:after="0" w:line="240" w:lineRule="auto"/>
        <w:ind w:left="420"/>
        <w:jc w:val="both"/>
        <w:rPr>
          <w:b/>
        </w:rPr>
      </w:pPr>
    </w:p>
    <w:p w:rsidR="00695EBC" w:rsidRDefault="00695EBC" w:rsidP="00F70F0E">
      <w:pPr>
        <w:pStyle w:val="ListParagraph"/>
        <w:spacing w:after="0" w:line="240" w:lineRule="auto"/>
        <w:ind w:left="420"/>
        <w:jc w:val="both"/>
        <w:rPr>
          <w:b/>
        </w:rPr>
      </w:pPr>
    </w:p>
    <w:p w:rsidR="00695EBC" w:rsidRDefault="00695EBC"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B42543" w:rsidRDefault="00B42543" w:rsidP="00F70F0E">
      <w:pPr>
        <w:pStyle w:val="ListParagraph"/>
        <w:spacing w:after="0" w:line="240" w:lineRule="auto"/>
        <w:ind w:left="420"/>
        <w:jc w:val="both"/>
        <w:rPr>
          <w:b/>
        </w:rPr>
      </w:pPr>
    </w:p>
    <w:p w:rsidR="00695EBC" w:rsidRPr="00EA39DE" w:rsidRDefault="00695EBC" w:rsidP="00695EBC">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________________________________________________________________________________________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695EBC" w:rsidRPr="00EA39DE" w:rsidTr="00603FA6">
        <w:trPr>
          <w:trHeight w:val="1802"/>
        </w:trPr>
        <w:tc>
          <w:tcPr>
            <w:tcW w:w="5507" w:type="dxa"/>
          </w:tcPr>
          <w:p w:rsidR="00695EBC" w:rsidRPr="00EA39DE" w:rsidRDefault="00695EBC" w:rsidP="005A1717">
            <w:pPr>
              <w:spacing w:after="120"/>
              <w:contextualSpacing/>
              <w:jc w:val="center"/>
              <w:rPr>
                <w:rFonts w:ascii="Calibri" w:hAnsi="Calibri" w:cs="Calibri"/>
                <w:color w:val="365F91" w:themeColor="accent1" w:themeShade="BF"/>
                <w:sz w:val="20"/>
                <w:szCs w:val="20"/>
              </w:rPr>
            </w:pPr>
            <w:bookmarkStart w:id="0" w:name="_GoBack" w:colFirst="0" w:colLast="1"/>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65408" behindDoc="0" locked="0" layoutInCell="1" allowOverlap="1" wp14:anchorId="06899A68" wp14:editId="67F546DE">
                  <wp:simplePos x="0" y="0"/>
                  <wp:positionH relativeFrom="column">
                    <wp:posOffset>1143635</wp:posOffset>
                  </wp:positionH>
                  <wp:positionV relativeFrom="paragraph">
                    <wp:posOffset>118745</wp:posOffset>
                  </wp:positionV>
                  <wp:extent cx="1133475" cy="448310"/>
                  <wp:effectExtent l="0" t="0" r="9525" b="8890"/>
                  <wp:wrapNone/>
                  <wp:docPr id="10" name="Picture 1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695EBC" w:rsidRPr="00EA39DE" w:rsidRDefault="00695EBC" w:rsidP="005A1717">
            <w:pPr>
              <w:spacing w:after="120"/>
              <w:contextualSpacing/>
              <w:jc w:val="center"/>
              <w:rPr>
                <w:rFonts w:ascii="Calibri" w:hAnsi="Calibri" w:cs="Calibri"/>
                <w:color w:val="365F91" w:themeColor="accent1" w:themeShade="BF"/>
                <w:sz w:val="20"/>
                <w:szCs w:val="20"/>
              </w:rPr>
            </w:pPr>
          </w:p>
          <w:p w:rsidR="00695EBC" w:rsidRPr="00EA39DE" w:rsidRDefault="00695EBC" w:rsidP="005A1717">
            <w:pPr>
              <w:spacing w:after="120"/>
              <w:contextualSpacing/>
              <w:jc w:val="center"/>
              <w:rPr>
                <w:rFonts w:ascii="Calibri" w:hAnsi="Calibri" w:cs="Calibri"/>
                <w:color w:val="365F91" w:themeColor="accent1" w:themeShade="BF"/>
                <w:sz w:val="20"/>
                <w:szCs w:val="20"/>
              </w:rPr>
            </w:pPr>
          </w:p>
          <w:p w:rsidR="00695EBC" w:rsidRPr="00EA39DE" w:rsidRDefault="00695EBC" w:rsidP="005A1717">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695EBC" w:rsidRPr="00EA39DE" w:rsidRDefault="00695EBC" w:rsidP="005A1717">
            <w:pPr>
              <w:pStyle w:val="Heading2"/>
              <w:spacing w:line="240" w:lineRule="auto"/>
              <w:ind w:left="-392"/>
              <w:jc w:val="center"/>
              <w:outlineLvl w:val="1"/>
              <w:rPr>
                <w:b w:val="0"/>
                <w:bCs/>
                <w:i/>
                <w:color w:val="365F91" w:themeColor="accent1" w:themeShade="BF"/>
                <w:sz w:val="20"/>
                <w:szCs w:val="20"/>
              </w:rPr>
            </w:pPr>
            <w:r w:rsidRPr="00EA39DE">
              <w:rPr>
                <w:b w:val="0"/>
                <w:color w:val="365F91" w:themeColor="accent1" w:themeShade="BF"/>
                <w:sz w:val="20"/>
                <w:szCs w:val="20"/>
              </w:rPr>
              <w:t>Ministry of Labour, Health and Social Affairs of Georgia</w:t>
            </w:r>
          </w:p>
          <w:p w:rsidR="00695EBC" w:rsidRPr="00EA39DE" w:rsidRDefault="00695EBC" w:rsidP="005A1717">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695EBC" w:rsidRPr="00EA39DE" w:rsidRDefault="00695EBC" w:rsidP="005A1717">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695EBC" w:rsidRPr="00EA39DE" w:rsidRDefault="00695EBC" w:rsidP="005A1717">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noProof/>
                <w:color w:val="365F91" w:themeColor="accent1" w:themeShade="BF"/>
                <w:sz w:val="20"/>
                <w:szCs w:val="20"/>
              </w:rPr>
              <w:drawing>
                <wp:anchor distT="0" distB="0" distL="114300" distR="114300" simplePos="0" relativeHeight="251664384" behindDoc="0" locked="0" layoutInCell="1" allowOverlap="1" wp14:anchorId="47ACB09A" wp14:editId="46FFEABF">
                  <wp:simplePos x="0" y="0"/>
                  <wp:positionH relativeFrom="column">
                    <wp:posOffset>866140</wp:posOffset>
                  </wp:positionH>
                  <wp:positionV relativeFrom="paragraph">
                    <wp:posOffset>91440</wp:posOffset>
                  </wp:positionV>
                  <wp:extent cx="1457325" cy="4622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5EBC" w:rsidRPr="00EA39DE" w:rsidRDefault="00695EBC" w:rsidP="005A1717">
            <w:pPr>
              <w:spacing w:after="120"/>
              <w:contextualSpacing/>
              <w:jc w:val="center"/>
              <w:rPr>
                <w:rFonts w:ascii="Calibri" w:eastAsiaTheme="majorEastAsia" w:hAnsi="Calibri" w:cs="Calibri"/>
                <w:bCs/>
                <w:color w:val="365F91" w:themeColor="accent1" w:themeShade="BF"/>
                <w:sz w:val="20"/>
                <w:szCs w:val="20"/>
              </w:rPr>
            </w:pPr>
          </w:p>
          <w:p w:rsidR="00695EBC" w:rsidRPr="00EA39DE" w:rsidRDefault="00695EBC" w:rsidP="005A1717">
            <w:pPr>
              <w:spacing w:after="120"/>
              <w:contextualSpacing/>
              <w:jc w:val="center"/>
              <w:rPr>
                <w:rFonts w:ascii="Calibri" w:eastAsiaTheme="majorEastAsia" w:hAnsi="Calibri" w:cs="Calibri"/>
                <w:bCs/>
                <w:color w:val="365F91" w:themeColor="accent1" w:themeShade="BF"/>
                <w:sz w:val="20"/>
                <w:szCs w:val="20"/>
              </w:rPr>
            </w:pPr>
          </w:p>
          <w:p w:rsidR="00695EBC" w:rsidRPr="00EA39DE" w:rsidRDefault="00695EBC" w:rsidP="005A1717">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695EBC" w:rsidRPr="00EA39DE" w:rsidRDefault="00695EBC" w:rsidP="005A1717">
            <w:pPr>
              <w:pStyle w:val="Heading2"/>
              <w:spacing w:line="240" w:lineRule="auto"/>
              <w:outlineLvl w:val="1"/>
              <w:rPr>
                <w:b w:val="0"/>
                <w:bCs/>
                <w:i/>
                <w:color w:val="365F91" w:themeColor="accent1" w:themeShade="BF"/>
                <w:sz w:val="20"/>
                <w:szCs w:val="20"/>
              </w:rPr>
            </w:pPr>
            <w:r w:rsidRPr="00EA39DE">
              <w:rPr>
                <w:b w:val="0"/>
                <w:color w:val="365F91" w:themeColor="accent1" w:themeShade="BF"/>
                <w:sz w:val="20"/>
                <w:szCs w:val="20"/>
              </w:rPr>
              <w:t>National Center for Disease Control and Public Health</w:t>
            </w:r>
          </w:p>
          <w:p w:rsidR="00695EBC" w:rsidRPr="00EA39DE" w:rsidRDefault="00695EBC" w:rsidP="005A1717">
            <w:pPr>
              <w:pStyle w:val="Heading2"/>
              <w:spacing w:line="240" w:lineRule="auto"/>
              <w:jc w:val="center"/>
              <w:outlineLvl w:val="1"/>
              <w:rPr>
                <w:b w:val="0"/>
                <w:bCs/>
                <w:i/>
                <w:color w:val="365F91" w:themeColor="accent1" w:themeShade="BF"/>
                <w:sz w:val="20"/>
                <w:szCs w:val="20"/>
                <w:lang w:val="ka-GE"/>
              </w:rPr>
            </w:pPr>
            <w:r w:rsidRPr="00EA39DE">
              <w:rPr>
                <w:b w:val="0"/>
                <w:color w:val="365F91" w:themeColor="accent1" w:themeShade="BF"/>
                <w:sz w:val="20"/>
                <w:szCs w:val="20"/>
              </w:rPr>
              <w:t>9, M. Asatiani street</w:t>
            </w:r>
            <w:r w:rsidRPr="00EA39DE">
              <w:rPr>
                <w:b w:val="0"/>
                <w:color w:val="365F91" w:themeColor="accent1" w:themeShade="BF"/>
                <w:sz w:val="20"/>
                <w:szCs w:val="20"/>
                <w:lang w:val="ka-GE"/>
              </w:rPr>
              <w:t>.</w:t>
            </w:r>
            <w:r w:rsidRPr="00EA39DE">
              <w:rPr>
                <w:b w:val="0"/>
                <w:color w:val="365F91" w:themeColor="accent1" w:themeShade="BF"/>
                <w:sz w:val="20"/>
                <w:szCs w:val="20"/>
              </w:rPr>
              <w:t xml:space="preserve"> Tbilisi, Georgia,</w:t>
            </w:r>
            <w:r w:rsidRPr="00EA39DE">
              <w:rPr>
                <w:b w:val="0"/>
                <w:color w:val="365F91" w:themeColor="accent1" w:themeShade="BF"/>
                <w:sz w:val="20"/>
                <w:szCs w:val="20"/>
                <w:lang w:val="ka-GE"/>
              </w:rPr>
              <w:t xml:space="preserve"> 0177</w:t>
            </w:r>
          </w:p>
          <w:p w:rsidR="00695EBC" w:rsidRPr="00EA39DE" w:rsidRDefault="00695EBC" w:rsidP="005A1717">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bookmarkEnd w:id="0"/>
    </w:tbl>
    <w:p w:rsidR="006D4C91" w:rsidRPr="006D4C91" w:rsidRDefault="006D4C91" w:rsidP="006D4C91">
      <w:pPr>
        <w:spacing w:after="120" w:line="240" w:lineRule="auto"/>
        <w:jc w:val="both"/>
      </w:pPr>
    </w:p>
    <w:sectPr w:rsidR="006D4C91" w:rsidRPr="006D4C91" w:rsidSect="009A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E4" w:rsidRDefault="00AB09E4" w:rsidP="00136770">
      <w:pPr>
        <w:spacing w:after="0" w:line="240" w:lineRule="auto"/>
      </w:pPr>
      <w:r>
        <w:separator/>
      </w:r>
    </w:p>
  </w:endnote>
  <w:endnote w:type="continuationSeparator" w:id="0">
    <w:p w:rsidR="00AB09E4" w:rsidRDefault="00AB09E4" w:rsidP="0013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E4" w:rsidRDefault="00AB09E4" w:rsidP="00136770">
      <w:pPr>
        <w:spacing w:after="0" w:line="240" w:lineRule="auto"/>
      </w:pPr>
      <w:r>
        <w:separator/>
      </w:r>
    </w:p>
  </w:footnote>
  <w:footnote w:type="continuationSeparator" w:id="0">
    <w:p w:rsidR="00AB09E4" w:rsidRDefault="00AB09E4" w:rsidP="00136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434"/>
    <w:multiLevelType w:val="hybridMultilevel"/>
    <w:tmpl w:val="B5C4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5CFE"/>
    <w:multiLevelType w:val="hybridMultilevel"/>
    <w:tmpl w:val="82C89FFC"/>
    <w:lvl w:ilvl="0" w:tplc="FFEA5690">
      <w:start w:val="1"/>
      <w:numFmt w:val="bullet"/>
      <w:lvlText w:val="•"/>
      <w:lvlJc w:val="left"/>
      <w:pPr>
        <w:tabs>
          <w:tab w:val="num" w:pos="720"/>
        </w:tabs>
        <w:ind w:left="720" w:hanging="360"/>
      </w:pPr>
      <w:rPr>
        <w:rFonts w:ascii="Arial" w:hAnsi="Arial" w:hint="default"/>
      </w:rPr>
    </w:lvl>
    <w:lvl w:ilvl="1" w:tplc="49E2E5D0" w:tentative="1">
      <w:start w:val="1"/>
      <w:numFmt w:val="bullet"/>
      <w:lvlText w:val="•"/>
      <w:lvlJc w:val="left"/>
      <w:pPr>
        <w:tabs>
          <w:tab w:val="num" w:pos="1440"/>
        </w:tabs>
        <w:ind w:left="1440" w:hanging="360"/>
      </w:pPr>
      <w:rPr>
        <w:rFonts w:ascii="Arial" w:hAnsi="Arial" w:hint="default"/>
      </w:rPr>
    </w:lvl>
    <w:lvl w:ilvl="2" w:tplc="E31C4464" w:tentative="1">
      <w:start w:val="1"/>
      <w:numFmt w:val="bullet"/>
      <w:lvlText w:val="•"/>
      <w:lvlJc w:val="left"/>
      <w:pPr>
        <w:tabs>
          <w:tab w:val="num" w:pos="2160"/>
        </w:tabs>
        <w:ind w:left="2160" w:hanging="360"/>
      </w:pPr>
      <w:rPr>
        <w:rFonts w:ascii="Arial" w:hAnsi="Arial" w:hint="default"/>
      </w:rPr>
    </w:lvl>
    <w:lvl w:ilvl="3" w:tplc="0DEA2024" w:tentative="1">
      <w:start w:val="1"/>
      <w:numFmt w:val="bullet"/>
      <w:lvlText w:val="•"/>
      <w:lvlJc w:val="left"/>
      <w:pPr>
        <w:tabs>
          <w:tab w:val="num" w:pos="2880"/>
        </w:tabs>
        <w:ind w:left="2880" w:hanging="360"/>
      </w:pPr>
      <w:rPr>
        <w:rFonts w:ascii="Arial" w:hAnsi="Arial" w:hint="default"/>
      </w:rPr>
    </w:lvl>
    <w:lvl w:ilvl="4" w:tplc="5E9E3848" w:tentative="1">
      <w:start w:val="1"/>
      <w:numFmt w:val="bullet"/>
      <w:lvlText w:val="•"/>
      <w:lvlJc w:val="left"/>
      <w:pPr>
        <w:tabs>
          <w:tab w:val="num" w:pos="3600"/>
        </w:tabs>
        <w:ind w:left="3600" w:hanging="360"/>
      </w:pPr>
      <w:rPr>
        <w:rFonts w:ascii="Arial" w:hAnsi="Arial" w:hint="default"/>
      </w:rPr>
    </w:lvl>
    <w:lvl w:ilvl="5" w:tplc="A0CE75D4" w:tentative="1">
      <w:start w:val="1"/>
      <w:numFmt w:val="bullet"/>
      <w:lvlText w:val="•"/>
      <w:lvlJc w:val="left"/>
      <w:pPr>
        <w:tabs>
          <w:tab w:val="num" w:pos="4320"/>
        </w:tabs>
        <w:ind w:left="4320" w:hanging="360"/>
      </w:pPr>
      <w:rPr>
        <w:rFonts w:ascii="Arial" w:hAnsi="Arial" w:hint="default"/>
      </w:rPr>
    </w:lvl>
    <w:lvl w:ilvl="6" w:tplc="BA4C7646" w:tentative="1">
      <w:start w:val="1"/>
      <w:numFmt w:val="bullet"/>
      <w:lvlText w:val="•"/>
      <w:lvlJc w:val="left"/>
      <w:pPr>
        <w:tabs>
          <w:tab w:val="num" w:pos="5040"/>
        </w:tabs>
        <w:ind w:left="5040" w:hanging="360"/>
      </w:pPr>
      <w:rPr>
        <w:rFonts w:ascii="Arial" w:hAnsi="Arial" w:hint="default"/>
      </w:rPr>
    </w:lvl>
    <w:lvl w:ilvl="7" w:tplc="CA34B496" w:tentative="1">
      <w:start w:val="1"/>
      <w:numFmt w:val="bullet"/>
      <w:lvlText w:val="•"/>
      <w:lvlJc w:val="left"/>
      <w:pPr>
        <w:tabs>
          <w:tab w:val="num" w:pos="5760"/>
        </w:tabs>
        <w:ind w:left="5760" w:hanging="360"/>
      </w:pPr>
      <w:rPr>
        <w:rFonts w:ascii="Arial" w:hAnsi="Arial" w:hint="default"/>
      </w:rPr>
    </w:lvl>
    <w:lvl w:ilvl="8" w:tplc="6D6067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971174"/>
    <w:multiLevelType w:val="hybridMultilevel"/>
    <w:tmpl w:val="998A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67B36"/>
    <w:multiLevelType w:val="hybridMultilevel"/>
    <w:tmpl w:val="146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65650"/>
    <w:multiLevelType w:val="hybridMultilevel"/>
    <w:tmpl w:val="F054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B1637"/>
    <w:multiLevelType w:val="hybridMultilevel"/>
    <w:tmpl w:val="D76E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44FB3"/>
    <w:multiLevelType w:val="hybridMultilevel"/>
    <w:tmpl w:val="A13A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C5016"/>
    <w:multiLevelType w:val="hybridMultilevel"/>
    <w:tmpl w:val="2A8EE236"/>
    <w:lvl w:ilvl="0" w:tplc="FFEA569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13431"/>
    <w:multiLevelType w:val="hybridMultilevel"/>
    <w:tmpl w:val="05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44259"/>
    <w:multiLevelType w:val="hybridMultilevel"/>
    <w:tmpl w:val="1C486C2A"/>
    <w:lvl w:ilvl="0" w:tplc="FAF07AB6">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65DA1"/>
    <w:multiLevelType w:val="hybridMultilevel"/>
    <w:tmpl w:val="4ABEB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70D2B"/>
    <w:multiLevelType w:val="hybridMultilevel"/>
    <w:tmpl w:val="A060F72E"/>
    <w:lvl w:ilvl="0" w:tplc="A234197A">
      <w:start w:val="1"/>
      <w:numFmt w:val="decimal"/>
      <w:lvlText w:val="%1."/>
      <w:lvlJc w:val="left"/>
      <w:pPr>
        <w:ind w:left="-45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13" w15:restartNumberingAfterBreak="0">
    <w:nsid w:val="1B50793D"/>
    <w:multiLevelType w:val="hybridMultilevel"/>
    <w:tmpl w:val="D2CA19A2"/>
    <w:lvl w:ilvl="0" w:tplc="AAD64BA0">
      <w:start w:val="1"/>
      <w:numFmt w:val="bullet"/>
      <w:pStyle w:val="Bullet2"/>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CFD4E1F"/>
    <w:multiLevelType w:val="hybridMultilevel"/>
    <w:tmpl w:val="0E809E9A"/>
    <w:lvl w:ilvl="0" w:tplc="B33C7CF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A21001"/>
    <w:multiLevelType w:val="hybridMultilevel"/>
    <w:tmpl w:val="6834FBB8"/>
    <w:lvl w:ilvl="0" w:tplc="9BE07C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50F5E"/>
    <w:multiLevelType w:val="hybridMultilevel"/>
    <w:tmpl w:val="717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E0612"/>
    <w:multiLevelType w:val="hybridMultilevel"/>
    <w:tmpl w:val="425C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54011"/>
    <w:multiLevelType w:val="hybridMultilevel"/>
    <w:tmpl w:val="05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875FC"/>
    <w:multiLevelType w:val="hybridMultilevel"/>
    <w:tmpl w:val="6A88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A1D0A"/>
    <w:multiLevelType w:val="hybridMultilevel"/>
    <w:tmpl w:val="66A4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33795"/>
    <w:multiLevelType w:val="hybridMultilevel"/>
    <w:tmpl w:val="D438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46703"/>
    <w:multiLevelType w:val="multilevel"/>
    <w:tmpl w:val="4406F37C"/>
    <w:lvl w:ilvl="0">
      <w:start w:val="1"/>
      <w:numFmt w:val="decimal"/>
      <w:lvlText w:val="%1."/>
      <w:lvlJc w:val="left"/>
      <w:pPr>
        <w:ind w:left="420" w:hanging="420"/>
      </w:pPr>
      <w:rPr>
        <w:rFonts w:cstheme="minorBidi"/>
        <w:color w:val="auto"/>
        <w:sz w:val="24"/>
      </w:rPr>
    </w:lvl>
    <w:lvl w:ilvl="1">
      <w:start w:val="1"/>
      <w:numFmt w:val="decimal"/>
      <w:lvlText w:val="%1.%2."/>
      <w:lvlJc w:val="left"/>
      <w:pPr>
        <w:ind w:left="720" w:hanging="720"/>
      </w:pPr>
      <w:rPr>
        <w:rFonts w:cstheme="minorBidi"/>
        <w:color w:val="auto"/>
        <w:sz w:val="24"/>
      </w:rPr>
    </w:lvl>
    <w:lvl w:ilvl="2">
      <w:start w:val="1"/>
      <w:numFmt w:val="decimal"/>
      <w:lvlText w:val="%1.%2.%3."/>
      <w:lvlJc w:val="left"/>
      <w:pPr>
        <w:ind w:left="720" w:hanging="720"/>
      </w:pPr>
      <w:rPr>
        <w:rFonts w:cstheme="minorBidi"/>
        <w:color w:val="auto"/>
        <w:sz w:val="24"/>
      </w:rPr>
    </w:lvl>
    <w:lvl w:ilvl="3">
      <w:start w:val="1"/>
      <w:numFmt w:val="decimal"/>
      <w:lvlText w:val="%1.%2.%3.%4."/>
      <w:lvlJc w:val="left"/>
      <w:pPr>
        <w:ind w:left="1080" w:hanging="1080"/>
      </w:pPr>
      <w:rPr>
        <w:rFonts w:cstheme="minorBidi"/>
        <w:color w:val="auto"/>
        <w:sz w:val="24"/>
      </w:rPr>
    </w:lvl>
    <w:lvl w:ilvl="4">
      <w:start w:val="1"/>
      <w:numFmt w:val="decimal"/>
      <w:lvlText w:val="%1.%2.%3.%4.%5."/>
      <w:lvlJc w:val="left"/>
      <w:pPr>
        <w:ind w:left="1080" w:hanging="1080"/>
      </w:pPr>
      <w:rPr>
        <w:rFonts w:cstheme="minorBidi"/>
        <w:color w:val="auto"/>
        <w:sz w:val="24"/>
      </w:rPr>
    </w:lvl>
    <w:lvl w:ilvl="5">
      <w:start w:val="1"/>
      <w:numFmt w:val="decimal"/>
      <w:lvlText w:val="%1.%2.%3.%4.%5.%6."/>
      <w:lvlJc w:val="left"/>
      <w:pPr>
        <w:ind w:left="1440" w:hanging="1440"/>
      </w:pPr>
      <w:rPr>
        <w:rFonts w:cstheme="minorBidi"/>
        <w:color w:val="auto"/>
        <w:sz w:val="24"/>
      </w:rPr>
    </w:lvl>
    <w:lvl w:ilvl="6">
      <w:start w:val="1"/>
      <w:numFmt w:val="decimal"/>
      <w:lvlText w:val="%1.%2.%3.%4.%5.%6.%7."/>
      <w:lvlJc w:val="left"/>
      <w:pPr>
        <w:ind w:left="1440" w:hanging="1440"/>
      </w:pPr>
      <w:rPr>
        <w:rFonts w:cstheme="minorBidi"/>
        <w:color w:val="auto"/>
        <w:sz w:val="24"/>
      </w:rPr>
    </w:lvl>
    <w:lvl w:ilvl="7">
      <w:start w:val="1"/>
      <w:numFmt w:val="decimal"/>
      <w:lvlText w:val="%1.%2.%3.%4.%5.%6.%7.%8."/>
      <w:lvlJc w:val="left"/>
      <w:pPr>
        <w:ind w:left="1800" w:hanging="1800"/>
      </w:pPr>
      <w:rPr>
        <w:rFonts w:cstheme="minorBidi"/>
        <w:color w:val="auto"/>
        <w:sz w:val="24"/>
      </w:rPr>
    </w:lvl>
    <w:lvl w:ilvl="8">
      <w:start w:val="1"/>
      <w:numFmt w:val="decimal"/>
      <w:lvlText w:val="%1.%2.%3.%4.%5.%6.%7.%8.%9."/>
      <w:lvlJc w:val="left"/>
      <w:pPr>
        <w:ind w:left="1800" w:hanging="1800"/>
      </w:pPr>
      <w:rPr>
        <w:rFonts w:cstheme="minorBidi"/>
        <w:color w:val="auto"/>
        <w:sz w:val="24"/>
      </w:rPr>
    </w:lvl>
  </w:abstractNum>
  <w:abstractNum w:abstractNumId="23" w15:restartNumberingAfterBreak="0">
    <w:nsid w:val="47A07961"/>
    <w:multiLevelType w:val="hybridMultilevel"/>
    <w:tmpl w:val="8208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4A3171"/>
    <w:multiLevelType w:val="hybridMultilevel"/>
    <w:tmpl w:val="10C497A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4EED2799"/>
    <w:multiLevelType w:val="hybridMultilevel"/>
    <w:tmpl w:val="AD08B9FA"/>
    <w:lvl w:ilvl="0" w:tplc="3A3698B0">
      <w:start w:val="1"/>
      <w:numFmt w:val="bullet"/>
      <w:lvlText w:val="•"/>
      <w:lvlJc w:val="left"/>
      <w:pPr>
        <w:tabs>
          <w:tab w:val="num" w:pos="720"/>
        </w:tabs>
        <w:ind w:left="720" w:hanging="360"/>
      </w:pPr>
      <w:rPr>
        <w:rFonts w:ascii="Arial" w:hAnsi="Arial" w:hint="default"/>
      </w:rPr>
    </w:lvl>
    <w:lvl w:ilvl="1" w:tplc="197856AA" w:tentative="1">
      <w:start w:val="1"/>
      <w:numFmt w:val="bullet"/>
      <w:lvlText w:val="•"/>
      <w:lvlJc w:val="left"/>
      <w:pPr>
        <w:tabs>
          <w:tab w:val="num" w:pos="1440"/>
        </w:tabs>
        <w:ind w:left="1440" w:hanging="360"/>
      </w:pPr>
      <w:rPr>
        <w:rFonts w:ascii="Arial" w:hAnsi="Arial" w:hint="default"/>
      </w:rPr>
    </w:lvl>
    <w:lvl w:ilvl="2" w:tplc="1F403BE0" w:tentative="1">
      <w:start w:val="1"/>
      <w:numFmt w:val="bullet"/>
      <w:lvlText w:val="•"/>
      <w:lvlJc w:val="left"/>
      <w:pPr>
        <w:tabs>
          <w:tab w:val="num" w:pos="2160"/>
        </w:tabs>
        <w:ind w:left="2160" w:hanging="360"/>
      </w:pPr>
      <w:rPr>
        <w:rFonts w:ascii="Arial" w:hAnsi="Arial" w:hint="default"/>
      </w:rPr>
    </w:lvl>
    <w:lvl w:ilvl="3" w:tplc="5E16F11C" w:tentative="1">
      <w:start w:val="1"/>
      <w:numFmt w:val="bullet"/>
      <w:lvlText w:val="•"/>
      <w:lvlJc w:val="left"/>
      <w:pPr>
        <w:tabs>
          <w:tab w:val="num" w:pos="2880"/>
        </w:tabs>
        <w:ind w:left="2880" w:hanging="360"/>
      </w:pPr>
      <w:rPr>
        <w:rFonts w:ascii="Arial" w:hAnsi="Arial" w:hint="default"/>
      </w:rPr>
    </w:lvl>
    <w:lvl w:ilvl="4" w:tplc="6C1ABA50" w:tentative="1">
      <w:start w:val="1"/>
      <w:numFmt w:val="bullet"/>
      <w:lvlText w:val="•"/>
      <w:lvlJc w:val="left"/>
      <w:pPr>
        <w:tabs>
          <w:tab w:val="num" w:pos="3600"/>
        </w:tabs>
        <w:ind w:left="3600" w:hanging="360"/>
      </w:pPr>
      <w:rPr>
        <w:rFonts w:ascii="Arial" w:hAnsi="Arial" w:hint="default"/>
      </w:rPr>
    </w:lvl>
    <w:lvl w:ilvl="5" w:tplc="1BB095A6" w:tentative="1">
      <w:start w:val="1"/>
      <w:numFmt w:val="bullet"/>
      <w:lvlText w:val="•"/>
      <w:lvlJc w:val="left"/>
      <w:pPr>
        <w:tabs>
          <w:tab w:val="num" w:pos="4320"/>
        </w:tabs>
        <w:ind w:left="4320" w:hanging="360"/>
      </w:pPr>
      <w:rPr>
        <w:rFonts w:ascii="Arial" w:hAnsi="Arial" w:hint="default"/>
      </w:rPr>
    </w:lvl>
    <w:lvl w:ilvl="6" w:tplc="70A60DEC" w:tentative="1">
      <w:start w:val="1"/>
      <w:numFmt w:val="bullet"/>
      <w:lvlText w:val="•"/>
      <w:lvlJc w:val="left"/>
      <w:pPr>
        <w:tabs>
          <w:tab w:val="num" w:pos="5040"/>
        </w:tabs>
        <w:ind w:left="5040" w:hanging="360"/>
      </w:pPr>
      <w:rPr>
        <w:rFonts w:ascii="Arial" w:hAnsi="Arial" w:hint="default"/>
      </w:rPr>
    </w:lvl>
    <w:lvl w:ilvl="7" w:tplc="9A6C85DA" w:tentative="1">
      <w:start w:val="1"/>
      <w:numFmt w:val="bullet"/>
      <w:lvlText w:val="•"/>
      <w:lvlJc w:val="left"/>
      <w:pPr>
        <w:tabs>
          <w:tab w:val="num" w:pos="5760"/>
        </w:tabs>
        <w:ind w:left="5760" w:hanging="360"/>
      </w:pPr>
      <w:rPr>
        <w:rFonts w:ascii="Arial" w:hAnsi="Arial" w:hint="default"/>
      </w:rPr>
    </w:lvl>
    <w:lvl w:ilvl="8" w:tplc="721E604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E55EF0"/>
    <w:multiLevelType w:val="hybridMultilevel"/>
    <w:tmpl w:val="140EA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EF682F"/>
    <w:multiLevelType w:val="hybridMultilevel"/>
    <w:tmpl w:val="CD68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711DE"/>
    <w:multiLevelType w:val="hybridMultilevel"/>
    <w:tmpl w:val="2848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46DE3"/>
    <w:multiLevelType w:val="hybridMultilevel"/>
    <w:tmpl w:val="19ECF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5853CD"/>
    <w:multiLevelType w:val="hybridMultilevel"/>
    <w:tmpl w:val="9CE4750A"/>
    <w:lvl w:ilvl="0" w:tplc="85C8F09A">
      <w:start w:val="1"/>
      <w:numFmt w:val="decimal"/>
      <w:lvlText w:val="%1"/>
      <w:lvlJc w:val="left"/>
      <w:pPr>
        <w:ind w:left="360" w:firstLine="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3656E"/>
    <w:multiLevelType w:val="multilevel"/>
    <w:tmpl w:val="CF34922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B14CE2"/>
    <w:multiLevelType w:val="hybridMultilevel"/>
    <w:tmpl w:val="22C8A414"/>
    <w:lvl w:ilvl="0" w:tplc="F2403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87040"/>
    <w:multiLevelType w:val="hybridMultilevel"/>
    <w:tmpl w:val="BCBC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A69DC"/>
    <w:multiLevelType w:val="hybridMultilevel"/>
    <w:tmpl w:val="E7B23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860F6"/>
    <w:multiLevelType w:val="hybridMultilevel"/>
    <w:tmpl w:val="59EC484E"/>
    <w:lvl w:ilvl="0" w:tplc="0680AC6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21"/>
  </w:num>
  <w:num w:numId="3">
    <w:abstractNumId w:val="8"/>
  </w:num>
  <w:num w:numId="4">
    <w:abstractNumId w:val="9"/>
  </w:num>
  <w:num w:numId="5">
    <w:abstractNumId w:val="11"/>
  </w:num>
  <w:num w:numId="6">
    <w:abstractNumId w:val="18"/>
  </w:num>
  <w:num w:numId="7">
    <w:abstractNumId w:val="31"/>
  </w:num>
  <w:num w:numId="8">
    <w:abstractNumId w:val="13"/>
  </w:num>
  <w:num w:numId="9">
    <w:abstractNumId w:val="33"/>
  </w:num>
  <w:num w:numId="10">
    <w:abstractNumId w:val="30"/>
  </w:num>
  <w:num w:numId="11">
    <w:abstractNumId w:val="10"/>
  </w:num>
  <w:num w:numId="12">
    <w:abstractNumId w:val="17"/>
  </w:num>
  <w:num w:numId="13">
    <w:abstractNumId w:val="28"/>
  </w:num>
  <w:num w:numId="14">
    <w:abstractNumId w:val="20"/>
  </w:num>
  <w:num w:numId="15">
    <w:abstractNumId w:val="0"/>
  </w:num>
  <w:num w:numId="16">
    <w:abstractNumId w:val="2"/>
  </w:num>
  <w:num w:numId="17">
    <w:abstractNumId w:val="4"/>
  </w:num>
  <w:num w:numId="18">
    <w:abstractNumId w:val="16"/>
  </w:num>
  <w:num w:numId="19">
    <w:abstractNumId w:val="27"/>
  </w:num>
  <w:num w:numId="20">
    <w:abstractNumId w:val="15"/>
  </w:num>
  <w:num w:numId="21">
    <w:abstractNumId w:val="14"/>
  </w:num>
  <w:num w:numId="22">
    <w:abstractNumId w:val="12"/>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5"/>
  </w:num>
  <w:num w:numId="30">
    <w:abstractNumId w:val="26"/>
  </w:num>
  <w:num w:numId="31">
    <w:abstractNumId w:val="23"/>
  </w:num>
  <w:num w:numId="32">
    <w:abstractNumId w:val="22"/>
  </w:num>
  <w:num w:numId="33">
    <w:abstractNumId w:val="19"/>
  </w:num>
  <w:num w:numId="34">
    <w:abstractNumId w:val="6"/>
  </w:num>
  <w:num w:numId="35">
    <w:abstractNumId w:val="32"/>
  </w:num>
  <w:num w:numId="36">
    <w:abstractNumId w:val="25"/>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1D"/>
    <w:rsid w:val="000008A7"/>
    <w:rsid w:val="000017F5"/>
    <w:rsid w:val="0000608A"/>
    <w:rsid w:val="000145D8"/>
    <w:rsid w:val="0001769F"/>
    <w:rsid w:val="00031FDE"/>
    <w:rsid w:val="00042327"/>
    <w:rsid w:val="00042AD7"/>
    <w:rsid w:val="000448D2"/>
    <w:rsid w:val="00051697"/>
    <w:rsid w:val="000547D3"/>
    <w:rsid w:val="00056D4F"/>
    <w:rsid w:val="00062B1E"/>
    <w:rsid w:val="00070493"/>
    <w:rsid w:val="000725FB"/>
    <w:rsid w:val="000775D2"/>
    <w:rsid w:val="00081390"/>
    <w:rsid w:val="000840C8"/>
    <w:rsid w:val="00085F8F"/>
    <w:rsid w:val="00092750"/>
    <w:rsid w:val="0009550A"/>
    <w:rsid w:val="0009750B"/>
    <w:rsid w:val="000A11EF"/>
    <w:rsid w:val="000A1ADC"/>
    <w:rsid w:val="000A20EC"/>
    <w:rsid w:val="000B3593"/>
    <w:rsid w:val="000B498C"/>
    <w:rsid w:val="000B53F0"/>
    <w:rsid w:val="000C65FA"/>
    <w:rsid w:val="000D2754"/>
    <w:rsid w:val="000D2C00"/>
    <w:rsid w:val="000E2B60"/>
    <w:rsid w:val="000F0ED8"/>
    <w:rsid w:val="001041E9"/>
    <w:rsid w:val="0011505B"/>
    <w:rsid w:val="00120D99"/>
    <w:rsid w:val="001312D1"/>
    <w:rsid w:val="00132673"/>
    <w:rsid w:val="00136770"/>
    <w:rsid w:val="00143D63"/>
    <w:rsid w:val="00151930"/>
    <w:rsid w:val="0016709A"/>
    <w:rsid w:val="00167539"/>
    <w:rsid w:val="001760DF"/>
    <w:rsid w:val="00190AA4"/>
    <w:rsid w:val="00190FF9"/>
    <w:rsid w:val="0019223B"/>
    <w:rsid w:val="001934CE"/>
    <w:rsid w:val="001942BA"/>
    <w:rsid w:val="00197EFE"/>
    <w:rsid w:val="001A33BA"/>
    <w:rsid w:val="001A3571"/>
    <w:rsid w:val="001A6453"/>
    <w:rsid w:val="001A7DEF"/>
    <w:rsid w:val="001C403C"/>
    <w:rsid w:val="001C78E5"/>
    <w:rsid w:val="001D287C"/>
    <w:rsid w:val="001E04EB"/>
    <w:rsid w:val="001E3FB9"/>
    <w:rsid w:val="001E5A3C"/>
    <w:rsid w:val="001F56DC"/>
    <w:rsid w:val="001F6120"/>
    <w:rsid w:val="002118B0"/>
    <w:rsid w:val="00223539"/>
    <w:rsid w:val="00230F21"/>
    <w:rsid w:val="002351A9"/>
    <w:rsid w:val="00236E68"/>
    <w:rsid w:val="00242E4A"/>
    <w:rsid w:val="00244C35"/>
    <w:rsid w:val="00255BE1"/>
    <w:rsid w:val="0025676F"/>
    <w:rsid w:val="00261BC5"/>
    <w:rsid w:val="0027065F"/>
    <w:rsid w:val="00272127"/>
    <w:rsid w:val="00273D7A"/>
    <w:rsid w:val="002746BD"/>
    <w:rsid w:val="00292353"/>
    <w:rsid w:val="00292903"/>
    <w:rsid w:val="00292F6D"/>
    <w:rsid w:val="00295289"/>
    <w:rsid w:val="002B01F5"/>
    <w:rsid w:val="002B2B1F"/>
    <w:rsid w:val="002B4882"/>
    <w:rsid w:val="002B70B3"/>
    <w:rsid w:val="002C3D43"/>
    <w:rsid w:val="002D4758"/>
    <w:rsid w:val="00301E20"/>
    <w:rsid w:val="00307533"/>
    <w:rsid w:val="00313C37"/>
    <w:rsid w:val="00325C6B"/>
    <w:rsid w:val="0032765D"/>
    <w:rsid w:val="003547B9"/>
    <w:rsid w:val="00362B37"/>
    <w:rsid w:val="003655A2"/>
    <w:rsid w:val="00380D85"/>
    <w:rsid w:val="00387122"/>
    <w:rsid w:val="003A23D1"/>
    <w:rsid w:val="003A33EF"/>
    <w:rsid w:val="003C5B79"/>
    <w:rsid w:val="003E0A6D"/>
    <w:rsid w:val="003E1BA0"/>
    <w:rsid w:val="003E1E97"/>
    <w:rsid w:val="003F189D"/>
    <w:rsid w:val="004015AF"/>
    <w:rsid w:val="00426D07"/>
    <w:rsid w:val="004509D9"/>
    <w:rsid w:val="004539DC"/>
    <w:rsid w:val="00455933"/>
    <w:rsid w:val="00460112"/>
    <w:rsid w:val="004629F5"/>
    <w:rsid w:val="004651B5"/>
    <w:rsid w:val="004657F0"/>
    <w:rsid w:val="0047197E"/>
    <w:rsid w:val="00473E62"/>
    <w:rsid w:val="00475EDC"/>
    <w:rsid w:val="004818D6"/>
    <w:rsid w:val="004827CD"/>
    <w:rsid w:val="00494A4C"/>
    <w:rsid w:val="004B2365"/>
    <w:rsid w:val="004D27DA"/>
    <w:rsid w:val="004D4575"/>
    <w:rsid w:val="004E50B7"/>
    <w:rsid w:val="004F4695"/>
    <w:rsid w:val="0050163B"/>
    <w:rsid w:val="00501DE2"/>
    <w:rsid w:val="005028DD"/>
    <w:rsid w:val="005040DE"/>
    <w:rsid w:val="00517DAA"/>
    <w:rsid w:val="005239FE"/>
    <w:rsid w:val="005267AC"/>
    <w:rsid w:val="00534475"/>
    <w:rsid w:val="005352E7"/>
    <w:rsid w:val="00536694"/>
    <w:rsid w:val="005564C4"/>
    <w:rsid w:val="00567DC2"/>
    <w:rsid w:val="005832AA"/>
    <w:rsid w:val="00586C07"/>
    <w:rsid w:val="005907C4"/>
    <w:rsid w:val="005A1717"/>
    <w:rsid w:val="005A3F28"/>
    <w:rsid w:val="005A5072"/>
    <w:rsid w:val="005B28B1"/>
    <w:rsid w:val="005B2C52"/>
    <w:rsid w:val="005B4AA9"/>
    <w:rsid w:val="005C54B8"/>
    <w:rsid w:val="005E0AF9"/>
    <w:rsid w:val="005E349A"/>
    <w:rsid w:val="005F6653"/>
    <w:rsid w:val="00605D9A"/>
    <w:rsid w:val="006344A6"/>
    <w:rsid w:val="006368CB"/>
    <w:rsid w:val="00661A00"/>
    <w:rsid w:val="006622D1"/>
    <w:rsid w:val="0067167A"/>
    <w:rsid w:val="0069125E"/>
    <w:rsid w:val="00692405"/>
    <w:rsid w:val="006953A0"/>
    <w:rsid w:val="00695EBC"/>
    <w:rsid w:val="00696EA1"/>
    <w:rsid w:val="006B7523"/>
    <w:rsid w:val="006C21CC"/>
    <w:rsid w:val="006D3731"/>
    <w:rsid w:val="006D3A4D"/>
    <w:rsid w:val="006D4C91"/>
    <w:rsid w:val="006E180B"/>
    <w:rsid w:val="006E27FB"/>
    <w:rsid w:val="006F0F34"/>
    <w:rsid w:val="006F5F2F"/>
    <w:rsid w:val="007043F3"/>
    <w:rsid w:val="00715833"/>
    <w:rsid w:val="0072704B"/>
    <w:rsid w:val="00730459"/>
    <w:rsid w:val="0075368F"/>
    <w:rsid w:val="007601C6"/>
    <w:rsid w:val="0076250D"/>
    <w:rsid w:val="00783BEB"/>
    <w:rsid w:val="00785CE1"/>
    <w:rsid w:val="007A74F9"/>
    <w:rsid w:val="007A7606"/>
    <w:rsid w:val="007B4594"/>
    <w:rsid w:val="007C7C4A"/>
    <w:rsid w:val="007D08C1"/>
    <w:rsid w:val="007D0F8D"/>
    <w:rsid w:val="007D7B25"/>
    <w:rsid w:val="007E3517"/>
    <w:rsid w:val="007F7AC7"/>
    <w:rsid w:val="00801527"/>
    <w:rsid w:val="00801D22"/>
    <w:rsid w:val="00803303"/>
    <w:rsid w:val="00813FE5"/>
    <w:rsid w:val="00815066"/>
    <w:rsid w:val="00824C93"/>
    <w:rsid w:val="00830828"/>
    <w:rsid w:val="00834B89"/>
    <w:rsid w:val="0084727E"/>
    <w:rsid w:val="00864B1C"/>
    <w:rsid w:val="00871E54"/>
    <w:rsid w:val="008732AB"/>
    <w:rsid w:val="00875A07"/>
    <w:rsid w:val="00881442"/>
    <w:rsid w:val="008859BE"/>
    <w:rsid w:val="00897363"/>
    <w:rsid w:val="008B2D6F"/>
    <w:rsid w:val="008B3588"/>
    <w:rsid w:val="008B67BC"/>
    <w:rsid w:val="008B6858"/>
    <w:rsid w:val="008C319C"/>
    <w:rsid w:val="008C6FD8"/>
    <w:rsid w:val="008E4D36"/>
    <w:rsid w:val="008F468F"/>
    <w:rsid w:val="008F6D17"/>
    <w:rsid w:val="00917764"/>
    <w:rsid w:val="00922479"/>
    <w:rsid w:val="00942ADD"/>
    <w:rsid w:val="00992335"/>
    <w:rsid w:val="009953CF"/>
    <w:rsid w:val="00996CA5"/>
    <w:rsid w:val="009A7162"/>
    <w:rsid w:val="009A7C2B"/>
    <w:rsid w:val="009B24F2"/>
    <w:rsid w:val="009C4E11"/>
    <w:rsid w:val="009D3512"/>
    <w:rsid w:val="009E4974"/>
    <w:rsid w:val="009E7D4C"/>
    <w:rsid w:val="009F391F"/>
    <w:rsid w:val="009F47E4"/>
    <w:rsid w:val="00A01E66"/>
    <w:rsid w:val="00A02740"/>
    <w:rsid w:val="00A029FA"/>
    <w:rsid w:val="00A032CB"/>
    <w:rsid w:val="00A0749B"/>
    <w:rsid w:val="00A07526"/>
    <w:rsid w:val="00A10B3D"/>
    <w:rsid w:val="00A2391D"/>
    <w:rsid w:val="00A32D7E"/>
    <w:rsid w:val="00A342F3"/>
    <w:rsid w:val="00A57534"/>
    <w:rsid w:val="00A62CF0"/>
    <w:rsid w:val="00A708BB"/>
    <w:rsid w:val="00A72294"/>
    <w:rsid w:val="00A745B4"/>
    <w:rsid w:val="00A8241B"/>
    <w:rsid w:val="00A86277"/>
    <w:rsid w:val="00A86394"/>
    <w:rsid w:val="00A93FEB"/>
    <w:rsid w:val="00A955F3"/>
    <w:rsid w:val="00A9576B"/>
    <w:rsid w:val="00AA0828"/>
    <w:rsid w:val="00AA40AD"/>
    <w:rsid w:val="00AA6DE1"/>
    <w:rsid w:val="00AA72ED"/>
    <w:rsid w:val="00AB04D5"/>
    <w:rsid w:val="00AB09E4"/>
    <w:rsid w:val="00AB2722"/>
    <w:rsid w:val="00AB3496"/>
    <w:rsid w:val="00AC0403"/>
    <w:rsid w:val="00AC2A75"/>
    <w:rsid w:val="00AC60FA"/>
    <w:rsid w:val="00AC75D5"/>
    <w:rsid w:val="00AD4A60"/>
    <w:rsid w:val="00AD6B7C"/>
    <w:rsid w:val="00AE6DCD"/>
    <w:rsid w:val="00AF40D1"/>
    <w:rsid w:val="00AF5D30"/>
    <w:rsid w:val="00B0345E"/>
    <w:rsid w:val="00B06362"/>
    <w:rsid w:val="00B17888"/>
    <w:rsid w:val="00B17BBD"/>
    <w:rsid w:val="00B200D6"/>
    <w:rsid w:val="00B249DB"/>
    <w:rsid w:val="00B255F7"/>
    <w:rsid w:val="00B31C3E"/>
    <w:rsid w:val="00B33C61"/>
    <w:rsid w:val="00B42543"/>
    <w:rsid w:val="00B444E4"/>
    <w:rsid w:val="00B5308E"/>
    <w:rsid w:val="00B54B1A"/>
    <w:rsid w:val="00B575BC"/>
    <w:rsid w:val="00B70C84"/>
    <w:rsid w:val="00B803D6"/>
    <w:rsid w:val="00B83433"/>
    <w:rsid w:val="00B85051"/>
    <w:rsid w:val="00B95090"/>
    <w:rsid w:val="00B96043"/>
    <w:rsid w:val="00BA6311"/>
    <w:rsid w:val="00BB0238"/>
    <w:rsid w:val="00BB2D76"/>
    <w:rsid w:val="00BB48A5"/>
    <w:rsid w:val="00BB6C58"/>
    <w:rsid w:val="00BC22B0"/>
    <w:rsid w:val="00BC31AF"/>
    <w:rsid w:val="00BC7E95"/>
    <w:rsid w:val="00BE492E"/>
    <w:rsid w:val="00BF20C2"/>
    <w:rsid w:val="00BF4789"/>
    <w:rsid w:val="00C02D85"/>
    <w:rsid w:val="00C31434"/>
    <w:rsid w:val="00C35F92"/>
    <w:rsid w:val="00C37F76"/>
    <w:rsid w:val="00C41DCB"/>
    <w:rsid w:val="00C447DC"/>
    <w:rsid w:val="00C5184A"/>
    <w:rsid w:val="00C53A8F"/>
    <w:rsid w:val="00C54114"/>
    <w:rsid w:val="00C57C47"/>
    <w:rsid w:val="00C62508"/>
    <w:rsid w:val="00C626BA"/>
    <w:rsid w:val="00C62710"/>
    <w:rsid w:val="00C639C3"/>
    <w:rsid w:val="00C67BAC"/>
    <w:rsid w:val="00C721E2"/>
    <w:rsid w:val="00C74FBA"/>
    <w:rsid w:val="00C771B8"/>
    <w:rsid w:val="00C803CA"/>
    <w:rsid w:val="00C81402"/>
    <w:rsid w:val="00C90564"/>
    <w:rsid w:val="00CA5086"/>
    <w:rsid w:val="00CB5A91"/>
    <w:rsid w:val="00CD24CB"/>
    <w:rsid w:val="00CD7F9E"/>
    <w:rsid w:val="00CE2FFB"/>
    <w:rsid w:val="00CE31F1"/>
    <w:rsid w:val="00CF0232"/>
    <w:rsid w:val="00CF1EB6"/>
    <w:rsid w:val="00CF225D"/>
    <w:rsid w:val="00CF6E36"/>
    <w:rsid w:val="00D04B87"/>
    <w:rsid w:val="00D06DBF"/>
    <w:rsid w:val="00D073DD"/>
    <w:rsid w:val="00D2163C"/>
    <w:rsid w:val="00D219E3"/>
    <w:rsid w:val="00D52C7F"/>
    <w:rsid w:val="00D5325D"/>
    <w:rsid w:val="00D61094"/>
    <w:rsid w:val="00D61C26"/>
    <w:rsid w:val="00D7454B"/>
    <w:rsid w:val="00D81A38"/>
    <w:rsid w:val="00D86085"/>
    <w:rsid w:val="00D90375"/>
    <w:rsid w:val="00D968E0"/>
    <w:rsid w:val="00DA0638"/>
    <w:rsid w:val="00DA497B"/>
    <w:rsid w:val="00DA7EA3"/>
    <w:rsid w:val="00DB069F"/>
    <w:rsid w:val="00DB3CFD"/>
    <w:rsid w:val="00DC6DEB"/>
    <w:rsid w:val="00DD0D0D"/>
    <w:rsid w:val="00DD0D8D"/>
    <w:rsid w:val="00DD5A1D"/>
    <w:rsid w:val="00DF572D"/>
    <w:rsid w:val="00DF59A3"/>
    <w:rsid w:val="00E00924"/>
    <w:rsid w:val="00E01F3E"/>
    <w:rsid w:val="00E02BCF"/>
    <w:rsid w:val="00E11268"/>
    <w:rsid w:val="00E205E3"/>
    <w:rsid w:val="00E250E1"/>
    <w:rsid w:val="00E43732"/>
    <w:rsid w:val="00E554AA"/>
    <w:rsid w:val="00E65FA3"/>
    <w:rsid w:val="00E66132"/>
    <w:rsid w:val="00E71587"/>
    <w:rsid w:val="00E75900"/>
    <w:rsid w:val="00E76602"/>
    <w:rsid w:val="00E81488"/>
    <w:rsid w:val="00E86961"/>
    <w:rsid w:val="00E941C4"/>
    <w:rsid w:val="00EB22BB"/>
    <w:rsid w:val="00EB4570"/>
    <w:rsid w:val="00EB7E36"/>
    <w:rsid w:val="00EC0E94"/>
    <w:rsid w:val="00ED6940"/>
    <w:rsid w:val="00EE697D"/>
    <w:rsid w:val="00EE7357"/>
    <w:rsid w:val="00EF0C97"/>
    <w:rsid w:val="00EF6DCA"/>
    <w:rsid w:val="00F148C1"/>
    <w:rsid w:val="00F2768A"/>
    <w:rsid w:val="00F33CB9"/>
    <w:rsid w:val="00F35137"/>
    <w:rsid w:val="00F457FD"/>
    <w:rsid w:val="00F45B60"/>
    <w:rsid w:val="00F60D4C"/>
    <w:rsid w:val="00F70DE1"/>
    <w:rsid w:val="00F70F0E"/>
    <w:rsid w:val="00F84F0E"/>
    <w:rsid w:val="00F911D4"/>
    <w:rsid w:val="00F9425B"/>
    <w:rsid w:val="00F97B1F"/>
    <w:rsid w:val="00FA4346"/>
    <w:rsid w:val="00FB2ADF"/>
    <w:rsid w:val="00FB4E98"/>
    <w:rsid w:val="00FD1945"/>
    <w:rsid w:val="00FE589C"/>
    <w:rsid w:val="00FE5CF9"/>
    <w:rsid w:val="00FF4382"/>
    <w:rsid w:val="00FF6736"/>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916A9-5E08-46E2-BD62-AB2FA10A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1D"/>
  </w:style>
  <w:style w:type="paragraph" w:styleId="Heading2">
    <w:name w:val="heading 2"/>
    <w:basedOn w:val="Normal"/>
    <w:next w:val="Normal"/>
    <w:link w:val="Heading2Char1"/>
    <w:autoRedefine/>
    <w:uiPriority w:val="99"/>
    <w:qFormat/>
    <w:rsid w:val="0019223B"/>
    <w:pPr>
      <w:keepNext/>
      <w:keepLines/>
      <w:spacing w:after="0" w:line="360" w:lineRule="auto"/>
      <w:jc w:val="right"/>
      <w:outlineLvl w:val="1"/>
    </w:pPr>
    <w:rPr>
      <w:rFonts w:ascii="Calibri" w:eastAsiaTheme="majorEastAsia" w:hAnsi="Calibri" w:cs="Calibri"/>
      <w:b/>
      <w:color w:val="244061" w:themeColor="accent1" w:themeShade="80"/>
      <w:sz w:val="36"/>
      <w:szCs w:val="36"/>
    </w:rPr>
  </w:style>
  <w:style w:type="paragraph" w:styleId="Heading3">
    <w:name w:val="heading 3"/>
    <w:basedOn w:val="Normal"/>
    <w:next w:val="Normal"/>
    <w:link w:val="Heading3Char"/>
    <w:uiPriority w:val="9"/>
    <w:unhideWhenUsed/>
    <w:qFormat/>
    <w:rsid w:val="00DF572D"/>
    <w:pPr>
      <w:keepNext/>
      <w:keepLines/>
      <w:spacing w:before="40" w:after="0"/>
      <w:outlineLvl w:val="2"/>
    </w:pPr>
    <w:rPr>
      <w:rFonts w:asciiTheme="majorHAnsi" w:eastAsiaTheme="majorEastAsia" w:hAnsiTheme="majorHAnsi" w:cstheme="majorBidi"/>
      <w:color w:val="243F60"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9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91D"/>
    <w:pPr>
      <w:ind w:left="720"/>
      <w:contextualSpacing/>
    </w:pPr>
  </w:style>
  <w:style w:type="table" w:customStyle="1" w:styleId="GridTable1Light1">
    <w:name w:val="Grid Table 1 Light1"/>
    <w:basedOn w:val="TableNormal"/>
    <w:uiPriority w:val="46"/>
    <w:rsid w:val="00A239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A745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rsid w:val="0025676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Heading2Char">
    <w:name w:val="Heading 2 Char"/>
    <w:basedOn w:val="DefaultParagraphFont"/>
    <w:uiPriority w:val="9"/>
    <w:semiHidden/>
    <w:rsid w:val="00DF57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572D"/>
    <w:rPr>
      <w:rFonts w:asciiTheme="majorHAnsi" w:eastAsiaTheme="majorEastAsia" w:hAnsiTheme="majorHAnsi" w:cstheme="majorBidi"/>
      <w:color w:val="243F60" w:themeColor="accent1" w:themeShade="7F"/>
      <w:sz w:val="24"/>
      <w:szCs w:val="24"/>
      <w:lang w:val="en-ZA"/>
    </w:rPr>
  </w:style>
  <w:style w:type="character" w:customStyle="1" w:styleId="Heading2Char1">
    <w:name w:val="Heading 2 Char1"/>
    <w:basedOn w:val="DefaultParagraphFont"/>
    <w:link w:val="Heading2"/>
    <w:uiPriority w:val="99"/>
    <w:locked/>
    <w:rsid w:val="0019223B"/>
    <w:rPr>
      <w:rFonts w:ascii="Calibri" w:eastAsiaTheme="majorEastAsia" w:hAnsi="Calibri" w:cs="Calibri"/>
      <w:b/>
      <w:color w:val="244061" w:themeColor="accent1" w:themeShade="80"/>
      <w:sz w:val="36"/>
      <w:szCs w:val="36"/>
    </w:rPr>
  </w:style>
  <w:style w:type="paragraph" w:customStyle="1" w:styleId="Bullet2">
    <w:name w:val="Bullet 2"/>
    <w:basedOn w:val="Normal"/>
    <w:link w:val="Bullet2Char"/>
    <w:qFormat/>
    <w:rsid w:val="00DF572D"/>
    <w:pPr>
      <w:numPr>
        <w:numId w:val="8"/>
      </w:numPr>
      <w:autoSpaceDE w:val="0"/>
      <w:autoSpaceDN w:val="0"/>
      <w:adjustRightInd w:val="0"/>
      <w:spacing w:before="3" w:after="0" w:line="252" w:lineRule="exact"/>
      <w:ind w:left="540" w:right="300" w:hanging="270"/>
    </w:pPr>
    <w:rPr>
      <w:rFonts w:ascii="Calibri" w:eastAsia="SimSun" w:hAnsi="Calibri" w:cs="Arial"/>
      <w:spacing w:val="5"/>
      <w:lang w:eastAsia="zh-CN"/>
    </w:rPr>
  </w:style>
  <w:style w:type="character" w:customStyle="1" w:styleId="Bullet2Char">
    <w:name w:val="Bullet 2 Char"/>
    <w:basedOn w:val="DefaultParagraphFont"/>
    <w:link w:val="Bullet2"/>
    <w:rsid w:val="00DF572D"/>
    <w:rPr>
      <w:rFonts w:ascii="Calibri" w:eastAsia="SimSun" w:hAnsi="Calibri" w:cs="Arial"/>
      <w:spacing w:val="5"/>
      <w:lang w:eastAsia="zh-CN"/>
    </w:rPr>
  </w:style>
  <w:style w:type="paragraph" w:customStyle="1" w:styleId="Bullet1">
    <w:name w:val="Bullet 1"/>
    <w:basedOn w:val="Bullet2"/>
    <w:link w:val="Bullet1Char"/>
    <w:autoRedefine/>
    <w:qFormat/>
    <w:rsid w:val="00301E20"/>
    <w:pPr>
      <w:numPr>
        <w:numId w:val="0"/>
      </w:numPr>
    </w:pPr>
  </w:style>
  <w:style w:type="character" w:customStyle="1" w:styleId="Bullet1Char">
    <w:name w:val="Bullet 1 Char"/>
    <w:basedOn w:val="Bullet2Char"/>
    <w:link w:val="Bullet1"/>
    <w:rsid w:val="00301E20"/>
    <w:rPr>
      <w:rFonts w:ascii="Calibri" w:eastAsia="SimSun" w:hAnsi="Calibri" w:cs="Arial"/>
      <w:spacing w:val="5"/>
      <w:lang w:eastAsia="zh-CN"/>
    </w:rPr>
  </w:style>
  <w:style w:type="paragraph" w:customStyle="1" w:styleId="Default">
    <w:name w:val="Default"/>
    <w:rsid w:val="00DF572D"/>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F572D"/>
    <w:rPr>
      <w:sz w:val="16"/>
      <w:szCs w:val="16"/>
    </w:rPr>
  </w:style>
  <w:style w:type="paragraph" w:styleId="CommentText">
    <w:name w:val="annotation text"/>
    <w:basedOn w:val="Normal"/>
    <w:link w:val="CommentTextChar"/>
    <w:uiPriority w:val="99"/>
    <w:unhideWhenUsed/>
    <w:rsid w:val="00DF572D"/>
    <w:pPr>
      <w:widowControl w:val="0"/>
      <w:spacing w:line="240" w:lineRule="auto"/>
    </w:pPr>
    <w:rPr>
      <w:sz w:val="20"/>
      <w:szCs w:val="20"/>
      <w:lang w:val="en-ZA"/>
    </w:rPr>
  </w:style>
  <w:style w:type="character" w:customStyle="1" w:styleId="CommentTextChar">
    <w:name w:val="Comment Text Char"/>
    <w:basedOn w:val="DefaultParagraphFont"/>
    <w:link w:val="CommentText"/>
    <w:uiPriority w:val="99"/>
    <w:rsid w:val="00DF572D"/>
    <w:rPr>
      <w:sz w:val="20"/>
      <w:szCs w:val="20"/>
      <w:lang w:val="en-ZA"/>
    </w:rPr>
  </w:style>
  <w:style w:type="character" w:styleId="Strong">
    <w:name w:val="Strong"/>
    <w:basedOn w:val="DefaultParagraphFont"/>
    <w:uiPriority w:val="22"/>
    <w:qFormat/>
    <w:rsid w:val="00DF572D"/>
    <w:rPr>
      <w:b/>
      <w:bCs/>
    </w:rPr>
  </w:style>
  <w:style w:type="paragraph" w:customStyle="1" w:styleId="yiv8242702639msolistparagraph">
    <w:name w:val="yiv8242702639msolistparagraph"/>
    <w:basedOn w:val="Normal"/>
    <w:rsid w:val="00DF57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1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1FDE"/>
  </w:style>
  <w:style w:type="character" w:styleId="Hyperlink">
    <w:name w:val="Hyperlink"/>
    <w:basedOn w:val="DefaultParagraphFont"/>
    <w:uiPriority w:val="99"/>
    <w:unhideWhenUsed/>
    <w:rsid w:val="00031FDE"/>
    <w:rPr>
      <w:color w:val="0000FF" w:themeColor="hyperlink"/>
      <w:u w:val="single"/>
    </w:rPr>
  </w:style>
  <w:style w:type="character" w:styleId="Emphasis">
    <w:name w:val="Emphasis"/>
    <w:basedOn w:val="DefaultParagraphFont"/>
    <w:uiPriority w:val="20"/>
    <w:qFormat/>
    <w:rsid w:val="00B255F7"/>
    <w:rPr>
      <w:i/>
      <w:iCs/>
    </w:rPr>
  </w:style>
  <w:style w:type="paragraph" w:styleId="FootnoteText">
    <w:name w:val="footnote text"/>
    <w:basedOn w:val="Normal"/>
    <w:link w:val="FootnoteTextChar"/>
    <w:uiPriority w:val="99"/>
    <w:unhideWhenUsed/>
    <w:rsid w:val="00136770"/>
    <w:pPr>
      <w:spacing w:after="0" w:line="240" w:lineRule="auto"/>
    </w:pPr>
    <w:rPr>
      <w:sz w:val="20"/>
      <w:szCs w:val="20"/>
    </w:rPr>
  </w:style>
  <w:style w:type="character" w:customStyle="1" w:styleId="FootnoteTextChar">
    <w:name w:val="Footnote Text Char"/>
    <w:basedOn w:val="DefaultParagraphFont"/>
    <w:link w:val="FootnoteText"/>
    <w:uiPriority w:val="99"/>
    <w:rsid w:val="00136770"/>
    <w:rPr>
      <w:sz w:val="20"/>
      <w:szCs w:val="20"/>
    </w:rPr>
  </w:style>
  <w:style w:type="character" w:styleId="FootnoteReference">
    <w:name w:val="footnote reference"/>
    <w:basedOn w:val="DefaultParagraphFont"/>
    <w:uiPriority w:val="99"/>
    <w:unhideWhenUsed/>
    <w:rsid w:val="00136770"/>
    <w:rPr>
      <w:vertAlign w:val="superscript"/>
    </w:rPr>
  </w:style>
  <w:style w:type="table" w:customStyle="1" w:styleId="TableGrid0">
    <w:name w:val="TableGrid"/>
    <w:rsid w:val="00136770"/>
    <w:pPr>
      <w:spacing w:after="0" w:line="240" w:lineRule="auto"/>
    </w:pPr>
    <w:rPr>
      <w:rFonts w:eastAsiaTheme="minorEastAsia"/>
    </w:rPr>
    <w:tblPr>
      <w:tblCellMar>
        <w:top w:w="0" w:type="dxa"/>
        <w:left w:w="0" w:type="dxa"/>
        <w:bottom w:w="0" w:type="dxa"/>
        <w:right w:w="0" w:type="dxa"/>
      </w:tblCellMar>
    </w:tblPr>
  </w:style>
  <w:style w:type="paragraph" w:customStyle="1" w:styleId="Tabletext">
    <w:name w:val="Table text"/>
    <w:basedOn w:val="Normal"/>
    <w:rsid w:val="0047197E"/>
    <w:pPr>
      <w:spacing w:before="40" w:after="0" w:line="360" w:lineRule="auto"/>
    </w:pPr>
    <w:rPr>
      <w:rFonts w:ascii="Arial Narrow" w:eastAsia="Times New Roman" w:hAnsi="Arial Narrow" w:cs="Times New Roman"/>
      <w:sz w:val="24"/>
      <w:szCs w:val="20"/>
    </w:rPr>
  </w:style>
  <w:style w:type="character" w:customStyle="1" w:styleId="st">
    <w:name w:val="st"/>
    <w:basedOn w:val="DefaultParagraphFont"/>
    <w:rsid w:val="007C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0101">
      <w:bodyDiv w:val="1"/>
      <w:marLeft w:val="0"/>
      <w:marRight w:val="0"/>
      <w:marTop w:val="0"/>
      <w:marBottom w:val="0"/>
      <w:divBdr>
        <w:top w:val="none" w:sz="0" w:space="0" w:color="auto"/>
        <w:left w:val="none" w:sz="0" w:space="0" w:color="auto"/>
        <w:bottom w:val="none" w:sz="0" w:space="0" w:color="auto"/>
        <w:right w:val="none" w:sz="0" w:space="0" w:color="auto"/>
      </w:divBdr>
      <w:divsChild>
        <w:div w:id="690448011">
          <w:marLeft w:val="547"/>
          <w:marRight w:val="0"/>
          <w:marTop w:val="134"/>
          <w:marBottom w:val="0"/>
          <w:divBdr>
            <w:top w:val="none" w:sz="0" w:space="0" w:color="auto"/>
            <w:left w:val="none" w:sz="0" w:space="0" w:color="auto"/>
            <w:bottom w:val="none" w:sz="0" w:space="0" w:color="auto"/>
            <w:right w:val="none" w:sz="0" w:space="0" w:color="auto"/>
          </w:divBdr>
        </w:div>
      </w:divsChild>
    </w:div>
    <w:div w:id="390882218">
      <w:bodyDiv w:val="1"/>
      <w:marLeft w:val="0"/>
      <w:marRight w:val="0"/>
      <w:marTop w:val="0"/>
      <w:marBottom w:val="0"/>
      <w:divBdr>
        <w:top w:val="none" w:sz="0" w:space="0" w:color="auto"/>
        <w:left w:val="none" w:sz="0" w:space="0" w:color="auto"/>
        <w:bottom w:val="none" w:sz="0" w:space="0" w:color="auto"/>
        <w:right w:val="none" w:sz="0" w:space="0" w:color="auto"/>
      </w:divBdr>
    </w:div>
    <w:div w:id="629239816">
      <w:bodyDiv w:val="1"/>
      <w:marLeft w:val="0"/>
      <w:marRight w:val="0"/>
      <w:marTop w:val="0"/>
      <w:marBottom w:val="0"/>
      <w:divBdr>
        <w:top w:val="none" w:sz="0" w:space="0" w:color="auto"/>
        <w:left w:val="none" w:sz="0" w:space="0" w:color="auto"/>
        <w:bottom w:val="none" w:sz="0" w:space="0" w:color="auto"/>
        <w:right w:val="none" w:sz="0" w:space="0" w:color="auto"/>
      </w:divBdr>
      <w:divsChild>
        <w:div w:id="1130905">
          <w:marLeft w:val="547"/>
          <w:marRight w:val="0"/>
          <w:marTop w:val="154"/>
          <w:marBottom w:val="0"/>
          <w:divBdr>
            <w:top w:val="none" w:sz="0" w:space="0" w:color="auto"/>
            <w:left w:val="none" w:sz="0" w:space="0" w:color="auto"/>
            <w:bottom w:val="none" w:sz="0" w:space="0" w:color="auto"/>
            <w:right w:val="none" w:sz="0" w:space="0" w:color="auto"/>
          </w:divBdr>
        </w:div>
        <w:div w:id="1513834939">
          <w:marLeft w:val="547"/>
          <w:marRight w:val="0"/>
          <w:marTop w:val="154"/>
          <w:marBottom w:val="0"/>
          <w:divBdr>
            <w:top w:val="none" w:sz="0" w:space="0" w:color="auto"/>
            <w:left w:val="none" w:sz="0" w:space="0" w:color="auto"/>
            <w:bottom w:val="none" w:sz="0" w:space="0" w:color="auto"/>
            <w:right w:val="none" w:sz="0" w:space="0" w:color="auto"/>
          </w:divBdr>
        </w:div>
      </w:divsChild>
    </w:div>
    <w:div w:id="726681198">
      <w:bodyDiv w:val="1"/>
      <w:marLeft w:val="0"/>
      <w:marRight w:val="0"/>
      <w:marTop w:val="0"/>
      <w:marBottom w:val="0"/>
      <w:divBdr>
        <w:top w:val="none" w:sz="0" w:space="0" w:color="auto"/>
        <w:left w:val="none" w:sz="0" w:space="0" w:color="auto"/>
        <w:bottom w:val="none" w:sz="0" w:space="0" w:color="auto"/>
        <w:right w:val="none" w:sz="0" w:space="0" w:color="auto"/>
      </w:divBdr>
    </w:div>
    <w:div w:id="795685394">
      <w:bodyDiv w:val="1"/>
      <w:marLeft w:val="0"/>
      <w:marRight w:val="0"/>
      <w:marTop w:val="0"/>
      <w:marBottom w:val="0"/>
      <w:divBdr>
        <w:top w:val="none" w:sz="0" w:space="0" w:color="auto"/>
        <w:left w:val="none" w:sz="0" w:space="0" w:color="auto"/>
        <w:bottom w:val="none" w:sz="0" w:space="0" w:color="auto"/>
        <w:right w:val="none" w:sz="0" w:space="0" w:color="auto"/>
      </w:divBdr>
    </w:div>
    <w:div w:id="836653480">
      <w:bodyDiv w:val="1"/>
      <w:marLeft w:val="0"/>
      <w:marRight w:val="0"/>
      <w:marTop w:val="0"/>
      <w:marBottom w:val="0"/>
      <w:divBdr>
        <w:top w:val="none" w:sz="0" w:space="0" w:color="auto"/>
        <w:left w:val="none" w:sz="0" w:space="0" w:color="auto"/>
        <w:bottom w:val="none" w:sz="0" w:space="0" w:color="auto"/>
        <w:right w:val="none" w:sz="0" w:space="0" w:color="auto"/>
      </w:divBdr>
    </w:div>
    <w:div w:id="1551190242">
      <w:bodyDiv w:val="1"/>
      <w:marLeft w:val="0"/>
      <w:marRight w:val="0"/>
      <w:marTop w:val="0"/>
      <w:marBottom w:val="0"/>
      <w:divBdr>
        <w:top w:val="none" w:sz="0" w:space="0" w:color="auto"/>
        <w:left w:val="none" w:sz="0" w:space="0" w:color="auto"/>
        <w:bottom w:val="none" w:sz="0" w:space="0" w:color="auto"/>
        <w:right w:val="none" w:sz="0" w:space="0" w:color="auto"/>
      </w:divBdr>
    </w:div>
    <w:div w:id="1574510901">
      <w:bodyDiv w:val="1"/>
      <w:marLeft w:val="0"/>
      <w:marRight w:val="0"/>
      <w:marTop w:val="0"/>
      <w:marBottom w:val="0"/>
      <w:divBdr>
        <w:top w:val="none" w:sz="0" w:space="0" w:color="auto"/>
        <w:left w:val="none" w:sz="0" w:space="0" w:color="auto"/>
        <w:bottom w:val="none" w:sz="0" w:space="0" w:color="auto"/>
        <w:right w:val="none" w:sz="0" w:space="0" w:color="auto"/>
      </w:divBdr>
    </w:div>
    <w:div w:id="1737823103">
      <w:bodyDiv w:val="1"/>
      <w:marLeft w:val="0"/>
      <w:marRight w:val="0"/>
      <w:marTop w:val="0"/>
      <w:marBottom w:val="0"/>
      <w:divBdr>
        <w:top w:val="none" w:sz="0" w:space="0" w:color="auto"/>
        <w:left w:val="none" w:sz="0" w:space="0" w:color="auto"/>
        <w:bottom w:val="none" w:sz="0" w:space="0" w:color="auto"/>
        <w:right w:val="none" w:sz="0" w:space="0" w:color="auto"/>
      </w:divBdr>
    </w:div>
    <w:div w:id="20260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Frits\Desktop\Georgia%20iodine%20survey\Final%20data%20processing\Regression%20analyses%20and%20partitioning\100417%20Iodine%20intake%20log%20regress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effectLst/>
              </a:rPr>
              <a:t>Sources of Dietary Iodine Intake in Georgia</a:t>
            </a:r>
            <a:endParaRPr lang="en-US" sz="1000"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4349358664319337"/>
          <c:y val="0.27642441246568317"/>
          <c:w val="0.80779261929608304"/>
          <c:h val="0.6211405758188272"/>
        </c:manualLayout>
      </c:layout>
      <c:barChart>
        <c:barDir val="col"/>
        <c:grouping val="stacked"/>
        <c:varyColors val="0"/>
        <c:ser>
          <c:idx val="0"/>
          <c:order val="0"/>
          <c:tx>
            <c:strRef>
              <c:f>'All SAC data'!$AA$5</c:f>
              <c:strCache>
                <c:ptCount val="1"/>
                <c:pt idx="0">
                  <c:v>Native food iodine</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data'!$AB$5:$AD$5</c:f>
              <c:numCache>
                <c:formatCode>_(* #,##0_);_(* \(#,##0\);_(* "-"??_);_(@_)</c:formatCode>
                <c:ptCount val="3"/>
                <c:pt idx="0">
                  <c:v>107.35046451913658</c:v>
                </c:pt>
                <c:pt idx="1">
                  <c:v>78.688971574397272</c:v>
                </c:pt>
                <c:pt idx="2">
                  <c:v>65.86675334140908</c:v>
                </c:pt>
              </c:numCache>
            </c:numRef>
          </c:val>
        </c:ser>
        <c:ser>
          <c:idx val="1"/>
          <c:order val="1"/>
          <c:tx>
            <c:strRef>
              <c:f>'All SAC data'!$AA$6</c:f>
              <c:strCache>
                <c:ptCount val="1"/>
                <c:pt idx="0">
                  <c:v>Food salt iodine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data'!$AB$6:$AD$6</c:f>
              <c:numCache>
                <c:formatCode>_(* #,##0_);_(* \(#,##0\);_(* "-"??_);_(@_)</c:formatCode>
                <c:ptCount val="3"/>
                <c:pt idx="0">
                  <c:v>107.7956750814607</c:v>
                </c:pt>
                <c:pt idx="1">
                  <c:v>77.979452749164508</c:v>
                </c:pt>
                <c:pt idx="2">
                  <c:v>82.492758727595273</c:v>
                </c:pt>
              </c:numCache>
            </c:numRef>
          </c:val>
        </c:ser>
        <c:ser>
          <c:idx val="2"/>
          <c:order val="2"/>
          <c:tx>
            <c:strRef>
              <c:f>'All SAC data'!$AA$7</c:f>
              <c:strCache>
                <c:ptCount val="1"/>
                <c:pt idx="0">
                  <c:v>Household salt iodine</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data'!$AB$7:$AD$7</c:f>
              <c:numCache>
                <c:formatCode>_(* #,##0_);_(* \(#,##0\);_(* "-"??_);_(@_)</c:formatCode>
                <c:ptCount val="3"/>
                <c:pt idx="0">
                  <c:v>16.253860399402988</c:v>
                </c:pt>
                <c:pt idx="1">
                  <c:v>58.781105729302091</c:v>
                </c:pt>
                <c:pt idx="2">
                  <c:v>41.040487930996044</c:v>
                </c:pt>
              </c:numCache>
            </c:numRef>
          </c:val>
        </c:ser>
        <c:dLbls>
          <c:dLblPos val="ctr"/>
          <c:showLegendKey val="0"/>
          <c:showVal val="1"/>
          <c:showCatName val="0"/>
          <c:showSerName val="0"/>
          <c:showPercent val="0"/>
          <c:showBubbleSize val="0"/>
        </c:dLbls>
        <c:gapWidth val="90"/>
        <c:overlap val="100"/>
        <c:axId val="483894816"/>
        <c:axId val="483897536"/>
      </c:barChart>
      <c:catAx>
        <c:axId val="483894816"/>
        <c:scaling>
          <c:orientation val="minMax"/>
        </c:scaling>
        <c:delete val="0"/>
        <c:axPos val="b"/>
        <c:numFmt formatCode="General" sourceLinked="0"/>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83897536"/>
        <c:crosses val="autoZero"/>
        <c:auto val="1"/>
        <c:lblAlgn val="ctr"/>
        <c:lblOffset val="100"/>
        <c:noMultiLvlLbl val="0"/>
      </c:catAx>
      <c:valAx>
        <c:axId val="483897536"/>
        <c:scaling>
          <c:orientation val="minMax"/>
        </c:scaling>
        <c:delete val="0"/>
        <c:axPos val="l"/>
        <c:majorGridlines>
          <c:spPr>
            <a:ln w="9525" cap="flat" cmpd="sng" algn="ctr">
              <a:solidFill>
                <a:schemeClr val="tx1">
                  <a:tint val="75000"/>
                  <a:shade val="95000"/>
                  <a:satMod val="10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a:t>Iodine intake (µg/day)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_(* #,##0_);_(* \(#,##0\);_(* &quot;-&quot;??_);_(@_)"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83894816"/>
        <c:crosses val="autoZero"/>
        <c:crossBetween val="between"/>
      </c:valAx>
      <c:spPr>
        <a:solidFill>
          <a:schemeClr val="bg1"/>
        </a:solidFill>
        <a:ln>
          <a:noFill/>
        </a:ln>
        <a:effectLst/>
      </c:spPr>
    </c:plotArea>
    <c:legend>
      <c:legendPos val="t"/>
      <c:layout>
        <c:manualLayout>
          <c:xMode val="edge"/>
          <c:yMode val="edge"/>
          <c:x val="0.15212883826414902"/>
          <c:y val="0.14143783751169037"/>
          <c:w val="0.71566929133858614"/>
          <c:h val="6.67670217693377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Distribution of adjusted UIC (µg/L) in SAC by regions of Georgia</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Adjara</c:v>
                </c:pt>
                <c:pt idx="1">
                  <c:v>Tbilisi</c:v>
                </c:pt>
                <c:pt idx="2">
                  <c:v>Kakheti</c:v>
                </c:pt>
                <c:pt idx="3">
                  <c:v>Imereti </c:v>
                </c:pt>
                <c:pt idx="4">
                  <c:v>Samegrelo/Z Svaneti</c:v>
                </c:pt>
                <c:pt idx="5">
                  <c:v>Shida Kartli</c:v>
                </c:pt>
                <c:pt idx="6">
                  <c:v>Kvemo Kartli</c:v>
                </c:pt>
                <c:pt idx="7">
                  <c:v>Guria</c:v>
                </c:pt>
                <c:pt idx="8">
                  <c:v>Samtskhe – Javakheti</c:v>
                </c:pt>
                <c:pt idx="9">
                  <c:v>Mtskheta – Mtianeti</c:v>
                </c:pt>
                <c:pt idx="10">
                  <c:v> Racha – Lechkhumi/Kv Svaneti</c:v>
                </c:pt>
                <c:pt idx="11">
                  <c:v>All SAC</c:v>
                </c:pt>
              </c:strCache>
            </c:strRef>
          </c:cat>
          <c:val>
            <c:numRef>
              <c:f>Sheet1!$B$2:$B$13</c:f>
              <c:numCache>
                <c:formatCode>General</c:formatCode>
                <c:ptCount val="12"/>
                <c:pt idx="0">
                  <c:v>286</c:v>
                </c:pt>
                <c:pt idx="1">
                  <c:v>315</c:v>
                </c:pt>
                <c:pt idx="2">
                  <c:v>289</c:v>
                </c:pt>
                <c:pt idx="3">
                  <c:v>280</c:v>
                </c:pt>
                <c:pt idx="4">
                  <c:v>310</c:v>
                </c:pt>
                <c:pt idx="5">
                  <c:v>286</c:v>
                </c:pt>
                <c:pt idx="6">
                  <c:v>258</c:v>
                </c:pt>
                <c:pt idx="7">
                  <c:v>225</c:v>
                </c:pt>
                <c:pt idx="8">
                  <c:v>242</c:v>
                </c:pt>
                <c:pt idx="9">
                  <c:v>308</c:v>
                </c:pt>
                <c:pt idx="10">
                  <c:v>327</c:v>
                </c:pt>
                <c:pt idx="11">
                  <c:v>298</c:v>
                </c:pt>
              </c:numCache>
            </c:numRef>
          </c:val>
        </c:ser>
        <c:dLbls>
          <c:dLblPos val="outEnd"/>
          <c:showLegendKey val="0"/>
          <c:showVal val="1"/>
          <c:showCatName val="0"/>
          <c:showSerName val="0"/>
          <c:showPercent val="0"/>
          <c:showBubbleSize val="0"/>
        </c:dLbls>
        <c:gapWidth val="99"/>
        <c:overlap val="-9"/>
        <c:axId val="1168816064"/>
        <c:axId val="1168811712"/>
      </c:barChart>
      <c:catAx>
        <c:axId val="11688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811712"/>
        <c:crosses val="autoZero"/>
        <c:auto val="1"/>
        <c:lblAlgn val="ctr"/>
        <c:lblOffset val="100"/>
        <c:noMultiLvlLbl val="0"/>
      </c:catAx>
      <c:valAx>
        <c:axId val="116881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816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Adjusted UIC findings (µg/L) by SAC stratum and cohort</a:t>
            </a:r>
          </a:p>
        </c:rich>
      </c:tx>
      <c:layout>
        <c:manualLayout>
          <c:xMode val="edge"/>
          <c:yMode val="edge"/>
          <c:x val="0.17903455818022748"/>
          <c:y val="2.777777777777777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Sheet2!$A$1:$A$3</c:f>
              <c:strCache>
                <c:ptCount val="3"/>
                <c:pt idx="0">
                  <c:v>Urban SAC</c:v>
                </c:pt>
                <c:pt idx="1">
                  <c:v>Rural SAC</c:v>
                </c:pt>
                <c:pt idx="2">
                  <c:v>Mountain SAC</c:v>
                </c:pt>
              </c:strCache>
            </c:strRef>
          </c:cat>
          <c:val>
            <c:numRef>
              <c:f>Sheet2!$B$1:$B$3</c:f>
              <c:numCache>
                <c:formatCode>General</c:formatCode>
                <c:ptCount val="3"/>
                <c:pt idx="0">
                  <c:v>304</c:v>
                </c:pt>
                <c:pt idx="1">
                  <c:v>275</c:v>
                </c:pt>
                <c:pt idx="2">
                  <c:v>247</c:v>
                </c:pt>
              </c:numCache>
            </c:numRef>
          </c:val>
        </c:ser>
        <c:dLbls>
          <c:dLblPos val="outEnd"/>
          <c:showLegendKey val="0"/>
          <c:showVal val="1"/>
          <c:showCatName val="0"/>
          <c:showSerName val="0"/>
          <c:showPercent val="0"/>
          <c:showBubbleSize val="0"/>
        </c:dLbls>
        <c:gapWidth val="99"/>
        <c:overlap val="-9"/>
        <c:axId val="966782592"/>
        <c:axId val="966786400"/>
      </c:barChart>
      <c:catAx>
        <c:axId val="96678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66786400"/>
        <c:crosses val="autoZero"/>
        <c:auto val="1"/>
        <c:lblAlgn val="ctr"/>
        <c:lblOffset val="100"/>
        <c:noMultiLvlLbl val="0"/>
      </c:catAx>
      <c:valAx>
        <c:axId val="96678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8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Iodine intake sources by child cohort in Georgia</a:t>
            </a:r>
            <a:endParaRPr lang="en-US" sz="1100" b="0"/>
          </a:p>
        </c:rich>
      </c:tx>
      <c:layout>
        <c:manualLayout>
          <c:xMode val="edge"/>
          <c:yMode val="edge"/>
          <c:x val="0.16981233595800527"/>
          <c:y val="1.851851851851851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Sheet4!$H$4</c:f>
              <c:strCache>
                <c:ptCount val="1"/>
                <c:pt idx="0">
                  <c:v>Native food iodine</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Sheet4!$I$3:$L$3</c:f>
              <c:strCache>
                <c:ptCount val="4"/>
                <c:pt idx="0">
                  <c:v>Urban SAC</c:v>
                </c:pt>
                <c:pt idx="1">
                  <c:v>Rural SAC</c:v>
                </c:pt>
                <c:pt idx="2">
                  <c:v>Mountain</c:v>
                </c:pt>
                <c:pt idx="3">
                  <c:v>All SAC</c:v>
                </c:pt>
              </c:strCache>
            </c:strRef>
          </c:cat>
          <c:val>
            <c:numRef>
              <c:f>Sheet4!$I$4:$L$4</c:f>
              <c:numCache>
                <c:formatCode>0%</c:formatCode>
                <c:ptCount val="4"/>
                <c:pt idx="0">
                  <c:v>0.46</c:v>
                </c:pt>
                <c:pt idx="1">
                  <c:v>0.37</c:v>
                </c:pt>
                <c:pt idx="2">
                  <c:v>0.35</c:v>
                </c:pt>
                <c:pt idx="3">
                  <c:v>0.41</c:v>
                </c:pt>
              </c:numCache>
            </c:numRef>
          </c:val>
        </c:ser>
        <c:ser>
          <c:idx val="1"/>
          <c:order val="1"/>
          <c:tx>
            <c:strRef>
              <c:f>Sheet4!$H$5</c:f>
              <c:strCache>
                <c:ptCount val="1"/>
                <c:pt idx="0">
                  <c:v>Food salt iodine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Sheet4!$I$3:$L$3</c:f>
              <c:strCache>
                <c:ptCount val="4"/>
                <c:pt idx="0">
                  <c:v>Urban SAC</c:v>
                </c:pt>
                <c:pt idx="1">
                  <c:v>Rural SAC</c:v>
                </c:pt>
                <c:pt idx="2">
                  <c:v>Mountain</c:v>
                </c:pt>
                <c:pt idx="3">
                  <c:v>All SAC</c:v>
                </c:pt>
              </c:strCache>
            </c:strRef>
          </c:cat>
          <c:val>
            <c:numRef>
              <c:f>Sheet4!$I$5:$L$5</c:f>
              <c:numCache>
                <c:formatCode>0%</c:formatCode>
                <c:ptCount val="4"/>
                <c:pt idx="0">
                  <c:v>0.47</c:v>
                </c:pt>
                <c:pt idx="1">
                  <c:v>0.36</c:v>
                </c:pt>
                <c:pt idx="2">
                  <c:v>0.44</c:v>
                </c:pt>
                <c:pt idx="3">
                  <c:v>0.43</c:v>
                </c:pt>
              </c:numCache>
            </c:numRef>
          </c:val>
        </c:ser>
        <c:ser>
          <c:idx val="2"/>
          <c:order val="2"/>
          <c:tx>
            <c:strRef>
              <c:f>Sheet4!$H$6</c:f>
              <c:strCache>
                <c:ptCount val="1"/>
                <c:pt idx="0">
                  <c:v>Household salt iodine</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Sheet4!$I$3:$L$3</c:f>
              <c:strCache>
                <c:ptCount val="4"/>
                <c:pt idx="0">
                  <c:v>Urban SAC</c:v>
                </c:pt>
                <c:pt idx="1">
                  <c:v>Rural SAC</c:v>
                </c:pt>
                <c:pt idx="2">
                  <c:v>Mountain</c:v>
                </c:pt>
                <c:pt idx="3">
                  <c:v>All SAC</c:v>
                </c:pt>
              </c:strCache>
            </c:strRef>
          </c:cat>
          <c:val>
            <c:numRef>
              <c:f>Sheet4!$I$6:$L$6</c:f>
              <c:numCache>
                <c:formatCode>0%</c:formatCode>
                <c:ptCount val="4"/>
                <c:pt idx="0">
                  <c:v>7.0000000000000007E-2</c:v>
                </c:pt>
                <c:pt idx="1">
                  <c:v>0.27</c:v>
                </c:pt>
                <c:pt idx="2">
                  <c:v>0.22</c:v>
                </c:pt>
                <c:pt idx="3">
                  <c:v>0.16</c:v>
                </c:pt>
              </c:numCache>
            </c:numRef>
          </c:val>
        </c:ser>
        <c:dLbls>
          <c:dLblPos val="ctr"/>
          <c:showLegendKey val="0"/>
          <c:showVal val="1"/>
          <c:showCatName val="0"/>
          <c:showSerName val="0"/>
          <c:showPercent val="0"/>
          <c:showBubbleSize val="0"/>
        </c:dLbls>
        <c:gapWidth val="99"/>
        <c:overlap val="100"/>
        <c:axId val="898343616"/>
        <c:axId val="909135520"/>
      </c:barChart>
      <c:catAx>
        <c:axId val="89834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135520"/>
        <c:crosses val="autoZero"/>
        <c:auto val="1"/>
        <c:lblAlgn val="ctr"/>
        <c:lblOffset val="100"/>
        <c:noMultiLvlLbl val="0"/>
      </c:catAx>
      <c:valAx>
        <c:axId val="909135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34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Robizon</dc:creator>
  <cp:lastModifiedBy>Nana Kavtaradze</cp:lastModifiedBy>
  <cp:revision>4</cp:revision>
  <dcterms:created xsi:type="dcterms:W3CDTF">2017-11-23T15:21:00Z</dcterms:created>
  <dcterms:modified xsi:type="dcterms:W3CDTF">2017-11-23T15:24:00Z</dcterms:modified>
</cp:coreProperties>
</file>