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485" w:rsidRPr="001C4EC5" w:rsidRDefault="00B90485" w:rsidP="00B90485">
      <w:pPr>
        <w:rPr>
          <w:rFonts w:ascii="Sylfaen" w:hAnsi="Sylfaen"/>
          <w:b/>
          <w:sz w:val="24"/>
          <w:szCs w:val="24"/>
          <w:lang w:val="ka-GE"/>
        </w:rPr>
      </w:pPr>
      <w:bookmarkStart w:id="0" w:name="_GoBack"/>
      <w:bookmarkEnd w:id="0"/>
      <w:r w:rsidRPr="001C4EC5">
        <w:rPr>
          <w:rFonts w:ascii="Sylfaen" w:hAnsi="Sylfaen"/>
          <w:b/>
          <w:sz w:val="24"/>
          <w:szCs w:val="24"/>
          <w:lang w:val="ka-GE"/>
        </w:rPr>
        <w:t xml:space="preserve">პასუხისმგებელი უწყება:  </w:t>
      </w:r>
      <w:r>
        <w:rPr>
          <w:rFonts w:ascii="Sylfaen" w:hAnsi="Sylfaen"/>
          <w:b/>
          <w:sz w:val="24"/>
          <w:szCs w:val="24"/>
          <w:lang w:val="ka-GE"/>
        </w:rPr>
        <w:t>საქართველოს შრომის, ჯანმრთელობის</w:t>
      </w:r>
      <w:r w:rsidR="002002EE">
        <w:rPr>
          <w:rFonts w:ascii="Sylfaen" w:hAnsi="Sylfaen"/>
          <w:b/>
          <w:sz w:val="24"/>
          <w:szCs w:val="24"/>
          <w:lang w:val="ka-GE"/>
        </w:rPr>
        <w:t>ა</w:t>
      </w:r>
      <w:r>
        <w:rPr>
          <w:rFonts w:ascii="Sylfaen" w:hAnsi="Sylfaen"/>
          <w:b/>
          <w:sz w:val="24"/>
          <w:szCs w:val="24"/>
          <w:lang w:val="ka-GE"/>
        </w:rPr>
        <w:t xml:space="preserve">  და სოციალურ</w:t>
      </w:r>
      <w:r w:rsidR="002002EE">
        <w:rPr>
          <w:rFonts w:ascii="Sylfaen" w:hAnsi="Sylfaen"/>
          <w:b/>
          <w:sz w:val="24"/>
          <w:szCs w:val="24"/>
          <w:lang w:val="ka-GE"/>
        </w:rPr>
        <w:t xml:space="preserve">ი 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2002EE">
        <w:rPr>
          <w:rFonts w:ascii="Sylfaen" w:hAnsi="Sylfaen"/>
          <w:b/>
          <w:sz w:val="24"/>
          <w:szCs w:val="24"/>
          <w:lang w:val="ka-GE"/>
        </w:rPr>
        <w:t>დაცვის</w:t>
      </w:r>
      <w:r>
        <w:rPr>
          <w:rFonts w:ascii="Sylfaen" w:hAnsi="Sylfaen"/>
          <w:b/>
          <w:sz w:val="24"/>
          <w:szCs w:val="24"/>
          <w:lang w:val="ka-GE"/>
        </w:rPr>
        <w:t xml:space="preserve"> სამინისტრო</w:t>
      </w:r>
    </w:p>
    <w:p w:rsidR="006441CF" w:rsidRDefault="00B90485" w:rsidP="00B90485">
      <w:pPr>
        <w:rPr>
          <w:rFonts w:ascii="Sylfaen" w:hAnsi="Sylfaen"/>
          <w:lang w:val="ka-GE"/>
        </w:rPr>
      </w:pPr>
      <w:r w:rsidRPr="008A6D88">
        <w:rPr>
          <w:rFonts w:ascii="Sylfaen" w:hAnsi="Sylfaen"/>
          <w:b/>
          <w:lang w:val="ka-GE"/>
        </w:rPr>
        <w:t>საკონტაქტო პირი:</w:t>
      </w:r>
      <w:r>
        <w:rPr>
          <w:rFonts w:ascii="Sylfaen" w:hAnsi="Sylfaen"/>
          <w:lang w:val="ka-GE"/>
        </w:rPr>
        <w:t xml:space="preserve"> </w:t>
      </w:r>
      <w:r w:rsidR="006441CF" w:rsidRPr="006441CF">
        <w:rPr>
          <w:rFonts w:ascii="Sylfaen" w:hAnsi="Sylfaen"/>
          <w:lang w:val="ka-GE"/>
        </w:rPr>
        <w:t xml:space="preserve">ელზა ჯგერენაია, შრომისა და დასაქმების პოლიტიკის დეპარტამენტის უფროსი, ტელ: 2 51 00 11 (1502) </w:t>
      </w:r>
    </w:p>
    <w:p w:rsidR="00B90485" w:rsidRDefault="00B90485" w:rsidP="00B90485">
      <w:pPr>
        <w:rPr>
          <w:rFonts w:ascii="Sylfaen" w:hAnsi="Sylfaen"/>
          <w:lang w:val="ka-GE"/>
        </w:rPr>
      </w:pPr>
      <w:r w:rsidRPr="008A6D88">
        <w:rPr>
          <w:rFonts w:ascii="Sylfaen" w:hAnsi="Sylfaen"/>
          <w:b/>
          <w:lang w:val="ka-GE"/>
        </w:rPr>
        <w:t>დირექტივა /რეგულაცია /რეკომენდაცია:</w:t>
      </w:r>
      <w:r>
        <w:rPr>
          <w:rFonts w:ascii="Sylfaen" w:hAnsi="Sylfaen"/>
          <w:lang w:val="ka-GE"/>
        </w:rPr>
        <w:t xml:space="preserve">   </w:t>
      </w:r>
      <w:r w:rsidR="00AD4DE0" w:rsidRPr="00AD4DE0">
        <w:rPr>
          <w:rFonts w:ascii="Sylfaen" w:hAnsi="Sylfaen"/>
          <w:lang w:val="ka-GE"/>
        </w:rPr>
        <w:t>2000 წლის 29 ივნისის საბჭოს 2000/43/EC დირექტივა, რომელიც უზრუნველყოფს რასობრივი თუ ეთნიკური წარმომავლობის მიუხედავად პირთა თანაბარი მოპყრობის პრინციპის განხორციელებას</w:t>
      </w:r>
      <w:r>
        <w:rPr>
          <w:rFonts w:ascii="Sylfaen" w:hAnsi="Sylfaen"/>
          <w:lang w:val="ka-GE"/>
        </w:rPr>
        <w:t>.</w:t>
      </w:r>
    </w:p>
    <w:p w:rsidR="00052DB4" w:rsidRPr="00052DB4" w:rsidRDefault="00052DB4" w:rsidP="00052DB4">
      <w:pPr>
        <w:contextualSpacing/>
        <w:rPr>
          <w:rFonts w:ascii="Sylfaen" w:hAnsi="Sylfaen"/>
          <w:lang w:val="ka-GE"/>
        </w:rPr>
      </w:pPr>
    </w:p>
    <w:tbl>
      <w:tblPr>
        <w:tblW w:w="1372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6759"/>
        <w:gridCol w:w="2880"/>
        <w:gridCol w:w="3484"/>
      </w:tblGrid>
      <w:tr w:rsidR="00052DB4" w:rsidTr="008A6D88">
        <w:trPr>
          <w:trHeight w:val="350"/>
        </w:trPr>
        <w:tc>
          <w:tcPr>
            <w:tcW w:w="7360" w:type="dxa"/>
            <w:gridSpan w:val="2"/>
            <w:shd w:val="clear" w:color="auto" w:fill="DBE5F1" w:themeFill="accent1" w:themeFillTint="33"/>
          </w:tcPr>
          <w:p w:rsidR="00052DB4" w:rsidRPr="008A6D88" w:rsidRDefault="00052DB4" w:rsidP="001C4EC5">
            <w:pPr>
              <w:rPr>
                <w:rFonts w:ascii="Sylfaen" w:hAnsi="Sylfaen"/>
                <w:b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რეგულ</w:t>
            </w:r>
            <w:r w:rsidR="001C4EC5" w:rsidRPr="008A6D88">
              <w:rPr>
                <w:rFonts w:ascii="Sylfaen" w:hAnsi="Sylfaen"/>
                <w:b/>
                <w:lang w:val="ka-GE"/>
              </w:rPr>
              <w:t>ირების</w:t>
            </w:r>
            <w:r w:rsidRPr="008A6D88">
              <w:rPr>
                <w:rFonts w:ascii="Sylfaen" w:hAnsi="Sylfaen"/>
                <w:b/>
                <w:lang w:val="ka-GE"/>
              </w:rPr>
              <w:t xml:space="preserve"> სფერო</w:t>
            </w:r>
            <w:r w:rsidR="005532A9" w:rsidRPr="008A6D88">
              <w:rPr>
                <w:rFonts w:ascii="Sylfaen" w:hAnsi="Sylfaen"/>
                <w:b/>
                <w:lang w:val="ka-GE"/>
              </w:rPr>
              <w:t xml:space="preserve"> და მიზნები</w:t>
            </w:r>
          </w:p>
        </w:tc>
        <w:tc>
          <w:tcPr>
            <w:tcW w:w="2880" w:type="dxa"/>
            <w:shd w:val="clear" w:color="auto" w:fill="DBE5F1" w:themeFill="accent1" w:themeFillTint="33"/>
          </w:tcPr>
          <w:p w:rsidR="00052DB4" w:rsidRPr="008A6D88" w:rsidRDefault="001C4EC5" w:rsidP="001C4EC5">
            <w:pPr>
              <w:rPr>
                <w:rFonts w:ascii="Sylfaen" w:hAnsi="Sylfaen"/>
                <w:b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შესრულების</w:t>
            </w:r>
            <w:r w:rsidR="00052DB4" w:rsidRPr="008A6D88">
              <w:rPr>
                <w:rFonts w:ascii="Sylfaen" w:hAnsi="Sylfaen"/>
                <w:b/>
                <w:lang w:val="ka-GE"/>
              </w:rPr>
              <w:t xml:space="preserve"> ვადა</w:t>
            </w:r>
            <w:r w:rsidRPr="008A6D88">
              <w:rPr>
                <w:rFonts w:ascii="Sylfaen" w:hAnsi="Sylfaen"/>
                <w:b/>
                <w:lang w:val="ka-GE"/>
              </w:rPr>
              <w:t xml:space="preserve"> </w:t>
            </w:r>
            <w:r w:rsidR="005532A9" w:rsidRPr="008A6D88">
              <w:rPr>
                <w:rFonts w:ascii="Sylfaen" w:hAnsi="Sylfaen"/>
                <w:b/>
                <w:lang w:val="ka-GE"/>
              </w:rPr>
              <w:t>/</w:t>
            </w:r>
            <w:r w:rsidR="008A6D88">
              <w:rPr>
                <w:rFonts w:ascii="Sylfaen" w:hAnsi="Sylfaen"/>
                <w:b/>
              </w:rPr>
              <w:t xml:space="preserve"> </w:t>
            </w:r>
            <w:r w:rsidR="005532A9" w:rsidRPr="008A6D88">
              <w:rPr>
                <w:rFonts w:ascii="Sylfaen" w:hAnsi="Sylfaen" w:cs="Sylfaen"/>
                <w:b/>
                <w:lang w:val="ka-GE"/>
              </w:rPr>
              <w:t>არ</w:t>
            </w:r>
            <w:r w:rsidR="005532A9" w:rsidRPr="008A6D88">
              <w:rPr>
                <w:rFonts w:ascii="Sylfaen" w:hAnsi="Sylfaen"/>
                <w:b/>
                <w:lang w:val="ka-GE"/>
              </w:rPr>
              <w:t xml:space="preserve"> არის განსაზღვრული</w:t>
            </w:r>
          </w:p>
        </w:tc>
        <w:tc>
          <w:tcPr>
            <w:tcW w:w="3484" w:type="dxa"/>
            <w:shd w:val="clear" w:color="auto" w:fill="DBE5F1" w:themeFill="accent1" w:themeFillTint="33"/>
          </w:tcPr>
          <w:p w:rsidR="00052DB4" w:rsidRPr="008A6D88" w:rsidRDefault="009F3C66" w:rsidP="00250885">
            <w:pPr>
              <w:rPr>
                <w:rFonts w:ascii="Sylfaen" w:hAnsi="Sylfaen"/>
                <w:b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ვალდებულები</w:t>
            </w:r>
            <w:r w:rsidR="002D2EBE" w:rsidRPr="008A6D88">
              <w:rPr>
                <w:rFonts w:ascii="Sylfaen" w:hAnsi="Sylfaen"/>
                <w:b/>
                <w:lang w:val="ka-GE"/>
              </w:rPr>
              <w:t xml:space="preserve">ს </w:t>
            </w:r>
            <w:r w:rsidR="00250885" w:rsidRPr="008A6D88">
              <w:rPr>
                <w:rFonts w:ascii="Sylfaen" w:hAnsi="Sylfaen"/>
                <w:b/>
                <w:lang w:val="ka-GE"/>
              </w:rPr>
              <w:t>შესრულების მდგომარეობა</w:t>
            </w:r>
          </w:p>
        </w:tc>
      </w:tr>
      <w:tr w:rsidR="00052DB4" w:rsidTr="00C66426">
        <w:trPr>
          <w:trHeight w:val="416"/>
        </w:trPr>
        <w:tc>
          <w:tcPr>
            <w:tcW w:w="7360" w:type="dxa"/>
            <w:gridSpan w:val="2"/>
          </w:tcPr>
          <w:p w:rsidR="00AD4DE0" w:rsidRDefault="00AD4DE0" w:rsidP="00610E6D">
            <w:pPr>
              <w:spacing w:line="240" w:lineRule="auto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53358F">
              <w:rPr>
                <w:rFonts w:ascii="Sylfaen" w:hAnsi="Sylfaen" w:cs="Sylfaen"/>
                <w:sz w:val="18"/>
                <w:szCs w:val="18"/>
                <w:lang w:val="ka-GE"/>
              </w:rPr>
              <w:t>დირექტივის</w:t>
            </w:r>
            <w:r w:rsidRPr="0053358F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3358F">
              <w:rPr>
                <w:rFonts w:ascii="Sylfaen" w:hAnsi="Sylfaen" w:cs="Sylfaen"/>
                <w:sz w:val="18"/>
                <w:szCs w:val="18"/>
                <w:lang w:val="ka-GE"/>
              </w:rPr>
              <w:t>მიზანია</w:t>
            </w:r>
            <w:r w:rsidRPr="0053358F">
              <w:rPr>
                <w:rFonts w:ascii="Sylfaen" w:hAnsi="Sylfaen"/>
                <w:sz w:val="18"/>
                <w:szCs w:val="18"/>
                <w:lang w:val="ka-GE"/>
              </w:rPr>
              <w:t xml:space="preserve">  </w:t>
            </w:r>
            <w:r w:rsidRPr="0053358F">
              <w:rPr>
                <w:rFonts w:ascii="Sylfaen" w:hAnsi="Sylfaen" w:cs="Sylfaen"/>
                <w:sz w:val="18"/>
                <w:szCs w:val="18"/>
                <w:lang w:val="ka-GE"/>
              </w:rPr>
              <w:t>თანასწორი</w:t>
            </w:r>
            <w:r w:rsidRPr="0053358F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3358F">
              <w:rPr>
                <w:rFonts w:ascii="Sylfaen" w:hAnsi="Sylfaen" w:cs="Sylfaen"/>
                <w:sz w:val="18"/>
                <w:szCs w:val="18"/>
                <w:lang w:val="ka-GE"/>
              </w:rPr>
              <w:t>მოპყრობის</w:t>
            </w:r>
            <w:r w:rsidRPr="0053358F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3358F">
              <w:rPr>
                <w:rFonts w:ascii="Sylfaen" w:hAnsi="Sylfaen" w:cs="Sylfaen"/>
                <w:sz w:val="18"/>
                <w:szCs w:val="18"/>
                <w:lang w:val="ka-GE"/>
              </w:rPr>
              <w:t>პრინციპის</w:t>
            </w:r>
            <w:r w:rsidRPr="0053358F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3358F">
              <w:rPr>
                <w:rFonts w:ascii="Sylfaen" w:hAnsi="Sylfaen" w:cs="Sylfaen"/>
                <w:sz w:val="18"/>
                <w:szCs w:val="18"/>
                <w:lang w:val="ka-GE"/>
              </w:rPr>
              <w:t>ამოქმედებით</w:t>
            </w:r>
            <w:r w:rsidRPr="0053358F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3358F">
              <w:rPr>
                <w:rFonts w:ascii="Sylfaen" w:hAnsi="Sylfaen" w:cs="Sylfaen"/>
                <w:sz w:val="18"/>
                <w:szCs w:val="18"/>
                <w:lang w:val="ka-GE"/>
              </w:rPr>
              <w:t>შექმნას</w:t>
            </w:r>
            <w:r w:rsidRPr="0053358F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="00610E6D">
              <w:rPr>
                <w:rFonts w:ascii="Sylfaen" w:hAnsi="Sylfaen" w:cs="Sylfaen"/>
                <w:sz w:val="18"/>
                <w:szCs w:val="18"/>
                <w:lang w:val="ka-GE"/>
              </w:rPr>
              <w:t>ჩარჩოები</w:t>
            </w:r>
            <w:r w:rsidRPr="0053358F">
              <w:rPr>
                <w:rFonts w:ascii="Sylfaen" w:hAnsi="Sylfaen"/>
                <w:sz w:val="18"/>
                <w:szCs w:val="18"/>
                <w:lang w:val="ka-GE"/>
              </w:rPr>
              <w:t xml:space="preserve">  </w:t>
            </w:r>
            <w:r w:rsidRPr="0053358F">
              <w:rPr>
                <w:rFonts w:ascii="Sylfaen" w:hAnsi="Sylfaen" w:cs="Sylfaen"/>
                <w:sz w:val="18"/>
                <w:szCs w:val="18"/>
                <w:lang w:val="ka-GE"/>
              </w:rPr>
              <w:t>რასობრივ</w:t>
            </w:r>
            <w:r w:rsidRPr="0053358F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3358F">
              <w:rPr>
                <w:rFonts w:ascii="Sylfaen" w:hAnsi="Sylfaen" w:cs="Sylfaen"/>
                <w:sz w:val="18"/>
                <w:szCs w:val="18"/>
                <w:lang w:val="ka-GE"/>
              </w:rPr>
              <w:t>ან</w:t>
            </w:r>
            <w:r w:rsidRPr="0053358F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3358F">
              <w:rPr>
                <w:rFonts w:ascii="Sylfaen" w:hAnsi="Sylfaen" w:cs="Sylfaen"/>
                <w:sz w:val="18"/>
                <w:szCs w:val="18"/>
                <w:lang w:val="ka-GE"/>
              </w:rPr>
              <w:t>ეთნიკურ</w:t>
            </w:r>
            <w:r w:rsidRPr="0053358F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3358F">
              <w:rPr>
                <w:rFonts w:ascii="Sylfaen" w:hAnsi="Sylfaen" w:cs="Sylfaen"/>
                <w:sz w:val="18"/>
                <w:szCs w:val="18"/>
                <w:lang w:val="ka-GE"/>
              </w:rPr>
              <w:t>კუთვნილებაზე</w:t>
            </w:r>
            <w:r w:rsidRPr="0053358F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3358F">
              <w:rPr>
                <w:rFonts w:ascii="Sylfaen" w:hAnsi="Sylfaen" w:cs="Sylfaen"/>
                <w:sz w:val="18"/>
                <w:szCs w:val="18"/>
                <w:lang w:val="ka-GE"/>
              </w:rPr>
              <w:t>დაფუძნებულ</w:t>
            </w:r>
            <w:r w:rsidRPr="0053358F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3358F">
              <w:rPr>
                <w:rFonts w:ascii="Sylfaen" w:hAnsi="Sylfaen" w:cs="Sylfaen"/>
                <w:sz w:val="18"/>
                <w:szCs w:val="18"/>
                <w:lang w:val="ka-GE"/>
              </w:rPr>
              <w:t>დისკრიმინაციასთან</w:t>
            </w:r>
            <w:r w:rsidRPr="0053358F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3358F">
              <w:rPr>
                <w:rFonts w:ascii="Sylfaen" w:hAnsi="Sylfaen" w:cs="Sylfaen"/>
                <w:sz w:val="18"/>
                <w:szCs w:val="18"/>
                <w:lang w:val="ka-GE"/>
              </w:rPr>
              <w:t>საბრძოლველად</w:t>
            </w:r>
            <w:r w:rsidR="00610E6D">
              <w:rPr>
                <w:rFonts w:ascii="Sylfaen" w:hAnsi="Sylfaen" w:cs="Sylfaen"/>
                <w:sz w:val="18"/>
                <w:szCs w:val="18"/>
                <w:lang w:val="ka-GE"/>
              </w:rPr>
              <w:t>.</w:t>
            </w:r>
          </w:p>
          <w:p w:rsidR="00610E6D" w:rsidRPr="00610E6D" w:rsidRDefault="00610E6D" w:rsidP="00610E6D">
            <w:pPr>
              <w:spacing w:line="240" w:lineRule="auto"/>
              <w:rPr>
                <w:sz w:val="18"/>
                <w:szCs w:val="18"/>
                <w:lang w:val="ka-GE"/>
              </w:rPr>
            </w:pP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დირექტივის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დებულებები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ვრცელდება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ყველა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პირთან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მიმართებაში</w:t>
            </w:r>
            <w:r w:rsidRPr="00610E6D">
              <w:rPr>
                <w:sz w:val="18"/>
                <w:szCs w:val="18"/>
                <w:lang w:val="ka-GE"/>
              </w:rPr>
              <w:t xml:space="preserve">,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საჯარო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კერძო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სექტორში</w:t>
            </w:r>
            <w:r w:rsidRPr="00610E6D">
              <w:rPr>
                <w:sz w:val="18"/>
                <w:szCs w:val="18"/>
                <w:lang w:val="ka-GE"/>
              </w:rPr>
              <w:t xml:space="preserve">,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საჯარო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პირების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ჩათვლით</w:t>
            </w:r>
            <w:r w:rsidRPr="00610E6D">
              <w:rPr>
                <w:sz w:val="18"/>
                <w:szCs w:val="18"/>
                <w:lang w:val="ka-GE"/>
              </w:rPr>
              <w:t xml:space="preserve">,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რომელიც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უკავშირდება</w:t>
            </w:r>
            <w:r w:rsidRPr="00610E6D">
              <w:rPr>
                <w:sz w:val="18"/>
                <w:szCs w:val="18"/>
                <w:lang w:val="ka-GE"/>
              </w:rPr>
              <w:t>:</w:t>
            </w:r>
          </w:p>
          <w:p w:rsidR="00610E6D" w:rsidRPr="00610E6D" w:rsidRDefault="00610E6D" w:rsidP="00C66426">
            <w:pPr>
              <w:tabs>
                <w:tab w:val="left" w:pos="284"/>
              </w:tabs>
              <w:spacing w:line="240" w:lineRule="auto"/>
              <w:contextualSpacing/>
              <w:jc w:val="both"/>
              <w:rPr>
                <w:sz w:val="18"/>
                <w:szCs w:val="18"/>
                <w:lang w:val="ka-GE"/>
              </w:rPr>
            </w:pPr>
            <w:r w:rsidRPr="00610E6D">
              <w:rPr>
                <w:sz w:val="18"/>
                <w:szCs w:val="18"/>
                <w:lang w:val="ka-GE"/>
              </w:rPr>
              <w:t>•</w:t>
            </w:r>
            <w:r w:rsidRPr="00610E6D">
              <w:rPr>
                <w:sz w:val="18"/>
                <w:szCs w:val="18"/>
                <w:lang w:val="ka-GE"/>
              </w:rPr>
              <w:tab/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დასაქმების</w:t>
            </w:r>
            <w:r w:rsidRPr="00610E6D">
              <w:rPr>
                <w:sz w:val="18"/>
                <w:szCs w:val="18"/>
                <w:lang w:val="ka-GE"/>
              </w:rPr>
              <w:t xml:space="preserve">,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თვითდასაქმებისა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პროფესიის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ხელმისაწვდომობის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პირობებს</w:t>
            </w:r>
            <w:r w:rsidRPr="00610E6D">
              <w:rPr>
                <w:sz w:val="18"/>
                <w:szCs w:val="18"/>
                <w:lang w:val="ka-GE"/>
              </w:rPr>
              <w:t xml:space="preserve">, 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შერჩევის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კრიტერიუმებსა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დასაქმების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პირობებს</w:t>
            </w:r>
            <w:r w:rsidRPr="00610E6D">
              <w:rPr>
                <w:sz w:val="18"/>
                <w:szCs w:val="18"/>
                <w:lang w:val="ka-GE"/>
              </w:rPr>
              <w:t xml:space="preserve">,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ნებისმიერ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საქმიანობის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სფეროსა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პროფესიული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იერარქიის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ყველა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დონეს</w:t>
            </w:r>
            <w:r w:rsidRPr="00610E6D">
              <w:rPr>
                <w:sz w:val="18"/>
                <w:szCs w:val="18"/>
                <w:lang w:val="ka-GE"/>
              </w:rPr>
              <w:t xml:space="preserve">,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მათ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შორის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დაწინაურებას</w:t>
            </w:r>
            <w:r w:rsidRPr="00610E6D">
              <w:rPr>
                <w:sz w:val="18"/>
                <w:szCs w:val="18"/>
                <w:lang w:val="ka-GE"/>
              </w:rPr>
              <w:t>;</w:t>
            </w:r>
          </w:p>
          <w:p w:rsidR="00610E6D" w:rsidRPr="00610E6D" w:rsidRDefault="00610E6D" w:rsidP="00C66426">
            <w:pPr>
              <w:tabs>
                <w:tab w:val="left" w:pos="284"/>
              </w:tabs>
              <w:spacing w:line="240" w:lineRule="auto"/>
              <w:contextualSpacing/>
              <w:jc w:val="both"/>
              <w:rPr>
                <w:sz w:val="18"/>
                <w:szCs w:val="18"/>
                <w:lang w:val="ka-GE"/>
              </w:rPr>
            </w:pPr>
            <w:r w:rsidRPr="00610E6D">
              <w:rPr>
                <w:sz w:val="18"/>
                <w:szCs w:val="18"/>
                <w:lang w:val="ka-GE"/>
              </w:rPr>
              <w:t>•</w:t>
            </w:r>
            <w:r w:rsidRPr="00610E6D">
              <w:rPr>
                <w:sz w:val="18"/>
                <w:szCs w:val="18"/>
                <w:lang w:val="ka-GE"/>
              </w:rPr>
              <w:tab/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ნებისმიერი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სახისა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დონის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პროფესიული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ორიენტირების</w:t>
            </w:r>
            <w:r w:rsidRPr="00610E6D">
              <w:rPr>
                <w:sz w:val="18"/>
                <w:szCs w:val="18"/>
                <w:lang w:val="ka-GE"/>
              </w:rPr>
              <w:t xml:space="preserve">,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პროფესიული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ტრენინგისა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გადამზადების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ხელმისაწვდომობას</w:t>
            </w:r>
            <w:r w:rsidRPr="00610E6D">
              <w:rPr>
                <w:sz w:val="18"/>
                <w:szCs w:val="18"/>
                <w:lang w:val="ka-GE"/>
              </w:rPr>
              <w:t xml:space="preserve">,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პრაქტიკული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სამუშაო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გამოცდილების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ჩათვლით</w:t>
            </w:r>
            <w:r w:rsidRPr="00610E6D">
              <w:rPr>
                <w:sz w:val="18"/>
                <w:szCs w:val="18"/>
                <w:lang w:val="ka-GE"/>
              </w:rPr>
              <w:t>;</w:t>
            </w:r>
          </w:p>
          <w:p w:rsidR="00610E6D" w:rsidRPr="00610E6D" w:rsidRDefault="00610E6D" w:rsidP="00C66426">
            <w:pPr>
              <w:tabs>
                <w:tab w:val="left" w:pos="284"/>
              </w:tabs>
              <w:spacing w:line="240" w:lineRule="auto"/>
              <w:contextualSpacing/>
              <w:jc w:val="both"/>
              <w:rPr>
                <w:sz w:val="18"/>
                <w:szCs w:val="18"/>
                <w:lang w:val="ka-GE"/>
              </w:rPr>
            </w:pPr>
            <w:r w:rsidRPr="00610E6D">
              <w:rPr>
                <w:sz w:val="18"/>
                <w:szCs w:val="18"/>
                <w:lang w:val="ka-GE"/>
              </w:rPr>
              <w:t>•</w:t>
            </w:r>
            <w:r w:rsidRPr="00610E6D">
              <w:rPr>
                <w:sz w:val="18"/>
                <w:szCs w:val="18"/>
                <w:lang w:val="ka-GE"/>
              </w:rPr>
              <w:tab/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დასაქმებისა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მუშაობის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პირობებს</w:t>
            </w:r>
            <w:r w:rsidRPr="00610E6D">
              <w:rPr>
                <w:sz w:val="18"/>
                <w:szCs w:val="18"/>
                <w:lang w:val="ka-GE"/>
              </w:rPr>
              <w:t xml:space="preserve">,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სამსახურიდან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დათხოვნისა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ანაზღაურების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ჩათვლით</w:t>
            </w:r>
            <w:r w:rsidRPr="00610E6D">
              <w:rPr>
                <w:sz w:val="18"/>
                <w:szCs w:val="18"/>
                <w:lang w:val="ka-GE"/>
              </w:rPr>
              <w:t>;</w:t>
            </w:r>
          </w:p>
          <w:p w:rsidR="00610E6D" w:rsidRPr="00610E6D" w:rsidRDefault="00610E6D" w:rsidP="00C66426">
            <w:pPr>
              <w:tabs>
                <w:tab w:val="left" w:pos="284"/>
              </w:tabs>
              <w:spacing w:line="240" w:lineRule="auto"/>
              <w:contextualSpacing/>
              <w:jc w:val="both"/>
              <w:rPr>
                <w:sz w:val="18"/>
                <w:szCs w:val="18"/>
                <w:lang w:val="ka-GE"/>
              </w:rPr>
            </w:pPr>
            <w:r w:rsidRPr="00610E6D">
              <w:rPr>
                <w:sz w:val="18"/>
                <w:szCs w:val="18"/>
                <w:lang w:val="ka-GE"/>
              </w:rPr>
              <w:t>•</w:t>
            </w:r>
            <w:r w:rsidRPr="00610E6D">
              <w:rPr>
                <w:sz w:val="18"/>
                <w:szCs w:val="18"/>
                <w:lang w:val="ka-GE"/>
              </w:rPr>
              <w:tab/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წევრობასა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მონაწილეობას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მუშათა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დამსაქმებელთა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ორგანიზაციაში</w:t>
            </w:r>
            <w:r w:rsidRPr="00610E6D">
              <w:rPr>
                <w:sz w:val="18"/>
                <w:szCs w:val="18"/>
                <w:lang w:val="ka-GE"/>
              </w:rPr>
              <w:t xml:space="preserve">,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ან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ნებისმიერ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ორგანიზაციაში</w:t>
            </w:r>
            <w:r w:rsidRPr="00610E6D">
              <w:rPr>
                <w:sz w:val="18"/>
                <w:szCs w:val="18"/>
                <w:lang w:val="ka-GE"/>
              </w:rPr>
              <w:t xml:space="preserve">,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რომლის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წევრებიც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ასრულებენ</w:t>
            </w:r>
            <w:r w:rsidRPr="00610E6D">
              <w:rPr>
                <w:sz w:val="18"/>
                <w:szCs w:val="18"/>
                <w:lang w:val="ka-GE"/>
              </w:rPr>
              <w:t xml:space="preserve"> 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გარკვეული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პროფესიულ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საქმიანობას</w:t>
            </w:r>
            <w:r w:rsidRPr="00610E6D">
              <w:rPr>
                <w:sz w:val="18"/>
                <w:szCs w:val="18"/>
                <w:lang w:val="ka-GE"/>
              </w:rPr>
              <w:t xml:space="preserve">,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ასეთი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ორგანიზაციების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მიერ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გაწეული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სარგებლის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ჩათვლით</w:t>
            </w:r>
            <w:r w:rsidRPr="00610E6D">
              <w:rPr>
                <w:sz w:val="18"/>
                <w:szCs w:val="18"/>
                <w:lang w:val="ka-GE"/>
              </w:rPr>
              <w:t>;</w:t>
            </w:r>
          </w:p>
          <w:p w:rsidR="00610E6D" w:rsidRPr="00610E6D" w:rsidRDefault="00610E6D" w:rsidP="00C66426">
            <w:pPr>
              <w:tabs>
                <w:tab w:val="left" w:pos="284"/>
              </w:tabs>
              <w:spacing w:line="240" w:lineRule="auto"/>
              <w:contextualSpacing/>
              <w:jc w:val="both"/>
              <w:rPr>
                <w:sz w:val="18"/>
                <w:szCs w:val="18"/>
                <w:lang w:val="ka-GE"/>
              </w:rPr>
            </w:pPr>
            <w:r w:rsidRPr="00610E6D">
              <w:rPr>
                <w:sz w:val="18"/>
                <w:szCs w:val="18"/>
                <w:lang w:val="ka-GE"/>
              </w:rPr>
              <w:t>•</w:t>
            </w:r>
            <w:r w:rsidRPr="00610E6D">
              <w:rPr>
                <w:sz w:val="18"/>
                <w:szCs w:val="18"/>
                <w:lang w:val="ka-GE"/>
              </w:rPr>
              <w:tab/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სოციალურ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დაცვას</w:t>
            </w:r>
            <w:r w:rsidRPr="00610E6D">
              <w:rPr>
                <w:sz w:val="18"/>
                <w:szCs w:val="18"/>
                <w:lang w:val="ka-GE"/>
              </w:rPr>
              <w:t xml:space="preserve">,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სოციალური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დაზღვევისა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ჯანდაცვის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ჩათვლით</w:t>
            </w:r>
            <w:r w:rsidRPr="00610E6D">
              <w:rPr>
                <w:sz w:val="18"/>
                <w:szCs w:val="18"/>
                <w:lang w:val="ka-GE"/>
              </w:rPr>
              <w:t>;</w:t>
            </w:r>
          </w:p>
          <w:p w:rsidR="00610E6D" w:rsidRPr="00610E6D" w:rsidRDefault="00610E6D" w:rsidP="00C66426">
            <w:pPr>
              <w:tabs>
                <w:tab w:val="left" w:pos="284"/>
              </w:tabs>
              <w:spacing w:line="240" w:lineRule="auto"/>
              <w:contextualSpacing/>
              <w:jc w:val="both"/>
              <w:rPr>
                <w:sz w:val="18"/>
                <w:szCs w:val="18"/>
                <w:lang w:val="ka-GE"/>
              </w:rPr>
            </w:pPr>
            <w:r w:rsidRPr="00610E6D">
              <w:rPr>
                <w:sz w:val="18"/>
                <w:szCs w:val="18"/>
                <w:lang w:val="ka-GE"/>
              </w:rPr>
              <w:t>•</w:t>
            </w:r>
            <w:r w:rsidRPr="00610E6D">
              <w:rPr>
                <w:sz w:val="18"/>
                <w:szCs w:val="18"/>
                <w:lang w:val="ka-GE"/>
              </w:rPr>
              <w:tab/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სოციალურ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დახმარებას</w:t>
            </w:r>
            <w:r w:rsidRPr="00610E6D">
              <w:rPr>
                <w:sz w:val="18"/>
                <w:szCs w:val="18"/>
                <w:lang w:val="ka-GE"/>
              </w:rPr>
              <w:t>;</w:t>
            </w:r>
          </w:p>
          <w:p w:rsidR="00610E6D" w:rsidRPr="00610E6D" w:rsidRDefault="00610E6D" w:rsidP="00C66426">
            <w:pPr>
              <w:tabs>
                <w:tab w:val="left" w:pos="284"/>
              </w:tabs>
              <w:spacing w:line="240" w:lineRule="auto"/>
              <w:contextualSpacing/>
              <w:jc w:val="both"/>
              <w:rPr>
                <w:sz w:val="18"/>
                <w:szCs w:val="18"/>
                <w:lang w:val="ka-GE"/>
              </w:rPr>
            </w:pPr>
            <w:r w:rsidRPr="00610E6D">
              <w:rPr>
                <w:sz w:val="18"/>
                <w:szCs w:val="18"/>
                <w:lang w:val="ka-GE"/>
              </w:rPr>
              <w:t>•</w:t>
            </w:r>
            <w:r w:rsidRPr="00610E6D">
              <w:rPr>
                <w:sz w:val="18"/>
                <w:szCs w:val="18"/>
                <w:lang w:val="ka-GE"/>
              </w:rPr>
              <w:tab/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განათლებას</w:t>
            </w:r>
            <w:r w:rsidRPr="00610E6D">
              <w:rPr>
                <w:sz w:val="18"/>
                <w:szCs w:val="18"/>
                <w:lang w:val="ka-GE"/>
              </w:rPr>
              <w:t>;</w:t>
            </w:r>
          </w:p>
          <w:p w:rsidR="00610E6D" w:rsidRDefault="00610E6D" w:rsidP="00C66426">
            <w:pPr>
              <w:tabs>
                <w:tab w:val="left" w:pos="284"/>
              </w:tabs>
              <w:spacing w:line="240" w:lineRule="auto"/>
              <w:contextualSpacing/>
              <w:jc w:val="both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610E6D">
              <w:rPr>
                <w:sz w:val="18"/>
                <w:szCs w:val="18"/>
                <w:lang w:val="ka-GE"/>
              </w:rPr>
              <w:t>•</w:t>
            </w:r>
            <w:r w:rsidRPr="00610E6D">
              <w:rPr>
                <w:sz w:val="18"/>
                <w:szCs w:val="18"/>
                <w:lang w:val="ka-GE"/>
              </w:rPr>
              <w:tab/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საზოგადოებისთვის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განკუთვნილი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საქონლისა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მომსახურების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მიწოდების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ხელმისაწვდომობას</w:t>
            </w:r>
            <w:r w:rsidRPr="00610E6D">
              <w:rPr>
                <w:sz w:val="18"/>
                <w:szCs w:val="18"/>
                <w:lang w:val="ka-GE"/>
              </w:rPr>
              <w:t xml:space="preserve">,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საცხოვრებლის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ჩათვლი</w:t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>თ.</w:t>
            </w:r>
          </w:p>
          <w:p w:rsidR="00052DB4" w:rsidRPr="00B90485" w:rsidRDefault="00204958" w:rsidP="0020495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04958">
              <w:rPr>
                <w:rFonts w:ascii="Sylfaen" w:hAnsi="Sylfaen"/>
                <w:sz w:val="18"/>
                <w:szCs w:val="18"/>
                <w:lang w:val="ka-GE"/>
              </w:rPr>
              <w:t xml:space="preserve">დირექტივა განსაზღვრავს ამ მიმართულებით სახელწიფოს ვალდებულებას, მიიღოს ზომები დისკრიმინაციის 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მსხვერპლთა უფლებათა დასაცავად.</w:t>
            </w:r>
            <w:r w:rsidRPr="00204958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2880" w:type="dxa"/>
          </w:tcPr>
          <w:p w:rsidR="00052DB4" w:rsidRPr="00B90485" w:rsidRDefault="00B90485" w:rsidP="00204958">
            <w:pPr>
              <w:ind w:left="250"/>
              <w:rPr>
                <w:rFonts w:ascii="Sylfaen" w:hAnsi="Sylfaen"/>
                <w:sz w:val="20"/>
                <w:szCs w:val="20"/>
                <w:lang w:val="ka-GE"/>
              </w:rPr>
            </w:pPr>
            <w:r w:rsidRPr="00B90485">
              <w:rPr>
                <w:rFonts w:ascii="Sylfaen" w:hAnsi="Sylfaen"/>
                <w:sz w:val="20"/>
                <w:szCs w:val="20"/>
                <w:lang w:val="ka-GE"/>
              </w:rPr>
              <w:t>201</w:t>
            </w:r>
            <w:r w:rsidR="00204958">
              <w:rPr>
                <w:rFonts w:ascii="Sylfaen" w:hAnsi="Sylfaen"/>
                <w:sz w:val="20"/>
                <w:szCs w:val="20"/>
                <w:lang w:val="ka-GE"/>
              </w:rPr>
              <w:t>7</w:t>
            </w:r>
            <w:r w:rsidRPr="00B90485">
              <w:rPr>
                <w:rFonts w:ascii="Sylfaen" w:hAnsi="Sylfaen"/>
                <w:sz w:val="20"/>
                <w:szCs w:val="20"/>
                <w:lang w:val="ka-GE"/>
              </w:rPr>
              <w:t xml:space="preserve"> წლის 1 სექტემბერი</w:t>
            </w:r>
          </w:p>
        </w:tc>
        <w:tc>
          <w:tcPr>
            <w:tcW w:w="3484" w:type="dxa"/>
          </w:tcPr>
          <w:p w:rsidR="00B90485" w:rsidRPr="00B90485" w:rsidRDefault="00B90485" w:rsidP="00B90485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B90485">
              <w:rPr>
                <w:rFonts w:ascii="Sylfaen" w:hAnsi="Sylfaen" w:cs="Sylfaen"/>
                <w:sz w:val="20"/>
                <w:szCs w:val="20"/>
                <w:lang w:val="ka-GE"/>
              </w:rPr>
              <w:t>შესრულებული</w:t>
            </w:r>
          </w:p>
          <w:p w:rsidR="00B90485" w:rsidRPr="002002EE" w:rsidRDefault="00B90485" w:rsidP="00B90485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u w:val="single"/>
                <w:lang w:val="ka-GE"/>
              </w:rPr>
            </w:pPr>
            <w:r w:rsidRPr="002002EE">
              <w:rPr>
                <w:rFonts w:ascii="Sylfaen" w:hAnsi="Sylfaen" w:cs="Sylfaen"/>
                <w:sz w:val="20"/>
                <w:szCs w:val="20"/>
                <w:u w:val="single"/>
                <w:lang w:val="ka-GE"/>
              </w:rPr>
              <w:t>პროცესში</w:t>
            </w:r>
          </w:p>
          <w:p w:rsidR="00B90485" w:rsidRPr="002002EE" w:rsidRDefault="00B90485" w:rsidP="00B90485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2002EE">
              <w:rPr>
                <w:rFonts w:ascii="Sylfaen" w:hAnsi="Sylfaen" w:cs="Sylfaen"/>
                <w:sz w:val="20"/>
                <w:szCs w:val="20"/>
                <w:lang w:val="ka-GE"/>
              </w:rPr>
              <w:t>ვადაგადაცილებული</w:t>
            </w:r>
          </w:p>
          <w:p w:rsidR="00250885" w:rsidRPr="00B90485" w:rsidRDefault="00B90485" w:rsidP="00B90485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B90485">
              <w:rPr>
                <w:rFonts w:ascii="Sylfaen" w:hAnsi="Sylfaen" w:cs="Sylfaen"/>
                <w:sz w:val="20"/>
                <w:szCs w:val="20"/>
                <w:lang w:val="ka-GE"/>
              </w:rPr>
              <w:t>გაჩერებული/მოლაპარაკების პროცესში</w:t>
            </w:r>
          </w:p>
        </w:tc>
      </w:tr>
      <w:tr w:rsidR="00B90485" w:rsidTr="00B90485">
        <w:trPr>
          <w:trHeight w:val="588"/>
        </w:trPr>
        <w:tc>
          <w:tcPr>
            <w:tcW w:w="10240" w:type="dxa"/>
            <w:gridSpan w:val="3"/>
            <w:shd w:val="clear" w:color="auto" w:fill="DBE5F1" w:themeFill="accent1" w:themeFillTint="33"/>
          </w:tcPr>
          <w:p w:rsidR="00B90485" w:rsidRPr="008A6D88" w:rsidRDefault="00B90485" w:rsidP="00B90485">
            <w:pPr>
              <w:contextualSpacing/>
              <w:jc w:val="center"/>
              <w:rPr>
                <w:rFonts w:ascii="Sylfaen" w:hAnsi="Sylfaen"/>
                <w:b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lastRenderedPageBreak/>
              <w:t>ვალდებულების შესრულების  ქრონოლოგია</w:t>
            </w:r>
          </w:p>
          <w:p w:rsidR="00B90485" w:rsidRPr="008F6317" w:rsidRDefault="00B90485" w:rsidP="00B90485">
            <w:pPr>
              <w:contextualSpacing/>
              <w:jc w:val="center"/>
              <w:rPr>
                <w:rFonts w:ascii="Sylfaen" w:hAnsi="Sylfaen"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(იმპლემენტაციის მიზნით გატარებული ღონისძიებების ჩამონათვალი, მათ შორის: მიღებული/ მომზადებული ნორმატიული აქტები, გატარებული ღონისძიებები, სხვა მიმდინარე პროცესები)</w:t>
            </w:r>
          </w:p>
        </w:tc>
        <w:tc>
          <w:tcPr>
            <w:tcW w:w="3484" w:type="dxa"/>
            <w:shd w:val="clear" w:color="auto" w:fill="DBE5F1" w:themeFill="accent1" w:themeFillTint="33"/>
          </w:tcPr>
          <w:p w:rsidR="00B90485" w:rsidRPr="008A6D88" w:rsidRDefault="00B90485" w:rsidP="00B90485">
            <w:pPr>
              <w:contextualSpacing/>
              <w:jc w:val="both"/>
              <w:rPr>
                <w:rFonts w:ascii="Sylfaen" w:hAnsi="Sylfaen"/>
                <w:b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შენიშვნა</w:t>
            </w:r>
          </w:p>
        </w:tc>
      </w:tr>
      <w:tr w:rsidR="00B90485" w:rsidTr="00B90485">
        <w:trPr>
          <w:trHeight w:val="575"/>
        </w:trPr>
        <w:tc>
          <w:tcPr>
            <w:tcW w:w="601" w:type="dxa"/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9639" w:type="dxa"/>
            <w:gridSpan w:val="2"/>
          </w:tcPr>
          <w:p w:rsidR="00B90485" w:rsidRDefault="00B90485" w:rsidP="0020495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90485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</w:t>
            </w:r>
            <w:r w:rsidRPr="00B90485">
              <w:rPr>
                <w:sz w:val="20"/>
                <w:szCs w:val="20"/>
                <w:lang w:val="ka-GE"/>
              </w:rPr>
              <w:t xml:space="preserve"> </w:t>
            </w:r>
            <w:r w:rsidRPr="00B90485">
              <w:rPr>
                <w:rFonts w:ascii="Sylfaen" w:hAnsi="Sylfaen" w:cs="Sylfaen"/>
                <w:sz w:val="20"/>
                <w:szCs w:val="20"/>
                <w:lang w:val="ka-GE"/>
              </w:rPr>
              <w:t>შრომის</w:t>
            </w:r>
            <w:r w:rsidRPr="00B90485">
              <w:rPr>
                <w:sz w:val="20"/>
                <w:szCs w:val="20"/>
                <w:lang w:val="ka-GE"/>
              </w:rPr>
              <w:t xml:space="preserve">, </w:t>
            </w:r>
            <w:r w:rsidRPr="00B90485">
              <w:rPr>
                <w:rFonts w:ascii="Sylfaen" w:hAnsi="Sylfaen" w:cs="Sylfaen"/>
                <w:sz w:val="20"/>
                <w:szCs w:val="20"/>
                <w:lang w:val="ka-GE"/>
              </w:rPr>
              <w:t>ჯანმრთელობის</w:t>
            </w:r>
            <w:r w:rsidRPr="00B90485">
              <w:rPr>
                <w:sz w:val="20"/>
                <w:szCs w:val="20"/>
                <w:lang w:val="ka-GE"/>
              </w:rPr>
              <w:t xml:space="preserve"> </w:t>
            </w:r>
            <w:r w:rsidRPr="00B90485">
              <w:rPr>
                <w:rFonts w:ascii="Sylfaen" w:hAnsi="Sylfaen" w:cs="Sylfaen"/>
                <w:sz w:val="20"/>
                <w:szCs w:val="20"/>
                <w:lang w:val="ka-GE"/>
              </w:rPr>
              <w:t>დაცვისა</w:t>
            </w:r>
            <w:r w:rsidRPr="00B90485">
              <w:rPr>
                <w:sz w:val="20"/>
                <w:szCs w:val="20"/>
                <w:lang w:val="ka-GE"/>
              </w:rPr>
              <w:t xml:space="preserve"> </w:t>
            </w:r>
            <w:r w:rsidRPr="00B90485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B90485">
              <w:rPr>
                <w:sz w:val="20"/>
                <w:szCs w:val="20"/>
                <w:lang w:val="ka-GE"/>
              </w:rPr>
              <w:t xml:space="preserve"> </w:t>
            </w:r>
            <w:r w:rsidRPr="00B90485">
              <w:rPr>
                <w:rFonts w:ascii="Sylfaen" w:hAnsi="Sylfaen" w:cs="Sylfaen"/>
                <w:sz w:val="20"/>
                <w:szCs w:val="20"/>
                <w:lang w:val="ka-GE"/>
              </w:rPr>
              <w:t>სოციალურ</w:t>
            </w:r>
            <w:r w:rsidRPr="00B90485">
              <w:rPr>
                <w:sz w:val="20"/>
                <w:szCs w:val="20"/>
                <w:lang w:val="ka-GE"/>
              </w:rPr>
              <w:t xml:space="preserve"> </w:t>
            </w:r>
            <w:r w:rsidRPr="00B90485">
              <w:rPr>
                <w:rFonts w:ascii="Sylfaen" w:hAnsi="Sylfaen" w:cs="Sylfaen"/>
                <w:sz w:val="20"/>
                <w:szCs w:val="20"/>
                <w:lang w:val="ka-GE"/>
              </w:rPr>
              <w:t>საკითხთა</w:t>
            </w:r>
            <w:r w:rsidRPr="00B90485">
              <w:rPr>
                <w:sz w:val="20"/>
                <w:szCs w:val="20"/>
                <w:lang w:val="ka-GE"/>
              </w:rPr>
              <w:t xml:space="preserve"> </w:t>
            </w:r>
            <w:r w:rsidRPr="00B90485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სამინისტრომ</w:t>
            </w:r>
            <w:r w:rsidRPr="00B90485">
              <w:rPr>
                <w:sz w:val="20"/>
                <w:szCs w:val="20"/>
                <w:lang w:val="ka-GE"/>
              </w:rPr>
              <w:t xml:space="preserve"> </w:t>
            </w:r>
            <w:r w:rsidRPr="00B90485">
              <w:rPr>
                <w:rFonts w:ascii="Sylfaen" w:hAnsi="Sylfaen" w:cs="Sylfaen"/>
                <w:sz w:val="20"/>
                <w:szCs w:val="20"/>
                <w:lang w:val="ka-GE"/>
              </w:rPr>
              <w:t>მოამზადა</w:t>
            </w:r>
            <w:r w:rsidRPr="00B90485">
              <w:rPr>
                <w:sz w:val="20"/>
                <w:szCs w:val="20"/>
                <w:lang w:val="ka-GE"/>
              </w:rPr>
              <w:t xml:space="preserve"> </w:t>
            </w:r>
            <w:r w:rsidRPr="00B90485">
              <w:rPr>
                <w:rFonts w:ascii="Sylfaen" w:hAnsi="Sylfaen" w:cs="Sylfaen"/>
                <w:sz w:val="20"/>
                <w:szCs w:val="20"/>
                <w:lang w:val="ka-GE"/>
              </w:rPr>
              <w:t>შემდეგ</w:t>
            </w:r>
            <w:r w:rsidRPr="00B90485">
              <w:rPr>
                <w:sz w:val="20"/>
                <w:szCs w:val="20"/>
                <w:lang w:val="ka-GE"/>
              </w:rPr>
              <w:t xml:space="preserve"> </w:t>
            </w:r>
            <w:r w:rsidRPr="00B90485">
              <w:rPr>
                <w:rFonts w:ascii="Sylfaen" w:hAnsi="Sylfaen" w:cs="Sylfaen"/>
                <w:sz w:val="20"/>
                <w:szCs w:val="20"/>
                <w:lang w:val="ka-GE"/>
              </w:rPr>
              <w:t>კანონპროექტთა</w:t>
            </w:r>
            <w:r w:rsidRPr="00B90485">
              <w:rPr>
                <w:sz w:val="20"/>
                <w:szCs w:val="20"/>
                <w:lang w:val="ka-GE"/>
              </w:rPr>
              <w:t xml:space="preserve"> </w:t>
            </w:r>
            <w:r w:rsidRPr="00B90485">
              <w:rPr>
                <w:rFonts w:ascii="Sylfaen" w:hAnsi="Sylfaen" w:cs="Sylfaen"/>
                <w:sz w:val="20"/>
                <w:szCs w:val="20"/>
                <w:lang w:val="ka-GE"/>
              </w:rPr>
              <w:t>პაკეტი</w:t>
            </w:r>
            <w:r w:rsidR="00204958">
              <w:rPr>
                <w:rFonts w:ascii="Sylfaen" w:hAnsi="Sylfaen"/>
                <w:sz w:val="20"/>
                <w:szCs w:val="20"/>
                <w:lang w:val="ka-GE"/>
              </w:rPr>
              <w:t>:</w:t>
            </w:r>
          </w:p>
          <w:p w:rsidR="002002EE" w:rsidRPr="002002EE" w:rsidRDefault="002002EE" w:rsidP="00C66426">
            <w:pPr>
              <w:tabs>
                <w:tab w:val="left" w:pos="392"/>
              </w:tabs>
              <w:spacing w:line="240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>•</w:t>
            </w: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ab/>
            </w:r>
            <w:r w:rsidRPr="002002EE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</w:t>
            </w: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002EE">
              <w:rPr>
                <w:rFonts w:ascii="Sylfaen" w:hAnsi="Sylfaen" w:cs="Sylfaen"/>
                <w:sz w:val="20"/>
                <w:szCs w:val="20"/>
                <w:lang w:val="ka-GE"/>
              </w:rPr>
              <w:t>ორგანული</w:t>
            </w: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002EE">
              <w:rPr>
                <w:rFonts w:ascii="Sylfaen" w:hAnsi="Sylfaen" w:cs="Sylfaen"/>
                <w:sz w:val="20"/>
                <w:szCs w:val="20"/>
                <w:lang w:val="ka-GE"/>
              </w:rPr>
              <w:t>კანონი</w:t>
            </w: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 xml:space="preserve"> „</w:t>
            </w:r>
            <w:r w:rsidRPr="002002EE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</w:t>
            </w: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002EE">
              <w:rPr>
                <w:rFonts w:ascii="Sylfaen" w:hAnsi="Sylfaen" w:cs="Sylfaen"/>
                <w:sz w:val="20"/>
                <w:szCs w:val="20"/>
                <w:lang w:val="ka-GE"/>
              </w:rPr>
              <w:t>შრომის</w:t>
            </w: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002EE">
              <w:rPr>
                <w:rFonts w:ascii="Sylfaen" w:hAnsi="Sylfaen" w:cs="Sylfaen"/>
                <w:sz w:val="20"/>
                <w:szCs w:val="20"/>
                <w:lang w:val="ka-GE"/>
              </w:rPr>
              <w:t>კოდექსი</w:t>
            </w: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>“;</w:t>
            </w:r>
          </w:p>
          <w:p w:rsidR="002002EE" w:rsidRPr="002002EE" w:rsidRDefault="002002EE" w:rsidP="00C66426">
            <w:pPr>
              <w:tabs>
                <w:tab w:val="left" w:pos="392"/>
              </w:tabs>
              <w:spacing w:line="240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>•</w:t>
            </w: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ab/>
            </w:r>
            <w:r w:rsidRPr="002002EE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</w:t>
            </w: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002EE">
              <w:rPr>
                <w:rFonts w:ascii="Sylfaen" w:hAnsi="Sylfaen" w:cs="Sylfaen"/>
                <w:sz w:val="20"/>
                <w:szCs w:val="20"/>
                <w:lang w:val="ka-GE"/>
              </w:rPr>
              <w:t>ორგანული</w:t>
            </w: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002EE">
              <w:rPr>
                <w:rFonts w:ascii="Sylfaen" w:hAnsi="Sylfaen" w:cs="Sylfaen"/>
                <w:sz w:val="20"/>
                <w:szCs w:val="20"/>
                <w:lang w:val="ka-GE"/>
              </w:rPr>
              <w:t>კანონი</w:t>
            </w: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 xml:space="preserve"> „</w:t>
            </w:r>
            <w:r w:rsidRPr="002002EE">
              <w:rPr>
                <w:rFonts w:ascii="Sylfaen" w:hAnsi="Sylfaen" w:cs="Sylfaen"/>
                <w:sz w:val="20"/>
                <w:szCs w:val="20"/>
                <w:lang w:val="ka-GE"/>
              </w:rPr>
              <w:t>სახალხო</w:t>
            </w: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002EE">
              <w:rPr>
                <w:rFonts w:ascii="Sylfaen" w:hAnsi="Sylfaen" w:cs="Sylfaen"/>
                <w:sz w:val="20"/>
                <w:szCs w:val="20"/>
                <w:lang w:val="ka-GE"/>
              </w:rPr>
              <w:t>დამცველის</w:t>
            </w: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002EE">
              <w:rPr>
                <w:rFonts w:ascii="Sylfaen" w:hAnsi="Sylfaen" w:cs="Sylfaen"/>
                <w:sz w:val="20"/>
                <w:szCs w:val="20"/>
                <w:lang w:val="ka-GE"/>
              </w:rPr>
              <w:t>შესახებ</w:t>
            </w: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>“;</w:t>
            </w:r>
          </w:p>
          <w:p w:rsidR="002002EE" w:rsidRPr="002002EE" w:rsidRDefault="002002EE" w:rsidP="00C66426">
            <w:pPr>
              <w:tabs>
                <w:tab w:val="left" w:pos="392"/>
              </w:tabs>
              <w:spacing w:line="240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>•</w:t>
            </w: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ab/>
            </w:r>
            <w:r w:rsidRPr="002002EE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</w:t>
            </w: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002EE">
              <w:rPr>
                <w:rFonts w:ascii="Sylfaen" w:hAnsi="Sylfaen" w:cs="Sylfaen"/>
                <w:sz w:val="20"/>
                <w:szCs w:val="20"/>
                <w:lang w:val="ka-GE"/>
              </w:rPr>
              <w:t>კანონი</w:t>
            </w: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 xml:space="preserve"> „</w:t>
            </w:r>
            <w:r w:rsidRPr="002002EE">
              <w:rPr>
                <w:rFonts w:ascii="Sylfaen" w:hAnsi="Sylfaen" w:cs="Sylfaen"/>
                <w:sz w:val="20"/>
                <w:szCs w:val="20"/>
                <w:lang w:val="ka-GE"/>
              </w:rPr>
              <w:t>დისკრიმინაციის</w:t>
            </w: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002EE">
              <w:rPr>
                <w:rFonts w:ascii="Sylfaen" w:hAnsi="Sylfaen" w:cs="Sylfaen"/>
                <w:sz w:val="20"/>
                <w:szCs w:val="20"/>
                <w:lang w:val="ka-GE"/>
              </w:rPr>
              <w:t>ყველა</w:t>
            </w: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002EE">
              <w:rPr>
                <w:rFonts w:ascii="Sylfaen" w:hAnsi="Sylfaen" w:cs="Sylfaen"/>
                <w:sz w:val="20"/>
                <w:szCs w:val="20"/>
                <w:lang w:val="ka-GE"/>
              </w:rPr>
              <w:t>ფორმის</w:t>
            </w: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002EE">
              <w:rPr>
                <w:rFonts w:ascii="Sylfaen" w:hAnsi="Sylfaen" w:cs="Sylfaen"/>
                <w:sz w:val="20"/>
                <w:szCs w:val="20"/>
                <w:lang w:val="ka-GE"/>
              </w:rPr>
              <w:t>აღმოფხვრის</w:t>
            </w: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002EE">
              <w:rPr>
                <w:rFonts w:ascii="Sylfaen" w:hAnsi="Sylfaen" w:cs="Sylfaen"/>
                <w:sz w:val="20"/>
                <w:szCs w:val="20"/>
                <w:lang w:val="ka-GE"/>
              </w:rPr>
              <w:t>შესახებ</w:t>
            </w: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>“;</w:t>
            </w:r>
          </w:p>
          <w:p w:rsidR="002002EE" w:rsidRPr="002002EE" w:rsidRDefault="002002EE" w:rsidP="00C66426">
            <w:pPr>
              <w:tabs>
                <w:tab w:val="left" w:pos="392"/>
              </w:tabs>
              <w:spacing w:line="240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>•</w:t>
            </w: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ab/>
            </w:r>
            <w:r w:rsidRPr="002002EE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</w:t>
            </w: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002EE">
              <w:rPr>
                <w:rFonts w:ascii="Sylfaen" w:hAnsi="Sylfaen" w:cs="Sylfaen"/>
                <w:sz w:val="20"/>
                <w:szCs w:val="20"/>
                <w:lang w:val="ka-GE"/>
              </w:rPr>
              <w:t>კანონი</w:t>
            </w: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 xml:space="preserve"> „</w:t>
            </w:r>
            <w:r w:rsidRPr="002002EE">
              <w:rPr>
                <w:rFonts w:ascii="Sylfaen" w:hAnsi="Sylfaen" w:cs="Sylfaen"/>
                <w:sz w:val="20"/>
                <w:szCs w:val="20"/>
                <w:lang w:val="ka-GE"/>
              </w:rPr>
              <w:t>საჯარო</w:t>
            </w: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002EE">
              <w:rPr>
                <w:rFonts w:ascii="Sylfaen" w:hAnsi="Sylfaen" w:cs="Sylfaen"/>
                <w:sz w:val="20"/>
                <w:szCs w:val="20"/>
                <w:lang w:val="ka-GE"/>
              </w:rPr>
              <w:t>სამსახურის</w:t>
            </w: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002EE">
              <w:rPr>
                <w:rFonts w:ascii="Sylfaen" w:hAnsi="Sylfaen" w:cs="Sylfaen"/>
                <w:sz w:val="20"/>
                <w:szCs w:val="20"/>
                <w:lang w:val="ka-GE"/>
              </w:rPr>
              <w:t>შესახებ</w:t>
            </w: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>“;</w:t>
            </w:r>
          </w:p>
          <w:p w:rsidR="002002EE" w:rsidRPr="00204958" w:rsidRDefault="002002EE" w:rsidP="00C66426">
            <w:pPr>
              <w:tabs>
                <w:tab w:val="left" w:pos="392"/>
              </w:tabs>
              <w:spacing w:line="240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>•</w:t>
            </w: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ab/>
            </w:r>
            <w:r w:rsidRPr="002002EE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</w:t>
            </w: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002EE">
              <w:rPr>
                <w:rFonts w:ascii="Sylfaen" w:hAnsi="Sylfaen" w:cs="Sylfaen"/>
                <w:sz w:val="20"/>
                <w:szCs w:val="20"/>
                <w:lang w:val="ka-GE"/>
              </w:rPr>
              <w:t>კანონი</w:t>
            </w: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 xml:space="preserve"> „</w:t>
            </w:r>
            <w:r w:rsidRPr="002002EE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</w:t>
            </w: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002EE">
              <w:rPr>
                <w:rFonts w:ascii="Sylfaen" w:hAnsi="Sylfaen" w:cs="Sylfaen"/>
                <w:sz w:val="20"/>
                <w:szCs w:val="20"/>
                <w:lang w:val="ka-GE"/>
              </w:rPr>
              <w:t>ადმინისტრაციულ</w:t>
            </w: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002EE">
              <w:rPr>
                <w:rFonts w:ascii="Sylfaen" w:hAnsi="Sylfaen" w:cs="Sylfaen"/>
                <w:sz w:val="20"/>
                <w:szCs w:val="20"/>
                <w:lang w:val="ka-GE"/>
              </w:rPr>
              <w:t>სამართალდარღვევათა</w:t>
            </w: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002EE">
              <w:rPr>
                <w:rFonts w:ascii="Sylfaen" w:hAnsi="Sylfaen" w:cs="Sylfaen"/>
                <w:sz w:val="20"/>
                <w:szCs w:val="20"/>
                <w:lang w:val="ka-GE"/>
              </w:rPr>
              <w:t>კოდექსი</w:t>
            </w: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>“;</w:t>
            </w:r>
          </w:p>
        </w:tc>
        <w:tc>
          <w:tcPr>
            <w:tcW w:w="3484" w:type="dxa"/>
          </w:tcPr>
          <w:p w:rsidR="00B90485" w:rsidRPr="00B90485" w:rsidRDefault="00B90485" w:rsidP="00B90485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90485" w:rsidTr="00B90485">
        <w:trPr>
          <w:trHeight w:val="701"/>
        </w:trPr>
        <w:tc>
          <w:tcPr>
            <w:tcW w:w="601" w:type="dxa"/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9639" w:type="dxa"/>
            <w:gridSpan w:val="2"/>
          </w:tcPr>
          <w:p w:rsidR="00B90485" w:rsidRPr="00B90485" w:rsidRDefault="00B90485" w:rsidP="00B90485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484" w:type="dxa"/>
          </w:tcPr>
          <w:p w:rsidR="00B90485" w:rsidRPr="00B90485" w:rsidRDefault="00B90485" w:rsidP="008313E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90485" w:rsidTr="00B90485">
        <w:trPr>
          <w:trHeight w:val="710"/>
        </w:trPr>
        <w:tc>
          <w:tcPr>
            <w:tcW w:w="601" w:type="dxa"/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9639" w:type="dxa"/>
            <w:gridSpan w:val="2"/>
          </w:tcPr>
          <w:p w:rsidR="00B90485" w:rsidRPr="00B90485" w:rsidRDefault="00B90485" w:rsidP="00B90485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484" w:type="dxa"/>
          </w:tcPr>
          <w:p w:rsidR="00B90485" w:rsidRPr="00B90485" w:rsidRDefault="00B90485" w:rsidP="008313E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90485" w:rsidTr="00B90485">
        <w:trPr>
          <w:trHeight w:val="548"/>
        </w:trPr>
        <w:tc>
          <w:tcPr>
            <w:tcW w:w="601" w:type="dxa"/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9639" w:type="dxa"/>
            <w:gridSpan w:val="2"/>
          </w:tcPr>
          <w:p w:rsidR="00B90485" w:rsidRPr="00122443" w:rsidRDefault="00B90485" w:rsidP="0012244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484" w:type="dxa"/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B90485" w:rsidTr="00B90485">
        <w:trPr>
          <w:trHeight w:val="620"/>
        </w:trPr>
        <w:tc>
          <w:tcPr>
            <w:tcW w:w="601" w:type="dxa"/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484" w:type="dxa"/>
            <w:tcBorders>
              <w:bottom w:val="single" w:sz="4" w:space="0" w:color="auto"/>
            </w:tcBorders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</w:tbl>
    <w:p w:rsidR="005753D9" w:rsidRDefault="005753D9" w:rsidP="002D2EBE">
      <w:pPr>
        <w:rPr>
          <w:rFonts w:ascii="Sylfaen" w:hAnsi="Sylfaen"/>
          <w:lang w:val="ka-GE"/>
        </w:rPr>
      </w:pPr>
    </w:p>
    <w:p w:rsidR="008313E7" w:rsidRDefault="002D2EBE" w:rsidP="002D2EBE">
      <w:pPr>
        <w:rPr>
          <w:rFonts w:ascii="Sylfaen" w:hAnsi="Sylfaen"/>
        </w:rPr>
      </w:pPr>
      <w:r>
        <w:rPr>
          <w:rFonts w:ascii="Sylfaen" w:hAnsi="Sylfaen"/>
          <w:lang w:val="ka-GE"/>
        </w:rPr>
        <w:t>სხვა პასუხ</w:t>
      </w:r>
      <w:r w:rsidR="00180F13">
        <w:rPr>
          <w:rFonts w:ascii="Sylfaen" w:hAnsi="Sylfaen"/>
          <w:lang w:val="ka-GE"/>
        </w:rPr>
        <w:t>ის</w:t>
      </w:r>
      <w:r>
        <w:rPr>
          <w:rFonts w:ascii="Sylfaen" w:hAnsi="Sylfaen"/>
          <w:lang w:val="ka-GE"/>
        </w:rPr>
        <w:t>მგებელი ქვე-უწყება/სააგენტო:</w:t>
      </w:r>
      <w:r w:rsidR="005532A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 w:rsidR="00B90485">
        <w:rPr>
          <w:rFonts w:ascii="Sylfaen" w:hAnsi="Sylfaen"/>
          <w:lang w:val="ka-GE"/>
        </w:rPr>
        <w:t xml:space="preserve"> </w:t>
      </w:r>
      <w:r w:rsidR="002002EE" w:rsidRPr="002002EE">
        <w:rPr>
          <w:rFonts w:ascii="Sylfaen" w:hAnsi="Sylfaen"/>
          <w:sz w:val="24"/>
          <w:szCs w:val="24"/>
          <w:lang w:val="ka-GE"/>
        </w:rPr>
        <w:t>საქართველოს შრომის, ჯანმრთელობისა  და სოციალური  დაცვის სამინისტრო</w:t>
      </w:r>
      <w:r w:rsidR="002002EE" w:rsidRPr="002002EE">
        <w:rPr>
          <w:rFonts w:ascii="Sylfaen" w:hAnsi="Sylfaen"/>
          <w:lang w:val="ka-GE"/>
        </w:rPr>
        <w:t>, შრომისა და დასაქმების პოლიტიკის დეპარტ</w:t>
      </w:r>
      <w:r w:rsidR="00C66426" w:rsidRPr="002002EE">
        <w:rPr>
          <w:rFonts w:ascii="Sylfaen" w:hAnsi="Sylfaen"/>
          <w:lang w:val="ka-GE"/>
        </w:rPr>
        <w:t>ა</w:t>
      </w:r>
      <w:r w:rsidR="002002EE" w:rsidRPr="002002EE">
        <w:rPr>
          <w:rFonts w:ascii="Sylfaen" w:hAnsi="Sylfaen"/>
          <w:lang w:val="ka-GE"/>
        </w:rPr>
        <w:t>მენტი</w:t>
      </w:r>
    </w:p>
    <w:p w:rsidR="005753D9" w:rsidRPr="005753D9" w:rsidRDefault="005753D9" w:rsidP="002D2EBE">
      <w:pPr>
        <w:rPr>
          <w:rFonts w:ascii="Sylfaen" w:hAnsi="Sylfaen"/>
          <w:lang w:val="ka-GE"/>
        </w:rPr>
      </w:pPr>
    </w:p>
    <w:sectPr w:rsidR="005753D9" w:rsidRPr="005753D9" w:rsidSect="008313E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28A3"/>
    <w:multiLevelType w:val="hybridMultilevel"/>
    <w:tmpl w:val="91804AE4"/>
    <w:lvl w:ilvl="0" w:tplc="E0024CA4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">
    <w:nsid w:val="264F6458"/>
    <w:multiLevelType w:val="hybridMultilevel"/>
    <w:tmpl w:val="B9A69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314"/>
    <w:rsid w:val="00052DB4"/>
    <w:rsid w:val="000932E0"/>
    <w:rsid w:val="00122443"/>
    <w:rsid w:val="001526B5"/>
    <w:rsid w:val="00180F13"/>
    <w:rsid w:val="001C23B1"/>
    <w:rsid w:val="001C4EC5"/>
    <w:rsid w:val="002002EE"/>
    <w:rsid w:val="00204958"/>
    <w:rsid w:val="00250885"/>
    <w:rsid w:val="002D2EBE"/>
    <w:rsid w:val="004B17FE"/>
    <w:rsid w:val="005532A9"/>
    <w:rsid w:val="005753D9"/>
    <w:rsid w:val="005A4464"/>
    <w:rsid w:val="00610E6D"/>
    <w:rsid w:val="006441CF"/>
    <w:rsid w:val="006A7776"/>
    <w:rsid w:val="007F3314"/>
    <w:rsid w:val="008313E7"/>
    <w:rsid w:val="00856068"/>
    <w:rsid w:val="008A6D88"/>
    <w:rsid w:val="008F6317"/>
    <w:rsid w:val="00963175"/>
    <w:rsid w:val="009F3C66"/>
    <w:rsid w:val="00AD4DE0"/>
    <w:rsid w:val="00B90485"/>
    <w:rsid w:val="00BB5DD8"/>
    <w:rsid w:val="00BE380E"/>
    <w:rsid w:val="00C6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88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508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88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508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6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2375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nuka Nemsadze</dc:creator>
  <cp:lastModifiedBy>Elza Jgerenaia</cp:lastModifiedBy>
  <cp:revision>2</cp:revision>
  <cp:lastPrinted>2017-06-27T11:19:00Z</cp:lastPrinted>
  <dcterms:created xsi:type="dcterms:W3CDTF">2017-10-13T09:59:00Z</dcterms:created>
  <dcterms:modified xsi:type="dcterms:W3CDTF">2017-10-13T09:59:00Z</dcterms:modified>
</cp:coreProperties>
</file>