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09" w:rsidRPr="00FE3727" w:rsidRDefault="003A6A09" w:rsidP="00214D16">
      <w:pPr>
        <w:spacing w:before="240"/>
        <w:jc w:val="center"/>
        <w:rPr>
          <w:rFonts w:ascii="Sylfaen" w:hAnsi="Sylfaen"/>
          <w:b/>
          <w:sz w:val="24"/>
          <w:szCs w:val="24"/>
        </w:rPr>
      </w:pPr>
      <w:r w:rsidRPr="00FE3727">
        <w:rPr>
          <w:rFonts w:ascii="Sylfaen" w:hAnsi="Sylfaen"/>
          <w:b/>
          <w:sz w:val="24"/>
          <w:szCs w:val="24"/>
        </w:rPr>
        <w:t>EU-Georgia Association Sub-Committee Meeting on Employment, Social Policy, Equal Rights and Public Health</w:t>
      </w:r>
    </w:p>
    <w:p w:rsidR="001431DF" w:rsidRPr="00FE3727" w:rsidRDefault="004957BB" w:rsidP="00214D16">
      <w:pPr>
        <w:spacing w:before="240" w:after="0"/>
        <w:jc w:val="center"/>
        <w:rPr>
          <w:rFonts w:ascii="Sylfaen" w:hAnsi="Sylfaen"/>
          <w:b/>
          <w:sz w:val="24"/>
          <w:szCs w:val="24"/>
        </w:rPr>
      </w:pPr>
      <w:r w:rsidRPr="00FE3727">
        <w:rPr>
          <w:rFonts w:ascii="Sylfaen" w:hAnsi="Sylfaen"/>
          <w:b/>
          <w:sz w:val="24"/>
          <w:szCs w:val="24"/>
        </w:rPr>
        <w:t>27</w:t>
      </w:r>
      <w:r w:rsidR="00841DBE" w:rsidRPr="00FE3727">
        <w:rPr>
          <w:rFonts w:ascii="Sylfaen" w:hAnsi="Sylfaen"/>
          <w:b/>
          <w:sz w:val="24"/>
          <w:szCs w:val="24"/>
        </w:rPr>
        <w:t xml:space="preserve"> November</w:t>
      </w:r>
      <w:r w:rsidR="00266DB5" w:rsidRPr="00FE3727">
        <w:rPr>
          <w:rFonts w:ascii="Sylfaen" w:hAnsi="Sylfaen"/>
          <w:b/>
          <w:sz w:val="24"/>
          <w:szCs w:val="24"/>
        </w:rPr>
        <w:t xml:space="preserve"> 2015, Tbilisi</w:t>
      </w:r>
    </w:p>
    <w:p w:rsidR="00882CE2" w:rsidRPr="00FE3727" w:rsidRDefault="00844B9F" w:rsidP="00214D16">
      <w:pPr>
        <w:spacing w:before="240" w:after="0"/>
        <w:jc w:val="center"/>
        <w:rPr>
          <w:rFonts w:ascii="Sylfaen" w:hAnsi="Sylfaen"/>
          <w:b/>
          <w:smallCaps/>
          <w:sz w:val="24"/>
          <w:szCs w:val="24"/>
        </w:rPr>
      </w:pPr>
      <w:r w:rsidRPr="00FE3727">
        <w:rPr>
          <w:rFonts w:ascii="Sylfaen" w:hAnsi="Sylfaen"/>
          <w:b/>
          <w:smallCaps/>
          <w:sz w:val="24"/>
          <w:szCs w:val="24"/>
        </w:rPr>
        <w:t>Draft operational conclusions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21"/>
        <w:gridCol w:w="11586"/>
        <w:gridCol w:w="1407"/>
      </w:tblGrid>
      <w:tr w:rsidR="00A65BC6" w:rsidRPr="00FE3727" w:rsidTr="00AC76F5">
        <w:tc>
          <w:tcPr>
            <w:tcW w:w="299"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PARTY</w:t>
            </w:r>
          </w:p>
        </w:tc>
        <w:tc>
          <w:tcPr>
            <w:tcW w:w="518"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AREA</w:t>
            </w:r>
          </w:p>
        </w:tc>
        <w:tc>
          <w:tcPr>
            <w:tcW w:w="3764"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ACTION</w:t>
            </w:r>
          </w:p>
        </w:tc>
        <w:tc>
          <w:tcPr>
            <w:tcW w:w="419"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DEADLINE</w:t>
            </w:r>
          </w:p>
        </w:tc>
      </w:tr>
      <w:tr w:rsidR="00A65BC6" w:rsidRPr="00FE3727" w:rsidTr="00FE3727">
        <w:tc>
          <w:tcPr>
            <w:tcW w:w="299" w:type="pct"/>
            <w:shd w:val="clear" w:color="auto" w:fill="auto"/>
          </w:tcPr>
          <w:p w:rsidR="002B159E" w:rsidRPr="00FE3727" w:rsidRDefault="005D4FEA" w:rsidP="00214D16">
            <w:pPr>
              <w:spacing w:before="240" w:after="0"/>
              <w:rPr>
                <w:rFonts w:ascii="Sylfaen" w:hAnsi="Sylfaen"/>
                <w:b/>
                <w:sz w:val="24"/>
                <w:szCs w:val="24"/>
              </w:rPr>
            </w:pPr>
            <w:r w:rsidRPr="00FE3727">
              <w:rPr>
                <w:rFonts w:ascii="Sylfaen" w:hAnsi="Sylfaen"/>
                <w:b/>
                <w:sz w:val="24"/>
                <w:szCs w:val="24"/>
              </w:rPr>
              <w:t>Georgia</w:t>
            </w:r>
          </w:p>
        </w:tc>
        <w:tc>
          <w:tcPr>
            <w:tcW w:w="518" w:type="pct"/>
            <w:shd w:val="clear" w:color="auto" w:fill="auto"/>
          </w:tcPr>
          <w:p w:rsidR="00FE3727" w:rsidRPr="00FE3727" w:rsidRDefault="00FE3727" w:rsidP="00214D16">
            <w:pPr>
              <w:spacing w:before="240" w:after="0"/>
              <w:rPr>
                <w:rFonts w:ascii="Sylfaen" w:hAnsi="Sylfaen" w:cs="Arial"/>
                <w:b/>
                <w:sz w:val="24"/>
                <w:szCs w:val="24"/>
              </w:rPr>
            </w:pPr>
            <w:r w:rsidRPr="00FE3727">
              <w:rPr>
                <w:rFonts w:ascii="Sylfaen" w:hAnsi="Sylfaen" w:cs="Arial"/>
                <w:b/>
                <w:sz w:val="24"/>
                <w:szCs w:val="24"/>
              </w:rPr>
              <w:t>Cooperation on Employment, Social Policy and Equal Opportunities</w:t>
            </w:r>
          </w:p>
        </w:tc>
        <w:tc>
          <w:tcPr>
            <w:tcW w:w="3764" w:type="pct"/>
            <w:shd w:val="clear" w:color="auto" w:fill="auto"/>
          </w:tcPr>
          <w:p w:rsidR="00FE3727" w:rsidRPr="00FE3727" w:rsidRDefault="00214D16" w:rsidP="00214D16">
            <w:pPr>
              <w:pStyle w:val="BodyTextIndent2"/>
              <w:spacing w:before="240" w:line="276" w:lineRule="auto"/>
              <w:rPr>
                <w:rFonts w:ascii="Sylfaen" w:hAnsi="Sylfaen"/>
              </w:rPr>
            </w:pPr>
            <w:r>
              <w:rPr>
                <w:rFonts w:ascii="Sylfaen" w:hAnsi="Sylfaen"/>
              </w:rPr>
              <w:t>Georgia should:</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Finalize and adopt the “Sectoral Policy Paper” for the implementation of relevant provisions of the Association Agreement (Chapter 14 and Annex XXX);Adopt the draft Occupational and Safety Law that transposes the EU Framework Directive 89/391/EEC in the area of Health and Safety at Work;</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Continue training “labour monitors” (in place and on the reserve list) as well as judges on the Labour Code, health and safety at work legislation as well as on those international labour standards ratified by Georgia;</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Decide on options for establishing employment services, adopt the Concept on Labour Market Policies, and in particular, finalize the draft legal basis for the establishment of employment services;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Develop a plan for the establishment of employment services, including staffing requirement (number, professional qualifications) and budget;</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Decide on option(s) to revitalize the Tripartite Social Partnership Commission (TSPC) and ensure regular meetings of existing TSPC in line with the Labour Code provisions;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Monitor implementation of newly launched labour market programmes (job guidance, counselling, training and retraining of the unemployed, Programme for people with disabilities);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lastRenderedPageBreak/>
              <w:t>Monitor implementation of the State Strategy for Labour Market Formation;</w:t>
            </w:r>
          </w:p>
          <w:p w:rsidR="002B159E" w:rsidRPr="00FE3727" w:rsidRDefault="002B159E" w:rsidP="00C35A29">
            <w:pPr>
              <w:pStyle w:val="BodyTextIndent2"/>
              <w:spacing w:before="240" w:after="120" w:line="276" w:lineRule="auto"/>
              <w:rPr>
                <w:rFonts w:ascii="Sylfaen" w:hAnsi="Sylfaen"/>
                <w:b w:val="0"/>
              </w:rPr>
            </w:pPr>
          </w:p>
        </w:tc>
        <w:tc>
          <w:tcPr>
            <w:tcW w:w="419" w:type="pct"/>
            <w:shd w:val="clear" w:color="auto" w:fill="auto"/>
          </w:tcPr>
          <w:p w:rsidR="002B159E" w:rsidRPr="00FE3727" w:rsidRDefault="002B159E" w:rsidP="00214D16">
            <w:pPr>
              <w:spacing w:before="240" w:after="0"/>
              <w:rPr>
                <w:rFonts w:ascii="Sylfaen" w:hAnsi="Sylfaen"/>
                <w:sz w:val="24"/>
                <w:szCs w:val="24"/>
              </w:rPr>
            </w:pPr>
          </w:p>
        </w:tc>
      </w:tr>
      <w:tr w:rsidR="00462361" w:rsidRPr="00FE3727" w:rsidTr="00FE3727">
        <w:tc>
          <w:tcPr>
            <w:tcW w:w="299" w:type="pct"/>
            <w:shd w:val="clear" w:color="auto" w:fill="auto"/>
          </w:tcPr>
          <w:p w:rsidR="00462361" w:rsidRPr="00FE3727" w:rsidRDefault="00462361" w:rsidP="00214D16">
            <w:pPr>
              <w:spacing w:before="240" w:after="0"/>
              <w:rPr>
                <w:rFonts w:ascii="Sylfaen" w:hAnsi="Sylfaen"/>
                <w:b/>
                <w:sz w:val="24"/>
                <w:szCs w:val="24"/>
              </w:rPr>
            </w:pPr>
            <w:r w:rsidRPr="00FE3727">
              <w:rPr>
                <w:rFonts w:ascii="Sylfaen" w:hAnsi="Sylfaen"/>
                <w:b/>
                <w:sz w:val="24"/>
                <w:szCs w:val="24"/>
              </w:rPr>
              <w:lastRenderedPageBreak/>
              <w:t>Georgia</w:t>
            </w:r>
          </w:p>
        </w:tc>
        <w:tc>
          <w:tcPr>
            <w:tcW w:w="518" w:type="pct"/>
            <w:shd w:val="clear" w:color="auto" w:fill="auto"/>
          </w:tcPr>
          <w:p w:rsidR="00462361" w:rsidRPr="00FE3727" w:rsidRDefault="00FE3727" w:rsidP="00214D16">
            <w:pPr>
              <w:spacing w:before="240" w:after="0"/>
              <w:rPr>
                <w:rFonts w:ascii="Sylfaen" w:hAnsi="Sylfaen" w:cs="Arial"/>
                <w:b/>
                <w:sz w:val="24"/>
                <w:szCs w:val="24"/>
              </w:rPr>
            </w:pPr>
            <w:r w:rsidRPr="00FE3727">
              <w:rPr>
                <w:rFonts w:ascii="Sylfaen" w:hAnsi="Sylfaen" w:cs="Arial"/>
                <w:b/>
                <w:sz w:val="24"/>
                <w:szCs w:val="24"/>
              </w:rPr>
              <w:t>Cooperation in the area of Public Health</w:t>
            </w:r>
          </w:p>
        </w:tc>
        <w:tc>
          <w:tcPr>
            <w:tcW w:w="3764" w:type="pct"/>
            <w:shd w:val="clear" w:color="auto" w:fill="auto"/>
            <w:vAlign w:val="center"/>
          </w:tcPr>
          <w:p w:rsidR="00FE3727" w:rsidRPr="00FE3727" w:rsidRDefault="00FE3727" w:rsidP="00214D16">
            <w:pPr>
              <w:pStyle w:val="BodyTextIndent2"/>
              <w:spacing w:before="240" w:after="120" w:line="276" w:lineRule="auto"/>
              <w:ind w:left="0" w:firstLine="0"/>
              <w:rPr>
                <w:rFonts w:ascii="Sylfaen" w:hAnsi="Sylfaen"/>
              </w:rPr>
            </w:pPr>
            <w:r w:rsidRPr="00FE3727">
              <w:rPr>
                <w:rFonts w:ascii="Sylfaen" w:hAnsi="Sylfaen"/>
              </w:rPr>
              <w:t>Georgia will:</w:t>
            </w:r>
          </w:p>
          <w:p w:rsidR="00214D16" w:rsidRPr="006F6760" w:rsidRDefault="00FE3727" w:rsidP="00214D16">
            <w:pPr>
              <w:pStyle w:val="BodyTextIndent2"/>
              <w:numPr>
                <w:ilvl w:val="0"/>
                <w:numId w:val="11"/>
              </w:numPr>
              <w:spacing w:before="240" w:after="120" w:line="276" w:lineRule="auto"/>
              <w:ind w:left="709"/>
              <w:rPr>
                <w:rFonts w:ascii="Sylfaen" w:hAnsi="Sylfaen"/>
                <w:b w:val="0"/>
                <w:highlight w:val="cyan"/>
              </w:rPr>
            </w:pPr>
            <w:r w:rsidRPr="006F6760">
              <w:rPr>
                <w:rFonts w:ascii="Sylfaen" w:hAnsi="Sylfaen"/>
                <w:b w:val="0"/>
                <w:highlight w:val="cyan"/>
              </w:rPr>
              <w:t>Proceed with the timely implementation of the provisions of their Human Rights Action Plan for increasing the quality of perinatal care Particular attention will be given to extending nation-wide the two regional pilot projects on perinatal care;</w:t>
            </w:r>
            <w:bookmarkStart w:id="0" w:name="_GoBack"/>
            <w:bookmarkEnd w:id="0"/>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The Universal Health Coverage is identified as a main priority of the government as reflected </w:t>
            </w:r>
            <w:proofErr w:type="spellStart"/>
            <w:r w:rsidRPr="00214D16">
              <w:rPr>
                <w:rFonts w:ascii="Sylfaen" w:hAnsi="Sylfaen"/>
                <w:b w:val="0"/>
              </w:rPr>
              <w:t>interalia</w:t>
            </w:r>
            <w:proofErr w:type="spellEnd"/>
            <w:r w:rsidRPr="00214D16">
              <w:rPr>
                <w:rFonts w:ascii="Sylfaen" w:hAnsi="Sylfaen"/>
                <w:b w:val="0"/>
              </w:rPr>
              <w:t xml:space="preserve"> in an increase of public expenditure on health and comprehensive reforms to strengthen the health care sector; </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Continue working on the harmonization of national regulations with EU acquis on blood safety as an important step in the implementation of the Association Agreement.  The EU will look into possibilities for technical assistance required by Georgia. TAIEX instrument can be deployed for short term support to public administrations with regard to the approximation, application and enforcement of EU legislation as well as facilitating the sharing of EU best practices;</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Consider applying to become a </w:t>
            </w:r>
            <w:proofErr w:type="spellStart"/>
            <w:r w:rsidRPr="00214D16">
              <w:rPr>
                <w:rFonts w:ascii="Sylfaen" w:hAnsi="Sylfaen"/>
                <w:b w:val="0"/>
              </w:rPr>
              <w:t>M</w:t>
            </w:r>
            <w:r w:rsidR="00A56708">
              <w:rPr>
                <w:rFonts w:ascii="Sylfaen" w:hAnsi="Sylfaen"/>
                <w:b w:val="0"/>
              </w:rPr>
              <w:t>e</w:t>
            </w:r>
            <w:r w:rsidRPr="00214D16">
              <w:rPr>
                <w:rFonts w:ascii="Sylfaen" w:hAnsi="Sylfaen"/>
                <w:b w:val="0"/>
              </w:rPr>
              <w:t>diPIET</w:t>
            </w:r>
            <w:proofErr w:type="spellEnd"/>
            <w:r w:rsidRPr="00214D16">
              <w:rPr>
                <w:rFonts w:ascii="Sylfaen" w:hAnsi="Sylfaen"/>
                <w:b w:val="0"/>
              </w:rPr>
              <w:t xml:space="preserve"> training site and to host theoretical modules;</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Continue to prioritise actions on AMR </w:t>
            </w:r>
            <w:proofErr w:type="spellStart"/>
            <w:r w:rsidRPr="00214D16">
              <w:rPr>
                <w:rFonts w:ascii="Sylfaen" w:hAnsi="Sylfaen"/>
                <w:b w:val="0"/>
              </w:rPr>
              <w:t>interalia</w:t>
            </w:r>
            <w:proofErr w:type="spellEnd"/>
            <w:r w:rsidRPr="00214D16">
              <w:rPr>
                <w:rFonts w:ascii="Sylfaen" w:hAnsi="Sylfaen"/>
                <w:b w:val="0"/>
              </w:rPr>
              <w:t xml:space="preserve"> by strengthening surveillance, prudent use of antimicrobials and infection control in healthcare settings. The EU welcomed the positive developments linked to the adoption of the National strategy and Action plan on AMR and Georgian participation in the CAESAR surveillance network;</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Undertake necessary steps for swift adoption of legislative amendments that will strengthen tobacco control policies in line with EU legislation and policies, as well as with their obligations under the WHO </w:t>
            </w:r>
            <w:r w:rsidRPr="00214D16">
              <w:rPr>
                <w:rFonts w:ascii="Sylfaen" w:hAnsi="Sylfaen"/>
                <w:b w:val="0"/>
              </w:rPr>
              <w:lastRenderedPageBreak/>
              <w:t>Framework Convention on Tobacco Control (amendments creating effective instruments for law enforcement);</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Undertake all efforts towards the signing and ratification of the Protocol for Illicit Trade in Tobacco Products. </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Monitor the transposition of tobacco control legislation, in line with EU acquis as provided for in the Association Agreement and will communicate this to the EU;</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Gradually take ownership of the national HIV/TB prevention and response programmes and ensure their resourcing, sustainability and integration within the health system so that the transition process (reduction of Global Fund support) can be successfully managed. Georgia is welcome to participate actively in the meetings of the HIV/AIDS Think Tank and the HIV/AIDS Civil Society Forum;</w:t>
            </w:r>
          </w:p>
          <w:p w:rsidR="00462361" w:rsidRPr="00214D16" w:rsidRDefault="00FE3727" w:rsidP="00CA1BF2">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Adopt, as planned, the Hepatitis C Strategic Plan </w:t>
            </w:r>
            <w:r w:rsidR="00CA1BF2">
              <w:rPr>
                <w:rFonts w:ascii="Sylfaen" w:hAnsi="Sylfaen"/>
                <w:b w:val="0"/>
              </w:rPr>
              <w:t>in 2016</w:t>
            </w:r>
            <w:r w:rsidR="00C11DEE">
              <w:rPr>
                <w:rFonts w:ascii="Sylfaen" w:hAnsi="Sylfaen"/>
                <w:b w:val="0"/>
              </w:rPr>
              <w:t xml:space="preserve"> </w:t>
            </w:r>
            <w:r w:rsidRPr="00214D16">
              <w:rPr>
                <w:rFonts w:ascii="Sylfaen" w:hAnsi="Sylfaen"/>
                <w:b w:val="0"/>
              </w:rPr>
              <w:t>and ensure its full implementation.</w:t>
            </w:r>
          </w:p>
        </w:tc>
        <w:tc>
          <w:tcPr>
            <w:tcW w:w="419" w:type="pct"/>
            <w:shd w:val="clear" w:color="auto" w:fill="auto"/>
          </w:tcPr>
          <w:p w:rsidR="00462361" w:rsidRPr="00FE3727" w:rsidRDefault="00462361" w:rsidP="00214D16">
            <w:pPr>
              <w:spacing w:before="240" w:after="0"/>
              <w:rPr>
                <w:rFonts w:ascii="Sylfaen" w:hAnsi="Sylfaen"/>
                <w:sz w:val="24"/>
                <w:szCs w:val="24"/>
              </w:rPr>
            </w:pPr>
          </w:p>
        </w:tc>
      </w:tr>
    </w:tbl>
    <w:p w:rsidR="00844B9F" w:rsidRPr="00FE3727" w:rsidRDefault="00844B9F" w:rsidP="00214D16">
      <w:pPr>
        <w:spacing w:before="240" w:after="0"/>
        <w:rPr>
          <w:rFonts w:ascii="Sylfaen" w:hAnsi="Sylfaen"/>
          <w:sz w:val="24"/>
          <w:szCs w:val="24"/>
        </w:rPr>
      </w:pPr>
    </w:p>
    <w:sectPr w:rsidR="00844B9F" w:rsidRPr="00FE3727" w:rsidSect="00882CE2">
      <w:footerReference w:type="default" r:id="rId8"/>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EE6" w:rsidRDefault="00995EE6" w:rsidP="00084A48">
      <w:pPr>
        <w:spacing w:after="0" w:line="240" w:lineRule="auto"/>
      </w:pPr>
      <w:r>
        <w:separator/>
      </w:r>
    </w:p>
  </w:endnote>
  <w:endnote w:type="continuationSeparator" w:id="0">
    <w:p w:rsidR="00995EE6" w:rsidRDefault="00995EE6" w:rsidP="0008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48" w:rsidRDefault="00A1144C">
    <w:pPr>
      <w:pStyle w:val="Footer"/>
      <w:jc w:val="center"/>
    </w:pPr>
    <w:r>
      <w:fldChar w:fldCharType="begin"/>
    </w:r>
    <w:r w:rsidR="00163C79">
      <w:instrText xml:space="preserve"> PAGE   \* MERGEFORMAT </w:instrText>
    </w:r>
    <w:r>
      <w:fldChar w:fldCharType="separate"/>
    </w:r>
    <w:r w:rsidR="006F6760">
      <w:rPr>
        <w:noProof/>
      </w:rPr>
      <w:t>2</w:t>
    </w:r>
    <w:r>
      <w:rPr>
        <w:noProof/>
      </w:rPr>
      <w:fldChar w:fldCharType="end"/>
    </w:r>
  </w:p>
  <w:p w:rsidR="00084A48" w:rsidRDefault="00084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EE6" w:rsidRDefault="00995EE6" w:rsidP="00084A48">
      <w:pPr>
        <w:spacing w:after="0" w:line="240" w:lineRule="auto"/>
      </w:pPr>
      <w:r>
        <w:separator/>
      </w:r>
    </w:p>
  </w:footnote>
  <w:footnote w:type="continuationSeparator" w:id="0">
    <w:p w:rsidR="00995EE6" w:rsidRDefault="00995EE6" w:rsidP="00084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89A"/>
    <w:multiLevelType w:val="hybridMultilevel"/>
    <w:tmpl w:val="49641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CF71E50"/>
    <w:multiLevelType w:val="hybridMultilevel"/>
    <w:tmpl w:val="161C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B27F3"/>
    <w:multiLevelType w:val="hybridMultilevel"/>
    <w:tmpl w:val="D23CF42C"/>
    <w:lvl w:ilvl="0" w:tplc="33BAD004">
      <w:start w:val="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DA0B15"/>
    <w:multiLevelType w:val="hybridMultilevel"/>
    <w:tmpl w:val="CF7C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A5888"/>
    <w:multiLevelType w:val="hybridMultilevel"/>
    <w:tmpl w:val="8F3E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D31C5"/>
    <w:multiLevelType w:val="hybridMultilevel"/>
    <w:tmpl w:val="E3F0EE80"/>
    <w:lvl w:ilvl="0" w:tplc="300C8C40">
      <w:start w:val="1"/>
      <w:numFmt w:val="decimal"/>
      <w:lvlText w:val="%1."/>
      <w:lvlJc w:val="left"/>
      <w:pPr>
        <w:ind w:left="720" w:hanging="360"/>
      </w:pPr>
      <w:rPr>
        <w:rFonts w:ascii="Sylfaen" w:eastAsia="Calibri"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03D12"/>
    <w:multiLevelType w:val="hybridMultilevel"/>
    <w:tmpl w:val="4A9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DB29DF"/>
    <w:multiLevelType w:val="hybridMultilevel"/>
    <w:tmpl w:val="20F4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7590E"/>
    <w:multiLevelType w:val="hybridMultilevel"/>
    <w:tmpl w:val="6AC4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851457"/>
    <w:multiLevelType w:val="hybridMultilevel"/>
    <w:tmpl w:val="14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9"/>
  </w:num>
  <w:num w:numId="6">
    <w:abstractNumId w:val="8"/>
  </w:num>
  <w:num w:numId="7">
    <w:abstractNumId w:val="3"/>
  </w:num>
  <w:num w:numId="8">
    <w:abstractNumId w:val="10"/>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44B9F"/>
    <w:rsid w:val="00027200"/>
    <w:rsid w:val="00042B9B"/>
    <w:rsid w:val="000639DE"/>
    <w:rsid w:val="00084A48"/>
    <w:rsid w:val="000913D7"/>
    <w:rsid w:val="000F4B8B"/>
    <w:rsid w:val="00111B35"/>
    <w:rsid w:val="00112A56"/>
    <w:rsid w:val="00122C5D"/>
    <w:rsid w:val="001320CC"/>
    <w:rsid w:val="0013491A"/>
    <w:rsid w:val="00136841"/>
    <w:rsid w:val="00137167"/>
    <w:rsid w:val="001431DF"/>
    <w:rsid w:val="00163C79"/>
    <w:rsid w:val="001719BD"/>
    <w:rsid w:val="001A0D52"/>
    <w:rsid w:val="001D5E99"/>
    <w:rsid w:val="001E2937"/>
    <w:rsid w:val="001E75EC"/>
    <w:rsid w:val="00214D16"/>
    <w:rsid w:val="00262646"/>
    <w:rsid w:val="00266DB5"/>
    <w:rsid w:val="00293E17"/>
    <w:rsid w:val="002A09ED"/>
    <w:rsid w:val="002A1B97"/>
    <w:rsid w:val="002A6123"/>
    <w:rsid w:val="002A648E"/>
    <w:rsid w:val="002B159E"/>
    <w:rsid w:val="002E77DF"/>
    <w:rsid w:val="002F57E0"/>
    <w:rsid w:val="00332F55"/>
    <w:rsid w:val="00347293"/>
    <w:rsid w:val="003A6A09"/>
    <w:rsid w:val="003A79B7"/>
    <w:rsid w:val="003B4E08"/>
    <w:rsid w:val="003F0968"/>
    <w:rsid w:val="0040256E"/>
    <w:rsid w:val="00441D8D"/>
    <w:rsid w:val="0045068E"/>
    <w:rsid w:val="00455C55"/>
    <w:rsid w:val="00455FE2"/>
    <w:rsid w:val="004616EF"/>
    <w:rsid w:val="00462361"/>
    <w:rsid w:val="00477C72"/>
    <w:rsid w:val="004815AA"/>
    <w:rsid w:val="004957BB"/>
    <w:rsid w:val="00497342"/>
    <w:rsid w:val="004A1FC8"/>
    <w:rsid w:val="004E1107"/>
    <w:rsid w:val="00541A9F"/>
    <w:rsid w:val="00576108"/>
    <w:rsid w:val="00585BBD"/>
    <w:rsid w:val="00595838"/>
    <w:rsid w:val="005D4FEA"/>
    <w:rsid w:val="005D61D0"/>
    <w:rsid w:val="005D6B6B"/>
    <w:rsid w:val="005D7651"/>
    <w:rsid w:val="005E04D2"/>
    <w:rsid w:val="005F12CD"/>
    <w:rsid w:val="00614CAA"/>
    <w:rsid w:val="00625FE1"/>
    <w:rsid w:val="00645467"/>
    <w:rsid w:val="00665EF4"/>
    <w:rsid w:val="006A44C8"/>
    <w:rsid w:val="006E766C"/>
    <w:rsid w:val="006F6760"/>
    <w:rsid w:val="007037BB"/>
    <w:rsid w:val="00706B19"/>
    <w:rsid w:val="00725975"/>
    <w:rsid w:val="00775DF9"/>
    <w:rsid w:val="007C79D5"/>
    <w:rsid w:val="007D6E72"/>
    <w:rsid w:val="007E31D7"/>
    <w:rsid w:val="00826B9B"/>
    <w:rsid w:val="00841060"/>
    <w:rsid w:val="00841DBE"/>
    <w:rsid w:val="00844B9F"/>
    <w:rsid w:val="0086476B"/>
    <w:rsid w:val="00866FB2"/>
    <w:rsid w:val="00871F0D"/>
    <w:rsid w:val="00882CE2"/>
    <w:rsid w:val="008866E4"/>
    <w:rsid w:val="008A4B7F"/>
    <w:rsid w:val="008D07D3"/>
    <w:rsid w:val="009430C5"/>
    <w:rsid w:val="009449B9"/>
    <w:rsid w:val="009556E4"/>
    <w:rsid w:val="0095681C"/>
    <w:rsid w:val="00961759"/>
    <w:rsid w:val="00964AC4"/>
    <w:rsid w:val="00995EE6"/>
    <w:rsid w:val="00A1144C"/>
    <w:rsid w:val="00A17F12"/>
    <w:rsid w:val="00A2533E"/>
    <w:rsid w:val="00A315F4"/>
    <w:rsid w:val="00A3471F"/>
    <w:rsid w:val="00A455F8"/>
    <w:rsid w:val="00A5113C"/>
    <w:rsid w:val="00A56708"/>
    <w:rsid w:val="00A65BC6"/>
    <w:rsid w:val="00AC1BDB"/>
    <w:rsid w:val="00AC6BB0"/>
    <w:rsid w:val="00AC733E"/>
    <w:rsid w:val="00AC74BB"/>
    <w:rsid w:val="00AC76F5"/>
    <w:rsid w:val="00AE37A6"/>
    <w:rsid w:val="00AE7D19"/>
    <w:rsid w:val="00B112FC"/>
    <w:rsid w:val="00B30381"/>
    <w:rsid w:val="00B559B5"/>
    <w:rsid w:val="00BA7AE0"/>
    <w:rsid w:val="00BE58F4"/>
    <w:rsid w:val="00C11DEE"/>
    <w:rsid w:val="00C12F5E"/>
    <w:rsid w:val="00C16F30"/>
    <w:rsid w:val="00C35A29"/>
    <w:rsid w:val="00C4231E"/>
    <w:rsid w:val="00C92FE2"/>
    <w:rsid w:val="00C95C41"/>
    <w:rsid w:val="00CA1BF2"/>
    <w:rsid w:val="00CD5408"/>
    <w:rsid w:val="00D21B9E"/>
    <w:rsid w:val="00D47825"/>
    <w:rsid w:val="00D8163D"/>
    <w:rsid w:val="00D8317C"/>
    <w:rsid w:val="00D92592"/>
    <w:rsid w:val="00DB052D"/>
    <w:rsid w:val="00DE10AE"/>
    <w:rsid w:val="00E05780"/>
    <w:rsid w:val="00E12C34"/>
    <w:rsid w:val="00E34B45"/>
    <w:rsid w:val="00E871E5"/>
    <w:rsid w:val="00E938F0"/>
    <w:rsid w:val="00F03AE5"/>
    <w:rsid w:val="00F571CD"/>
    <w:rsid w:val="00F83444"/>
    <w:rsid w:val="00FC7CB4"/>
    <w:rsid w:val="00FE0294"/>
    <w:rsid w:val="00FE1EED"/>
    <w:rsid w:val="00FE3727"/>
    <w:rsid w:val="00FF32BB"/>
    <w:rsid w:val="00FF35FF"/>
    <w:rsid w:val="00FF3C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B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159E"/>
    <w:rPr>
      <w:sz w:val="16"/>
      <w:szCs w:val="16"/>
    </w:rPr>
  </w:style>
  <w:style w:type="paragraph" w:styleId="CommentText">
    <w:name w:val="annotation text"/>
    <w:basedOn w:val="Normal"/>
    <w:link w:val="CommentTextChar"/>
    <w:uiPriority w:val="99"/>
    <w:semiHidden/>
    <w:unhideWhenUsed/>
    <w:rsid w:val="002B159E"/>
    <w:rPr>
      <w:sz w:val="20"/>
      <w:szCs w:val="20"/>
    </w:rPr>
  </w:style>
  <w:style w:type="character" w:customStyle="1" w:styleId="CommentTextChar">
    <w:name w:val="Comment Text Char"/>
    <w:link w:val="CommentText"/>
    <w:uiPriority w:val="99"/>
    <w:semiHidden/>
    <w:rsid w:val="002B159E"/>
    <w:rPr>
      <w:lang w:eastAsia="en-US"/>
    </w:rPr>
  </w:style>
  <w:style w:type="paragraph" w:styleId="CommentSubject">
    <w:name w:val="annotation subject"/>
    <w:basedOn w:val="CommentText"/>
    <w:next w:val="CommentText"/>
    <w:link w:val="CommentSubjectChar"/>
    <w:uiPriority w:val="99"/>
    <w:semiHidden/>
    <w:unhideWhenUsed/>
    <w:rsid w:val="002B159E"/>
    <w:rPr>
      <w:b/>
      <w:bCs/>
    </w:rPr>
  </w:style>
  <w:style w:type="character" w:customStyle="1" w:styleId="CommentSubjectChar">
    <w:name w:val="Comment Subject Char"/>
    <w:link w:val="CommentSubject"/>
    <w:uiPriority w:val="99"/>
    <w:semiHidden/>
    <w:rsid w:val="002B159E"/>
    <w:rPr>
      <w:b/>
      <w:bCs/>
      <w:lang w:eastAsia="en-US"/>
    </w:rPr>
  </w:style>
  <w:style w:type="paragraph" w:styleId="BalloonText">
    <w:name w:val="Balloon Text"/>
    <w:basedOn w:val="Normal"/>
    <w:link w:val="BalloonTextChar"/>
    <w:uiPriority w:val="99"/>
    <w:semiHidden/>
    <w:unhideWhenUsed/>
    <w:rsid w:val="002B1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59E"/>
    <w:rPr>
      <w:rFonts w:ascii="Tahoma" w:hAnsi="Tahoma" w:cs="Tahoma"/>
      <w:sz w:val="16"/>
      <w:szCs w:val="16"/>
      <w:lang w:eastAsia="en-US"/>
    </w:rPr>
  </w:style>
  <w:style w:type="paragraph" w:styleId="Header">
    <w:name w:val="header"/>
    <w:basedOn w:val="Normal"/>
    <w:link w:val="HeaderChar"/>
    <w:uiPriority w:val="99"/>
    <w:unhideWhenUsed/>
    <w:rsid w:val="00084A48"/>
    <w:pPr>
      <w:tabs>
        <w:tab w:val="center" w:pos="4536"/>
        <w:tab w:val="right" w:pos="9072"/>
      </w:tabs>
    </w:pPr>
  </w:style>
  <w:style w:type="character" w:customStyle="1" w:styleId="HeaderChar">
    <w:name w:val="Header Char"/>
    <w:link w:val="Header"/>
    <w:uiPriority w:val="99"/>
    <w:rsid w:val="00084A48"/>
    <w:rPr>
      <w:sz w:val="22"/>
      <w:szCs w:val="22"/>
      <w:lang w:eastAsia="en-US"/>
    </w:rPr>
  </w:style>
  <w:style w:type="paragraph" w:styleId="Footer">
    <w:name w:val="footer"/>
    <w:basedOn w:val="Normal"/>
    <w:link w:val="FooterChar"/>
    <w:uiPriority w:val="99"/>
    <w:unhideWhenUsed/>
    <w:rsid w:val="00084A48"/>
    <w:pPr>
      <w:tabs>
        <w:tab w:val="center" w:pos="4536"/>
        <w:tab w:val="right" w:pos="9072"/>
      </w:tabs>
    </w:pPr>
  </w:style>
  <w:style w:type="character" w:customStyle="1" w:styleId="FooterChar">
    <w:name w:val="Footer Char"/>
    <w:link w:val="Footer"/>
    <w:uiPriority w:val="99"/>
    <w:rsid w:val="00084A48"/>
    <w:rPr>
      <w:sz w:val="22"/>
      <w:szCs w:val="22"/>
      <w:lang w:eastAsia="en-US"/>
    </w:rPr>
  </w:style>
  <w:style w:type="paragraph" w:styleId="ListParagraph">
    <w:name w:val="List Paragraph"/>
    <w:basedOn w:val="Normal"/>
    <w:uiPriority w:val="34"/>
    <w:qFormat/>
    <w:rsid w:val="005D4FEA"/>
    <w:pPr>
      <w:ind w:left="720"/>
      <w:contextualSpacing/>
    </w:pPr>
  </w:style>
  <w:style w:type="character" w:styleId="Strong">
    <w:name w:val="Strong"/>
    <w:basedOn w:val="DefaultParagraphFont"/>
    <w:uiPriority w:val="22"/>
    <w:qFormat/>
    <w:rsid w:val="00262646"/>
    <w:rPr>
      <w:b/>
      <w:bCs/>
    </w:rPr>
  </w:style>
  <w:style w:type="paragraph" w:styleId="BodyTextIndent2">
    <w:name w:val="Body Text Indent 2"/>
    <w:basedOn w:val="Normal"/>
    <w:link w:val="BodyTextIndent2Char"/>
    <w:rsid w:val="00FE3727"/>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FE3727"/>
    <w:rPr>
      <w:rFonts w:ascii="Times New Roman" w:eastAsia="Times New Roman" w:hAnsi="Times New Roman"/>
      <w:b/>
      <w:bCs/>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B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159E"/>
    <w:rPr>
      <w:sz w:val="16"/>
      <w:szCs w:val="16"/>
    </w:rPr>
  </w:style>
  <w:style w:type="paragraph" w:styleId="CommentText">
    <w:name w:val="annotation text"/>
    <w:basedOn w:val="Normal"/>
    <w:link w:val="CommentTextChar"/>
    <w:uiPriority w:val="99"/>
    <w:semiHidden/>
    <w:unhideWhenUsed/>
    <w:rsid w:val="002B159E"/>
    <w:rPr>
      <w:sz w:val="20"/>
      <w:szCs w:val="20"/>
    </w:rPr>
  </w:style>
  <w:style w:type="character" w:customStyle="1" w:styleId="CommentTextChar">
    <w:name w:val="Comment Text Char"/>
    <w:link w:val="CommentText"/>
    <w:uiPriority w:val="99"/>
    <w:semiHidden/>
    <w:rsid w:val="002B159E"/>
    <w:rPr>
      <w:lang w:eastAsia="en-US"/>
    </w:rPr>
  </w:style>
  <w:style w:type="paragraph" w:styleId="CommentSubject">
    <w:name w:val="annotation subject"/>
    <w:basedOn w:val="CommentText"/>
    <w:next w:val="CommentText"/>
    <w:link w:val="CommentSubjectChar"/>
    <w:uiPriority w:val="99"/>
    <w:semiHidden/>
    <w:unhideWhenUsed/>
    <w:rsid w:val="002B159E"/>
    <w:rPr>
      <w:b/>
      <w:bCs/>
    </w:rPr>
  </w:style>
  <w:style w:type="character" w:customStyle="1" w:styleId="CommentSubjectChar">
    <w:name w:val="Comment Subject Char"/>
    <w:link w:val="CommentSubject"/>
    <w:uiPriority w:val="99"/>
    <w:semiHidden/>
    <w:rsid w:val="002B159E"/>
    <w:rPr>
      <w:b/>
      <w:bCs/>
      <w:lang w:eastAsia="en-US"/>
    </w:rPr>
  </w:style>
  <w:style w:type="paragraph" w:styleId="BalloonText">
    <w:name w:val="Balloon Text"/>
    <w:basedOn w:val="Normal"/>
    <w:link w:val="BalloonTextChar"/>
    <w:uiPriority w:val="99"/>
    <w:semiHidden/>
    <w:unhideWhenUsed/>
    <w:rsid w:val="002B1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59E"/>
    <w:rPr>
      <w:rFonts w:ascii="Tahoma" w:hAnsi="Tahoma" w:cs="Tahoma"/>
      <w:sz w:val="16"/>
      <w:szCs w:val="16"/>
      <w:lang w:eastAsia="en-US"/>
    </w:rPr>
  </w:style>
  <w:style w:type="paragraph" w:styleId="Header">
    <w:name w:val="header"/>
    <w:basedOn w:val="Normal"/>
    <w:link w:val="HeaderChar"/>
    <w:uiPriority w:val="99"/>
    <w:unhideWhenUsed/>
    <w:rsid w:val="00084A48"/>
    <w:pPr>
      <w:tabs>
        <w:tab w:val="center" w:pos="4536"/>
        <w:tab w:val="right" w:pos="9072"/>
      </w:tabs>
    </w:pPr>
  </w:style>
  <w:style w:type="character" w:customStyle="1" w:styleId="HeaderChar">
    <w:name w:val="Header Char"/>
    <w:link w:val="Header"/>
    <w:uiPriority w:val="99"/>
    <w:rsid w:val="00084A48"/>
    <w:rPr>
      <w:sz w:val="22"/>
      <w:szCs w:val="22"/>
      <w:lang w:eastAsia="en-US"/>
    </w:rPr>
  </w:style>
  <w:style w:type="paragraph" w:styleId="Footer">
    <w:name w:val="footer"/>
    <w:basedOn w:val="Normal"/>
    <w:link w:val="FooterChar"/>
    <w:uiPriority w:val="99"/>
    <w:unhideWhenUsed/>
    <w:rsid w:val="00084A48"/>
    <w:pPr>
      <w:tabs>
        <w:tab w:val="center" w:pos="4536"/>
        <w:tab w:val="right" w:pos="9072"/>
      </w:tabs>
    </w:pPr>
  </w:style>
  <w:style w:type="character" w:customStyle="1" w:styleId="FooterChar">
    <w:name w:val="Footer Char"/>
    <w:link w:val="Footer"/>
    <w:uiPriority w:val="99"/>
    <w:rsid w:val="00084A48"/>
    <w:rPr>
      <w:sz w:val="22"/>
      <w:szCs w:val="22"/>
      <w:lang w:eastAsia="en-US"/>
    </w:rPr>
  </w:style>
  <w:style w:type="paragraph" w:styleId="ListParagraph">
    <w:name w:val="List Paragraph"/>
    <w:basedOn w:val="Normal"/>
    <w:uiPriority w:val="34"/>
    <w:qFormat/>
    <w:rsid w:val="005D4FEA"/>
    <w:pPr>
      <w:ind w:left="720"/>
      <w:contextualSpacing/>
    </w:pPr>
  </w:style>
  <w:style w:type="character" w:styleId="Strong">
    <w:name w:val="Strong"/>
    <w:basedOn w:val="DefaultParagraphFont"/>
    <w:uiPriority w:val="22"/>
    <w:qFormat/>
    <w:rsid w:val="00262646"/>
    <w:rPr>
      <w:b/>
      <w:bCs/>
    </w:rPr>
  </w:style>
  <w:style w:type="paragraph" w:styleId="BodyTextIndent2">
    <w:name w:val="Body Text Indent 2"/>
    <w:basedOn w:val="Normal"/>
    <w:link w:val="BodyTextIndent2Char"/>
    <w:rsid w:val="00FE3727"/>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FE3727"/>
    <w:rPr>
      <w:rFonts w:ascii="Times New Roman" w:eastAsia="Times New Roman" w:hAnsi="Times New Roman"/>
      <w:b/>
      <w:bCs/>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02525">
      <w:bodyDiv w:val="1"/>
      <w:marLeft w:val="0"/>
      <w:marRight w:val="0"/>
      <w:marTop w:val="0"/>
      <w:marBottom w:val="0"/>
      <w:divBdr>
        <w:top w:val="none" w:sz="0" w:space="0" w:color="auto"/>
        <w:left w:val="none" w:sz="0" w:space="0" w:color="auto"/>
        <w:bottom w:val="none" w:sz="0" w:space="0" w:color="auto"/>
        <w:right w:val="none" w:sz="0" w:space="0" w:color="auto"/>
      </w:divBdr>
    </w:div>
    <w:div w:id="17308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MIKSA</dc:creator>
  <cp:lastModifiedBy>eunatoPC</cp:lastModifiedBy>
  <cp:revision>3</cp:revision>
  <cp:lastPrinted>2015-08-24T07:37:00Z</cp:lastPrinted>
  <dcterms:created xsi:type="dcterms:W3CDTF">2016-09-23T07:42:00Z</dcterms:created>
  <dcterms:modified xsi:type="dcterms:W3CDTF">2017-03-10T12:50:00Z</dcterms:modified>
</cp:coreProperties>
</file>