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0D" w:rsidRDefault="00514E0D" w:rsidP="00EA6451">
      <w:pPr>
        <w:rPr>
          <w:rFonts w:ascii="Arial" w:hAnsi="Arial" w:cs="Arial"/>
          <w:sz w:val="20"/>
          <w:szCs w:val="20"/>
        </w:rPr>
      </w:pPr>
    </w:p>
    <w:tbl>
      <w:tblPr>
        <w:tblW w:w="10994" w:type="dxa"/>
        <w:jc w:val="center"/>
        <w:tblInd w:w="-1209" w:type="dxa"/>
        <w:tblLayout w:type="fixed"/>
        <w:tblLook w:val="0000" w:firstRow="0" w:lastRow="0" w:firstColumn="0" w:lastColumn="0" w:noHBand="0" w:noVBand="0"/>
      </w:tblPr>
      <w:tblGrid>
        <w:gridCol w:w="2127"/>
        <w:gridCol w:w="1840"/>
        <w:gridCol w:w="3389"/>
        <w:gridCol w:w="3638"/>
      </w:tblGrid>
      <w:tr w:rsidR="000F4A39" w:rsidRPr="001D3702" w:rsidTr="0049777B">
        <w:trPr>
          <w:trHeight w:val="1125"/>
          <w:jc w:val="center"/>
        </w:trPr>
        <w:tc>
          <w:tcPr>
            <w:tcW w:w="3967" w:type="dxa"/>
            <w:gridSpan w:val="2"/>
            <w:shd w:val="clear" w:color="auto" w:fill="C3E0F2" w:themeFill="accent3" w:themeFillTint="33"/>
          </w:tcPr>
          <w:p w:rsidR="000762FA" w:rsidRDefault="000762FA" w:rsidP="000F4A39">
            <w:pPr>
              <w:jc w:val="both"/>
              <w:rPr>
                <w:sz w:val="24"/>
                <w:szCs w:val="24"/>
              </w:rPr>
            </w:pPr>
          </w:p>
          <w:p w:rsidR="0049777B" w:rsidRPr="0096712D" w:rsidRDefault="0049777B" w:rsidP="0049777B">
            <w:pPr>
              <w:jc w:val="both"/>
              <w:rPr>
                <w:rFonts w:ascii="Sylfaen" w:hAnsi="Sylfaen"/>
                <w:b/>
                <w:szCs w:val="22"/>
              </w:rPr>
            </w:pPr>
            <w:r w:rsidRPr="0096712D">
              <w:rPr>
                <w:rFonts w:ascii="Sylfaen" w:hAnsi="Sylfaen"/>
                <w:sz w:val="32"/>
                <w:szCs w:val="24"/>
              </w:rPr>
              <w:t>Irine javakhadze</w:t>
            </w:r>
          </w:p>
          <w:p w:rsidR="000F4A39" w:rsidRPr="00D847AB" w:rsidRDefault="000F4A39" w:rsidP="00CA5BCD">
            <w:pPr>
              <w:jc w:val="both"/>
              <w:rPr>
                <w:rFonts w:ascii="AcadNusx" w:hAnsi="AcadNusx"/>
                <w:b/>
                <w:sz w:val="22"/>
                <w:szCs w:val="22"/>
                <w:lang w:val="af-ZA"/>
              </w:rPr>
            </w:pPr>
          </w:p>
        </w:tc>
        <w:tc>
          <w:tcPr>
            <w:tcW w:w="3389" w:type="dxa"/>
            <w:shd w:val="clear" w:color="auto" w:fill="C3E0F2" w:themeFill="accent3" w:themeFillTint="33"/>
          </w:tcPr>
          <w:p w:rsidR="000F4A39" w:rsidRDefault="000F4A39" w:rsidP="000F4A39">
            <w:pPr>
              <w:rPr>
                <w:b/>
                <w:w w:val="150"/>
              </w:rPr>
            </w:pPr>
          </w:p>
          <w:p w:rsidR="000F4A39" w:rsidRDefault="000F4A39" w:rsidP="00CA5BCD">
            <w:pPr>
              <w:rPr>
                <w:rFonts w:ascii="AcadNusx" w:hAnsi="AcadNusx"/>
                <w:b/>
                <w:sz w:val="22"/>
                <w:szCs w:val="22"/>
                <w:lang w:val="af-ZA"/>
              </w:rPr>
            </w:pPr>
            <w:r>
              <w:rPr>
                <w:b/>
                <w:w w:val="150"/>
              </w:rPr>
              <w:t xml:space="preserve">  </w:t>
            </w:r>
          </w:p>
        </w:tc>
        <w:tc>
          <w:tcPr>
            <w:tcW w:w="3638" w:type="dxa"/>
            <w:shd w:val="clear" w:color="auto" w:fill="C3E0F2" w:themeFill="accent3" w:themeFillTint="33"/>
          </w:tcPr>
          <w:p w:rsidR="0049777B" w:rsidRPr="00A55E8E" w:rsidRDefault="0049777B" w:rsidP="0049777B">
            <w:pPr>
              <w:jc w:val="both"/>
              <w:rPr>
                <w:rFonts w:cs="Arial"/>
                <w:lang w:val="af-ZA"/>
              </w:rPr>
            </w:pPr>
            <w:r w:rsidRPr="00A55E8E">
              <w:rPr>
                <w:rFonts w:asciiTheme="majorHAnsi" w:hAnsiTheme="majorHAnsi"/>
                <w:sz w:val="24"/>
                <w:szCs w:val="24"/>
                <w:lang w:val="af-ZA"/>
              </w:rPr>
              <w:t>Tbilisi</w:t>
            </w:r>
            <w:r w:rsidRPr="00A55E8E">
              <w:rPr>
                <w:sz w:val="24"/>
                <w:szCs w:val="24"/>
                <w:lang w:val="af-ZA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Bachana Str. </w:t>
            </w:r>
            <w:r w:rsidRPr="00A55E8E">
              <w:rPr>
                <w:sz w:val="24"/>
                <w:szCs w:val="24"/>
                <w:lang w:val="af-ZA"/>
              </w:rPr>
              <w:t>#15</w:t>
            </w:r>
          </w:p>
          <w:p w:rsidR="0049777B" w:rsidRPr="00A55E8E" w:rsidRDefault="0049777B" w:rsidP="0049777B">
            <w:pPr>
              <w:rPr>
                <w:sz w:val="20"/>
                <w:szCs w:val="20"/>
                <w:lang w:val="af-ZA"/>
              </w:rPr>
            </w:pPr>
            <w:r>
              <w:rPr>
                <w:rFonts w:asciiTheme="majorHAnsi" w:hAnsiTheme="majorHAnsi"/>
                <w:sz w:val="22"/>
                <w:szCs w:val="22"/>
                <w:lang w:val="af-ZA"/>
              </w:rPr>
              <w:t xml:space="preserve"> Tel</w:t>
            </w:r>
            <w:r w:rsidRPr="00A55E8E">
              <w:rPr>
                <w:sz w:val="22"/>
                <w:szCs w:val="22"/>
                <w:lang w:val="af-ZA"/>
              </w:rPr>
              <w:t>: (</w:t>
            </w:r>
            <w:r w:rsidRPr="00A55E8E">
              <w:rPr>
                <w:rFonts w:ascii="Arial" w:hAnsi="Arial"/>
                <w:sz w:val="22"/>
                <w:szCs w:val="22"/>
                <w:lang w:val="af-ZA"/>
              </w:rPr>
              <w:t>995 32) 775988</w:t>
            </w:r>
          </w:p>
          <w:p w:rsidR="0049777B" w:rsidRPr="00A55E8E" w:rsidRDefault="0049777B" w:rsidP="0049777B">
            <w:pPr>
              <w:pStyle w:val="Address1"/>
              <w:rPr>
                <w:rFonts w:ascii="LitNusx" w:hAnsi="LitNusx"/>
                <w:sz w:val="20"/>
                <w:lang w:val="af-ZA"/>
              </w:rPr>
            </w:pPr>
            <w:r w:rsidRPr="00A55E8E">
              <w:rPr>
                <w:sz w:val="22"/>
                <w:szCs w:val="22"/>
                <w:lang w:val="af-ZA"/>
              </w:rPr>
              <w:t xml:space="preserve">         (995 99) 239969 </w:t>
            </w:r>
          </w:p>
          <w:p w:rsidR="00894EAF" w:rsidRPr="00CC6C32" w:rsidRDefault="00894EAF" w:rsidP="00894EAF">
            <w:pPr>
              <w:pStyle w:val="Address1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LitNusx" w:hAnsi="LitNusx"/>
                <w:sz w:val="20"/>
              </w:rPr>
              <w:t xml:space="preserve">    </w:t>
            </w:r>
          </w:p>
          <w:p w:rsidR="003E0266" w:rsidRPr="003E0266" w:rsidRDefault="003E0266" w:rsidP="003E0266">
            <w:pPr>
              <w:pStyle w:val="Address1"/>
              <w:rPr>
                <w:rFonts w:ascii="SPLiteraturuly" w:hAnsi="SPLiteraturuly"/>
                <w:b/>
                <w:bCs/>
                <w:sz w:val="20"/>
                <w:lang w:val="af-ZA"/>
              </w:rPr>
            </w:pPr>
            <w:r w:rsidRPr="00111C5D">
              <w:rPr>
                <w:rFonts w:ascii="LitNusx" w:hAnsi="LitNusx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af-ZA"/>
              </w:rPr>
              <w:t xml:space="preserve">                                                                           </w:t>
            </w:r>
            <w:r w:rsidRPr="00862052"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>email: i.javakhadze@mof.ge</w:t>
            </w:r>
          </w:p>
          <w:p w:rsidR="000F4A39" w:rsidRPr="003E0266" w:rsidRDefault="000F4A39" w:rsidP="00E3248F">
            <w:pPr>
              <w:spacing w:line="276" w:lineRule="auto"/>
              <w:jc w:val="both"/>
              <w:rPr>
                <w:rFonts w:ascii="AcadNusx" w:hAnsi="AcadNusx"/>
                <w:b/>
                <w:sz w:val="22"/>
                <w:szCs w:val="22"/>
              </w:rPr>
            </w:pPr>
          </w:p>
        </w:tc>
      </w:tr>
      <w:tr w:rsidR="004610DC" w:rsidRPr="001D3702" w:rsidTr="00124D25">
        <w:trPr>
          <w:trHeight w:val="108"/>
          <w:jc w:val="center"/>
        </w:trPr>
        <w:tc>
          <w:tcPr>
            <w:tcW w:w="10994" w:type="dxa"/>
            <w:gridSpan w:val="4"/>
            <w:shd w:val="clear" w:color="auto" w:fill="FFFFFF" w:themeFill="background1"/>
          </w:tcPr>
          <w:p w:rsidR="004610DC" w:rsidRDefault="004610DC" w:rsidP="00E3248F">
            <w:pPr>
              <w:spacing w:line="276" w:lineRule="auto"/>
              <w:jc w:val="both"/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</w:pPr>
          </w:p>
        </w:tc>
      </w:tr>
      <w:tr w:rsidR="000F6150" w:rsidRPr="001D3702" w:rsidTr="00443228">
        <w:trPr>
          <w:trHeight w:val="468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BF2849" w:rsidRDefault="00BF2849" w:rsidP="00E3248F">
            <w:pPr>
              <w:spacing w:line="276" w:lineRule="auto"/>
              <w:jc w:val="both"/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</w:pPr>
          </w:p>
          <w:p w:rsidR="0049777B" w:rsidRPr="00A55E8E" w:rsidRDefault="0049777B" w:rsidP="0049777B">
            <w:pPr>
              <w:rPr>
                <w:rFonts w:asciiTheme="majorHAnsi" w:hAnsiTheme="majorHAnsi"/>
                <w:b/>
              </w:rPr>
            </w:pPr>
            <w:r w:rsidRPr="00A55E8E">
              <w:rPr>
                <w:rFonts w:asciiTheme="majorHAnsi" w:hAnsiTheme="majorHAnsi"/>
                <w:b/>
              </w:rPr>
              <w:t>Work experience:</w:t>
            </w:r>
          </w:p>
          <w:p w:rsidR="000F6150" w:rsidRDefault="000F6150" w:rsidP="00E3248F">
            <w:pPr>
              <w:spacing w:line="276" w:lineRule="auto"/>
              <w:jc w:val="both"/>
              <w:rPr>
                <w:rFonts w:ascii="AcadNusx" w:hAnsi="AcadNusx"/>
                <w:b/>
                <w:sz w:val="22"/>
                <w:szCs w:val="22"/>
                <w:lang w:val="af-ZA"/>
              </w:rPr>
            </w:pPr>
          </w:p>
        </w:tc>
      </w:tr>
      <w:tr w:rsidR="00E90748" w:rsidRPr="00F77B42" w:rsidTr="00443228">
        <w:trPr>
          <w:trHeight w:val="4770"/>
          <w:jc w:val="center"/>
        </w:trPr>
        <w:tc>
          <w:tcPr>
            <w:tcW w:w="2127" w:type="dxa"/>
          </w:tcPr>
          <w:p w:rsidR="00E90748" w:rsidRPr="001916EC" w:rsidRDefault="00E90748" w:rsidP="00E3248F">
            <w:pPr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8867" w:type="dxa"/>
            <w:gridSpan w:val="3"/>
          </w:tcPr>
          <w:p w:rsidR="0049777B" w:rsidRPr="00E75583" w:rsidRDefault="0049777B" w:rsidP="0049777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 xml:space="preserve">From December 31, 2003 to June 30, 2004 I underwent the probation in the Grants, Humanitarian and Technical Assistance department of the Ministry of Finances of Georgia </w:t>
            </w: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 xml:space="preserve">From September, 2004 to January, 2005 I was invited to the Excise Payers Tax inspection (as the taxpayers passport program coordinator) the Ministry of Finances of Georgia </w:t>
            </w: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>From February, 2005 to July 30, 2007 I worked for the Excise Payers Tax inspection in the taxpayers’ service administration as chief inspector.</w:t>
            </w: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>From July 30, 2007 I worked as a specialist for the state budget administration, budget department of the Ministry of Finances of Georgia.</w:t>
            </w: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>Form February 2008 I worked as a chief specialist for the state budget administration, budget department of the Ministry of Finances of Georgia.</w:t>
            </w: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9777B" w:rsidRPr="00AB0CC4" w:rsidRDefault="0049777B" w:rsidP="0049777B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 xml:space="preserve">Form October 27, 2008 as a chief specialist </w:t>
            </w:r>
            <w:r w:rsidR="00674C58" w:rsidRPr="00674C58">
              <w:rPr>
                <w:rFonts w:ascii="Times New Roman" w:hAnsi="Times New Roman"/>
                <w:sz w:val="24"/>
              </w:rPr>
              <w:t xml:space="preserve">State and consolidated Budget  Formulation Division </w:t>
            </w:r>
            <w:r w:rsidRPr="00AB0CC4">
              <w:rPr>
                <w:rFonts w:ascii="Times New Roman" w:hAnsi="Times New Roman"/>
                <w:sz w:val="24"/>
              </w:rPr>
              <w:t>budget department of the Ministry of Finances of Georgia (</w:t>
            </w:r>
            <w:r w:rsidRPr="0049777B">
              <w:rPr>
                <w:rFonts w:ascii="Times New Roman" w:hAnsi="Times New Roman"/>
                <w:sz w:val="24"/>
              </w:rPr>
              <w:t>coordinate the budget processes of Ministry of Labor, Health  and Social Affairs  of Georgia and Ministry of Corrections of Georgia</w:t>
            </w:r>
            <w:r w:rsidRPr="00AB0CC4">
              <w:rPr>
                <w:rFonts w:ascii="Times New Roman" w:hAnsi="Times New Roman"/>
                <w:sz w:val="24"/>
              </w:rPr>
              <w:t>).</w:t>
            </w:r>
          </w:p>
          <w:p w:rsidR="00641B8D" w:rsidRPr="0049777B" w:rsidRDefault="00641B8D" w:rsidP="00124D25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u w:val="single"/>
              </w:rPr>
            </w:pPr>
          </w:p>
        </w:tc>
      </w:tr>
      <w:tr w:rsidR="00EA6451" w:rsidRPr="00137724" w:rsidTr="002116EA">
        <w:trPr>
          <w:trHeight w:val="585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EA6451" w:rsidRPr="00645815" w:rsidRDefault="00645815" w:rsidP="00645815">
            <w:pPr>
              <w:rPr>
                <w:rFonts w:asciiTheme="majorHAnsi" w:hAnsiTheme="majorHAnsi"/>
                <w:b/>
                <w:sz w:val="24"/>
              </w:rPr>
            </w:pPr>
            <w:r w:rsidRPr="00645815">
              <w:rPr>
                <w:rFonts w:asciiTheme="majorHAnsi" w:hAnsiTheme="majorHAnsi"/>
                <w:b/>
                <w:sz w:val="24"/>
              </w:rPr>
              <w:t>Education:</w:t>
            </w:r>
          </w:p>
        </w:tc>
      </w:tr>
      <w:tr w:rsidR="00BC3CB0" w:rsidRPr="00A54F7A" w:rsidTr="00124D25">
        <w:trPr>
          <w:trHeight w:val="1512"/>
          <w:jc w:val="center"/>
        </w:trPr>
        <w:tc>
          <w:tcPr>
            <w:tcW w:w="2127" w:type="dxa"/>
          </w:tcPr>
          <w:p w:rsidR="00BC3CB0" w:rsidRPr="00FE4D84" w:rsidRDefault="00BC3CB0" w:rsidP="00CB38C1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645815" w:rsidRPr="00006205" w:rsidRDefault="00645815" w:rsidP="00824BE5">
            <w:pPr>
              <w:numPr>
                <w:ilvl w:val="0"/>
                <w:numId w:val="1"/>
              </w:numPr>
              <w:spacing w:line="211" w:lineRule="atLeast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>2013-201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 the Ilia State University, </w:t>
            </w:r>
            <w:r w:rsidRPr="0021783F">
              <w:rPr>
                <w:rFonts w:asciiTheme="majorHAnsi" w:hAnsiTheme="majorHAnsi"/>
                <w:b/>
                <w:sz w:val="24"/>
                <w:szCs w:val="24"/>
                <w:lang w:val="af-ZA"/>
              </w:rPr>
              <w:t>Master degree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>, the faculty of Business;</w:t>
            </w:r>
            <w:r w:rsidRPr="00006205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 </w:t>
            </w:r>
            <w:hyperlink r:id="rId6" w:history="1">
              <w:r w:rsidRPr="00006205">
                <w:rPr>
                  <w:rFonts w:asciiTheme="majorHAnsi" w:hAnsiTheme="majorHAnsi"/>
                  <w:sz w:val="24"/>
                  <w:szCs w:val="24"/>
                  <w:lang w:val="af-ZA"/>
                </w:rPr>
                <w:t>BUSINESS ADMINISTRATION</w:t>
              </w:r>
            </w:hyperlink>
          </w:p>
          <w:p w:rsidR="00645815" w:rsidRPr="00A8682D" w:rsidRDefault="00645815" w:rsidP="00824BE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af-ZA"/>
              </w:rPr>
            </w:pP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2011 July  I studied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>Publ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>ic Finance Management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  At Haag, the course of „National Academy for Finance and Economics“;</w:t>
            </w:r>
          </w:p>
          <w:p w:rsidR="00645815" w:rsidRPr="00A8682D" w:rsidRDefault="00645815" w:rsidP="00824BE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af-ZA"/>
              </w:rPr>
            </w:pP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2011    January I studied  </w:t>
            </w:r>
            <w:r w:rsidRPr="004B79FF">
              <w:rPr>
                <w:rFonts w:ascii="Arial" w:hAnsi="Arial" w:cs="Arial"/>
                <w:b/>
                <w:sz w:val="20"/>
                <w:szCs w:val="20"/>
                <w:lang w:val="af-ZA"/>
              </w:rPr>
              <w:t>(</w:t>
            </w:r>
            <w:r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JVI</w:t>
            </w:r>
            <w:r w:rsidRPr="004B79FF">
              <w:rPr>
                <w:rFonts w:ascii="Arial" w:hAnsi="Arial" w:cs="Arial"/>
                <w:b/>
                <w:sz w:val="20"/>
                <w:szCs w:val="20"/>
                <w:lang w:val="af-ZA"/>
              </w:rPr>
              <w:t>),</w:t>
            </w:r>
            <w:r w:rsidRPr="004B79FF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Macroeconomic Management and Fiscal Polisy course at </w:t>
            </w:r>
            <w:hyperlink r:id="rId7" w:tooltip="Vienna" w:history="1">
              <w:r w:rsidRPr="00A8682D">
                <w:rPr>
                  <w:rFonts w:asciiTheme="majorHAnsi" w:hAnsiTheme="majorHAnsi"/>
                  <w:sz w:val="24"/>
                  <w:szCs w:val="24"/>
                  <w:lang w:val="af-ZA"/>
                </w:rPr>
                <w:t>Vienna</w:t>
              </w:r>
            </w:hyperlink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 organized by IMF;</w:t>
            </w:r>
          </w:p>
          <w:p w:rsidR="00645815" w:rsidRPr="00D310F1" w:rsidRDefault="00645815" w:rsidP="00824BE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af-ZA"/>
              </w:rPr>
            </w:pP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2000-2004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 I graduated Ivane Javakhishvili Tbilisi State U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niversity, </w:t>
            </w:r>
            <w:r w:rsidRPr="0021783F">
              <w:rPr>
                <w:rFonts w:asciiTheme="majorHAnsi" w:hAnsiTheme="majorHAnsi"/>
                <w:b/>
                <w:sz w:val="24"/>
                <w:szCs w:val="24"/>
                <w:lang w:val="af-ZA"/>
              </w:rPr>
              <w:t>Bachelor degree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, the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faculty of 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economics speciality of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>Finance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>s and Banking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>;</w:t>
            </w:r>
          </w:p>
          <w:p w:rsidR="003C0FE8" w:rsidRPr="00A54F7A" w:rsidRDefault="00D310F1" w:rsidP="00824BE5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>200</w:t>
            </w:r>
            <w:r>
              <w:rPr>
                <w:rFonts w:asciiTheme="majorHAnsi" w:hAnsiTheme="majorHAnsi"/>
                <w:sz w:val="24"/>
                <w:szCs w:val="24"/>
                <w:lang w:val="af-ZA"/>
              </w:rPr>
              <w:t xml:space="preserve">0 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I have graduate Tbilisi  #84 state </w:t>
            </w:r>
            <w:r w:rsidRPr="006C7798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Mathematical </w:t>
            </w:r>
            <w:r w:rsidRPr="00A8682D">
              <w:rPr>
                <w:rFonts w:asciiTheme="majorHAnsi" w:hAnsiTheme="majorHAnsi"/>
                <w:sz w:val="24"/>
                <w:szCs w:val="24"/>
                <w:lang w:val="af-ZA"/>
              </w:rPr>
              <w:t xml:space="preserve">school.  </w:t>
            </w:r>
          </w:p>
          <w:p w:rsidR="003C0FE8" w:rsidRPr="00A54F7A" w:rsidRDefault="003C0FE8" w:rsidP="00641B8D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</w:p>
        </w:tc>
      </w:tr>
      <w:tr w:rsidR="00EA6451" w:rsidRPr="00A54F7A" w:rsidTr="005615E8">
        <w:trPr>
          <w:trHeight w:val="342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EA6451" w:rsidRPr="00E760DF" w:rsidRDefault="003D1B23" w:rsidP="003D1B23">
            <w:pPr>
              <w:rPr>
                <w:rFonts w:asciiTheme="majorHAnsi" w:hAnsiTheme="majorHAnsi"/>
                <w:sz w:val="24"/>
              </w:rPr>
            </w:pPr>
            <w:r w:rsidRPr="003D1B23">
              <w:rPr>
                <w:rFonts w:asciiTheme="majorHAnsi" w:hAnsiTheme="majorHAnsi"/>
                <w:b/>
                <w:sz w:val="24"/>
              </w:rPr>
              <w:t>Participation in conferences and seminars</w:t>
            </w:r>
          </w:p>
        </w:tc>
      </w:tr>
      <w:tr w:rsidR="00BC3CB0" w:rsidRPr="000B3ADD" w:rsidTr="00443228">
        <w:trPr>
          <w:trHeight w:val="1917"/>
          <w:jc w:val="center"/>
        </w:trPr>
        <w:tc>
          <w:tcPr>
            <w:tcW w:w="2127" w:type="dxa"/>
          </w:tcPr>
          <w:p w:rsidR="00BC3CB0" w:rsidRPr="00B60C7B" w:rsidRDefault="00BC3CB0" w:rsidP="00BC3CB0">
            <w:pPr>
              <w:pStyle w:val="SectionTitle"/>
              <w:rPr>
                <w:rFonts w:asciiTheme="majorHAnsi" w:hAnsiTheme="majorHAnsi"/>
                <w:b w:val="0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8867" w:type="dxa"/>
            <w:gridSpan w:val="3"/>
          </w:tcPr>
          <w:p w:rsidR="00B60C7B" w:rsidRPr="00B60C7B" w:rsidRDefault="00B60C7B" w:rsidP="00B60C7B">
            <w:p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2017 Year April Vilnius, Lithuania. the First Regional Harm Reduction Conference for the region of Central and Eastern Europe and Central Asia (CEECA) Harm Reduction in the new environment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DB4E13" w:rsidRPr="00B60C7B" w:rsidRDefault="00DB4E13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8582A">
              <w:rPr>
                <w:rFonts w:asciiTheme="majorHAnsi" w:hAnsiTheme="majorHAnsi"/>
                <w:sz w:val="24"/>
                <w:szCs w:val="24"/>
              </w:rPr>
              <w:t>2016 Year</w:t>
            </w:r>
            <w:r w:rsidRPr="00B60C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October </w:t>
            </w:r>
            <w:r w:rsidRPr="00DB4E13">
              <w:rPr>
                <w:rFonts w:asciiTheme="majorHAnsi" w:hAnsiTheme="majorHAnsi"/>
                <w:sz w:val="24"/>
                <w:szCs w:val="24"/>
              </w:rPr>
              <w:t xml:space="preserve"> Spain Barcelona, </w:t>
            </w:r>
            <w:r>
              <w:rPr>
                <w:rFonts w:asciiTheme="majorHAnsi" w:hAnsiTheme="majorHAnsi"/>
                <w:sz w:val="24"/>
                <w:szCs w:val="24"/>
              </w:rPr>
              <w:t>WHO-s</w:t>
            </w:r>
            <w:r w:rsidRPr="00DB4E13">
              <w:rPr>
                <w:rFonts w:asciiTheme="majorHAnsi" w:hAnsiTheme="majorHAnsi"/>
                <w:sz w:val="24"/>
                <w:szCs w:val="24"/>
              </w:rPr>
              <w:t xml:space="preserve"> course "Health Systems Strengthening for Improved TB Prevention and Care"</w:t>
            </w:r>
          </w:p>
          <w:p w:rsidR="005615E8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8582A">
              <w:rPr>
                <w:rFonts w:asciiTheme="majorHAnsi" w:hAnsiTheme="majorHAnsi"/>
                <w:sz w:val="24"/>
                <w:szCs w:val="24"/>
              </w:rPr>
              <w:t xml:space="preserve">2016 </w:t>
            </w:r>
            <w:r w:rsidR="00307854" w:rsidRPr="0098582A">
              <w:rPr>
                <w:rFonts w:asciiTheme="majorHAnsi" w:hAnsiTheme="majorHAnsi"/>
                <w:sz w:val="24"/>
                <w:szCs w:val="24"/>
              </w:rPr>
              <w:t>Year July</w:t>
            </w:r>
            <w:r w:rsidR="005967D3">
              <w:rPr>
                <w:rFonts w:asciiTheme="majorHAnsi" w:hAnsiTheme="majorHAnsi"/>
                <w:sz w:val="24"/>
                <w:szCs w:val="24"/>
              </w:rPr>
              <w:t xml:space="preserve"> Nepal, Kathmandu </w:t>
            </w:r>
            <w:r w:rsidRPr="0098582A">
              <w:rPr>
                <w:rFonts w:asciiTheme="majorHAnsi" w:hAnsiTheme="majorHAnsi"/>
                <w:sz w:val="24"/>
                <w:szCs w:val="24"/>
              </w:rPr>
              <w:t>„Sustainable immunization Financing (SIF) Colloquium III“.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2016 Year February Austria, Vienna “Regional Meeting on the Implementation of the Investment Approach in EECA”;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2014     Riga Latvia  „Social Entrepreneurship“, The Soros Foundation Latvia“;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2013     „Immunization Financing, Vaccine Procurement and Regulations Workshop“ Dubrovnik, Croatia, organized by WHO;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2013     „Cooperative Agreement Management“  CDC;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2008      Capital budgets organized by Department of the Treasury of The The United States of America;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2007   Government Finance Statistics 2001-Budget Classification (GFS 2001);</w:t>
            </w:r>
          </w:p>
          <w:p w:rsidR="005615E8" w:rsidRPr="00B60C7B" w:rsidRDefault="005615E8" w:rsidP="005615E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2004  research conferences organized by  Ivane Javakhishvili Tbilisi State University</w:t>
            </w:r>
          </w:p>
          <w:p w:rsidR="00443228" w:rsidRPr="00B60C7B" w:rsidRDefault="005615E8" w:rsidP="00641B8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60C7B">
              <w:rPr>
                <w:rFonts w:asciiTheme="majorHAnsi" w:hAnsiTheme="majorHAnsi"/>
                <w:sz w:val="24"/>
                <w:szCs w:val="24"/>
              </w:rPr>
              <w:t>From time to time I also participate in various conferences about health and social issues.</w:t>
            </w:r>
          </w:p>
        </w:tc>
      </w:tr>
      <w:tr w:rsidR="00EA6451" w:rsidRPr="000B3ADD" w:rsidTr="00443228">
        <w:trPr>
          <w:trHeight w:val="513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EA6451" w:rsidRPr="00EA6451" w:rsidRDefault="005615E8" w:rsidP="00EA6451">
            <w:pPr>
              <w:pStyle w:val="SectionTitle"/>
              <w:rPr>
                <w:rFonts w:cs="Arial"/>
                <w:b w:val="0"/>
              </w:rPr>
            </w:pPr>
            <w:r w:rsidRPr="005615E8">
              <w:rPr>
                <w:rFonts w:asciiTheme="majorHAnsi" w:hAnsiTheme="majorHAnsi"/>
                <w:spacing w:val="0"/>
                <w:sz w:val="24"/>
                <w:szCs w:val="28"/>
                <w:lang w:val="en-US"/>
              </w:rPr>
              <w:t>Additional information:</w:t>
            </w:r>
          </w:p>
        </w:tc>
      </w:tr>
      <w:tr w:rsidR="00EA6451" w:rsidRPr="003578DC" w:rsidTr="009A31BE">
        <w:trPr>
          <w:trHeight w:val="450"/>
          <w:jc w:val="center"/>
        </w:trPr>
        <w:tc>
          <w:tcPr>
            <w:tcW w:w="2127" w:type="dxa"/>
          </w:tcPr>
          <w:p w:rsidR="00EA6451" w:rsidRPr="00BC3CB0" w:rsidRDefault="00EA6451" w:rsidP="00BC3CB0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113F8E" w:rsidRDefault="003D1B23" w:rsidP="00113F8E">
            <w:pPr>
              <w:jc w:val="both"/>
              <w:rPr>
                <w:rFonts w:ascii="Sylfaen" w:hAnsi="Sylfaen"/>
                <w:sz w:val="24"/>
                <w:lang w:val="ka-GE"/>
              </w:rPr>
            </w:pPr>
            <w:r w:rsidRPr="00AD6FC4">
              <w:rPr>
                <w:rFonts w:ascii="Times New Roman" w:hAnsi="Times New Roman"/>
                <w:b/>
                <w:sz w:val="24"/>
              </w:rPr>
              <w:t>Invited lecturer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Pr="00AB0CC4">
              <w:rPr>
                <w:rFonts w:ascii="Times New Roman" w:hAnsi="Times New Roman"/>
                <w:sz w:val="24"/>
              </w:rPr>
              <w:t>Ilia State University School of Business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B0CC4">
              <w:rPr>
                <w:rFonts w:ascii="Times New Roman" w:hAnsi="Times New Roman"/>
                <w:sz w:val="24"/>
              </w:rPr>
              <w:t>course: “Georgian Budget System and Processes”</w:t>
            </w:r>
          </w:p>
          <w:p w:rsidR="00DB4E13" w:rsidRPr="009C4B58" w:rsidRDefault="00DB4E13" w:rsidP="00113F8E">
            <w:pPr>
              <w:jc w:val="both"/>
              <w:rPr>
                <w:rFonts w:ascii="Sylfaen" w:hAnsi="Sylfaen"/>
                <w:sz w:val="24"/>
                <w:lang w:val="ka-GE"/>
              </w:rPr>
            </w:pPr>
            <w:r w:rsidRPr="009C4B58">
              <w:rPr>
                <w:rFonts w:ascii="Times New Roman" w:hAnsi="Times New Roman"/>
                <w:b/>
                <w:sz w:val="24"/>
              </w:rPr>
              <w:t>Invited lecturer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="009C4B58" w:rsidRPr="009C4B58">
              <w:rPr>
                <w:rFonts w:ascii="Times New Roman" w:hAnsi="Times New Roman"/>
                <w:sz w:val="24"/>
              </w:rPr>
              <w:t>Business and Technology University - BTU" (Silicon Valley Tbilisi)</w:t>
            </w:r>
            <w:r w:rsidR="009C4B58">
              <w:rPr>
                <w:rFonts w:ascii="Times New Roman" w:hAnsi="Times New Roman"/>
                <w:sz w:val="24"/>
              </w:rPr>
              <w:t xml:space="preserve"> </w:t>
            </w:r>
            <w:r w:rsidR="009C4B58" w:rsidRPr="009C4B58">
              <w:rPr>
                <w:rFonts w:ascii="Times New Roman" w:hAnsi="Times New Roman"/>
                <w:sz w:val="24"/>
              </w:rPr>
              <w:t>„Tax accounting“</w:t>
            </w:r>
          </w:p>
          <w:p w:rsidR="00113F8E" w:rsidRPr="00113F8E" w:rsidRDefault="00113F8E" w:rsidP="00113F8E">
            <w:pPr>
              <w:jc w:val="both"/>
              <w:rPr>
                <w:rFonts w:ascii="Sylfaen" w:hAnsi="Sylfae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 xml:space="preserve">From 2016 till present - CCM countries coordination </w:t>
            </w:r>
            <w:r w:rsidRPr="00AD6FC4">
              <w:rPr>
                <w:rFonts w:ascii="Times New Roman" w:hAnsi="Times New Roman"/>
                <w:b/>
                <w:sz w:val="24"/>
              </w:rPr>
              <w:t>board member</w:t>
            </w:r>
            <w:r w:rsidRPr="00AB0CC4">
              <w:rPr>
                <w:rFonts w:ascii="Times New Roman" w:hAnsi="Times New Roman"/>
                <w:sz w:val="24"/>
              </w:rPr>
              <w:t xml:space="preserve"> (measures against HIV/AIDS, tuberculosis and Malaya in Georgia)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13F8E" w:rsidRPr="00AB0CC4" w:rsidRDefault="00113F8E" w:rsidP="00113F8E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>From 2015 till present  - International referred</w:t>
            </w:r>
            <w:r>
              <w:rPr>
                <w:rFonts w:ascii="Times New Roman" w:hAnsi="Times New Roman"/>
                <w:sz w:val="24"/>
              </w:rPr>
              <w:t xml:space="preserve"> Scientific-practical magazine </w:t>
            </w:r>
            <w:r>
              <w:rPr>
                <w:rFonts w:ascii="Sylfaen" w:hAnsi="Sylfaen"/>
                <w:sz w:val="24"/>
                <w:lang w:val="ka-GE"/>
              </w:rPr>
              <w:t>„</w:t>
            </w:r>
            <w:r>
              <w:rPr>
                <w:rFonts w:ascii="Times New Roman" w:hAnsi="Times New Roman"/>
                <w:sz w:val="24"/>
              </w:rPr>
              <w:t>Forest Informer</w:t>
            </w:r>
            <w:r>
              <w:rPr>
                <w:rFonts w:ascii="Sylfaen" w:hAnsi="Sylfaen"/>
                <w:sz w:val="24"/>
                <w:lang w:val="ka-GE"/>
              </w:rPr>
              <w:t>“</w:t>
            </w:r>
            <w:r w:rsidRPr="00AB0CC4">
              <w:rPr>
                <w:rFonts w:ascii="Times New Roman" w:hAnsi="Times New Roman"/>
                <w:sz w:val="24"/>
              </w:rPr>
              <w:t xml:space="preserve">, </w:t>
            </w:r>
            <w:r w:rsidRPr="00AD6FC4">
              <w:rPr>
                <w:rFonts w:ascii="Times New Roman" w:hAnsi="Times New Roman"/>
                <w:b/>
                <w:sz w:val="24"/>
              </w:rPr>
              <w:t>member of editors board</w:t>
            </w:r>
            <w:r w:rsidRPr="00AB0CC4">
              <w:rPr>
                <w:rFonts w:ascii="Times New Roman" w:hAnsi="Times New Roman"/>
                <w:sz w:val="24"/>
              </w:rPr>
              <w:t>, author of articles</w:t>
            </w:r>
          </w:p>
          <w:p w:rsidR="00113F8E" w:rsidRPr="00AD6FC4" w:rsidRDefault="00AD6FC4" w:rsidP="00113F8E">
            <w:pPr>
              <w:jc w:val="both"/>
              <w:rPr>
                <w:rFonts w:ascii="Sylfaen" w:hAnsi="Sylfaen"/>
                <w:sz w:val="24"/>
                <w:lang w:val="ka-GE"/>
              </w:rPr>
            </w:pPr>
            <w:r w:rsidRPr="00AD6FC4">
              <w:rPr>
                <w:rFonts w:ascii="Times New Roman" w:hAnsi="Times New Roman"/>
                <w:b/>
                <w:sz w:val="24"/>
              </w:rPr>
              <w:t>2014 –</w:t>
            </w:r>
            <w:bookmarkStart w:id="0" w:name="_GoBack"/>
            <w:bookmarkEnd w:id="0"/>
            <w:r w:rsidRPr="00AD6FC4">
              <w:rPr>
                <w:rFonts w:ascii="Times New Roman" w:hAnsi="Times New Roman"/>
                <w:b/>
                <w:sz w:val="24"/>
              </w:rPr>
              <w:t xml:space="preserve"> LEPL</w:t>
            </w:r>
            <w:r w:rsidRPr="00AB0CC4">
              <w:rPr>
                <w:rFonts w:ascii="Times New Roman" w:hAnsi="Times New Roman"/>
                <w:sz w:val="24"/>
              </w:rPr>
              <w:t xml:space="preserve"> L. Sakvarelidze Diseases Control and public Health National center project “Drinking water and sanitary conditions analyses and Assessment (GLASS)” </w:t>
            </w:r>
            <w:r w:rsidR="00405654" w:rsidRPr="00AD6FC4">
              <w:rPr>
                <w:rFonts w:ascii="Times New Roman" w:hAnsi="Times New Roman"/>
                <w:b/>
                <w:sz w:val="24"/>
              </w:rPr>
              <w:t>consultant</w:t>
            </w:r>
            <w:r w:rsidR="00405654">
              <w:rPr>
                <w:rFonts w:ascii="Times New Roman" w:hAnsi="Times New Roman"/>
                <w:b/>
                <w:sz w:val="24"/>
              </w:rPr>
              <w:t>;</w:t>
            </w:r>
            <w:r w:rsidR="00405654" w:rsidRPr="00AD6FC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D6FC4">
              <w:rPr>
                <w:rFonts w:ascii="Times New Roman" w:hAnsi="Times New Roman"/>
                <w:b/>
                <w:sz w:val="24"/>
              </w:rPr>
              <w:t>2012 - LEPL</w:t>
            </w:r>
            <w:r w:rsidRPr="00AB0CC4">
              <w:rPr>
                <w:rFonts w:ascii="Times New Roman" w:hAnsi="Times New Roman"/>
                <w:sz w:val="24"/>
              </w:rPr>
              <w:t xml:space="preserve"> L. Sakvarelidze Diseases Control and public Health National center project “Flue epid-surveillance network stability maintenance and reactions on seasonal pandemic flu by the national healthcare institutions abroad from the USA” </w:t>
            </w:r>
            <w:r w:rsidRPr="00AD6FC4">
              <w:rPr>
                <w:rFonts w:ascii="Times New Roman" w:hAnsi="Times New Roman"/>
                <w:b/>
                <w:sz w:val="24"/>
              </w:rPr>
              <w:t xml:space="preserve">consultant </w:t>
            </w:r>
          </w:p>
          <w:p w:rsidR="00AD6FC4" w:rsidRPr="00AD6FC4" w:rsidRDefault="00AD6FC4" w:rsidP="00AD6FC4">
            <w:pPr>
              <w:jc w:val="both"/>
              <w:rPr>
                <w:rFonts w:ascii="Times New Roman" w:hAnsi="Times New Roman"/>
                <w:sz w:val="24"/>
              </w:rPr>
            </w:pPr>
            <w:r w:rsidRPr="00AD6FC4">
              <w:rPr>
                <w:rFonts w:ascii="Times New Roman" w:hAnsi="Times New Roman"/>
                <w:b/>
                <w:sz w:val="24"/>
              </w:rPr>
              <w:t>2010</w:t>
            </w:r>
            <w:r w:rsidRPr="00AB0CC4">
              <w:rPr>
                <w:rFonts w:ascii="Times New Roman" w:hAnsi="Times New Roman"/>
                <w:sz w:val="24"/>
              </w:rPr>
              <w:t xml:space="preserve"> Academy of the Georgian Ministry of Finances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AD6FC4">
              <w:rPr>
                <w:rFonts w:ascii="Times New Roman" w:hAnsi="Times New Roman"/>
                <w:b/>
                <w:sz w:val="24"/>
              </w:rPr>
              <w:t>invited trained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AB0CC4">
              <w:rPr>
                <w:rFonts w:ascii="Times New Roman" w:hAnsi="Times New Roman"/>
                <w:sz w:val="24"/>
              </w:rPr>
              <w:t>theme: Electronic budgeting</w:t>
            </w:r>
          </w:p>
          <w:p w:rsidR="00297134" w:rsidRPr="00AB0CC4" w:rsidRDefault="00297134" w:rsidP="00297134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>I am fluent in German (C1), English (Upper Intermediate) and Russian languages.</w:t>
            </w:r>
          </w:p>
          <w:p w:rsidR="00297134" w:rsidRPr="00AB0CC4" w:rsidRDefault="00297134" w:rsidP="00297134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>Computer programs: Windows, MS Word, Excel, Access</w:t>
            </w:r>
          </w:p>
          <w:p w:rsidR="00172C81" w:rsidRPr="00297134" w:rsidRDefault="00172C81" w:rsidP="00172C81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43756B" w:rsidRPr="00BC3CB0" w:rsidTr="00443228">
        <w:trPr>
          <w:trHeight w:val="468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43756B" w:rsidRPr="00297134" w:rsidRDefault="00297134" w:rsidP="0043756B">
            <w:pPr>
              <w:pStyle w:val="SectionTitle"/>
              <w:rPr>
                <w:rFonts w:ascii="Sylfaen" w:hAnsi="Sylfaen"/>
                <w:lang w:val="ka-GE"/>
              </w:rPr>
            </w:pPr>
            <w:r w:rsidRPr="00AB0CC4">
              <w:rPr>
                <w:rFonts w:ascii="Times New Roman" w:hAnsi="Times New Roman"/>
                <w:b w:val="0"/>
                <w:sz w:val="24"/>
              </w:rPr>
              <w:t>Personal data</w:t>
            </w:r>
            <w:r>
              <w:rPr>
                <w:rFonts w:ascii="Sylfaen" w:hAnsi="Sylfaen"/>
                <w:b w:val="0"/>
                <w:sz w:val="24"/>
                <w:lang w:val="ka-GE"/>
              </w:rPr>
              <w:t>:</w:t>
            </w:r>
          </w:p>
        </w:tc>
      </w:tr>
      <w:tr w:rsidR="00270907" w:rsidRPr="00BC3CB0" w:rsidTr="00443228">
        <w:trPr>
          <w:trHeight w:val="1125"/>
          <w:jc w:val="center"/>
        </w:trPr>
        <w:tc>
          <w:tcPr>
            <w:tcW w:w="2127" w:type="dxa"/>
          </w:tcPr>
          <w:p w:rsidR="00270907" w:rsidRDefault="00270907" w:rsidP="00BC3CB0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297134" w:rsidRPr="00AB0CC4" w:rsidRDefault="00297134" w:rsidP="00297134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 xml:space="preserve">DOB: 07.03.1983 </w:t>
            </w:r>
          </w:p>
          <w:p w:rsidR="00297134" w:rsidRPr="00AB0CC4" w:rsidRDefault="00297134" w:rsidP="00297134">
            <w:pPr>
              <w:jc w:val="both"/>
              <w:rPr>
                <w:rFonts w:ascii="Times New Roman" w:hAnsi="Times New Roman"/>
                <w:sz w:val="24"/>
              </w:rPr>
            </w:pPr>
            <w:r w:rsidRPr="00AB0CC4">
              <w:rPr>
                <w:rFonts w:ascii="Times New Roman" w:hAnsi="Times New Roman"/>
                <w:sz w:val="24"/>
              </w:rPr>
              <w:t xml:space="preserve">Place of birth: Tbilisi </w:t>
            </w:r>
          </w:p>
          <w:p w:rsidR="00270907" w:rsidRPr="00522657" w:rsidRDefault="00297134" w:rsidP="00297134">
            <w:pPr>
              <w:jc w:val="both"/>
              <w:rPr>
                <w:rFonts w:ascii="AcadNusx" w:hAnsi="AcadNusx" w:cs="Arial"/>
                <w:b/>
                <w:sz w:val="22"/>
                <w:szCs w:val="22"/>
                <w:lang w:val="af-ZA"/>
              </w:rPr>
            </w:pPr>
            <w:r w:rsidRPr="00AB0CC4">
              <w:rPr>
                <w:rFonts w:ascii="Times New Roman" w:hAnsi="Times New Roman"/>
                <w:sz w:val="24"/>
              </w:rPr>
              <w:t>Marital status: single</w:t>
            </w:r>
          </w:p>
        </w:tc>
      </w:tr>
    </w:tbl>
    <w:p w:rsidR="000C1FE5" w:rsidRPr="000C1FE5" w:rsidRDefault="000C1FE5" w:rsidP="00514E0D">
      <w:pPr>
        <w:jc w:val="both"/>
        <w:rPr>
          <w:rFonts w:cs="Arial"/>
        </w:rPr>
      </w:pPr>
    </w:p>
    <w:sectPr w:rsidR="000C1FE5" w:rsidRPr="000C1FE5" w:rsidSect="00CC6C32">
      <w:pgSz w:w="12240" w:h="15840"/>
      <w:pgMar w:top="450" w:right="99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_Light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PLiteraturuly">
    <w:altName w:val="SPLiteraturuly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A6208"/>
    <w:multiLevelType w:val="multilevel"/>
    <w:tmpl w:val="544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14E0D"/>
    <w:rsid w:val="00002528"/>
    <w:rsid w:val="00002CB5"/>
    <w:rsid w:val="00041ACB"/>
    <w:rsid w:val="00061F37"/>
    <w:rsid w:val="000762FA"/>
    <w:rsid w:val="00091CE8"/>
    <w:rsid w:val="000965CD"/>
    <w:rsid w:val="000B3ADD"/>
    <w:rsid w:val="000C0B8C"/>
    <w:rsid w:val="000C1FE5"/>
    <w:rsid w:val="000F4A39"/>
    <w:rsid w:val="000F6150"/>
    <w:rsid w:val="00110F2B"/>
    <w:rsid w:val="00111C5D"/>
    <w:rsid w:val="00113F8E"/>
    <w:rsid w:val="00122CCA"/>
    <w:rsid w:val="00124D25"/>
    <w:rsid w:val="00134834"/>
    <w:rsid w:val="00137724"/>
    <w:rsid w:val="0015399A"/>
    <w:rsid w:val="00154D01"/>
    <w:rsid w:val="00172C81"/>
    <w:rsid w:val="00193057"/>
    <w:rsid w:val="00193539"/>
    <w:rsid w:val="001A73A4"/>
    <w:rsid w:val="001B6F6E"/>
    <w:rsid w:val="001F798F"/>
    <w:rsid w:val="00201316"/>
    <w:rsid w:val="00203445"/>
    <w:rsid w:val="002116EA"/>
    <w:rsid w:val="0021783F"/>
    <w:rsid w:val="00226DAB"/>
    <w:rsid w:val="00265899"/>
    <w:rsid w:val="00270907"/>
    <w:rsid w:val="00291939"/>
    <w:rsid w:val="00297134"/>
    <w:rsid w:val="002D18A0"/>
    <w:rsid w:val="002D3A8C"/>
    <w:rsid w:val="002E3B17"/>
    <w:rsid w:val="002E7006"/>
    <w:rsid w:val="002F02CB"/>
    <w:rsid w:val="00307854"/>
    <w:rsid w:val="00326F51"/>
    <w:rsid w:val="00332761"/>
    <w:rsid w:val="003353A6"/>
    <w:rsid w:val="003441EE"/>
    <w:rsid w:val="003578DC"/>
    <w:rsid w:val="003616CA"/>
    <w:rsid w:val="00365E30"/>
    <w:rsid w:val="003C0FE8"/>
    <w:rsid w:val="003D1B23"/>
    <w:rsid w:val="003E0266"/>
    <w:rsid w:val="003E2D76"/>
    <w:rsid w:val="003F6078"/>
    <w:rsid w:val="00405654"/>
    <w:rsid w:val="00407404"/>
    <w:rsid w:val="00427243"/>
    <w:rsid w:val="004352A3"/>
    <w:rsid w:val="0043756B"/>
    <w:rsid w:val="00443228"/>
    <w:rsid w:val="004610DC"/>
    <w:rsid w:val="00484D89"/>
    <w:rsid w:val="00490226"/>
    <w:rsid w:val="0049777B"/>
    <w:rsid w:val="004A3429"/>
    <w:rsid w:val="004B79FF"/>
    <w:rsid w:val="004C58DF"/>
    <w:rsid w:val="00514E0D"/>
    <w:rsid w:val="005172C3"/>
    <w:rsid w:val="00522657"/>
    <w:rsid w:val="00557702"/>
    <w:rsid w:val="005615E8"/>
    <w:rsid w:val="00574C11"/>
    <w:rsid w:val="005967D3"/>
    <w:rsid w:val="005D7518"/>
    <w:rsid w:val="005E5B7F"/>
    <w:rsid w:val="00607A04"/>
    <w:rsid w:val="00641B8D"/>
    <w:rsid w:val="0064379A"/>
    <w:rsid w:val="00645815"/>
    <w:rsid w:val="00652E47"/>
    <w:rsid w:val="00657C6A"/>
    <w:rsid w:val="00665C28"/>
    <w:rsid w:val="00674C58"/>
    <w:rsid w:val="006773F2"/>
    <w:rsid w:val="00677619"/>
    <w:rsid w:val="00687EF9"/>
    <w:rsid w:val="006E5A3E"/>
    <w:rsid w:val="006E6C51"/>
    <w:rsid w:val="006F4CFB"/>
    <w:rsid w:val="00725C81"/>
    <w:rsid w:val="00742CF8"/>
    <w:rsid w:val="00744B5C"/>
    <w:rsid w:val="00760078"/>
    <w:rsid w:val="00797CB0"/>
    <w:rsid w:val="007C76CB"/>
    <w:rsid w:val="007E4288"/>
    <w:rsid w:val="00824BE5"/>
    <w:rsid w:val="00847917"/>
    <w:rsid w:val="00862052"/>
    <w:rsid w:val="00863DBC"/>
    <w:rsid w:val="00873A64"/>
    <w:rsid w:val="00894EAF"/>
    <w:rsid w:val="008A6042"/>
    <w:rsid w:val="008E1C91"/>
    <w:rsid w:val="00902DA0"/>
    <w:rsid w:val="0094002E"/>
    <w:rsid w:val="00942BF1"/>
    <w:rsid w:val="00953C7C"/>
    <w:rsid w:val="0096015E"/>
    <w:rsid w:val="00982D75"/>
    <w:rsid w:val="009A31BE"/>
    <w:rsid w:val="009B7E17"/>
    <w:rsid w:val="009C4B58"/>
    <w:rsid w:val="009D0BE6"/>
    <w:rsid w:val="009D6FB0"/>
    <w:rsid w:val="009D7A6A"/>
    <w:rsid w:val="00A042FB"/>
    <w:rsid w:val="00A235DD"/>
    <w:rsid w:val="00A2360F"/>
    <w:rsid w:val="00A54F7A"/>
    <w:rsid w:val="00A94FFD"/>
    <w:rsid w:val="00AD6FC4"/>
    <w:rsid w:val="00B23F28"/>
    <w:rsid w:val="00B60C7B"/>
    <w:rsid w:val="00B85E27"/>
    <w:rsid w:val="00B92B00"/>
    <w:rsid w:val="00B96E4C"/>
    <w:rsid w:val="00BC3CB0"/>
    <w:rsid w:val="00BE1917"/>
    <w:rsid w:val="00BE2727"/>
    <w:rsid w:val="00BF20AD"/>
    <w:rsid w:val="00BF2849"/>
    <w:rsid w:val="00BF6649"/>
    <w:rsid w:val="00C23B7F"/>
    <w:rsid w:val="00C5294C"/>
    <w:rsid w:val="00C52EF6"/>
    <w:rsid w:val="00C53818"/>
    <w:rsid w:val="00C539F5"/>
    <w:rsid w:val="00C764A8"/>
    <w:rsid w:val="00C82137"/>
    <w:rsid w:val="00CA09F9"/>
    <w:rsid w:val="00CA318F"/>
    <w:rsid w:val="00CA5BCD"/>
    <w:rsid w:val="00CA5D11"/>
    <w:rsid w:val="00CB38C1"/>
    <w:rsid w:val="00CC6C32"/>
    <w:rsid w:val="00D310F1"/>
    <w:rsid w:val="00D847AB"/>
    <w:rsid w:val="00D878C0"/>
    <w:rsid w:val="00D920A4"/>
    <w:rsid w:val="00DA0E6F"/>
    <w:rsid w:val="00DA0FAB"/>
    <w:rsid w:val="00DA2FB7"/>
    <w:rsid w:val="00DA557C"/>
    <w:rsid w:val="00DA642E"/>
    <w:rsid w:val="00DB4E13"/>
    <w:rsid w:val="00DE5B0D"/>
    <w:rsid w:val="00E458F5"/>
    <w:rsid w:val="00E71EC5"/>
    <w:rsid w:val="00E75583"/>
    <w:rsid w:val="00E760DF"/>
    <w:rsid w:val="00E90748"/>
    <w:rsid w:val="00E95769"/>
    <w:rsid w:val="00E97759"/>
    <w:rsid w:val="00EA6451"/>
    <w:rsid w:val="00F01151"/>
    <w:rsid w:val="00F20C18"/>
    <w:rsid w:val="00F77B42"/>
    <w:rsid w:val="00F8294D"/>
    <w:rsid w:val="00FC0355"/>
    <w:rsid w:val="00FD44A9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243"/>
    <w:rPr>
      <w:rFonts w:ascii="LitNusx" w:hAnsi="LitNusx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4E0D"/>
    <w:rPr>
      <w:color w:val="0000FF"/>
      <w:u w:val="single"/>
    </w:rPr>
  </w:style>
  <w:style w:type="paragraph" w:customStyle="1" w:styleId="Address1">
    <w:name w:val="Address 1"/>
    <w:basedOn w:val="Normal"/>
    <w:rsid w:val="00111C5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SectionTitle">
    <w:name w:val="Section Title"/>
    <w:basedOn w:val="Normal"/>
    <w:next w:val="Normal"/>
    <w:autoRedefine/>
    <w:rsid w:val="00BC3CB0"/>
    <w:pPr>
      <w:spacing w:before="220" w:line="276" w:lineRule="auto"/>
    </w:pPr>
    <w:rPr>
      <w:rFonts w:ascii="AcadNusx" w:hAnsi="AcadNusx"/>
      <w:b/>
      <w:spacing w:val="-10"/>
      <w:sz w:val="22"/>
      <w:szCs w:val="22"/>
      <w:lang w:val="af-ZA"/>
    </w:rPr>
  </w:style>
  <w:style w:type="paragraph" w:styleId="BalloonText">
    <w:name w:val="Balloon Text"/>
    <w:basedOn w:val="Normal"/>
    <w:link w:val="BalloonTextChar"/>
    <w:rsid w:val="0007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2FA"/>
    <w:rPr>
      <w:rFonts w:ascii="Tahoma" w:hAnsi="Tahoma" w:cs="Tahoma"/>
      <w:sz w:val="16"/>
      <w:szCs w:val="16"/>
    </w:rPr>
  </w:style>
  <w:style w:type="character" w:customStyle="1" w:styleId="HelveticaLightNormal10">
    <w:name w:val="Helvetica Light Normal 10"/>
    <w:uiPriority w:val="99"/>
    <w:rsid w:val="004B79FF"/>
    <w:rPr>
      <w:rFonts w:ascii="Helvetica_Light-Normal" w:hAnsi="Helvetica_Light-Normal" w:cs="Helvetica_Light-Normal"/>
      <w:color w:val="000000"/>
      <w:sz w:val="20"/>
      <w:szCs w:val="20"/>
    </w:rPr>
  </w:style>
  <w:style w:type="paragraph" w:styleId="NoSpacing">
    <w:name w:val="No Spacing"/>
    <w:uiPriority w:val="1"/>
    <w:qFormat/>
    <w:rsid w:val="004B79FF"/>
    <w:rPr>
      <w:rFonts w:asciiTheme="minorHAnsi" w:eastAsiaTheme="minorEastAsia" w:hAnsiTheme="minorHAnsi" w:cstheme="minorBidi"/>
      <w:sz w:val="22"/>
      <w:szCs w:val="22"/>
      <w:lang w:val="da-DK" w:eastAsia="da-DK"/>
    </w:rPr>
  </w:style>
  <w:style w:type="paragraph" w:customStyle="1" w:styleId="Dropdown">
    <w:name w:val="Dropdown"/>
    <w:basedOn w:val="Normal"/>
    <w:rsid w:val="006F4CFB"/>
    <w:pPr>
      <w:keepNext/>
      <w:tabs>
        <w:tab w:val="left" w:pos="6237"/>
      </w:tabs>
      <w:spacing w:before="40" w:after="40" w:line="180" w:lineRule="atLeast"/>
    </w:pPr>
    <w:rPr>
      <w:rFonts w:ascii="Arial" w:hAnsi="Arial" w:cs="Arial"/>
      <w:b/>
      <w:bCs/>
      <w:noProof/>
      <w:sz w:val="18"/>
      <w:szCs w:val="18"/>
      <w:lang w:val="en-GB" w:eastAsia="zh-CN"/>
    </w:rPr>
  </w:style>
  <w:style w:type="paragraph" w:customStyle="1" w:styleId="Default">
    <w:name w:val="Default"/>
    <w:rsid w:val="00FD44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3578DC"/>
  </w:style>
  <w:style w:type="character" w:customStyle="1" w:styleId="shorttext">
    <w:name w:val="short_text"/>
    <w:basedOn w:val="DefaultParagraphFont"/>
    <w:rsid w:val="009C4B58"/>
  </w:style>
  <w:style w:type="character" w:customStyle="1" w:styleId="gt-card-ttl-txt1">
    <w:name w:val="gt-card-ttl-txt1"/>
    <w:basedOn w:val="DefaultParagraphFont"/>
    <w:rsid w:val="00A2360F"/>
    <w:rPr>
      <w:color w:val="2222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98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27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0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2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Vie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auni.edu.ge/en/iliauni/AcademicDepartments/biznesis-skola-268/programebi-276/biznesis-skolis-samagistro-programebi/biznesis-administrireba-menedjmenti-sabanko-da-safinanso-saqme-turizmis-menedjmen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qeTevan kraveiSvili</vt:lpstr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qeTevan kraveiSvili</dc:title>
  <dc:subject/>
  <dc:creator>\</dc:creator>
  <cp:keywords/>
  <cp:lastModifiedBy>Irine Javakhadze</cp:lastModifiedBy>
  <cp:revision>165</cp:revision>
  <cp:lastPrinted>2012-12-19T08:22:00Z</cp:lastPrinted>
  <dcterms:created xsi:type="dcterms:W3CDTF">2010-06-18T07:49:00Z</dcterms:created>
  <dcterms:modified xsi:type="dcterms:W3CDTF">2017-04-11T05:34:00Z</dcterms:modified>
</cp:coreProperties>
</file>