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FAE" w:rsidRPr="005123BE" w:rsidRDefault="00BE70EC" w:rsidP="005123BE">
      <w:pPr>
        <w:jc w:val="center"/>
        <w:rPr>
          <w:rFonts w:ascii="Sylfaen" w:hAnsi="Sylfaen"/>
          <w:b/>
          <w:sz w:val="24"/>
          <w:szCs w:val="24"/>
          <w:lang w:val="en-GB"/>
        </w:rPr>
      </w:pPr>
      <w:r>
        <w:rPr>
          <w:rFonts w:ascii="Sylfaen" w:hAnsi="Sylfaen"/>
          <w:b/>
          <w:sz w:val="24"/>
          <w:szCs w:val="24"/>
          <w:lang w:val="en-GB"/>
        </w:rPr>
        <w:t>16</w:t>
      </w:r>
      <w:r w:rsidR="00A85CE7" w:rsidRPr="005123BE">
        <w:rPr>
          <w:rFonts w:ascii="Sylfaen" w:hAnsi="Sylfaen"/>
          <w:b/>
          <w:sz w:val="24"/>
          <w:szCs w:val="24"/>
          <w:vertAlign w:val="superscript"/>
          <w:lang w:val="en-GB"/>
        </w:rPr>
        <w:t>th</w:t>
      </w:r>
      <w:r w:rsidR="00A85CE7" w:rsidRPr="005123BE">
        <w:rPr>
          <w:rFonts w:ascii="Sylfaen" w:hAnsi="Sylfaen"/>
          <w:b/>
          <w:sz w:val="24"/>
          <w:szCs w:val="24"/>
          <w:lang w:val="en-GB"/>
        </w:rPr>
        <w:t xml:space="preserve"> Consolidated Report on the Conflict in Georgia</w:t>
      </w:r>
    </w:p>
    <w:p w:rsidR="00A85CE7" w:rsidRPr="005123BE" w:rsidRDefault="00A85CE7" w:rsidP="005123BE">
      <w:pPr>
        <w:jc w:val="center"/>
        <w:rPr>
          <w:rFonts w:ascii="Sylfaen" w:hAnsi="Sylfaen"/>
          <w:b/>
          <w:sz w:val="24"/>
          <w:szCs w:val="24"/>
          <w:lang w:val="en-GB"/>
        </w:rPr>
      </w:pPr>
    </w:p>
    <w:p w:rsidR="00A85CE7" w:rsidRPr="009C626B" w:rsidRDefault="00A85CE7" w:rsidP="005123BE">
      <w:pPr>
        <w:jc w:val="center"/>
        <w:rPr>
          <w:rFonts w:ascii="Sylfaen" w:hAnsi="Sylfaen"/>
          <w:b/>
          <w:sz w:val="24"/>
          <w:szCs w:val="24"/>
        </w:rPr>
      </w:pPr>
      <w:r w:rsidRPr="009C626B">
        <w:rPr>
          <w:rFonts w:ascii="Sylfaen" w:hAnsi="Sylfaen"/>
          <w:b/>
          <w:sz w:val="24"/>
          <w:szCs w:val="24"/>
        </w:rPr>
        <w:t>SMR Comments</w:t>
      </w:r>
    </w:p>
    <w:p w:rsidR="00A85CE7" w:rsidRPr="005123BE" w:rsidRDefault="00A85CE7" w:rsidP="005123BE">
      <w:pPr>
        <w:jc w:val="center"/>
        <w:rPr>
          <w:rFonts w:ascii="Sylfaen" w:hAnsi="Sylfaen"/>
          <w:sz w:val="24"/>
          <w:szCs w:val="24"/>
        </w:rPr>
      </w:pPr>
    </w:p>
    <w:p w:rsidR="00A85CE7" w:rsidRPr="005123BE" w:rsidRDefault="00A85CE7" w:rsidP="005123BE">
      <w:pPr>
        <w:rPr>
          <w:rFonts w:ascii="Sylfaen" w:hAnsi="Sylfaen"/>
          <w:sz w:val="24"/>
          <w:szCs w:val="24"/>
          <w:lang w:val="en-GB"/>
        </w:rPr>
      </w:pPr>
      <w:r w:rsidRPr="005123BE">
        <w:rPr>
          <w:rFonts w:ascii="Sylfaen" w:hAnsi="Sylfaen"/>
          <w:sz w:val="24"/>
          <w:szCs w:val="24"/>
        </w:rPr>
        <w:t xml:space="preserve">1. </w:t>
      </w:r>
      <w:r w:rsidRPr="005123BE">
        <w:rPr>
          <w:rFonts w:ascii="Sylfaen" w:hAnsi="Sylfaen" w:cs="Times New Roman"/>
          <w:sz w:val="24"/>
          <w:szCs w:val="24"/>
          <w:lang w:val="en-GB"/>
        </w:rPr>
        <w:t xml:space="preserve">We would like to suggest using the following wording – “August 2008 Russia-Georgia war” </w:t>
      </w:r>
      <w:r w:rsidRPr="005123BE">
        <w:rPr>
          <w:rFonts w:ascii="Sylfaen" w:hAnsi="Sylfaen"/>
          <w:sz w:val="24"/>
          <w:szCs w:val="24"/>
          <w:lang w:val="en-GB"/>
        </w:rPr>
        <w:t>throughout the whole text</w:t>
      </w:r>
      <w:r w:rsidRPr="005123BE">
        <w:rPr>
          <w:rFonts w:ascii="Sylfaen" w:hAnsi="Sylfaen" w:cs="Times New Roman"/>
          <w:sz w:val="24"/>
          <w:szCs w:val="24"/>
          <w:lang w:val="en-GB"/>
        </w:rPr>
        <w:t xml:space="preserve"> in</w:t>
      </w:r>
      <w:r w:rsidR="00F60054">
        <w:rPr>
          <w:rFonts w:ascii="Sylfaen" w:hAnsi="Sylfaen" w:cs="Times New Roman"/>
          <w:sz w:val="24"/>
          <w:szCs w:val="24"/>
          <w:lang w:val="en-GB"/>
        </w:rPr>
        <w:t>stead of “August 2008 Conflict” and</w:t>
      </w:r>
      <w:r w:rsidRPr="005123BE">
        <w:rPr>
          <w:rFonts w:ascii="Sylfaen" w:hAnsi="Sylfaen" w:cs="Times New Roman"/>
          <w:sz w:val="24"/>
          <w:szCs w:val="24"/>
          <w:lang w:val="en-GB"/>
        </w:rPr>
        <w:t xml:space="preserve"> “2008 conflict” (thi</w:t>
      </w:r>
      <w:r w:rsidR="00BE70EC">
        <w:rPr>
          <w:rFonts w:ascii="Sylfaen" w:hAnsi="Sylfaen" w:cs="Times New Roman"/>
          <w:sz w:val="24"/>
          <w:szCs w:val="24"/>
          <w:lang w:val="en-GB"/>
        </w:rPr>
        <w:t>s applies to the paragraphs – 2 and 17</w:t>
      </w:r>
      <w:r w:rsidRPr="005123BE">
        <w:rPr>
          <w:rFonts w:ascii="Sylfaen" w:hAnsi="Sylfaen" w:cs="Times New Roman"/>
          <w:sz w:val="24"/>
          <w:szCs w:val="24"/>
          <w:lang w:val="en-GB"/>
        </w:rPr>
        <w:t>)</w:t>
      </w:r>
      <w:r w:rsidRPr="005123BE">
        <w:rPr>
          <w:rFonts w:ascii="Sylfaen" w:hAnsi="Sylfaen"/>
          <w:sz w:val="24"/>
          <w:szCs w:val="24"/>
          <w:lang w:val="en-GB"/>
        </w:rPr>
        <w:t>.</w:t>
      </w:r>
    </w:p>
    <w:p w:rsidR="0025191B" w:rsidRPr="005123BE" w:rsidRDefault="0025191B" w:rsidP="005123BE">
      <w:pPr>
        <w:rPr>
          <w:rFonts w:ascii="Sylfaen" w:hAnsi="Sylfaen"/>
          <w:sz w:val="24"/>
          <w:szCs w:val="24"/>
          <w:lang w:val="en-GB"/>
        </w:rPr>
      </w:pPr>
    </w:p>
    <w:p w:rsidR="0025191B" w:rsidRPr="005123BE" w:rsidRDefault="0025191B" w:rsidP="005123BE">
      <w:pPr>
        <w:rPr>
          <w:rFonts w:ascii="Sylfaen" w:hAnsi="Sylfaen" w:cs="Times New Roman"/>
          <w:sz w:val="24"/>
          <w:szCs w:val="24"/>
          <w:lang w:val="en-GB"/>
        </w:rPr>
      </w:pPr>
      <w:r w:rsidRPr="005123BE">
        <w:rPr>
          <w:rFonts w:ascii="Sylfaen" w:hAnsi="Sylfaen"/>
          <w:sz w:val="24"/>
          <w:szCs w:val="24"/>
          <w:lang w:val="en-GB"/>
        </w:rPr>
        <w:t xml:space="preserve">2. </w:t>
      </w:r>
      <w:r w:rsidRPr="005123BE">
        <w:rPr>
          <w:rFonts w:ascii="Sylfaen" w:hAnsi="Sylfaen" w:cs="Times New Roman"/>
          <w:sz w:val="24"/>
          <w:szCs w:val="24"/>
          <w:lang w:val="en-GB"/>
        </w:rPr>
        <w:t>We would like to suggest using the following wording</w:t>
      </w:r>
      <w:r w:rsidRPr="005123BE">
        <w:rPr>
          <w:rFonts w:ascii="Sylfaen" w:eastAsia="Times New Roman" w:hAnsi="Sylfaen"/>
          <w:sz w:val="24"/>
          <w:szCs w:val="24"/>
          <w:lang w:val="en-GB"/>
        </w:rPr>
        <w:t xml:space="preserve"> - “Georgian regions of Abkhazia and </w:t>
      </w:r>
      <w:proofErr w:type="spellStart"/>
      <w:r w:rsidRPr="005123BE">
        <w:rPr>
          <w:rFonts w:ascii="Sylfaen" w:eastAsia="Times New Roman" w:hAnsi="Sylfaen"/>
          <w:sz w:val="24"/>
          <w:szCs w:val="24"/>
          <w:lang w:val="en-GB"/>
        </w:rPr>
        <w:t>Tskhinvali</w:t>
      </w:r>
      <w:proofErr w:type="spellEnd"/>
      <w:r w:rsidRPr="005123BE">
        <w:rPr>
          <w:rFonts w:ascii="Sylfaen" w:eastAsia="Times New Roman" w:hAnsi="Sylfaen"/>
          <w:sz w:val="24"/>
          <w:szCs w:val="24"/>
          <w:lang w:val="en-GB"/>
        </w:rPr>
        <w:t xml:space="preserve"> /South Ossetia” </w:t>
      </w:r>
      <w:r w:rsidRPr="005123BE">
        <w:rPr>
          <w:rFonts w:ascii="Sylfaen" w:hAnsi="Sylfaen"/>
          <w:sz w:val="24"/>
          <w:szCs w:val="24"/>
          <w:lang w:val="en-GB"/>
        </w:rPr>
        <w:t>throughout the whole text</w:t>
      </w:r>
      <w:r w:rsidRPr="005123BE">
        <w:rPr>
          <w:rFonts w:ascii="Sylfaen" w:hAnsi="Sylfaen" w:cs="Times New Roman"/>
          <w:sz w:val="24"/>
          <w:szCs w:val="24"/>
          <w:lang w:val="en-GB"/>
        </w:rPr>
        <w:t xml:space="preserve"> instead of “Abkhazia and South Ossetia”; also to use “Abkhazia region” and “</w:t>
      </w:r>
      <w:proofErr w:type="spellStart"/>
      <w:r w:rsidRPr="005123BE">
        <w:rPr>
          <w:rFonts w:ascii="Sylfaen" w:hAnsi="Sylfaen" w:cs="Times New Roman"/>
          <w:sz w:val="24"/>
          <w:szCs w:val="24"/>
          <w:lang w:val="en-GB"/>
        </w:rPr>
        <w:t>Tskhinvali</w:t>
      </w:r>
      <w:proofErr w:type="spellEnd"/>
      <w:r w:rsidRPr="005123BE">
        <w:rPr>
          <w:rFonts w:ascii="Sylfaen" w:hAnsi="Sylfaen" w:cs="Times New Roman"/>
          <w:sz w:val="24"/>
          <w:szCs w:val="24"/>
          <w:lang w:val="en-GB"/>
        </w:rPr>
        <w:t xml:space="preserve"> region/South Ossetia” respectively when speaking about these territories (this applies to the paragraphs – 5,</w:t>
      </w:r>
      <w:r w:rsidR="00BE70EC">
        <w:rPr>
          <w:rFonts w:ascii="Sylfaen" w:hAnsi="Sylfaen" w:cs="Times New Roman"/>
          <w:sz w:val="24"/>
          <w:szCs w:val="24"/>
          <w:lang w:val="en-GB"/>
        </w:rPr>
        <w:t xml:space="preserve"> 10, 14, 20, 22, 23, 24, 26, 27, 28, 32, 38, 40, 43, 52, 56, 65, 66, 72, 74, 75, 76</w:t>
      </w:r>
      <w:r w:rsidRPr="005123BE">
        <w:rPr>
          <w:rFonts w:ascii="Sylfaen" w:hAnsi="Sylfaen" w:cs="Times New Roman"/>
          <w:sz w:val="24"/>
          <w:szCs w:val="24"/>
          <w:lang w:val="en-GB"/>
        </w:rPr>
        <w:t>).</w:t>
      </w:r>
    </w:p>
    <w:p w:rsidR="0025191B" w:rsidRPr="005123BE" w:rsidRDefault="0025191B" w:rsidP="005123BE">
      <w:pPr>
        <w:rPr>
          <w:rFonts w:ascii="Sylfaen" w:hAnsi="Sylfaen" w:cs="Times New Roman"/>
          <w:sz w:val="24"/>
          <w:szCs w:val="24"/>
          <w:lang w:val="en-GB"/>
        </w:rPr>
      </w:pPr>
    </w:p>
    <w:p w:rsidR="006E09DB" w:rsidRPr="005123BE" w:rsidRDefault="0025191B" w:rsidP="005123BE">
      <w:pPr>
        <w:tabs>
          <w:tab w:val="left" w:pos="9270"/>
        </w:tabs>
        <w:rPr>
          <w:rFonts w:ascii="Sylfaen" w:eastAsia="Times New Roman" w:hAnsi="Sylfaen"/>
          <w:sz w:val="24"/>
          <w:szCs w:val="24"/>
          <w:lang w:val="en-GB"/>
        </w:rPr>
      </w:pPr>
      <w:r w:rsidRPr="005123BE">
        <w:rPr>
          <w:rFonts w:ascii="Sylfaen" w:hAnsi="Sylfaen" w:cs="Times New Roman"/>
          <w:sz w:val="24"/>
          <w:szCs w:val="24"/>
          <w:lang w:val="en-GB"/>
        </w:rPr>
        <w:t xml:space="preserve">3. </w:t>
      </w:r>
      <w:r w:rsidR="002E3FA4">
        <w:rPr>
          <w:rFonts w:ascii="Sylfaen" w:eastAsia="Times New Roman" w:hAnsi="Sylfaen"/>
          <w:sz w:val="24"/>
          <w:szCs w:val="24"/>
          <w:lang w:val="en-GB"/>
        </w:rPr>
        <w:t>In paragraph</w:t>
      </w:r>
      <w:r w:rsidR="006E09DB" w:rsidRPr="005123BE">
        <w:rPr>
          <w:rFonts w:ascii="Sylfaen" w:eastAsia="Times New Roman" w:hAnsi="Sylfaen"/>
          <w:sz w:val="24"/>
          <w:szCs w:val="24"/>
          <w:lang w:val="en-GB"/>
        </w:rPr>
        <w:t xml:space="preserve"> 5 we would like to emphasize the role and responsibility of the Russian Federation and </w:t>
      </w:r>
      <w:r w:rsidR="002E3FA4">
        <w:rPr>
          <w:rFonts w:ascii="Sylfaen" w:eastAsia="Times New Roman" w:hAnsi="Sylfaen"/>
          <w:sz w:val="24"/>
          <w:szCs w:val="24"/>
          <w:lang w:val="en-GB"/>
        </w:rPr>
        <w:t>formulate the relevant sentence</w:t>
      </w:r>
      <w:r w:rsidR="006E09DB" w:rsidRPr="005123BE">
        <w:rPr>
          <w:rFonts w:ascii="Sylfaen" w:eastAsia="Times New Roman" w:hAnsi="Sylfaen"/>
          <w:sz w:val="24"/>
          <w:szCs w:val="24"/>
          <w:lang w:val="en-GB"/>
        </w:rPr>
        <w:t xml:space="preserve"> the following way: “the delegation was not allowed </w:t>
      </w:r>
      <w:r w:rsidR="006E09DB" w:rsidRPr="005123BE">
        <w:rPr>
          <w:rFonts w:ascii="Sylfaen" w:eastAsia="Times New Roman" w:hAnsi="Sylfaen"/>
          <w:b/>
          <w:sz w:val="24"/>
          <w:szCs w:val="24"/>
          <w:u w:val="single"/>
          <w:lang w:val="en-GB"/>
        </w:rPr>
        <w:t>by the Russian Federation</w:t>
      </w:r>
      <w:r w:rsidR="006E09DB" w:rsidRPr="005123BE">
        <w:rPr>
          <w:rFonts w:ascii="Sylfaen" w:eastAsia="Times New Roman" w:hAnsi="Sylfaen"/>
          <w:sz w:val="24"/>
          <w:szCs w:val="24"/>
          <w:lang w:val="en-GB"/>
        </w:rPr>
        <w:t xml:space="preserve"> to visit </w:t>
      </w:r>
      <w:r w:rsidR="00311A3A" w:rsidRPr="005123BE">
        <w:rPr>
          <w:rFonts w:ascii="Sylfaen" w:eastAsia="Times New Roman" w:hAnsi="Sylfaen"/>
          <w:sz w:val="24"/>
          <w:szCs w:val="24"/>
          <w:lang w:val="en-GB"/>
        </w:rPr>
        <w:t xml:space="preserve">Georgian regions of </w:t>
      </w:r>
      <w:r w:rsidR="006E09DB" w:rsidRPr="005123BE">
        <w:rPr>
          <w:rFonts w:ascii="Sylfaen" w:eastAsia="Times New Roman" w:hAnsi="Sylfaen"/>
          <w:sz w:val="24"/>
          <w:szCs w:val="24"/>
          <w:lang w:val="en-GB"/>
        </w:rPr>
        <w:t xml:space="preserve">Abkhazia and </w:t>
      </w:r>
      <w:proofErr w:type="spellStart"/>
      <w:r w:rsidR="00311A3A" w:rsidRPr="005123BE">
        <w:rPr>
          <w:rFonts w:ascii="Sylfaen" w:eastAsia="Times New Roman" w:hAnsi="Sylfaen"/>
          <w:sz w:val="24"/>
          <w:szCs w:val="24"/>
          <w:lang w:val="en-GB"/>
        </w:rPr>
        <w:t>Tskhinvali</w:t>
      </w:r>
      <w:proofErr w:type="spellEnd"/>
      <w:r w:rsidR="00311A3A" w:rsidRPr="005123BE">
        <w:rPr>
          <w:rFonts w:ascii="Sylfaen" w:eastAsia="Times New Roman" w:hAnsi="Sylfaen"/>
          <w:sz w:val="24"/>
          <w:szCs w:val="24"/>
          <w:lang w:val="en-GB"/>
        </w:rPr>
        <w:t xml:space="preserve"> region/</w:t>
      </w:r>
      <w:r w:rsidR="006E09DB" w:rsidRPr="005123BE">
        <w:rPr>
          <w:rFonts w:ascii="Sylfaen" w:eastAsia="Times New Roman" w:hAnsi="Sylfaen"/>
          <w:sz w:val="24"/>
          <w:szCs w:val="24"/>
          <w:lang w:val="en-GB"/>
        </w:rPr>
        <w:t>South Ossetia” (as provided by the paragraph 7 of the CMD decision adopted during the 1227</w:t>
      </w:r>
      <w:r w:rsidR="006E09DB" w:rsidRPr="005123BE">
        <w:rPr>
          <w:rFonts w:ascii="Sylfaen" w:eastAsia="Times New Roman" w:hAnsi="Sylfaen"/>
          <w:sz w:val="24"/>
          <w:szCs w:val="24"/>
          <w:vertAlign w:val="superscript"/>
          <w:lang w:val="en-GB"/>
        </w:rPr>
        <w:t>th</w:t>
      </w:r>
      <w:r w:rsidR="006E09DB" w:rsidRPr="005123BE">
        <w:rPr>
          <w:rFonts w:ascii="Sylfaen" w:eastAsia="Times New Roman" w:hAnsi="Sylfaen"/>
          <w:sz w:val="24"/>
          <w:szCs w:val="24"/>
          <w:lang w:val="en-GB"/>
        </w:rPr>
        <w:t xml:space="preserve"> CMD meeting held on 12 May 2015). </w:t>
      </w:r>
    </w:p>
    <w:p w:rsidR="000B5134" w:rsidRPr="005123BE" w:rsidRDefault="000B5134" w:rsidP="005123BE">
      <w:pPr>
        <w:tabs>
          <w:tab w:val="left" w:pos="9270"/>
        </w:tabs>
        <w:rPr>
          <w:rFonts w:ascii="Sylfaen" w:eastAsia="Times New Roman" w:hAnsi="Sylfaen"/>
          <w:sz w:val="24"/>
          <w:szCs w:val="24"/>
          <w:lang w:val="en-GB"/>
        </w:rPr>
      </w:pPr>
    </w:p>
    <w:p w:rsidR="006375DC" w:rsidRDefault="006375DC" w:rsidP="006375DC">
      <w:pPr>
        <w:tabs>
          <w:tab w:val="left" w:pos="9270"/>
        </w:tabs>
        <w:rPr>
          <w:rFonts w:ascii="Sylfaen" w:eastAsia="Times New Roman" w:hAnsi="Sylfaen"/>
          <w:sz w:val="24"/>
          <w:szCs w:val="24"/>
        </w:rPr>
      </w:pPr>
      <w:r>
        <w:rPr>
          <w:rFonts w:ascii="Sylfaen" w:eastAsia="Times New Roman" w:hAnsi="Sylfaen"/>
          <w:sz w:val="24"/>
          <w:szCs w:val="24"/>
          <w:lang w:val="ka-GE"/>
        </w:rPr>
        <w:t xml:space="preserve">4. </w:t>
      </w:r>
      <w:r>
        <w:rPr>
          <w:rFonts w:ascii="Sylfaen" w:eastAsia="Times New Roman" w:hAnsi="Sylfaen"/>
          <w:sz w:val="24"/>
          <w:szCs w:val="24"/>
        </w:rPr>
        <w:t>We suggest using the term “illegal detentions” instead of “detentions” in paragraphs 9, 30, 53, 54, 57.</w:t>
      </w:r>
    </w:p>
    <w:p w:rsidR="006375DC" w:rsidRPr="00936266" w:rsidRDefault="006375DC" w:rsidP="006375DC">
      <w:pPr>
        <w:tabs>
          <w:tab w:val="left" w:pos="9270"/>
        </w:tabs>
        <w:rPr>
          <w:rFonts w:ascii="Sylfaen" w:eastAsia="Times New Roman" w:hAnsi="Sylfaen"/>
          <w:sz w:val="24"/>
          <w:szCs w:val="24"/>
        </w:rPr>
      </w:pPr>
    </w:p>
    <w:p w:rsidR="000B5134" w:rsidRPr="00DE7FC2" w:rsidRDefault="006375DC" w:rsidP="005123BE">
      <w:pPr>
        <w:tabs>
          <w:tab w:val="left" w:pos="9270"/>
        </w:tabs>
        <w:rPr>
          <w:rFonts w:ascii="Sylfaen" w:eastAsia="Times New Roman" w:hAnsi="Sylfaen"/>
          <w:sz w:val="24"/>
          <w:szCs w:val="24"/>
          <w:lang w:val="en-GB"/>
        </w:rPr>
      </w:pPr>
      <w:r>
        <w:rPr>
          <w:rFonts w:ascii="Sylfaen" w:eastAsia="Times New Roman" w:hAnsi="Sylfaen"/>
          <w:sz w:val="24"/>
          <w:szCs w:val="24"/>
          <w:lang w:val="en-GB"/>
        </w:rPr>
        <w:t>5</w:t>
      </w:r>
      <w:r w:rsidR="007614AB">
        <w:rPr>
          <w:rFonts w:ascii="Sylfaen" w:eastAsia="Times New Roman" w:hAnsi="Sylfaen"/>
          <w:sz w:val="24"/>
          <w:szCs w:val="24"/>
          <w:lang w:val="en-GB"/>
        </w:rPr>
        <w:t>. In paragraph 10</w:t>
      </w:r>
      <w:r w:rsidR="000B5134" w:rsidRPr="005123BE">
        <w:rPr>
          <w:rFonts w:ascii="Sylfaen" w:eastAsia="Times New Roman" w:hAnsi="Sylfaen"/>
          <w:sz w:val="24"/>
          <w:szCs w:val="24"/>
          <w:lang w:val="en-GB"/>
        </w:rPr>
        <w:t xml:space="preserve"> we would like to suggest</w:t>
      </w:r>
      <w:r w:rsidR="00DE7FC2">
        <w:rPr>
          <w:rFonts w:ascii="Sylfaen" w:eastAsia="Times New Roman" w:hAnsi="Sylfaen"/>
          <w:sz w:val="24"/>
          <w:szCs w:val="24"/>
          <w:lang w:val="en-GB"/>
        </w:rPr>
        <w:t xml:space="preserve"> formulating the last sentence the following way: “</w:t>
      </w:r>
      <w:r w:rsidR="00DE7FC2" w:rsidRPr="00DE7FC2">
        <w:rPr>
          <w:rFonts w:ascii="Sylfaen" w:hAnsi="Sylfaen" w:cs="Tahoma"/>
          <w:sz w:val="24"/>
          <w:szCs w:val="24"/>
        </w:rPr>
        <w:t xml:space="preserve">As in previous rounds, however, discussions on the IDPs/refugees issues could not be conducted </w:t>
      </w:r>
      <w:r w:rsidR="00DE7FC2" w:rsidRPr="00DE7FC2">
        <w:rPr>
          <w:rFonts w:ascii="Sylfaen" w:hAnsi="Sylfaen" w:cs="Tahoma"/>
          <w:b/>
          <w:sz w:val="24"/>
          <w:szCs w:val="24"/>
          <w:u w:val="single"/>
        </w:rPr>
        <w:t xml:space="preserve">due to the unconstructive approach of Russian, Abkhazian and </w:t>
      </w:r>
      <w:proofErr w:type="spellStart"/>
      <w:r w:rsidR="00DE7FC2" w:rsidRPr="00DE7FC2">
        <w:rPr>
          <w:rFonts w:ascii="Sylfaen" w:hAnsi="Sylfaen" w:cs="Tahoma"/>
          <w:b/>
          <w:sz w:val="24"/>
          <w:szCs w:val="24"/>
          <w:u w:val="single"/>
        </w:rPr>
        <w:t>Ossetian</w:t>
      </w:r>
      <w:proofErr w:type="spellEnd"/>
      <w:r w:rsidR="00DE7FC2" w:rsidRPr="00DE7FC2">
        <w:rPr>
          <w:rFonts w:ascii="Sylfaen" w:hAnsi="Sylfaen" w:cs="Tahoma"/>
          <w:b/>
          <w:sz w:val="24"/>
          <w:szCs w:val="24"/>
          <w:u w:val="single"/>
        </w:rPr>
        <w:t xml:space="preserve"> pa</w:t>
      </w:r>
      <w:r w:rsidR="00DE7FC2">
        <w:rPr>
          <w:rFonts w:ascii="Sylfaen" w:hAnsi="Sylfaen" w:cs="Tahoma"/>
          <w:b/>
          <w:sz w:val="24"/>
          <w:szCs w:val="24"/>
          <w:u w:val="single"/>
        </w:rPr>
        <w:t>r</w:t>
      </w:r>
      <w:r w:rsidR="00DE7FC2" w:rsidRPr="00DE7FC2">
        <w:rPr>
          <w:rFonts w:ascii="Sylfaen" w:hAnsi="Sylfaen" w:cs="Tahoma"/>
          <w:b/>
          <w:sz w:val="24"/>
          <w:szCs w:val="24"/>
          <w:u w:val="single"/>
        </w:rPr>
        <w:t>ticipants</w:t>
      </w:r>
      <w:r w:rsidR="00DE7FC2">
        <w:rPr>
          <w:rFonts w:ascii="Sylfaen" w:hAnsi="Sylfaen" w:cs="Tahoma"/>
          <w:sz w:val="24"/>
          <w:szCs w:val="24"/>
        </w:rPr>
        <w:t>”</w:t>
      </w:r>
      <w:r w:rsidR="000B5134" w:rsidRPr="00DE7FC2">
        <w:rPr>
          <w:rFonts w:ascii="Sylfaen" w:eastAsia="Times New Roman" w:hAnsi="Sylfaen"/>
          <w:sz w:val="24"/>
          <w:szCs w:val="24"/>
          <w:lang w:val="en-GB"/>
        </w:rPr>
        <w:t>.</w:t>
      </w:r>
    </w:p>
    <w:p w:rsidR="001778ED" w:rsidRDefault="001778ED" w:rsidP="005123BE">
      <w:pPr>
        <w:tabs>
          <w:tab w:val="left" w:pos="9270"/>
        </w:tabs>
        <w:rPr>
          <w:rFonts w:ascii="Sylfaen" w:eastAsia="Times New Roman" w:hAnsi="Sylfaen"/>
          <w:sz w:val="24"/>
          <w:szCs w:val="24"/>
          <w:lang w:val="en-GB"/>
        </w:rPr>
      </w:pPr>
    </w:p>
    <w:p w:rsidR="000B5134" w:rsidRDefault="006375DC" w:rsidP="005123BE">
      <w:pPr>
        <w:tabs>
          <w:tab w:val="left" w:pos="9270"/>
        </w:tabs>
        <w:rPr>
          <w:rFonts w:ascii="Sylfaen" w:eastAsia="Times New Roman" w:hAnsi="Sylfaen"/>
          <w:sz w:val="24"/>
          <w:szCs w:val="24"/>
          <w:lang w:val="en-GB"/>
        </w:rPr>
      </w:pPr>
      <w:r>
        <w:rPr>
          <w:rFonts w:ascii="Sylfaen" w:eastAsia="Times New Roman" w:hAnsi="Sylfaen"/>
          <w:sz w:val="24"/>
          <w:szCs w:val="24"/>
          <w:lang w:val="en-GB"/>
        </w:rPr>
        <w:t>6</w:t>
      </w:r>
      <w:r w:rsidR="0015626F">
        <w:rPr>
          <w:rFonts w:ascii="Sylfaen" w:eastAsia="Times New Roman" w:hAnsi="Sylfaen"/>
          <w:sz w:val="24"/>
          <w:szCs w:val="24"/>
          <w:lang w:val="en-GB"/>
        </w:rPr>
        <w:t>. In paragraph 14</w:t>
      </w:r>
      <w:r w:rsidR="001778ED" w:rsidRPr="000E513A">
        <w:rPr>
          <w:rFonts w:ascii="Sylfaen" w:eastAsia="Times New Roman" w:hAnsi="Sylfaen"/>
          <w:sz w:val="24"/>
          <w:szCs w:val="24"/>
          <w:lang w:val="en-GB"/>
        </w:rPr>
        <w:t xml:space="preserve"> </w:t>
      </w:r>
      <w:r w:rsidR="0015626F">
        <w:rPr>
          <w:rFonts w:ascii="Sylfaen" w:eastAsia="Times New Roman" w:hAnsi="Sylfaen"/>
          <w:sz w:val="24"/>
          <w:szCs w:val="24"/>
          <w:lang w:val="en-GB"/>
        </w:rPr>
        <w:t>we would like to suggest using the term “so-called agreements” instead of “agreements”</w:t>
      </w:r>
      <w:r w:rsidR="002A6FBD" w:rsidRPr="000E513A">
        <w:rPr>
          <w:rFonts w:ascii="Sylfaen" w:eastAsia="Times New Roman" w:hAnsi="Sylfaen"/>
          <w:sz w:val="24"/>
          <w:szCs w:val="24"/>
          <w:lang w:val="en-GB"/>
        </w:rPr>
        <w:t xml:space="preserve">. </w:t>
      </w:r>
    </w:p>
    <w:p w:rsidR="009F634F" w:rsidRDefault="009F634F" w:rsidP="005123BE">
      <w:pPr>
        <w:tabs>
          <w:tab w:val="left" w:pos="9270"/>
        </w:tabs>
        <w:rPr>
          <w:rFonts w:ascii="Sylfaen" w:eastAsia="Times New Roman" w:hAnsi="Sylfaen"/>
          <w:sz w:val="24"/>
          <w:szCs w:val="24"/>
          <w:lang w:val="en-GB"/>
        </w:rPr>
      </w:pPr>
    </w:p>
    <w:p w:rsidR="009F634F" w:rsidRPr="009F634F" w:rsidRDefault="006375DC" w:rsidP="005123BE">
      <w:pPr>
        <w:tabs>
          <w:tab w:val="left" w:pos="9270"/>
        </w:tabs>
        <w:rPr>
          <w:rFonts w:ascii="Sylfaen" w:eastAsia="Times New Roman" w:hAnsi="Sylfaen"/>
          <w:sz w:val="24"/>
          <w:szCs w:val="24"/>
          <w:lang w:val="en-GB"/>
        </w:rPr>
      </w:pPr>
      <w:r>
        <w:rPr>
          <w:rFonts w:ascii="Sylfaen" w:eastAsia="Times New Roman" w:hAnsi="Sylfaen"/>
          <w:sz w:val="24"/>
          <w:szCs w:val="24"/>
          <w:lang w:val="en-GB"/>
        </w:rPr>
        <w:t>7</w:t>
      </w:r>
      <w:r w:rsidR="009F634F">
        <w:rPr>
          <w:rFonts w:ascii="Sylfaen" w:eastAsia="Times New Roman" w:hAnsi="Sylfaen"/>
          <w:sz w:val="24"/>
          <w:szCs w:val="24"/>
          <w:lang w:val="en-GB"/>
        </w:rPr>
        <w:t>. In paragraph 21</w:t>
      </w:r>
      <w:r w:rsidR="009F634F" w:rsidRPr="009F634F">
        <w:rPr>
          <w:rFonts w:ascii="Sylfaen" w:eastAsia="Times New Roman" w:hAnsi="Sylfaen"/>
          <w:sz w:val="24"/>
          <w:szCs w:val="24"/>
          <w:lang w:val="en-GB"/>
        </w:rPr>
        <w:t xml:space="preserve"> </w:t>
      </w:r>
      <w:r w:rsidR="009F634F">
        <w:rPr>
          <w:rFonts w:ascii="Sylfaen" w:eastAsia="Times New Roman" w:hAnsi="Sylfaen"/>
          <w:sz w:val="24"/>
          <w:szCs w:val="24"/>
          <w:lang w:val="en-GB"/>
        </w:rPr>
        <w:t xml:space="preserve">we would like to suggest rephrasing the first sentence the following way: </w:t>
      </w:r>
      <w:r w:rsidR="009F634F" w:rsidRPr="009F634F">
        <w:rPr>
          <w:rFonts w:ascii="Sylfaen" w:eastAsia="Times New Roman" w:hAnsi="Sylfaen"/>
          <w:sz w:val="24"/>
          <w:szCs w:val="24"/>
          <w:lang w:val="en-GB"/>
        </w:rPr>
        <w:t>“</w:t>
      </w:r>
      <w:r w:rsidR="009F634F" w:rsidRPr="009F634F">
        <w:rPr>
          <w:rFonts w:ascii="Sylfaen" w:hAnsi="Sylfaen"/>
          <w:bCs/>
          <w:sz w:val="24"/>
          <w:szCs w:val="24"/>
        </w:rPr>
        <w:t xml:space="preserve">a package of initiatives to rebuild trust and </w:t>
      </w:r>
      <w:r w:rsidR="009F634F" w:rsidRPr="009F634F">
        <w:rPr>
          <w:rFonts w:ascii="Sylfaen" w:hAnsi="Sylfaen"/>
          <w:b/>
          <w:bCs/>
          <w:sz w:val="24"/>
          <w:szCs w:val="24"/>
          <w:u w:val="single"/>
        </w:rPr>
        <w:t>people-to-people</w:t>
      </w:r>
      <w:r w:rsidR="009F634F" w:rsidRPr="009F634F">
        <w:rPr>
          <w:rFonts w:ascii="Sylfaen" w:hAnsi="Sylfaen"/>
          <w:bCs/>
          <w:sz w:val="24"/>
          <w:szCs w:val="24"/>
        </w:rPr>
        <w:t xml:space="preserve"> contacts with the conflict-affected communities on the basis of the </w:t>
      </w:r>
      <w:r w:rsidR="009F634F" w:rsidRPr="009F634F">
        <w:rPr>
          <w:rFonts w:ascii="Sylfaen" w:hAnsi="Sylfaen"/>
          <w:b/>
          <w:bCs/>
          <w:sz w:val="24"/>
          <w:szCs w:val="24"/>
          <w:u w:val="single"/>
        </w:rPr>
        <w:t>8 policy objectives</w:t>
      </w:r>
      <w:r w:rsidR="009F634F" w:rsidRPr="009F634F">
        <w:rPr>
          <w:rFonts w:ascii="Sylfaen" w:eastAsia="Times New Roman" w:hAnsi="Sylfaen"/>
          <w:sz w:val="24"/>
          <w:szCs w:val="24"/>
          <w:lang w:val="en-GB"/>
        </w:rPr>
        <w:t>”</w:t>
      </w:r>
      <w:r w:rsidR="009F634F">
        <w:rPr>
          <w:rFonts w:ascii="Sylfaen" w:eastAsia="Times New Roman" w:hAnsi="Sylfaen"/>
          <w:sz w:val="24"/>
          <w:szCs w:val="24"/>
          <w:lang w:val="en-GB"/>
        </w:rPr>
        <w:t>.</w:t>
      </w:r>
    </w:p>
    <w:p w:rsidR="00936266" w:rsidRDefault="00936266" w:rsidP="005123BE">
      <w:pPr>
        <w:tabs>
          <w:tab w:val="left" w:pos="9270"/>
        </w:tabs>
        <w:rPr>
          <w:rFonts w:ascii="Sylfaen" w:eastAsia="Times New Roman" w:hAnsi="Sylfaen"/>
          <w:sz w:val="24"/>
          <w:szCs w:val="24"/>
          <w:lang w:val="en-GB"/>
        </w:rPr>
      </w:pPr>
    </w:p>
    <w:p w:rsidR="005D45E3" w:rsidRDefault="005D45E3" w:rsidP="005123BE">
      <w:pPr>
        <w:tabs>
          <w:tab w:val="left" w:pos="9270"/>
        </w:tabs>
        <w:rPr>
          <w:rFonts w:ascii="Sylfaen" w:eastAsia="Times New Roman" w:hAnsi="Sylfaen"/>
          <w:sz w:val="24"/>
          <w:szCs w:val="24"/>
          <w:lang w:val="en-GB"/>
        </w:rPr>
      </w:pPr>
      <w:r>
        <w:rPr>
          <w:rFonts w:ascii="Sylfaen" w:eastAsia="Times New Roman" w:hAnsi="Sylfaen"/>
          <w:sz w:val="24"/>
          <w:szCs w:val="24"/>
          <w:lang w:val="en-GB"/>
        </w:rPr>
        <w:t xml:space="preserve">8. In paragraph 31 we would like to suggest adding </w:t>
      </w:r>
      <w:r w:rsidRPr="006867C1">
        <w:rPr>
          <w:rFonts w:ascii="Sylfaen" w:eastAsia="Times New Roman" w:hAnsi="Sylfaen"/>
          <w:b/>
          <w:sz w:val="24"/>
          <w:szCs w:val="24"/>
          <w:u w:val="single"/>
          <w:lang w:val="en-GB"/>
        </w:rPr>
        <w:t>“that undermines security and stability on the ground”</w:t>
      </w:r>
      <w:r>
        <w:rPr>
          <w:rFonts w:ascii="Sylfaen" w:eastAsia="Times New Roman" w:hAnsi="Sylfaen"/>
          <w:sz w:val="24"/>
          <w:szCs w:val="24"/>
          <w:lang w:val="en-GB"/>
        </w:rPr>
        <w:t xml:space="preserve"> to the last sentence – “</w:t>
      </w:r>
      <w:r w:rsidRPr="005D45E3">
        <w:rPr>
          <w:rFonts w:ascii="Sylfaen" w:hAnsi="Sylfaen" w:cs="Tahoma"/>
          <w:bCs/>
          <w:sz w:val="24"/>
          <w:szCs w:val="24"/>
          <w:lang w:val="en-GB"/>
        </w:rPr>
        <w:t>Overall this is a most unsatisfactory development</w:t>
      </w:r>
      <w:r>
        <w:rPr>
          <w:rFonts w:ascii="Sylfaen" w:eastAsia="Times New Roman" w:hAnsi="Sylfaen"/>
          <w:sz w:val="24"/>
          <w:szCs w:val="24"/>
          <w:lang w:val="en-GB"/>
        </w:rPr>
        <w:t xml:space="preserve">”. </w:t>
      </w:r>
    </w:p>
    <w:p w:rsidR="002E7A7F" w:rsidRDefault="002E7A7F" w:rsidP="005123BE">
      <w:pPr>
        <w:tabs>
          <w:tab w:val="left" w:pos="9270"/>
        </w:tabs>
        <w:rPr>
          <w:rFonts w:ascii="Sylfaen" w:eastAsia="Times New Roman" w:hAnsi="Sylfaen"/>
          <w:sz w:val="24"/>
          <w:szCs w:val="24"/>
          <w:lang w:val="en-GB"/>
        </w:rPr>
      </w:pPr>
    </w:p>
    <w:p w:rsidR="005C64B8" w:rsidRDefault="005C64B8" w:rsidP="005123BE">
      <w:pPr>
        <w:tabs>
          <w:tab w:val="left" w:pos="9270"/>
        </w:tabs>
        <w:rPr>
          <w:rFonts w:ascii="Sylfaen" w:eastAsia="Times New Roman" w:hAnsi="Sylfaen"/>
          <w:sz w:val="24"/>
          <w:szCs w:val="24"/>
          <w:lang w:val="en-GB"/>
        </w:rPr>
      </w:pPr>
      <w:r>
        <w:rPr>
          <w:rFonts w:ascii="Sylfaen" w:eastAsia="Times New Roman" w:hAnsi="Sylfaen"/>
          <w:sz w:val="24"/>
          <w:szCs w:val="24"/>
          <w:lang w:val="en-GB"/>
        </w:rPr>
        <w:t xml:space="preserve">9. In paragraph 33 we would like to suggest emphasizing that </w:t>
      </w:r>
      <w:bookmarkStart w:id="0" w:name="_GoBack"/>
      <w:bookmarkEnd w:id="0"/>
      <w:r>
        <w:rPr>
          <w:rFonts w:ascii="Sylfaen" w:eastAsia="Times New Roman" w:hAnsi="Sylfaen"/>
          <w:sz w:val="24"/>
          <w:szCs w:val="24"/>
          <w:lang w:val="en-GB"/>
        </w:rPr>
        <w:t xml:space="preserve">due to the closure of crossing points the overall number of crossings has notably decreased. </w:t>
      </w:r>
    </w:p>
    <w:p w:rsidR="005710D3" w:rsidRDefault="005710D3" w:rsidP="005123BE">
      <w:pPr>
        <w:tabs>
          <w:tab w:val="left" w:pos="9270"/>
        </w:tabs>
        <w:rPr>
          <w:rFonts w:ascii="Sylfaen" w:eastAsia="Times New Roman" w:hAnsi="Sylfaen"/>
          <w:sz w:val="24"/>
          <w:szCs w:val="24"/>
          <w:lang w:val="en-GB"/>
        </w:rPr>
      </w:pPr>
    </w:p>
    <w:p w:rsidR="005710D3" w:rsidRDefault="005710D3" w:rsidP="005123BE">
      <w:pPr>
        <w:tabs>
          <w:tab w:val="left" w:pos="9270"/>
        </w:tabs>
        <w:rPr>
          <w:rFonts w:ascii="Sylfaen" w:eastAsia="Times New Roman" w:hAnsi="Sylfaen"/>
          <w:sz w:val="24"/>
          <w:szCs w:val="24"/>
          <w:lang w:val="en-GB"/>
        </w:rPr>
      </w:pPr>
      <w:r>
        <w:rPr>
          <w:rFonts w:ascii="Sylfaen" w:eastAsia="Times New Roman" w:hAnsi="Sylfaen"/>
          <w:sz w:val="24"/>
          <w:szCs w:val="24"/>
          <w:lang w:val="en-GB"/>
        </w:rPr>
        <w:lastRenderedPageBreak/>
        <w:t xml:space="preserve">10. </w:t>
      </w:r>
      <w:r w:rsidR="000C2702">
        <w:rPr>
          <w:rFonts w:ascii="Sylfaen" w:eastAsia="Times New Roman" w:hAnsi="Sylfaen"/>
          <w:sz w:val="24"/>
          <w:szCs w:val="24"/>
          <w:lang w:val="en-GB"/>
        </w:rPr>
        <w:t xml:space="preserve">In paragraph 34 we would like to suggest emphasizing that freedom of movement has become complicated not only for Georgian population of the </w:t>
      </w:r>
      <w:proofErr w:type="spellStart"/>
      <w:r w:rsidR="000C2702">
        <w:rPr>
          <w:rFonts w:ascii="Sylfaen" w:eastAsia="Times New Roman" w:hAnsi="Sylfaen"/>
          <w:sz w:val="24"/>
          <w:szCs w:val="24"/>
          <w:lang w:val="en-GB"/>
        </w:rPr>
        <w:t>Gali</w:t>
      </w:r>
      <w:proofErr w:type="spellEnd"/>
      <w:r w:rsidR="000C2702">
        <w:rPr>
          <w:rFonts w:ascii="Sylfaen" w:eastAsia="Times New Roman" w:hAnsi="Sylfaen"/>
          <w:sz w:val="24"/>
          <w:szCs w:val="24"/>
          <w:lang w:val="en-GB"/>
        </w:rPr>
        <w:t xml:space="preserve"> district but for </w:t>
      </w:r>
      <w:r w:rsidR="00EF427B">
        <w:rPr>
          <w:rFonts w:ascii="Sylfaen" w:eastAsia="Times New Roman" w:hAnsi="Sylfaen"/>
          <w:sz w:val="24"/>
          <w:szCs w:val="24"/>
          <w:lang w:val="en-GB"/>
        </w:rPr>
        <w:t>other residents of the occupied territories</w:t>
      </w:r>
      <w:r w:rsidR="000C2702">
        <w:rPr>
          <w:rFonts w:ascii="Sylfaen" w:eastAsia="Times New Roman" w:hAnsi="Sylfaen"/>
          <w:sz w:val="24"/>
          <w:szCs w:val="24"/>
          <w:lang w:val="en-GB"/>
        </w:rPr>
        <w:t xml:space="preserve"> as well, e.g. coming over for healthcare or other purposes. </w:t>
      </w:r>
    </w:p>
    <w:p w:rsidR="00CF38DE" w:rsidRDefault="00CF38DE" w:rsidP="005123BE">
      <w:pPr>
        <w:tabs>
          <w:tab w:val="left" w:pos="9270"/>
        </w:tabs>
        <w:rPr>
          <w:rFonts w:ascii="Sylfaen" w:eastAsia="Times New Roman" w:hAnsi="Sylfaen"/>
          <w:sz w:val="24"/>
          <w:szCs w:val="24"/>
          <w:lang w:val="en-GB"/>
        </w:rPr>
      </w:pPr>
    </w:p>
    <w:p w:rsidR="00CF38DE" w:rsidRDefault="00CF38DE" w:rsidP="005123BE">
      <w:pPr>
        <w:tabs>
          <w:tab w:val="left" w:pos="9270"/>
        </w:tabs>
        <w:rPr>
          <w:rFonts w:ascii="Sylfaen" w:eastAsia="Times New Roman" w:hAnsi="Sylfaen"/>
          <w:sz w:val="24"/>
          <w:szCs w:val="24"/>
          <w:lang w:val="en-GB"/>
        </w:rPr>
      </w:pPr>
      <w:r>
        <w:rPr>
          <w:rFonts w:ascii="Sylfaen" w:eastAsia="Times New Roman" w:hAnsi="Sylfaen"/>
          <w:sz w:val="24"/>
          <w:szCs w:val="24"/>
          <w:lang w:val="en-GB"/>
        </w:rPr>
        <w:t>11. In paragraph 37 we would like to suggest using the term “so-called Form N 9” instead of “Form N 9”</w:t>
      </w:r>
      <w:r w:rsidR="001C330A">
        <w:rPr>
          <w:rFonts w:ascii="Sylfaen" w:eastAsia="Times New Roman" w:hAnsi="Sylfaen"/>
          <w:sz w:val="24"/>
          <w:szCs w:val="24"/>
          <w:lang w:val="en-GB"/>
        </w:rPr>
        <w:t>, also “so-called temporary residence permit” instead of “residence permit”</w:t>
      </w:r>
      <w:r w:rsidR="00F37B38">
        <w:rPr>
          <w:rFonts w:ascii="Sylfaen" w:eastAsia="Times New Roman" w:hAnsi="Sylfaen"/>
          <w:sz w:val="24"/>
          <w:szCs w:val="24"/>
          <w:lang w:val="en-GB"/>
        </w:rPr>
        <w:t xml:space="preserve"> and “permanent residence permit” (respectively in paragraphs 38, 40, 41, 42)</w:t>
      </w:r>
      <w:r w:rsidR="001C330A">
        <w:rPr>
          <w:rFonts w:ascii="Sylfaen" w:eastAsia="Times New Roman" w:hAnsi="Sylfaen"/>
          <w:sz w:val="24"/>
          <w:szCs w:val="24"/>
          <w:lang w:val="en-GB"/>
        </w:rPr>
        <w:t>.</w:t>
      </w:r>
    </w:p>
    <w:p w:rsidR="001067F7" w:rsidRDefault="001067F7" w:rsidP="005123BE">
      <w:pPr>
        <w:tabs>
          <w:tab w:val="left" w:pos="9270"/>
        </w:tabs>
        <w:rPr>
          <w:rFonts w:ascii="Sylfaen" w:eastAsia="Times New Roman" w:hAnsi="Sylfaen"/>
          <w:sz w:val="24"/>
          <w:szCs w:val="24"/>
          <w:lang w:val="en-GB"/>
        </w:rPr>
      </w:pPr>
    </w:p>
    <w:p w:rsidR="001067F7" w:rsidRDefault="001067F7" w:rsidP="005123BE">
      <w:pPr>
        <w:tabs>
          <w:tab w:val="left" w:pos="9270"/>
        </w:tabs>
        <w:rPr>
          <w:rFonts w:ascii="Sylfaen" w:eastAsia="Times New Roman" w:hAnsi="Sylfaen"/>
          <w:sz w:val="24"/>
          <w:szCs w:val="24"/>
          <w:lang w:val="en-GB"/>
        </w:rPr>
      </w:pPr>
      <w:r>
        <w:rPr>
          <w:rFonts w:ascii="Sylfaen" w:eastAsia="Times New Roman" w:hAnsi="Sylfaen"/>
          <w:sz w:val="24"/>
          <w:szCs w:val="24"/>
          <w:lang w:val="en-GB"/>
        </w:rPr>
        <w:t xml:space="preserve">12. In paragraphs 39 and 55 we would like to suggest not using the term “returnees” as the process of safe and dignified return in accordance with the requirements of international law has not taken place in </w:t>
      </w:r>
      <w:proofErr w:type="spellStart"/>
      <w:r>
        <w:rPr>
          <w:rFonts w:ascii="Sylfaen" w:eastAsia="Times New Roman" w:hAnsi="Sylfaen"/>
          <w:sz w:val="24"/>
          <w:szCs w:val="24"/>
          <w:lang w:val="en-GB"/>
        </w:rPr>
        <w:t>Gali</w:t>
      </w:r>
      <w:proofErr w:type="spellEnd"/>
      <w:r>
        <w:rPr>
          <w:rFonts w:ascii="Sylfaen" w:eastAsia="Times New Roman" w:hAnsi="Sylfaen"/>
          <w:sz w:val="24"/>
          <w:szCs w:val="24"/>
          <w:lang w:val="en-GB"/>
        </w:rPr>
        <w:t xml:space="preserve"> and </w:t>
      </w:r>
      <w:proofErr w:type="spellStart"/>
      <w:r>
        <w:rPr>
          <w:rFonts w:ascii="Sylfaen" w:eastAsia="Times New Roman" w:hAnsi="Sylfaen"/>
          <w:sz w:val="24"/>
          <w:szCs w:val="24"/>
          <w:lang w:val="en-GB"/>
        </w:rPr>
        <w:t>Akhalgori</w:t>
      </w:r>
      <w:proofErr w:type="spellEnd"/>
      <w:r>
        <w:rPr>
          <w:rFonts w:ascii="Sylfaen" w:eastAsia="Times New Roman" w:hAnsi="Sylfaen"/>
          <w:sz w:val="24"/>
          <w:szCs w:val="24"/>
          <w:lang w:val="en-GB"/>
        </w:rPr>
        <w:t xml:space="preserve"> districts. Thus the local population maintains the status of IDPs. </w:t>
      </w:r>
    </w:p>
    <w:p w:rsidR="001C330A" w:rsidRDefault="001C330A" w:rsidP="005123BE">
      <w:pPr>
        <w:tabs>
          <w:tab w:val="left" w:pos="9270"/>
        </w:tabs>
        <w:rPr>
          <w:rFonts w:ascii="Sylfaen" w:eastAsia="Times New Roman" w:hAnsi="Sylfaen"/>
          <w:sz w:val="24"/>
          <w:szCs w:val="24"/>
          <w:lang w:val="en-GB"/>
        </w:rPr>
      </w:pPr>
    </w:p>
    <w:p w:rsidR="001C330A" w:rsidRDefault="001067F7" w:rsidP="005123BE">
      <w:pPr>
        <w:tabs>
          <w:tab w:val="left" w:pos="9270"/>
        </w:tabs>
        <w:rPr>
          <w:rFonts w:ascii="Sylfaen" w:eastAsia="Times New Roman" w:hAnsi="Sylfaen"/>
          <w:sz w:val="24"/>
          <w:szCs w:val="24"/>
          <w:lang w:val="en-GB"/>
        </w:rPr>
      </w:pPr>
      <w:r>
        <w:rPr>
          <w:rFonts w:ascii="Sylfaen" w:eastAsia="Times New Roman" w:hAnsi="Sylfaen"/>
          <w:sz w:val="24"/>
          <w:szCs w:val="24"/>
          <w:lang w:val="en-GB"/>
        </w:rPr>
        <w:t>13</w:t>
      </w:r>
      <w:r w:rsidR="001C330A">
        <w:rPr>
          <w:rFonts w:ascii="Sylfaen" w:eastAsia="Times New Roman" w:hAnsi="Sylfaen"/>
          <w:sz w:val="24"/>
          <w:szCs w:val="24"/>
          <w:lang w:val="en-GB"/>
        </w:rPr>
        <w:t xml:space="preserve">. </w:t>
      </w:r>
      <w:r w:rsidR="0062613C">
        <w:rPr>
          <w:rFonts w:ascii="Sylfaen" w:eastAsia="Times New Roman" w:hAnsi="Sylfaen"/>
          <w:sz w:val="24"/>
          <w:szCs w:val="24"/>
          <w:lang w:val="en-GB"/>
        </w:rPr>
        <w:t>In paragraph 37 we would like to suggest using the term “</w:t>
      </w:r>
      <w:proofErr w:type="spellStart"/>
      <w:r w:rsidR="0062613C">
        <w:rPr>
          <w:rFonts w:ascii="Sylfaen" w:eastAsia="Times New Roman" w:hAnsi="Sylfaen"/>
          <w:sz w:val="24"/>
          <w:szCs w:val="24"/>
          <w:lang w:val="en-GB"/>
        </w:rPr>
        <w:t>Ochamchire</w:t>
      </w:r>
      <w:proofErr w:type="spellEnd"/>
      <w:r w:rsidR="0062613C">
        <w:rPr>
          <w:rFonts w:ascii="Sylfaen" w:eastAsia="Times New Roman" w:hAnsi="Sylfaen"/>
          <w:sz w:val="24"/>
          <w:szCs w:val="24"/>
          <w:lang w:val="en-GB"/>
        </w:rPr>
        <w:t>” instead of “</w:t>
      </w:r>
      <w:proofErr w:type="spellStart"/>
      <w:r w:rsidR="0062613C">
        <w:rPr>
          <w:rFonts w:ascii="Sylfaen" w:eastAsia="Times New Roman" w:hAnsi="Sylfaen"/>
          <w:sz w:val="24"/>
          <w:szCs w:val="24"/>
          <w:lang w:val="en-GB"/>
        </w:rPr>
        <w:t>Ochamchira</w:t>
      </w:r>
      <w:proofErr w:type="spellEnd"/>
      <w:r w:rsidR="0062613C">
        <w:rPr>
          <w:rFonts w:ascii="Sylfaen" w:eastAsia="Times New Roman" w:hAnsi="Sylfaen"/>
          <w:sz w:val="24"/>
          <w:szCs w:val="24"/>
          <w:lang w:val="en-GB"/>
        </w:rPr>
        <w:t>”.</w:t>
      </w:r>
    </w:p>
    <w:p w:rsidR="00192AA9" w:rsidRDefault="00192AA9" w:rsidP="005123BE">
      <w:pPr>
        <w:tabs>
          <w:tab w:val="left" w:pos="9270"/>
        </w:tabs>
        <w:rPr>
          <w:rFonts w:ascii="Sylfaen" w:eastAsia="Times New Roman" w:hAnsi="Sylfaen"/>
          <w:sz w:val="24"/>
          <w:szCs w:val="24"/>
          <w:lang w:val="en-GB"/>
        </w:rPr>
      </w:pPr>
    </w:p>
    <w:p w:rsidR="00192AA9" w:rsidRDefault="001067F7" w:rsidP="005123BE">
      <w:pPr>
        <w:tabs>
          <w:tab w:val="left" w:pos="9270"/>
        </w:tabs>
        <w:rPr>
          <w:rFonts w:ascii="Sylfaen" w:eastAsia="Times New Roman" w:hAnsi="Sylfaen"/>
          <w:sz w:val="24"/>
          <w:szCs w:val="24"/>
          <w:lang w:val="en-GB"/>
        </w:rPr>
      </w:pPr>
      <w:r>
        <w:rPr>
          <w:rFonts w:ascii="Sylfaen" w:eastAsia="Times New Roman" w:hAnsi="Sylfaen"/>
          <w:sz w:val="24"/>
          <w:szCs w:val="24"/>
          <w:lang w:val="en-GB"/>
        </w:rPr>
        <w:t>14</w:t>
      </w:r>
      <w:r w:rsidR="00192AA9">
        <w:rPr>
          <w:rFonts w:ascii="Sylfaen" w:eastAsia="Times New Roman" w:hAnsi="Sylfaen"/>
          <w:sz w:val="24"/>
          <w:szCs w:val="24"/>
          <w:lang w:val="en-GB"/>
        </w:rPr>
        <w:t xml:space="preserve">. In paragraph 40 we would like to suggest putting the term “Abkhaz state” in quotation marks. </w:t>
      </w:r>
    </w:p>
    <w:p w:rsidR="00024A73" w:rsidRDefault="00024A73" w:rsidP="005123BE">
      <w:pPr>
        <w:tabs>
          <w:tab w:val="left" w:pos="9270"/>
        </w:tabs>
        <w:rPr>
          <w:rFonts w:ascii="Sylfaen" w:eastAsia="Times New Roman" w:hAnsi="Sylfaen"/>
          <w:sz w:val="24"/>
          <w:szCs w:val="24"/>
          <w:lang w:val="en-GB"/>
        </w:rPr>
      </w:pPr>
    </w:p>
    <w:p w:rsidR="001A39F9" w:rsidRDefault="001067F7" w:rsidP="005123BE">
      <w:pPr>
        <w:tabs>
          <w:tab w:val="left" w:pos="9270"/>
        </w:tabs>
        <w:rPr>
          <w:rFonts w:ascii="Sylfaen" w:eastAsia="Times New Roman" w:hAnsi="Sylfaen"/>
          <w:sz w:val="24"/>
          <w:szCs w:val="24"/>
          <w:lang w:val="en-GB"/>
        </w:rPr>
      </w:pPr>
      <w:r>
        <w:rPr>
          <w:rFonts w:ascii="Sylfaen" w:eastAsia="Times New Roman" w:hAnsi="Sylfaen"/>
          <w:sz w:val="24"/>
          <w:szCs w:val="24"/>
          <w:lang w:val="en-GB"/>
        </w:rPr>
        <w:t>15</w:t>
      </w:r>
      <w:r w:rsidR="00024A73">
        <w:rPr>
          <w:rFonts w:ascii="Sylfaen" w:eastAsia="Times New Roman" w:hAnsi="Sylfaen"/>
          <w:sz w:val="24"/>
          <w:szCs w:val="24"/>
          <w:lang w:val="en-GB"/>
        </w:rPr>
        <w:t xml:space="preserve">. </w:t>
      </w:r>
      <w:r w:rsidR="006B2BF2">
        <w:rPr>
          <w:rFonts w:ascii="Sylfaen" w:eastAsia="Times New Roman" w:hAnsi="Sylfaen"/>
          <w:sz w:val="24"/>
          <w:szCs w:val="24"/>
          <w:lang w:val="en-GB"/>
        </w:rPr>
        <w:t xml:space="preserve">In paragraph 42 we would like to draw the attention of the Secretariat delegation to the fact that actually no possibility exists for Georgians holding Georgian citizenship to apply for the so-called Abkhaz passport as according to international law and obligations undertaken by the Government of Georgia, Georgian citizenship cannot be renounced </w:t>
      </w:r>
      <w:r w:rsidR="00C1260C">
        <w:rPr>
          <w:rFonts w:ascii="Sylfaen" w:eastAsia="Times New Roman" w:hAnsi="Sylfaen"/>
          <w:sz w:val="24"/>
          <w:szCs w:val="24"/>
          <w:lang w:val="en-GB"/>
        </w:rPr>
        <w:t>if</w:t>
      </w:r>
      <w:r w:rsidR="006B2BF2">
        <w:rPr>
          <w:rFonts w:ascii="Sylfaen" w:eastAsia="Times New Roman" w:hAnsi="Sylfaen"/>
          <w:sz w:val="24"/>
          <w:szCs w:val="24"/>
          <w:lang w:val="en-GB"/>
        </w:rPr>
        <w:t xml:space="preserve"> a person </w:t>
      </w:r>
      <w:r w:rsidR="00C1260C">
        <w:rPr>
          <w:rFonts w:ascii="Sylfaen" w:eastAsia="Times New Roman" w:hAnsi="Sylfaen"/>
          <w:sz w:val="24"/>
          <w:szCs w:val="24"/>
          <w:lang w:val="en-GB"/>
        </w:rPr>
        <w:t>is to</w:t>
      </w:r>
      <w:r w:rsidR="006B2BF2">
        <w:rPr>
          <w:rFonts w:ascii="Sylfaen" w:eastAsia="Times New Roman" w:hAnsi="Sylfaen"/>
          <w:sz w:val="24"/>
          <w:szCs w:val="24"/>
          <w:lang w:val="en-GB"/>
        </w:rPr>
        <w:t xml:space="preserve"> be left stateless. </w:t>
      </w:r>
      <w:r w:rsidR="007842E5">
        <w:rPr>
          <w:rFonts w:ascii="Sylfaen" w:eastAsia="Times New Roman" w:hAnsi="Sylfaen"/>
          <w:sz w:val="24"/>
          <w:szCs w:val="24"/>
          <w:lang w:val="en-GB"/>
        </w:rPr>
        <w:t xml:space="preserve">The practice of granting the so-called Abkhaz passport in case of changing the surname has thus the political aim of targeting ethnic identity of Georgian population. </w:t>
      </w:r>
    </w:p>
    <w:p w:rsidR="001A39F9" w:rsidRDefault="001A39F9" w:rsidP="005123BE">
      <w:pPr>
        <w:tabs>
          <w:tab w:val="left" w:pos="9270"/>
        </w:tabs>
        <w:rPr>
          <w:rFonts w:ascii="Sylfaen" w:eastAsia="Times New Roman" w:hAnsi="Sylfaen"/>
          <w:sz w:val="24"/>
          <w:szCs w:val="24"/>
          <w:lang w:val="en-GB"/>
        </w:rPr>
      </w:pPr>
    </w:p>
    <w:p w:rsidR="00024A73" w:rsidRDefault="001A39F9" w:rsidP="005123BE">
      <w:pPr>
        <w:tabs>
          <w:tab w:val="left" w:pos="9270"/>
        </w:tabs>
        <w:rPr>
          <w:rFonts w:ascii="Sylfaen" w:eastAsia="Times New Roman" w:hAnsi="Sylfaen"/>
          <w:sz w:val="24"/>
          <w:szCs w:val="24"/>
          <w:lang w:val="en-GB"/>
        </w:rPr>
      </w:pPr>
      <w:r>
        <w:rPr>
          <w:rFonts w:ascii="Sylfaen" w:eastAsia="Times New Roman" w:hAnsi="Sylfaen"/>
          <w:sz w:val="24"/>
          <w:szCs w:val="24"/>
          <w:lang w:val="en-GB"/>
        </w:rPr>
        <w:t>1</w:t>
      </w:r>
      <w:r w:rsidR="001067F7">
        <w:rPr>
          <w:rFonts w:ascii="Sylfaen" w:eastAsia="Times New Roman" w:hAnsi="Sylfaen"/>
          <w:sz w:val="24"/>
          <w:szCs w:val="24"/>
          <w:lang w:val="en-GB"/>
        </w:rPr>
        <w:t>6</w:t>
      </w:r>
      <w:r>
        <w:rPr>
          <w:rFonts w:ascii="Sylfaen" w:eastAsia="Times New Roman" w:hAnsi="Sylfaen"/>
          <w:sz w:val="24"/>
          <w:szCs w:val="24"/>
          <w:lang w:val="en-GB"/>
        </w:rPr>
        <w:t xml:space="preserve">. </w:t>
      </w:r>
      <w:r w:rsidR="00A93BB2">
        <w:rPr>
          <w:rFonts w:ascii="Sylfaen" w:eastAsia="Times New Roman" w:hAnsi="Sylfaen"/>
          <w:sz w:val="24"/>
          <w:szCs w:val="24"/>
          <w:lang w:val="en-GB"/>
        </w:rPr>
        <w:t>In paragraph 44 we would like to suggest using the term “so-called Abkhaz education system” instead of “Abkhaz education system”.</w:t>
      </w:r>
    </w:p>
    <w:p w:rsidR="00A93BB2" w:rsidRDefault="00A93BB2" w:rsidP="005123BE">
      <w:pPr>
        <w:tabs>
          <w:tab w:val="left" w:pos="9270"/>
        </w:tabs>
        <w:rPr>
          <w:rFonts w:ascii="Sylfaen" w:eastAsia="Times New Roman" w:hAnsi="Sylfaen"/>
          <w:sz w:val="24"/>
          <w:szCs w:val="24"/>
          <w:lang w:val="en-GB"/>
        </w:rPr>
      </w:pPr>
    </w:p>
    <w:p w:rsidR="00A93BB2" w:rsidRDefault="001067F7" w:rsidP="005123BE">
      <w:pPr>
        <w:tabs>
          <w:tab w:val="left" w:pos="9270"/>
        </w:tabs>
        <w:rPr>
          <w:rFonts w:ascii="Sylfaen" w:eastAsia="Times New Roman" w:hAnsi="Sylfaen"/>
          <w:sz w:val="24"/>
          <w:szCs w:val="24"/>
          <w:lang w:val="en-GB"/>
        </w:rPr>
      </w:pPr>
      <w:r>
        <w:rPr>
          <w:rFonts w:ascii="Sylfaen" w:eastAsia="Times New Roman" w:hAnsi="Sylfaen"/>
          <w:sz w:val="24"/>
          <w:szCs w:val="24"/>
          <w:lang w:val="en-GB"/>
        </w:rPr>
        <w:t>17</w:t>
      </w:r>
      <w:r w:rsidR="00A93BB2">
        <w:rPr>
          <w:rFonts w:ascii="Sylfaen" w:eastAsia="Times New Roman" w:hAnsi="Sylfaen"/>
          <w:sz w:val="24"/>
          <w:szCs w:val="24"/>
          <w:lang w:val="en-GB"/>
        </w:rPr>
        <w:t xml:space="preserve">. </w:t>
      </w:r>
      <w:r w:rsidR="005727B9">
        <w:rPr>
          <w:rFonts w:ascii="Sylfaen" w:eastAsia="Times New Roman" w:hAnsi="Sylfaen"/>
          <w:sz w:val="24"/>
          <w:szCs w:val="24"/>
          <w:lang w:val="en-GB"/>
        </w:rPr>
        <w:t>In paragraph 47</w:t>
      </w:r>
      <w:r w:rsidR="00DC3982">
        <w:rPr>
          <w:rFonts w:ascii="Sylfaen" w:eastAsia="Times New Roman" w:hAnsi="Sylfaen"/>
          <w:sz w:val="24"/>
          <w:szCs w:val="24"/>
          <w:lang w:val="en-GB"/>
        </w:rPr>
        <w:t xml:space="preserve"> we would like to draw the attention of the Secretariat delegation to the fact that the issue of mother-tongue based multilingual education and the initiatives implemented in this regard are actually not supported “by all sides”. That is why regretfully there is no tangible progress in this regard.</w:t>
      </w:r>
    </w:p>
    <w:p w:rsidR="005727B9" w:rsidRDefault="005727B9" w:rsidP="005123BE">
      <w:pPr>
        <w:tabs>
          <w:tab w:val="left" w:pos="9270"/>
        </w:tabs>
        <w:rPr>
          <w:rFonts w:ascii="Sylfaen" w:eastAsia="Times New Roman" w:hAnsi="Sylfaen"/>
          <w:sz w:val="24"/>
          <w:szCs w:val="24"/>
          <w:lang w:val="en-GB"/>
        </w:rPr>
      </w:pPr>
    </w:p>
    <w:p w:rsidR="005727B9" w:rsidRDefault="001067F7" w:rsidP="005123BE">
      <w:pPr>
        <w:tabs>
          <w:tab w:val="left" w:pos="9270"/>
        </w:tabs>
        <w:rPr>
          <w:rFonts w:ascii="Sylfaen" w:eastAsia="Times New Roman" w:hAnsi="Sylfaen"/>
          <w:sz w:val="24"/>
          <w:szCs w:val="24"/>
          <w:lang w:val="en-GB"/>
        </w:rPr>
      </w:pPr>
      <w:r>
        <w:rPr>
          <w:rFonts w:ascii="Sylfaen" w:eastAsia="Times New Roman" w:hAnsi="Sylfaen"/>
          <w:sz w:val="24"/>
          <w:szCs w:val="24"/>
          <w:lang w:val="en-GB"/>
        </w:rPr>
        <w:t>18</w:t>
      </w:r>
      <w:r w:rsidR="005727B9">
        <w:rPr>
          <w:rFonts w:ascii="Sylfaen" w:eastAsia="Times New Roman" w:hAnsi="Sylfaen"/>
          <w:sz w:val="24"/>
          <w:szCs w:val="24"/>
          <w:lang w:val="en-GB"/>
        </w:rPr>
        <w:t>. In paragraph 49 we would like to suggest using the term “so-called agreement” instead of “agreement”.</w:t>
      </w:r>
    </w:p>
    <w:p w:rsidR="005727B9" w:rsidRDefault="005727B9" w:rsidP="005123BE">
      <w:pPr>
        <w:tabs>
          <w:tab w:val="left" w:pos="9270"/>
        </w:tabs>
        <w:rPr>
          <w:rFonts w:ascii="Sylfaen" w:eastAsia="Times New Roman" w:hAnsi="Sylfaen"/>
          <w:sz w:val="24"/>
          <w:szCs w:val="24"/>
          <w:lang w:val="en-GB"/>
        </w:rPr>
      </w:pPr>
    </w:p>
    <w:p w:rsidR="005C64B8" w:rsidRDefault="001067F7" w:rsidP="005123BE">
      <w:pPr>
        <w:tabs>
          <w:tab w:val="left" w:pos="9270"/>
        </w:tabs>
        <w:rPr>
          <w:rFonts w:ascii="Sylfaen" w:eastAsia="Times New Roman" w:hAnsi="Sylfaen"/>
          <w:sz w:val="24"/>
          <w:szCs w:val="24"/>
          <w:lang w:val="en-GB"/>
        </w:rPr>
      </w:pPr>
      <w:r>
        <w:rPr>
          <w:rFonts w:ascii="Sylfaen" w:eastAsia="Times New Roman" w:hAnsi="Sylfaen"/>
          <w:sz w:val="24"/>
          <w:szCs w:val="24"/>
          <w:lang w:val="en-GB"/>
        </w:rPr>
        <w:t>19</w:t>
      </w:r>
      <w:r w:rsidR="005727B9">
        <w:rPr>
          <w:rFonts w:ascii="Sylfaen" w:eastAsia="Times New Roman" w:hAnsi="Sylfaen"/>
          <w:sz w:val="24"/>
          <w:szCs w:val="24"/>
          <w:lang w:val="en-GB"/>
        </w:rPr>
        <w:t xml:space="preserve">. </w:t>
      </w:r>
      <w:r w:rsidR="008F084E">
        <w:rPr>
          <w:rFonts w:ascii="Sylfaen" w:eastAsia="Times New Roman" w:hAnsi="Sylfaen"/>
          <w:sz w:val="24"/>
          <w:szCs w:val="24"/>
          <w:lang w:val="en-GB"/>
        </w:rPr>
        <w:t>In paragraph 55 we would like to suggest using the term “so-called temporary travel permits” instead of “temporary travel permits”.</w:t>
      </w:r>
    </w:p>
    <w:sectPr w:rsidR="005C64B8" w:rsidSect="00342A2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F2755"/>
    <w:multiLevelType w:val="hybridMultilevel"/>
    <w:tmpl w:val="BA62C5C6"/>
    <w:lvl w:ilvl="0" w:tplc="A96875EA">
      <w:start w:val="1"/>
      <w:numFmt w:val="decimal"/>
      <w:lvlText w:val="%1."/>
      <w:lvlJc w:val="left"/>
      <w:pPr>
        <w:tabs>
          <w:tab w:val="num" w:pos="360"/>
        </w:tabs>
        <w:ind w:left="360" w:hanging="360"/>
      </w:pPr>
      <w:rPr>
        <w:rFonts w:ascii="Tahoma" w:hAnsi="Tahoma" w:hint="default"/>
        <w:i w:val="0"/>
        <w:color w:val="auto"/>
        <w:sz w:val="22"/>
        <w:szCs w:val="22"/>
      </w:rPr>
    </w:lvl>
    <w:lvl w:ilvl="1" w:tplc="8E5621A0">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9E350B4"/>
    <w:multiLevelType w:val="hybridMultilevel"/>
    <w:tmpl w:val="0848FAEC"/>
    <w:lvl w:ilvl="0" w:tplc="B48040B0">
      <w:start w:val="1"/>
      <w:numFmt w:val="decimal"/>
      <w:lvlText w:val="%1."/>
      <w:lvlJc w:val="left"/>
      <w:pPr>
        <w:ind w:left="1080" w:hanging="360"/>
      </w:pPr>
      <w:rPr>
        <w:rFonts w:cs="Times New Roman" w:hint="default"/>
        <w:b w:val="0"/>
        <w:i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CE7"/>
    <w:rsid w:val="000232DE"/>
    <w:rsid w:val="00024A73"/>
    <w:rsid w:val="00042155"/>
    <w:rsid w:val="00083929"/>
    <w:rsid w:val="000B5134"/>
    <w:rsid w:val="000C2702"/>
    <w:rsid w:val="000E513A"/>
    <w:rsid w:val="000F7807"/>
    <w:rsid w:val="001057E6"/>
    <w:rsid w:val="001067F7"/>
    <w:rsid w:val="0015626F"/>
    <w:rsid w:val="001778ED"/>
    <w:rsid w:val="00192AA9"/>
    <w:rsid w:val="001A39F9"/>
    <w:rsid w:val="001A706F"/>
    <w:rsid w:val="001C330A"/>
    <w:rsid w:val="001C4DDA"/>
    <w:rsid w:val="001E4CDA"/>
    <w:rsid w:val="0025191B"/>
    <w:rsid w:val="002A6FBD"/>
    <w:rsid w:val="002E3FA4"/>
    <w:rsid w:val="002E7A7F"/>
    <w:rsid w:val="00311A3A"/>
    <w:rsid w:val="00321BF1"/>
    <w:rsid w:val="0032755E"/>
    <w:rsid w:val="00342A28"/>
    <w:rsid w:val="00350010"/>
    <w:rsid w:val="00412B87"/>
    <w:rsid w:val="00440F23"/>
    <w:rsid w:val="004A2D3F"/>
    <w:rsid w:val="005123BE"/>
    <w:rsid w:val="005710D3"/>
    <w:rsid w:val="005727B9"/>
    <w:rsid w:val="005830FB"/>
    <w:rsid w:val="005C64B8"/>
    <w:rsid w:val="005D320A"/>
    <w:rsid w:val="005D45E3"/>
    <w:rsid w:val="00612C91"/>
    <w:rsid w:val="0062613C"/>
    <w:rsid w:val="006375DC"/>
    <w:rsid w:val="006867C1"/>
    <w:rsid w:val="006B2BF2"/>
    <w:rsid w:val="006E09DB"/>
    <w:rsid w:val="007102B0"/>
    <w:rsid w:val="007614AB"/>
    <w:rsid w:val="0077579E"/>
    <w:rsid w:val="007842E5"/>
    <w:rsid w:val="007A554A"/>
    <w:rsid w:val="007D061C"/>
    <w:rsid w:val="007F3D5F"/>
    <w:rsid w:val="00806FAE"/>
    <w:rsid w:val="008220F7"/>
    <w:rsid w:val="008F084E"/>
    <w:rsid w:val="00906566"/>
    <w:rsid w:val="00936266"/>
    <w:rsid w:val="00947232"/>
    <w:rsid w:val="00957F6C"/>
    <w:rsid w:val="00977D3B"/>
    <w:rsid w:val="009B3C4F"/>
    <w:rsid w:val="009C36C7"/>
    <w:rsid w:val="009C626B"/>
    <w:rsid w:val="009F634F"/>
    <w:rsid w:val="00A835C7"/>
    <w:rsid w:val="00A85CE7"/>
    <w:rsid w:val="00A93BB2"/>
    <w:rsid w:val="00AE44A6"/>
    <w:rsid w:val="00B21328"/>
    <w:rsid w:val="00B47EA0"/>
    <w:rsid w:val="00B5205D"/>
    <w:rsid w:val="00B86F22"/>
    <w:rsid w:val="00B92DA1"/>
    <w:rsid w:val="00BD218D"/>
    <w:rsid w:val="00BE70EC"/>
    <w:rsid w:val="00C01D95"/>
    <w:rsid w:val="00C072BE"/>
    <w:rsid w:val="00C1260C"/>
    <w:rsid w:val="00C45D30"/>
    <w:rsid w:val="00CC0800"/>
    <w:rsid w:val="00CF38DE"/>
    <w:rsid w:val="00D44DEB"/>
    <w:rsid w:val="00DA659D"/>
    <w:rsid w:val="00DC3982"/>
    <w:rsid w:val="00DE7FC2"/>
    <w:rsid w:val="00E13DF2"/>
    <w:rsid w:val="00E32419"/>
    <w:rsid w:val="00E55054"/>
    <w:rsid w:val="00EF427B"/>
    <w:rsid w:val="00F15FC5"/>
    <w:rsid w:val="00F37B38"/>
    <w:rsid w:val="00F60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E69726-737C-4D56-B0DA-E0618725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CE7"/>
    <w:pPr>
      <w:ind w:left="720"/>
      <w:contextualSpacing/>
    </w:pPr>
  </w:style>
  <w:style w:type="character" w:styleId="CommentReference">
    <w:name w:val="annotation reference"/>
    <w:semiHidden/>
    <w:rsid w:val="006E09DB"/>
    <w:rPr>
      <w:sz w:val="16"/>
      <w:szCs w:val="16"/>
    </w:rPr>
  </w:style>
  <w:style w:type="paragraph" w:styleId="CommentText">
    <w:name w:val="annotation text"/>
    <w:basedOn w:val="Normal"/>
    <w:link w:val="CommentTextChar"/>
    <w:semiHidden/>
    <w:rsid w:val="006E09DB"/>
    <w:pPr>
      <w:jc w:val="left"/>
    </w:pPr>
    <w:rPr>
      <w:rFonts w:ascii="Tahoma" w:hAnsi="Tahoma"/>
      <w:sz w:val="20"/>
      <w:szCs w:val="20"/>
    </w:rPr>
  </w:style>
  <w:style w:type="character" w:customStyle="1" w:styleId="CommentTextChar">
    <w:name w:val="Comment Text Char"/>
    <w:basedOn w:val="DefaultParagraphFont"/>
    <w:link w:val="CommentText"/>
    <w:semiHidden/>
    <w:rsid w:val="006E09DB"/>
    <w:rPr>
      <w:rFonts w:ascii="Tahoma" w:hAnsi="Tahoma"/>
      <w:sz w:val="20"/>
      <w:szCs w:val="20"/>
    </w:rPr>
  </w:style>
  <w:style w:type="paragraph" w:styleId="BalloonText">
    <w:name w:val="Balloon Text"/>
    <w:basedOn w:val="Normal"/>
    <w:link w:val="BalloonTextChar"/>
    <w:uiPriority w:val="99"/>
    <w:semiHidden/>
    <w:unhideWhenUsed/>
    <w:rsid w:val="006E0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9DB"/>
    <w:rPr>
      <w:rFonts w:ascii="Segoe UI" w:hAnsi="Segoe UI" w:cs="Segoe UI"/>
      <w:sz w:val="18"/>
      <w:szCs w:val="18"/>
    </w:rPr>
  </w:style>
  <w:style w:type="paragraph" w:styleId="NormalWeb">
    <w:name w:val="Normal (Web)"/>
    <w:basedOn w:val="Normal"/>
    <w:uiPriority w:val="99"/>
    <w:rsid w:val="00D44DEB"/>
    <w:pPr>
      <w:spacing w:before="100" w:beforeAutospacing="1" w:after="100" w:afterAutospacing="1"/>
      <w:jc w:val="left"/>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2</Pages>
  <Words>667</Words>
  <Characters>3806</Characters>
  <Application>Microsoft Office Word</Application>
  <DocSecurity>0</DocSecurity>
  <Lines>31</Lines>
  <Paragraphs>8</Paragraphs>
  <ScaleCrop>false</ScaleCrop>
  <Company/>
  <LinksUpToDate>false</LinksUpToDate>
  <CharactersWithSpaces>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Tamuna Kochoradze</dc:creator>
  <cp:keywords/>
  <dc:description/>
  <cp:lastModifiedBy>Tamar Kochoradze</cp:lastModifiedBy>
  <cp:revision>103</cp:revision>
  <cp:lastPrinted>2017-10-25T07:40:00Z</cp:lastPrinted>
  <dcterms:created xsi:type="dcterms:W3CDTF">2016-11-06T10:06:00Z</dcterms:created>
  <dcterms:modified xsi:type="dcterms:W3CDTF">2017-10-25T13:55:00Z</dcterms:modified>
</cp:coreProperties>
</file>