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25" w:rsidRDefault="00426725" w:rsidP="00426725"/>
    <w:p w:rsidR="00426725" w:rsidRPr="00DC164D" w:rsidRDefault="00426725" w:rsidP="00426725">
      <w:pPr>
        <w:rPr>
          <w:rFonts w:ascii="Sylfaen" w:hAnsi="Sylfaen"/>
          <w:b/>
        </w:rPr>
      </w:pPr>
      <w:r w:rsidRPr="00DC164D">
        <w:rPr>
          <w:rFonts w:ascii="Sylfaen" w:hAnsi="Sylfaen"/>
          <w:b/>
          <w:lang w:val="ka-GE"/>
        </w:rPr>
        <w:t xml:space="preserve">დანართი </w:t>
      </w:r>
      <w:r w:rsidRPr="00DC164D">
        <w:rPr>
          <w:rFonts w:ascii="Sylfaen" w:hAnsi="Sylfaen"/>
          <w:b/>
        </w:rPr>
        <w:t>B</w:t>
      </w:r>
    </w:p>
    <w:p w:rsidR="00426725" w:rsidRPr="00EC45DD" w:rsidRDefault="00426725" w:rsidP="00426725">
      <w:pPr>
        <w:spacing w:before="105"/>
        <w:rPr>
          <w:rFonts w:ascii="Sylfaen" w:hAnsi="Sylfaen"/>
          <w:i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დედათა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მაჩვენებელი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სხვადასხვა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საინფორმაციო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წყაროს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მიხედვით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საქართველო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, 2000-2016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წწ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  <w:bookmarkStart w:id="0" w:name="_GoBack"/>
      <w:bookmarkEnd w:id="0"/>
    </w:p>
    <w:p w:rsidR="00426725" w:rsidRPr="00EC45DD" w:rsidRDefault="00426725" w:rsidP="00426725">
      <w:pPr>
        <w:rPr>
          <w:rFonts w:ascii="Sylfaen" w:hAnsi="Sylfaen"/>
          <w:szCs w:val="24"/>
        </w:rPr>
      </w:pPr>
    </w:p>
    <w:p w:rsidR="00426725" w:rsidRPr="00EC45DD" w:rsidRDefault="00426725" w:rsidP="00426725">
      <w:pPr>
        <w:rPr>
          <w:rFonts w:ascii="Sylfaen" w:hAnsi="Sylfaen"/>
          <w:szCs w:val="24"/>
        </w:rPr>
      </w:pPr>
      <w:r w:rsidRPr="00EC45DD">
        <w:rPr>
          <w:rFonts w:ascii="Sylfaen" w:hAnsi="Sylfaen"/>
          <w:noProof/>
          <w:szCs w:val="24"/>
        </w:rPr>
        <w:drawing>
          <wp:inline distT="0" distB="0" distL="0" distR="0" wp14:anchorId="7ABF81A0" wp14:editId="1FDCD0D0">
            <wp:extent cx="5943600" cy="27241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6725" w:rsidRPr="00EC45DD" w:rsidRDefault="00426725" w:rsidP="00426725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GERAMOS-</w:t>
      </w:r>
      <w:proofErr w:type="spellStart"/>
      <w:r w:rsidRPr="00EC45DD">
        <w:rPr>
          <w:rFonts w:ascii="Sylfaen" w:hAnsi="Sylfaen"/>
          <w:szCs w:val="24"/>
        </w:rPr>
        <w:t>რეპროდუქციული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ასაკის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ქალთა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მიზეზთა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(2008 </w:t>
      </w:r>
      <w:proofErr w:type="spellStart"/>
      <w:r w:rsidRPr="00EC45DD">
        <w:rPr>
          <w:rFonts w:ascii="Sylfaen" w:hAnsi="Sylfaen"/>
          <w:szCs w:val="24"/>
        </w:rPr>
        <w:t>და</w:t>
      </w:r>
      <w:proofErr w:type="spellEnd"/>
      <w:r w:rsidRPr="00EC45DD">
        <w:rPr>
          <w:rFonts w:ascii="Sylfaen" w:hAnsi="Sylfaen"/>
          <w:szCs w:val="24"/>
        </w:rPr>
        <w:t xml:space="preserve"> 2012 </w:t>
      </w:r>
      <w:proofErr w:type="spellStart"/>
      <w:r w:rsidRPr="00EC45DD">
        <w:rPr>
          <w:rFonts w:ascii="Sylfaen" w:hAnsi="Sylfaen"/>
          <w:szCs w:val="24"/>
        </w:rPr>
        <w:t>წლები</w:t>
      </w:r>
      <w:proofErr w:type="spellEnd"/>
      <w:r w:rsidRPr="00EC45DD">
        <w:rPr>
          <w:rFonts w:ascii="Sylfaen" w:hAnsi="Sylfaen"/>
          <w:szCs w:val="24"/>
        </w:rPr>
        <w:t>)</w:t>
      </w:r>
    </w:p>
    <w:p w:rsidR="00426725" w:rsidRPr="00EC45DD" w:rsidRDefault="00426725" w:rsidP="00426725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MMS-</w:t>
      </w:r>
      <w:proofErr w:type="spellStart"/>
      <w:r w:rsidRPr="00EC45DD">
        <w:rPr>
          <w:rFonts w:ascii="Sylfaen" w:hAnsi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2011</w:t>
      </w:r>
    </w:p>
    <w:p w:rsidR="00426725" w:rsidRPr="00EC45DD" w:rsidRDefault="00426725" w:rsidP="00426725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 w:cs="Sylfaen"/>
          <w:szCs w:val="24"/>
        </w:rPr>
        <w:t xml:space="preserve">MMEIG </w:t>
      </w:r>
      <w:proofErr w:type="spellStart"/>
      <w:r w:rsidRPr="00EC45DD">
        <w:rPr>
          <w:rFonts w:ascii="Sylfaen" w:hAnsi="Sylfaen" w:cs="Sylfaen"/>
          <w:szCs w:val="24"/>
        </w:rPr>
        <w:t>გაეროს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შეფასების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სააგენტოთაშორისი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ჯგუფი</w:t>
      </w:r>
      <w:proofErr w:type="spellEnd"/>
    </w:p>
    <w:p w:rsidR="00426725" w:rsidRPr="003B14DA" w:rsidRDefault="00426725" w:rsidP="00426725">
      <w:pPr>
        <w:spacing w:before="49"/>
        <w:ind w:right="90"/>
        <w:rPr>
          <w:rFonts w:ascii="Sylfaen" w:hAnsi="Sylfaen"/>
          <w:color w:val="231F20"/>
          <w:szCs w:val="24"/>
          <w:lang w:val="ka-GE"/>
        </w:rPr>
      </w:pPr>
      <w:proofErr w:type="spellStart"/>
      <w:proofErr w:type="gramStart"/>
      <w:r w:rsidRPr="00EC45DD">
        <w:rPr>
          <w:rFonts w:ascii="Sylfaen" w:hAnsi="Sylfaen"/>
          <w:color w:val="231F20"/>
          <w:szCs w:val="24"/>
        </w:rPr>
        <w:t>წყარო</w:t>
      </w:r>
      <w:proofErr w:type="spellEnd"/>
      <w:proofErr w:type="gramEnd"/>
      <w:r w:rsidRPr="00EC45DD">
        <w:rPr>
          <w:rFonts w:ascii="Sylfaen" w:hAnsi="Sylfaen"/>
          <w:color w:val="231F20"/>
          <w:szCs w:val="24"/>
        </w:rPr>
        <w:t xml:space="preserve">: </w:t>
      </w:r>
      <w:proofErr w:type="spellStart"/>
      <w:r w:rsidRPr="00EC45DD">
        <w:rPr>
          <w:rFonts w:ascii="Sylfaen" w:hAnsi="Sylfaen"/>
          <w:color w:val="231F20"/>
          <w:szCs w:val="24"/>
        </w:rPr>
        <w:t>საქართველოს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შრომის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,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სოციალური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დაცვის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სამინისტრო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დაავადებათა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კონტროლისა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საზოგადოებრივი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ცენტრი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სტატისტიკის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სამსახური</w:t>
      </w:r>
      <w:proofErr w:type="spellEnd"/>
      <w:r>
        <w:rPr>
          <w:rFonts w:ascii="Sylfaen" w:hAnsi="Sylfaen"/>
          <w:color w:val="231F20"/>
          <w:szCs w:val="24"/>
          <w:lang w:val="ka-GE"/>
        </w:rPr>
        <w:t>.</w:t>
      </w:r>
    </w:p>
    <w:p w:rsidR="00064D82" w:rsidRDefault="00064D82"/>
    <w:sectPr w:rsidR="0006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25"/>
    <w:rsid w:val="00064D82"/>
    <w:rsid w:val="00426725"/>
    <w:rsid w:val="00D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25"/>
    <w:pPr>
      <w:spacing w:after="160" w:line="24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7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25"/>
    <w:pPr>
      <w:spacing w:after="160" w:line="24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7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1128192"/>
        <c:axId val="7112972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1128192"/>
        <c:axId val="71129728"/>
      </c:scatterChart>
      <c:valAx>
        <c:axId val="71128192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71129728"/>
        <c:crosses val="autoZero"/>
        <c:crossBetween val="midCat"/>
        <c:majorUnit val="1"/>
        <c:minorUnit val="0.2"/>
      </c:valAx>
      <c:valAx>
        <c:axId val="7112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12819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2017-12-18T10:13:00Z</dcterms:created>
  <dcterms:modified xsi:type="dcterms:W3CDTF">2017-12-19T10:15:00Z</dcterms:modified>
</cp:coreProperties>
</file>