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9E" w:rsidRDefault="005D509E" w:rsidP="00F34B96">
      <w:pPr>
        <w:pStyle w:val="Heading2"/>
        <w:jc w:val="center"/>
        <w:rPr>
          <w:sz w:val="28"/>
        </w:rPr>
      </w:pPr>
      <w:bookmarkStart w:id="0" w:name="_GoBack"/>
      <w:bookmarkEnd w:id="0"/>
    </w:p>
    <w:p w:rsidR="00492BEC" w:rsidRDefault="00492BEC" w:rsidP="00F34B96">
      <w:pPr>
        <w:pStyle w:val="Heading2"/>
        <w:jc w:val="center"/>
        <w:rPr>
          <w:sz w:val="28"/>
        </w:rPr>
      </w:pPr>
      <w:r>
        <w:rPr>
          <w:noProof/>
          <w:lang w:val="en-US"/>
        </w:rPr>
        <w:drawing>
          <wp:inline distT="0" distB="0" distL="0" distR="0" wp14:anchorId="049657C3" wp14:editId="16B17483">
            <wp:extent cx="824518" cy="687629"/>
            <wp:effectExtent l="0" t="0" r="0" b="0"/>
            <wp:docPr id="1" name="Picture 1" descr="emblem_text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_text_sho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60" cy="69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09E" w:rsidRDefault="005D509E" w:rsidP="00492BEC">
      <w:pPr>
        <w:pStyle w:val="Heading2"/>
        <w:spacing w:before="0"/>
        <w:jc w:val="center"/>
        <w:rPr>
          <w:sz w:val="28"/>
        </w:rPr>
      </w:pPr>
    </w:p>
    <w:p w:rsidR="00492BEC" w:rsidRDefault="005D509E" w:rsidP="00492BEC">
      <w:pPr>
        <w:pStyle w:val="Heading2"/>
        <w:spacing w:before="0"/>
        <w:jc w:val="center"/>
        <w:rPr>
          <w:sz w:val="28"/>
        </w:rPr>
      </w:pPr>
      <w:r>
        <w:rPr>
          <w:sz w:val="28"/>
        </w:rPr>
        <w:t>Annex 1</w:t>
      </w:r>
    </w:p>
    <w:p w:rsidR="005D509E" w:rsidRPr="005D509E" w:rsidRDefault="005D509E" w:rsidP="005D509E">
      <w:pPr>
        <w:jc w:val="center"/>
        <w:rPr>
          <w:rFonts w:ascii="Arial" w:hAnsi="Arial" w:cs="Arial"/>
          <w:b/>
          <w:bCs/>
          <w:iCs/>
          <w:color w:val="0000FF"/>
          <w:sz w:val="28"/>
          <w:szCs w:val="28"/>
        </w:rPr>
      </w:pPr>
      <w:r w:rsidRPr="005D509E">
        <w:rPr>
          <w:rFonts w:ascii="Arial" w:hAnsi="Arial" w:cs="Arial"/>
          <w:b/>
          <w:bCs/>
          <w:iCs/>
          <w:color w:val="0000FF"/>
          <w:sz w:val="28"/>
          <w:szCs w:val="28"/>
        </w:rPr>
        <w:t>Methodology and data sources</w:t>
      </w:r>
    </w:p>
    <w:p w:rsidR="005D509E" w:rsidRDefault="005D509E" w:rsidP="005D509E"/>
    <w:p w:rsidR="005D509E" w:rsidRPr="005D509E" w:rsidRDefault="005D509E" w:rsidP="005D509E">
      <w:pPr>
        <w:spacing w:before="100" w:beforeAutospacing="1" w:after="100" w:afterAutospacing="1"/>
        <w:rPr>
          <w:szCs w:val="24"/>
        </w:rPr>
      </w:pPr>
      <w:r w:rsidRPr="005D509E">
        <w:rPr>
          <w:rFonts w:ascii="Calibri" w:hAnsi="Calibri" w:cs="Calibri"/>
          <w:color w:val="1F497D"/>
          <w:szCs w:val="24"/>
        </w:rPr>
        <w:t xml:space="preserve">Recorded alcohol per capita (15+ years) consumption is given in litres of pure alcohol. The decision tree for recorded alcohol per capita sources is: 1) government data; 2) industry data (if based on interviews in countries); 3) Food and Agriculture Organization of the United Nations (FAO), and 4) economic operators (if desk review). </w:t>
      </w:r>
    </w:p>
    <w:p w:rsidR="005D509E" w:rsidRPr="005D509E" w:rsidRDefault="005D509E" w:rsidP="005D509E">
      <w:pPr>
        <w:spacing w:before="100" w:beforeAutospacing="1" w:after="100" w:afterAutospacing="1"/>
        <w:rPr>
          <w:szCs w:val="24"/>
        </w:rPr>
      </w:pPr>
      <w:r w:rsidRPr="005D509E">
        <w:rPr>
          <w:rFonts w:ascii="Calibri" w:hAnsi="Calibri" w:cs="Calibri"/>
          <w:color w:val="1F497D"/>
          <w:szCs w:val="24"/>
        </w:rPr>
        <w:t>Unrecorded alcohol per capita (15+ years) consumption is given in litres of pure alcohol and is based on empirical investigations and the judgement of experts.</w:t>
      </w:r>
    </w:p>
    <w:p w:rsidR="005D509E" w:rsidRPr="005D509E" w:rsidRDefault="005D509E" w:rsidP="005D509E">
      <w:pPr>
        <w:spacing w:before="100" w:beforeAutospacing="1" w:after="100" w:afterAutospacing="1"/>
        <w:rPr>
          <w:rFonts w:ascii="Calibri" w:hAnsi="Calibri" w:cs="Calibri"/>
          <w:color w:val="1F497D"/>
          <w:szCs w:val="24"/>
        </w:rPr>
      </w:pPr>
      <w:r w:rsidRPr="005D509E">
        <w:rPr>
          <w:rFonts w:ascii="Calibri" w:hAnsi="Calibri" w:cs="Calibri"/>
          <w:color w:val="1F497D"/>
          <w:szCs w:val="24"/>
        </w:rPr>
        <w:t xml:space="preserve">Tourist consumption is based on the following assumptions: 1) tourists/visitors consume alcohol as they do at home (i.e. with the same average alcohol per capita consumption); 2) the average length of stay by tourists/visitors was 14 days (except for countries where there is a lot of cross border shopping with shorter average length of stay); 3) tourist consumption was only considered if incoming tourists consumption exceeded the consumption of people from the country under consideration abroad. For tourism/visitors adjustment, we relied mainly on the United Nations visitors’ database for estimating the number of tourists/visitors. </w:t>
      </w:r>
    </w:p>
    <w:p w:rsidR="005D509E" w:rsidRPr="005D509E" w:rsidRDefault="005D509E" w:rsidP="005D509E">
      <w:pPr>
        <w:rPr>
          <w:szCs w:val="24"/>
        </w:rPr>
      </w:pPr>
    </w:p>
    <w:p w:rsidR="00A7495C" w:rsidRDefault="00A7495C" w:rsidP="005D509E">
      <w:pPr>
        <w:pStyle w:val="Heading2"/>
        <w:jc w:val="center"/>
      </w:pPr>
    </w:p>
    <w:sectPr w:rsidR="00A7495C" w:rsidSect="00492BE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0" w:right="1021" w:bottom="1134" w:left="102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D8" w:rsidRDefault="00E02595">
      <w:r>
        <w:separator/>
      </w:r>
    </w:p>
  </w:endnote>
  <w:endnote w:type="continuationSeparator" w:id="0">
    <w:p w:rsidR="008364D8" w:rsidRDefault="00E0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650FD8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650FD8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F34B96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– </w:t>
    </w: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>
      <w:rPr>
        <w:rFonts w:ascii="Arial" w:hAnsi="Arial" w:cs="Arial"/>
        <w:noProof/>
        <w:sz w:val="20"/>
        <w:lang w:val="en-US"/>
      </w:rPr>
      <w:t>4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–</w:t>
    </w:r>
  </w:p>
  <w:p w:rsidR="00333776" w:rsidRDefault="00650FD8">
    <w:pPr>
      <w:pBdr>
        <w:top w:val="single" w:sz="6" w:space="1" w:color="auto"/>
      </w:pBdr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650FD8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650FD8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F34B96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– </w:t>
    </w: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 w:rsidR="00492BEC">
      <w:rPr>
        <w:rFonts w:ascii="Arial" w:hAnsi="Arial" w:cs="Arial"/>
        <w:noProof/>
        <w:sz w:val="20"/>
        <w:lang w:val="en-US"/>
      </w:rPr>
      <w:t>2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–</w:t>
    </w:r>
  </w:p>
  <w:p w:rsidR="00333776" w:rsidRDefault="00650FD8">
    <w:pPr>
      <w:pBdr>
        <w:top w:val="single" w:sz="6" w:space="1" w:color="auto"/>
      </w:pBdr>
      <w:jc w:val="cen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650FD8" w:rsidP="004C4F28">
    <w:pPr>
      <w:pStyle w:val="Header"/>
      <w:tabs>
        <w:tab w:val="clear" w:pos="4320"/>
        <w:tab w:val="clear" w:pos="8640"/>
      </w:tabs>
    </w:pPr>
  </w:p>
  <w:tbl>
    <w:tblPr>
      <w:tblW w:w="0" w:type="auto"/>
      <w:tblBorders>
        <w:top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391"/>
      <w:gridCol w:w="3011"/>
      <w:gridCol w:w="709"/>
      <w:gridCol w:w="1950"/>
    </w:tblGrid>
    <w:tr w:rsidR="00333776" w:rsidRPr="00104120" w:rsidTr="00D24425">
      <w:trPr>
        <w:trHeight w:val="144"/>
      </w:trPr>
      <w:tc>
        <w:tcPr>
          <w:tcW w:w="9747" w:type="dxa"/>
          <w:gridSpan w:val="5"/>
        </w:tcPr>
        <w:p w:rsidR="00333776" w:rsidRPr="00104120" w:rsidRDefault="00650FD8" w:rsidP="00104120">
          <w:pPr>
            <w:pStyle w:val="Header"/>
            <w:tabs>
              <w:tab w:val="clear" w:pos="4320"/>
              <w:tab w:val="clear" w:pos="8640"/>
            </w:tabs>
            <w:rPr>
              <w:sz w:val="8"/>
              <w:szCs w:val="8"/>
            </w:rPr>
          </w:pPr>
        </w:p>
      </w:tc>
    </w:tr>
    <w:tr w:rsidR="00333776" w:rsidTr="00D24425">
      <w:tc>
        <w:tcPr>
          <w:tcW w:w="3686" w:type="dxa"/>
        </w:tcPr>
        <w:p w:rsidR="00333776" w:rsidRDefault="00F34B96" w:rsidP="00D24425">
          <w:pPr>
            <w:pStyle w:val="Header"/>
            <w:tabs>
              <w:tab w:val="clear" w:pos="4320"/>
              <w:tab w:val="clear" w:pos="8640"/>
            </w:tabs>
            <w:ind w:left="142"/>
          </w:pPr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 xml:space="preserve">UN City, </w:t>
          </w:r>
          <w:proofErr w:type="spellStart"/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>Marmor</w:t>
          </w:r>
          <w:r w:rsidRPr="00104120"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>vej</w:t>
          </w:r>
          <w:proofErr w:type="spellEnd"/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 xml:space="preserve"> 51</w:t>
          </w:r>
        </w:p>
      </w:tc>
      <w:tc>
        <w:tcPr>
          <w:tcW w:w="391" w:type="dxa"/>
        </w:tcPr>
        <w:p w:rsidR="00333776" w:rsidRDefault="00F34B96" w:rsidP="00441185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Tel</w:t>
          </w:r>
          <w:r>
            <w:rPr>
              <w:rFonts w:ascii="Arial" w:hAnsi="Arial" w:cs="Arial"/>
              <w:sz w:val="18"/>
              <w:szCs w:val="18"/>
              <w:lang w:val="en-US"/>
            </w:rPr>
            <w:t>.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:</w:t>
          </w:r>
        </w:p>
      </w:tc>
      <w:tc>
        <w:tcPr>
          <w:tcW w:w="3011" w:type="dxa"/>
        </w:tcPr>
        <w:p w:rsidR="00333776" w:rsidRDefault="00F34B96" w:rsidP="00060A28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 xml:space="preserve">+45 </w:t>
          </w:r>
          <w:r>
            <w:rPr>
              <w:rFonts w:ascii="Arial" w:hAnsi="Arial" w:cs="Arial"/>
              <w:sz w:val="18"/>
              <w:szCs w:val="18"/>
              <w:lang w:val="en-US"/>
            </w:rPr>
            <w:t>45 33 70 00</w:t>
          </w:r>
        </w:p>
      </w:tc>
      <w:tc>
        <w:tcPr>
          <w:tcW w:w="709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iCs/>
              <w:sz w:val="18"/>
              <w:szCs w:val="18"/>
              <w:lang w:val="en-US"/>
            </w:rPr>
            <w:t>E</w:t>
          </w: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>mail:</w:t>
          </w:r>
        </w:p>
      </w:tc>
      <w:tc>
        <w:tcPr>
          <w:tcW w:w="1950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iCs/>
              <w:sz w:val="18"/>
              <w:szCs w:val="18"/>
              <w:lang w:val="en-US"/>
            </w:rPr>
            <w:t xml:space="preserve"> </w:t>
          </w: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>contact@euro.who.int</w:t>
          </w:r>
        </w:p>
      </w:tc>
    </w:tr>
    <w:tr w:rsidR="00333776" w:rsidTr="00D24425">
      <w:tc>
        <w:tcPr>
          <w:tcW w:w="3686" w:type="dxa"/>
        </w:tcPr>
        <w:p w:rsidR="00333776" w:rsidRDefault="00F34B96" w:rsidP="00D24425">
          <w:pPr>
            <w:pStyle w:val="Header"/>
            <w:tabs>
              <w:tab w:val="clear" w:pos="4320"/>
              <w:tab w:val="clear" w:pos="8640"/>
            </w:tabs>
            <w:ind w:left="142"/>
          </w:pP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 xml:space="preserve">DK-2100 </w:t>
          </w:r>
          <w:smartTag w:uri="urn:schemas-microsoft-com:office:smarttags" w:element="place">
            <w:smartTag w:uri="urn:schemas-microsoft-com:office:smarttags" w:element="City">
              <w:r w:rsidRPr="00104120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Copenhagen</w:t>
              </w:r>
            </w:smartTag>
          </w:smartTag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 xml:space="preserve"> Ø</w:t>
          </w:r>
        </w:p>
      </w:tc>
      <w:tc>
        <w:tcPr>
          <w:tcW w:w="391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Fax:</w:t>
          </w:r>
        </w:p>
      </w:tc>
      <w:tc>
        <w:tcPr>
          <w:tcW w:w="3011" w:type="dxa"/>
        </w:tcPr>
        <w:p w:rsidR="00333776" w:rsidRDefault="00F34B96" w:rsidP="00060A28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 xml:space="preserve">+45 </w:t>
          </w:r>
          <w:r>
            <w:rPr>
              <w:rFonts w:ascii="Arial" w:hAnsi="Arial" w:cs="Arial"/>
              <w:sz w:val="18"/>
              <w:szCs w:val="18"/>
              <w:lang w:val="en-US"/>
            </w:rPr>
            <w:t>45 33 70 01</w:t>
          </w:r>
        </w:p>
      </w:tc>
      <w:tc>
        <w:tcPr>
          <w:tcW w:w="709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sz w:val="18"/>
              <w:szCs w:val="18"/>
              <w:lang w:val="en-US"/>
            </w:rPr>
            <w:t>Web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site:</w:t>
          </w:r>
        </w:p>
      </w:tc>
      <w:tc>
        <w:tcPr>
          <w:tcW w:w="1950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http://www.euro.who.int</w:t>
          </w:r>
        </w:p>
      </w:tc>
    </w:tr>
    <w:tr w:rsidR="00333776" w:rsidTr="00D24425">
      <w:tc>
        <w:tcPr>
          <w:tcW w:w="3686" w:type="dxa"/>
        </w:tcPr>
        <w:p w:rsidR="00333776" w:rsidRDefault="00F34B96" w:rsidP="00D24425">
          <w:pPr>
            <w:pStyle w:val="Header"/>
            <w:tabs>
              <w:tab w:val="clear" w:pos="4320"/>
              <w:tab w:val="clear" w:pos="8640"/>
            </w:tabs>
            <w:ind w:left="142"/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Denmark</w:t>
          </w:r>
        </w:p>
      </w:tc>
      <w:tc>
        <w:tcPr>
          <w:tcW w:w="391" w:type="dxa"/>
        </w:tcPr>
        <w:p w:rsidR="00333776" w:rsidRDefault="00650FD8" w:rsidP="00104120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3011" w:type="dxa"/>
        </w:tcPr>
        <w:p w:rsidR="00333776" w:rsidRDefault="00650FD8" w:rsidP="00104120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709" w:type="dxa"/>
        </w:tcPr>
        <w:p w:rsidR="00333776" w:rsidRDefault="00650FD8" w:rsidP="00104120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1950" w:type="dxa"/>
        </w:tcPr>
        <w:p w:rsidR="00333776" w:rsidRDefault="00650FD8" w:rsidP="00104120">
          <w:pPr>
            <w:pStyle w:val="Header"/>
            <w:tabs>
              <w:tab w:val="clear" w:pos="4320"/>
              <w:tab w:val="clear" w:pos="8640"/>
            </w:tabs>
          </w:pPr>
        </w:p>
      </w:tc>
    </w:tr>
  </w:tbl>
  <w:p w:rsidR="00333776" w:rsidRPr="004C4F28" w:rsidRDefault="00650FD8" w:rsidP="00104120">
    <w:pPr>
      <w:pStyle w:val="Header"/>
      <w:tabs>
        <w:tab w:val="clear" w:pos="4320"/>
        <w:tab w:val="clear" w:pos="864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D8" w:rsidRDefault="00E02595">
      <w:r>
        <w:separator/>
      </w:r>
    </w:p>
  </w:footnote>
  <w:footnote w:type="continuationSeparator" w:id="0">
    <w:p w:rsidR="008364D8" w:rsidRDefault="00E02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650FD8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650FD8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650FD8">
    <w:pPr>
      <w:pStyle w:val="Header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650FD8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650FD8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650FD8">
    <w:pPr>
      <w:pStyle w:val="Header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96"/>
    <w:rsid w:val="000A6604"/>
    <w:rsid w:val="0028057B"/>
    <w:rsid w:val="002A3C04"/>
    <w:rsid w:val="00492BEC"/>
    <w:rsid w:val="005D509E"/>
    <w:rsid w:val="00650FD8"/>
    <w:rsid w:val="008364D8"/>
    <w:rsid w:val="00981F1E"/>
    <w:rsid w:val="00A7495C"/>
    <w:rsid w:val="00B623AC"/>
    <w:rsid w:val="00C67534"/>
    <w:rsid w:val="00D16E5D"/>
    <w:rsid w:val="00E02595"/>
    <w:rsid w:val="00E82E4C"/>
    <w:rsid w:val="00F3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4B96"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4">
    <w:name w:val="heading 4"/>
    <w:basedOn w:val="Normal"/>
    <w:next w:val="Normal"/>
    <w:link w:val="Heading4Char"/>
    <w:qFormat/>
    <w:rsid w:val="00F34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4B96"/>
    <w:rPr>
      <w:rFonts w:ascii="Arial" w:eastAsia="Times New Roman" w:hAnsi="Arial" w:cs="Arial"/>
      <w:b/>
      <w:bCs/>
      <w:iCs/>
      <w:color w:val="0000FF"/>
      <w:sz w:val="24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F34B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rsid w:val="00F34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4B96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F34B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EC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4B96"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4">
    <w:name w:val="heading 4"/>
    <w:basedOn w:val="Normal"/>
    <w:next w:val="Normal"/>
    <w:link w:val="Heading4Char"/>
    <w:qFormat/>
    <w:rsid w:val="00F34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4B96"/>
    <w:rPr>
      <w:rFonts w:ascii="Arial" w:eastAsia="Times New Roman" w:hAnsi="Arial" w:cs="Arial"/>
      <w:b/>
      <w:bCs/>
      <w:iCs/>
      <w:color w:val="0000FF"/>
      <w:sz w:val="24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F34B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rsid w:val="00F34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4B96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F34B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B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BE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BLINKENBERG, Nina Lillian</dc:creator>
  <cp:lastModifiedBy>BLINKENBERG, Nina Lillian</cp:lastModifiedBy>
  <cp:revision>2</cp:revision>
  <dcterms:created xsi:type="dcterms:W3CDTF">2017-07-03T12:36:00Z</dcterms:created>
  <dcterms:modified xsi:type="dcterms:W3CDTF">2017-07-03T12:36:00Z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2121910183</vt:i4>
  </property>
  <property fmtid="{D5CDD505-2E9C-101B-9397-08002B2CF9AE}" pid="3" name="_NewReviewCycle">
    <vt:lpwstr/>
  </property>
  <property fmtid="{D5CDD505-2E9C-101B-9397-08002B2CF9AE}" pid="4" name="_EmailSubject">
    <vt:lpwstr>Progress report on implementation of the European Action Plan to Reduce the Harmful Use of Alcohol 2012–2020</vt:lpwstr>
  </property>
  <property fmtid="{D5CDD505-2E9C-101B-9397-08002B2CF9AE}" pid="5" name="_AuthorEmail">
    <vt:lpwstr>blinkenbergn@who.int</vt:lpwstr>
  </property>
  <property fmtid="{D5CDD505-2E9C-101B-9397-08002B2CF9AE}" pid="6" name="_AuthorEmailDisplayName">
    <vt:lpwstr>BLINKENBERG, Nina Lillian</vt:lpwstr>
  </property>
  <property fmtid="{D5CDD505-2E9C-101B-9397-08002B2CF9AE}" pid="7" name="_PreviousAdHocReviewCycleID">
    <vt:i4>1435482326</vt:i4>
  </property>
</Properties>
</file>